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color w:val="auto"/>
        </w:rPr>
        <w:t xml:space="preserve">                 </w:t>
      </w:r>
    </w:p>
    <w:p>
      <w:pPr>
        <w:rPr>
          <w:color w:val="auto"/>
        </w:rPr>
      </w:pPr>
      <w:r>
        <w:rPr>
          <w:rFonts w:hint="eastAsia"/>
          <w:color w:val="auto"/>
        </w:rPr>
        <w:t xml:space="preserve">                                            </w:t>
      </w:r>
    </w:p>
    <w:p>
      <w:pPr>
        <w:rPr>
          <w:rFonts w:ascii="黑体" w:eastAsia="黑体"/>
          <w:color w:val="auto"/>
          <w:sz w:val="44"/>
          <w:szCs w:val="44"/>
        </w:rPr>
      </w:pPr>
      <w:r>
        <w:rPr>
          <w:rFonts w:hint="eastAsia" w:ascii="黑体" w:eastAsia="黑体"/>
          <w:color w:val="auto"/>
          <w:sz w:val="44"/>
          <w:szCs w:val="44"/>
        </w:rPr>
        <w:t xml:space="preserve"> </w:t>
      </w:r>
    </w:p>
    <w:p>
      <w:pPr>
        <w:jc w:val="center"/>
        <w:rPr>
          <w:rFonts w:ascii="黑体" w:eastAsia="黑体"/>
          <w:color w:val="auto"/>
          <w:sz w:val="44"/>
          <w:szCs w:val="44"/>
        </w:rPr>
      </w:pPr>
      <w:r>
        <w:rPr>
          <w:rFonts w:hint="eastAsia" w:ascii="黑体" w:eastAsia="黑体"/>
          <w:color w:val="auto"/>
          <w:sz w:val="44"/>
          <w:szCs w:val="44"/>
        </w:rPr>
        <w:t xml:space="preserve"> </w:t>
      </w:r>
    </w:p>
    <w:p>
      <w:pPr>
        <w:spacing w:line="360" w:lineRule="auto"/>
        <w:jc w:val="center"/>
        <w:rPr>
          <w:rFonts w:cs="宋体"/>
          <w:b/>
          <w:bCs/>
          <w:sz w:val="120"/>
          <w:szCs w:val="120"/>
        </w:rPr>
      </w:pPr>
      <w:r>
        <w:rPr>
          <w:rFonts w:hint="eastAsia" w:cs="宋体"/>
          <w:b/>
          <w:bCs/>
          <w:sz w:val="120"/>
          <w:szCs w:val="120"/>
        </w:rPr>
        <w:t>询比采购文件</w:t>
      </w:r>
    </w:p>
    <w:p>
      <w:pPr>
        <w:spacing w:line="360" w:lineRule="auto"/>
        <w:jc w:val="center"/>
        <w:rPr>
          <w:rFonts w:cs="宋体"/>
          <w:b/>
          <w:sz w:val="30"/>
          <w:szCs w:val="30"/>
        </w:rPr>
      </w:pPr>
    </w:p>
    <w:p>
      <w:pPr>
        <w:spacing w:line="360" w:lineRule="auto"/>
        <w:jc w:val="center"/>
        <w:rPr>
          <w:rFonts w:cs="宋体"/>
          <w:b/>
          <w:sz w:val="30"/>
          <w:szCs w:val="30"/>
        </w:rPr>
      </w:pPr>
    </w:p>
    <w:p>
      <w:pPr>
        <w:pStyle w:val="168"/>
      </w:pPr>
    </w:p>
    <w:p>
      <w:pPr>
        <w:pStyle w:val="168"/>
      </w:pPr>
    </w:p>
    <w:p>
      <w:pPr>
        <w:pStyle w:val="168"/>
        <w:rPr>
          <w:rFonts w:cs="宋体"/>
        </w:rPr>
      </w:pPr>
    </w:p>
    <w:p>
      <w:pPr>
        <w:pStyle w:val="168"/>
        <w:rPr>
          <w:rFonts w:cs="宋体"/>
        </w:rPr>
      </w:pPr>
    </w:p>
    <w:p>
      <w:pPr>
        <w:pStyle w:val="168"/>
        <w:rPr>
          <w:rFonts w:cs="宋体"/>
        </w:rPr>
      </w:pPr>
    </w:p>
    <w:p>
      <w:pPr>
        <w:pStyle w:val="168"/>
        <w:rPr>
          <w:rFonts w:cs="宋体"/>
        </w:rPr>
      </w:pPr>
    </w:p>
    <w:p>
      <w:pPr>
        <w:pStyle w:val="168"/>
        <w:rPr>
          <w:rFonts w:cs="宋体"/>
        </w:rPr>
      </w:pPr>
    </w:p>
    <w:p>
      <w:pPr>
        <w:pStyle w:val="168"/>
        <w:rPr>
          <w:rFonts w:cs="宋体"/>
        </w:rPr>
      </w:pPr>
    </w:p>
    <w:p>
      <w:pPr>
        <w:autoSpaceDE w:val="0"/>
        <w:autoSpaceDN w:val="0"/>
        <w:adjustRightInd w:val="0"/>
        <w:spacing w:line="360" w:lineRule="auto"/>
        <w:jc w:val="left"/>
        <w:rPr>
          <w:rFonts w:hint="default" w:cs="宋体"/>
          <w:kern w:val="0"/>
          <w:sz w:val="24"/>
          <w:szCs w:val="24"/>
          <w:lang w:val="en-US"/>
        </w:rPr>
      </w:pPr>
      <w:r>
        <w:rPr>
          <w:rFonts w:hint="eastAsia" w:cs="宋体"/>
          <w:b/>
          <w:sz w:val="32"/>
          <w:szCs w:val="32"/>
        </w:rPr>
        <w:t>采购项目编号：</w:t>
      </w:r>
      <w:r>
        <w:rPr>
          <w:rFonts w:hint="eastAsia" w:cs="宋体"/>
          <w:b/>
          <w:sz w:val="32"/>
          <w:szCs w:val="32"/>
          <w:lang w:val="en-US" w:eastAsia="zh-CN"/>
        </w:rPr>
        <w:t>QHZX-询比（货物）2022-054</w:t>
      </w:r>
    </w:p>
    <w:p>
      <w:pPr>
        <w:ind w:left="2249" w:hanging="2249" w:hangingChars="700"/>
        <w:jc w:val="left"/>
        <w:rPr>
          <w:rFonts w:cs="宋体"/>
          <w:b/>
          <w:sz w:val="32"/>
          <w:szCs w:val="32"/>
        </w:rPr>
      </w:pPr>
      <w:r>
        <w:rPr>
          <w:rFonts w:hint="eastAsia" w:cs="宋体"/>
          <w:b/>
          <w:sz w:val="32"/>
          <w:szCs w:val="32"/>
        </w:rPr>
        <w:t>采购项目名称：</w:t>
      </w:r>
      <w:r>
        <w:rPr>
          <w:rFonts w:hint="eastAsia" w:cs="宋体"/>
          <w:b/>
          <w:sz w:val="32"/>
          <w:szCs w:val="32"/>
          <w:lang w:val="en-US" w:eastAsia="zh-CN"/>
        </w:rPr>
        <w:t>青海民族大学采购安装经管大楼和艺术大楼室内窗帘项目</w:t>
      </w:r>
    </w:p>
    <w:p>
      <w:pPr>
        <w:autoSpaceDE w:val="0"/>
        <w:autoSpaceDN w:val="0"/>
        <w:adjustRightInd w:val="0"/>
        <w:spacing w:line="360" w:lineRule="auto"/>
        <w:jc w:val="left"/>
        <w:rPr>
          <w:rFonts w:cs="宋体"/>
        </w:rPr>
      </w:pPr>
      <w:r>
        <w:rPr>
          <w:rFonts w:hint="eastAsia" w:cs="宋体"/>
          <w:b/>
          <w:sz w:val="32"/>
          <w:szCs w:val="32"/>
        </w:rPr>
        <w:t>采   购   人：</w:t>
      </w:r>
      <w:r>
        <w:rPr>
          <w:rFonts w:hint="eastAsia" w:cs="宋体"/>
          <w:b/>
          <w:sz w:val="32"/>
          <w:szCs w:val="32"/>
          <w:lang w:val="en-US" w:eastAsia="zh-CN"/>
        </w:rPr>
        <w:t xml:space="preserve">青海民族大学  </w:t>
      </w:r>
    </w:p>
    <w:p>
      <w:pPr>
        <w:spacing w:line="360" w:lineRule="auto"/>
        <w:rPr>
          <w:rFonts w:cs="宋体"/>
          <w:b/>
          <w:bCs/>
          <w:kern w:val="0"/>
          <w:sz w:val="32"/>
          <w:szCs w:val="32"/>
        </w:rPr>
      </w:pPr>
      <w:r>
        <w:rPr>
          <w:rFonts w:hint="eastAsia" w:cs="宋体"/>
          <w:b/>
          <w:sz w:val="32"/>
          <w:szCs w:val="32"/>
        </w:rPr>
        <w:t>采购代理机构：青海中旭工程项目管理有限公司</w:t>
      </w:r>
    </w:p>
    <w:p>
      <w:pPr>
        <w:pStyle w:val="168"/>
        <w:ind w:firstLine="3534" w:firstLineChars="1100"/>
        <w:rPr>
          <w:rFonts w:cs="宋体"/>
          <w:b/>
          <w:bCs/>
          <w:kern w:val="0"/>
          <w:sz w:val="32"/>
          <w:szCs w:val="32"/>
        </w:rPr>
      </w:pPr>
    </w:p>
    <w:p>
      <w:pPr>
        <w:pStyle w:val="168"/>
        <w:rPr>
          <w:rFonts w:cs="宋体"/>
          <w:b/>
          <w:bCs/>
          <w:kern w:val="0"/>
          <w:sz w:val="32"/>
          <w:szCs w:val="32"/>
        </w:rPr>
      </w:pPr>
      <w:r>
        <w:rPr>
          <w:rFonts w:hint="eastAsia" w:cs="宋体"/>
          <w:b/>
          <w:bCs/>
          <w:kern w:val="0"/>
          <w:sz w:val="32"/>
          <w:szCs w:val="32"/>
        </w:rPr>
        <w:t>时        间：2022年</w:t>
      </w:r>
      <w:r>
        <w:rPr>
          <w:rFonts w:hint="eastAsia" w:cs="宋体"/>
          <w:b/>
          <w:bCs/>
          <w:kern w:val="0"/>
          <w:sz w:val="32"/>
          <w:szCs w:val="32"/>
          <w:lang w:val="en-US" w:eastAsia="zh-CN"/>
        </w:rPr>
        <w:t>12</w:t>
      </w:r>
      <w:r>
        <w:rPr>
          <w:rFonts w:hint="eastAsia" w:cs="宋体"/>
          <w:b/>
          <w:bCs/>
          <w:kern w:val="0"/>
          <w:sz w:val="32"/>
          <w:szCs w:val="32"/>
        </w:rPr>
        <w:t>月</w:t>
      </w:r>
    </w:p>
    <w:p>
      <w:pPr>
        <w:pStyle w:val="168"/>
        <w:rPr>
          <w:rFonts w:cs="宋体"/>
          <w:b/>
          <w:bCs/>
          <w:kern w:val="0"/>
          <w:sz w:val="32"/>
          <w:szCs w:val="32"/>
        </w:rPr>
      </w:pPr>
    </w:p>
    <w:p>
      <w:pPr>
        <w:pStyle w:val="168"/>
        <w:rPr>
          <w:rFonts w:cs="宋体"/>
          <w:b/>
          <w:bCs/>
          <w:kern w:val="0"/>
          <w:sz w:val="32"/>
          <w:szCs w:val="32"/>
        </w:rPr>
      </w:pPr>
    </w:p>
    <w:p>
      <w:pPr>
        <w:pStyle w:val="168"/>
        <w:ind w:firstLine="3534" w:firstLineChars="1100"/>
        <w:rPr>
          <w:rFonts w:cs="宋体"/>
          <w:b/>
          <w:bCs/>
          <w:kern w:val="0"/>
          <w:sz w:val="32"/>
          <w:szCs w:val="32"/>
        </w:rPr>
      </w:pPr>
    </w:p>
    <w:p>
      <w:pPr>
        <w:rPr>
          <w:color w:val="auto"/>
          <w:sz w:val="32"/>
          <w:szCs w:val="32"/>
        </w:rPr>
      </w:pPr>
    </w:p>
    <w:sdt>
      <w:sdtPr>
        <w:rPr>
          <w:sz w:val="28"/>
          <w:szCs w:val="28"/>
        </w:rPr>
        <w:id w:val="147458013"/>
        <w15:color w:val="DBDBDB"/>
        <w:docPartObj>
          <w:docPartGallery w:val="Table of Contents"/>
          <w:docPartUnique/>
        </w:docPartObj>
      </w:sdtPr>
      <w:sdtEndPr>
        <w:rPr>
          <w:rFonts w:hint="eastAsia"/>
          <w:color w:val="auto"/>
          <w:sz w:val="21"/>
          <w:szCs w:val="21"/>
        </w:rPr>
      </w:sdtEndPr>
      <w:sdtContent>
        <w:p>
          <w:pPr>
            <w:spacing w:line="240" w:lineRule="auto"/>
            <w:jc w:val="center"/>
            <w:rPr>
              <w:sz w:val="28"/>
              <w:szCs w:val="28"/>
            </w:rPr>
          </w:pPr>
          <w:r>
            <w:rPr>
              <w:sz w:val="28"/>
              <w:szCs w:val="28"/>
            </w:rPr>
            <w:t>目录</w:t>
          </w:r>
        </w:p>
        <w:p>
          <w:pPr>
            <w:pStyle w:val="171"/>
            <w:tabs>
              <w:tab w:val="right" w:leader="dot" w:pos="8820"/>
            </w:tabs>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"_Toc19059" </w:instrText>
          </w:r>
          <w:r>
            <w:fldChar w:fldCharType="separate"/>
          </w:r>
          <w:r>
            <w:rPr>
              <w:rFonts w:hint="eastAsia" w:ascii="宋体" w:hAnsi="宋体" w:cs="宋体"/>
              <w:sz w:val="28"/>
              <w:szCs w:val="28"/>
            </w:rPr>
            <w:t>第一章  询比采购公告</w:t>
          </w:r>
          <w:r>
            <w:rPr>
              <w:sz w:val="28"/>
              <w:szCs w:val="28"/>
            </w:rPr>
            <w:tab/>
          </w:r>
          <w:r>
            <w:rPr>
              <w:sz w:val="28"/>
              <w:szCs w:val="28"/>
            </w:rPr>
            <w:fldChar w:fldCharType="begin"/>
          </w:r>
          <w:r>
            <w:rPr>
              <w:sz w:val="28"/>
              <w:szCs w:val="28"/>
            </w:rPr>
            <w:instrText xml:space="preserve"> PAGEREF _Toc19059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"_Toc29844" </w:instrText>
          </w:r>
          <w:r>
            <w:fldChar w:fldCharType="separate"/>
          </w:r>
          <w:r>
            <w:rPr>
              <w:rFonts w:hint="eastAsia" w:ascii="宋体" w:hAnsi="宋体" w:cs="宋体"/>
              <w:sz w:val="28"/>
              <w:szCs w:val="28"/>
            </w:rPr>
            <w:t xml:space="preserve">第二章 </w:t>
          </w:r>
          <w:r>
            <w:rPr>
              <w:rFonts w:hint="eastAsia" w:ascii="宋体" w:hAnsi="宋体" w:cs="宋体"/>
              <w:sz w:val="28"/>
              <w:szCs w:val="28"/>
              <w:lang w:val="en-US" w:eastAsia="zh-CN"/>
            </w:rPr>
            <w:t xml:space="preserve"> </w:t>
          </w:r>
          <w:r>
            <w:rPr>
              <w:rFonts w:hint="eastAsia" w:ascii="宋体" w:hAnsi="宋体" w:cs="宋体"/>
              <w:sz w:val="28"/>
              <w:szCs w:val="28"/>
            </w:rPr>
            <w:t>供应商须知</w:t>
          </w:r>
          <w:r>
            <w:rPr>
              <w:sz w:val="28"/>
              <w:szCs w:val="28"/>
            </w:rPr>
            <w:tab/>
          </w:r>
          <w:r>
            <w:rPr>
              <w:sz w:val="28"/>
              <w:szCs w:val="28"/>
            </w:rPr>
            <w:fldChar w:fldCharType="begin"/>
          </w:r>
          <w:r>
            <w:rPr>
              <w:sz w:val="28"/>
              <w:szCs w:val="28"/>
            </w:rPr>
            <w:instrText xml:space="preserve"> PAGEREF _Toc29844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"_Toc11207" </w:instrText>
          </w:r>
          <w:r>
            <w:fldChar w:fldCharType="separate"/>
          </w:r>
          <w:r>
            <w:rPr>
              <w:rFonts w:hint="eastAsia"/>
              <w:sz w:val="28"/>
              <w:szCs w:val="28"/>
            </w:rPr>
            <w:t xml:space="preserve">第三章 </w:t>
          </w:r>
          <w:r>
            <w:rPr>
              <w:rFonts w:hint="eastAsia"/>
              <w:sz w:val="28"/>
              <w:szCs w:val="28"/>
              <w:lang w:val="en-US" w:eastAsia="zh-CN"/>
            </w:rPr>
            <w:t xml:space="preserve"> </w:t>
          </w:r>
          <w:r>
            <w:rPr>
              <w:rFonts w:hint="eastAsia"/>
              <w:sz w:val="28"/>
              <w:szCs w:val="28"/>
            </w:rPr>
            <w:t>评审办法</w:t>
          </w:r>
          <w:r>
            <w:rPr>
              <w:sz w:val="28"/>
              <w:szCs w:val="28"/>
            </w:rPr>
            <w:tab/>
          </w:r>
          <w:r>
            <w:rPr>
              <w:sz w:val="28"/>
              <w:szCs w:val="28"/>
            </w:rPr>
            <w:fldChar w:fldCharType="begin"/>
          </w:r>
          <w:r>
            <w:rPr>
              <w:sz w:val="28"/>
              <w:szCs w:val="28"/>
            </w:rPr>
            <w:instrText xml:space="preserve"> PAGEREF _Toc11207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"_Toc11137" </w:instrText>
          </w:r>
          <w:r>
            <w:fldChar w:fldCharType="separate"/>
          </w:r>
          <w:r>
            <w:rPr>
              <w:rFonts w:hint="eastAsia"/>
              <w:sz w:val="28"/>
              <w:szCs w:val="28"/>
            </w:rPr>
            <w:t>第四章  合同条款及格式</w:t>
          </w:r>
          <w:r>
            <w:rPr>
              <w:sz w:val="28"/>
              <w:szCs w:val="28"/>
            </w:rPr>
            <w:tab/>
          </w:r>
          <w:r>
            <w:rPr>
              <w:sz w:val="28"/>
              <w:szCs w:val="28"/>
            </w:rPr>
            <w:fldChar w:fldCharType="begin"/>
          </w:r>
          <w:r>
            <w:rPr>
              <w:sz w:val="28"/>
              <w:szCs w:val="28"/>
            </w:rPr>
            <w:instrText xml:space="preserve"> PAGEREF _Toc11137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"_Toc24522" </w:instrText>
          </w:r>
          <w:r>
            <w:fldChar w:fldCharType="separate"/>
          </w:r>
          <w:r>
            <w:rPr>
              <w:rFonts w:hint="eastAsia"/>
              <w:sz w:val="28"/>
              <w:szCs w:val="28"/>
            </w:rPr>
            <w:t xml:space="preserve">第五章  </w:t>
          </w:r>
          <w:r>
            <w:rPr>
              <w:rFonts w:hint="eastAsia"/>
              <w:bCs/>
              <w:sz w:val="28"/>
              <w:szCs w:val="28"/>
            </w:rPr>
            <w:t>响应文件格式</w:t>
          </w:r>
          <w:r>
            <w:rPr>
              <w:sz w:val="28"/>
              <w:szCs w:val="28"/>
            </w:rPr>
            <w:tab/>
          </w:r>
          <w:r>
            <w:rPr>
              <w:sz w:val="28"/>
              <w:szCs w:val="28"/>
            </w:rPr>
            <w:fldChar w:fldCharType="begin"/>
          </w:r>
          <w:r>
            <w:rPr>
              <w:sz w:val="28"/>
              <w:szCs w:val="28"/>
            </w:rPr>
            <w:instrText xml:space="preserve"> PAGEREF _Toc24522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71"/>
            <w:tabs>
              <w:tab w:val="right" w:leader="dot" w:pos="8820"/>
            </w:tabs>
            <w:rPr>
              <w:sz w:val="28"/>
              <w:szCs w:val="28"/>
            </w:rPr>
          </w:pPr>
          <w:r>
            <w:fldChar w:fldCharType="begin"/>
          </w:r>
          <w:r>
            <w:instrText xml:space="preserve"> HYPERLINK \l "_Toc26974" </w:instrText>
          </w:r>
          <w:r>
            <w:fldChar w:fldCharType="separate"/>
          </w:r>
          <w:r>
            <w:rPr>
              <w:rFonts w:hint="eastAsia" w:asciiTheme="minorEastAsia" w:hAnsiTheme="minorEastAsia" w:eastAsiaTheme="minorEastAsia" w:cstheme="minorEastAsia"/>
              <w:sz w:val="28"/>
              <w:szCs w:val="28"/>
              <w:lang w:val="zh-CN"/>
            </w:rPr>
            <w:t xml:space="preserve">第六章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rPr>
            <w:t>采购项目要求及技术参数</w:t>
          </w:r>
          <w:r>
            <w:rPr>
              <w:sz w:val="28"/>
              <w:szCs w:val="28"/>
            </w:rPr>
            <w:tab/>
          </w:r>
          <w:r>
            <w:rPr>
              <w:sz w:val="28"/>
              <w:szCs w:val="28"/>
            </w:rPr>
            <w:fldChar w:fldCharType="begin"/>
          </w:r>
          <w:r>
            <w:rPr>
              <w:sz w:val="28"/>
              <w:szCs w:val="28"/>
            </w:rPr>
            <w:instrText xml:space="preserve"> PAGEREF _Toc26974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171"/>
            <w:tabs>
              <w:tab w:val="right" w:leader="dot" w:pos="8820"/>
            </w:tabs>
            <w:rPr>
              <w:sz w:val="28"/>
              <w:szCs w:val="28"/>
            </w:rPr>
          </w:pPr>
        </w:p>
        <w:p>
          <w:pPr>
            <w:spacing w:line="380" w:lineRule="exact"/>
            <w:rPr>
              <w:color w:val="auto"/>
            </w:rPr>
          </w:pPr>
          <w:r>
            <w:rPr>
              <w:rFonts w:hint="eastAsia"/>
              <w:color w:val="auto"/>
              <w:sz w:val="28"/>
              <w:szCs w:val="28"/>
            </w:rPr>
            <w:fldChar w:fldCharType="end"/>
          </w:r>
        </w:p>
      </w:sdtContent>
    </w:sdt>
    <w:p>
      <w:pPr>
        <w:rPr>
          <w:color w:val="auto"/>
        </w:rPr>
      </w:pPr>
    </w:p>
    <w:p>
      <w:pPr>
        <w:rPr>
          <w:color w:val="auto"/>
        </w:rPr>
      </w:pPr>
    </w:p>
    <w:p>
      <w:pPr>
        <w:rPr>
          <w:rFonts w:cs="宋体"/>
          <w:sz w:val="36"/>
          <w:szCs w:val="36"/>
        </w:rPr>
      </w:pPr>
      <w:r>
        <w:rPr>
          <w:rFonts w:hint="eastAsia" w:cs="宋体"/>
          <w:sz w:val="36"/>
          <w:szCs w:val="36"/>
        </w:rPr>
        <w:br w:type="page"/>
      </w:r>
    </w:p>
    <w:p>
      <w:pPr>
        <w:pStyle w:val="3"/>
        <w:spacing w:line="264" w:lineRule="auto"/>
        <w:jc w:val="center"/>
        <w:rPr>
          <w:rFonts w:ascii="宋体" w:hAnsi="宋体" w:cs="宋体"/>
          <w:sz w:val="36"/>
          <w:szCs w:val="36"/>
        </w:rPr>
      </w:pPr>
      <w:bookmarkStart w:id="0" w:name="_Toc19059"/>
      <w:r>
        <w:rPr>
          <w:rFonts w:hint="eastAsia" w:ascii="宋体" w:hAnsi="宋体" w:cs="宋体"/>
          <w:sz w:val="36"/>
          <w:szCs w:val="36"/>
        </w:rPr>
        <w:t>第一部分  询比采购公告</w:t>
      </w:r>
      <w:bookmarkEnd w:id="0"/>
    </w:p>
    <w:p>
      <w:pPr>
        <w:autoSpaceDE w:val="0"/>
        <w:autoSpaceDN w:val="0"/>
        <w:adjustRightInd w:val="0"/>
        <w:spacing w:line="360" w:lineRule="auto"/>
        <w:ind w:firstLine="480" w:firstLineChars="200"/>
        <w:jc w:val="left"/>
        <w:rPr>
          <w:rFonts w:cs="宋体"/>
          <w:kern w:val="0"/>
          <w:sz w:val="24"/>
          <w:szCs w:val="24"/>
          <w:lang w:val="zh-CN"/>
        </w:rPr>
      </w:pPr>
      <w:r>
        <w:rPr>
          <w:rFonts w:hint="eastAsia" w:cs="宋体"/>
          <w:kern w:val="0"/>
          <w:sz w:val="24"/>
          <w:szCs w:val="24"/>
          <w:lang w:val="zh-CN"/>
        </w:rPr>
        <w:t>青海中旭工程项目管理有限公司受</w:t>
      </w:r>
      <w:r>
        <w:rPr>
          <w:rFonts w:hint="eastAsia" w:cs="宋体"/>
          <w:kern w:val="0"/>
          <w:sz w:val="24"/>
          <w:szCs w:val="24"/>
          <w:u w:val="single"/>
          <w:lang w:val="en-US" w:eastAsia="zh-CN"/>
        </w:rPr>
        <w:t>青海民族大学</w:t>
      </w:r>
      <w:r>
        <w:rPr>
          <w:rFonts w:hint="eastAsia" w:cs="宋体"/>
          <w:kern w:val="0"/>
          <w:sz w:val="24"/>
          <w:szCs w:val="24"/>
          <w:lang w:val="zh-CN"/>
        </w:rPr>
        <w:t>的委托,拟对“</w:t>
      </w:r>
      <w:r>
        <w:rPr>
          <w:rFonts w:hint="eastAsia" w:cs="宋体"/>
          <w:kern w:val="0"/>
          <w:sz w:val="24"/>
          <w:szCs w:val="24"/>
          <w:u w:val="single"/>
          <w:lang w:val="en-US" w:eastAsia="zh-CN"/>
        </w:rPr>
        <w:t>青海民族大学采购安装经管大楼和艺术大楼窗帘采购项目</w:t>
      </w:r>
      <w:r>
        <w:rPr>
          <w:rFonts w:hint="eastAsia" w:cs="宋体"/>
          <w:kern w:val="0"/>
          <w:sz w:val="24"/>
          <w:szCs w:val="24"/>
          <w:lang w:val="zh-CN"/>
        </w:rPr>
        <w:t>”进行国内询比</w:t>
      </w:r>
      <w:r>
        <w:rPr>
          <w:rFonts w:hint="eastAsia" w:cs="宋体"/>
          <w:kern w:val="0"/>
          <w:sz w:val="24"/>
          <w:szCs w:val="24"/>
        </w:rPr>
        <w:t>采购活动</w:t>
      </w:r>
      <w:r>
        <w:rPr>
          <w:rFonts w:hint="eastAsia" w:cs="宋体"/>
          <w:kern w:val="0"/>
          <w:sz w:val="24"/>
          <w:szCs w:val="24"/>
          <w:lang w:val="zh-CN"/>
        </w:rPr>
        <w:t>，现公开邀请</w:t>
      </w:r>
      <w:r>
        <w:rPr>
          <w:rFonts w:hint="eastAsia" w:cs="宋体"/>
          <w:kern w:val="0"/>
          <w:sz w:val="24"/>
          <w:szCs w:val="24"/>
        </w:rPr>
        <w:t>供应商</w:t>
      </w:r>
      <w:r>
        <w:rPr>
          <w:rFonts w:hint="eastAsia" w:cs="宋体"/>
          <w:kern w:val="0"/>
          <w:sz w:val="24"/>
          <w:szCs w:val="24"/>
          <w:lang w:val="zh-CN"/>
        </w:rPr>
        <w:t>参加本次活动。</w:t>
      </w:r>
    </w:p>
    <w:tbl>
      <w:tblPr>
        <w:tblStyle w:val="48"/>
        <w:tblW w:w="9223" w:type="dxa"/>
        <w:jc w:val="center"/>
        <w:tblLayout w:type="fixed"/>
        <w:tblCellMar>
          <w:top w:w="0" w:type="dxa"/>
          <w:left w:w="108" w:type="dxa"/>
          <w:bottom w:w="0" w:type="dxa"/>
          <w:right w:w="108" w:type="dxa"/>
        </w:tblCellMar>
      </w:tblPr>
      <w:tblGrid>
        <w:gridCol w:w="2683"/>
        <w:gridCol w:w="6540"/>
      </w:tblGrid>
      <w:tr>
        <w:tblPrEx>
          <w:tblCellMar>
            <w:top w:w="0" w:type="dxa"/>
            <w:left w:w="108" w:type="dxa"/>
            <w:bottom w:w="0" w:type="dxa"/>
            <w:right w:w="108" w:type="dxa"/>
          </w:tblCellMar>
        </w:tblPrEx>
        <w:trPr>
          <w:trHeight w:val="8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项目名称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en-US" w:eastAsia="zh-CN"/>
              </w:rPr>
              <w:t>青海民族大学采购安装经管大楼和艺术大楼室内窗帘项目</w:t>
            </w:r>
          </w:p>
        </w:tc>
      </w:tr>
      <w:tr>
        <w:tblPrEx>
          <w:tblCellMar>
            <w:top w:w="0" w:type="dxa"/>
            <w:left w:w="108" w:type="dxa"/>
            <w:bottom w:w="0" w:type="dxa"/>
            <w:right w:w="108" w:type="dxa"/>
          </w:tblCellMar>
        </w:tblPrEx>
        <w:trPr>
          <w:trHeight w:val="510"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项目编号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en-US" w:eastAsia="zh-CN"/>
              </w:rPr>
              <w:t>QHZX-询比（货物）2022-054</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招标方式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w:t>
            </w:r>
            <w:r>
              <w:rPr>
                <w:rFonts w:hint="eastAsia" w:cs="宋体"/>
                <w:kern w:val="0"/>
                <w:sz w:val="24"/>
                <w:szCs w:val="24"/>
              </w:rPr>
              <w:t>采购</w:t>
            </w:r>
          </w:p>
        </w:tc>
      </w:tr>
      <w:tr>
        <w:tblPrEx>
          <w:tblCellMar>
            <w:top w:w="0" w:type="dxa"/>
            <w:left w:w="108" w:type="dxa"/>
            <w:bottom w:w="0" w:type="dxa"/>
            <w:right w:w="108" w:type="dxa"/>
          </w:tblCellMar>
        </w:tblPrEx>
        <w:trPr>
          <w:trHeight w:val="8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招标预算控制额度</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left"/>
              <w:rPr>
                <w:rFonts w:ascii="Arial" w:hAnsi="Arial" w:cs="Arial"/>
                <w:sz w:val="24"/>
                <w:lang w:val="zh-CN"/>
              </w:rPr>
            </w:pPr>
            <w:r>
              <w:rPr>
                <w:rFonts w:hint="eastAsia" w:cs="宋体"/>
                <w:bCs/>
                <w:iCs/>
                <w:color w:val="auto"/>
                <w:sz w:val="24"/>
                <w:szCs w:val="24"/>
                <w:lang w:val="zh-CN"/>
              </w:rPr>
              <w:t>人民币</w:t>
            </w:r>
            <w:r>
              <w:rPr>
                <w:rFonts w:hint="eastAsia" w:cs="宋体"/>
                <w:bCs/>
                <w:iCs/>
                <w:color w:val="auto"/>
                <w:sz w:val="24"/>
                <w:szCs w:val="24"/>
                <w:lang w:val="en-US" w:eastAsia="zh-CN"/>
              </w:rPr>
              <w:t>180930</w:t>
            </w:r>
            <w:r>
              <w:rPr>
                <w:rFonts w:hint="eastAsia" w:cs="宋体"/>
                <w:bCs/>
                <w:iCs/>
                <w:color w:val="auto"/>
                <w:sz w:val="24"/>
                <w:szCs w:val="24"/>
              </w:rPr>
              <w:t>.00</w:t>
            </w:r>
            <w:r>
              <w:rPr>
                <w:rFonts w:hint="eastAsia" w:cs="宋体"/>
                <w:bCs/>
                <w:iCs/>
                <w:color w:val="auto"/>
                <w:sz w:val="24"/>
                <w:szCs w:val="24"/>
                <w:lang w:val="zh-CN"/>
              </w:rPr>
              <w:t>元（大写：</w:t>
            </w:r>
            <w:r>
              <w:rPr>
                <w:rFonts w:hint="eastAsia" w:cs="宋体"/>
                <w:bCs/>
                <w:iCs/>
                <w:color w:val="auto"/>
                <w:sz w:val="24"/>
                <w:szCs w:val="24"/>
                <w:lang w:val="en-US" w:eastAsia="zh-CN"/>
              </w:rPr>
              <w:t>壹拾捌万零玖佰叁拾元整</w:t>
            </w:r>
            <w:r>
              <w:rPr>
                <w:rFonts w:hint="eastAsia" w:cs="宋体"/>
                <w:bCs/>
                <w:iCs/>
                <w:color w:val="auto"/>
                <w:sz w:val="24"/>
                <w:szCs w:val="24"/>
                <w:lang w:val="zh-CN"/>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项目要求</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具体内容详见《询比</w:t>
            </w:r>
            <w:r>
              <w:rPr>
                <w:rFonts w:hint="eastAsia" w:cs="宋体"/>
                <w:kern w:val="0"/>
                <w:sz w:val="24"/>
                <w:szCs w:val="24"/>
              </w:rPr>
              <w:t>采购</w:t>
            </w:r>
            <w:r>
              <w:rPr>
                <w:rFonts w:hint="eastAsia" w:cs="宋体"/>
                <w:kern w:val="0"/>
                <w:sz w:val="24"/>
                <w:szCs w:val="24"/>
                <w:lang w:val="zh-CN"/>
              </w:rPr>
              <w:t>文件》</w:t>
            </w:r>
          </w:p>
        </w:tc>
      </w:tr>
      <w:tr>
        <w:tblPrEx>
          <w:tblCellMar>
            <w:top w:w="0" w:type="dxa"/>
            <w:left w:w="108" w:type="dxa"/>
            <w:bottom w:w="0" w:type="dxa"/>
            <w:right w:w="108" w:type="dxa"/>
          </w:tblCellMar>
        </w:tblPrEx>
        <w:trPr>
          <w:trHeight w:val="59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供应商资格条件、能力和信誉</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1.资质要求：本次</w:t>
            </w:r>
            <w:r>
              <w:rPr>
                <w:rFonts w:hint="eastAsia" w:cs="宋体"/>
                <w:color w:val="000000" w:themeColor="text1"/>
                <w:kern w:val="0"/>
                <w:sz w:val="24"/>
                <w:szCs w:val="24"/>
                <w14:textFill>
                  <w14:solidFill>
                    <w14:schemeClr w14:val="tx1"/>
                  </w14:solidFill>
                </w14:textFill>
              </w:rPr>
              <w:t>采购</w:t>
            </w:r>
            <w:r>
              <w:rPr>
                <w:rFonts w:hint="eastAsia" w:cs="宋体"/>
                <w:color w:val="000000" w:themeColor="text1"/>
                <w:kern w:val="0"/>
                <w:sz w:val="24"/>
                <w:szCs w:val="24"/>
                <w:lang w:val="zh-CN"/>
                <w14:textFill>
                  <w14:solidFill>
                    <w14:schemeClr w14:val="tx1"/>
                  </w14:solidFill>
                </w14:textFill>
              </w:rPr>
              <w:t xml:space="preserve">要求供应商须具备独立企业法人资格，并在人员、设备、资金等方面具备相应的能力； </w:t>
            </w:r>
          </w:p>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2.经信用中国（www.creditchina.gov.cn）查询后，列入失信被执行人、重大税收违法案件当事人名单、招投标活动严重违法失信行为记录名单的，取消投标资格。（提供“信用中国”网站无任何不良记录的查询截图，时间为投标截止时间前20天内）</w:t>
            </w:r>
          </w:p>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3.本次询比不接受最高人民法院等九部委联合下发的[2016]285号文中所指的失信被执行人；</w:t>
            </w:r>
          </w:p>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lang w:val="zh-CN"/>
                <w14:textFill>
                  <w14:solidFill>
                    <w14:schemeClr w14:val="tx1"/>
                  </w14:solidFill>
                </w14:textFill>
              </w:rPr>
              <w:t xml:space="preserve">4.本次询比不接受联合体投标。 </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color w:val="000000" w:themeColor="text1"/>
                <w:kern w:val="0"/>
                <w:sz w:val="24"/>
                <w:szCs w:val="24"/>
                <w:lang w:val="zh-CN"/>
                <w14:textFill>
                  <w14:solidFill>
                    <w14:schemeClr w14:val="tx1"/>
                  </w14:solidFill>
                </w14:textFill>
              </w:rPr>
            </w:pPr>
            <w:r>
              <w:rPr>
                <w:rFonts w:hint="eastAsia" w:cs="宋体"/>
                <w:color w:val="000000" w:themeColor="text1"/>
                <w:kern w:val="0"/>
                <w:sz w:val="24"/>
                <w:szCs w:val="24"/>
                <w14:textFill>
                  <w14:solidFill>
                    <w14:schemeClr w14:val="tx1"/>
                  </w14:solidFill>
                </w14:textFill>
              </w:rPr>
              <w:t>询比采购</w:t>
            </w:r>
            <w:r>
              <w:rPr>
                <w:rFonts w:hint="eastAsia" w:cs="宋体"/>
                <w:color w:val="000000" w:themeColor="text1"/>
                <w:kern w:val="0"/>
                <w:sz w:val="24"/>
                <w:szCs w:val="24"/>
                <w:lang w:val="zh-CN"/>
                <w14:textFill>
                  <w14:solidFill>
                    <w14:schemeClr w14:val="tx1"/>
                  </w14:solidFill>
                </w14:textFill>
              </w:rPr>
              <w:t>公告发布时间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color w:val="000000" w:themeColor="text1"/>
                <w:kern w:val="0"/>
                <w:sz w:val="24"/>
                <w:szCs w:val="24"/>
                <w:highlight w:val="yellow"/>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2022年</w:t>
            </w:r>
            <w:r>
              <w:rPr>
                <w:rFonts w:hint="eastAsia" w:cs="宋体"/>
                <w:color w:val="000000" w:themeColor="text1"/>
                <w:kern w:val="0"/>
                <w:sz w:val="24"/>
                <w:szCs w:val="24"/>
                <w:highlight w:val="none"/>
                <w:lang w:val="en-US" w:eastAsia="zh-CN"/>
                <w14:textFill>
                  <w14:solidFill>
                    <w14:schemeClr w14:val="tx1"/>
                  </w14:solidFill>
                </w14:textFill>
              </w:rPr>
              <w:t>12</w:t>
            </w:r>
            <w:r>
              <w:rPr>
                <w:rFonts w:hint="eastAsia" w:cs="宋体"/>
                <w:color w:val="000000" w:themeColor="text1"/>
                <w:kern w:val="0"/>
                <w:sz w:val="24"/>
                <w:szCs w:val="24"/>
                <w:highlight w:val="none"/>
                <w14:textFill>
                  <w14:solidFill>
                    <w14:schemeClr w14:val="tx1"/>
                  </w14:solidFill>
                </w14:textFill>
              </w:rPr>
              <w:t>月</w:t>
            </w:r>
            <w:r>
              <w:rPr>
                <w:rFonts w:hint="eastAsia" w:cs="宋体"/>
                <w:color w:val="000000" w:themeColor="text1"/>
                <w:kern w:val="0"/>
                <w:sz w:val="24"/>
                <w:szCs w:val="24"/>
                <w:highlight w:val="none"/>
                <w:lang w:val="en-US" w:eastAsia="zh-CN"/>
                <w14:textFill>
                  <w14:solidFill>
                    <w14:schemeClr w14:val="tx1"/>
                  </w14:solidFill>
                </w14:textFill>
              </w:rPr>
              <w:t>08</w:t>
            </w:r>
            <w:r>
              <w:rPr>
                <w:rFonts w:hint="eastAsia" w:cs="宋体"/>
                <w:color w:val="000000" w:themeColor="text1"/>
                <w:kern w:val="0"/>
                <w:sz w:val="24"/>
                <w:szCs w:val="24"/>
                <w:highlight w:val="none"/>
                <w14:textFill>
                  <w14:solidFill>
                    <w14:schemeClr w14:val="tx1"/>
                  </w14:solidFill>
                </w14:textFill>
              </w:rPr>
              <w:t>日</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询比采购文件发售起止</w:t>
            </w:r>
            <w:r>
              <w:rPr>
                <w:rFonts w:hint="eastAsia" w:cs="宋体"/>
                <w:kern w:val="0"/>
                <w:sz w:val="24"/>
                <w:szCs w:val="24"/>
              </w:rPr>
              <w:t>时</w:t>
            </w:r>
            <w:r>
              <w:rPr>
                <w:rFonts w:hint="eastAsia" w:cs="宋体"/>
                <w:kern w:val="0"/>
                <w:sz w:val="24"/>
                <w:szCs w:val="24"/>
                <w:lang w:val="zh-CN"/>
              </w:rPr>
              <w:t>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highlight w:val="yellow"/>
              </w:rPr>
            </w:pPr>
            <w:r>
              <w:rPr>
                <w:rFonts w:hint="eastAsia" w:cs="宋体"/>
                <w:color w:val="000000" w:themeColor="text1"/>
                <w:kern w:val="0"/>
                <w:sz w:val="24"/>
                <w:szCs w:val="24"/>
                <w:highlight w:val="none"/>
                <w:lang w:val="zh-CN"/>
                <w14:textFill>
                  <w14:solidFill>
                    <w14:schemeClr w14:val="tx1"/>
                  </w14:solidFill>
                </w14:textFill>
              </w:rPr>
              <w:t>202</w:t>
            </w:r>
            <w:r>
              <w:rPr>
                <w:rFonts w:hint="eastAsia" w:cs="宋体"/>
                <w:color w:val="000000" w:themeColor="text1"/>
                <w:kern w:val="0"/>
                <w:sz w:val="24"/>
                <w:szCs w:val="24"/>
                <w:highlight w:val="none"/>
                <w14:textFill>
                  <w14:solidFill>
                    <w14:schemeClr w14:val="tx1"/>
                  </w14:solidFill>
                </w14:textFill>
              </w:rPr>
              <w:t>2</w:t>
            </w:r>
            <w:r>
              <w:rPr>
                <w:rFonts w:hint="eastAsia" w:cs="宋体"/>
                <w:color w:val="000000" w:themeColor="text1"/>
                <w:kern w:val="0"/>
                <w:sz w:val="24"/>
                <w:szCs w:val="24"/>
                <w:highlight w:val="none"/>
                <w:lang w:val="zh-CN"/>
                <w14:textFill>
                  <w14:solidFill>
                    <w14:schemeClr w14:val="tx1"/>
                  </w14:solidFill>
                </w14:textFill>
              </w:rPr>
              <w:t>年</w:t>
            </w:r>
            <w:r>
              <w:rPr>
                <w:rFonts w:hint="eastAsia" w:cs="宋体"/>
                <w:color w:val="000000" w:themeColor="text1"/>
                <w:kern w:val="0"/>
                <w:sz w:val="24"/>
                <w:szCs w:val="24"/>
                <w:highlight w:val="none"/>
                <w:lang w:val="en-US" w:eastAsia="zh-CN"/>
                <w14:textFill>
                  <w14:solidFill>
                    <w14:schemeClr w14:val="tx1"/>
                  </w14:solidFill>
                </w14:textFill>
              </w:rPr>
              <w:t>12</w:t>
            </w:r>
            <w:r>
              <w:rPr>
                <w:rFonts w:hint="eastAsia" w:cs="宋体"/>
                <w:color w:val="000000" w:themeColor="text1"/>
                <w:kern w:val="0"/>
                <w:sz w:val="24"/>
                <w:szCs w:val="24"/>
                <w:highlight w:val="none"/>
                <w:lang w:val="zh-CN"/>
                <w14:textFill>
                  <w14:solidFill>
                    <w14:schemeClr w14:val="tx1"/>
                  </w14:solidFill>
                </w14:textFill>
              </w:rPr>
              <w:t>月</w:t>
            </w:r>
            <w:r>
              <w:rPr>
                <w:rFonts w:hint="eastAsia" w:cs="宋体"/>
                <w:color w:val="000000" w:themeColor="text1"/>
                <w:kern w:val="0"/>
                <w:sz w:val="24"/>
                <w:szCs w:val="24"/>
                <w:highlight w:val="none"/>
                <w:lang w:val="en-US" w:eastAsia="zh-CN"/>
                <w14:textFill>
                  <w14:solidFill>
                    <w14:schemeClr w14:val="tx1"/>
                  </w14:solidFill>
                </w14:textFill>
              </w:rPr>
              <w:t>09</w:t>
            </w:r>
            <w:r>
              <w:rPr>
                <w:rFonts w:hint="eastAsia" w:cs="宋体"/>
                <w:color w:val="000000" w:themeColor="text1"/>
                <w:kern w:val="0"/>
                <w:sz w:val="24"/>
                <w:szCs w:val="24"/>
                <w:highlight w:val="none"/>
                <w:lang w:val="zh-CN"/>
                <w14:textFill>
                  <w14:solidFill>
                    <w14:schemeClr w14:val="tx1"/>
                  </w14:solidFill>
                </w14:textFill>
              </w:rPr>
              <w:t>日至202</w:t>
            </w:r>
            <w:r>
              <w:rPr>
                <w:rFonts w:hint="eastAsia" w:cs="宋体"/>
                <w:color w:val="000000" w:themeColor="text1"/>
                <w:kern w:val="0"/>
                <w:sz w:val="24"/>
                <w:szCs w:val="24"/>
                <w:highlight w:val="none"/>
                <w14:textFill>
                  <w14:solidFill>
                    <w14:schemeClr w14:val="tx1"/>
                  </w14:solidFill>
                </w14:textFill>
              </w:rPr>
              <w:t>2</w:t>
            </w:r>
            <w:r>
              <w:rPr>
                <w:rFonts w:hint="eastAsia" w:cs="宋体"/>
                <w:color w:val="000000" w:themeColor="text1"/>
                <w:kern w:val="0"/>
                <w:sz w:val="24"/>
                <w:szCs w:val="24"/>
                <w:highlight w:val="none"/>
                <w:lang w:val="zh-CN"/>
                <w14:textFill>
                  <w14:solidFill>
                    <w14:schemeClr w14:val="tx1"/>
                  </w14:solidFill>
                </w14:textFill>
              </w:rPr>
              <w:t>年</w:t>
            </w:r>
            <w:r>
              <w:rPr>
                <w:rFonts w:hint="eastAsia" w:cs="宋体"/>
                <w:color w:val="000000" w:themeColor="text1"/>
                <w:kern w:val="0"/>
                <w:sz w:val="24"/>
                <w:szCs w:val="24"/>
                <w:highlight w:val="none"/>
                <w:lang w:val="en-US" w:eastAsia="zh-CN"/>
                <w14:textFill>
                  <w14:solidFill>
                    <w14:schemeClr w14:val="tx1"/>
                  </w14:solidFill>
                </w14:textFill>
              </w:rPr>
              <w:t>12</w:t>
            </w:r>
            <w:r>
              <w:rPr>
                <w:rFonts w:hint="eastAsia" w:cs="宋体"/>
                <w:color w:val="000000" w:themeColor="text1"/>
                <w:kern w:val="0"/>
                <w:sz w:val="24"/>
                <w:szCs w:val="24"/>
                <w:highlight w:val="none"/>
                <w:lang w:val="zh-CN"/>
                <w14:textFill>
                  <w14:solidFill>
                    <w14:schemeClr w14:val="tx1"/>
                  </w14:solidFill>
                </w14:textFill>
              </w:rPr>
              <w:t>月</w:t>
            </w:r>
            <w:r>
              <w:rPr>
                <w:rFonts w:hint="eastAsia" w:cs="宋体"/>
                <w:color w:val="000000" w:themeColor="text1"/>
                <w:kern w:val="0"/>
                <w:sz w:val="24"/>
                <w:szCs w:val="24"/>
                <w:highlight w:val="none"/>
                <w:lang w:val="en-US" w:eastAsia="zh-CN"/>
                <w14:textFill>
                  <w14:solidFill>
                    <w14:schemeClr w14:val="tx1"/>
                  </w14:solidFill>
                </w14:textFill>
              </w:rPr>
              <w:t>15</w:t>
            </w:r>
            <w:r>
              <w:rPr>
                <w:rFonts w:hint="eastAsia" w:cs="宋体"/>
                <w:color w:val="000000" w:themeColor="text1"/>
                <w:kern w:val="0"/>
                <w:sz w:val="24"/>
                <w:szCs w:val="24"/>
                <w:highlight w:val="none"/>
                <w:lang w:val="zh-CN"/>
                <w14:textFill>
                  <w14:solidFill>
                    <w14:schemeClr w14:val="tx1"/>
                  </w14:solidFill>
                </w14:textFill>
              </w:rPr>
              <w:t>日，上午9：</w:t>
            </w:r>
            <w:r>
              <w:rPr>
                <w:rFonts w:hint="eastAsia" w:cs="宋体"/>
                <w:color w:val="000000" w:themeColor="text1"/>
                <w:kern w:val="0"/>
                <w:sz w:val="24"/>
                <w:szCs w:val="24"/>
                <w:highlight w:val="none"/>
                <w14:textFill>
                  <w14:solidFill>
                    <w14:schemeClr w14:val="tx1"/>
                  </w14:solidFill>
                </w14:textFill>
              </w:rPr>
              <w:t>30</w:t>
            </w:r>
            <w:r>
              <w:rPr>
                <w:rFonts w:hint="eastAsia" w:cs="宋体"/>
                <w:color w:val="000000" w:themeColor="text1"/>
                <w:kern w:val="0"/>
                <w:sz w:val="24"/>
                <w:szCs w:val="24"/>
                <w:highlight w:val="none"/>
                <w:lang w:val="zh-CN"/>
                <w14:textFill>
                  <w14:solidFill>
                    <w14:schemeClr w14:val="tx1"/>
                  </w14:solidFill>
                </w14:textFill>
              </w:rPr>
              <w:t>-12：00,下午1</w:t>
            </w:r>
            <w:r>
              <w:rPr>
                <w:rFonts w:hint="eastAsia" w:cs="宋体"/>
                <w:color w:val="000000" w:themeColor="text1"/>
                <w:kern w:val="0"/>
                <w:sz w:val="24"/>
                <w:szCs w:val="24"/>
                <w:highlight w:val="none"/>
                <w14:textFill>
                  <w14:solidFill>
                    <w14:schemeClr w14:val="tx1"/>
                  </w14:solidFill>
                </w14:textFill>
              </w:rPr>
              <w:t>3</w:t>
            </w:r>
            <w:r>
              <w:rPr>
                <w:rFonts w:hint="eastAsia" w:cs="宋体"/>
                <w:color w:val="000000" w:themeColor="text1"/>
                <w:kern w:val="0"/>
                <w:sz w:val="24"/>
                <w:szCs w:val="24"/>
                <w:highlight w:val="none"/>
                <w:lang w:val="zh-CN"/>
                <w14:textFill>
                  <w14:solidFill>
                    <w14:schemeClr w14:val="tx1"/>
                  </w14:solidFill>
                </w14:textFill>
              </w:rPr>
              <w:t>：</w:t>
            </w:r>
            <w:r>
              <w:rPr>
                <w:rFonts w:hint="eastAsia" w:cs="宋体"/>
                <w:color w:val="000000" w:themeColor="text1"/>
                <w:kern w:val="0"/>
                <w:sz w:val="24"/>
                <w:szCs w:val="24"/>
                <w:highlight w:val="none"/>
                <w14:textFill>
                  <w14:solidFill>
                    <w14:schemeClr w14:val="tx1"/>
                  </w14:solidFill>
                </w14:textFill>
              </w:rPr>
              <w:t>3</w:t>
            </w:r>
            <w:r>
              <w:rPr>
                <w:rFonts w:hint="eastAsia" w:cs="宋体"/>
                <w:color w:val="000000" w:themeColor="text1"/>
                <w:kern w:val="0"/>
                <w:sz w:val="24"/>
                <w:szCs w:val="24"/>
                <w:highlight w:val="none"/>
                <w:lang w:val="zh-CN"/>
                <w14:textFill>
                  <w14:solidFill>
                    <w14:schemeClr w14:val="tx1"/>
                  </w14:solidFill>
                </w14:textFill>
              </w:rPr>
              <w:t>0-17：</w:t>
            </w:r>
            <w:r>
              <w:rPr>
                <w:rFonts w:hint="eastAsia" w:cs="宋体"/>
                <w:color w:val="000000" w:themeColor="text1"/>
                <w:kern w:val="0"/>
                <w:sz w:val="24"/>
                <w:szCs w:val="24"/>
                <w:highlight w:val="none"/>
                <w14:textFill>
                  <w14:solidFill>
                    <w14:schemeClr w14:val="tx1"/>
                  </w14:solidFill>
                </w14:textFill>
              </w:rPr>
              <w:t>30</w:t>
            </w:r>
            <w:r>
              <w:rPr>
                <w:rFonts w:hint="eastAsia" w:cs="宋体"/>
                <w:color w:val="000000" w:themeColor="text1"/>
                <w:sz w:val="24"/>
                <w:szCs w:val="24"/>
                <w:highlight w:val="none"/>
                <w14:textFill>
                  <w14:solidFill>
                    <w14:schemeClr w14:val="tx1"/>
                  </w14:solidFill>
                </w14:textFill>
              </w:rPr>
              <w:t>（午休、节假日除外）</w:t>
            </w:r>
          </w:p>
        </w:tc>
      </w:tr>
      <w:tr>
        <w:tblPrEx>
          <w:tblCellMar>
            <w:top w:w="0" w:type="dxa"/>
            <w:left w:w="108" w:type="dxa"/>
            <w:bottom w:w="0" w:type="dxa"/>
            <w:right w:w="108" w:type="dxa"/>
          </w:tblCellMar>
        </w:tblPrEx>
        <w:trPr>
          <w:trHeight w:val="90"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hint="default" w:eastAsia="宋体" w:cs="宋体"/>
                <w:kern w:val="0"/>
                <w:sz w:val="24"/>
                <w:szCs w:val="24"/>
                <w:lang w:val="en-US" w:eastAsia="zh-CN"/>
              </w:rPr>
            </w:pPr>
            <w:r>
              <w:rPr>
                <w:rFonts w:hint="eastAsia" w:cs="宋体"/>
                <w:kern w:val="0"/>
                <w:sz w:val="24"/>
                <w:szCs w:val="24"/>
                <w:lang w:val="en-US" w:eastAsia="zh-CN"/>
              </w:rPr>
              <w:t>网上购买</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询比采购文件售价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lang w:val="en-US" w:eastAsia="zh-CN"/>
              </w:rPr>
              <w:t>3</w:t>
            </w:r>
            <w:r>
              <w:rPr>
                <w:rFonts w:hint="eastAsia" w:cs="宋体"/>
                <w:kern w:val="0"/>
                <w:sz w:val="24"/>
                <w:szCs w:val="24"/>
              </w:rPr>
              <w:t>00.00元（询比采购文件售后不退,响应资格不能转让）</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询比采购文件发售地点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kern w:val="0"/>
                <w:sz w:val="24"/>
              </w:rPr>
            </w:pPr>
            <w:r>
              <w:rPr>
                <w:rFonts w:hint="eastAsia"/>
                <w:kern w:val="0"/>
                <w:sz w:val="24"/>
              </w:rPr>
              <w:t>地址：青海中旭工程项目管理有限公司（西宁市城西区西川南路万达中心1号写字楼20楼12014室）</w:t>
            </w:r>
          </w:p>
          <w:p>
            <w:pPr>
              <w:autoSpaceDE w:val="0"/>
              <w:autoSpaceDN w:val="0"/>
              <w:spacing w:line="360" w:lineRule="auto"/>
              <w:rPr>
                <w:kern w:val="0"/>
                <w:sz w:val="24"/>
              </w:rPr>
            </w:pPr>
            <w:r>
              <w:rPr>
                <w:rFonts w:hint="eastAsia"/>
                <w:kern w:val="0"/>
                <w:sz w:val="24"/>
              </w:rPr>
              <w:t>标书购买联系人：余女士</w:t>
            </w:r>
          </w:p>
          <w:p>
            <w:pPr>
              <w:autoSpaceDE w:val="0"/>
              <w:autoSpaceDN w:val="0"/>
              <w:spacing w:line="360" w:lineRule="auto"/>
              <w:rPr>
                <w:kern w:val="0"/>
                <w:sz w:val="24"/>
              </w:rPr>
            </w:pPr>
            <w:r>
              <w:rPr>
                <w:rFonts w:hint="eastAsia"/>
                <w:kern w:val="0"/>
                <w:sz w:val="24"/>
              </w:rPr>
              <w:t>电话：</w:t>
            </w:r>
            <w:r>
              <w:rPr>
                <w:rFonts w:hint="eastAsia"/>
                <w:kern w:val="0"/>
                <w:sz w:val="24"/>
                <w:lang w:val="zh-CN"/>
              </w:rPr>
              <w:t>0971-</w:t>
            </w:r>
            <w:r>
              <w:rPr>
                <w:rFonts w:hint="eastAsia"/>
                <w:kern w:val="0"/>
                <w:sz w:val="24"/>
              </w:rPr>
              <w:t>5218441      电子邮箱：</w:t>
            </w:r>
            <w:r>
              <w:fldChar w:fldCharType="begin"/>
            </w:r>
            <w:r>
              <w:instrText xml:space="preserve"> HYPERLINK "mailto:qhzczb0509@163.com" </w:instrText>
            </w:r>
            <w:r>
              <w:fldChar w:fldCharType="separate"/>
            </w:r>
            <w:r>
              <w:rPr>
                <w:rFonts w:hint="eastAsia"/>
                <w:kern w:val="0"/>
                <w:sz w:val="24"/>
              </w:rPr>
              <w:t>qhzhongxu@163.com</w:t>
            </w:r>
            <w:r>
              <w:rPr>
                <w:rFonts w:hint="eastAsia"/>
                <w:kern w:val="0"/>
                <w:sz w:val="24"/>
              </w:rPr>
              <w:fldChar w:fldCharType="end"/>
            </w:r>
          </w:p>
        </w:tc>
      </w:tr>
      <w:tr>
        <w:tblPrEx>
          <w:tblCellMar>
            <w:top w:w="0" w:type="dxa"/>
            <w:left w:w="108" w:type="dxa"/>
            <w:bottom w:w="0" w:type="dxa"/>
            <w:right w:w="108" w:type="dxa"/>
          </w:tblCellMar>
        </w:tblPrEx>
        <w:trPr>
          <w:trHeight w:val="174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购买询比采购文件时应提供材料</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cs="宋体"/>
                <w:kern w:val="0"/>
                <w:sz w:val="24"/>
                <w:szCs w:val="24"/>
              </w:rPr>
            </w:pPr>
            <w:r>
              <w:rPr>
                <w:rFonts w:hint="eastAsia" w:cs="宋体"/>
                <w:kern w:val="0"/>
                <w:sz w:val="24"/>
                <w:szCs w:val="24"/>
              </w:rPr>
              <w:t>供应商报名所需材料:公司营业执照副本复印件、开户许可证复印件、法定代表人授权书及被授权人身份证复印件。</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截止时间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hint="eastAsia" w:eastAsia="宋体" w:cs="宋体"/>
                <w:color w:val="000000" w:themeColor="text1"/>
                <w:kern w:val="0"/>
                <w:sz w:val="24"/>
                <w:szCs w:val="24"/>
                <w:lang w:eastAsia="zh-CN"/>
                <w14:textFill>
                  <w14:solidFill>
                    <w14:schemeClr w14:val="tx1"/>
                  </w14:solidFill>
                </w14:textFill>
              </w:rPr>
            </w:pPr>
            <w:r>
              <w:rPr>
                <w:rFonts w:hint="eastAsia" w:cs="宋体"/>
                <w:color w:val="000000" w:themeColor="text1"/>
                <w:kern w:val="0"/>
                <w:sz w:val="24"/>
                <w:szCs w:val="24"/>
                <w:lang w:eastAsia="zh-CN"/>
                <w14:textFill>
                  <w14:solidFill>
                    <w14:schemeClr w14:val="tx1"/>
                  </w14:solidFill>
                </w14:textFill>
              </w:rPr>
              <w:t>2022年</w:t>
            </w:r>
            <w:r>
              <w:rPr>
                <w:rFonts w:hint="eastAsia" w:cs="宋体"/>
                <w:color w:val="000000" w:themeColor="text1"/>
                <w:kern w:val="0"/>
                <w:sz w:val="24"/>
                <w:szCs w:val="24"/>
                <w:lang w:val="en-US" w:eastAsia="zh-CN"/>
                <w14:textFill>
                  <w14:solidFill>
                    <w14:schemeClr w14:val="tx1"/>
                  </w14:solidFill>
                </w14:textFill>
              </w:rPr>
              <w:t>12</w:t>
            </w:r>
            <w:r>
              <w:rPr>
                <w:rFonts w:hint="eastAsia" w:cs="宋体"/>
                <w:color w:val="000000" w:themeColor="text1"/>
                <w:kern w:val="0"/>
                <w:sz w:val="24"/>
                <w:szCs w:val="24"/>
                <w:lang w:eastAsia="zh-CN"/>
                <w14:textFill>
                  <w14:solidFill>
                    <w14:schemeClr w14:val="tx1"/>
                  </w14:solidFill>
                </w14:textFill>
              </w:rPr>
              <w:t>月</w:t>
            </w:r>
            <w:r>
              <w:rPr>
                <w:rFonts w:hint="eastAsia" w:cs="宋体"/>
                <w:color w:val="000000" w:themeColor="text1"/>
                <w:kern w:val="0"/>
                <w:sz w:val="24"/>
                <w:szCs w:val="24"/>
                <w:lang w:val="en-US" w:eastAsia="zh-CN"/>
                <w14:textFill>
                  <w14:solidFill>
                    <w14:schemeClr w14:val="tx1"/>
                  </w14:solidFill>
                </w14:textFill>
              </w:rPr>
              <w:t>16</w:t>
            </w:r>
            <w:r>
              <w:rPr>
                <w:rFonts w:hint="eastAsia" w:cs="宋体"/>
                <w:color w:val="000000" w:themeColor="text1"/>
                <w:kern w:val="0"/>
                <w:sz w:val="24"/>
                <w:szCs w:val="24"/>
                <w:lang w:eastAsia="zh-CN"/>
                <w14:textFill>
                  <w14:solidFill>
                    <w14:schemeClr w14:val="tx1"/>
                  </w14:solidFill>
                </w14:textFill>
              </w:rPr>
              <w:t>日</w:t>
            </w:r>
            <w:r>
              <w:rPr>
                <w:rFonts w:hint="eastAsia" w:cs="宋体"/>
                <w:color w:val="000000" w:themeColor="text1"/>
                <w:kern w:val="0"/>
                <w:sz w:val="24"/>
                <w:szCs w:val="24"/>
                <w:lang w:val="en-US" w:eastAsia="zh-CN"/>
                <w14:textFill>
                  <w14:solidFill>
                    <w14:schemeClr w14:val="tx1"/>
                  </w14:solidFill>
                </w14:textFill>
              </w:rPr>
              <w:t>下</w:t>
            </w:r>
            <w:r>
              <w:rPr>
                <w:rFonts w:hint="eastAsia" w:cs="宋体"/>
                <w:color w:val="000000" w:themeColor="text1"/>
                <w:kern w:val="0"/>
                <w:sz w:val="24"/>
                <w:szCs w:val="24"/>
                <w:lang w:eastAsia="zh-CN"/>
                <w14:textFill>
                  <w14:solidFill>
                    <w14:schemeClr w14:val="tx1"/>
                  </w14:solidFill>
                </w14:textFill>
              </w:rPr>
              <w:t>午</w:t>
            </w:r>
            <w:r>
              <w:rPr>
                <w:rFonts w:hint="eastAsia" w:cs="宋体"/>
                <w:color w:val="000000" w:themeColor="text1"/>
                <w:kern w:val="0"/>
                <w:sz w:val="24"/>
                <w:szCs w:val="24"/>
                <w:lang w:val="en-US" w:eastAsia="zh-CN"/>
                <w14:textFill>
                  <w14:solidFill>
                    <w14:schemeClr w14:val="tx1"/>
                  </w14:solidFill>
                </w14:textFill>
              </w:rPr>
              <w:t>14</w:t>
            </w:r>
            <w:r>
              <w:rPr>
                <w:rFonts w:hint="eastAsia" w:cs="宋体"/>
                <w:color w:val="000000" w:themeColor="text1"/>
                <w:kern w:val="0"/>
                <w:sz w:val="24"/>
                <w:szCs w:val="24"/>
                <w:lang w:eastAsia="zh-CN"/>
                <w14:textFill>
                  <w14:solidFill>
                    <w14:schemeClr w14:val="tx1"/>
                  </w14:solidFill>
                </w14:textFill>
              </w:rPr>
              <w:t>时</w:t>
            </w:r>
            <w:r>
              <w:rPr>
                <w:rFonts w:hint="eastAsia" w:cs="宋体"/>
                <w:color w:val="000000" w:themeColor="text1"/>
                <w:kern w:val="0"/>
                <w:sz w:val="24"/>
                <w:szCs w:val="24"/>
                <w:lang w:val="en-US" w:eastAsia="zh-CN"/>
                <w14:textFill>
                  <w14:solidFill>
                    <w14:schemeClr w14:val="tx1"/>
                  </w14:solidFill>
                </w14:textFill>
              </w:rPr>
              <w:t>30</w:t>
            </w:r>
            <w:r>
              <w:rPr>
                <w:rFonts w:hint="eastAsia" w:cs="宋体"/>
                <w:color w:val="000000" w:themeColor="text1"/>
                <w:kern w:val="0"/>
                <w:sz w:val="24"/>
                <w:szCs w:val="24"/>
                <w:lang w:eastAsia="zh-CN"/>
                <w14:textFill>
                  <w14:solidFill>
                    <w14:schemeClr w14:val="tx1"/>
                  </w14:solidFill>
                </w14:textFill>
              </w:rPr>
              <w:t>分（北京时间）</w:t>
            </w:r>
          </w:p>
        </w:tc>
      </w:tr>
      <w:tr>
        <w:tblPrEx>
          <w:tblCellMar>
            <w:top w:w="0" w:type="dxa"/>
            <w:left w:w="108" w:type="dxa"/>
            <w:bottom w:w="0" w:type="dxa"/>
            <w:right w:w="108" w:type="dxa"/>
          </w:tblCellMar>
        </w:tblPrEx>
        <w:trPr>
          <w:trHeight w:val="269"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询比及开标</w:t>
            </w:r>
            <w:r>
              <w:rPr>
                <w:rFonts w:hint="eastAsia" w:cs="宋体"/>
                <w:kern w:val="0"/>
                <w:sz w:val="24"/>
                <w:szCs w:val="24"/>
                <w:lang w:val="zh-CN"/>
              </w:rPr>
              <w:t>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hint="eastAsia" w:eastAsia="宋体" w:cs="宋体"/>
                <w:color w:val="000000" w:themeColor="text1"/>
                <w:kern w:val="0"/>
                <w:sz w:val="24"/>
                <w:szCs w:val="24"/>
                <w:lang w:eastAsia="zh-CN"/>
                <w14:textFill>
                  <w14:solidFill>
                    <w14:schemeClr w14:val="tx1"/>
                  </w14:solidFill>
                </w14:textFill>
              </w:rPr>
            </w:pPr>
            <w:r>
              <w:rPr>
                <w:rFonts w:hint="eastAsia" w:cs="宋体"/>
                <w:color w:val="000000" w:themeColor="text1"/>
                <w:kern w:val="0"/>
                <w:sz w:val="24"/>
                <w:szCs w:val="24"/>
                <w:lang w:eastAsia="zh-CN"/>
                <w14:textFill>
                  <w14:solidFill>
                    <w14:schemeClr w14:val="tx1"/>
                  </w14:solidFill>
                </w14:textFill>
              </w:rPr>
              <w:t>2022年</w:t>
            </w:r>
            <w:r>
              <w:rPr>
                <w:rFonts w:hint="eastAsia" w:cs="宋体"/>
                <w:color w:val="000000" w:themeColor="text1"/>
                <w:kern w:val="0"/>
                <w:sz w:val="24"/>
                <w:szCs w:val="24"/>
                <w:lang w:val="en-US" w:eastAsia="zh-CN"/>
                <w14:textFill>
                  <w14:solidFill>
                    <w14:schemeClr w14:val="tx1"/>
                  </w14:solidFill>
                </w14:textFill>
              </w:rPr>
              <w:t>12</w:t>
            </w:r>
            <w:r>
              <w:rPr>
                <w:rFonts w:hint="eastAsia" w:cs="宋体"/>
                <w:color w:val="000000" w:themeColor="text1"/>
                <w:kern w:val="0"/>
                <w:sz w:val="24"/>
                <w:szCs w:val="24"/>
                <w:lang w:eastAsia="zh-CN"/>
                <w14:textFill>
                  <w14:solidFill>
                    <w14:schemeClr w14:val="tx1"/>
                  </w14:solidFill>
                </w14:textFill>
              </w:rPr>
              <w:t>月</w:t>
            </w:r>
            <w:r>
              <w:rPr>
                <w:rFonts w:hint="eastAsia" w:cs="宋体"/>
                <w:color w:val="000000" w:themeColor="text1"/>
                <w:kern w:val="0"/>
                <w:sz w:val="24"/>
                <w:szCs w:val="24"/>
                <w:lang w:val="en-US" w:eastAsia="zh-CN"/>
                <w14:textFill>
                  <w14:solidFill>
                    <w14:schemeClr w14:val="tx1"/>
                  </w14:solidFill>
                </w14:textFill>
              </w:rPr>
              <w:t>16</w:t>
            </w:r>
            <w:r>
              <w:rPr>
                <w:rFonts w:hint="eastAsia" w:cs="宋体"/>
                <w:color w:val="000000" w:themeColor="text1"/>
                <w:kern w:val="0"/>
                <w:sz w:val="24"/>
                <w:szCs w:val="24"/>
                <w:lang w:eastAsia="zh-CN"/>
                <w14:textFill>
                  <w14:solidFill>
                    <w14:schemeClr w14:val="tx1"/>
                  </w14:solidFill>
                </w14:textFill>
              </w:rPr>
              <w:t>日</w:t>
            </w:r>
            <w:r>
              <w:rPr>
                <w:rFonts w:hint="eastAsia" w:cs="宋体"/>
                <w:color w:val="000000" w:themeColor="text1"/>
                <w:kern w:val="0"/>
                <w:sz w:val="24"/>
                <w:szCs w:val="24"/>
                <w:lang w:val="en-US" w:eastAsia="zh-CN"/>
                <w14:textFill>
                  <w14:solidFill>
                    <w14:schemeClr w14:val="tx1"/>
                  </w14:solidFill>
                </w14:textFill>
              </w:rPr>
              <w:t>下</w:t>
            </w:r>
            <w:r>
              <w:rPr>
                <w:rFonts w:hint="eastAsia" w:cs="宋体"/>
                <w:color w:val="000000" w:themeColor="text1"/>
                <w:kern w:val="0"/>
                <w:sz w:val="24"/>
                <w:szCs w:val="24"/>
                <w:lang w:eastAsia="zh-CN"/>
                <w14:textFill>
                  <w14:solidFill>
                    <w14:schemeClr w14:val="tx1"/>
                  </w14:solidFill>
                </w14:textFill>
              </w:rPr>
              <w:t>午</w:t>
            </w:r>
            <w:r>
              <w:rPr>
                <w:rFonts w:hint="eastAsia" w:cs="宋体"/>
                <w:color w:val="000000" w:themeColor="text1"/>
                <w:kern w:val="0"/>
                <w:sz w:val="24"/>
                <w:szCs w:val="24"/>
                <w:lang w:val="en-US" w:eastAsia="zh-CN"/>
                <w14:textFill>
                  <w14:solidFill>
                    <w14:schemeClr w14:val="tx1"/>
                  </w14:solidFill>
                </w14:textFill>
              </w:rPr>
              <w:t>14</w:t>
            </w:r>
            <w:r>
              <w:rPr>
                <w:rFonts w:hint="eastAsia" w:cs="宋体"/>
                <w:color w:val="000000" w:themeColor="text1"/>
                <w:kern w:val="0"/>
                <w:sz w:val="24"/>
                <w:szCs w:val="24"/>
                <w:lang w:eastAsia="zh-CN"/>
                <w14:textFill>
                  <w14:solidFill>
                    <w14:schemeClr w14:val="tx1"/>
                  </w14:solidFill>
                </w14:textFill>
              </w:rPr>
              <w:t>时</w:t>
            </w:r>
            <w:r>
              <w:rPr>
                <w:rFonts w:hint="eastAsia" w:cs="宋体"/>
                <w:color w:val="000000" w:themeColor="text1"/>
                <w:kern w:val="0"/>
                <w:sz w:val="24"/>
                <w:szCs w:val="24"/>
                <w:lang w:val="en-US" w:eastAsia="zh-CN"/>
                <w14:textFill>
                  <w14:solidFill>
                    <w14:schemeClr w14:val="tx1"/>
                  </w14:solidFill>
                </w14:textFill>
              </w:rPr>
              <w:t>30</w:t>
            </w:r>
            <w:r>
              <w:rPr>
                <w:rFonts w:hint="eastAsia" w:cs="宋体"/>
                <w:color w:val="000000" w:themeColor="text1"/>
                <w:kern w:val="0"/>
                <w:sz w:val="24"/>
                <w:szCs w:val="24"/>
                <w:lang w:eastAsia="zh-CN"/>
                <w14:textFill>
                  <w14:solidFill>
                    <w14:schemeClr w14:val="tx1"/>
                  </w14:solidFill>
                </w14:textFill>
              </w:rPr>
              <w:t>分（北京时间）</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询比及开标地点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青海中旭工程项目管理有限公司开标室（</w:t>
            </w:r>
            <w:r>
              <w:rPr>
                <w:rFonts w:hint="eastAsia" w:cs="宋体"/>
                <w:kern w:val="0"/>
                <w:sz w:val="24"/>
                <w:lang w:val="zh-CN"/>
              </w:rPr>
              <w:t>西宁市城西区万达中心1号写字楼20</w:t>
            </w:r>
            <w:r>
              <w:rPr>
                <w:rFonts w:hint="eastAsia" w:cs="宋体"/>
                <w:kern w:val="0"/>
                <w:sz w:val="24"/>
                <w:lang w:val="en-US" w:eastAsia="zh-CN"/>
              </w:rPr>
              <w:t>层</w:t>
            </w:r>
            <w:r>
              <w:rPr>
                <w:rFonts w:hint="eastAsia" w:cs="宋体"/>
                <w:kern w:val="0"/>
                <w:sz w:val="24"/>
                <w:lang w:val="zh-CN"/>
              </w:rPr>
              <w:t>12014室</w:t>
            </w:r>
            <w:r>
              <w:rPr>
                <w:rFonts w:hint="eastAsia" w:cs="宋体"/>
                <w:kern w:val="0"/>
                <w:sz w:val="24"/>
                <w:szCs w:val="24"/>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采购人</w:t>
            </w:r>
            <w:r>
              <w:rPr>
                <w:rFonts w:hint="eastAsia" w:cs="宋体"/>
                <w:kern w:val="0"/>
                <w:sz w:val="24"/>
                <w:szCs w:val="24"/>
                <w:lang w:val="zh-CN"/>
              </w:rPr>
              <w:t>及联系人电话</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hint="default" w:eastAsia="宋体" w:cs="宋体"/>
                <w:color w:val="auto"/>
                <w:sz w:val="24"/>
                <w:szCs w:val="24"/>
                <w:lang w:val="en-US" w:eastAsia="zh-CN"/>
              </w:rPr>
            </w:pPr>
            <w:r>
              <w:rPr>
                <w:rFonts w:hint="eastAsia" w:cs="宋体"/>
                <w:color w:val="auto"/>
                <w:sz w:val="24"/>
                <w:szCs w:val="24"/>
              </w:rPr>
              <w:t>采 购 人：</w:t>
            </w:r>
            <w:r>
              <w:rPr>
                <w:rFonts w:hint="eastAsia" w:cs="宋体"/>
                <w:kern w:val="0"/>
                <w:sz w:val="24"/>
                <w:lang w:val="zh-CN"/>
              </w:rPr>
              <w:t>青海民族大学</w:t>
            </w:r>
          </w:p>
          <w:p>
            <w:pPr>
              <w:spacing w:line="360" w:lineRule="auto"/>
              <w:rPr>
                <w:rFonts w:hint="eastAsia" w:cs="宋体"/>
                <w:color w:val="auto"/>
                <w:sz w:val="24"/>
                <w:szCs w:val="24"/>
                <w:highlight w:val="none"/>
                <w:lang w:val="en-US" w:eastAsia="zh-CN"/>
              </w:rPr>
            </w:pPr>
            <w:r>
              <w:rPr>
                <w:rFonts w:hint="eastAsia" w:cs="宋体"/>
                <w:color w:val="auto"/>
                <w:sz w:val="24"/>
                <w:szCs w:val="24"/>
                <w:highlight w:val="none"/>
              </w:rPr>
              <w:t>联系人：李老师</w:t>
            </w:r>
          </w:p>
          <w:p>
            <w:pPr>
              <w:spacing w:line="360" w:lineRule="auto"/>
              <w:rPr>
                <w:rFonts w:hint="eastAsia" w:cs="宋体"/>
                <w:kern w:val="0"/>
                <w:sz w:val="24"/>
                <w:lang w:val="en-US" w:eastAsia="zh-CN"/>
              </w:rPr>
            </w:pPr>
            <w:r>
              <w:rPr>
                <w:rFonts w:hint="eastAsia" w:cs="宋体"/>
                <w:color w:val="auto"/>
                <w:sz w:val="24"/>
                <w:szCs w:val="24"/>
                <w:highlight w:val="none"/>
              </w:rPr>
              <w:t>联系电话： 0971-8802687</w:t>
            </w:r>
          </w:p>
          <w:p>
            <w:pPr>
              <w:spacing w:line="360" w:lineRule="auto"/>
            </w:pPr>
            <w:r>
              <w:rPr>
                <w:rFonts w:hint="eastAsia" w:cs="宋体"/>
                <w:color w:val="auto"/>
                <w:sz w:val="24"/>
                <w:szCs w:val="24"/>
              </w:rPr>
              <w:t>联系地址：</w:t>
            </w:r>
            <w:r>
              <w:rPr>
                <w:rFonts w:hint="eastAsia" w:cs="宋体"/>
                <w:kern w:val="0"/>
                <w:sz w:val="24"/>
                <w:lang w:val="zh-CN"/>
              </w:rPr>
              <w:t>青海民族大学</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代理机构及联系人电话</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采购代理机构：青海中旭工程项目管理有限公司</w:t>
            </w:r>
          </w:p>
          <w:p>
            <w:pPr>
              <w:autoSpaceDE w:val="0"/>
              <w:autoSpaceDN w:val="0"/>
              <w:adjustRightInd w:val="0"/>
              <w:spacing w:line="360" w:lineRule="auto"/>
              <w:jc w:val="left"/>
              <w:rPr>
                <w:rFonts w:hint="eastAsia" w:eastAsia="宋体" w:cs="宋体"/>
                <w:kern w:val="0"/>
                <w:sz w:val="24"/>
                <w:szCs w:val="24"/>
                <w:lang w:val="en-US" w:eastAsia="zh-CN"/>
              </w:rPr>
            </w:pPr>
            <w:r>
              <w:rPr>
                <w:rFonts w:hint="eastAsia" w:cs="宋体"/>
                <w:kern w:val="0"/>
                <w:sz w:val="24"/>
                <w:szCs w:val="24"/>
              </w:rPr>
              <w:t>联系人：</w:t>
            </w:r>
            <w:r>
              <w:rPr>
                <w:rFonts w:hint="eastAsia" w:cs="宋体"/>
                <w:kern w:val="0"/>
                <w:sz w:val="24"/>
                <w:szCs w:val="24"/>
                <w:lang w:val="en-US" w:eastAsia="zh-CN"/>
              </w:rPr>
              <w:t>喇成静</w:t>
            </w:r>
          </w:p>
          <w:p>
            <w:pPr>
              <w:autoSpaceDE w:val="0"/>
              <w:autoSpaceDN w:val="0"/>
              <w:adjustRightInd w:val="0"/>
              <w:spacing w:line="360" w:lineRule="auto"/>
              <w:jc w:val="left"/>
              <w:rPr>
                <w:rFonts w:cs="宋体"/>
                <w:kern w:val="0"/>
                <w:sz w:val="24"/>
                <w:szCs w:val="24"/>
              </w:rPr>
            </w:pPr>
            <w:r>
              <w:rPr>
                <w:rFonts w:hint="eastAsia" w:cs="宋体"/>
                <w:kern w:val="0"/>
                <w:sz w:val="24"/>
                <w:szCs w:val="24"/>
              </w:rPr>
              <w:t>联系电话：0971-5218441</w:t>
            </w:r>
          </w:p>
          <w:p>
            <w:pPr>
              <w:autoSpaceDE w:val="0"/>
              <w:autoSpaceDN w:val="0"/>
              <w:adjustRightInd w:val="0"/>
              <w:spacing w:line="360" w:lineRule="auto"/>
              <w:jc w:val="left"/>
              <w:rPr>
                <w:rFonts w:cs="宋体"/>
                <w:kern w:val="0"/>
                <w:sz w:val="24"/>
                <w:szCs w:val="24"/>
              </w:rPr>
            </w:pPr>
            <w:r>
              <w:rPr>
                <w:rFonts w:hint="eastAsia" w:cs="宋体"/>
                <w:kern w:val="0"/>
                <w:sz w:val="24"/>
                <w:szCs w:val="24"/>
              </w:rPr>
              <w:t>地址：</w:t>
            </w:r>
            <w:r>
              <w:rPr>
                <w:rFonts w:hint="eastAsia" w:cs="宋体"/>
                <w:kern w:val="0"/>
                <w:sz w:val="24"/>
                <w:lang w:val="zh-CN"/>
              </w:rPr>
              <w:t>西宁市城西区万达中心1号写字楼20楼12014室</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代理机构开户银行</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兴业银行西宁分行营业部</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收款人</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青海中旭工程项目管理有限公司</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银行账号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6320 1010 0100 3762 99（开户行号：309851000028（响应保证金专用账号）</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保证金</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rPr>
                <w:b/>
                <w:bCs/>
                <w:sz w:val="24"/>
                <w:szCs w:val="24"/>
                <w:lang w:val="zh-CN"/>
              </w:rPr>
            </w:pPr>
            <w:r>
              <w:rPr>
                <w:rFonts w:hint="eastAsia"/>
                <w:b/>
                <w:bCs/>
                <w:sz w:val="24"/>
                <w:szCs w:val="24"/>
              </w:rPr>
              <w:t>响应</w:t>
            </w:r>
            <w:r>
              <w:rPr>
                <w:rFonts w:hint="eastAsia"/>
                <w:b/>
                <w:bCs/>
                <w:sz w:val="24"/>
                <w:szCs w:val="24"/>
                <w:lang w:val="zh-CN"/>
              </w:rPr>
              <w:t>保证金：</w:t>
            </w:r>
          </w:p>
          <w:p>
            <w:pPr>
              <w:autoSpaceDE w:val="0"/>
              <w:autoSpaceDN w:val="0"/>
              <w:adjustRightInd w:val="0"/>
              <w:spacing w:line="360" w:lineRule="auto"/>
              <w:rPr>
                <w:b/>
                <w:bCs/>
                <w:sz w:val="24"/>
                <w:szCs w:val="24"/>
                <w:lang w:val="zh-CN"/>
              </w:rPr>
            </w:pPr>
            <w:r>
              <w:rPr>
                <w:rFonts w:hint="eastAsia"/>
                <w:b/>
                <w:bCs/>
                <w:sz w:val="24"/>
                <w:szCs w:val="24"/>
                <w:lang w:val="zh-CN"/>
              </w:rPr>
              <w:t>小写：</w:t>
            </w:r>
            <w:r>
              <w:rPr>
                <w:rFonts w:hint="eastAsia"/>
                <w:b/>
                <w:bCs/>
                <w:sz w:val="24"/>
                <w:szCs w:val="24"/>
                <w:lang w:val="en-US" w:eastAsia="zh-CN"/>
              </w:rPr>
              <w:t>3500.00</w:t>
            </w:r>
            <w:r>
              <w:rPr>
                <w:rFonts w:hint="eastAsia"/>
                <w:b/>
                <w:bCs/>
                <w:sz w:val="24"/>
                <w:szCs w:val="24"/>
                <w:lang w:val="zh-CN"/>
              </w:rPr>
              <w:t>元（ 大写：</w:t>
            </w:r>
            <w:r>
              <w:rPr>
                <w:rFonts w:hint="eastAsia"/>
                <w:b/>
                <w:bCs/>
                <w:sz w:val="24"/>
                <w:szCs w:val="24"/>
                <w:lang w:val="en-US" w:eastAsia="zh-CN"/>
              </w:rPr>
              <w:t>叁仟伍佰</w:t>
            </w:r>
            <w:r>
              <w:rPr>
                <w:rFonts w:hint="eastAsia"/>
                <w:b/>
                <w:bCs/>
                <w:sz w:val="24"/>
                <w:szCs w:val="24"/>
                <w:lang w:val="zh-CN"/>
              </w:rPr>
              <w:t>元整）</w:t>
            </w:r>
          </w:p>
          <w:p>
            <w:pPr>
              <w:autoSpaceDE w:val="0"/>
              <w:autoSpaceDN w:val="0"/>
              <w:adjustRightInd w:val="0"/>
              <w:spacing w:line="360" w:lineRule="auto"/>
              <w:rPr>
                <w:sz w:val="24"/>
                <w:szCs w:val="24"/>
                <w:lang w:val="zh-CN"/>
              </w:rPr>
            </w:pPr>
            <w:r>
              <w:rPr>
                <w:rFonts w:hint="eastAsia"/>
                <w:sz w:val="24"/>
                <w:szCs w:val="24"/>
                <w:lang w:val="zh-CN"/>
              </w:rPr>
              <w:t>收款单位：青海中旭工程项目管理有限公司</w:t>
            </w:r>
          </w:p>
          <w:p>
            <w:pPr>
              <w:autoSpaceDE w:val="0"/>
              <w:autoSpaceDN w:val="0"/>
              <w:adjustRightInd w:val="0"/>
              <w:spacing w:line="360" w:lineRule="auto"/>
              <w:rPr>
                <w:rFonts w:cs="宋体"/>
                <w:sz w:val="24"/>
                <w:szCs w:val="24"/>
                <w:lang w:val="zh-CN"/>
              </w:rPr>
            </w:pPr>
            <w:r>
              <w:rPr>
                <w:rFonts w:hint="eastAsia"/>
                <w:sz w:val="24"/>
                <w:szCs w:val="24"/>
                <w:lang w:val="zh-CN"/>
              </w:rPr>
              <w:t>开户银行：</w:t>
            </w:r>
            <w:r>
              <w:rPr>
                <w:rFonts w:hint="eastAsia" w:cs="宋体"/>
                <w:sz w:val="24"/>
                <w:szCs w:val="24"/>
                <w:lang w:val="zh-CN"/>
              </w:rPr>
              <w:t>兴业银行西宁分行营业部</w:t>
            </w:r>
          </w:p>
          <w:p>
            <w:pPr>
              <w:autoSpaceDE w:val="0"/>
              <w:autoSpaceDN w:val="0"/>
              <w:adjustRightInd w:val="0"/>
              <w:spacing w:line="360" w:lineRule="auto"/>
              <w:jc w:val="left"/>
              <w:rPr>
                <w:sz w:val="24"/>
                <w:szCs w:val="24"/>
                <w:lang w:val="zh-CN"/>
              </w:rPr>
            </w:pPr>
            <w:r>
              <w:rPr>
                <w:rFonts w:hint="eastAsia"/>
                <w:sz w:val="24"/>
                <w:szCs w:val="24"/>
              </w:rPr>
              <w:t>响应</w:t>
            </w:r>
            <w:r>
              <w:rPr>
                <w:rFonts w:hint="eastAsia"/>
                <w:sz w:val="24"/>
                <w:szCs w:val="24"/>
                <w:lang w:val="zh-CN"/>
              </w:rPr>
              <w:t>保证金账号：</w:t>
            </w:r>
            <w:r>
              <w:rPr>
                <w:rFonts w:hint="eastAsia" w:cs="宋体"/>
                <w:sz w:val="24"/>
                <w:szCs w:val="24"/>
              </w:rPr>
              <w:t>6320 1010 0100 3762 99（</w:t>
            </w:r>
            <w:r>
              <w:rPr>
                <w:rFonts w:hint="eastAsia" w:cs="宋体"/>
                <w:kern w:val="0"/>
                <w:sz w:val="24"/>
                <w:szCs w:val="24"/>
              </w:rPr>
              <w:t>开户行号：309851000028（响应保证金专用账号））</w:t>
            </w:r>
          </w:p>
          <w:p>
            <w:pPr>
              <w:autoSpaceDE w:val="0"/>
              <w:autoSpaceDN w:val="0"/>
              <w:adjustRightInd w:val="0"/>
              <w:spacing w:line="360" w:lineRule="auto"/>
              <w:jc w:val="left"/>
              <w:rPr>
                <w:rFonts w:cs="宋体"/>
                <w:kern w:val="0"/>
                <w:sz w:val="24"/>
                <w:szCs w:val="24"/>
              </w:rPr>
            </w:pPr>
            <w:r>
              <w:rPr>
                <w:rFonts w:hint="eastAsia"/>
                <w:sz w:val="24"/>
                <w:szCs w:val="24"/>
                <w:lang w:val="zh-CN"/>
              </w:rPr>
              <w:t>缴费时间：同询比截止日期前，以银行到账时间为准，递交保证金时需注明项目名称以及编号。</w:t>
            </w:r>
          </w:p>
        </w:tc>
      </w:tr>
      <w:tr>
        <w:tblPrEx>
          <w:tblCellMar>
            <w:top w:w="0" w:type="dxa"/>
            <w:left w:w="108" w:type="dxa"/>
            <w:bottom w:w="0" w:type="dxa"/>
            <w:right w:w="108" w:type="dxa"/>
          </w:tblCellMar>
        </w:tblPrEx>
        <w:trPr>
          <w:trHeight w:val="77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highlight w:val="yellow"/>
                <w:lang w:val="zh-CN"/>
              </w:rPr>
            </w:pPr>
            <w:r>
              <w:rPr>
                <w:rFonts w:hint="eastAsia" w:cs="宋体"/>
                <w:kern w:val="0"/>
                <w:sz w:val="24"/>
                <w:szCs w:val="24"/>
                <w:lang w:val="zh-CN"/>
              </w:rPr>
              <w:t>其他事项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其他未尽事宜，按照青海省招标投标行业推荐性标准《青海省非招标方式招标采购代理规范》的有关条款执行。</w:t>
            </w:r>
          </w:p>
        </w:tc>
      </w:tr>
    </w:tbl>
    <w:p>
      <w:pPr>
        <w:pStyle w:val="168"/>
      </w:pPr>
      <w:r>
        <w:rPr>
          <w:rFonts w:hint="eastAsia"/>
        </w:rPr>
        <w:t xml:space="preserve">                                                          </w:t>
      </w:r>
    </w:p>
    <w:p>
      <w:pPr>
        <w:pStyle w:val="168"/>
        <w:jc w:val="right"/>
      </w:pPr>
      <w:r>
        <w:rPr>
          <w:rFonts w:hint="eastAsia"/>
        </w:rPr>
        <w:t>青海中旭工程项目管理有限公司</w:t>
      </w:r>
    </w:p>
    <w:p>
      <w:pPr>
        <w:pStyle w:val="168"/>
        <w:jc w:val="right"/>
        <w:rPr>
          <w:highlight w:val="none"/>
        </w:rPr>
      </w:pPr>
      <w:r>
        <w:rPr>
          <w:rFonts w:hint="eastAsia"/>
          <w:highlight w:val="none"/>
        </w:rPr>
        <w:t>2022年</w:t>
      </w:r>
      <w:r>
        <w:rPr>
          <w:rFonts w:hint="eastAsia"/>
          <w:highlight w:val="none"/>
          <w:lang w:val="en-US" w:eastAsia="zh-CN"/>
        </w:rPr>
        <w:t>12</w:t>
      </w:r>
      <w:r>
        <w:rPr>
          <w:rFonts w:hint="eastAsia"/>
          <w:highlight w:val="none"/>
        </w:rPr>
        <w:t>月</w:t>
      </w:r>
      <w:r>
        <w:rPr>
          <w:rFonts w:hint="eastAsia"/>
          <w:highlight w:val="none"/>
          <w:lang w:val="en-US" w:eastAsia="zh-CN"/>
        </w:rPr>
        <w:t>08</w:t>
      </w:r>
      <w:r>
        <w:rPr>
          <w:rFonts w:hint="eastAsia"/>
          <w:highlight w:val="none"/>
        </w:rPr>
        <w:t>日</w:t>
      </w:r>
    </w:p>
    <w:p>
      <w:pPr>
        <w:pStyle w:val="41"/>
        <w:rPr>
          <w:rFonts w:hint="default"/>
        </w:rPr>
      </w:pPr>
    </w:p>
    <w:p>
      <w:pPr>
        <w:jc w:val="right"/>
        <w:rPr>
          <w:color w:val="auto"/>
        </w:rPr>
      </w:pPr>
      <w:r>
        <w:rPr>
          <w:rFonts w:hint="eastAsia"/>
          <w:color w:val="auto"/>
        </w:rPr>
        <w:t xml:space="preserve">   </w:t>
      </w:r>
    </w:p>
    <w:p/>
    <w:p/>
    <w:p>
      <w:pPr>
        <w:pStyle w:val="3"/>
        <w:keepNext w:val="0"/>
        <w:keepLines w:val="0"/>
        <w:rPr>
          <w:rFonts w:ascii="宋体" w:hAnsi="宋体" w:cs="宋体"/>
          <w:sz w:val="36"/>
          <w:szCs w:val="36"/>
        </w:rPr>
      </w:pPr>
      <w:bookmarkStart w:id="1" w:name="_Toc29844"/>
      <w:bookmarkStart w:id="2" w:name="_Toc25519"/>
      <w:bookmarkStart w:id="3" w:name="_Toc11925062"/>
    </w:p>
    <w:p>
      <w:pPr>
        <w:pStyle w:val="3"/>
        <w:keepNext w:val="0"/>
        <w:keepLines w:val="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Fonts w:ascii="宋体" w:hAnsi="宋体" w:cs="宋体"/>
          <w:sz w:val="36"/>
          <w:szCs w:val="36"/>
        </w:rPr>
      </w:pPr>
    </w:p>
    <w:p>
      <w:pPr>
        <w:pStyle w:val="3"/>
        <w:keepNext w:val="0"/>
        <w:keepLines w:val="0"/>
        <w:ind w:firstLine="2530" w:firstLineChars="700"/>
        <w:rPr>
          <w:rStyle w:val="63"/>
          <w:b/>
          <w:bCs/>
          <w:sz w:val="32"/>
          <w:szCs w:val="32"/>
        </w:rPr>
      </w:pPr>
      <w:r>
        <w:rPr>
          <w:rFonts w:hint="eastAsia" w:ascii="宋体" w:hAnsi="宋体" w:cs="宋体"/>
          <w:sz w:val="36"/>
          <w:szCs w:val="36"/>
        </w:rPr>
        <w:t xml:space="preserve">第二章 </w:t>
      </w:r>
      <w:bookmarkStart w:id="4" w:name="_Toc29545"/>
      <w:r>
        <w:rPr>
          <w:rFonts w:hint="eastAsia" w:ascii="宋体" w:hAnsi="宋体" w:cs="宋体"/>
          <w:sz w:val="36"/>
          <w:szCs w:val="36"/>
        </w:rPr>
        <w:t>供应商须知</w:t>
      </w:r>
      <w:bookmarkEnd w:id="1"/>
      <w:bookmarkEnd w:id="2"/>
      <w:bookmarkEnd w:id="3"/>
      <w:bookmarkEnd w:id="4"/>
    </w:p>
    <w:tbl>
      <w:tblPr>
        <w:tblStyle w:val="48"/>
        <w:tblpPr w:leftFromText="180" w:rightFromText="180" w:vertAnchor="text" w:horzAnchor="page" w:tblpX="1196" w:tblpY="616"/>
        <w:tblOverlap w:val="never"/>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2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60" w:type="dxa"/>
            <w:vAlign w:val="center"/>
          </w:tcPr>
          <w:p>
            <w:pPr>
              <w:rPr>
                <w:color w:val="auto"/>
                <w:kern w:val="0"/>
                <w:sz w:val="24"/>
                <w:szCs w:val="24"/>
              </w:rPr>
            </w:pPr>
            <w:bookmarkStart w:id="5" w:name="_Toc11925063"/>
            <w:r>
              <w:rPr>
                <w:rFonts w:hint="eastAsia"/>
                <w:color w:val="auto"/>
                <w:kern w:val="0"/>
                <w:sz w:val="24"/>
                <w:szCs w:val="24"/>
              </w:rPr>
              <w:t>条款号</w:t>
            </w:r>
          </w:p>
        </w:tc>
        <w:tc>
          <w:tcPr>
            <w:tcW w:w="1922" w:type="dxa"/>
            <w:vAlign w:val="center"/>
          </w:tcPr>
          <w:p>
            <w:pPr>
              <w:jc w:val="center"/>
              <w:rPr>
                <w:color w:val="auto"/>
                <w:kern w:val="0"/>
                <w:sz w:val="24"/>
                <w:szCs w:val="24"/>
              </w:rPr>
            </w:pPr>
            <w:r>
              <w:rPr>
                <w:rFonts w:hint="eastAsia"/>
                <w:color w:val="auto"/>
                <w:kern w:val="0"/>
                <w:sz w:val="24"/>
                <w:szCs w:val="24"/>
              </w:rPr>
              <w:t>条  款 名  称</w:t>
            </w:r>
          </w:p>
        </w:tc>
        <w:tc>
          <w:tcPr>
            <w:tcW w:w="6507" w:type="dxa"/>
            <w:vAlign w:val="center"/>
          </w:tcPr>
          <w:p>
            <w:pPr>
              <w:jc w:val="center"/>
              <w:rPr>
                <w:color w:val="auto"/>
                <w:kern w:val="0"/>
                <w:sz w:val="24"/>
                <w:szCs w:val="24"/>
              </w:rPr>
            </w:pPr>
            <w:r>
              <w:rPr>
                <w:rFonts w:hint="eastAsia"/>
                <w:color w:val="auto"/>
                <w:ker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260" w:type="dxa"/>
            <w:vAlign w:val="center"/>
          </w:tcPr>
          <w:p>
            <w:pPr>
              <w:jc w:val="center"/>
              <w:rPr>
                <w:color w:val="auto"/>
                <w:kern w:val="0"/>
                <w:sz w:val="24"/>
                <w:szCs w:val="24"/>
              </w:rPr>
            </w:pPr>
            <w:r>
              <w:rPr>
                <w:rFonts w:hint="eastAsia"/>
                <w:color w:val="auto"/>
                <w:kern w:val="0"/>
                <w:sz w:val="24"/>
                <w:szCs w:val="24"/>
              </w:rPr>
              <w:t>1.1.2</w:t>
            </w:r>
          </w:p>
        </w:tc>
        <w:tc>
          <w:tcPr>
            <w:tcW w:w="1922" w:type="dxa"/>
            <w:vAlign w:val="center"/>
          </w:tcPr>
          <w:p>
            <w:pPr>
              <w:jc w:val="center"/>
              <w:rPr>
                <w:color w:val="auto"/>
                <w:kern w:val="0"/>
                <w:sz w:val="24"/>
                <w:szCs w:val="24"/>
              </w:rPr>
            </w:pPr>
            <w:r>
              <w:rPr>
                <w:rFonts w:hint="eastAsia"/>
                <w:color w:val="auto"/>
                <w:kern w:val="0"/>
                <w:sz w:val="24"/>
                <w:szCs w:val="24"/>
              </w:rPr>
              <w:t>采购人</w:t>
            </w:r>
          </w:p>
        </w:tc>
        <w:tc>
          <w:tcPr>
            <w:tcW w:w="6507" w:type="dxa"/>
            <w:vAlign w:val="center"/>
          </w:tcPr>
          <w:p>
            <w:pPr>
              <w:rPr>
                <w:color w:val="auto"/>
                <w:kern w:val="0"/>
                <w:sz w:val="24"/>
                <w:szCs w:val="24"/>
              </w:rPr>
            </w:pPr>
            <w:r>
              <w:rPr>
                <w:rFonts w:hint="eastAsia"/>
                <w:color w:val="auto"/>
                <w:kern w:val="0"/>
                <w:sz w:val="24"/>
                <w:szCs w:val="24"/>
              </w:rPr>
              <w:t>名称：</w:t>
            </w:r>
            <w:r>
              <w:rPr>
                <w:rFonts w:hint="eastAsia" w:cs="宋体"/>
                <w:kern w:val="0"/>
                <w:sz w:val="24"/>
                <w:lang w:val="zh-CN"/>
              </w:rPr>
              <w:t>青海民族大学</w:t>
            </w:r>
            <w:r>
              <w:rPr>
                <w:rFonts w:hint="eastAsia"/>
                <w:color w:val="auto"/>
                <w:kern w:val="0"/>
                <w:sz w:val="24"/>
                <w:szCs w:val="24"/>
              </w:rPr>
              <w:t xml:space="preserve">   </w:t>
            </w:r>
          </w:p>
          <w:p>
            <w:pPr>
              <w:rPr>
                <w:color w:val="auto"/>
                <w:kern w:val="0"/>
                <w:sz w:val="24"/>
                <w:szCs w:val="24"/>
              </w:rPr>
            </w:pPr>
            <w:r>
              <w:rPr>
                <w:rFonts w:hint="eastAsia"/>
                <w:color w:val="auto"/>
                <w:kern w:val="0"/>
                <w:sz w:val="24"/>
                <w:szCs w:val="24"/>
              </w:rPr>
              <w:t>地址：</w:t>
            </w:r>
            <w:r>
              <w:rPr>
                <w:rFonts w:hint="eastAsia" w:cs="宋体"/>
                <w:kern w:val="0"/>
                <w:sz w:val="24"/>
                <w:lang w:val="zh-CN"/>
              </w:rPr>
              <w:t>青海民族大学</w:t>
            </w:r>
            <w:r>
              <w:rPr>
                <w:rFonts w:hint="eastAsia"/>
                <w:color w:val="auto"/>
                <w:kern w:val="0"/>
                <w:sz w:val="24"/>
                <w:szCs w:val="24"/>
              </w:rPr>
              <w:t xml:space="preserve">   </w:t>
            </w:r>
          </w:p>
          <w:p>
            <w:pPr>
              <w:spacing w:line="360" w:lineRule="auto"/>
              <w:rPr>
                <w:color w:val="auto"/>
                <w:kern w:val="0"/>
                <w:sz w:val="24"/>
                <w:szCs w:val="24"/>
                <w:highlight w:val="none"/>
              </w:rPr>
            </w:pPr>
            <w:r>
              <w:rPr>
                <w:rFonts w:hint="eastAsia"/>
                <w:color w:val="auto"/>
                <w:kern w:val="0"/>
                <w:sz w:val="24"/>
                <w:szCs w:val="24"/>
                <w:highlight w:val="none"/>
              </w:rPr>
              <w:t>联系人：</w:t>
            </w:r>
            <w:r>
              <w:rPr>
                <w:rFonts w:hint="eastAsia" w:cs="宋体"/>
                <w:color w:val="auto"/>
                <w:sz w:val="24"/>
                <w:szCs w:val="24"/>
                <w:highlight w:val="none"/>
              </w:rPr>
              <w:t xml:space="preserve"> </w:t>
            </w:r>
            <w:r>
              <w:rPr>
                <w:rFonts w:hint="eastAsia" w:cs="宋体"/>
                <w:color w:val="auto"/>
                <w:sz w:val="24"/>
                <w:szCs w:val="24"/>
                <w:highlight w:val="none"/>
                <w:lang w:val="en-US" w:eastAsia="zh-CN"/>
              </w:rPr>
              <w:t>李老师</w:t>
            </w:r>
          </w:p>
          <w:p>
            <w:pPr>
              <w:spacing w:line="360" w:lineRule="auto"/>
              <w:rPr>
                <w:color w:val="auto"/>
                <w:kern w:val="0"/>
                <w:sz w:val="24"/>
                <w:szCs w:val="24"/>
              </w:rPr>
            </w:pPr>
            <w:r>
              <w:rPr>
                <w:rFonts w:hint="eastAsia"/>
                <w:color w:val="auto"/>
                <w:kern w:val="0"/>
                <w:sz w:val="24"/>
                <w:szCs w:val="24"/>
                <w:highlight w:val="none"/>
              </w:rPr>
              <w:t>联系电话：</w:t>
            </w:r>
            <w:r>
              <w:rPr>
                <w:rFonts w:hint="eastAsia" w:cs="宋体"/>
                <w:color w:val="auto"/>
                <w:sz w:val="24"/>
                <w:szCs w:val="24"/>
                <w:highlight w:val="none"/>
              </w:rPr>
              <w:t xml:space="preserve"> 0971-8802687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260" w:type="dxa"/>
            <w:vAlign w:val="center"/>
          </w:tcPr>
          <w:p>
            <w:pPr>
              <w:jc w:val="center"/>
              <w:rPr>
                <w:color w:val="auto"/>
                <w:kern w:val="0"/>
                <w:sz w:val="24"/>
                <w:szCs w:val="24"/>
              </w:rPr>
            </w:pPr>
            <w:r>
              <w:rPr>
                <w:rFonts w:hint="eastAsia"/>
                <w:color w:val="auto"/>
                <w:kern w:val="0"/>
                <w:sz w:val="24"/>
                <w:szCs w:val="24"/>
              </w:rPr>
              <w:t>1.1.3</w:t>
            </w:r>
          </w:p>
        </w:tc>
        <w:tc>
          <w:tcPr>
            <w:tcW w:w="1922" w:type="dxa"/>
            <w:vAlign w:val="center"/>
          </w:tcPr>
          <w:p>
            <w:pPr>
              <w:jc w:val="center"/>
              <w:rPr>
                <w:color w:val="auto"/>
                <w:kern w:val="0"/>
                <w:sz w:val="24"/>
                <w:szCs w:val="24"/>
              </w:rPr>
            </w:pPr>
            <w:r>
              <w:rPr>
                <w:rFonts w:hint="eastAsia"/>
                <w:color w:val="auto"/>
                <w:kern w:val="0"/>
                <w:sz w:val="24"/>
                <w:szCs w:val="24"/>
              </w:rPr>
              <w:t>采购代理机构</w:t>
            </w:r>
          </w:p>
        </w:tc>
        <w:tc>
          <w:tcPr>
            <w:tcW w:w="6507" w:type="dxa"/>
            <w:vAlign w:val="center"/>
          </w:tcPr>
          <w:p>
            <w:pPr>
              <w:rPr>
                <w:color w:val="auto"/>
                <w:kern w:val="0"/>
                <w:sz w:val="24"/>
                <w:szCs w:val="24"/>
              </w:rPr>
            </w:pPr>
            <w:r>
              <w:rPr>
                <w:rFonts w:hint="eastAsia"/>
                <w:color w:val="auto"/>
                <w:kern w:val="0"/>
                <w:sz w:val="24"/>
                <w:szCs w:val="24"/>
              </w:rPr>
              <w:t>采购代理机构：青海中旭工程项目管理有限公司</w:t>
            </w:r>
          </w:p>
          <w:p>
            <w:pPr>
              <w:rPr>
                <w:rFonts w:hint="eastAsia" w:eastAsia="宋体"/>
                <w:color w:val="auto"/>
                <w:kern w:val="0"/>
                <w:sz w:val="24"/>
                <w:szCs w:val="24"/>
                <w:lang w:val="en-US" w:eastAsia="zh-CN"/>
              </w:rPr>
            </w:pPr>
            <w:r>
              <w:rPr>
                <w:rFonts w:hint="eastAsia"/>
                <w:color w:val="auto"/>
                <w:kern w:val="0"/>
                <w:sz w:val="24"/>
                <w:szCs w:val="24"/>
              </w:rPr>
              <w:t>联系人：</w:t>
            </w:r>
            <w:r>
              <w:rPr>
                <w:rFonts w:hint="eastAsia"/>
                <w:color w:val="auto"/>
                <w:kern w:val="0"/>
                <w:sz w:val="24"/>
                <w:szCs w:val="24"/>
                <w:lang w:val="en-US" w:eastAsia="zh-CN"/>
              </w:rPr>
              <w:t>喇成静</w:t>
            </w:r>
          </w:p>
          <w:p>
            <w:pPr>
              <w:rPr>
                <w:color w:val="auto"/>
                <w:kern w:val="0"/>
                <w:sz w:val="24"/>
                <w:szCs w:val="24"/>
              </w:rPr>
            </w:pPr>
            <w:r>
              <w:rPr>
                <w:rFonts w:hint="eastAsia"/>
                <w:color w:val="auto"/>
                <w:kern w:val="0"/>
                <w:sz w:val="24"/>
                <w:szCs w:val="24"/>
              </w:rPr>
              <w:t>联系电话：0971-5218441</w:t>
            </w:r>
          </w:p>
          <w:p>
            <w:pPr>
              <w:rPr>
                <w:color w:val="auto"/>
                <w:kern w:val="0"/>
                <w:sz w:val="24"/>
                <w:szCs w:val="24"/>
                <w:lang w:val="zh-CN"/>
              </w:rPr>
            </w:pPr>
            <w:r>
              <w:rPr>
                <w:rFonts w:hint="eastAsia"/>
                <w:color w:val="auto"/>
                <w:kern w:val="0"/>
                <w:sz w:val="24"/>
                <w:szCs w:val="24"/>
              </w:rPr>
              <w:t>地址：</w:t>
            </w:r>
            <w:r>
              <w:rPr>
                <w:rFonts w:hint="eastAsia"/>
                <w:color w:val="auto"/>
                <w:kern w:val="0"/>
                <w:sz w:val="24"/>
                <w:szCs w:val="24"/>
                <w:lang w:val="zh-CN"/>
              </w:rPr>
              <w:t>西宁市城西区万达中心1号写字楼20楼12014室</w:t>
            </w:r>
          </w:p>
          <w:p>
            <w:pPr>
              <w:rPr>
                <w:color w:val="auto"/>
                <w:kern w:val="0"/>
                <w:sz w:val="24"/>
                <w:szCs w:val="24"/>
              </w:rPr>
            </w:pPr>
            <w:r>
              <w:rPr>
                <w:rFonts w:hint="eastAsia"/>
                <w:color w:val="auto"/>
                <w:kern w:val="0"/>
                <w:sz w:val="24"/>
                <w:szCs w:val="24"/>
              </w:rPr>
              <w:t>邮箱： qhzhongxu@163.com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1260" w:type="dxa"/>
            <w:vAlign w:val="center"/>
          </w:tcPr>
          <w:p>
            <w:pPr>
              <w:jc w:val="center"/>
              <w:rPr>
                <w:color w:val="auto"/>
                <w:kern w:val="0"/>
                <w:sz w:val="24"/>
                <w:szCs w:val="24"/>
              </w:rPr>
            </w:pPr>
            <w:r>
              <w:rPr>
                <w:rFonts w:hint="eastAsia"/>
                <w:color w:val="auto"/>
                <w:kern w:val="0"/>
                <w:sz w:val="24"/>
                <w:szCs w:val="24"/>
              </w:rPr>
              <w:t>1.1.4</w:t>
            </w:r>
          </w:p>
        </w:tc>
        <w:tc>
          <w:tcPr>
            <w:tcW w:w="1922" w:type="dxa"/>
            <w:vAlign w:val="center"/>
          </w:tcPr>
          <w:p>
            <w:pPr>
              <w:spacing w:line="440" w:lineRule="exact"/>
              <w:jc w:val="center"/>
              <w:rPr>
                <w:color w:val="auto"/>
                <w:sz w:val="24"/>
                <w:szCs w:val="24"/>
              </w:rPr>
            </w:pPr>
            <w:r>
              <w:rPr>
                <w:rFonts w:hint="eastAsia"/>
                <w:color w:val="auto"/>
                <w:sz w:val="24"/>
                <w:szCs w:val="24"/>
              </w:rPr>
              <w:t>项目名称</w:t>
            </w:r>
          </w:p>
        </w:tc>
        <w:tc>
          <w:tcPr>
            <w:tcW w:w="6507" w:type="dxa"/>
            <w:vAlign w:val="center"/>
          </w:tcPr>
          <w:p>
            <w:pPr>
              <w:rPr>
                <w:rFonts w:hint="eastAsia" w:cs="宋体"/>
                <w:kern w:val="0"/>
                <w:sz w:val="24"/>
                <w:szCs w:val="24"/>
                <w:lang w:val="en-US" w:eastAsia="zh-CN"/>
              </w:rPr>
            </w:pPr>
            <w:r>
              <w:rPr>
                <w:rFonts w:hint="eastAsia" w:cs="宋体"/>
                <w:kern w:val="0"/>
                <w:sz w:val="24"/>
                <w:szCs w:val="24"/>
                <w:lang w:val="en-US" w:eastAsia="zh-CN"/>
              </w:rPr>
              <w:t>青海民族大学采购安装经管大楼和艺术大楼室内窗帘项目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1.1.5</w:t>
            </w:r>
          </w:p>
        </w:tc>
        <w:tc>
          <w:tcPr>
            <w:tcW w:w="1922" w:type="dxa"/>
            <w:vAlign w:val="center"/>
          </w:tcPr>
          <w:p>
            <w:pPr>
              <w:spacing w:line="440" w:lineRule="exact"/>
              <w:jc w:val="center"/>
              <w:rPr>
                <w:color w:val="auto"/>
                <w:sz w:val="24"/>
                <w:szCs w:val="24"/>
              </w:rPr>
            </w:pPr>
            <w:r>
              <w:rPr>
                <w:rFonts w:hint="eastAsia"/>
                <w:color w:val="auto"/>
                <w:sz w:val="24"/>
                <w:szCs w:val="24"/>
              </w:rPr>
              <w:t>项目地点</w:t>
            </w:r>
          </w:p>
        </w:tc>
        <w:tc>
          <w:tcPr>
            <w:tcW w:w="6507" w:type="dxa"/>
            <w:vAlign w:val="center"/>
          </w:tcPr>
          <w:p>
            <w:pPr>
              <w:rPr>
                <w:color w:val="auto"/>
                <w:kern w:val="0"/>
                <w:sz w:val="24"/>
                <w:szCs w:val="24"/>
              </w:rPr>
            </w:pPr>
            <w:r>
              <w:rPr>
                <w:rFonts w:hint="eastAsia" w:cs="宋体"/>
                <w:kern w:val="0"/>
                <w:sz w:val="24"/>
                <w:szCs w:val="24"/>
                <w:lang w:val="en-US" w:eastAsia="zh-CN"/>
              </w:rPr>
              <w:t>青海民族大学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1.2.1</w:t>
            </w:r>
          </w:p>
        </w:tc>
        <w:tc>
          <w:tcPr>
            <w:tcW w:w="1922" w:type="dxa"/>
            <w:vAlign w:val="center"/>
          </w:tcPr>
          <w:p>
            <w:pPr>
              <w:jc w:val="center"/>
              <w:rPr>
                <w:color w:val="auto"/>
                <w:kern w:val="0"/>
                <w:sz w:val="24"/>
                <w:szCs w:val="24"/>
              </w:rPr>
            </w:pPr>
            <w:r>
              <w:rPr>
                <w:rFonts w:hint="eastAsia"/>
                <w:color w:val="auto"/>
                <w:kern w:val="0"/>
                <w:sz w:val="24"/>
                <w:szCs w:val="24"/>
              </w:rPr>
              <w:t>资金来源</w:t>
            </w:r>
          </w:p>
        </w:tc>
        <w:tc>
          <w:tcPr>
            <w:tcW w:w="6507" w:type="dxa"/>
          </w:tcPr>
          <w:p>
            <w:pPr>
              <w:rPr>
                <w:rFonts w:hint="default" w:eastAsia="宋体"/>
                <w:color w:val="auto"/>
                <w:kern w:val="0"/>
                <w:sz w:val="24"/>
                <w:szCs w:val="24"/>
                <w:lang w:val="en-US" w:eastAsia="zh-CN"/>
              </w:rPr>
            </w:pPr>
            <w:r>
              <w:rPr>
                <w:rFonts w:hint="eastAsia"/>
                <w:color w:val="auto"/>
                <w:kern w:val="0"/>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1.2.3</w:t>
            </w:r>
          </w:p>
        </w:tc>
        <w:tc>
          <w:tcPr>
            <w:tcW w:w="1922" w:type="dxa"/>
            <w:vAlign w:val="center"/>
          </w:tcPr>
          <w:p>
            <w:pPr>
              <w:jc w:val="center"/>
              <w:rPr>
                <w:color w:val="auto"/>
                <w:kern w:val="0"/>
                <w:sz w:val="24"/>
                <w:szCs w:val="24"/>
              </w:rPr>
            </w:pPr>
            <w:r>
              <w:rPr>
                <w:rFonts w:hint="eastAsia"/>
                <w:color w:val="auto"/>
                <w:kern w:val="0"/>
                <w:sz w:val="24"/>
                <w:szCs w:val="24"/>
              </w:rPr>
              <w:t>资金落实情况</w:t>
            </w:r>
          </w:p>
        </w:tc>
        <w:tc>
          <w:tcPr>
            <w:tcW w:w="6507" w:type="dxa"/>
          </w:tcPr>
          <w:p>
            <w:pPr>
              <w:rPr>
                <w:color w:val="auto"/>
                <w:kern w:val="0"/>
                <w:sz w:val="24"/>
                <w:szCs w:val="24"/>
              </w:rPr>
            </w:pPr>
            <w:r>
              <w:rPr>
                <w:rFonts w:hint="eastAsia"/>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260" w:type="dxa"/>
            <w:vAlign w:val="center"/>
          </w:tcPr>
          <w:p>
            <w:pPr>
              <w:jc w:val="center"/>
              <w:rPr>
                <w:color w:val="auto"/>
                <w:kern w:val="0"/>
                <w:sz w:val="24"/>
                <w:szCs w:val="24"/>
              </w:rPr>
            </w:pPr>
            <w:r>
              <w:rPr>
                <w:rFonts w:hint="eastAsia"/>
                <w:color w:val="auto"/>
                <w:kern w:val="0"/>
                <w:sz w:val="24"/>
                <w:szCs w:val="24"/>
              </w:rPr>
              <w:t>1.3.1</w:t>
            </w:r>
          </w:p>
        </w:tc>
        <w:tc>
          <w:tcPr>
            <w:tcW w:w="1922" w:type="dxa"/>
            <w:vAlign w:val="center"/>
          </w:tcPr>
          <w:p>
            <w:pPr>
              <w:jc w:val="center"/>
              <w:rPr>
                <w:color w:val="auto"/>
                <w:kern w:val="0"/>
                <w:sz w:val="24"/>
                <w:szCs w:val="24"/>
              </w:rPr>
            </w:pPr>
            <w:r>
              <w:rPr>
                <w:rFonts w:hint="eastAsia"/>
                <w:color w:val="auto"/>
                <w:kern w:val="0"/>
                <w:sz w:val="24"/>
                <w:szCs w:val="24"/>
              </w:rPr>
              <w:t>采购范围</w:t>
            </w:r>
          </w:p>
        </w:tc>
        <w:tc>
          <w:tcPr>
            <w:tcW w:w="6507" w:type="dxa"/>
            <w:vAlign w:val="center"/>
          </w:tcPr>
          <w:p>
            <w:pPr>
              <w:rPr>
                <w:color w:val="auto"/>
                <w:kern w:val="0"/>
                <w:sz w:val="24"/>
                <w:szCs w:val="24"/>
              </w:rPr>
            </w:pPr>
            <w:r>
              <w:rPr>
                <w:rFonts w:hint="eastAsia"/>
                <w:color w:val="auto"/>
                <w:kern w:val="0"/>
                <w:sz w:val="24"/>
                <w:szCs w:val="24"/>
              </w:rPr>
              <w:t>具体内容详见《询比采购文件》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60" w:type="dxa"/>
            <w:vAlign w:val="center"/>
          </w:tcPr>
          <w:p>
            <w:pPr>
              <w:spacing w:line="500" w:lineRule="exact"/>
              <w:jc w:val="center"/>
              <w:rPr>
                <w:color w:val="auto"/>
                <w:kern w:val="0"/>
                <w:sz w:val="24"/>
                <w:szCs w:val="24"/>
              </w:rPr>
            </w:pPr>
            <w:r>
              <w:rPr>
                <w:rFonts w:hint="eastAsia"/>
                <w:color w:val="auto"/>
                <w:kern w:val="0"/>
                <w:sz w:val="24"/>
                <w:szCs w:val="24"/>
              </w:rPr>
              <w:t>1.3.2</w:t>
            </w:r>
          </w:p>
        </w:tc>
        <w:tc>
          <w:tcPr>
            <w:tcW w:w="1922" w:type="dxa"/>
            <w:vAlign w:val="center"/>
          </w:tcPr>
          <w:p>
            <w:pPr>
              <w:spacing w:line="500" w:lineRule="exact"/>
              <w:jc w:val="center"/>
              <w:rPr>
                <w:color w:val="auto"/>
                <w:kern w:val="0"/>
                <w:sz w:val="24"/>
                <w:szCs w:val="24"/>
              </w:rPr>
            </w:pPr>
            <w:r>
              <w:rPr>
                <w:rFonts w:hint="eastAsia"/>
                <w:color w:val="auto"/>
                <w:kern w:val="0"/>
                <w:sz w:val="24"/>
                <w:szCs w:val="24"/>
              </w:rPr>
              <w:t>交货期</w:t>
            </w:r>
          </w:p>
        </w:tc>
        <w:tc>
          <w:tcPr>
            <w:tcW w:w="6507" w:type="dxa"/>
            <w:vAlign w:val="center"/>
          </w:tcPr>
          <w:p>
            <w:pPr>
              <w:rPr>
                <w:rFonts w:hint="default" w:eastAsia="宋体"/>
                <w:color w:val="auto"/>
                <w:kern w:val="0"/>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签订合同后30天内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0" w:type="dxa"/>
            <w:vAlign w:val="center"/>
          </w:tcPr>
          <w:p>
            <w:pPr>
              <w:jc w:val="center"/>
              <w:rPr>
                <w:color w:val="auto"/>
                <w:kern w:val="0"/>
                <w:sz w:val="24"/>
                <w:szCs w:val="24"/>
              </w:rPr>
            </w:pPr>
            <w:r>
              <w:rPr>
                <w:rFonts w:hint="eastAsia"/>
                <w:color w:val="auto"/>
                <w:kern w:val="0"/>
                <w:sz w:val="24"/>
                <w:szCs w:val="24"/>
              </w:rPr>
              <w:t>1.3.3</w:t>
            </w:r>
          </w:p>
        </w:tc>
        <w:tc>
          <w:tcPr>
            <w:tcW w:w="1922" w:type="dxa"/>
            <w:vAlign w:val="center"/>
          </w:tcPr>
          <w:p>
            <w:pPr>
              <w:spacing w:line="460" w:lineRule="exact"/>
              <w:jc w:val="center"/>
              <w:rPr>
                <w:color w:val="auto"/>
                <w:kern w:val="0"/>
                <w:sz w:val="24"/>
                <w:szCs w:val="24"/>
              </w:rPr>
            </w:pPr>
            <w:r>
              <w:rPr>
                <w:rFonts w:hint="eastAsia"/>
                <w:color w:val="auto"/>
                <w:kern w:val="0"/>
                <w:sz w:val="24"/>
                <w:szCs w:val="24"/>
              </w:rPr>
              <w:t>质量要求</w:t>
            </w:r>
          </w:p>
        </w:tc>
        <w:tc>
          <w:tcPr>
            <w:tcW w:w="6507" w:type="dxa"/>
            <w:vAlign w:val="center"/>
          </w:tcPr>
          <w:p>
            <w:pPr>
              <w:spacing w:line="460" w:lineRule="exact"/>
              <w:rPr>
                <w:color w:val="auto"/>
                <w:kern w:val="0"/>
                <w:sz w:val="24"/>
                <w:szCs w:val="24"/>
              </w:rPr>
            </w:pPr>
            <w:r>
              <w:rPr>
                <w:rFonts w:hint="eastAsia"/>
                <w:color w:val="auto"/>
                <w:kern w:val="0"/>
                <w:sz w:val="24"/>
                <w:szCs w:val="24"/>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pPr>
              <w:jc w:val="center"/>
              <w:rPr>
                <w:color w:val="auto"/>
                <w:kern w:val="0"/>
                <w:sz w:val="24"/>
                <w:szCs w:val="24"/>
              </w:rPr>
            </w:pPr>
            <w:r>
              <w:rPr>
                <w:rFonts w:hint="eastAsia"/>
                <w:color w:val="auto"/>
                <w:kern w:val="0"/>
                <w:sz w:val="24"/>
                <w:szCs w:val="24"/>
              </w:rPr>
              <w:t>1.4.1</w:t>
            </w:r>
          </w:p>
        </w:tc>
        <w:tc>
          <w:tcPr>
            <w:tcW w:w="1922" w:type="dxa"/>
            <w:vAlign w:val="center"/>
          </w:tcPr>
          <w:p>
            <w:pPr>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供应商资质条件、能力和信誉</w:t>
            </w:r>
          </w:p>
        </w:tc>
        <w:tc>
          <w:tcPr>
            <w:tcW w:w="6507" w:type="dxa"/>
            <w:vAlign w:val="center"/>
          </w:tcPr>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1.</w:t>
            </w:r>
            <w:r>
              <w:rPr>
                <w:rFonts w:hint="eastAsia" w:cs="宋体"/>
                <w:caps/>
                <w:color w:val="000000" w:themeColor="text1"/>
                <w:sz w:val="24"/>
                <w:szCs w:val="24"/>
                <w14:textFill>
                  <w14:solidFill>
                    <w14:schemeClr w14:val="tx1"/>
                  </w14:solidFill>
                </w14:textFill>
              </w:rPr>
              <w:t>资质要求：</w:t>
            </w:r>
            <w:r>
              <w:rPr>
                <w:rFonts w:hint="eastAsia" w:cs="宋体"/>
                <w:caps/>
                <w:color w:val="000000" w:themeColor="text1"/>
                <w:kern w:val="0"/>
                <w:sz w:val="24"/>
                <w:szCs w:val="24"/>
                <w14:textFill>
                  <w14:solidFill>
                    <w14:schemeClr w14:val="tx1"/>
                  </w14:solidFill>
                </w14:textFill>
              </w:rPr>
              <w:t>本次采购要求供应商须具备独立企业法人资格，</w:t>
            </w:r>
            <w:r>
              <w:rPr>
                <w:rFonts w:hint="eastAsia" w:cs="宋体"/>
                <w:color w:val="000000" w:themeColor="text1"/>
                <w:sz w:val="24"/>
                <w:szCs w:val="24"/>
                <w:lang w:val="zh-CN"/>
                <w14:textFill>
                  <w14:solidFill>
                    <w14:schemeClr w14:val="tx1"/>
                  </w14:solidFill>
                </w14:textFill>
              </w:rPr>
              <w:t>并在人员、设备、资金等方面具备相应的能力</w:t>
            </w:r>
            <w:r>
              <w:rPr>
                <w:rFonts w:hint="eastAsia"/>
                <w:color w:val="000000" w:themeColor="text1"/>
                <w:kern w:val="0"/>
                <w:sz w:val="24"/>
                <w:szCs w:val="24"/>
                <w14:textFill>
                  <w14:solidFill>
                    <w14:schemeClr w14:val="tx1"/>
                  </w14:solidFill>
                </w14:textFill>
              </w:rPr>
              <w:t xml:space="preserve">； </w:t>
            </w:r>
          </w:p>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经信用中国（www.creditchina.gov.cn）查询后，列入失信被执行人、重大税收违法案件当事人名单、招投标活动严重违法失信行为记录名单的，取消投标资格。（提供“信用中国”网站无任何不良记录的查询截图，时间为投标截止时间前20天内）</w:t>
            </w:r>
          </w:p>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3.本次询比采购不接受最高人民法院等九部委联合下发的法[2016]285号文中所指的失信被执行人；</w:t>
            </w:r>
          </w:p>
          <w:p>
            <w:pPr>
              <w:spacing w:line="460" w:lineRule="exac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 xml:space="preserve">4.本次询比采购不接受联合体投标。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60" w:type="dxa"/>
            <w:vAlign w:val="center"/>
          </w:tcPr>
          <w:p>
            <w:pPr>
              <w:jc w:val="center"/>
              <w:rPr>
                <w:color w:val="auto"/>
                <w:kern w:val="0"/>
                <w:sz w:val="24"/>
                <w:szCs w:val="24"/>
              </w:rPr>
            </w:pPr>
            <w:r>
              <w:rPr>
                <w:rFonts w:hint="eastAsia"/>
                <w:color w:val="auto"/>
                <w:kern w:val="0"/>
                <w:sz w:val="24"/>
                <w:szCs w:val="24"/>
              </w:rPr>
              <w:t>1.4.2</w:t>
            </w:r>
          </w:p>
        </w:tc>
        <w:tc>
          <w:tcPr>
            <w:tcW w:w="1922" w:type="dxa"/>
            <w:vAlign w:val="center"/>
          </w:tcPr>
          <w:p>
            <w:pPr>
              <w:rPr>
                <w:color w:val="auto"/>
                <w:kern w:val="0"/>
                <w:sz w:val="24"/>
                <w:szCs w:val="24"/>
              </w:rPr>
            </w:pPr>
            <w:r>
              <w:rPr>
                <w:rFonts w:hint="eastAsia"/>
                <w:color w:val="auto"/>
                <w:kern w:val="0"/>
                <w:sz w:val="24"/>
                <w:szCs w:val="24"/>
              </w:rPr>
              <w:t>是否接受联合体采购</w:t>
            </w:r>
          </w:p>
        </w:tc>
        <w:tc>
          <w:tcPr>
            <w:tcW w:w="650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不接受</w:t>
            </w:r>
          </w:p>
          <w:p>
            <w:pPr>
              <w:rPr>
                <w:color w:val="auto"/>
                <w:kern w:val="0"/>
                <w:sz w:val="24"/>
                <w:szCs w:val="24"/>
              </w:rPr>
            </w:pPr>
            <w:r>
              <w:rPr>
                <w:rFonts w:hint="eastAsia"/>
                <w:color w:val="auto"/>
                <w:kern w:val="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0" w:type="dxa"/>
            <w:vAlign w:val="center"/>
          </w:tcPr>
          <w:p>
            <w:pPr>
              <w:jc w:val="center"/>
              <w:rPr>
                <w:color w:val="auto"/>
                <w:kern w:val="0"/>
                <w:sz w:val="24"/>
                <w:szCs w:val="24"/>
              </w:rPr>
            </w:pPr>
            <w:r>
              <w:rPr>
                <w:rFonts w:hint="eastAsia"/>
                <w:color w:val="auto"/>
                <w:kern w:val="0"/>
                <w:sz w:val="24"/>
                <w:szCs w:val="24"/>
              </w:rPr>
              <w:t>1.5</w:t>
            </w:r>
          </w:p>
        </w:tc>
        <w:tc>
          <w:tcPr>
            <w:tcW w:w="1922" w:type="dxa"/>
            <w:vAlign w:val="center"/>
          </w:tcPr>
          <w:p>
            <w:pPr>
              <w:jc w:val="center"/>
              <w:rPr>
                <w:color w:val="auto"/>
                <w:kern w:val="0"/>
                <w:sz w:val="24"/>
                <w:szCs w:val="24"/>
              </w:rPr>
            </w:pPr>
            <w:r>
              <w:rPr>
                <w:rFonts w:hint="eastAsia"/>
                <w:color w:val="auto"/>
                <w:kern w:val="0"/>
                <w:sz w:val="24"/>
                <w:szCs w:val="24"/>
              </w:rPr>
              <w:t>费用承担</w:t>
            </w:r>
          </w:p>
        </w:tc>
        <w:tc>
          <w:tcPr>
            <w:tcW w:w="6507" w:type="dxa"/>
            <w:vAlign w:val="center"/>
          </w:tcPr>
          <w:p>
            <w:pPr>
              <w:rPr>
                <w:color w:val="auto"/>
                <w:kern w:val="0"/>
                <w:sz w:val="24"/>
                <w:szCs w:val="24"/>
              </w:rPr>
            </w:pPr>
            <w:r>
              <w:rPr>
                <w:rFonts w:hint="eastAsia"/>
                <w:color w:val="auto"/>
                <w:sz w:val="24"/>
                <w:szCs w:val="24"/>
              </w:rPr>
              <w:t>供应商准备和参加采购活动发生的费用自理。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60" w:type="dxa"/>
            <w:vAlign w:val="center"/>
          </w:tcPr>
          <w:p>
            <w:pPr>
              <w:jc w:val="center"/>
              <w:rPr>
                <w:rFonts w:hint="eastAsia" w:eastAsia="宋体"/>
                <w:color w:val="auto"/>
                <w:kern w:val="0"/>
                <w:sz w:val="24"/>
                <w:szCs w:val="24"/>
                <w:lang w:eastAsia="zh-CN"/>
              </w:rPr>
            </w:pPr>
            <w:r>
              <w:rPr>
                <w:rFonts w:hint="eastAsia"/>
                <w:color w:val="auto"/>
                <w:kern w:val="0"/>
                <w:sz w:val="24"/>
                <w:szCs w:val="24"/>
              </w:rPr>
              <w:t>1.</w:t>
            </w:r>
            <w:r>
              <w:rPr>
                <w:rFonts w:hint="eastAsia"/>
                <w:color w:val="auto"/>
                <w:kern w:val="0"/>
                <w:sz w:val="24"/>
                <w:szCs w:val="24"/>
                <w:lang w:val="en-US" w:eastAsia="zh-CN"/>
              </w:rPr>
              <w:t>6</w:t>
            </w:r>
          </w:p>
        </w:tc>
        <w:tc>
          <w:tcPr>
            <w:tcW w:w="1922" w:type="dxa"/>
            <w:vAlign w:val="center"/>
          </w:tcPr>
          <w:p>
            <w:pPr>
              <w:rPr>
                <w:color w:val="auto"/>
                <w:kern w:val="0"/>
                <w:sz w:val="24"/>
                <w:szCs w:val="24"/>
              </w:rPr>
            </w:pPr>
            <w:r>
              <w:rPr>
                <w:rFonts w:hint="eastAsia"/>
                <w:color w:val="auto"/>
                <w:kern w:val="0"/>
                <w:sz w:val="24"/>
                <w:szCs w:val="24"/>
              </w:rPr>
              <w:t>供应商提出问题的截止时间</w:t>
            </w:r>
          </w:p>
        </w:tc>
        <w:tc>
          <w:tcPr>
            <w:tcW w:w="6507" w:type="dxa"/>
            <w:vAlign w:val="center"/>
          </w:tcPr>
          <w:p>
            <w:pPr>
              <w:rPr>
                <w:color w:val="auto"/>
                <w:kern w:val="0"/>
                <w:sz w:val="24"/>
                <w:szCs w:val="24"/>
              </w:rPr>
            </w:pPr>
            <w:r>
              <w:rPr>
                <w:rFonts w:hint="eastAsia"/>
                <w:color w:val="auto"/>
                <w:kern w:val="0"/>
                <w:sz w:val="24"/>
                <w:szCs w:val="24"/>
              </w:rPr>
              <w:t>响应文件递交截止时间3天前</w:t>
            </w:r>
            <w:r>
              <w:rPr>
                <w:rFonts w:hint="eastAsia" w:cs="Arial"/>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60" w:type="dxa"/>
            <w:vAlign w:val="center"/>
          </w:tcPr>
          <w:p>
            <w:pPr>
              <w:jc w:val="center"/>
              <w:rPr>
                <w:rFonts w:hint="eastAsia" w:eastAsia="宋体"/>
                <w:color w:val="auto"/>
                <w:kern w:val="0"/>
                <w:sz w:val="24"/>
                <w:szCs w:val="24"/>
                <w:lang w:eastAsia="zh-CN"/>
              </w:rPr>
            </w:pPr>
            <w:r>
              <w:rPr>
                <w:rFonts w:hint="eastAsia"/>
                <w:color w:val="auto"/>
                <w:kern w:val="0"/>
                <w:sz w:val="24"/>
                <w:szCs w:val="24"/>
              </w:rPr>
              <w:t>1.</w:t>
            </w:r>
            <w:r>
              <w:rPr>
                <w:rFonts w:hint="eastAsia"/>
                <w:color w:val="auto"/>
                <w:kern w:val="0"/>
                <w:sz w:val="24"/>
                <w:szCs w:val="24"/>
                <w:lang w:val="en-US" w:eastAsia="zh-CN"/>
              </w:rPr>
              <w:t>7</w:t>
            </w:r>
          </w:p>
        </w:tc>
        <w:tc>
          <w:tcPr>
            <w:tcW w:w="1922" w:type="dxa"/>
            <w:vAlign w:val="center"/>
          </w:tcPr>
          <w:p>
            <w:pPr>
              <w:rPr>
                <w:color w:val="auto"/>
                <w:kern w:val="0"/>
                <w:sz w:val="24"/>
                <w:szCs w:val="24"/>
              </w:rPr>
            </w:pPr>
            <w:r>
              <w:rPr>
                <w:rFonts w:hint="eastAsia"/>
                <w:color w:val="auto"/>
                <w:kern w:val="0"/>
                <w:sz w:val="24"/>
                <w:szCs w:val="24"/>
              </w:rPr>
              <w:t>采购人书面澄清的时间</w:t>
            </w:r>
          </w:p>
        </w:tc>
        <w:tc>
          <w:tcPr>
            <w:tcW w:w="6507" w:type="dxa"/>
            <w:vAlign w:val="center"/>
          </w:tcPr>
          <w:p>
            <w:pPr>
              <w:rPr>
                <w:color w:val="auto"/>
                <w:kern w:val="0"/>
                <w:sz w:val="24"/>
                <w:szCs w:val="24"/>
              </w:rPr>
            </w:pPr>
            <w:r>
              <w:rPr>
                <w:rFonts w:hint="eastAsia"/>
                <w:color w:val="auto"/>
                <w:kern w:val="0"/>
                <w:sz w:val="24"/>
                <w:szCs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1.8</w:t>
            </w:r>
          </w:p>
        </w:tc>
        <w:tc>
          <w:tcPr>
            <w:tcW w:w="1922" w:type="dxa"/>
            <w:vAlign w:val="center"/>
          </w:tcPr>
          <w:p>
            <w:pPr>
              <w:jc w:val="center"/>
              <w:rPr>
                <w:color w:val="auto"/>
                <w:kern w:val="0"/>
                <w:sz w:val="24"/>
                <w:szCs w:val="24"/>
              </w:rPr>
            </w:pPr>
            <w:r>
              <w:rPr>
                <w:rFonts w:hint="eastAsia"/>
                <w:color w:val="auto"/>
                <w:kern w:val="0"/>
                <w:sz w:val="24"/>
                <w:szCs w:val="24"/>
              </w:rPr>
              <w:t>分  包</w:t>
            </w:r>
          </w:p>
        </w:tc>
        <w:tc>
          <w:tcPr>
            <w:tcW w:w="650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1.9</w:t>
            </w:r>
          </w:p>
        </w:tc>
        <w:tc>
          <w:tcPr>
            <w:tcW w:w="1922" w:type="dxa"/>
            <w:vAlign w:val="center"/>
          </w:tcPr>
          <w:p>
            <w:pPr>
              <w:jc w:val="center"/>
              <w:rPr>
                <w:color w:val="auto"/>
                <w:kern w:val="0"/>
                <w:sz w:val="24"/>
                <w:szCs w:val="24"/>
              </w:rPr>
            </w:pPr>
            <w:r>
              <w:rPr>
                <w:rFonts w:hint="eastAsia"/>
                <w:color w:val="auto"/>
                <w:kern w:val="0"/>
                <w:sz w:val="24"/>
                <w:szCs w:val="24"/>
              </w:rPr>
              <w:t>偏  离</w:t>
            </w:r>
          </w:p>
        </w:tc>
        <w:tc>
          <w:tcPr>
            <w:tcW w:w="650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2.0</w:t>
            </w:r>
          </w:p>
        </w:tc>
        <w:tc>
          <w:tcPr>
            <w:tcW w:w="1922" w:type="dxa"/>
            <w:vAlign w:val="center"/>
          </w:tcPr>
          <w:p>
            <w:pPr>
              <w:rPr>
                <w:color w:val="auto"/>
                <w:kern w:val="0"/>
                <w:sz w:val="24"/>
                <w:szCs w:val="24"/>
              </w:rPr>
            </w:pPr>
            <w:r>
              <w:rPr>
                <w:rFonts w:hint="eastAsia"/>
                <w:color w:val="auto"/>
                <w:kern w:val="0"/>
                <w:sz w:val="24"/>
                <w:szCs w:val="24"/>
              </w:rPr>
              <w:t>构成询比采购文件的其他材料</w:t>
            </w:r>
          </w:p>
        </w:tc>
        <w:tc>
          <w:tcPr>
            <w:tcW w:w="6507" w:type="dxa"/>
            <w:vAlign w:val="center"/>
          </w:tcPr>
          <w:p>
            <w:pPr>
              <w:rPr>
                <w:color w:val="auto"/>
                <w:kern w:val="0"/>
                <w:sz w:val="24"/>
                <w:szCs w:val="24"/>
              </w:rPr>
            </w:pPr>
            <w:r>
              <w:rPr>
                <w:rFonts w:hint="eastAsia"/>
                <w:color w:val="auto"/>
                <w:kern w:val="0"/>
                <w:sz w:val="24"/>
                <w:szCs w:val="24"/>
              </w:rPr>
              <w:t>采购人（采购代理机构）对供应商发出的书面通知及答疑。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60" w:type="dxa"/>
            <w:vAlign w:val="center"/>
          </w:tcPr>
          <w:p>
            <w:pPr>
              <w:jc w:val="center"/>
              <w:rPr>
                <w:color w:val="auto"/>
                <w:kern w:val="0"/>
                <w:sz w:val="24"/>
                <w:szCs w:val="24"/>
              </w:rPr>
            </w:pPr>
            <w:r>
              <w:rPr>
                <w:rFonts w:hint="eastAsia"/>
                <w:color w:val="auto"/>
                <w:kern w:val="0"/>
                <w:sz w:val="24"/>
                <w:szCs w:val="24"/>
              </w:rPr>
              <w:t>3.1</w:t>
            </w:r>
          </w:p>
        </w:tc>
        <w:tc>
          <w:tcPr>
            <w:tcW w:w="1922" w:type="dxa"/>
            <w:vAlign w:val="center"/>
          </w:tcPr>
          <w:p>
            <w:pPr>
              <w:rPr>
                <w:color w:val="auto"/>
                <w:kern w:val="0"/>
                <w:sz w:val="24"/>
                <w:szCs w:val="24"/>
              </w:rPr>
            </w:pPr>
            <w:r>
              <w:rPr>
                <w:rFonts w:hint="eastAsia"/>
                <w:color w:val="auto"/>
                <w:kern w:val="0"/>
                <w:sz w:val="24"/>
                <w:szCs w:val="24"/>
              </w:rPr>
              <w:t>响应有效期</w:t>
            </w:r>
          </w:p>
        </w:tc>
        <w:tc>
          <w:tcPr>
            <w:tcW w:w="6507" w:type="dxa"/>
            <w:vAlign w:val="center"/>
          </w:tcPr>
          <w:p>
            <w:pPr>
              <w:rPr>
                <w:color w:val="auto"/>
                <w:kern w:val="0"/>
                <w:sz w:val="24"/>
                <w:szCs w:val="24"/>
              </w:rPr>
            </w:pPr>
            <w:r>
              <w:rPr>
                <w:rFonts w:hint="eastAsia"/>
                <w:color w:val="auto"/>
                <w:kern w:val="0"/>
                <w:sz w:val="24"/>
                <w:szCs w:val="24"/>
              </w:rPr>
              <w:t xml:space="preserve"> 60日历天（从提交响应文件截止日起计算）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60" w:type="dxa"/>
            <w:vAlign w:val="center"/>
          </w:tcPr>
          <w:p>
            <w:pPr>
              <w:jc w:val="center"/>
              <w:rPr>
                <w:color w:val="auto"/>
                <w:kern w:val="0"/>
                <w:sz w:val="24"/>
                <w:szCs w:val="24"/>
              </w:rPr>
            </w:pPr>
            <w:r>
              <w:rPr>
                <w:rFonts w:hint="eastAsia"/>
                <w:color w:val="auto"/>
                <w:kern w:val="0"/>
                <w:sz w:val="24"/>
                <w:szCs w:val="24"/>
              </w:rPr>
              <w:t>3.2</w:t>
            </w:r>
          </w:p>
        </w:tc>
        <w:tc>
          <w:tcPr>
            <w:tcW w:w="1922" w:type="dxa"/>
            <w:vAlign w:val="center"/>
          </w:tcPr>
          <w:p>
            <w:pPr>
              <w:rPr>
                <w:color w:val="auto"/>
                <w:kern w:val="0"/>
                <w:sz w:val="24"/>
                <w:szCs w:val="24"/>
              </w:rPr>
            </w:pPr>
            <w:r>
              <w:rPr>
                <w:rFonts w:hint="eastAsia"/>
                <w:color w:val="auto"/>
                <w:kern w:val="0"/>
                <w:sz w:val="24"/>
                <w:szCs w:val="24"/>
              </w:rPr>
              <w:t>近年财务状况的年份要求</w:t>
            </w:r>
          </w:p>
        </w:tc>
        <w:tc>
          <w:tcPr>
            <w:tcW w:w="6507" w:type="dxa"/>
            <w:vAlign w:val="center"/>
          </w:tcPr>
          <w:p>
            <w:pPr>
              <w:rPr>
                <w:color w:val="auto"/>
                <w:kern w:val="0"/>
                <w:sz w:val="24"/>
                <w:szCs w:val="24"/>
              </w:rPr>
            </w:pPr>
            <w:r>
              <w:rPr>
                <w:rFonts w:hint="eastAsia"/>
                <w:color w:val="auto"/>
                <w:kern w:val="0"/>
                <w:sz w:val="24"/>
                <w:szCs w:val="24"/>
              </w:rPr>
              <w:t>1年（20</w:t>
            </w:r>
            <w:r>
              <w:rPr>
                <w:rFonts w:hint="eastAsia"/>
                <w:color w:val="auto"/>
                <w:kern w:val="0"/>
                <w:sz w:val="24"/>
                <w:szCs w:val="24"/>
                <w:lang w:val="en-US" w:eastAsia="zh-CN"/>
              </w:rPr>
              <w:t>21</w:t>
            </w:r>
            <w:r>
              <w:rPr>
                <w:rFonts w:hint="eastAsia"/>
                <w:color w:val="auto"/>
                <w:kern w:val="0"/>
                <w:sz w:val="24"/>
                <w:szCs w:val="24"/>
              </w:rPr>
              <w:t>年度）</w:t>
            </w:r>
            <w:r>
              <w:rPr>
                <w:rFonts w:hint="eastAsia" w:cs="宋体"/>
                <w:kern w:val="0"/>
                <w:sz w:val="24"/>
                <w:szCs w:val="24"/>
                <w:lang w:bidi="ar"/>
              </w:rPr>
              <w:t>年度</w:t>
            </w:r>
            <w:r>
              <w:rPr>
                <w:rFonts w:hint="eastAsia" w:cs="宋体"/>
                <w:kern w:val="0"/>
                <w:sz w:val="24"/>
                <w:szCs w:val="24"/>
                <w:lang w:val="zh-CN" w:bidi="ar"/>
              </w:rPr>
              <w:t>财务状况审计报告</w:t>
            </w:r>
            <w:r>
              <w:rPr>
                <w:rFonts w:hint="eastAsia" w:cs="宋体"/>
                <w:kern w:val="0"/>
                <w:sz w:val="24"/>
                <w:szCs w:val="24"/>
                <w:lang w:bidi="ar"/>
              </w:rPr>
              <w:t>或供应商基本开户银行近三个月内出具的资信证明</w:t>
            </w:r>
            <w:r>
              <w:rPr>
                <w:rFonts w:hint="eastAsia" w:cs="宋体"/>
                <w:kern w:val="0"/>
                <w:sz w:val="24"/>
                <w:szCs w:val="24"/>
                <w:lang w:val="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260" w:type="dxa"/>
            <w:vAlign w:val="center"/>
          </w:tcPr>
          <w:p>
            <w:pPr>
              <w:jc w:val="center"/>
              <w:rPr>
                <w:rFonts w:hint="eastAsia" w:eastAsia="宋体"/>
                <w:color w:val="auto"/>
                <w:kern w:val="0"/>
                <w:sz w:val="24"/>
                <w:szCs w:val="24"/>
                <w:lang w:eastAsia="zh-CN"/>
              </w:rPr>
            </w:pPr>
            <w:r>
              <w:rPr>
                <w:rFonts w:hint="eastAsia"/>
                <w:color w:val="auto"/>
                <w:kern w:val="0"/>
                <w:sz w:val="24"/>
                <w:szCs w:val="24"/>
              </w:rPr>
              <w:t>3.</w:t>
            </w:r>
            <w:r>
              <w:rPr>
                <w:rFonts w:hint="eastAsia"/>
                <w:color w:val="auto"/>
                <w:kern w:val="0"/>
                <w:sz w:val="24"/>
                <w:szCs w:val="24"/>
                <w:lang w:val="en-US" w:eastAsia="zh-CN"/>
              </w:rPr>
              <w:t>3</w:t>
            </w:r>
          </w:p>
        </w:tc>
        <w:tc>
          <w:tcPr>
            <w:tcW w:w="1922" w:type="dxa"/>
            <w:vAlign w:val="center"/>
          </w:tcPr>
          <w:p>
            <w:pPr>
              <w:rPr>
                <w:color w:val="auto"/>
                <w:kern w:val="0"/>
                <w:sz w:val="24"/>
                <w:szCs w:val="24"/>
              </w:rPr>
            </w:pPr>
            <w:r>
              <w:rPr>
                <w:rFonts w:hint="eastAsia"/>
                <w:color w:val="auto"/>
                <w:kern w:val="0"/>
                <w:sz w:val="24"/>
                <w:szCs w:val="24"/>
              </w:rPr>
              <w:t>签字和（或）盖章要求</w:t>
            </w:r>
          </w:p>
        </w:tc>
        <w:tc>
          <w:tcPr>
            <w:tcW w:w="6507" w:type="dxa"/>
          </w:tcPr>
          <w:p>
            <w:pPr>
              <w:rPr>
                <w:color w:val="auto"/>
                <w:kern w:val="0"/>
                <w:sz w:val="24"/>
                <w:szCs w:val="24"/>
              </w:rPr>
            </w:pPr>
            <w:r>
              <w:rPr>
                <w:rFonts w:hint="eastAsia"/>
                <w:color w:val="auto"/>
                <w:kern w:val="0"/>
                <w:sz w:val="24"/>
                <w:szCs w:val="24"/>
              </w:rPr>
              <w:t>1、响应文件</w:t>
            </w:r>
            <w:r>
              <w:rPr>
                <w:color w:val="auto"/>
                <w:kern w:val="0"/>
                <w:sz w:val="24"/>
                <w:szCs w:val="24"/>
              </w:rPr>
              <w:t>必须</w:t>
            </w:r>
            <w:r>
              <w:rPr>
                <w:rFonts w:hint="eastAsia"/>
                <w:color w:val="auto"/>
                <w:kern w:val="0"/>
                <w:sz w:val="24"/>
                <w:szCs w:val="24"/>
              </w:rPr>
              <w:t>按照询比采购文件的格式要求签字或盖章；</w:t>
            </w:r>
          </w:p>
          <w:p>
            <w:pPr>
              <w:rPr>
                <w:color w:val="auto"/>
                <w:kern w:val="0"/>
                <w:sz w:val="24"/>
                <w:szCs w:val="24"/>
              </w:rPr>
            </w:pPr>
            <w:r>
              <w:rPr>
                <w:rFonts w:hint="eastAsia"/>
                <w:color w:val="auto"/>
                <w:kern w:val="0"/>
                <w:sz w:val="24"/>
                <w:szCs w:val="24"/>
              </w:rPr>
              <w:t>2、响应文件改动的，应在改动处的右下方由法定代表人或委托代理人盖章或签字。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260" w:type="dxa"/>
            <w:vAlign w:val="center"/>
          </w:tcPr>
          <w:p>
            <w:pPr>
              <w:spacing w:line="440" w:lineRule="exact"/>
              <w:jc w:val="center"/>
              <w:rPr>
                <w:rFonts w:hint="eastAsia" w:eastAsia="宋体"/>
                <w:color w:val="auto"/>
                <w:kern w:val="0"/>
                <w:sz w:val="24"/>
                <w:szCs w:val="24"/>
                <w:lang w:eastAsia="zh-CN"/>
              </w:rPr>
            </w:pPr>
            <w:r>
              <w:rPr>
                <w:rFonts w:hint="eastAsia"/>
                <w:color w:val="auto"/>
                <w:kern w:val="0"/>
                <w:sz w:val="24"/>
                <w:szCs w:val="24"/>
              </w:rPr>
              <w:t>3.</w:t>
            </w:r>
            <w:r>
              <w:rPr>
                <w:rFonts w:hint="eastAsia"/>
                <w:color w:val="auto"/>
                <w:kern w:val="0"/>
                <w:sz w:val="24"/>
                <w:szCs w:val="24"/>
                <w:lang w:val="en-US" w:eastAsia="zh-CN"/>
              </w:rPr>
              <w:t>4</w:t>
            </w:r>
          </w:p>
        </w:tc>
        <w:tc>
          <w:tcPr>
            <w:tcW w:w="1922" w:type="dxa"/>
            <w:vAlign w:val="center"/>
          </w:tcPr>
          <w:p>
            <w:pPr>
              <w:spacing w:line="440" w:lineRule="exact"/>
              <w:rPr>
                <w:color w:val="auto"/>
                <w:kern w:val="0"/>
                <w:sz w:val="24"/>
                <w:szCs w:val="24"/>
              </w:rPr>
            </w:pPr>
            <w:r>
              <w:rPr>
                <w:rFonts w:hint="eastAsia" w:ascii="Times New Roman" w:hAnsi="Times New Roman" w:cs="宋体"/>
                <w:sz w:val="24"/>
                <w:szCs w:val="24"/>
              </w:rPr>
              <w:t>响应文件副本份数及其他要求</w:t>
            </w:r>
          </w:p>
        </w:tc>
        <w:tc>
          <w:tcPr>
            <w:tcW w:w="6507" w:type="dxa"/>
            <w:vAlign w:val="center"/>
          </w:tcPr>
          <w:p>
            <w:pPr>
              <w:autoSpaceDE w:val="0"/>
              <w:autoSpaceDN w:val="0"/>
              <w:adjustRightInd w:val="0"/>
              <w:spacing w:line="400" w:lineRule="exact"/>
              <w:rPr>
                <w:sz w:val="24"/>
                <w:szCs w:val="24"/>
              </w:rPr>
            </w:pPr>
            <w:r>
              <w:rPr>
                <w:rFonts w:hint="eastAsia"/>
                <w:sz w:val="24"/>
                <w:szCs w:val="24"/>
              </w:rPr>
              <w:t>响应文件副本份数：2份</w:t>
            </w:r>
          </w:p>
          <w:p>
            <w:pPr>
              <w:autoSpaceDE w:val="0"/>
              <w:autoSpaceDN w:val="0"/>
              <w:adjustRightInd w:val="0"/>
              <w:spacing w:line="400" w:lineRule="exact"/>
              <w:rPr>
                <w:sz w:val="24"/>
                <w:szCs w:val="24"/>
              </w:rPr>
            </w:pPr>
            <w:r>
              <w:rPr>
                <w:rFonts w:hint="eastAsia"/>
                <w:sz w:val="24"/>
                <w:szCs w:val="24"/>
              </w:rPr>
              <w:t>响应文件电子版份数：1份</w:t>
            </w:r>
          </w:p>
          <w:p>
            <w:pPr>
              <w:autoSpaceDE w:val="0"/>
              <w:autoSpaceDN w:val="0"/>
              <w:adjustRightInd w:val="0"/>
              <w:spacing w:line="400" w:lineRule="exact"/>
              <w:rPr>
                <w:sz w:val="24"/>
                <w:szCs w:val="24"/>
              </w:rPr>
            </w:pPr>
            <w:r>
              <w:rPr>
                <w:rFonts w:hint="eastAsia"/>
                <w:sz w:val="24"/>
                <w:szCs w:val="24"/>
              </w:rPr>
              <w:t>响应文件电子版形式：U盘</w:t>
            </w:r>
          </w:p>
          <w:p>
            <w:pPr>
              <w:autoSpaceDE w:val="0"/>
              <w:autoSpaceDN w:val="0"/>
              <w:adjustRightInd w:val="0"/>
              <w:spacing w:line="400" w:lineRule="exact"/>
              <w:rPr>
                <w:color w:val="auto"/>
                <w:kern w:val="0"/>
                <w:sz w:val="24"/>
                <w:szCs w:val="24"/>
              </w:rPr>
            </w:pPr>
            <w:r>
              <w:rPr>
                <w:rFonts w:hint="eastAsia"/>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3.5</w:t>
            </w:r>
          </w:p>
        </w:tc>
        <w:tc>
          <w:tcPr>
            <w:tcW w:w="1922" w:type="dxa"/>
            <w:vAlign w:val="center"/>
          </w:tcPr>
          <w:p>
            <w:pPr>
              <w:jc w:val="center"/>
              <w:rPr>
                <w:color w:val="auto"/>
                <w:kern w:val="0"/>
                <w:sz w:val="24"/>
                <w:szCs w:val="24"/>
              </w:rPr>
            </w:pPr>
            <w:r>
              <w:rPr>
                <w:rFonts w:hint="eastAsia"/>
                <w:color w:val="auto"/>
                <w:kern w:val="0"/>
                <w:sz w:val="24"/>
                <w:szCs w:val="24"/>
              </w:rPr>
              <w:t>封套上写明</w:t>
            </w:r>
          </w:p>
        </w:tc>
        <w:tc>
          <w:tcPr>
            <w:tcW w:w="6507" w:type="dxa"/>
            <w:vAlign w:val="center"/>
          </w:tcPr>
          <w:p>
            <w:pPr>
              <w:rPr>
                <w:color w:val="auto"/>
                <w:kern w:val="0"/>
                <w:sz w:val="24"/>
                <w:szCs w:val="24"/>
              </w:rPr>
            </w:pPr>
            <w:r>
              <w:rPr>
                <w:rFonts w:hint="eastAsia"/>
                <w:color w:val="auto"/>
                <w:kern w:val="0"/>
                <w:sz w:val="24"/>
                <w:szCs w:val="24"/>
              </w:rPr>
              <w:t>供应商地址：</w:t>
            </w:r>
          </w:p>
          <w:p>
            <w:pPr>
              <w:rPr>
                <w:color w:val="auto"/>
                <w:kern w:val="0"/>
                <w:sz w:val="24"/>
                <w:szCs w:val="24"/>
              </w:rPr>
            </w:pPr>
            <w:r>
              <w:rPr>
                <w:rFonts w:hint="eastAsia"/>
                <w:color w:val="auto"/>
                <w:kern w:val="0"/>
                <w:sz w:val="24"/>
                <w:szCs w:val="24"/>
              </w:rPr>
              <w:t>供应商名称：</w:t>
            </w:r>
          </w:p>
          <w:p>
            <w:pPr>
              <w:rPr>
                <w:color w:val="auto"/>
                <w:kern w:val="0"/>
                <w:sz w:val="24"/>
                <w:szCs w:val="24"/>
              </w:rPr>
            </w:pPr>
            <w:r>
              <w:rPr>
                <w:rFonts w:hint="eastAsia"/>
                <w:color w:val="auto"/>
                <w:kern w:val="0"/>
                <w:sz w:val="24"/>
                <w:szCs w:val="24"/>
                <w:u w:val="single"/>
              </w:rPr>
              <w:t xml:space="preserve">        </w:t>
            </w:r>
            <w:r>
              <w:rPr>
                <w:rFonts w:hint="eastAsia"/>
                <w:color w:val="auto"/>
                <w:kern w:val="0"/>
                <w:sz w:val="24"/>
                <w:szCs w:val="24"/>
              </w:rPr>
              <w:t>（项目名称）</w:t>
            </w:r>
            <w:r>
              <w:rPr>
                <w:rFonts w:hint="eastAsia"/>
                <w:color w:val="auto"/>
                <w:kern w:val="0"/>
                <w:sz w:val="24"/>
                <w:szCs w:val="24"/>
                <w:u w:val="single"/>
              </w:rPr>
              <w:t xml:space="preserve">     </w:t>
            </w:r>
            <w:r>
              <w:rPr>
                <w:rFonts w:hint="eastAsia"/>
                <w:color w:val="auto"/>
                <w:kern w:val="0"/>
                <w:sz w:val="24"/>
                <w:szCs w:val="24"/>
              </w:rPr>
              <w:t>标段响应文件在</w:t>
            </w:r>
            <w:r>
              <w:rPr>
                <w:rFonts w:hint="eastAsia"/>
                <w:color w:val="auto"/>
                <w:kern w:val="0"/>
                <w:sz w:val="24"/>
                <w:szCs w:val="24"/>
                <w:u w:val="single"/>
              </w:rPr>
              <w:t xml:space="preserve">  </w:t>
            </w:r>
            <w:r>
              <w:rPr>
                <w:rFonts w:hint="eastAsia"/>
                <w:color w:val="auto"/>
                <w:kern w:val="0"/>
                <w:sz w:val="24"/>
                <w:szCs w:val="24"/>
              </w:rPr>
              <w:t>年</w:t>
            </w:r>
            <w:r>
              <w:rPr>
                <w:rFonts w:hint="eastAsia"/>
                <w:color w:val="auto"/>
                <w:kern w:val="0"/>
                <w:sz w:val="24"/>
                <w:szCs w:val="24"/>
                <w:u w:val="single"/>
              </w:rPr>
              <w:t xml:space="preserve">  </w:t>
            </w:r>
            <w:r>
              <w:rPr>
                <w:rFonts w:hint="eastAsia"/>
                <w:color w:val="auto"/>
                <w:kern w:val="0"/>
                <w:sz w:val="24"/>
                <w:szCs w:val="24"/>
              </w:rPr>
              <w:t>月</w:t>
            </w:r>
            <w:r>
              <w:rPr>
                <w:rFonts w:hint="eastAsia"/>
                <w:color w:val="auto"/>
                <w:kern w:val="0"/>
                <w:sz w:val="24"/>
                <w:szCs w:val="24"/>
                <w:u w:val="single"/>
              </w:rPr>
              <w:t xml:space="preserve">  </w:t>
            </w:r>
            <w:r>
              <w:rPr>
                <w:rFonts w:hint="eastAsia"/>
                <w:color w:val="auto"/>
                <w:kern w:val="0"/>
                <w:sz w:val="24"/>
                <w:szCs w:val="24"/>
              </w:rPr>
              <w:t>日</w:t>
            </w:r>
            <w:r>
              <w:rPr>
                <w:rFonts w:hint="eastAsia"/>
                <w:color w:val="auto"/>
                <w:kern w:val="0"/>
                <w:sz w:val="24"/>
                <w:szCs w:val="24"/>
                <w:u w:val="single"/>
              </w:rPr>
              <w:t xml:space="preserve">  </w:t>
            </w:r>
            <w:r>
              <w:rPr>
                <w:rFonts w:hint="eastAsia"/>
                <w:color w:val="auto"/>
                <w:kern w:val="0"/>
                <w:sz w:val="24"/>
                <w:szCs w:val="24"/>
              </w:rPr>
              <w:t>时</w:t>
            </w:r>
            <w:r>
              <w:rPr>
                <w:rFonts w:hint="eastAsia"/>
                <w:color w:val="auto"/>
                <w:kern w:val="0"/>
                <w:sz w:val="24"/>
                <w:szCs w:val="24"/>
                <w:u w:val="single"/>
              </w:rPr>
              <w:t xml:space="preserve">  </w:t>
            </w:r>
            <w:r>
              <w:rPr>
                <w:rFonts w:hint="eastAsia"/>
                <w:color w:val="auto"/>
                <w:kern w:val="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3.6</w:t>
            </w:r>
          </w:p>
        </w:tc>
        <w:tc>
          <w:tcPr>
            <w:tcW w:w="1922" w:type="dxa"/>
            <w:vAlign w:val="center"/>
          </w:tcPr>
          <w:p>
            <w:pPr>
              <w:jc w:val="center"/>
              <w:rPr>
                <w:color w:val="auto"/>
                <w:kern w:val="0"/>
                <w:sz w:val="24"/>
                <w:szCs w:val="24"/>
              </w:rPr>
            </w:pPr>
            <w:r>
              <w:rPr>
                <w:rFonts w:hint="eastAsia"/>
                <w:color w:val="auto"/>
                <w:kern w:val="0"/>
                <w:sz w:val="24"/>
                <w:szCs w:val="24"/>
              </w:rPr>
              <w:t>开标程序</w:t>
            </w:r>
          </w:p>
        </w:tc>
        <w:tc>
          <w:tcPr>
            <w:tcW w:w="6507" w:type="dxa"/>
          </w:tcPr>
          <w:p>
            <w:pPr>
              <w:rPr>
                <w:color w:val="auto"/>
                <w:kern w:val="0"/>
                <w:sz w:val="24"/>
                <w:szCs w:val="24"/>
              </w:rPr>
            </w:pPr>
            <w:r>
              <w:rPr>
                <w:rFonts w:hint="eastAsia"/>
                <w:color w:val="auto"/>
                <w:kern w:val="0"/>
                <w:sz w:val="24"/>
                <w:szCs w:val="24"/>
              </w:rPr>
              <w:t>密封情况检查：监督部门或供应商代表现场检查密封情况，当众开封并记录；</w:t>
            </w:r>
          </w:p>
          <w:p>
            <w:pPr>
              <w:ind w:left="600" w:hanging="600" w:hangingChars="250"/>
              <w:rPr>
                <w:color w:val="auto"/>
                <w:kern w:val="0"/>
                <w:sz w:val="24"/>
                <w:szCs w:val="24"/>
              </w:rPr>
            </w:pPr>
            <w:r>
              <w:rPr>
                <w:rFonts w:hint="eastAsia"/>
                <w:color w:val="auto"/>
                <w:kern w:val="0"/>
                <w:sz w:val="24"/>
                <w:szCs w:val="24"/>
              </w:rPr>
              <w:t>开标顺序：按询比响应文件递交的自然顺序。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3.7</w:t>
            </w:r>
          </w:p>
        </w:tc>
        <w:tc>
          <w:tcPr>
            <w:tcW w:w="1922" w:type="dxa"/>
            <w:vAlign w:val="center"/>
          </w:tcPr>
          <w:p>
            <w:pPr>
              <w:rPr>
                <w:color w:val="auto"/>
                <w:kern w:val="0"/>
                <w:sz w:val="24"/>
                <w:szCs w:val="24"/>
              </w:rPr>
            </w:pPr>
            <w:r>
              <w:rPr>
                <w:rFonts w:hint="eastAsia"/>
                <w:color w:val="auto"/>
                <w:kern w:val="0"/>
                <w:sz w:val="24"/>
                <w:szCs w:val="24"/>
              </w:rPr>
              <w:t>评审小组的组建</w:t>
            </w:r>
          </w:p>
        </w:tc>
        <w:tc>
          <w:tcPr>
            <w:tcW w:w="6507" w:type="dxa"/>
            <w:vAlign w:val="center"/>
          </w:tcPr>
          <w:p>
            <w:pPr>
              <w:rPr>
                <w:color w:val="auto"/>
                <w:kern w:val="0"/>
                <w:sz w:val="24"/>
                <w:szCs w:val="24"/>
              </w:rPr>
            </w:pPr>
            <w:r>
              <w:rPr>
                <w:rFonts w:hint="eastAsia"/>
                <w:color w:val="auto"/>
                <w:kern w:val="0"/>
                <w:sz w:val="24"/>
                <w:szCs w:val="24"/>
              </w:rPr>
              <w:t>（1）评审小组构成：评审小组</w:t>
            </w:r>
            <w:r>
              <w:rPr>
                <w:color w:val="auto"/>
                <w:kern w:val="0"/>
                <w:sz w:val="24"/>
                <w:szCs w:val="24"/>
              </w:rPr>
              <w:t>由</w:t>
            </w:r>
            <w:r>
              <w:rPr>
                <w:rFonts w:hint="eastAsia"/>
                <w:color w:val="auto"/>
                <w:kern w:val="0"/>
                <w:sz w:val="24"/>
                <w:szCs w:val="24"/>
              </w:rPr>
              <w:t>采购人</w:t>
            </w:r>
            <w:r>
              <w:rPr>
                <w:color w:val="auto"/>
                <w:kern w:val="0"/>
                <w:sz w:val="24"/>
                <w:szCs w:val="24"/>
              </w:rPr>
              <w:t>代表和有关技术、经济等方面的专家组成，成员人数为</w:t>
            </w:r>
            <w:r>
              <w:rPr>
                <w:rFonts w:hint="eastAsia"/>
                <w:color w:val="auto"/>
                <w:kern w:val="0"/>
                <w:sz w:val="24"/>
                <w:szCs w:val="24"/>
              </w:rPr>
              <w:t>三</w:t>
            </w:r>
            <w:r>
              <w:rPr>
                <w:color w:val="auto"/>
                <w:kern w:val="0"/>
                <w:sz w:val="24"/>
                <w:szCs w:val="24"/>
              </w:rPr>
              <w:t>人以上单数，其中技术、经济等方面的专家不得少于成员总数的三分之二。</w:t>
            </w:r>
          </w:p>
          <w:p>
            <w:pPr>
              <w:rPr>
                <w:color w:val="auto"/>
                <w:kern w:val="0"/>
                <w:sz w:val="24"/>
                <w:szCs w:val="24"/>
              </w:rPr>
            </w:pPr>
            <w:r>
              <w:rPr>
                <w:rFonts w:hint="eastAsia"/>
                <w:color w:val="auto"/>
                <w:kern w:val="0"/>
                <w:sz w:val="24"/>
                <w:szCs w:val="24"/>
              </w:rPr>
              <w:t>（2）评审小组确定方式：随机抽取。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3.8</w:t>
            </w:r>
          </w:p>
        </w:tc>
        <w:tc>
          <w:tcPr>
            <w:tcW w:w="1922" w:type="dxa"/>
            <w:vAlign w:val="center"/>
          </w:tcPr>
          <w:p>
            <w:pPr>
              <w:rPr>
                <w:color w:val="auto"/>
                <w:kern w:val="0"/>
                <w:sz w:val="24"/>
                <w:szCs w:val="24"/>
              </w:rPr>
            </w:pPr>
            <w:r>
              <w:rPr>
                <w:rFonts w:hint="eastAsia"/>
                <w:color w:val="auto"/>
                <w:kern w:val="0"/>
                <w:sz w:val="24"/>
                <w:szCs w:val="24"/>
              </w:rPr>
              <w:t>是否授权评审小组确定中标人</w:t>
            </w:r>
          </w:p>
        </w:tc>
        <w:tc>
          <w:tcPr>
            <w:tcW w:w="6507" w:type="dxa"/>
            <w:vAlign w:val="center"/>
          </w:tcPr>
          <w:p>
            <w:pPr>
              <w:rPr>
                <w:color w:val="auto"/>
                <w:kern w:val="0"/>
                <w:sz w:val="24"/>
                <w:szCs w:val="24"/>
              </w:rPr>
            </w:pPr>
            <w:r>
              <w:rPr>
                <w:rFonts w:hint="eastAsia"/>
                <w:color w:val="auto"/>
                <w:kern w:val="0"/>
                <w:sz w:val="24"/>
                <w:szCs w:val="24"/>
              </w:rPr>
              <w:t>□是</w:t>
            </w:r>
          </w:p>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否，推荐的中标候选人数：</w:t>
            </w:r>
            <w:r>
              <w:rPr>
                <w:rFonts w:hint="eastAsia"/>
                <w:color w:val="auto"/>
                <w:kern w:val="0"/>
                <w:sz w:val="24"/>
                <w:szCs w:val="24"/>
                <w:u w:val="single"/>
              </w:rPr>
              <w:t xml:space="preserve">3人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260" w:type="dxa"/>
            <w:vAlign w:val="center"/>
          </w:tcPr>
          <w:p>
            <w:pPr>
              <w:jc w:val="center"/>
              <w:rPr>
                <w:rFonts w:hint="default" w:eastAsia="宋体"/>
                <w:color w:val="auto"/>
                <w:kern w:val="0"/>
                <w:sz w:val="24"/>
                <w:szCs w:val="24"/>
                <w:lang w:val="en-US" w:eastAsia="zh-CN"/>
              </w:rPr>
            </w:pPr>
            <w:r>
              <w:rPr>
                <w:rFonts w:hint="eastAsia"/>
                <w:color w:val="auto"/>
                <w:kern w:val="0"/>
                <w:sz w:val="24"/>
                <w:szCs w:val="24"/>
                <w:lang w:val="en-US" w:eastAsia="zh-CN"/>
              </w:rPr>
              <w:t>3.9</w:t>
            </w:r>
          </w:p>
        </w:tc>
        <w:tc>
          <w:tcPr>
            <w:tcW w:w="1922" w:type="dxa"/>
            <w:vAlign w:val="center"/>
          </w:tcPr>
          <w:p>
            <w:pPr>
              <w:jc w:val="center"/>
              <w:rPr>
                <w:color w:val="auto"/>
                <w:kern w:val="0"/>
                <w:sz w:val="24"/>
                <w:szCs w:val="24"/>
              </w:rPr>
            </w:pPr>
            <w:r>
              <w:rPr>
                <w:rFonts w:hint="eastAsia"/>
                <w:color w:val="auto"/>
                <w:kern w:val="0"/>
                <w:sz w:val="24"/>
                <w:szCs w:val="24"/>
              </w:rPr>
              <w:t>履约担保</w:t>
            </w:r>
          </w:p>
        </w:tc>
        <w:tc>
          <w:tcPr>
            <w:tcW w:w="6507" w:type="dxa"/>
            <w:vAlign w:val="center"/>
          </w:tcPr>
          <w:p>
            <w:pPr>
              <w:rPr>
                <w:color w:val="auto"/>
                <w:kern w:val="0"/>
                <w:sz w:val="24"/>
                <w:szCs w:val="24"/>
              </w:rPr>
            </w:pPr>
            <w:r>
              <w:rPr>
                <w:rFonts w:hint="eastAsia"/>
                <w:color w:val="auto"/>
                <w:kern w:val="0"/>
                <w:sz w:val="24"/>
                <w:szCs w:val="24"/>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89" w:type="dxa"/>
            <w:gridSpan w:val="3"/>
            <w:vAlign w:val="center"/>
          </w:tcPr>
          <w:p>
            <w:pPr>
              <w:jc w:val="center"/>
              <w:rPr>
                <w:rFonts w:ascii="仿宋_GB2312" w:eastAsia="仿宋_GB2312"/>
                <w:color w:val="auto"/>
                <w:kern w:val="0"/>
                <w:sz w:val="24"/>
                <w:szCs w:val="24"/>
              </w:rPr>
            </w:pPr>
            <w:r>
              <w:rPr>
                <w:rFonts w:hint="eastAsia"/>
                <w:color w:val="auto"/>
                <w:kern w:val="0"/>
                <w:sz w:val="24"/>
                <w:szCs w:val="24"/>
                <w:lang w:val="en-US" w:eastAsia="zh-CN"/>
              </w:rPr>
              <w:t>4</w:t>
            </w:r>
            <w:r>
              <w:rPr>
                <w:rFonts w:hint="eastAsia"/>
                <w:color w:val="auto"/>
                <w:kern w:val="0"/>
                <w:sz w:val="24"/>
                <w:szCs w:val="24"/>
              </w:rPr>
              <w:t>.1 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vAlign w:val="center"/>
          </w:tcPr>
          <w:p>
            <w:pPr>
              <w:jc w:val="center"/>
              <w:rPr>
                <w:color w:val="auto"/>
                <w:kern w:val="0"/>
                <w:sz w:val="24"/>
                <w:szCs w:val="24"/>
              </w:rPr>
            </w:pPr>
          </w:p>
        </w:tc>
        <w:tc>
          <w:tcPr>
            <w:tcW w:w="1922" w:type="dxa"/>
            <w:vAlign w:val="center"/>
          </w:tcPr>
          <w:p>
            <w:pPr>
              <w:jc w:val="center"/>
              <w:rPr>
                <w:color w:val="auto"/>
                <w:kern w:val="0"/>
                <w:sz w:val="24"/>
                <w:szCs w:val="24"/>
              </w:rPr>
            </w:pPr>
            <w:r>
              <w:rPr>
                <w:rFonts w:hint="eastAsia"/>
                <w:color w:val="auto"/>
                <w:kern w:val="0"/>
                <w:sz w:val="24"/>
                <w:szCs w:val="24"/>
              </w:rPr>
              <w:t>采购代理服务费</w:t>
            </w:r>
          </w:p>
        </w:tc>
        <w:tc>
          <w:tcPr>
            <w:tcW w:w="6507" w:type="dxa"/>
            <w:vAlign w:val="center"/>
          </w:tcPr>
          <w:p>
            <w:pPr>
              <w:spacing w:line="360" w:lineRule="auto"/>
              <w:rPr>
                <w:rFonts w:hint="eastAsia"/>
                <w:color w:val="auto"/>
                <w:kern w:val="0"/>
                <w:sz w:val="24"/>
                <w:szCs w:val="24"/>
              </w:rPr>
            </w:pPr>
            <w:r>
              <w:rPr>
                <w:rFonts w:hint="eastAsia"/>
                <w:color w:val="auto"/>
                <w:kern w:val="0"/>
                <w:sz w:val="24"/>
                <w:szCs w:val="24"/>
              </w:rPr>
              <w:t>本项目采购代理服务费：</w:t>
            </w:r>
          </w:p>
          <w:p>
            <w:pPr>
              <w:autoSpaceDE w:val="0"/>
              <w:autoSpaceDN w:val="0"/>
              <w:adjustRightInd w:val="0"/>
              <w:spacing w:line="360" w:lineRule="auto"/>
              <w:rPr>
                <w:rFonts w:hint="default" w:eastAsia="宋体"/>
                <w:b/>
                <w:bCs/>
                <w:sz w:val="24"/>
                <w:szCs w:val="24"/>
                <w:lang w:val="en-US" w:eastAsia="zh-CN"/>
              </w:rPr>
            </w:pPr>
            <w:r>
              <w:rPr>
                <w:rFonts w:hint="eastAsia"/>
                <w:b/>
                <w:bCs/>
                <w:sz w:val="24"/>
                <w:szCs w:val="24"/>
              </w:rPr>
              <w:t>收取对象：</w:t>
            </w:r>
            <w:r>
              <w:rPr>
                <w:rFonts w:hint="eastAsia"/>
                <w:b/>
                <w:bCs/>
                <w:sz w:val="24"/>
                <w:szCs w:val="24"/>
                <w:lang w:val="en-US" w:eastAsia="zh-CN"/>
              </w:rPr>
              <w:t>成交供应商</w:t>
            </w:r>
          </w:p>
          <w:p>
            <w:pPr>
              <w:spacing w:line="360" w:lineRule="auto"/>
              <w:rPr>
                <w:rFonts w:hint="eastAsia"/>
                <w:b/>
                <w:bCs/>
                <w:sz w:val="24"/>
                <w:szCs w:val="24"/>
              </w:rPr>
            </w:pPr>
            <w:r>
              <w:rPr>
                <w:rFonts w:hint="eastAsia"/>
                <w:b/>
                <w:bCs/>
                <w:sz w:val="24"/>
                <w:szCs w:val="24"/>
              </w:rPr>
              <w:t>收取方式：转账</w:t>
            </w:r>
          </w:p>
          <w:p>
            <w:pPr>
              <w:spacing w:line="360" w:lineRule="auto"/>
              <w:rPr>
                <w:color w:val="auto"/>
                <w:kern w:val="0"/>
                <w:sz w:val="24"/>
                <w:szCs w:val="24"/>
              </w:rPr>
            </w:pPr>
            <w:r>
              <w:rPr>
                <w:rFonts w:hint="eastAsia"/>
                <w:b/>
                <w:bCs/>
                <w:sz w:val="24"/>
                <w:szCs w:val="24"/>
                <w:lang w:val="zh-CN" w:eastAsia="zh-CN"/>
              </w:rPr>
              <w:t>收取金额：</w:t>
            </w:r>
            <w:r>
              <w:rPr>
                <w:rFonts w:hint="eastAsia"/>
                <w:b/>
                <w:bCs/>
                <w:sz w:val="24"/>
                <w:szCs w:val="24"/>
                <w:lang w:val="en-US" w:eastAsia="zh-CN"/>
              </w:rPr>
              <w:t>5000.00元(大写：伍仟元整）</w:t>
            </w:r>
          </w:p>
          <w:p>
            <w:pPr>
              <w:rPr>
                <w:color w:val="auto"/>
                <w:kern w:val="0"/>
                <w:sz w:val="24"/>
                <w:szCs w:val="24"/>
                <w:lang w:val="zh-CN"/>
              </w:rPr>
            </w:pPr>
            <w:r>
              <w:rPr>
                <w:rFonts w:hint="eastAsia"/>
                <w:color w:val="auto"/>
                <w:kern w:val="0"/>
                <w:sz w:val="24"/>
                <w:szCs w:val="24"/>
                <w:lang w:val="zh-CN"/>
              </w:rPr>
              <w:t>收取单位：青海中旭工程项目管理有限公司</w:t>
            </w:r>
          </w:p>
          <w:p>
            <w:pPr>
              <w:jc w:val="center"/>
              <w:rPr>
                <w:color w:val="auto"/>
                <w:kern w:val="0"/>
                <w:sz w:val="24"/>
                <w:szCs w:val="24"/>
                <w:lang w:val="zh-CN"/>
              </w:rPr>
            </w:pPr>
            <w:r>
              <w:rPr>
                <w:rFonts w:hint="eastAsia"/>
                <w:color w:val="auto"/>
                <w:kern w:val="0"/>
                <w:sz w:val="24"/>
                <w:szCs w:val="24"/>
                <w:lang w:val="zh-CN"/>
              </w:rPr>
              <w:t>开户银行：中国农业银行股份有限公司西宁城西区万达支行交通巷分理处</w:t>
            </w:r>
          </w:p>
          <w:p>
            <w:pPr>
              <w:rPr>
                <w:color w:val="auto"/>
                <w:kern w:val="0"/>
                <w:sz w:val="24"/>
                <w:szCs w:val="24"/>
              </w:rPr>
            </w:pPr>
            <w:r>
              <w:rPr>
                <w:rFonts w:hint="eastAsia"/>
                <w:color w:val="auto"/>
                <w:kern w:val="0"/>
                <w:sz w:val="24"/>
                <w:szCs w:val="24"/>
                <w:lang w:val="zh-CN"/>
              </w:rPr>
              <w:t>代理服务费账号：2804</w:t>
            </w:r>
            <w:r>
              <w:rPr>
                <w:rFonts w:hint="eastAsia"/>
                <w:color w:val="auto"/>
                <w:kern w:val="0"/>
                <w:sz w:val="24"/>
                <w:szCs w:val="24"/>
              </w:rPr>
              <w:t xml:space="preserve"> </w:t>
            </w:r>
            <w:r>
              <w:rPr>
                <w:rFonts w:hint="eastAsia"/>
                <w:color w:val="auto"/>
                <w:kern w:val="0"/>
                <w:sz w:val="24"/>
                <w:szCs w:val="24"/>
                <w:lang w:val="zh-CN"/>
              </w:rPr>
              <w:t>3001</w:t>
            </w:r>
            <w:r>
              <w:rPr>
                <w:rFonts w:hint="eastAsia"/>
                <w:color w:val="auto"/>
                <w:kern w:val="0"/>
                <w:sz w:val="24"/>
                <w:szCs w:val="24"/>
              </w:rPr>
              <w:t xml:space="preserve"> </w:t>
            </w:r>
            <w:r>
              <w:rPr>
                <w:rFonts w:hint="eastAsia"/>
                <w:color w:val="auto"/>
                <w:kern w:val="0"/>
                <w:sz w:val="24"/>
                <w:szCs w:val="24"/>
                <w:lang w:val="zh-CN"/>
              </w:rPr>
              <w:t>0400</w:t>
            </w:r>
            <w:r>
              <w:rPr>
                <w:rFonts w:hint="eastAsia"/>
                <w:color w:val="auto"/>
                <w:kern w:val="0"/>
                <w:sz w:val="24"/>
                <w:szCs w:val="24"/>
              </w:rPr>
              <w:t xml:space="preserve"> </w:t>
            </w:r>
            <w:r>
              <w:rPr>
                <w:rFonts w:hint="eastAsia"/>
                <w:color w:val="auto"/>
                <w:kern w:val="0"/>
                <w:sz w:val="24"/>
                <w:szCs w:val="24"/>
                <w:lang w:val="zh-CN"/>
              </w:rPr>
              <w:t>0179</w:t>
            </w:r>
            <w:r>
              <w:rPr>
                <w:rFonts w:hint="eastAsia"/>
                <w:color w:val="auto"/>
                <w:kern w:val="0"/>
                <w:sz w:val="24"/>
                <w:szCs w:val="24"/>
              </w:rPr>
              <w:t xml:space="preserve"> </w:t>
            </w:r>
            <w:r>
              <w:rPr>
                <w:rFonts w:hint="eastAsia"/>
                <w:color w:val="auto"/>
                <w:kern w:val="0"/>
                <w:sz w:val="24"/>
                <w:szCs w:val="24"/>
                <w:lang w:val="zh-CN"/>
              </w:rPr>
              <w:t>1（开户行号：103851004307）（</w:t>
            </w:r>
            <w:r>
              <w:rPr>
                <w:rFonts w:hint="eastAsia"/>
                <w:color w:val="auto"/>
                <w:kern w:val="0"/>
                <w:sz w:val="24"/>
                <w:szCs w:val="24"/>
              </w:rPr>
              <w:t>采购代理服务费</w:t>
            </w:r>
            <w:r>
              <w:rPr>
                <w:rFonts w:hint="eastAsia"/>
                <w:color w:val="auto"/>
                <w:kern w:val="0"/>
                <w:sz w:val="24"/>
                <w:szCs w:val="24"/>
                <w:lang w:val="zh-CN"/>
              </w:rPr>
              <w:t>专用账号）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.2供应商代表出席开标会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pPr>
              <w:jc w:val="center"/>
              <w:rPr>
                <w:color w:val="auto"/>
                <w:kern w:val="0"/>
                <w:sz w:val="24"/>
                <w:szCs w:val="24"/>
              </w:rPr>
            </w:pPr>
          </w:p>
        </w:tc>
        <w:tc>
          <w:tcPr>
            <w:tcW w:w="8429" w:type="dxa"/>
            <w:gridSpan w:val="2"/>
            <w:vAlign w:val="center"/>
          </w:tcPr>
          <w:p>
            <w:pPr>
              <w:jc w:val="center"/>
              <w:rPr>
                <w:color w:val="auto"/>
                <w:kern w:val="0"/>
                <w:sz w:val="24"/>
                <w:szCs w:val="24"/>
              </w:rPr>
            </w:pPr>
            <w:r>
              <w:rPr>
                <w:rFonts w:hint="eastAsia"/>
                <w:color w:val="auto"/>
                <w:kern w:val="0"/>
                <w:sz w:val="24"/>
                <w:szCs w:val="24"/>
              </w:rPr>
              <w:t>按照本须知第5.1款的规定，采购人邀请所有供应商的法定代表人或其委托代理人参加开标会。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.3中标公示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在成交通知书发出前，采购人依据《招标公告和公示信息发布管理办法》（2017第10号令），在询比采购项目询比采购公告发布的同一媒介予以公示信息发布。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.4知识产权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构成本询比采购文件各个组成部分的文件，未经采购人书面同意，供应商不得擅自复制和用于非本询比采购项目所需的其他目的。采购人全部或者部分使用未中标人询比采购文件中的技术成果或技术方案时，需征得其书面同意，并不得擅自复制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.5监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本项目的询比采购活动及其相关当事人应当接受有管辖权的建设行政主管部门或相关部门依法实施的监督。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89" w:type="dxa"/>
            <w:gridSpan w:val="3"/>
            <w:vAlign w:val="center"/>
          </w:tcPr>
          <w:p>
            <w:pPr>
              <w:jc w:val="center"/>
              <w:rPr>
                <w:color w:val="auto"/>
                <w:kern w:val="0"/>
                <w:sz w:val="24"/>
                <w:szCs w:val="24"/>
              </w:rPr>
            </w:pPr>
            <w:r>
              <w:rPr>
                <w:rFonts w:hint="eastAsia"/>
                <w:color w:val="auto"/>
                <w:kern w:val="0"/>
                <w:sz w:val="24"/>
                <w:szCs w:val="24"/>
                <w:lang w:val="en-US" w:eastAsia="zh-CN"/>
              </w:rPr>
              <w:t>4</w:t>
            </w:r>
            <w:r>
              <w:rPr>
                <w:rFonts w:hint="eastAsia"/>
                <w:color w:val="auto"/>
                <w:kern w:val="0"/>
                <w:sz w:val="24"/>
                <w:szCs w:val="24"/>
              </w:rPr>
              <w:t>.6解释权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260" w:type="dxa"/>
            <w:vAlign w:val="center"/>
          </w:tcPr>
          <w:p>
            <w:pPr>
              <w:jc w:val="center"/>
              <w:rPr>
                <w:color w:val="auto"/>
                <w:kern w:val="0"/>
                <w:sz w:val="24"/>
                <w:szCs w:val="24"/>
              </w:rPr>
            </w:pPr>
          </w:p>
        </w:tc>
        <w:tc>
          <w:tcPr>
            <w:tcW w:w="8429" w:type="dxa"/>
            <w:gridSpan w:val="2"/>
            <w:vAlign w:val="center"/>
          </w:tcPr>
          <w:p>
            <w:pPr>
              <w:rPr>
                <w:color w:val="auto"/>
                <w:kern w:val="0"/>
                <w:sz w:val="24"/>
                <w:szCs w:val="24"/>
              </w:rPr>
            </w:pPr>
            <w:r>
              <w:rPr>
                <w:rFonts w:hint="eastAsia"/>
                <w:color w:val="auto"/>
                <w:kern w:val="0"/>
                <w:sz w:val="24"/>
                <w:szCs w:val="24"/>
              </w:rPr>
              <w:t>构成本询比采购文件的各个组成文件应互为解释，互为说明；如有不明确或不一致，构成合同文件组成内容的，以合同文件约定内容为准，且以专用合同条款约定的合同文件优先顺序解释；除询比采购文件中有特别规定外，仅适用于询比采购阶段的规定，按询比采购公告（采购邀请书）、供应商须知、评审办法、询比采购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bookmarkEnd w:id="5"/>
    </w:tbl>
    <w:p/>
    <w:p/>
    <w:p>
      <w:pPr>
        <w:spacing w:line="360" w:lineRule="auto"/>
        <w:rPr>
          <w:rFonts w:cs="宋体"/>
          <w:b/>
          <w:bCs/>
          <w:sz w:val="24"/>
          <w:szCs w:val="24"/>
        </w:rPr>
      </w:pPr>
      <w:bookmarkStart w:id="6" w:name="_Toc11925064"/>
      <w:bookmarkStart w:id="7" w:name="_Toc459123710"/>
      <w:r>
        <w:rPr>
          <w:rFonts w:hint="eastAsia" w:cs="TimesNewRomanPSMT"/>
          <w:kern w:val="0"/>
          <w:sz w:val="28"/>
          <w:szCs w:val="28"/>
        </w:rPr>
        <w:br w:type="page"/>
      </w:r>
      <w:bookmarkEnd w:id="6"/>
      <w:bookmarkEnd w:id="7"/>
      <w:r>
        <w:rPr>
          <w:rFonts w:hint="eastAsia" w:cs="TimesNewRomanPSMT"/>
          <w:kern w:val="0"/>
          <w:sz w:val="24"/>
          <w:szCs w:val="24"/>
        </w:rPr>
        <w:t>1.</w:t>
      </w:r>
      <w:r>
        <w:rPr>
          <w:rFonts w:hint="eastAsia" w:cs="宋体"/>
          <w:b/>
          <w:bCs/>
          <w:sz w:val="24"/>
          <w:szCs w:val="24"/>
        </w:rPr>
        <w:t>总则</w:t>
      </w:r>
    </w:p>
    <w:p>
      <w:pPr>
        <w:spacing w:line="360" w:lineRule="auto"/>
        <w:outlineLvl w:val="0"/>
        <w:rPr>
          <w:rFonts w:cs="宋体"/>
          <w:b/>
          <w:bCs/>
          <w:sz w:val="24"/>
          <w:szCs w:val="24"/>
        </w:rPr>
      </w:pPr>
      <w:bookmarkStart w:id="8" w:name="_Toc6185"/>
      <w:bookmarkStart w:id="9" w:name="_Toc572"/>
      <w:bookmarkStart w:id="10" w:name="_Toc16243"/>
      <w:bookmarkStart w:id="11" w:name="_Toc29346"/>
      <w:r>
        <w:rPr>
          <w:rFonts w:hint="eastAsia" w:cs="宋体"/>
          <w:b/>
          <w:bCs/>
          <w:sz w:val="24"/>
          <w:szCs w:val="24"/>
        </w:rPr>
        <w:t>1.1采购方式</w:t>
      </w:r>
      <w:bookmarkEnd w:id="8"/>
      <w:bookmarkEnd w:id="9"/>
      <w:bookmarkEnd w:id="10"/>
      <w:bookmarkEnd w:id="11"/>
    </w:p>
    <w:p>
      <w:pPr>
        <w:spacing w:line="360" w:lineRule="auto"/>
        <w:ind w:firstLine="480" w:firstLineChars="200"/>
        <w:jc w:val="left"/>
        <w:rPr>
          <w:rFonts w:cs="宋体"/>
          <w:sz w:val="24"/>
          <w:szCs w:val="24"/>
          <w:highlight w:val="none"/>
        </w:rPr>
      </w:pPr>
      <w:r>
        <w:rPr>
          <w:rFonts w:hint="eastAsia" w:cs="宋体"/>
          <w:sz w:val="24"/>
          <w:szCs w:val="24"/>
          <w:highlight w:val="none"/>
        </w:rPr>
        <w:t>本项目采用中国招标投标协会发布的《非招标方式采购代理服务规范》(T/CTBA001-2019)规定的询比采购方式。</w:t>
      </w:r>
    </w:p>
    <w:p>
      <w:pPr>
        <w:spacing w:line="360" w:lineRule="auto"/>
        <w:ind w:firstLine="480" w:firstLineChars="200"/>
        <w:rPr>
          <w:rFonts w:cs="宋体"/>
          <w:sz w:val="24"/>
          <w:szCs w:val="24"/>
        </w:rPr>
      </w:pPr>
      <w:r>
        <w:rPr>
          <w:rFonts w:hint="eastAsia" w:cs="宋体"/>
          <w:sz w:val="24"/>
          <w:szCs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360" w:lineRule="auto"/>
        <w:outlineLvl w:val="0"/>
        <w:rPr>
          <w:rFonts w:cs="宋体"/>
          <w:b/>
          <w:bCs/>
          <w:sz w:val="24"/>
          <w:szCs w:val="24"/>
        </w:rPr>
      </w:pPr>
      <w:bookmarkStart w:id="12" w:name="_Toc14358"/>
      <w:bookmarkStart w:id="13" w:name="_Toc26183"/>
      <w:bookmarkStart w:id="14" w:name="_Toc15695"/>
      <w:bookmarkStart w:id="15" w:name="_Toc14547"/>
      <w:r>
        <w:rPr>
          <w:rFonts w:hint="eastAsia" w:cs="宋体"/>
          <w:b/>
          <w:bCs/>
          <w:sz w:val="24"/>
          <w:szCs w:val="24"/>
        </w:rPr>
        <w:t>1.2采购项目概况和供应商资格要求</w:t>
      </w:r>
      <w:bookmarkEnd w:id="12"/>
      <w:bookmarkEnd w:id="13"/>
      <w:bookmarkEnd w:id="14"/>
      <w:bookmarkEnd w:id="15"/>
    </w:p>
    <w:p>
      <w:pPr>
        <w:spacing w:line="360" w:lineRule="auto"/>
        <w:ind w:firstLine="480" w:firstLineChars="200"/>
        <w:rPr>
          <w:rFonts w:cs="宋体"/>
          <w:sz w:val="24"/>
          <w:szCs w:val="24"/>
        </w:rPr>
      </w:pPr>
      <w:r>
        <w:rPr>
          <w:rFonts w:hint="eastAsia" w:cs="宋体"/>
          <w:sz w:val="24"/>
          <w:szCs w:val="24"/>
        </w:rPr>
        <w:t>采购项目概况和供应商资格要求见第一章“询比采购公告/询比采购邀请书。</w:t>
      </w:r>
    </w:p>
    <w:p>
      <w:pPr>
        <w:spacing w:line="360" w:lineRule="auto"/>
        <w:outlineLvl w:val="0"/>
        <w:rPr>
          <w:rFonts w:cs="宋体"/>
          <w:b/>
          <w:bCs/>
          <w:sz w:val="24"/>
          <w:szCs w:val="24"/>
        </w:rPr>
      </w:pPr>
      <w:bookmarkStart w:id="16" w:name="_Toc6414"/>
      <w:bookmarkStart w:id="17" w:name="_Toc17439"/>
      <w:bookmarkStart w:id="18" w:name="_Toc1770"/>
      <w:bookmarkStart w:id="19" w:name="_Toc11704"/>
      <w:r>
        <w:rPr>
          <w:rFonts w:hint="eastAsia" w:cs="宋体"/>
          <w:b/>
          <w:bCs/>
          <w:sz w:val="24"/>
          <w:szCs w:val="24"/>
        </w:rPr>
        <w:t>1.3费用承担</w:t>
      </w:r>
      <w:bookmarkEnd w:id="16"/>
      <w:bookmarkEnd w:id="17"/>
      <w:bookmarkEnd w:id="18"/>
      <w:bookmarkEnd w:id="19"/>
    </w:p>
    <w:p>
      <w:pPr>
        <w:spacing w:line="360" w:lineRule="auto"/>
        <w:ind w:firstLine="480" w:firstLineChars="200"/>
        <w:rPr>
          <w:rFonts w:cs="宋体"/>
          <w:sz w:val="24"/>
          <w:szCs w:val="24"/>
        </w:rPr>
      </w:pPr>
      <w:r>
        <w:rPr>
          <w:rFonts w:hint="eastAsia" w:cs="宋体"/>
          <w:sz w:val="24"/>
          <w:szCs w:val="24"/>
        </w:rPr>
        <w:t>供应商准备和参加询比采购活动所发生的各种费用由供应商自行承担。</w:t>
      </w:r>
    </w:p>
    <w:p>
      <w:pPr>
        <w:spacing w:line="360" w:lineRule="auto"/>
        <w:outlineLvl w:val="0"/>
        <w:rPr>
          <w:rFonts w:cs="宋体"/>
          <w:b/>
          <w:bCs/>
          <w:sz w:val="24"/>
          <w:szCs w:val="24"/>
        </w:rPr>
      </w:pPr>
      <w:bookmarkStart w:id="20" w:name="_Toc7242"/>
      <w:bookmarkStart w:id="21" w:name="_Toc21047"/>
      <w:bookmarkStart w:id="22" w:name="_Toc25643"/>
      <w:bookmarkStart w:id="23" w:name="_Toc27598"/>
      <w:r>
        <w:rPr>
          <w:rFonts w:hint="eastAsia" w:cs="宋体"/>
          <w:b/>
          <w:bCs/>
          <w:sz w:val="24"/>
          <w:szCs w:val="24"/>
        </w:rPr>
        <w:t>1.4保密</w:t>
      </w:r>
      <w:bookmarkEnd w:id="20"/>
      <w:bookmarkEnd w:id="21"/>
      <w:bookmarkEnd w:id="22"/>
      <w:bookmarkEnd w:id="23"/>
    </w:p>
    <w:p>
      <w:pPr>
        <w:spacing w:line="360" w:lineRule="auto"/>
        <w:ind w:firstLine="480" w:firstLineChars="200"/>
        <w:rPr>
          <w:rFonts w:cs="宋体"/>
          <w:sz w:val="24"/>
          <w:szCs w:val="24"/>
        </w:rPr>
      </w:pPr>
      <w:r>
        <w:rPr>
          <w:rFonts w:hint="eastAsia" w:cs="宋体"/>
          <w:sz w:val="24"/>
          <w:szCs w:val="24"/>
        </w:rPr>
        <w:t>参加询比采购活动的各方应对采购文件和响应文件中的商业和技术等秘密保密,否则应承担相应的法律责任。</w:t>
      </w:r>
    </w:p>
    <w:p>
      <w:pPr>
        <w:spacing w:line="360" w:lineRule="auto"/>
        <w:outlineLvl w:val="0"/>
        <w:rPr>
          <w:rFonts w:cs="宋体"/>
          <w:b/>
          <w:bCs/>
          <w:sz w:val="24"/>
          <w:szCs w:val="24"/>
        </w:rPr>
      </w:pPr>
      <w:bookmarkStart w:id="24" w:name="_Toc9210"/>
      <w:bookmarkStart w:id="25" w:name="_Toc15901"/>
      <w:bookmarkStart w:id="26" w:name="_Toc19424"/>
      <w:bookmarkStart w:id="27" w:name="_Toc11898"/>
      <w:r>
        <w:rPr>
          <w:rFonts w:hint="eastAsia" w:cs="宋体"/>
          <w:b/>
          <w:bCs/>
          <w:sz w:val="24"/>
          <w:szCs w:val="24"/>
        </w:rPr>
        <w:t>1.5语言文字</w:t>
      </w:r>
      <w:bookmarkEnd w:id="24"/>
      <w:bookmarkEnd w:id="25"/>
      <w:bookmarkEnd w:id="26"/>
      <w:bookmarkEnd w:id="27"/>
    </w:p>
    <w:p>
      <w:pPr>
        <w:spacing w:line="360" w:lineRule="auto"/>
        <w:ind w:firstLine="480" w:firstLineChars="200"/>
        <w:rPr>
          <w:rFonts w:cs="宋体"/>
          <w:sz w:val="24"/>
          <w:szCs w:val="24"/>
        </w:rPr>
      </w:pPr>
      <w:r>
        <w:rPr>
          <w:rFonts w:hint="eastAsia" w:cs="宋体"/>
          <w:sz w:val="24"/>
          <w:szCs w:val="24"/>
        </w:rPr>
        <w:t>采购文件和响应文件使用的语言文字为中文。专用术语使用外文的,应附有中文注释。</w:t>
      </w:r>
    </w:p>
    <w:p>
      <w:pPr>
        <w:spacing w:line="360" w:lineRule="auto"/>
        <w:outlineLvl w:val="0"/>
        <w:rPr>
          <w:rFonts w:cs="宋体"/>
          <w:b/>
          <w:bCs/>
          <w:sz w:val="24"/>
          <w:szCs w:val="24"/>
        </w:rPr>
      </w:pPr>
      <w:bookmarkStart w:id="28" w:name="_Toc23345"/>
      <w:bookmarkStart w:id="29" w:name="_Toc32650"/>
      <w:bookmarkStart w:id="30" w:name="_Toc20663"/>
      <w:bookmarkStart w:id="31" w:name="_Toc13822"/>
      <w:r>
        <w:rPr>
          <w:rFonts w:hint="eastAsia" w:cs="宋体"/>
          <w:b/>
          <w:bCs/>
          <w:sz w:val="24"/>
          <w:szCs w:val="24"/>
        </w:rPr>
        <w:t>1.6计量单位</w:t>
      </w:r>
      <w:bookmarkEnd w:id="28"/>
      <w:bookmarkEnd w:id="29"/>
      <w:bookmarkEnd w:id="30"/>
      <w:bookmarkEnd w:id="31"/>
    </w:p>
    <w:p>
      <w:pPr>
        <w:spacing w:line="360" w:lineRule="auto"/>
        <w:ind w:firstLine="480" w:firstLineChars="200"/>
        <w:rPr>
          <w:rFonts w:cs="宋体"/>
          <w:sz w:val="24"/>
          <w:szCs w:val="24"/>
        </w:rPr>
      </w:pPr>
      <w:r>
        <w:rPr>
          <w:rFonts w:hint="eastAsia" w:cs="宋体"/>
          <w:sz w:val="24"/>
          <w:szCs w:val="24"/>
        </w:rPr>
        <w:t>所有计量均采用中华人民共和国法定计量单位。</w:t>
      </w:r>
    </w:p>
    <w:p>
      <w:pPr>
        <w:spacing w:line="360" w:lineRule="auto"/>
        <w:outlineLvl w:val="0"/>
        <w:rPr>
          <w:rFonts w:cs="宋体"/>
          <w:b/>
          <w:bCs/>
          <w:sz w:val="24"/>
          <w:szCs w:val="24"/>
        </w:rPr>
      </w:pPr>
      <w:bookmarkStart w:id="32" w:name="_Toc25376"/>
      <w:bookmarkStart w:id="33" w:name="_Toc30140"/>
      <w:bookmarkStart w:id="34" w:name="_Toc8131"/>
      <w:bookmarkStart w:id="35" w:name="_Toc15699"/>
      <w:r>
        <w:rPr>
          <w:rFonts w:hint="eastAsia" w:cs="宋体"/>
          <w:b/>
          <w:bCs/>
          <w:sz w:val="24"/>
          <w:szCs w:val="24"/>
        </w:rPr>
        <w:t>1.</w:t>
      </w:r>
      <w:r>
        <w:rPr>
          <w:rFonts w:hint="eastAsia" w:cs="宋体"/>
          <w:b/>
          <w:bCs/>
          <w:sz w:val="24"/>
          <w:szCs w:val="24"/>
          <w:lang w:val="en-US" w:eastAsia="zh-CN"/>
        </w:rPr>
        <w:t>7</w:t>
      </w:r>
      <w:r>
        <w:rPr>
          <w:rFonts w:hint="eastAsia" w:cs="宋体"/>
          <w:b/>
          <w:bCs/>
          <w:sz w:val="24"/>
          <w:szCs w:val="24"/>
        </w:rPr>
        <w:t>分包</w:t>
      </w:r>
      <w:bookmarkEnd w:id="32"/>
      <w:bookmarkEnd w:id="33"/>
      <w:bookmarkEnd w:id="34"/>
      <w:bookmarkEnd w:id="35"/>
    </w:p>
    <w:p>
      <w:pPr>
        <w:spacing w:line="360" w:lineRule="auto"/>
        <w:ind w:firstLine="480" w:firstLineChars="200"/>
        <w:rPr>
          <w:rFonts w:cs="宋体"/>
          <w:sz w:val="24"/>
          <w:szCs w:val="24"/>
        </w:rPr>
      </w:pPr>
      <w:r>
        <w:rPr>
          <w:rFonts w:hint="eastAsia" w:cs="宋体"/>
          <w:sz w:val="24"/>
          <w:szCs w:val="24"/>
        </w:rPr>
        <w:t>供应商拟在成交后将成交项目的部分工作进行分包的,应符合供应商须知前附表的规定,并在响应文件中作出说明。</w:t>
      </w:r>
    </w:p>
    <w:p>
      <w:pPr>
        <w:spacing w:line="360" w:lineRule="auto"/>
        <w:ind w:firstLine="480" w:firstLineChars="200"/>
        <w:rPr>
          <w:rFonts w:cs="宋体"/>
          <w:sz w:val="24"/>
          <w:szCs w:val="24"/>
        </w:rPr>
      </w:pPr>
      <w:r>
        <w:rPr>
          <w:rFonts w:hint="eastAsia" w:cs="宋体"/>
          <w:sz w:val="24"/>
          <w:szCs w:val="24"/>
        </w:rPr>
        <w:t>分包供应商不得将分包项目再次分包。成交供应商应当就分包项目向采购人负责,分包供应商就分包项目承担连带责任。</w:t>
      </w:r>
    </w:p>
    <w:p>
      <w:pPr>
        <w:spacing w:line="360" w:lineRule="auto"/>
        <w:ind w:firstLine="482" w:firstLineChars="200"/>
        <w:outlineLvl w:val="0"/>
        <w:rPr>
          <w:rFonts w:cs="宋体"/>
          <w:b/>
          <w:bCs/>
          <w:sz w:val="24"/>
          <w:szCs w:val="24"/>
        </w:rPr>
      </w:pPr>
      <w:bookmarkStart w:id="36" w:name="_Toc3648"/>
      <w:bookmarkStart w:id="37" w:name="_Toc12237"/>
      <w:bookmarkStart w:id="38" w:name="_Toc21460"/>
      <w:bookmarkStart w:id="39" w:name="_Toc4845"/>
      <w:r>
        <w:rPr>
          <w:rFonts w:hint="eastAsia" w:cs="宋体"/>
          <w:b/>
          <w:bCs/>
          <w:sz w:val="24"/>
          <w:szCs w:val="24"/>
        </w:rPr>
        <w:t>1.</w:t>
      </w:r>
      <w:r>
        <w:rPr>
          <w:rFonts w:hint="eastAsia" w:cs="宋体"/>
          <w:b/>
          <w:bCs/>
          <w:sz w:val="24"/>
          <w:szCs w:val="24"/>
          <w:lang w:val="en-US" w:eastAsia="zh-CN"/>
        </w:rPr>
        <w:t>8</w:t>
      </w:r>
      <w:r>
        <w:rPr>
          <w:rFonts w:hint="eastAsia" w:cs="宋体"/>
          <w:b/>
          <w:bCs/>
          <w:sz w:val="24"/>
          <w:szCs w:val="24"/>
        </w:rPr>
        <w:t>响应和偏差</w:t>
      </w:r>
      <w:bookmarkEnd w:id="36"/>
      <w:bookmarkEnd w:id="37"/>
      <w:bookmarkEnd w:id="38"/>
      <w:bookmarkEnd w:id="39"/>
    </w:p>
    <w:p>
      <w:pPr>
        <w:spacing w:line="360" w:lineRule="auto"/>
        <w:ind w:firstLine="480" w:firstLineChars="200"/>
        <w:rPr>
          <w:rFonts w:cs="宋体"/>
          <w:sz w:val="24"/>
          <w:szCs w:val="24"/>
        </w:rPr>
      </w:pPr>
      <w:r>
        <w:rPr>
          <w:rFonts w:hint="eastAsia" w:cs="宋体"/>
          <w:sz w:val="24"/>
          <w:szCs w:val="24"/>
        </w:rPr>
        <w:t>1.</w:t>
      </w:r>
      <w:r>
        <w:rPr>
          <w:rFonts w:hint="eastAsia" w:cs="宋体"/>
          <w:sz w:val="24"/>
          <w:szCs w:val="24"/>
          <w:lang w:val="en-US" w:eastAsia="zh-CN"/>
        </w:rPr>
        <w:t>8</w:t>
      </w:r>
      <w:r>
        <w:rPr>
          <w:rFonts w:hint="eastAsia" w:cs="宋体"/>
          <w:sz w:val="24"/>
          <w:szCs w:val="24"/>
        </w:rPr>
        <w:t>.1采购需求和合同条款及格式中的关键条款均以“*”符号标记。响应文件应当对采购需求和合同条款及格式中的关键条款作出满足性或更有利于采购人的响应,否则,供应商的响应文件将被视为无效。</w:t>
      </w:r>
    </w:p>
    <w:p>
      <w:pPr>
        <w:spacing w:line="360" w:lineRule="auto"/>
        <w:ind w:firstLine="480" w:firstLineChars="200"/>
        <w:rPr>
          <w:rFonts w:cs="宋体"/>
          <w:sz w:val="24"/>
          <w:szCs w:val="24"/>
        </w:rPr>
      </w:pPr>
      <w:r>
        <w:rPr>
          <w:rFonts w:hint="eastAsia" w:cs="宋体"/>
          <w:sz w:val="24"/>
          <w:szCs w:val="24"/>
        </w:rPr>
        <w:t>1.</w:t>
      </w:r>
      <w:r>
        <w:rPr>
          <w:rFonts w:hint="eastAsia" w:cs="宋体"/>
          <w:sz w:val="24"/>
          <w:szCs w:val="24"/>
          <w:lang w:val="en-US" w:eastAsia="zh-CN"/>
        </w:rPr>
        <w:t>8</w:t>
      </w:r>
      <w:r>
        <w:rPr>
          <w:rFonts w:hint="eastAsia" w:cs="宋体"/>
          <w:sz w:val="24"/>
          <w:szCs w:val="24"/>
        </w:rPr>
        <w:t>.2供应商须知前附表规定了对非关键条款允许偏差的范围和可以偏差的项数的,如响应文件存在的偏差超出上述范围或项数,将被视为无效。</w:t>
      </w:r>
    </w:p>
    <w:p>
      <w:pPr>
        <w:spacing w:line="360" w:lineRule="auto"/>
        <w:ind w:firstLine="482" w:firstLineChars="200"/>
        <w:outlineLvl w:val="0"/>
        <w:rPr>
          <w:rFonts w:cs="宋体"/>
          <w:b/>
          <w:bCs/>
          <w:sz w:val="24"/>
          <w:szCs w:val="24"/>
        </w:rPr>
      </w:pPr>
      <w:bookmarkStart w:id="40" w:name="_Toc30882"/>
      <w:bookmarkStart w:id="41" w:name="_Toc24378"/>
      <w:r>
        <w:rPr>
          <w:rFonts w:hint="eastAsia" w:cs="宋体"/>
          <w:b/>
          <w:bCs/>
          <w:sz w:val="24"/>
          <w:szCs w:val="24"/>
        </w:rPr>
        <w:t>2采购文件</w:t>
      </w:r>
      <w:bookmarkEnd w:id="40"/>
      <w:bookmarkEnd w:id="41"/>
    </w:p>
    <w:p>
      <w:pPr>
        <w:spacing w:line="360" w:lineRule="auto"/>
        <w:ind w:firstLine="482" w:firstLineChars="200"/>
        <w:outlineLvl w:val="0"/>
        <w:rPr>
          <w:rFonts w:cs="宋体"/>
          <w:b/>
          <w:bCs/>
          <w:sz w:val="24"/>
          <w:szCs w:val="24"/>
        </w:rPr>
      </w:pPr>
      <w:bookmarkStart w:id="42" w:name="_Toc19418"/>
      <w:bookmarkStart w:id="43" w:name="_Toc19810"/>
      <w:bookmarkStart w:id="44" w:name="_Toc17530"/>
      <w:bookmarkStart w:id="45" w:name="_Toc22568"/>
      <w:r>
        <w:rPr>
          <w:rFonts w:hint="eastAsia" w:cs="宋体"/>
          <w:b/>
          <w:bCs/>
          <w:sz w:val="24"/>
          <w:szCs w:val="24"/>
        </w:rPr>
        <w:t>2.1采购文件的组成</w:t>
      </w:r>
      <w:bookmarkEnd w:id="42"/>
      <w:bookmarkEnd w:id="43"/>
      <w:bookmarkEnd w:id="44"/>
      <w:bookmarkEnd w:id="45"/>
    </w:p>
    <w:p>
      <w:pPr>
        <w:spacing w:line="360" w:lineRule="auto"/>
        <w:ind w:firstLine="480" w:firstLineChars="200"/>
        <w:rPr>
          <w:rFonts w:cs="宋体"/>
          <w:sz w:val="24"/>
          <w:szCs w:val="24"/>
        </w:rPr>
      </w:pPr>
      <w:r>
        <w:rPr>
          <w:rFonts w:hint="eastAsia" w:cs="宋体"/>
          <w:sz w:val="24"/>
          <w:szCs w:val="24"/>
        </w:rPr>
        <w:t>本采购文件包括：</w:t>
      </w:r>
    </w:p>
    <w:p>
      <w:pPr>
        <w:spacing w:line="360" w:lineRule="auto"/>
        <w:ind w:firstLine="480" w:firstLineChars="200"/>
        <w:rPr>
          <w:rFonts w:cs="宋体"/>
          <w:sz w:val="24"/>
          <w:szCs w:val="24"/>
        </w:rPr>
      </w:pPr>
      <w:r>
        <w:rPr>
          <w:rFonts w:hint="eastAsia" w:cs="宋体"/>
          <w:sz w:val="24"/>
          <w:szCs w:val="24"/>
        </w:rPr>
        <w:t>(1)询比采购公告/询比采购邀请书；</w:t>
      </w:r>
    </w:p>
    <w:p>
      <w:pPr>
        <w:spacing w:line="360" w:lineRule="auto"/>
        <w:ind w:firstLine="480" w:firstLineChars="200"/>
        <w:rPr>
          <w:rFonts w:cs="宋体"/>
          <w:sz w:val="24"/>
          <w:szCs w:val="24"/>
        </w:rPr>
      </w:pPr>
      <w:r>
        <w:rPr>
          <w:rFonts w:hint="eastAsia" w:cs="宋体"/>
          <w:sz w:val="24"/>
          <w:szCs w:val="24"/>
        </w:rPr>
        <w:t>(2)供应商须知；</w:t>
      </w:r>
    </w:p>
    <w:p>
      <w:pPr>
        <w:spacing w:line="360" w:lineRule="auto"/>
        <w:ind w:firstLine="480" w:firstLineChars="200"/>
        <w:rPr>
          <w:rFonts w:cs="宋体"/>
          <w:sz w:val="24"/>
          <w:szCs w:val="24"/>
        </w:rPr>
      </w:pPr>
      <w:r>
        <w:rPr>
          <w:rFonts w:hint="eastAsia" w:cs="宋体"/>
          <w:sz w:val="24"/>
          <w:szCs w:val="24"/>
        </w:rPr>
        <w:t>(3)评审办法；</w:t>
      </w:r>
    </w:p>
    <w:p>
      <w:pPr>
        <w:spacing w:line="360" w:lineRule="auto"/>
        <w:ind w:firstLine="480" w:firstLineChars="200"/>
        <w:rPr>
          <w:rFonts w:cs="宋体"/>
          <w:sz w:val="24"/>
          <w:szCs w:val="24"/>
        </w:rPr>
      </w:pPr>
      <w:r>
        <w:rPr>
          <w:rFonts w:hint="eastAsia" w:cs="宋体"/>
          <w:sz w:val="24"/>
          <w:szCs w:val="24"/>
        </w:rPr>
        <w:t>(4)合同条款及格式；</w:t>
      </w:r>
    </w:p>
    <w:p>
      <w:pPr>
        <w:spacing w:line="360" w:lineRule="auto"/>
        <w:ind w:firstLine="480" w:firstLineChars="200"/>
        <w:rPr>
          <w:rFonts w:cs="宋体"/>
          <w:sz w:val="24"/>
          <w:szCs w:val="24"/>
        </w:rPr>
      </w:pPr>
      <w:r>
        <w:rPr>
          <w:rFonts w:hint="eastAsia" w:cs="宋体"/>
          <w:sz w:val="24"/>
          <w:szCs w:val="24"/>
        </w:rPr>
        <w:t>(5)响应文件格式；</w:t>
      </w:r>
    </w:p>
    <w:p>
      <w:pPr>
        <w:spacing w:line="360" w:lineRule="auto"/>
        <w:ind w:firstLine="480" w:firstLineChars="200"/>
        <w:rPr>
          <w:rFonts w:cs="宋体"/>
          <w:sz w:val="24"/>
          <w:szCs w:val="24"/>
        </w:rPr>
      </w:pPr>
      <w:r>
        <w:rPr>
          <w:rFonts w:hint="eastAsia" w:cs="宋体"/>
          <w:sz w:val="24"/>
          <w:szCs w:val="24"/>
        </w:rPr>
        <w:t>(6)供应商须知前附表规定的其他资料。</w:t>
      </w:r>
    </w:p>
    <w:p>
      <w:pPr>
        <w:spacing w:line="360" w:lineRule="auto"/>
        <w:ind w:firstLine="480" w:firstLineChars="200"/>
        <w:rPr>
          <w:rFonts w:cs="宋体"/>
          <w:sz w:val="24"/>
          <w:szCs w:val="24"/>
        </w:rPr>
      </w:pPr>
      <w:r>
        <w:rPr>
          <w:rFonts w:hint="eastAsia" w:cs="宋体"/>
          <w:sz w:val="24"/>
          <w:szCs w:val="24"/>
        </w:rPr>
        <w:t>采购人依照本章规定,对采购文件所作的澄清、修改,构成采购文件的组成部分。</w:t>
      </w:r>
    </w:p>
    <w:p>
      <w:pPr>
        <w:spacing w:line="360" w:lineRule="auto"/>
        <w:ind w:firstLine="482" w:firstLineChars="200"/>
        <w:outlineLvl w:val="0"/>
        <w:rPr>
          <w:rFonts w:cs="宋体"/>
          <w:b/>
          <w:bCs/>
          <w:sz w:val="24"/>
          <w:szCs w:val="24"/>
        </w:rPr>
      </w:pPr>
      <w:bookmarkStart w:id="46" w:name="_Toc17431"/>
      <w:bookmarkStart w:id="47" w:name="_Toc29700"/>
      <w:bookmarkStart w:id="48" w:name="_Toc16636"/>
      <w:bookmarkStart w:id="49" w:name="_Toc31322"/>
      <w:r>
        <w:rPr>
          <w:rFonts w:hint="eastAsia" w:cs="宋体"/>
          <w:b/>
          <w:bCs/>
          <w:sz w:val="24"/>
          <w:szCs w:val="24"/>
        </w:rPr>
        <w:t>2.2采购文件的澄清和修改</w:t>
      </w:r>
      <w:bookmarkEnd w:id="46"/>
      <w:bookmarkEnd w:id="47"/>
      <w:bookmarkEnd w:id="48"/>
      <w:bookmarkEnd w:id="49"/>
    </w:p>
    <w:p>
      <w:pPr>
        <w:spacing w:line="360" w:lineRule="auto"/>
        <w:ind w:firstLine="480" w:firstLineChars="200"/>
        <w:rPr>
          <w:rFonts w:cs="宋体"/>
          <w:sz w:val="24"/>
          <w:szCs w:val="24"/>
        </w:rPr>
      </w:pPr>
      <w:r>
        <w:rPr>
          <w:rFonts w:hint="eastAsia" w:cs="宋体"/>
          <w:sz w:val="24"/>
          <w:szCs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spacing w:line="360" w:lineRule="auto"/>
        <w:ind w:firstLine="480" w:firstLineChars="200"/>
        <w:rPr>
          <w:rFonts w:cs="宋体"/>
          <w:sz w:val="24"/>
          <w:szCs w:val="24"/>
        </w:rPr>
      </w:pPr>
      <w:r>
        <w:rPr>
          <w:rFonts w:hint="eastAsia" w:cs="宋体"/>
          <w:sz w:val="24"/>
          <w:szCs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spacing w:line="360" w:lineRule="auto"/>
        <w:ind w:firstLine="480" w:firstLineChars="200"/>
        <w:rPr>
          <w:rFonts w:cs="宋体"/>
          <w:sz w:val="24"/>
          <w:szCs w:val="24"/>
        </w:rPr>
      </w:pPr>
      <w:r>
        <w:rPr>
          <w:rFonts w:hint="eastAsia" w:cs="宋体"/>
          <w:sz w:val="24"/>
          <w:szCs w:val="24"/>
        </w:rPr>
        <w:t>2.2.3供应商在收到补充文件后,应按供应商须知前附表规定的时间和方式通知采购人,确认已收到该补充文件。</w:t>
      </w:r>
    </w:p>
    <w:p>
      <w:pPr>
        <w:spacing w:line="360" w:lineRule="auto"/>
        <w:ind w:firstLine="480" w:firstLineChars="200"/>
        <w:rPr>
          <w:rFonts w:cs="宋体"/>
          <w:sz w:val="24"/>
          <w:szCs w:val="24"/>
        </w:rPr>
      </w:pPr>
      <w:r>
        <w:rPr>
          <w:rFonts w:hint="eastAsia" w:cs="宋体"/>
          <w:sz w:val="24"/>
          <w:szCs w:val="24"/>
        </w:rPr>
        <w:t>2.2.4除非确有必要,采购人有权拒绝回复供应商在本章第2.2.1项规定的时间后提出的任何澄清要求。</w:t>
      </w:r>
    </w:p>
    <w:p>
      <w:pPr>
        <w:spacing w:line="360" w:lineRule="auto"/>
        <w:ind w:firstLine="482" w:firstLineChars="200"/>
        <w:outlineLvl w:val="0"/>
        <w:rPr>
          <w:rFonts w:cs="宋体"/>
          <w:b/>
          <w:bCs/>
          <w:sz w:val="24"/>
          <w:szCs w:val="24"/>
        </w:rPr>
      </w:pPr>
      <w:bookmarkStart w:id="50" w:name="_Toc10036"/>
      <w:bookmarkStart w:id="51" w:name="_Toc1563"/>
      <w:r>
        <w:rPr>
          <w:rFonts w:hint="eastAsia" w:cs="宋体"/>
          <w:b/>
          <w:bCs/>
          <w:sz w:val="24"/>
          <w:szCs w:val="24"/>
        </w:rPr>
        <w:t>3响应文件</w:t>
      </w:r>
      <w:bookmarkEnd w:id="50"/>
      <w:bookmarkEnd w:id="51"/>
    </w:p>
    <w:p>
      <w:pPr>
        <w:spacing w:line="360" w:lineRule="auto"/>
        <w:ind w:firstLine="482" w:firstLineChars="200"/>
        <w:outlineLvl w:val="0"/>
        <w:rPr>
          <w:rFonts w:cs="宋体"/>
          <w:b/>
          <w:bCs/>
          <w:sz w:val="24"/>
          <w:szCs w:val="24"/>
        </w:rPr>
      </w:pPr>
      <w:bookmarkStart w:id="52" w:name="_Toc9509"/>
      <w:bookmarkStart w:id="53" w:name="_Toc6443"/>
      <w:bookmarkStart w:id="54" w:name="_Toc2201"/>
      <w:bookmarkStart w:id="55" w:name="_Toc15046"/>
      <w:r>
        <w:rPr>
          <w:rFonts w:hint="eastAsia" w:cs="宋体"/>
          <w:b/>
          <w:bCs/>
          <w:sz w:val="24"/>
          <w:szCs w:val="24"/>
        </w:rPr>
        <w:t>3.1响应文件的组成</w:t>
      </w:r>
      <w:bookmarkEnd w:id="52"/>
      <w:bookmarkEnd w:id="53"/>
      <w:bookmarkEnd w:id="54"/>
      <w:bookmarkEnd w:id="55"/>
    </w:p>
    <w:p>
      <w:pPr>
        <w:spacing w:line="360" w:lineRule="auto"/>
        <w:ind w:firstLine="480" w:firstLineChars="200"/>
        <w:rPr>
          <w:rFonts w:cs="宋体"/>
          <w:sz w:val="24"/>
          <w:szCs w:val="24"/>
        </w:rPr>
      </w:pPr>
      <w:r>
        <w:rPr>
          <w:rFonts w:hint="eastAsia" w:cs="宋体"/>
          <w:sz w:val="24"/>
          <w:szCs w:val="24"/>
        </w:rPr>
        <w:t>3.1.1响应文件应包括下列内容</w:t>
      </w:r>
    </w:p>
    <w:p>
      <w:pPr>
        <w:spacing w:line="360" w:lineRule="auto"/>
        <w:ind w:firstLine="480" w:firstLineChars="200"/>
        <w:jc w:val="left"/>
        <w:outlineLvl w:val="0"/>
        <w:rPr>
          <w:rFonts w:cs="宋体"/>
          <w:sz w:val="24"/>
          <w:szCs w:val="24"/>
        </w:rPr>
      </w:pPr>
      <w:bookmarkStart w:id="56" w:name="_Toc3590"/>
      <w:bookmarkStart w:id="57" w:name="_Toc22911"/>
      <w:bookmarkStart w:id="58" w:name="_Toc11270"/>
      <w:r>
        <w:rPr>
          <w:rFonts w:hint="eastAsia" w:cs="宋体"/>
          <w:sz w:val="24"/>
          <w:szCs w:val="24"/>
        </w:rPr>
        <w:t>(1)响应函</w:t>
      </w:r>
      <w:bookmarkEnd w:id="56"/>
      <w:bookmarkEnd w:id="57"/>
      <w:bookmarkEnd w:id="58"/>
    </w:p>
    <w:p>
      <w:pPr>
        <w:spacing w:line="360" w:lineRule="auto"/>
        <w:ind w:firstLine="480" w:firstLineChars="200"/>
        <w:jc w:val="left"/>
        <w:outlineLvl w:val="0"/>
        <w:rPr>
          <w:rFonts w:cs="宋体"/>
          <w:sz w:val="24"/>
          <w:szCs w:val="24"/>
        </w:rPr>
      </w:pPr>
      <w:bookmarkStart w:id="59" w:name="_Toc17445"/>
      <w:bookmarkStart w:id="60" w:name="_Toc13279"/>
      <w:bookmarkStart w:id="61" w:name="_Toc6837"/>
      <w:r>
        <w:rPr>
          <w:rFonts w:hint="eastAsia" w:cs="宋体"/>
          <w:sz w:val="24"/>
          <w:szCs w:val="24"/>
        </w:rPr>
        <w:t>(2)授权委托书（适用于有委托代理人的情况）</w:t>
      </w:r>
      <w:bookmarkEnd w:id="59"/>
      <w:bookmarkEnd w:id="60"/>
      <w:bookmarkEnd w:id="61"/>
    </w:p>
    <w:p>
      <w:pPr>
        <w:spacing w:line="360" w:lineRule="auto"/>
        <w:ind w:firstLine="480" w:firstLineChars="200"/>
        <w:jc w:val="left"/>
        <w:outlineLvl w:val="0"/>
        <w:rPr>
          <w:rFonts w:cs="宋体"/>
          <w:sz w:val="24"/>
          <w:szCs w:val="24"/>
        </w:rPr>
      </w:pPr>
      <w:bookmarkStart w:id="62" w:name="_Toc4197"/>
      <w:bookmarkStart w:id="63" w:name="_Toc13542"/>
      <w:bookmarkStart w:id="64" w:name="_Toc31484"/>
      <w:r>
        <w:rPr>
          <w:rFonts w:hint="eastAsia" w:cs="宋体"/>
          <w:sz w:val="24"/>
          <w:szCs w:val="24"/>
        </w:rPr>
        <w:t>(3)响应保证金（适用于递交响应保证金的情况）</w:t>
      </w:r>
      <w:bookmarkEnd w:id="62"/>
      <w:bookmarkEnd w:id="63"/>
      <w:bookmarkEnd w:id="64"/>
    </w:p>
    <w:p>
      <w:pPr>
        <w:spacing w:line="360" w:lineRule="auto"/>
        <w:ind w:firstLine="480" w:firstLineChars="200"/>
        <w:jc w:val="left"/>
        <w:outlineLvl w:val="0"/>
        <w:rPr>
          <w:rFonts w:cs="宋体"/>
          <w:sz w:val="24"/>
          <w:szCs w:val="24"/>
        </w:rPr>
      </w:pPr>
      <w:bookmarkStart w:id="65" w:name="_Toc18188"/>
      <w:bookmarkStart w:id="66" w:name="_Toc10905"/>
      <w:bookmarkStart w:id="67" w:name="_Toc30139"/>
      <w:r>
        <w:rPr>
          <w:rFonts w:hint="eastAsia" w:cs="宋体"/>
          <w:sz w:val="24"/>
          <w:szCs w:val="24"/>
        </w:rPr>
        <w:t>(4)分项报价表</w:t>
      </w:r>
      <w:bookmarkEnd w:id="65"/>
      <w:bookmarkEnd w:id="66"/>
      <w:bookmarkEnd w:id="67"/>
    </w:p>
    <w:p>
      <w:pPr>
        <w:spacing w:line="360" w:lineRule="auto"/>
        <w:ind w:firstLine="480" w:firstLineChars="200"/>
        <w:jc w:val="left"/>
        <w:outlineLvl w:val="0"/>
        <w:rPr>
          <w:rFonts w:cs="宋体"/>
          <w:sz w:val="24"/>
          <w:szCs w:val="24"/>
        </w:rPr>
      </w:pPr>
      <w:bookmarkStart w:id="68" w:name="_Toc32414"/>
      <w:bookmarkStart w:id="69" w:name="_Toc13777"/>
      <w:bookmarkStart w:id="70" w:name="_Toc23331"/>
      <w:r>
        <w:rPr>
          <w:rFonts w:hint="eastAsia" w:cs="宋体"/>
          <w:sz w:val="24"/>
          <w:szCs w:val="24"/>
        </w:rPr>
        <w:t>(5)技术规格响应表</w:t>
      </w:r>
      <w:bookmarkEnd w:id="68"/>
      <w:bookmarkEnd w:id="69"/>
      <w:bookmarkEnd w:id="70"/>
    </w:p>
    <w:p>
      <w:pPr>
        <w:autoSpaceDE w:val="0"/>
        <w:autoSpaceDN w:val="0"/>
        <w:spacing w:line="360" w:lineRule="auto"/>
        <w:ind w:firstLine="480" w:firstLineChars="200"/>
        <w:rPr>
          <w:rFonts w:cs="宋体"/>
          <w:sz w:val="24"/>
          <w:szCs w:val="24"/>
        </w:rPr>
      </w:pPr>
      <w:r>
        <w:rPr>
          <w:rFonts w:hint="eastAsia" w:cs="宋体"/>
          <w:sz w:val="24"/>
          <w:szCs w:val="24"/>
        </w:rPr>
        <w:t>(6)产品相关资料</w:t>
      </w:r>
    </w:p>
    <w:p>
      <w:pPr>
        <w:spacing w:line="360" w:lineRule="auto"/>
        <w:ind w:firstLine="480" w:firstLineChars="200"/>
        <w:jc w:val="left"/>
        <w:outlineLvl w:val="0"/>
        <w:rPr>
          <w:rFonts w:cs="宋体"/>
          <w:sz w:val="24"/>
          <w:szCs w:val="24"/>
        </w:rPr>
      </w:pPr>
      <w:bookmarkStart w:id="71" w:name="_Toc13243"/>
      <w:bookmarkStart w:id="72" w:name="_Toc2859"/>
      <w:bookmarkStart w:id="73" w:name="_Toc14628"/>
      <w:r>
        <w:rPr>
          <w:rFonts w:hint="eastAsia" w:cs="宋体"/>
          <w:sz w:val="24"/>
          <w:szCs w:val="24"/>
        </w:rPr>
        <w:t>(7)资格审查资料</w:t>
      </w:r>
      <w:bookmarkEnd w:id="71"/>
      <w:bookmarkEnd w:id="72"/>
      <w:bookmarkEnd w:id="73"/>
    </w:p>
    <w:p>
      <w:pPr>
        <w:spacing w:line="360" w:lineRule="auto"/>
        <w:ind w:firstLine="480" w:firstLineChars="200"/>
        <w:jc w:val="left"/>
        <w:outlineLvl w:val="0"/>
        <w:rPr>
          <w:rFonts w:cs="宋体"/>
          <w:sz w:val="24"/>
          <w:szCs w:val="24"/>
        </w:rPr>
      </w:pPr>
      <w:bookmarkStart w:id="74" w:name="_Toc20294"/>
      <w:bookmarkStart w:id="75" w:name="_Toc18686"/>
      <w:bookmarkStart w:id="76" w:name="_Toc5769"/>
      <w:r>
        <w:rPr>
          <w:rFonts w:hint="eastAsia" w:cs="宋体"/>
          <w:sz w:val="24"/>
          <w:szCs w:val="24"/>
        </w:rPr>
        <w:t>(8)</w:t>
      </w:r>
      <w:bookmarkEnd w:id="74"/>
      <w:r>
        <w:rPr>
          <w:rFonts w:hint="eastAsia" w:cs="宋体"/>
          <w:sz w:val="24"/>
          <w:szCs w:val="24"/>
        </w:rPr>
        <w:t>项目管理及实施方案</w:t>
      </w:r>
      <w:bookmarkEnd w:id="75"/>
      <w:bookmarkEnd w:id="76"/>
    </w:p>
    <w:p>
      <w:pPr>
        <w:spacing w:line="360" w:lineRule="auto"/>
        <w:ind w:firstLine="480" w:firstLineChars="200"/>
        <w:rPr>
          <w:rFonts w:cs="宋体"/>
          <w:sz w:val="24"/>
          <w:szCs w:val="24"/>
        </w:rPr>
      </w:pPr>
      <w:r>
        <w:rPr>
          <w:rFonts w:hint="eastAsia" w:cs="宋体"/>
          <w:sz w:val="24"/>
          <w:szCs w:val="24"/>
        </w:rPr>
        <w:t>(9)其他资料</w:t>
      </w:r>
    </w:p>
    <w:p>
      <w:pPr>
        <w:spacing w:line="360" w:lineRule="auto"/>
        <w:ind w:firstLine="480" w:firstLineChars="200"/>
        <w:rPr>
          <w:rFonts w:cs="宋体"/>
          <w:sz w:val="24"/>
          <w:szCs w:val="24"/>
        </w:rPr>
      </w:pPr>
      <w:r>
        <w:rPr>
          <w:rFonts w:hint="eastAsia" w:cs="宋体"/>
          <w:sz w:val="24"/>
          <w:szCs w:val="24"/>
        </w:rPr>
        <w:t>供应商在评审过程中作出的符合采购文件要求的澄清、说明和补正,构成响应文件的组成部分。</w:t>
      </w:r>
    </w:p>
    <w:p>
      <w:pPr>
        <w:spacing w:line="360" w:lineRule="auto"/>
        <w:ind w:firstLine="480" w:firstLineChars="200"/>
        <w:rPr>
          <w:rFonts w:cs="宋体"/>
          <w:sz w:val="24"/>
          <w:szCs w:val="24"/>
        </w:rPr>
      </w:pPr>
      <w:r>
        <w:rPr>
          <w:rFonts w:hint="eastAsia" w:cs="宋体"/>
          <w:sz w:val="24"/>
          <w:szCs w:val="24"/>
        </w:rPr>
        <w:t>3.1.2供应商的法定代表人(单位负责人)亲自签署响应文件、亲自参加询比的所指的授权委托书。第一章“询比采购公告/询比采购邀请书”规定不接受联合体的,或供应商没有组成联合体的；按照询比采购文件相对格式确定。</w:t>
      </w:r>
    </w:p>
    <w:p>
      <w:pPr>
        <w:spacing w:line="360" w:lineRule="auto"/>
        <w:ind w:firstLine="480" w:firstLineChars="200"/>
        <w:rPr>
          <w:rFonts w:cs="宋体"/>
          <w:sz w:val="24"/>
          <w:szCs w:val="24"/>
        </w:rPr>
      </w:pPr>
      <w:r>
        <w:rPr>
          <w:rFonts w:hint="eastAsia" w:cs="宋体"/>
          <w:sz w:val="24"/>
          <w:szCs w:val="24"/>
        </w:rPr>
        <w:t>3.1.3所指的联合体协议书。供应商须知前附表未要求供应商递交响应保证金的,响应文件不包括须知前附表所指的响应保证金。</w:t>
      </w:r>
    </w:p>
    <w:p>
      <w:pPr>
        <w:spacing w:line="360" w:lineRule="auto"/>
        <w:ind w:firstLine="482" w:firstLineChars="200"/>
        <w:outlineLvl w:val="0"/>
        <w:rPr>
          <w:rFonts w:cs="宋体"/>
          <w:b/>
          <w:bCs/>
          <w:sz w:val="24"/>
          <w:szCs w:val="24"/>
        </w:rPr>
      </w:pPr>
      <w:bookmarkStart w:id="77" w:name="_Toc6388"/>
      <w:bookmarkStart w:id="78" w:name="_Toc29131"/>
      <w:bookmarkStart w:id="79" w:name="_Toc16605"/>
      <w:bookmarkStart w:id="80" w:name="_Toc3439"/>
      <w:r>
        <w:rPr>
          <w:rFonts w:hint="eastAsia" w:cs="宋体"/>
          <w:b/>
          <w:bCs/>
          <w:sz w:val="24"/>
          <w:szCs w:val="24"/>
        </w:rPr>
        <w:t>3.2报价</w:t>
      </w:r>
      <w:bookmarkEnd w:id="77"/>
      <w:bookmarkEnd w:id="78"/>
      <w:bookmarkEnd w:id="79"/>
      <w:bookmarkEnd w:id="80"/>
    </w:p>
    <w:p>
      <w:pPr>
        <w:spacing w:line="360" w:lineRule="auto"/>
        <w:ind w:firstLine="480" w:firstLineChars="200"/>
        <w:rPr>
          <w:rFonts w:cs="宋体"/>
          <w:sz w:val="24"/>
          <w:szCs w:val="24"/>
        </w:rPr>
      </w:pPr>
      <w:r>
        <w:rPr>
          <w:rFonts w:hint="eastAsia" w:cs="宋体"/>
          <w:sz w:val="24"/>
          <w:szCs w:val="24"/>
        </w:rPr>
        <w:t>3.2.1供应商应按采购文件提供的格式(见第五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spacing w:line="360" w:lineRule="auto"/>
        <w:ind w:firstLine="480" w:firstLineChars="200"/>
        <w:rPr>
          <w:rFonts w:cs="宋体"/>
          <w:sz w:val="24"/>
          <w:szCs w:val="24"/>
        </w:rPr>
      </w:pPr>
      <w:r>
        <w:rPr>
          <w:rFonts w:hint="eastAsia" w:cs="宋体"/>
          <w:sz w:val="24"/>
          <w:szCs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spacing w:line="360" w:lineRule="auto"/>
        <w:ind w:firstLine="480" w:firstLineChars="200"/>
        <w:rPr>
          <w:rFonts w:cs="宋体"/>
          <w:sz w:val="24"/>
          <w:szCs w:val="24"/>
        </w:rPr>
      </w:pPr>
      <w:r>
        <w:rPr>
          <w:rFonts w:hint="eastAsia" w:cs="宋体"/>
          <w:sz w:val="24"/>
          <w:szCs w:val="24"/>
        </w:rPr>
        <w:t>3.2.3采购人设有最高限价的,供应商的报价不得超过最高限价。最高限价或最高限价计算方法在供应商须知前附表中载明。</w:t>
      </w:r>
    </w:p>
    <w:p>
      <w:pPr>
        <w:spacing w:line="360" w:lineRule="auto"/>
        <w:ind w:firstLine="480" w:firstLineChars="200"/>
        <w:rPr>
          <w:rFonts w:cs="宋体"/>
          <w:sz w:val="24"/>
          <w:szCs w:val="24"/>
        </w:rPr>
      </w:pPr>
      <w:r>
        <w:rPr>
          <w:rFonts w:hint="eastAsia" w:cs="宋体"/>
          <w:sz w:val="24"/>
          <w:szCs w:val="24"/>
        </w:rPr>
        <w:t>3.2.4报价的其他要求见供应商须知前附表。</w:t>
      </w:r>
    </w:p>
    <w:p>
      <w:pPr>
        <w:spacing w:line="360" w:lineRule="auto"/>
        <w:ind w:firstLine="482" w:firstLineChars="200"/>
        <w:outlineLvl w:val="0"/>
        <w:rPr>
          <w:rFonts w:cs="宋体"/>
          <w:b/>
          <w:bCs/>
          <w:sz w:val="24"/>
          <w:szCs w:val="24"/>
        </w:rPr>
      </w:pPr>
      <w:bookmarkStart w:id="81" w:name="_Toc20620"/>
      <w:bookmarkStart w:id="82" w:name="_Toc7236"/>
      <w:bookmarkStart w:id="83" w:name="_Toc22140"/>
      <w:bookmarkStart w:id="84" w:name="_Toc11400"/>
      <w:r>
        <w:rPr>
          <w:rFonts w:hint="eastAsia" w:cs="宋体"/>
          <w:b/>
          <w:bCs/>
          <w:sz w:val="24"/>
          <w:szCs w:val="24"/>
        </w:rPr>
        <w:t>3.3响应文件有效期</w:t>
      </w:r>
      <w:bookmarkEnd w:id="81"/>
      <w:bookmarkEnd w:id="82"/>
      <w:bookmarkEnd w:id="83"/>
      <w:bookmarkEnd w:id="84"/>
    </w:p>
    <w:p>
      <w:pPr>
        <w:spacing w:line="360" w:lineRule="auto"/>
        <w:ind w:firstLine="480" w:firstLineChars="200"/>
        <w:rPr>
          <w:rFonts w:cs="宋体"/>
          <w:sz w:val="24"/>
          <w:szCs w:val="24"/>
        </w:rPr>
      </w:pPr>
      <w:r>
        <w:rPr>
          <w:rFonts w:hint="eastAsia" w:cs="宋体"/>
          <w:sz w:val="24"/>
          <w:szCs w:val="24"/>
        </w:rPr>
        <w:t>3.3.1除供应商须知前附表另有规定外,响应文件有效期应为60日,从采购文件规定的递交响应文件的截止时间开始计算。</w:t>
      </w:r>
    </w:p>
    <w:p>
      <w:pPr>
        <w:spacing w:line="360" w:lineRule="auto"/>
        <w:ind w:firstLine="480" w:firstLineChars="200"/>
        <w:rPr>
          <w:rFonts w:cs="宋体"/>
          <w:sz w:val="24"/>
          <w:szCs w:val="24"/>
        </w:rPr>
      </w:pPr>
      <w:r>
        <w:rPr>
          <w:rFonts w:hint="eastAsia" w:cs="宋体"/>
          <w:sz w:val="24"/>
          <w:szCs w:val="24"/>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spacing w:line="360" w:lineRule="auto"/>
        <w:ind w:firstLine="482" w:firstLineChars="200"/>
        <w:outlineLvl w:val="0"/>
        <w:rPr>
          <w:rFonts w:cs="宋体"/>
          <w:b/>
          <w:bCs/>
          <w:sz w:val="24"/>
          <w:szCs w:val="24"/>
        </w:rPr>
      </w:pPr>
      <w:bookmarkStart w:id="85" w:name="_Toc24779"/>
      <w:bookmarkStart w:id="86" w:name="_Toc22958"/>
      <w:bookmarkStart w:id="87" w:name="_Toc25175"/>
      <w:bookmarkStart w:id="88" w:name="_Toc1890"/>
      <w:r>
        <w:rPr>
          <w:rFonts w:hint="eastAsia" w:cs="宋体"/>
          <w:b/>
          <w:bCs/>
          <w:sz w:val="24"/>
          <w:szCs w:val="24"/>
        </w:rPr>
        <w:t>3.4响应保证金</w:t>
      </w:r>
      <w:bookmarkEnd w:id="85"/>
      <w:bookmarkEnd w:id="86"/>
      <w:bookmarkEnd w:id="87"/>
      <w:bookmarkEnd w:id="88"/>
    </w:p>
    <w:p>
      <w:pPr>
        <w:spacing w:line="360" w:lineRule="auto"/>
        <w:ind w:firstLine="480" w:firstLineChars="200"/>
        <w:rPr>
          <w:rFonts w:cs="宋体"/>
          <w:sz w:val="24"/>
          <w:szCs w:val="24"/>
        </w:rPr>
      </w:pPr>
      <w:r>
        <w:rPr>
          <w:rFonts w:hint="eastAsia" w:cs="宋体"/>
          <w:sz w:val="24"/>
          <w:szCs w:val="24"/>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pacing w:line="360" w:lineRule="auto"/>
        <w:ind w:firstLine="480" w:firstLineChars="200"/>
        <w:rPr>
          <w:rFonts w:cs="宋体"/>
          <w:sz w:val="24"/>
          <w:szCs w:val="24"/>
        </w:rPr>
      </w:pPr>
      <w:r>
        <w:rPr>
          <w:rFonts w:hint="eastAsia" w:cs="宋体"/>
          <w:sz w:val="24"/>
          <w:szCs w:val="24"/>
        </w:rPr>
        <w:t>3.4.2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spacing w:line="360" w:lineRule="auto"/>
        <w:ind w:firstLine="480" w:firstLineChars="200"/>
        <w:rPr>
          <w:rFonts w:cs="宋体"/>
          <w:sz w:val="24"/>
          <w:szCs w:val="24"/>
        </w:rPr>
      </w:pPr>
      <w:r>
        <w:rPr>
          <w:rFonts w:hint="eastAsia" w:cs="宋体"/>
          <w:sz w:val="24"/>
          <w:szCs w:val="24"/>
        </w:rPr>
        <w:t>3.4.3有下列情形之一的,响应保证金将不于退还:</w:t>
      </w:r>
    </w:p>
    <w:p>
      <w:pPr>
        <w:spacing w:line="360" w:lineRule="auto"/>
        <w:ind w:firstLine="960" w:firstLineChars="400"/>
        <w:rPr>
          <w:rFonts w:cs="宋体"/>
          <w:sz w:val="24"/>
          <w:szCs w:val="24"/>
        </w:rPr>
      </w:pPr>
      <w:r>
        <w:rPr>
          <w:rFonts w:hint="eastAsia" w:cs="宋体"/>
          <w:sz w:val="24"/>
          <w:szCs w:val="24"/>
        </w:rPr>
        <w:t>(1)供应商在响应文件有效期内撤销响应文件;</w:t>
      </w:r>
    </w:p>
    <w:p>
      <w:pPr>
        <w:spacing w:line="360" w:lineRule="auto"/>
        <w:ind w:firstLine="960" w:firstLineChars="400"/>
        <w:rPr>
          <w:rFonts w:cs="宋体"/>
          <w:sz w:val="24"/>
          <w:szCs w:val="24"/>
        </w:rPr>
      </w:pPr>
      <w:r>
        <w:rPr>
          <w:rFonts w:hint="eastAsia" w:cs="宋体"/>
          <w:sz w:val="24"/>
          <w:szCs w:val="24"/>
        </w:rPr>
        <w:t>(2)成交供应商在收到成交通知书后,无正当理由不与采购人订立合同,在签订合同时向采购人提出附加条件,或者不按照采购文件要求递交履约保证金;</w:t>
      </w:r>
    </w:p>
    <w:p>
      <w:pPr>
        <w:spacing w:line="360" w:lineRule="auto"/>
        <w:ind w:firstLine="960" w:firstLineChars="400"/>
        <w:rPr>
          <w:rFonts w:cs="宋体"/>
          <w:sz w:val="24"/>
          <w:szCs w:val="24"/>
        </w:rPr>
      </w:pPr>
      <w:r>
        <w:rPr>
          <w:rFonts w:hint="eastAsia" w:cs="宋体"/>
          <w:sz w:val="24"/>
          <w:szCs w:val="24"/>
        </w:rPr>
        <w:t>(3)发生供应商须知前附表规定的其他不予退还响应保证金的情形。</w:t>
      </w:r>
    </w:p>
    <w:p>
      <w:pPr>
        <w:spacing w:line="360" w:lineRule="auto"/>
        <w:ind w:firstLine="482" w:firstLineChars="200"/>
        <w:outlineLvl w:val="0"/>
        <w:rPr>
          <w:rFonts w:cs="宋体"/>
          <w:b/>
          <w:bCs/>
          <w:sz w:val="24"/>
          <w:szCs w:val="24"/>
        </w:rPr>
      </w:pPr>
      <w:bookmarkStart w:id="89" w:name="_Toc8997"/>
      <w:bookmarkStart w:id="90" w:name="_Toc16001"/>
      <w:bookmarkStart w:id="91" w:name="_Toc6488"/>
      <w:bookmarkStart w:id="92" w:name="_Toc10541"/>
      <w:r>
        <w:rPr>
          <w:rFonts w:hint="eastAsia" w:cs="宋体"/>
          <w:b/>
          <w:bCs/>
          <w:sz w:val="24"/>
          <w:szCs w:val="24"/>
        </w:rPr>
        <w:t>3.5资格审查资料</w:t>
      </w:r>
      <w:bookmarkEnd w:id="89"/>
      <w:bookmarkEnd w:id="90"/>
      <w:bookmarkEnd w:id="91"/>
      <w:bookmarkEnd w:id="92"/>
    </w:p>
    <w:p>
      <w:pPr>
        <w:spacing w:line="360" w:lineRule="auto"/>
        <w:ind w:firstLine="480" w:firstLineChars="200"/>
        <w:rPr>
          <w:rFonts w:cs="宋体"/>
          <w:sz w:val="24"/>
          <w:szCs w:val="24"/>
        </w:rPr>
      </w:pPr>
      <w:r>
        <w:rPr>
          <w:rFonts w:hint="eastAsia" w:cs="宋体"/>
          <w:sz w:val="24"/>
          <w:szCs w:val="24"/>
        </w:rPr>
        <w:t>供应商应提供供应商须知前附表中规定的资格审查资料,以证明其满足第一章“询比采购公告/询比采购邀请书”对供应商的各项资格要求。</w:t>
      </w:r>
    </w:p>
    <w:p>
      <w:pPr>
        <w:spacing w:line="360" w:lineRule="auto"/>
        <w:ind w:firstLine="482" w:firstLineChars="200"/>
        <w:outlineLvl w:val="0"/>
        <w:rPr>
          <w:rFonts w:cs="宋体"/>
          <w:b/>
          <w:bCs/>
          <w:sz w:val="24"/>
          <w:szCs w:val="24"/>
        </w:rPr>
      </w:pPr>
      <w:bookmarkStart w:id="93" w:name="_Toc25133"/>
      <w:bookmarkStart w:id="94" w:name="_Toc17321"/>
      <w:bookmarkStart w:id="95" w:name="_Toc32687"/>
      <w:bookmarkStart w:id="96" w:name="_Toc4537"/>
      <w:r>
        <w:rPr>
          <w:rFonts w:hint="eastAsia" w:cs="宋体"/>
          <w:b/>
          <w:bCs/>
          <w:sz w:val="24"/>
          <w:szCs w:val="24"/>
        </w:rPr>
        <w:t>3.6响应方案</w:t>
      </w:r>
      <w:bookmarkEnd w:id="93"/>
      <w:bookmarkEnd w:id="94"/>
      <w:bookmarkEnd w:id="95"/>
      <w:bookmarkEnd w:id="96"/>
    </w:p>
    <w:p>
      <w:pPr>
        <w:spacing w:line="360" w:lineRule="auto"/>
        <w:ind w:firstLine="480" w:firstLineChars="200"/>
        <w:rPr>
          <w:rFonts w:cs="宋体"/>
          <w:sz w:val="24"/>
          <w:szCs w:val="24"/>
        </w:rPr>
      </w:pPr>
      <w:r>
        <w:rPr>
          <w:rFonts w:hint="eastAsia" w:cs="宋体"/>
          <w:sz w:val="24"/>
          <w:szCs w:val="24"/>
        </w:rPr>
        <w:t>3.6.1响应文件应当对采购文件中的实质性内容作出响应。采购需求中明确为关键条款(标记“*”)的,供应商还应按照供应商须知前附表的规定提供有关证据或证明材料。</w:t>
      </w:r>
    </w:p>
    <w:p>
      <w:pPr>
        <w:spacing w:line="360" w:lineRule="auto"/>
        <w:ind w:firstLine="480" w:firstLineChars="200"/>
        <w:rPr>
          <w:rFonts w:cs="宋体"/>
          <w:sz w:val="24"/>
          <w:szCs w:val="24"/>
        </w:rPr>
      </w:pPr>
      <w:r>
        <w:rPr>
          <w:rFonts w:hint="eastAsia" w:cs="宋体"/>
          <w:sz w:val="24"/>
          <w:szCs w:val="24"/>
        </w:rPr>
        <w:t>3.6.2供应商只能提出唯一的响应方案。供应商在响应文件中提出多个响应方案的,其响应文件将被视为无效。</w:t>
      </w:r>
    </w:p>
    <w:p>
      <w:pPr>
        <w:spacing w:line="360" w:lineRule="auto"/>
        <w:ind w:firstLine="480" w:firstLineChars="200"/>
        <w:rPr>
          <w:rFonts w:cs="宋体"/>
          <w:sz w:val="24"/>
          <w:szCs w:val="24"/>
        </w:rPr>
      </w:pPr>
      <w:r>
        <w:rPr>
          <w:rFonts w:hint="eastAsia" w:cs="宋体"/>
          <w:sz w:val="24"/>
          <w:szCs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360" w:lineRule="auto"/>
        <w:ind w:firstLine="480" w:firstLineChars="200"/>
        <w:rPr>
          <w:rFonts w:cs="宋体"/>
          <w:sz w:val="24"/>
          <w:szCs w:val="24"/>
        </w:rPr>
      </w:pPr>
      <w:r>
        <w:rPr>
          <w:rFonts w:hint="eastAsia" w:cs="宋体"/>
          <w:sz w:val="24"/>
          <w:szCs w:val="24"/>
        </w:rPr>
        <w:t>非招标方式采购文件示范文本</w:t>
      </w:r>
    </w:p>
    <w:p>
      <w:pPr>
        <w:spacing w:line="360" w:lineRule="auto"/>
        <w:ind w:firstLine="482" w:firstLineChars="200"/>
        <w:outlineLvl w:val="0"/>
        <w:rPr>
          <w:rFonts w:cs="宋体"/>
          <w:b/>
          <w:bCs/>
          <w:sz w:val="24"/>
          <w:szCs w:val="24"/>
        </w:rPr>
      </w:pPr>
      <w:bookmarkStart w:id="97" w:name="_Toc31710"/>
      <w:bookmarkStart w:id="98" w:name="_Toc25898"/>
      <w:bookmarkStart w:id="99" w:name="_Toc23579"/>
      <w:bookmarkStart w:id="100" w:name="_Toc18725"/>
      <w:r>
        <w:rPr>
          <w:rFonts w:hint="eastAsia" w:cs="宋体"/>
          <w:b/>
          <w:bCs/>
          <w:sz w:val="24"/>
          <w:szCs w:val="24"/>
        </w:rPr>
        <w:t>3.7响应文件的编制</w:t>
      </w:r>
      <w:bookmarkEnd w:id="97"/>
      <w:bookmarkEnd w:id="98"/>
      <w:bookmarkEnd w:id="99"/>
      <w:bookmarkEnd w:id="100"/>
    </w:p>
    <w:p>
      <w:pPr>
        <w:spacing w:line="360" w:lineRule="auto"/>
        <w:ind w:firstLine="480" w:firstLineChars="200"/>
        <w:rPr>
          <w:rFonts w:cs="宋体"/>
          <w:sz w:val="24"/>
          <w:szCs w:val="24"/>
        </w:rPr>
      </w:pPr>
      <w:r>
        <w:rPr>
          <w:rFonts w:hint="eastAsia" w:cs="宋体"/>
          <w:sz w:val="24"/>
          <w:szCs w:val="24"/>
        </w:rPr>
        <w:t>3.7.1响应文件应按第五章“响应文件格式”进行编写,如有必要,可以增加附页作为响应文件的组成部分。</w:t>
      </w:r>
    </w:p>
    <w:p>
      <w:pPr>
        <w:spacing w:line="360" w:lineRule="auto"/>
        <w:ind w:firstLine="480" w:firstLineChars="200"/>
        <w:rPr>
          <w:rFonts w:cs="宋体"/>
          <w:sz w:val="24"/>
          <w:szCs w:val="24"/>
        </w:rPr>
      </w:pPr>
      <w:r>
        <w:rPr>
          <w:rFonts w:hint="eastAsia" w:cs="宋体"/>
          <w:sz w:val="24"/>
          <w:szCs w:val="24"/>
        </w:rPr>
        <w:t>3.7.2响应文件应用不褪色的材料书写或打印。</w:t>
      </w:r>
    </w:p>
    <w:p>
      <w:pPr>
        <w:spacing w:line="360" w:lineRule="auto"/>
        <w:ind w:firstLine="480" w:firstLineChars="200"/>
        <w:rPr>
          <w:rFonts w:cs="宋体"/>
          <w:sz w:val="24"/>
          <w:szCs w:val="24"/>
        </w:rPr>
      </w:pPr>
      <w:r>
        <w:rPr>
          <w:rFonts w:hint="eastAsia" w:cs="宋体"/>
          <w:sz w:val="24"/>
          <w:szCs w:val="24"/>
        </w:rPr>
        <w:t>响应函应由供应商的法定代表人(单位负责人)或其授权的代理人签字并加盖单位章。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联合体协议书(如有)应由联合体各方的法定代表人(单位负责人)或其授权的代理人签字并加盖单位章。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响应函或联合体协议书(如有)由代理人签字的,应在响应文件中附授权委托书,授权委托书应由供应商或联合体各方的法定代表人(单位负责人)签字并加盖单位章。</w:t>
      </w:r>
    </w:p>
    <w:p>
      <w:pPr>
        <w:spacing w:line="360" w:lineRule="auto"/>
        <w:ind w:firstLine="480" w:firstLineChars="200"/>
        <w:rPr>
          <w:rFonts w:cs="宋体"/>
          <w:sz w:val="24"/>
          <w:szCs w:val="24"/>
        </w:rPr>
      </w:pPr>
      <w:r>
        <w:rPr>
          <w:rFonts w:hint="eastAsia" w:cs="宋体"/>
          <w:sz w:val="24"/>
          <w:szCs w:val="24"/>
        </w:rPr>
        <w:t>3.7.3评审过程中供应商对响应文件的澄清、说明和补正应由供应商的法定代表人(单位负责人)或其授权的代理人签字或加盖单位章。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3.7.4响应文件应尽量避免涂改、行间插字或删除。如果出现上述情况,改动之处应由供应商的法定代表人(单位负责人)或其授权的代理人签字或加盖单位章。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3.7.5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pPr>
        <w:spacing w:line="360" w:lineRule="auto"/>
        <w:ind w:firstLine="480" w:firstLineChars="200"/>
        <w:rPr>
          <w:rFonts w:cs="宋体"/>
          <w:sz w:val="24"/>
          <w:szCs w:val="24"/>
        </w:rPr>
      </w:pPr>
      <w:r>
        <w:rPr>
          <w:rFonts w:hint="eastAsia" w:cs="宋体"/>
          <w:sz w:val="24"/>
          <w:szCs w:val="24"/>
        </w:rPr>
        <w:t>3.7.6响应文件的正本与副本应分别装订,并编制目录。响应文件需分册装订的,具体分册装订要求见供应商须知前附表规定。</w:t>
      </w:r>
    </w:p>
    <w:p>
      <w:pPr>
        <w:spacing w:line="360" w:lineRule="auto"/>
        <w:ind w:firstLine="482" w:firstLineChars="200"/>
        <w:outlineLvl w:val="0"/>
        <w:rPr>
          <w:rFonts w:cs="宋体"/>
          <w:b/>
          <w:bCs/>
          <w:sz w:val="24"/>
          <w:szCs w:val="24"/>
        </w:rPr>
      </w:pPr>
      <w:bookmarkStart w:id="101" w:name="_Toc22817"/>
      <w:bookmarkStart w:id="102" w:name="_Toc23086"/>
      <w:r>
        <w:rPr>
          <w:rFonts w:hint="eastAsia" w:cs="宋体"/>
          <w:b/>
          <w:bCs/>
          <w:sz w:val="24"/>
          <w:szCs w:val="24"/>
        </w:rPr>
        <w:t>4响应文件的递交</w:t>
      </w:r>
      <w:bookmarkEnd w:id="101"/>
      <w:bookmarkEnd w:id="102"/>
    </w:p>
    <w:p>
      <w:pPr>
        <w:spacing w:line="360" w:lineRule="auto"/>
        <w:ind w:firstLine="480" w:firstLineChars="200"/>
        <w:outlineLvl w:val="0"/>
        <w:rPr>
          <w:rFonts w:cs="宋体"/>
          <w:sz w:val="24"/>
          <w:szCs w:val="24"/>
        </w:rPr>
      </w:pPr>
      <w:bookmarkStart w:id="103" w:name="_Toc3335"/>
      <w:bookmarkStart w:id="104" w:name="_Toc31820"/>
      <w:bookmarkStart w:id="105" w:name="_Toc22790"/>
      <w:bookmarkStart w:id="106" w:name="_Toc19551"/>
      <w:r>
        <w:rPr>
          <w:rFonts w:hint="eastAsia" w:cs="宋体"/>
          <w:sz w:val="24"/>
          <w:szCs w:val="24"/>
        </w:rPr>
        <w:t>4.1响应文件的包装与标记</w:t>
      </w:r>
      <w:bookmarkEnd w:id="103"/>
      <w:bookmarkEnd w:id="104"/>
      <w:bookmarkEnd w:id="105"/>
      <w:bookmarkEnd w:id="106"/>
    </w:p>
    <w:p>
      <w:pPr>
        <w:spacing w:line="360" w:lineRule="auto"/>
        <w:ind w:firstLine="480" w:firstLineChars="200"/>
        <w:rPr>
          <w:rFonts w:cs="宋体"/>
          <w:sz w:val="24"/>
          <w:szCs w:val="24"/>
        </w:rPr>
      </w:pPr>
      <w:r>
        <w:rPr>
          <w:rFonts w:hint="eastAsia" w:cs="宋体"/>
          <w:sz w:val="24"/>
          <w:szCs w:val="24"/>
        </w:rPr>
        <w:t>4.1.1响应文件应密封包装,未密封的响应文件,采购人将拒绝接收。</w:t>
      </w:r>
    </w:p>
    <w:p>
      <w:pPr>
        <w:spacing w:line="360" w:lineRule="auto"/>
        <w:ind w:firstLine="480" w:firstLineChars="200"/>
        <w:rPr>
          <w:rFonts w:cs="宋体"/>
          <w:sz w:val="24"/>
          <w:szCs w:val="24"/>
        </w:rPr>
      </w:pPr>
      <w:r>
        <w:rPr>
          <w:rFonts w:hint="eastAsia" w:cs="宋体"/>
          <w:sz w:val="24"/>
          <w:szCs w:val="24"/>
        </w:rPr>
        <w:t>4..2响应文件封套上应载明的内容见供应商须知前附表。</w:t>
      </w:r>
    </w:p>
    <w:p>
      <w:pPr>
        <w:spacing w:line="360" w:lineRule="auto"/>
        <w:ind w:firstLine="480" w:firstLineChars="200"/>
        <w:outlineLvl w:val="0"/>
        <w:rPr>
          <w:rFonts w:cs="宋体"/>
          <w:sz w:val="24"/>
          <w:szCs w:val="24"/>
        </w:rPr>
      </w:pPr>
      <w:bookmarkStart w:id="107" w:name="_Toc28144"/>
      <w:bookmarkStart w:id="108" w:name="_Toc26385"/>
      <w:bookmarkStart w:id="109" w:name="_Toc32058"/>
      <w:bookmarkStart w:id="110" w:name="_Toc3645"/>
      <w:r>
        <w:rPr>
          <w:rFonts w:hint="eastAsia" w:cs="宋体"/>
          <w:sz w:val="24"/>
          <w:szCs w:val="24"/>
        </w:rPr>
        <w:t>4.2响应文件的递交</w:t>
      </w:r>
      <w:bookmarkEnd w:id="107"/>
      <w:bookmarkEnd w:id="108"/>
      <w:bookmarkEnd w:id="109"/>
      <w:bookmarkEnd w:id="110"/>
    </w:p>
    <w:p>
      <w:pPr>
        <w:spacing w:line="360" w:lineRule="auto"/>
        <w:ind w:firstLine="480" w:firstLineChars="200"/>
        <w:rPr>
          <w:rFonts w:cs="宋体"/>
          <w:sz w:val="24"/>
          <w:szCs w:val="24"/>
        </w:rPr>
      </w:pPr>
      <w:r>
        <w:rPr>
          <w:rFonts w:hint="eastAsia" w:cs="宋体"/>
          <w:sz w:val="24"/>
          <w:szCs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spacing w:line="360" w:lineRule="auto"/>
        <w:ind w:firstLine="480" w:firstLineChars="200"/>
        <w:rPr>
          <w:rFonts w:cs="宋体"/>
          <w:sz w:val="24"/>
          <w:szCs w:val="24"/>
        </w:rPr>
      </w:pPr>
      <w:r>
        <w:rPr>
          <w:rFonts w:hint="eastAsia" w:cs="宋体"/>
          <w:sz w:val="24"/>
          <w:szCs w:val="24"/>
        </w:rPr>
        <w:t>4.2.2除供应商须知前附表另有规定外,供应商所递交的响应文件不予退还。</w:t>
      </w:r>
    </w:p>
    <w:p>
      <w:pPr>
        <w:spacing w:line="360" w:lineRule="auto"/>
        <w:ind w:firstLine="480" w:firstLineChars="200"/>
        <w:outlineLvl w:val="0"/>
        <w:rPr>
          <w:rFonts w:cs="宋体"/>
          <w:sz w:val="24"/>
          <w:szCs w:val="24"/>
        </w:rPr>
      </w:pPr>
      <w:bookmarkStart w:id="111" w:name="_Toc31621"/>
      <w:bookmarkStart w:id="112" w:name="_Toc7190"/>
      <w:bookmarkStart w:id="113" w:name="_Toc13801"/>
      <w:bookmarkStart w:id="114" w:name="_Toc11858"/>
      <w:r>
        <w:rPr>
          <w:rFonts w:hint="eastAsia" w:cs="宋体"/>
          <w:sz w:val="24"/>
          <w:szCs w:val="24"/>
        </w:rPr>
        <w:t>4.3响应文件的修改与撤回</w:t>
      </w:r>
      <w:bookmarkEnd w:id="111"/>
      <w:bookmarkEnd w:id="112"/>
      <w:bookmarkEnd w:id="113"/>
      <w:bookmarkEnd w:id="114"/>
    </w:p>
    <w:p>
      <w:pPr>
        <w:spacing w:line="360" w:lineRule="auto"/>
        <w:ind w:firstLine="480" w:firstLineChars="200"/>
        <w:rPr>
          <w:rFonts w:cs="宋体"/>
          <w:sz w:val="24"/>
          <w:szCs w:val="24"/>
        </w:rPr>
      </w:pPr>
      <w:r>
        <w:rPr>
          <w:rFonts w:hint="eastAsia" w:cs="宋体"/>
          <w:sz w:val="24"/>
          <w:szCs w:val="24"/>
        </w:rPr>
        <w:t>4.3.1在本章第4.2.1项规定的递交响应文件的截止时间前,供应商可以修改或撤回已递交的响应文件,但应以书面形式通知采购人。</w:t>
      </w:r>
    </w:p>
    <w:p>
      <w:pPr>
        <w:spacing w:line="360" w:lineRule="auto"/>
        <w:ind w:firstLine="480" w:firstLineChars="200"/>
        <w:rPr>
          <w:rFonts w:cs="宋体"/>
          <w:sz w:val="24"/>
          <w:szCs w:val="24"/>
        </w:rPr>
      </w:pPr>
      <w:r>
        <w:rPr>
          <w:rFonts w:hint="eastAsia" w:cs="宋体"/>
          <w:sz w:val="24"/>
          <w:szCs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spacing w:line="360" w:lineRule="auto"/>
        <w:ind w:firstLine="480" w:firstLineChars="200"/>
        <w:rPr>
          <w:rFonts w:cs="宋体"/>
          <w:sz w:val="24"/>
          <w:szCs w:val="24"/>
        </w:rPr>
      </w:pPr>
      <w:r>
        <w:rPr>
          <w:rFonts w:hint="eastAsia" w:cs="宋体"/>
          <w:sz w:val="24"/>
          <w:szCs w:val="24"/>
        </w:rPr>
        <w:t>4.3.3除供应商须知前附表另有规定外，供应商撤回响应文件的，采购人应在5日内退还已收取的响应保证金。</w:t>
      </w:r>
    </w:p>
    <w:p>
      <w:pPr>
        <w:spacing w:line="360" w:lineRule="auto"/>
        <w:ind w:firstLine="480" w:firstLineChars="200"/>
        <w:rPr>
          <w:rFonts w:cs="宋体"/>
          <w:sz w:val="24"/>
          <w:szCs w:val="24"/>
        </w:rPr>
      </w:pPr>
      <w:r>
        <w:rPr>
          <w:rFonts w:hint="eastAsia" w:cs="宋体"/>
          <w:sz w:val="24"/>
          <w:szCs w:val="24"/>
        </w:rPr>
        <w:t>4.3.4修改的内容为响应文件的组成部分。响应文件的修改文件应按照本章第3条、第4条的规定进行编制、包装、标记和递交，并标明“修改”字样。</w:t>
      </w:r>
    </w:p>
    <w:p>
      <w:pPr>
        <w:spacing w:line="360" w:lineRule="auto"/>
        <w:outlineLvl w:val="0"/>
        <w:rPr>
          <w:rFonts w:cs="宋体"/>
          <w:b/>
          <w:bCs/>
          <w:sz w:val="24"/>
          <w:szCs w:val="24"/>
        </w:rPr>
      </w:pPr>
      <w:bookmarkStart w:id="115" w:name="_Toc3270"/>
      <w:bookmarkStart w:id="116" w:name="_Toc17787"/>
      <w:bookmarkStart w:id="117" w:name="_Toc20513"/>
      <w:bookmarkStart w:id="118" w:name="_Toc581"/>
      <w:r>
        <w:rPr>
          <w:rFonts w:hint="eastAsia" w:cs="宋体"/>
          <w:b/>
          <w:bCs/>
          <w:sz w:val="24"/>
          <w:szCs w:val="24"/>
        </w:rPr>
        <w:t>5开启响应文件</w:t>
      </w:r>
      <w:bookmarkEnd w:id="115"/>
      <w:bookmarkEnd w:id="116"/>
      <w:bookmarkEnd w:id="117"/>
      <w:bookmarkEnd w:id="118"/>
    </w:p>
    <w:p>
      <w:pPr>
        <w:spacing w:line="360" w:lineRule="auto"/>
        <w:outlineLvl w:val="0"/>
        <w:rPr>
          <w:rFonts w:cs="宋体"/>
          <w:b/>
          <w:bCs/>
          <w:sz w:val="24"/>
          <w:szCs w:val="24"/>
        </w:rPr>
      </w:pPr>
      <w:bookmarkStart w:id="119" w:name="_Toc31272"/>
      <w:bookmarkStart w:id="120" w:name="_Toc28499"/>
      <w:bookmarkStart w:id="121" w:name="_Toc11141"/>
      <w:bookmarkStart w:id="122" w:name="_Toc32300"/>
      <w:r>
        <w:rPr>
          <w:rFonts w:hint="eastAsia" w:cs="宋体"/>
          <w:b/>
          <w:bCs/>
          <w:sz w:val="24"/>
          <w:szCs w:val="24"/>
        </w:rPr>
        <w:t>5.1开启响应文件的时间和地点</w:t>
      </w:r>
      <w:bookmarkEnd w:id="119"/>
      <w:bookmarkEnd w:id="120"/>
      <w:bookmarkEnd w:id="121"/>
      <w:bookmarkEnd w:id="122"/>
    </w:p>
    <w:p>
      <w:pPr>
        <w:spacing w:line="360" w:lineRule="auto"/>
        <w:ind w:firstLine="480" w:firstLineChars="200"/>
        <w:rPr>
          <w:rFonts w:cs="宋体"/>
          <w:sz w:val="24"/>
          <w:szCs w:val="24"/>
        </w:rPr>
      </w:pPr>
      <w:r>
        <w:rPr>
          <w:rFonts w:hint="eastAsia" w:cs="宋体"/>
          <w:sz w:val="24"/>
          <w:szCs w:val="24"/>
        </w:rPr>
        <w:t>采购人在</w:t>
      </w:r>
      <w:r>
        <w:rPr>
          <w:rFonts w:hint="eastAsia" w:cs="宋体"/>
          <w:sz w:val="24"/>
          <w:szCs w:val="24"/>
          <w:lang w:val="en-US" w:eastAsia="zh-CN"/>
        </w:rPr>
        <w:t>询比采购文件</w:t>
      </w:r>
      <w:r>
        <w:rPr>
          <w:rFonts w:hint="eastAsia" w:cs="宋体"/>
          <w:sz w:val="24"/>
          <w:szCs w:val="24"/>
        </w:rPr>
        <w:t>规定递交响应文件的截止时间和地点公开开启响应文件，并邀请所有供应商的法定代表人（单位负责人）或其授权的代理人参加开启会议，供应商未派代表参加的，视为默认开启结果。</w:t>
      </w:r>
    </w:p>
    <w:p>
      <w:pPr>
        <w:spacing w:line="360" w:lineRule="auto"/>
        <w:outlineLvl w:val="0"/>
        <w:rPr>
          <w:rFonts w:cs="宋体"/>
          <w:sz w:val="24"/>
          <w:szCs w:val="24"/>
        </w:rPr>
      </w:pPr>
      <w:bookmarkStart w:id="123" w:name="_Toc31481"/>
      <w:bookmarkStart w:id="124" w:name="_Toc5682"/>
      <w:bookmarkStart w:id="125" w:name="_Toc469"/>
      <w:bookmarkStart w:id="126" w:name="_Toc27751"/>
      <w:r>
        <w:rPr>
          <w:rFonts w:hint="eastAsia" w:cs="宋体"/>
          <w:b/>
          <w:bCs/>
          <w:sz w:val="24"/>
          <w:szCs w:val="24"/>
        </w:rPr>
        <w:t>5.2开启程序</w:t>
      </w:r>
      <w:bookmarkEnd w:id="123"/>
      <w:bookmarkEnd w:id="124"/>
      <w:bookmarkEnd w:id="125"/>
      <w:bookmarkEnd w:id="126"/>
    </w:p>
    <w:p>
      <w:pPr>
        <w:spacing w:line="360" w:lineRule="auto"/>
        <w:ind w:firstLine="480" w:firstLineChars="200"/>
        <w:rPr>
          <w:rFonts w:cs="宋体"/>
          <w:sz w:val="24"/>
          <w:szCs w:val="24"/>
        </w:rPr>
      </w:pPr>
      <w:r>
        <w:rPr>
          <w:rFonts w:hint="eastAsia" w:cs="宋体"/>
          <w:sz w:val="24"/>
          <w:szCs w:val="24"/>
        </w:rPr>
        <w:t>主持人按下列程序公开开启响应文件：</w:t>
      </w:r>
    </w:p>
    <w:p>
      <w:pPr>
        <w:spacing w:line="360" w:lineRule="auto"/>
        <w:ind w:firstLine="480" w:firstLineChars="200"/>
        <w:rPr>
          <w:rFonts w:cs="宋体"/>
          <w:sz w:val="24"/>
          <w:szCs w:val="24"/>
        </w:rPr>
      </w:pPr>
      <w:r>
        <w:rPr>
          <w:rFonts w:hint="eastAsia" w:cs="宋体"/>
          <w:sz w:val="24"/>
          <w:szCs w:val="24"/>
        </w:rPr>
        <w:t>（1）宣布开启会议纪律；</w:t>
      </w:r>
    </w:p>
    <w:p>
      <w:pPr>
        <w:spacing w:line="360" w:lineRule="auto"/>
        <w:ind w:firstLine="480" w:firstLineChars="200"/>
        <w:rPr>
          <w:rFonts w:cs="宋体"/>
          <w:sz w:val="24"/>
          <w:szCs w:val="24"/>
        </w:rPr>
      </w:pPr>
      <w:r>
        <w:rPr>
          <w:rFonts w:hint="eastAsia" w:cs="宋体"/>
          <w:sz w:val="24"/>
          <w:szCs w:val="24"/>
        </w:rPr>
        <w:t>（2)宣布参加开启会议的工作人员姓名；</w:t>
      </w:r>
    </w:p>
    <w:p>
      <w:pPr>
        <w:spacing w:line="360" w:lineRule="auto"/>
        <w:ind w:firstLine="480" w:firstLineChars="200"/>
        <w:rPr>
          <w:rFonts w:cs="宋体"/>
          <w:sz w:val="24"/>
          <w:szCs w:val="24"/>
        </w:rPr>
      </w:pPr>
      <w:r>
        <w:rPr>
          <w:rFonts w:hint="eastAsia" w:cs="宋体"/>
          <w:sz w:val="24"/>
          <w:szCs w:val="24"/>
        </w:rPr>
        <w:t>（3）供应商代表检查确认响应文件的密封情况；</w:t>
      </w:r>
    </w:p>
    <w:p>
      <w:pPr>
        <w:spacing w:line="360" w:lineRule="auto"/>
        <w:ind w:firstLine="480" w:firstLineChars="200"/>
        <w:rPr>
          <w:rFonts w:cs="宋体"/>
          <w:sz w:val="24"/>
          <w:szCs w:val="24"/>
        </w:rPr>
      </w:pPr>
      <w:r>
        <w:rPr>
          <w:rFonts w:hint="eastAsia" w:cs="宋体"/>
          <w:sz w:val="24"/>
          <w:szCs w:val="24"/>
        </w:rPr>
        <w:t>（4）按照供应商须知前附表规定的开启顺序开启响应文件，公布递交响应文件的供应商名称、响应报价及供应商须知前附表规定的其他应公布的信息，并记录在案；</w:t>
      </w:r>
    </w:p>
    <w:p>
      <w:pPr>
        <w:spacing w:line="360" w:lineRule="auto"/>
        <w:ind w:firstLine="480" w:firstLineChars="200"/>
        <w:rPr>
          <w:rFonts w:cs="宋体"/>
          <w:sz w:val="24"/>
          <w:szCs w:val="24"/>
        </w:rPr>
      </w:pPr>
      <w:r>
        <w:rPr>
          <w:rFonts w:hint="eastAsia" w:cs="宋体"/>
          <w:sz w:val="24"/>
          <w:szCs w:val="24"/>
        </w:rPr>
        <w:t>（5）供应商代表及相关工作人员等在响应文件开启记录上签字确认；</w:t>
      </w:r>
    </w:p>
    <w:p>
      <w:pPr>
        <w:spacing w:line="360" w:lineRule="auto"/>
        <w:ind w:firstLine="480" w:firstLineChars="200"/>
        <w:rPr>
          <w:rFonts w:cs="宋体"/>
          <w:sz w:val="24"/>
          <w:szCs w:val="24"/>
        </w:rPr>
      </w:pPr>
      <w:r>
        <w:rPr>
          <w:rFonts w:hint="eastAsia" w:cs="宋体"/>
          <w:sz w:val="24"/>
          <w:szCs w:val="24"/>
        </w:rPr>
        <w:t>（6）宣布有关注意事项；</w:t>
      </w:r>
    </w:p>
    <w:p>
      <w:pPr>
        <w:spacing w:line="360" w:lineRule="auto"/>
        <w:ind w:firstLine="480" w:firstLineChars="200"/>
        <w:rPr>
          <w:rFonts w:cs="宋体"/>
          <w:sz w:val="24"/>
          <w:szCs w:val="24"/>
        </w:rPr>
      </w:pPr>
      <w:r>
        <w:rPr>
          <w:rFonts w:hint="eastAsia" w:cs="宋体"/>
          <w:sz w:val="24"/>
          <w:szCs w:val="24"/>
        </w:rPr>
        <w:t>（7）开启会议结束。</w:t>
      </w:r>
    </w:p>
    <w:p>
      <w:pPr>
        <w:spacing w:line="360" w:lineRule="auto"/>
        <w:outlineLvl w:val="0"/>
        <w:rPr>
          <w:rFonts w:cs="宋体"/>
          <w:b/>
          <w:bCs/>
          <w:sz w:val="24"/>
          <w:szCs w:val="24"/>
        </w:rPr>
      </w:pPr>
      <w:bookmarkStart w:id="127" w:name="_Toc29695"/>
      <w:bookmarkStart w:id="128" w:name="_Toc11933"/>
      <w:bookmarkStart w:id="129" w:name="_Toc25720"/>
      <w:bookmarkStart w:id="130" w:name="_Toc13324"/>
      <w:r>
        <w:rPr>
          <w:rFonts w:hint="eastAsia" w:cs="宋体"/>
          <w:b/>
          <w:bCs/>
          <w:sz w:val="24"/>
          <w:szCs w:val="24"/>
        </w:rPr>
        <w:t>5.3递交响应文件的供应商不足的情形</w:t>
      </w:r>
      <w:bookmarkEnd w:id="127"/>
      <w:bookmarkEnd w:id="128"/>
      <w:bookmarkEnd w:id="129"/>
      <w:bookmarkEnd w:id="130"/>
    </w:p>
    <w:p>
      <w:pPr>
        <w:spacing w:line="360" w:lineRule="auto"/>
        <w:ind w:firstLine="480" w:firstLineChars="200"/>
        <w:rPr>
          <w:rFonts w:cs="宋体"/>
          <w:sz w:val="24"/>
          <w:szCs w:val="24"/>
        </w:rPr>
      </w:pPr>
      <w:r>
        <w:rPr>
          <w:rFonts w:hint="eastAsia" w:cs="宋体"/>
          <w:sz w:val="24"/>
          <w:szCs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pPr>
        <w:spacing w:line="360" w:lineRule="auto"/>
        <w:ind w:firstLine="480" w:firstLineChars="200"/>
        <w:outlineLvl w:val="1"/>
        <w:rPr>
          <w:rFonts w:cs="宋体"/>
          <w:sz w:val="24"/>
          <w:szCs w:val="24"/>
        </w:rPr>
      </w:pPr>
      <w:bookmarkStart w:id="131" w:name="_Toc21708"/>
      <w:bookmarkStart w:id="132" w:name="_Toc5234"/>
      <w:bookmarkStart w:id="133" w:name="_Toc14192"/>
      <w:bookmarkStart w:id="134" w:name="_Toc28357"/>
      <w:r>
        <w:rPr>
          <w:rFonts w:hint="eastAsia" w:cs="宋体"/>
          <w:sz w:val="24"/>
          <w:szCs w:val="24"/>
        </w:rPr>
        <w:t>(1)终止询比并重新组织采购</w:t>
      </w:r>
      <w:bookmarkEnd w:id="131"/>
      <w:bookmarkEnd w:id="132"/>
      <w:bookmarkEnd w:id="133"/>
      <w:bookmarkEnd w:id="134"/>
    </w:p>
    <w:p>
      <w:pPr>
        <w:spacing w:line="360" w:lineRule="auto"/>
        <w:ind w:firstLine="480" w:firstLineChars="200"/>
        <w:rPr>
          <w:rFonts w:cs="宋体"/>
          <w:sz w:val="24"/>
          <w:szCs w:val="24"/>
        </w:rPr>
      </w:pPr>
      <w:r>
        <w:rPr>
          <w:rFonts w:hint="eastAsia" w:cs="宋体"/>
          <w:sz w:val="24"/>
          <w:szCs w:val="24"/>
        </w:rPr>
        <w:t>采购项目存在影响公平竞争情形的，采购人应当终止询比采购，并根据不同情形和原因，采取相应纠正措施，重新组织采购。</w:t>
      </w:r>
    </w:p>
    <w:p>
      <w:pPr>
        <w:spacing w:line="360" w:lineRule="auto"/>
        <w:ind w:firstLine="480" w:firstLineChars="200"/>
        <w:rPr>
          <w:rFonts w:cs="宋体"/>
          <w:sz w:val="24"/>
          <w:szCs w:val="24"/>
        </w:rPr>
      </w:pPr>
      <w:r>
        <w:rPr>
          <w:rFonts w:hint="eastAsia" w:cs="宋体"/>
          <w:sz w:val="24"/>
          <w:szCs w:val="24"/>
        </w:rPr>
        <w:t>采购项目不存在影响公平竞争情形的，采购人也可以选择终止询比采购，采取相应完善措施，重新组织采购。</w:t>
      </w:r>
    </w:p>
    <w:p>
      <w:pPr>
        <w:spacing w:line="360" w:lineRule="auto"/>
        <w:ind w:firstLine="480" w:firstLineChars="200"/>
        <w:outlineLvl w:val="1"/>
        <w:rPr>
          <w:rFonts w:cs="宋体"/>
          <w:sz w:val="24"/>
          <w:szCs w:val="24"/>
        </w:rPr>
      </w:pPr>
      <w:bookmarkStart w:id="135" w:name="_Toc27746"/>
      <w:bookmarkStart w:id="136" w:name="_Toc15839"/>
      <w:bookmarkStart w:id="137" w:name="_Toc16469"/>
      <w:bookmarkStart w:id="138" w:name="_Toc30506"/>
      <w:r>
        <w:rPr>
          <w:rFonts w:hint="eastAsia" w:cs="宋体"/>
          <w:sz w:val="24"/>
          <w:szCs w:val="24"/>
        </w:rPr>
        <w:t>（2）继续询比采购</w:t>
      </w:r>
      <w:bookmarkEnd w:id="135"/>
      <w:bookmarkEnd w:id="136"/>
      <w:bookmarkEnd w:id="137"/>
      <w:bookmarkEnd w:id="138"/>
    </w:p>
    <w:p>
      <w:pPr>
        <w:spacing w:line="360" w:lineRule="auto"/>
        <w:ind w:firstLine="480" w:firstLineChars="200"/>
        <w:rPr>
          <w:rFonts w:cs="宋体"/>
          <w:sz w:val="24"/>
          <w:szCs w:val="24"/>
        </w:rPr>
      </w:pPr>
      <w:r>
        <w:rPr>
          <w:rFonts w:hint="eastAsia" w:cs="宋体"/>
          <w:sz w:val="24"/>
          <w:szCs w:val="24"/>
        </w:rPr>
        <w:t>采购项目不存在应该终止询比情形，且采购人也没有自行选择终止询比采购的，采购人应按照本章第5.2款规定的程序继续开启响应文件，并按第三章“评审办法”规定的规则组织响应文件评审，完成询比采购后续程序。</w:t>
      </w:r>
    </w:p>
    <w:p>
      <w:pPr>
        <w:spacing w:line="360" w:lineRule="auto"/>
        <w:outlineLvl w:val="0"/>
        <w:rPr>
          <w:rFonts w:cs="宋体"/>
          <w:b/>
          <w:bCs/>
          <w:sz w:val="24"/>
          <w:szCs w:val="24"/>
        </w:rPr>
      </w:pPr>
      <w:bookmarkStart w:id="139" w:name="_Toc13787"/>
      <w:bookmarkStart w:id="140" w:name="_Toc28232"/>
      <w:bookmarkStart w:id="141" w:name="_Toc25455"/>
      <w:bookmarkStart w:id="142" w:name="_Toc17463"/>
      <w:r>
        <w:rPr>
          <w:rFonts w:hint="eastAsia" w:cs="宋体"/>
          <w:b/>
          <w:bCs/>
          <w:sz w:val="24"/>
          <w:szCs w:val="24"/>
        </w:rPr>
        <w:t>6评审</w:t>
      </w:r>
      <w:bookmarkEnd w:id="139"/>
      <w:bookmarkEnd w:id="140"/>
      <w:bookmarkEnd w:id="141"/>
      <w:bookmarkEnd w:id="142"/>
    </w:p>
    <w:p>
      <w:pPr>
        <w:spacing w:line="360" w:lineRule="auto"/>
        <w:outlineLvl w:val="0"/>
        <w:rPr>
          <w:rFonts w:cs="宋体"/>
          <w:sz w:val="24"/>
          <w:szCs w:val="24"/>
        </w:rPr>
      </w:pPr>
      <w:bookmarkStart w:id="143" w:name="_Toc18200"/>
      <w:bookmarkStart w:id="144" w:name="_Toc27129"/>
      <w:bookmarkStart w:id="145" w:name="_Toc1402"/>
      <w:bookmarkStart w:id="146" w:name="_Toc18450"/>
      <w:r>
        <w:rPr>
          <w:rFonts w:hint="eastAsia" w:cs="宋体"/>
          <w:sz w:val="24"/>
          <w:szCs w:val="24"/>
        </w:rPr>
        <w:t>6.1评审小组</w:t>
      </w:r>
      <w:bookmarkEnd w:id="143"/>
      <w:bookmarkEnd w:id="144"/>
      <w:bookmarkEnd w:id="145"/>
      <w:bookmarkEnd w:id="146"/>
    </w:p>
    <w:p>
      <w:pPr>
        <w:spacing w:line="360" w:lineRule="auto"/>
        <w:rPr>
          <w:rFonts w:cs="宋体"/>
          <w:sz w:val="24"/>
          <w:szCs w:val="24"/>
        </w:rPr>
      </w:pPr>
      <w:r>
        <w:rPr>
          <w:rFonts w:hint="eastAsia" w:cs="宋体"/>
          <w:sz w:val="24"/>
          <w:szCs w:val="24"/>
        </w:rPr>
        <w:t>6.1.1评审由采购人组建的评审小组负责。</w:t>
      </w:r>
    </w:p>
    <w:p>
      <w:pPr>
        <w:spacing w:line="360" w:lineRule="auto"/>
        <w:rPr>
          <w:rFonts w:cs="宋体"/>
          <w:sz w:val="24"/>
          <w:szCs w:val="24"/>
        </w:rPr>
      </w:pPr>
      <w:r>
        <w:rPr>
          <w:rFonts w:hint="eastAsia" w:cs="宋体"/>
          <w:sz w:val="24"/>
          <w:szCs w:val="24"/>
        </w:rPr>
        <w:t>6.1.2评审小组成员有下列情形之一的，应当回避：</w:t>
      </w:r>
    </w:p>
    <w:p>
      <w:pPr>
        <w:spacing w:line="360" w:lineRule="auto"/>
        <w:ind w:firstLine="480" w:firstLineChars="200"/>
        <w:rPr>
          <w:rFonts w:cs="宋体"/>
          <w:sz w:val="24"/>
          <w:szCs w:val="24"/>
        </w:rPr>
      </w:pPr>
      <w:r>
        <w:rPr>
          <w:rFonts w:hint="eastAsia" w:cs="宋体"/>
          <w:sz w:val="24"/>
          <w:szCs w:val="24"/>
        </w:rPr>
        <w:t>（1)供应商主要负责人或供应商主要负责人的近亲属；</w:t>
      </w:r>
    </w:p>
    <w:p>
      <w:pPr>
        <w:spacing w:line="360" w:lineRule="auto"/>
        <w:ind w:firstLine="480" w:firstLineChars="200"/>
        <w:rPr>
          <w:rFonts w:cs="宋体"/>
          <w:sz w:val="24"/>
          <w:szCs w:val="24"/>
        </w:rPr>
      </w:pPr>
      <w:r>
        <w:rPr>
          <w:rFonts w:hint="eastAsia" w:cs="宋体"/>
          <w:sz w:val="24"/>
          <w:szCs w:val="24"/>
        </w:rPr>
        <w:t>（2）与供应商有经济利益关系或其他利害关系，可能影响公正评审的。</w:t>
      </w:r>
    </w:p>
    <w:p>
      <w:pPr>
        <w:spacing w:line="360" w:lineRule="auto"/>
        <w:rPr>
          <w:rFonts w:cs="宋体"/>
          <w:sz w:val="24"/>
          <w:szCs w:val="24"/>
        </w:rPr>
      </w:pPr>
      <w:r>
        <w:rPr>
          <w:rFonts w:hint="eastAsia" w:cs="宋体"/>
          <w:sz w:val="24"/>
          <w:szCs w:val="24"/>
        </w:rPr>
        <w:t>6.1.3评审小组组建后，评审小组成员共同推选或由采购人指定评审小组组长，评审小组组长负责组织评审工作。</w:t>
      </w:r>
    </w:p>
    <w:p>
      <w:pPr>
        <w:spacing w:line="360" w:lineRule="auto"/>
        <w:rPr>
          <w:rFonts w:cs="宋体"/>
          <w:sz w:val="24"/>
          <w:szCs w:val="24"/>
        </w:rPr>
      </w:pPr>
      <w:r>
        <w:rPr>
          <w:rFonts w:hint="eastAsia" w:cs="宋体"/>
          <w:sz w:val="24"/>
          <w:szCs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360" w:lineRule="auto"/>
        <w:outlineLvl w:val="0"/>
        <w:rPr>
          <w:rFonts w:cs="宋体"/>
          <w:b/>
          <w:bCs/>
          <w:sz w:val="24"/>
          <w:szCs w:val="24"/>
        </w:rPr>
      </w:pPr>
      <w:bookmarkStart w:id="147" w:name="_Toc19555"/>
      <w:bookmarkStart w:id="148" w:name="_Toc501"/>
      <w:bookmarkStart w:id="149" w:name="_Toc23138"/>
      <w:bookmarkStart w:id="150" w:name="_Toc12136"/>
      <w:r>
        <w:rPr>
          <w:rFonts w:hint="eastAsia" w:cs="宋体"/>
          <w:b/>
          <w:bCs/>
          <w:sz w:val="24"/>
          <w:szCs w:val="24"/>
        </w:rPr>
        <w:t>6.2评审</w:t>
      </w:r>
      <w:bookmarkEnd w:id="147"/>
      <w:bookmarkEnd w:id="148"/>
      <w:bookmarkEnd w:id="149"/>
      <w:bookmarkEnd w:id="150"/>
    </w:p>
    <w:p>
      <w:pPr>
        <w:spacing w:line="360" w:lineRule="auto"/>
        <w:rPr>
          <w:rFonts w:cs="宋体"/>
          <w:sz w:val="24"/>
          <w:szCs w:val="24"/>
        </w:rPr>
      </w:pPr>
      <w:r>
        <w:rPr>
          <w:rFonts w:hint="eastAsia" w:cs="宋体"/>
          <w:sz w:val="24"/>
          <w:szCs w:val="24"/>
        </w:rPr>
        <w:t>6.2.1评审小组按照第三章“评审办法”规定的评审标准和程序对响应文件进行评审和比较。</w:t>
      </w:r>
    </w:p>
    <w:p>
      <w:pPr>
        <w:spacing w:line="360" w:lineRule="auto"/>
        <w:rPr>
          <w:rFonts w:cs="宋体"/>
          <w:sz w:val="24"/>
          <w:szCs w:val="24"/>
        </w:rPr>
      </w:pPr>
      <w:r>
        <w:rPr>
          <w:rFonts w:hint="eastAsia" w:cs="宋体"/>
          <w:sz w:val="24"/>
          <w:szCs w:val="24"/>
        </w:rPr>
        <w:t>6.2.2评审完成后，评审小组应当向采购人提交书面评审报告和候选成交供应商名</w:t>
      </w:r>
    </w:p>
    <w:p>
      <w:pPr>
        <w:spacing w:line="360" w:lineRule="auto"/>
        <w:rPr>
          <w:rFonts w:cs="宋体"/>
          <w:sz w:val="24"/>
          <w:szCs w:val="24"/>
        </w:rPr>
      </w:pPr>
      <w:r>
        <w:rPr>
          <w:rFonts w:hint="eastAsia" w:cs="宋体"/>
          <w:sz w:val="24"/>
          <w:szCs w:val="24"/>
        </w:rPr>
        <w:t>单。评审小组推荐候选成交供应商的排序要求及数量见供应商须知前附表。</w:t>
      </w:r>
    </w:p>
    <w:p>
      <w:pPr>
        <w:spacing w:line="360" w:lineRule="auto"/>
        <w:outlineLvl w:val="0"/>
        <w:rPr>
          <w:rFonts w:cs="宋体"/>
          <w:b/>
          <w:bCs/>
          <w:sz w:val="24"/>
          <w:szCs w:val="24"/>
        </w:rPr>
      </w:pPr>
      <w:bookmarkStart w:id="151" w:name="_Toc25144"/>
      <w:bookmarkStart w:id="152" w:name="_Toc3603"/>
      <w:r>
        <w:rPr>
          <w:rFonts w:hint="eastAsia" w:cs="宋体"/>
          <w:b/>
          <w:bCs/>
          <w:sz w:val="24"/>
          <w:szCs w:val="24"/>
        </w:rPr>
        <w:t>7合同授予</w:t>
      </w:r>
      <w:bookmarkEnd w:id="151"/>
      <w:bookmarkEnd w:id="152"/>
    </w:p>
    <w:p>
      <w:pPr>
        <w:spacing w:line="360" w:lineRule="auto"/>
        <w:outlineLvl w:val="0"/>
        <w:rPr>
          <w:rFonts w:cs="宋体"/>
          <w:sz w:val="24"/>
          <w:szCs w:val="24"/>
        </w:rPr>
      </w:pPr>
      <w:bookmarkStart w:id="153" w:name="_Toc24382"/>
      <w:bookmarkStart w:id="154" w:name="_Toc22470"/>
      <w:bookmarkStart w:id="155" w:name="_Toc20505"/>
      <w:bookmarkStart w:id="156" w:name="_Toc10290"/>
      <w:r>
        <w:rPr>
          <w:rFonts w:hint="eastAsia" w:cs="宋体"/>
          <w:b/>
          <w:bCs/>
          <w:sz w:val="24"/>
          <w:szCs w:val="24"/>
        </w:rPr>
        <w:t>7.1候选成交供应商履约能力核查</w:t>
      </w:r>
      <w:bookmarkEnd w:id="153"/>
      <w:bookmarkEnd w:id="154"/>
      <w:bookmarkEnd w:id="155"/>
      <w:bookmarkEnd w:id="156"/>
    </w:p>
    <w:p>
      <w:pPr>
        <w:spacing w:line="360" w:lineRule="auto"/>
        <w:ind w:firstLine="480" w:firstLineChars="200"/>
        <w:rPr>
          <w:rFonts w:cs="宋体"/>
          <w:sz w:val="24"/>
          <w:szCs w:val="24"/>
        </w:rPr>
      </w:pPr>
      <w:r>
        <w:rPr>
          <w:rFonts w:hint="eastAsia" w:cs="宋体"/>
          <w:sz w:val="24"/>
          <w:szCs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360" w:lineRule="auto"/>
        <w:outlineLvl w:val="0"/>
        <w:rPr>
          <w:rFonts w:cs="宋体"/>
          <w:b/>
          <w:bCs/>
          <w:sz w:val="24"/>
          <w:szCs w:val="24"/>
        </w:rPr>
      </w:pPr>
      <w:bookmarkStart w:id="157" w:name="_Toc17505"/>
      <w:bookmarkStart w:id="158" w:name="_Toc21673"/>
      <w:bookmarkStart w:id="159" w:name="_Toc28991"/>
      <w:bookmarkStart w:id="160" w:name="_Toc163"/>
      <w:r>
        <w:rPr>
          <w:rFonts w:hint="eastAsia" w:cs="宋体"/>
          <w:b/>
          <w:bCs/>
          <w:sz w:val="24"/>
          <w:szCs w:val="24"/>
        </w:rPr>
        <w:t>7.2确定预成交</w:t>
      </w:r>
      <w:bookmarkEnd w:id="157"/>
      <w:bookmarkEnd w:id="158"/>
      <w:r>
        <w:rPr>
          <w:rFonts w:hint="eastAsia" w:cs="宋体"/>
          <w:b/>
          <w:bCs/>
          <w:sz w:val="24"/>
          <w:szCs w:val="24"/>
        </w:rPr>
        <w:t>供应商</w:t>
      </w:r>
      <w:bookmarkEnd w:id="159"/>
      <w:bookmarkEnd w:id="160"/>
    </w:p>
    <w:p>
      <w:pPr>
        <w:spacing w:line="360" w:lineRule="auto"/>
        <w:ind w:firstLine="480" w:firstLineChars="200"/>
        <w:rPr>
          <w:rFonts w:cs="宋体"/>
          <w:sz w:val="24"/>
          <w:szCs w:val="24"/>
        </w:rPr>
      </w:pPr>
      <w:r>
        <w:rPr>
          <w:rFonts w:hint="eastAsia" w:cs="宋体"/>
          <w:sz w:val="24"/>
          <w:szCs w:val="24"/>
        </w:rPr>
        <w:t>采购人将根据评审报告及核查结果（如有)，对候选成交供应商综合评估后从中选择确定预成交供应商。</w:t>
      </w:r>
    </w:p>
    <w:p>
      <w:pPr>
        <w:spacing w:line="360" w:lineRule="auto"/>
        <w:outlineLvl w:val="0"/>
        <w:rPr>
          <w:rFonts w:cs="宋体"/>
          <w:b/>
          <w:bCs/>
          <w:sz w:val="24"/>
          <w:szCs w:val="24"/>
        </w:rPr>
      </w:pPr>
      <w:bookmarkStart w:id="161" w:name="_Toc7326"/>
      <w:bookmarkStart w:id="162" w:name="_Toc26454"/>
      <w:bookmarkStart w:id="163" w:name="_Toc7177"/>
      <w:bookmarkStart w:id="164" w:name="_Toc32370"/>
      <w:r>
        <w:rPr>
          <w:rFonts w:hint="eastAsia" w:cs="宋体"/>
          <w:b/>
          <w:bCs/>
          <w:sz w:val="24"/>
          <w:szCs w:val="24"/>
        </w:rPr>
        <w:t>7.3预成交结果公示</w:t>
      </w:r>
      <w:bookmarkEnd w:id="161"/>
      <w:bookmarkEnd w:id="162"/>
      <w:bookmarkEnd w:id="163"/>
      <w:bookmarkEnd w:id="164"/>
    </w:p>
    <w:p>
      <w:pPr>
        <w:spacing w:line="360" w:lineRule="auto"/>
        <w:ind w:firstLine="480" w:firstLineChars="200"/>
        <w:rPr>
          <w:rFonts w:cs="宋体"/>
          <w:sz w:val="24"/>
          <w:szCs w:val="24"/>
        </w:rPr>
      </w:pPr>
      <w:r>
        <w:rPr>
          <w:rFonts w:hint="eastAsia" w:cs="宋体"/>
          <w:sz w:val="24"/>
          <w:szCs w:val="24"/>
        </w:rPr>
        <w:t>预成交供应商选定后，采购人将按照供应商须知前附表规定的公示媒介和公示期限进行公示，公示信息包括如下内容：</w:t>
      </w:r>
    </w:p>
    <w:p>
      <w:pPr>
        <w:spacing w:line="360" w:lineRule="auto"/>
        <w:ind w:firstLine="480" w:firstLineChars="200"/>
        <w:rPr>
          <w:rFonts w:cs="宋体"/>
          <w:sz w:val="24"/>
          <w:szCs w:val="24"/>
        </w:rPr>
      </w:pPr>
      <w:r>
        <w:rPr>
          <w:rFonts w:hint="eastAsia" w:cs="宋体"/>
          <w:sz w:val="24"/>
          <w:szCs w:val="24"/>
        </w:rPr>
        <w:t>（1）所有候选成交供应商名称、响应价格及交货期；</w:t>
      </w:r>
    </w:p>
    <w:p>
      <w:pPr>
        <w:numPr>
          <w:ilvl w:val="0"/>
          <w:numId w:val="1"/>
        </w:numPr>
        <w:spacing w:line="360" w:lineRule="auto"/>
        <w:ind w:firstLine="480" w:firstLineChars="200"/>
        <w:rPr>
          <w:rFonts w:cs="宋体"/>
          <w:sz w:val="24"/>
          <w:szCs w:val="24"/>
        </w:rPr>
      </w:pPr>
      <w:r>
        <w:rPr>
          <w:rFonts w:hint="eastAsia" w:cs="宋体"/>
          <w:sz w:val="24"/>
          <w:szCs w:val="24"/>
        </w:rPr>
        <w:t>预成交供应商名称、预成交份额(如有）及选择原因；</w:t>
      </w:r>
    </w:p>
    <w:p>
      <w:pPr>
        <w:spacing w:line="360" w:lineRule="auto"/>
        <w:ind w:firstLine="480" w:firstLineChars="200"/>
        <w:rPr>
          <w:rFonts w:cs="宋体"/>
          <w:sz w:val="24"/>
          <w:szCs w:val="24"/>
        </w:rPr>
      </w:pPr>
      <w:r>
        <w:rPr>
          <w:rFonts w:hint="eastAsia" w:cs="宋体"/>
          <w:sz w:val="24"/>
          <w:szCs w:val="24"/>
        </w:rPr>
        <w:t>（3）供应商须知前附表规定的其他内容。</w:t>
      </w:r>
    </w:p>
    <w:p>
      <w:pPr>
        <w:spacing w:line="360" w:lineRule="auto"/>
        <w:outlineLvl w:val="0"/>
        <w:rPr>
          <w:rFonts w:cs="宋体"/>
          <w:sz w:val="24"/>
          <w:szCs w:val="24"/>
        </w:rPr>
      </w:pPr>
      <w:bookmarkStart w:id="165" w:name="_Toc16509"/>
      <w:bookmarkStart w:id="166" w:name="_Toc30173"/>
      <w:bookmarkStart w:id="167" w:name="_Toc12935"/>
      <w:bookmarkStart w:id="168" w:name="_Toc31294"/>
      <w:r>
        <w:rPr>
          <w:rFonts w:hint="eastAsia" w:cs="宋体"/>
          <w:b/>
          <w:bCs/>
          <w:sz w:val="24"/>
          <w:szCs w:val="24"/>
        </w:rPr>
        <w:t>7.4发出成交通知书</w:t>
      </w:r>
      <w:bookmarkEnd w:id="165"/>
      <w:bookmarkEnd w:id="166"/>
      <w:bookmarkEnd w:id="167"/>
      <w:bookmarkEnd w:id="168"/>
    </w:p>
    <w:p>
      <w:pPr>
        <w:spacing w:line="360" w:lineRule="auto"/>
        <w:ind w:firstLine="360" w:firstLineChars="150"/>
        <w:rPr>
          <w:rFonts w:cs="宋体"/>
          <w:sz w:val="24"/>
          <w:szCs w:val="24"/>
        </w:rPr>
      </w:pPr>
      <w:r>
        <w:rPr>
          <w:rFonts w:hint="eastAsia" w:cs="宋体"/>
          <w:sz w:val="24"/>
          <w:szCs w:val="24"/>
        </w:rPr>
        <w:t>公示期结束后，在本章第3.3款规定的响应文件有效期内，采购人以书面形式向预成交供应商发出成交通知书。</w:t>
      </w:r>
    </w:p>
    <w:p>
      <w:pPr>
        <w:spacing w:line="360" w:lineRule="auto"/>
        <w:outlineLvl w:val="0"/>
        <w:rPr>
          <w:rFonts w:cs="宋体"/>
          <w:b/>
          <w:bCs/>
          <w:sz w:val="24"/>
          <w:szCs w:val="24"/>
        </w:rPr>
      </w:pPr>
      <w:bookmarkStart w:id="169" w:name="_Toc11169"/>
      <w:bookmarkStart w:id="170" w:name="_Toc14160"/>
      <w:bookmarkStart w:id="171" w:name="_Toc2644"/>
      <w:bookmarkStart w:id="172" w:name="_Toc21343"/>
      <w:r>
        <w:rPr>
          <w:rFonts w:hint="eastAsia" w:cs="宋体"/>
          <w:b/>
          <w:bCs/>
          <w:sz w:val="24"/>
          <w:szCs w:val="24"/>
        </w:rPr>
        <w:t>7.5发布成交公告</w:t>
      </w:r>
      <w:bookmarkEnd w:id="169"/>
      <w:bookmarkEnd w:id="170"/>
      <w:bookmarkEnd w:id="171"/>
      <w:bookmarkEnd w:id="172"/>
    </w:p>
    <w:p>
      <w:pPr>
        <w:spacing w:line="360" w:lineRule="auto"/>
        <w:ind w:firstLine="360" w:firstLineChars="150"/>
        <w:rPr>
          <w:rFonts w:cs="宋体"/>
          <w:sz w:val="24"/>
          <w:szCs w:val="24"/>
        </w:rPr>
      </w:pPr>
      <w:r>
        <w:rPr>
          <w:rFonts w:hint="eastAsia" w:cs="宋体"/>
          <w:sz w:val="24"/>
          <w:szCs w:val="24"/>
        </w:rPr>
        <w:t>在发出成交通知书的同时，采购人将在供应商须知前附表规定的公告媒介发布成交公告，公告信息包括成交供应商名称、响应价格及交货期、成交份额（如有）及供应商须知前附表规定的其他内容。</w:t>
      </w:r>
    </w:p>
    <w:p>
      <w:pPr>
        <w:spacing w:line="360" w:lineRule="auto"/>
        <w:outlineLvl w:val="0"/>
        <w:rPr>
          <w:rFonts w:cs="宋体"/>
          <w:b/>
          <w:bCs/>
          <w:sz w:val="24"/>
          <w:szCs w:val="24"/>
        </w:rPr>
      </w:pPr>
      <w:bookmarkStart w:id="173" w:name="_Toc23289"/>
      <w:bookmarkStart w:id="174" w:name="_Toc19426"/>
      <w:bookmarkStart w:id="175" w:name="_Toc13562"/>
      <w:bookmarkStart w:id="176" w:name="_Toc19904"/>
      <w:r>
        <w:rPr>
          <w:rFonts w:hint="eastAsia" w:cs="宋体"/>
          <w:b/>
          <w:bCs/>
          <w:sz w:val="24"/>
          <w:szCs w:val="24"/>
        </w:rPr>
        <w:t>7.6履约保证金</w:t>
      </w:r>
      <w:bookmarkEnd w:id="173"/>
      <w:bookmarkEnd w:id="174"/>
      <w:bookmarkEnd w:id="175"/>
      <w:bookmarkEnd w:id="176"/>
    </w:p>
    <w:p>
      <w:pPr>
        <w:spacing w:line="360" w:lineRule="auto"/>
        <w:outlineLvl w:val="0"/>
        <w:rPr>
          <w:rFonts w:cs="宋体"/>
          <w:b/>
          <w:bCs/>
          <w:sz w:val="24"/>
          <w:szCs w:val="24"/>
        </w:rPr>
      </w:pPr>
      <w:bookmarkStart w:id="177" w:name="_Toc19280"/>
      <w:bookmarkStart w:id="178" w:name="_Toc17494"/>
      <w:bookmarkStart w:id="179" w:name="_Toc21572"/>
      <w:bookmarkStart w:id="180" w:name="_Toc31117"/>
      <w:r>
        <w:rPr>
          <w:rFonts w:hint="eastAsia" w:cs="宋体"/>
          <w:b/>
          <w:bCs/>
          <w:sz w:val="24"/>
          <w:szCs w:val="24"/>
        </w:rPr>
        <w:t>7.7签订合同</w:t>
      </w:r>
      <w:bookmarkEnd w:id="177"/>
      <w:bookmarkEnd w:id="178"/>
      <w:bookmarkEnd w:id="179"/>
      <w:bookmarkEnd w:id="180"/>
    </w:p>
    <w:p>
      <w:pPr>
        <w:spacing w:line="360" w:lineRule="auto"/>
        <w:rPr>
          <w:rFonts w:cs="宋体"/>
          <w:sz w:val="24"/>
          <w:szCs w:val="24"/>
        </w:rPr>
      </w:pPr>
      <w:r>
        <w:rPr>
          <w:rFonts w:hint="eastAsia" w:cs="宋体"/>
          <w:sz w:val="24"/>
          <w:szCs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pacing w:line="360" w:lineRule="auto"/>
        <w:rPr>
          <w:rFonts w:cs="宋体"/>
          <w:sz w:val="24"/>
          <w:szCs w:val="24"/>
        </w:rPr>
      </w:pPr>
      <w:r>
        <w:rPr>
          <w:rFonts w:hint="eastAsia" w:cs="宋体"/>
          <w:sz w:val="24"/>
          <w:szCs w:val="24"/>
        </w:rPr>
        <w:t>7.7.2发出成交通知书后，采购人无正当理由拒绝签订合同，或者在签订合同时向成交供应商提出附加条件的，采购人向成交供应商退还响应保证金；给成交供应商造成损失的，还应当赔偿损失。</w:t>
      </w:r>
      <w:bookmarkStart w:id="381" w:name="_GoBack"/>
      <w:bookmarkEnd w:id="381"/>
    </w:p>
    <w:p>
      <w:pPr>
        <w:spacing w:line="360" w:lineRule="auto"/>
        <w:rPr>
          <w:rFonts w:cs="宋体"/>
          <w:sz w:val="24"/>
          <w:szCs w:val="24"/>
        </w:rPr>
      </w:pPr>
      <w:r>
        <w:rPr>
          <w:rFonts w:hint="eastAsia" w:cs="宋体"/>
          <w:sz w:val="24"/>
          <w:szCs w:val="24"/>
        </w:rPr>
        <w:t>7.7.3联合体成交的，联合体各方应当共同与采购人签订合同，就成交项目向采购人承担连带责任。</w:t>
      </w:r>
    </w:p>
    <w:p>
      <w:pPr>
        <w:spacing w:line="360" w:lineRule="auto"/>
        <w:rPr>
          <w:rFonts w:cs="宋体"/>
          <w:sz w:val="24"/>
          <w:szCs w:val="24"/>
        </w:rPr>
      </w:pPr>
      <w:r>
        <w:rPr>
          <w:rFonts w:hint="eastAsia" w:cs="宋体"/>
          <w:sz w:val="24"/>
          <w:szCs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spacing w:line="360" w:lineRule="auto"/>
        <w:outlineLvl w:val="0"/>
        <w:rPr>
          <w:rFonts w:cs="宋体"/>
          <w:b/>
          <w:bCs/>
          <w:sz w:val="24"/>
          <w:szCs w:val="24"/>
        </w:rPr>
      </w:pPr>
      <w:bookmarkStart w:id="181" w:name="_Toc29335"/>
      <w:bookmarkStart w:id="182" w:name="_Toc16953"/>
      <w:bookmarkStart w:id="183" w:name="_Toc5402"/>
      <w:bookmarkStart w:id="184" w:name="_Toc20999"/>
      <w:r>
        <w:rPr>
          <w:rFonts w:hint="eastAsia" w:cs="宋体"/>
          <w:b/>
          <w:bCs/>
          <w:sz w:val="24"/>
          <w:szCs w:val="24"/>
        </w:rPr>
        <w:t>7.8特殊情形处理</w:t>
      </w:r>
      <w:bookmarkEnd w:id="181"/>
      <w:bookmarkEnd w:id="182"/>
      <w:bookmarkEnd w:id="183"/>
      <w:bookmarkEnd w:id="184"/>
    </w:p>
    <w:p>
      <w:pPr>
        <w:spacing w:line="360" w:lineRule="auto"/>
        <w:ind w:firstLine="600" w:firstLineChars="250"/>
        <w:rPr>
          <w:rFonts w:cs="宋体"/>
          <w:sz w:val="24"/>
          <w:szCs w:val="24"/>
        </w:rPr>
      </w:pPr>
      <w:r>
        <w:rPr>
          <w:rFonts w:hint="eastAsia" w:cs="宋体"/>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spacing w:line="360" w:lineRule="auto"/>
        <w:outlineLvl w:val="0"/>
        <w:rPr>
          <w:rFonts w:cs="宋体"/>
          <w:b/>
          <w:bCs/>
          <w:sz w:val="24"/>
          <w:szCs w:val="24"/>
        </w:rPr>
      </w:pPr>
      <w:bookmarkStart w:id="185" w:name="_Toc30873"/>
      <w:bookmarkStart w:id="186" w:name="_Toc11678"/>
      <w:bookmarkStart w:id="187" w:name="_Toc29907"/>
      <w:bookmarkStart w:id="188" w:name="_Toc17492"/>
      <w:r>
        <w:rPr>
          <w:rFonts w:hint="eastAsia" w:cs="宋体"/>
          <w:b/>
          <w:bCs/>
          <w:sz w:val="24"/>
          <w:szCs w:val="24"/>
        </w:rPr>
        <w:t>8异议</w:t>
      </w:r>
      <w:bookmarkEnd w:id="185"/>
      <w:bookmarkEnd w:id="186"/>
      <w:bookmarkEnd w:id="187"/>
      <w:bookmarkEnd w:id="188"/>
    </w:p>
    <w:p>
      <w:pPr>
        <w:spacing w:line="360" w:lineRule="auto"/>
        <w:outlineLvl w:val="0"/>
        <w:rPr>
          <w:rFonts w:cs="宋体"/>
          <w:b/>
          <w:bCs/>
          <w:sz w:val="24"/>
          <w:szCs w:val="24"/>
        </w:rPr>
      </w:pPr>
      <w:bookmarkStart w:id="189" w:name="_Toc8960"/>
      <w:bookmarkStart w:id="190" w:name="_Toc24129"/>
      <w:bookmarkStart w:id="191" w:name="_Toc8804"/>
      <w:bookmarkStart w:id="192" w:name="_Toc19750"/>
      <w:r>
        <w:rPr>
          <w:rFonts w:hint="eastAsia" w:cs="宋体"/>
          <w:b/>
          <w:bCs/>
          <w:sz w:val="24"/>
          <w:szCs w:val="24"/>
        </w:rPr>
        <w:t>8.1提出异议</w:t>
      </w:r>
      <w:bookmarkEnd w:id="189"/>
      <w:bookmarkEnd w:id="190"/>
      <w:bookmarkEnd w:id="191"/>
      <w:bookmarkEnd w:id="192"/>
    </w:p>
    <w:p>
      <w:pPr>
        <w:spacing w:line="360" w:lineRule="auto"/>
        <w:ind w:firstLine="360" w:firstLineChars="150"/>
        <w:rPr>
          <w:rFonts w:cs="宋体"/>
          <w:sz w:val="24"/>
          <w:szCs w:val="24"/>
        </w:rPr>
      </w:pPr>
      <w:r>
        <w:rPr>
          <w:rFonts w:hint="eastAsia" w:cs="宋体"/>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pPr>
        <w:spacing w:line="360" w:lineRule="auto"/>
        <w:ind w:firstLine="360" w:firstLineChars="150"/>
        <w:rPr>
          <w:rFonts w:cs="宋体"/>
          <w:sz w:val="24"/>
          <w:szCs w:val="24"/>
        </w:rPr>
      </w:pPr>
      <w:r>
        <w:rPr>
          <w:rFonts w:hint="eastAsia" w:cs="宋体"/>
          <w:sz w:val="24"/>
          <w:szCs w:val="24"/>
        </w:rPr>
        <w:t>（1）异议人名称、地址、邮政编码、联系人及联系电话；</w:t>
      </w:r>
    </w:p>
    <w:p>
      <w:pPr>
        <w:spacing w:line="360" w:lineRule="auto"/>
        <w:ind w:firstLine="360" w:firstLineChars="150"/>
        <w:rPr>
          <w:rFonts w:cs="宋体"/>
          <w:sz w:val="24"/>
          <w:szCs w:val="24"/>
        </w:rPr>
      </w:pPr>
      <w:r>
        <w:rPr>
          <w:rFonts w:hint="eastAsia" w:cs="宋体"/>
          <w:sz w:val="24"/>
          <w:szCs w:val="24"/>
        </w:rPr>
        <w:t>（2）具体、明确的异议事项、事实依据及与异议事项相关的请求。</w:t>
      </w:r>
    </w:p>
    <w:p>
      <w:pPr>
        <w:spacing w:line="360" w:lineRule="auto"/>
        <w:ind w:firstLine="360" w:firstLineChars="150"/>
        <w:rPr>
          <w:rFonts w:cs="宋体"/>
          <w:sz w:val="24"/>
          <w:szCs w:val="24"/>
        </w:rPr>
      </w:pPr>
      <w:r>
        <w:rPr>
          <w:rFonts w:hint="eastAsia" w:cs="宋体"/>
          <w:sz w:val="24"/>
          <w:szCs w:val="24"/>
        </w:rPr>
        <w:t>异议函应由异议人的法定代表人（单位负责人）或其授权的代理人签字并加盖单位章。</w:t>
      </w:r>
    </w:p>
    <w:p>
      <w:pPr>
        <w:spacing w:line="360" w:lineRule="auto"/>
        <w:outlineLvl w:val="0"/>
        <w:rPr>
          <w:rFonts w:cs="宋体"/>
          <w:b/>
          <w:bCs/>
          <w:sz w:val="24"/>
          <w:szCs w:val="24"/>
        </w:rPr>
      </w:pPr>
      <w:bookmarkStart w:id="193" w:name="_Toc4386"/>
      <w:bookmarkStart w:id="194" w:name="_Toc2641"/>
      <w:bookmarkStart w:id="195" w:name="_Toc17159"/>
      <w:bookmarkStart w:id="196" w:name="_Toc16939"/>
      <w:r>
        <w:rPr>
          <w:rFonts w:hint="eastAsia" w:cs="宋体"/>
          <w:b/>
          <w:bCs/>
          <w:sz w:val="24"/>
          <w:szCs w:val="24"/>
        </w:rPr>
        <w:t>8.2异议处理</w:t>
      </w:r>
      <w:bookmarkEnd w:id="193"/>
      <w:bookmarkEnd w:id="194"/>
      <w:bookmarkEnd w:id="195"/>
      <w:bookmarkEnd w:id="196"/>
    </w:p>
    <w:p>
      <w:pPr>
        <w:spacing w:line="360" w:lineRule="auto"/>
        <w:ind w:firstLine="360" w:firstLineChars="150"/>
        <w:rPr>
          <w:rFonts w:cs="宋体"/>
          <w:sz w:val="24"/>
          <w:szCs w:val="24"/>
        </w:rPr>
      </w:pPr>
      <w:r>
        <w:rPr>
          <w:rFonts w:hint="eastAsia" w:cs="宋体"/>
          <w:sz w:val="24"/>
          <w:szCs w:val="24"/>
        </w:rPr>
        <w:t>采购人将针对异议事项进行核查，经过核查，发现异议人对相关问题理解有误的，应作出解释；发现采购活动中确实存在错误或不当行为的，应及时予以改正或补救。</w:t>
      </w:r>
    </w:p>
    <w:p>
      <w:pPr>
        <w:spacing w:line="360" w:lineRule="auto"/>
        <w:ind w:firstLine="360" w:firstLineChars="150"/>
        <w:rPr>
          <w:rFonts w:cs="宋体"/>
          <w:sz w:val="24"/>
          <w:szCs w:val="24"/>
        </w:rPr>
      </w:pPr>
      <w:r>
        <w:rPr>
          <w:rFonts w:hint="eastAsia" w:cs="宋体"/>
          <w:sz w:val="24"/>
          <w:szCs w:val="24"/>
        </w:rPr>
        <w:t>异议人与采购人对异议事项无法达成一致的，异议人可向供应商须知前附表规定的行业组织或专业咨询机构申请调解或进行反映。</w:t>
      </w:r>
    </w:p>
    <w:p>
      <w:pPr>
        <w:spacing w:line="360" w:lineRule="auto"/>
        <w:ind w:firstLine="360" w:firstLineChars="150"/>
        <w:rPr>
          <w:rFonts w:cs="宋体"/>
          <w:sz w:val="24"/>
          <w:szCs w:val="24"/>
        </w:rPr>
      </w:pPr>
      <w:r>
        <w:rPr>
          <w:rFonts w:hint="eastAsia" w:cs="宋体"/>
          <w:sz w:val="24"/>
          <w:szCs w:val="24"/>
        </w:rPr>
        <w:t>采购人认为异议不成立或不影响采购结果的，可以继续进行采购活动。</w:t>
      </w:r>
    </w:p>
    <w:p>
      <w:pPr>
        <w:spacing w:line="360" w:lineRule="auto"/>
        <w:outlineLvl w:val="0"/>
        <w:rPr>
          <w:rFonts w:cs="宋体"/>
          <w:b/>
          <w:bCs/>
          <w:sz w:val="24"/>
          <w:szCs w:val="24"/>
        </w:rPr>
      </w:pPr>
      <w:bookmarkStart w:id="197" w:name="_Toc32095"/>
      <w:bookmarkStart w:id="198" w:name="_Toc18360"/>
      <w:bookmarkStart w:id="199" w:name="_Toc18666"/>
      <w:bookmarkStart w:id="200" w:name="_Toc28913"/>
      <w:r>
        <w:rPr>
          <w:rFonts w:hint="eastAsia" w:cs="宋体"/>
          <w:b/>
          <w:bCs/>
          <w:sz w:val="24"/>
          <w:szCs w:val="24"/>
        </w:rPr>
        <w:t>9纪律要求</w:t>
      </w:r>
      <w:bookmarkEnd w:id="197"/>
      <w:bookmarkEnd w:id="198"/>
      <w:bookmarkEnd w:id="199"/>
      <w:bookmarkEnd w:id="200"/>
    </w:p>
    <w:p>
      <w:pPr>
        <w:spacing w:line="360" w:lineRule="auto"/>
        <w:outlineLvl w:val="0"/>
        <w:rPr>
          <w:rFonts w:cs="宋体"/>
          <w:b/>
          <w:bCs/>
          <w:sz w:val="24"/>
          <w:szCs w:val="24"/>
        </w:rPr>
      </w:pPr>
      <w:bookmarkStart w:id="201" w:name="_Toc25302"/>
      <w:bookmarkStart w:id="202" w:name="_Toc7687"/>
      <w:bookmarkStart w:id="203" w:name="_Toc3762"/>
      <w:bookmarkStart w:id="204" w:name="_Toc15406"/>
      <w:r>
        <w:rPr>
          <w:rFonts w:hint="eastAsia" w:cs="宋体"/>
          <w:b/>
          <w:bCs/>
          <w:sz w:val="24"/>
          <w:szCs w:val="24"/>
        </w:rPr>
        <w:t>9.1对采购人的纪律要求</w:t>
      </w:r>
      <w:bookmarkEnd w:id="201"/>
      <w:bookmarkEnd w:id="202"/>
      <w:bookmarkEnd w:id="203"/>
      <w:bookmarkEnd w:id="204"/>
    </w:p>
    <w:p>
      <w:pPr>
        <w:spacing w:line="360" w:lineRule="auto"/>
        <w:ind w:firstLine="360" w:firstLineChars="150"/>
        <w:rPr>
          <w:rFonts w:cs="宋体"/>
          <w:sz w:val="24"/>
          <w:szCs w:val="24"/>
        </w:rPr>
      </w:pPr>
      <w:r>
        <w:rPr>
          <w:rFonts w:hint="eastAsia" w:cs="宋体"/>
          <w:sz w:val="24"/>
          <w:szCs w:val="24"/>
        </w:rPr>
        <w:t>采购人不得泄露询比采购活动中应当保密的情况和资料，不得与供应商串通损害国家利益、社会公共利益或者他人合法权益。</w:t>
      </w:r>
    </w:p>
    <w:p>
      <w:pPr>
        <w:spacing w:line="360" w:lineRule="auto"/>
        <w:outlineLvl w:val="0"/>
        <w:rPr>
          <w:rFonts w:cs="宋体"/>
          <w:b/>
          <w:bCs/>
          <w:sz w:val="24"/>
          <w:szCs w:val="24"/>
        </w:rPr>
      </w:pPr>
      <w:bookmarkStart w:id="205" w:name="_Toc30183"/>
      <w:bookmarkStart w:id="206" w:name="_Toc6865"/>
      <w:bookmarkStart w:id="207" w:name="_Toc31019"/>
      <w:bookmarkStart w:id="208" w:name="_Toc4270"/>
      <w:r>
        <w:rPr>
          <w:rFonts w:hint="eastAsia" w:cs="宋体"/>
          <w:b/>
          <w:bCs/>
          <w:sz w:val="24"/>
          <w:szCs w:val="24"/>
        </w:rPr>
        <w:t>9.2对供应商的纪律要求</w:t>
      </w:r>
      <w:bookmarkEnd w:id="205"/>
      <w:bookmarkEnd w:id="206"/>
      <w:bookmarkEnd w:id="207"/>
      <w:bookmarkEnd w:id="208"/>
    </w:p>
    <w:p>
      <w:pPr>
        <w:spacing w:line="360" w:lineRule="auto"/>
        <w:ind w:firstLine="360" w:firstLineChars="150"/>
        <w:rPr>
          <w:rFonts w:cs="宋体"/>
          <w:sz w:val="24"/>
          <w:szCs w:val="24"/>
        </w:rPr>
      </w:pPr>
      <w:r>
        <w:rPr>
          <w:rFonts w:hint="eastAsia" w:cs="宋体"/>
          <w:sz w:val="24"/>
          <w:szCs w:val="24"/>
        </w:rPr>
        <w:t>供应商不得相互串通或者与采购人串通，不得向采购人或者评审小组成员行贿谋取成交，不得以他人名义参加询比采购活动或者以其他方式弄虚作假骗取成交；供应商不得以任何方式干扰、影响评审工作。</w:t>
      </w:r>
    </w:p>
    <w:p>
      <w:pPr>
        <w:spacing w:line="360" w:lineRule="auto"/>
        <w:outlineLvl w:val="0"/>
        <w:rPr>
          <w:rFonts w:cs="宋体"/>
          <w:b/>
          <w:bCs/>
          <w:sz w:val="24"/>
          <w:szCs w:val="24"/>
        </w:rPr>
      </w:pPr>
      <w:bookmarkStart w:id="209" w:name="_Toc32305"/>
      <w:bookmarkStart w:id="210" w:name="_Toc30590"/>
      <w:bookmarkStart w:id="211" w:name="_Toc19957"/>
      <w:bookmarkStart w:id="212" w:name="_Toc1554"/>
      <w:r>
        <w:rPr>
          <w:rFonts w:hint="eastAsia" w:cs="宋体"/>
          <w:b/>
          <w:bCs/>
          <w:sz w:val="24"/>
          <w:szCs w:val="24"/>
        </w:rPr>
        <w:t>9.3对评审小组成员的纪律要求</w:t>
      </w:r>
      <w:bookmarkEnd w:id="209"/>
      <w:bookmarkEnd w:id="210"/>
      <w:bookmarkEnd w:id="211"/>
      <w:bookmarkEnd w:id="212"/>
    </w:p>
    <w:p>
      <w:pPr>
        <w:spacing w:line="360" w:lineRule="auto"/>
        <w:ind w:firstLine="360" w:firstLineChars="150"/>
        <w:rPr>
          <w:rFonts w:cs="宋体"/>
          <w:sz w:val="24"/>
          <w:szCs w:val="24"/>
        </w:rPr>
      </w:pPr>
      <w:r>
        <w:rPr>
          <w:rFonts w:hint="eastAsia" w:cs="宋体"/>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spacing w:line="360" w:lineRule="auto"/>
        <w:outlineLvl w:val="0"/>
        <w:rPr>
          <w:rFonts w:cs="宋体"/>
          <w:b/>
          <w:bCs/>
          <w:sz w:val="24"/>
          <w:szCs w:val="24"/>
        </w:rPr>
      </w:pPr>
      <w:bookmarkStart w:id="213" w:name="_Toc642"/>
      <w:bookmarkStart w:id="214" w:name="_Toc3454"/>
      <w:bookmarkStart w:id="215" w:name="_Toc21002"/>
      <w:bookmarkStart w:id="216" w:name="_Toc21918"/>
      <w:r>
        <w:rPr>
          <w:rFonts w:hint="eastAsia" w:cs="宋体"/>
          <w:b/>
          <w:bCs/>
          <w:sz w:val="24"/>
          <w:szCs w:val="24"/>
        </w:rPr>
        <w:t>9.4对与询比活动有关的工作人员的纪律要求</w:t>
      </w:r>
      <w:bookmarkEnd w:id="213"/>
      <w:bookmarkEnd w:id="214"/>
      <w:bookmarkEnd w:id="215"/>
      <w:bookmarkEnd w:id="216"/>
    </w:p>
    <w:p>
      <w:pPr>
        <w:spacing w:line="360" w:lineRule="auto"/>
        <w:ind w:firstLine="360" w:firstLineChars="150"/>
        <w:rPr>
          <w:rFonts w:cs="宋体"/>
          <w:sz w:val="24"/>
          <w:szCs w:val="24"/>
        </w:rPr>
      </w:pPr>
      <w:r>
        <w:rPr>
          <w:rFonts w:hint="eastAsia" w:cs="宋体"/>
          <w:sz w:val="24"/>
          <w:szCs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pPr>
        <w:spacing w:line="360" w:lineRule="auto"/>
        <w:outlineLvl w:val="0"/>
        <w:rPr>
          <w:rFonts w:cs="宋体"/>
          <w:b/>
          <w:bCs/>
          <w:sz w:val="24"/>
          <w:szCs w:val="24"/>
        </w:rPr>
      </w:pPr>
      <w:bookmarkStart w:id="217" w:name="_Toc14612"/>
      <w:bookmarkStart w:id="218" w:name="_Toc20606"/>
      <w:bookmarkStart w:id="219" w:name="_Toc21915"/>
      <w:bookmarkStart w:id="220" w:name="_Toc12731"/>
      <w:r>
        <w:rPr>
          <w:rFonts w:hint="eastAsia" w:cs="宋体"/>
          <w:b/>
          <w:bCs/>
          <w:sz w:val="24"/>
          <w:szCs w:val="24"/>
        </w:rPr>
        <w:t>10需要补充的其他内容</w:t>
      </w:r>
      <w:bookmarkEnd w:id="217"/>
      <w:bookmarkEnd w:id="218"/>
      <w:bookmarkEnd w:id="219"/>
      <w:bookmarkEnd w:id="220"/>
    </w:p>
    <w:p>
      <w:pPr>
        <w:spacing w:line="360" w:lineRule="auto"/>
        <w:outlineLvl w:val="0"/>
        <w:rPr>
          <w:rFonts w:cs="宋体"/>
          <w:b/>
          <w:bCs/>
          <w:sz w:val="24"/>
          <w:szCs w:val="24"/>
        </w:rPr>
      </w:pPr>
      <w:bookmarkStart w:id="221" w:name="_Toc4541"/>
      <w:bookmarkStart w:id="222" w:name="_Toc9796"/>
      <w:bookmarkStart w:id="223" w:name="_Toc429"/>
      <w:bookmarkStart w:id="224" w:name="_Toc8832"/>
      <w:r>
        <w:rPr>
          <w:rFonts w:hint="eastAsia" w:cs="宋体"/>
          <w:b/>
          <w:bCs/>
          <w:sz w:val="24"/>
          <w:szCs w:val="24"/>
        </w:rPr>
        <w:t>10.1采购代理服务费</w:t>
      </w:r>
      <w:bookmarkEnd w:id="221"/>
      <w:bookmarkEnd w:id="222"/>
      <w:bookmarkEnd w:id="223"/>
      <w:bookmarkEnd w:id="224"/>
    </w:p>
    <w:p>
      <w:pPr>
        <w:spacing w:line="360" w:lineRule="auto"/>
        <w:ind w:firstLine="360" w:firstLineChars="150"/>
        <w:rPr>
          <w:rFonts w:cs="宋体"/>
          <w:sz w:val="24"/>
          <w:szCs w:val="24"/>
        </w:rPr>
      </w:pPr>
      <w:r>
        <w:rPr>
          <w:rFonts w:hint="eastAsia" w:cs="宋体"/>
          <w:sz w:val="24"/>
          <w:szCs w:val="24"/>
        </w:rPr>
        <w:t>供应商须知前附表规定由供应商承担采购代理服务费的，供应商应按照供应商须知前附表规定的费用标准或金额、交费时间和方式向招标代理机构支付代理服务费。</w:t>
      </w:r>
    </w:p>
    <w:p>
      <w:pPr>
        <w:spacing w:line="360" w:lineRule="auto"/>
        <w:outlineLvl w:val="0"/>
        <w:rPr>
          <w:rFonts w:cs="宋体"/>
          <w:sz w:val="24"/>
          <w:szCs w:val="24"/>
        </w:rPr>
      </w:pPr>
      <w:bookmarkStart w:id="225" w:name="_Toc27722"/>
      <w:bookmarkStart w:id="226" w:name="_Toc2293"/>
      <w:bookmarkStart w:id="227" w:name="_Toc32207"/>
      <w:bookmarkStart w:id="228" w:name="_Toc16759"/>
      <w:r>
        <w:rPr>
          <w:rFonts w:hint="eastAsia" w:cs="宋体"/>
          <w:b/>
          <w:bCs/>
          <w:sz w:val="24"/>
          <w:szCs w:val="24"/>
        </w:rPr>
        <w:t>10.2其他</w:t>
      </w:r>
      <w:bookmarkEnd w:id="225"/>
      <w:bookmarkEnd w:id="226"/>
      <w:bookmarkEnd w:id="227"/>
      <w:bookmarkEnd w:id="228"/>
    </w:p>
    <w:p>
      <w:pPr>
        <w:spacing w:line="360" w:lineRule="auto"/>
        <w:ind w:firstLine="360" w:firstLineChars="150"/>
        <w:rPr>
          <w:rFonts w:cs="宋体"/>
          <w:sz w:val="24"/>
          <w:szCs w:val="24"/>
        </w:rPr>
      </w:pPr>
      <w:r>
        <w:rPr>
          <w:rFonts w:hint="eastAsia" w:cs="宋体"/>
          <w:sz w:val="24"/>
          <w:szCs w:val="24"/>
        </w:rPr>
        <w:t>需要补充的其他内容：见供应商须知前附表。</w:t>
      </w:r>
    </w:p>
    <w:p>
      <w:pPr>
        <w:pStyle w:val="3"/>
        <w:jc w:val="both"/>
        <w:rPr>
          <w:rFonts w:hint="eastAsia" w:ascii="Calibri" w:hAnsi="Calibri" w:eastAsia="宋体" w:cs="Times New Roman"/>
          <w:b/>
          <w:bCs/>
          <w:color w:val="auto"/>
          <w:kern w:val="44"/>
          <w:sz w:val="32"/>
          <w:szCs w:val="32"/>
          <w:lang w:val="en-US" w:eastAsia="zh-CN" w:bidi="ar-SA"/>
        </w:rPr>
      </w:pPr>
    </w:p>
    <w:p>
      <w:pPr>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25"/>
        <w:rPr>
          <w:rFonts w:hint="eastAsia" w:ascii="Calibri" w:hAnsi="Calibri" w:eastAsia="宋体" w:cs="Times New Roman"/>
          <w:b/>
          <w:bCs/>
          <w:color w:val="auto"/>
          <w:kern w:val="44"/>
          <w:sz w:val="32"/>
          <w:szCs w:val="32"/>
          <w:lang w:val="en-US" w:eastAsia="zh-CN" w:bidi="ar-SA"/>
        </w:rPr>
      </w:pPr>
    </w:p>
    <w:p>
      <w:pPr>
        <w:pStyle w:val="3"/>
        <w:ind w:firstLine="1928" w:firstLineChars="600"/>
        <w:jc w:val="both"/>
        <w:rPr>
          <w:rFonts w:hint="eastAsia" w:ascii="宋体" w:hAnsi="宋体" w:eastAsia="宋体" w:cs="宋体"/>
          <w:b/>
          <w:bCs w:val="0"/>
          <w:kern w:val="0"/>
          <w:sz w:val="28"/>
          <w:szCs w:val="28"/>
        </w:rPr>
      </w:pPr>
      <w:r>
        <w:rPr>
          <w:rFonts w:hint="eastAsia" w:ascii="Calibri" w:hAnsi="Calibri" w:eastAsia="宋体" w:cs="Times New Roman"/>
          <w:b/>
          <w:bCs/>
          <w:color w:val="auto"/>
          <w:kern w:val="44"/>
          <w:sz w:val="32"/>
          <w:szCs w:val="32"/>
          <w:lang w:val="en-US" w:eastAsia="zh-CN" w:bidi="ar-SA"/>
        </w:rPr>
        <w:t>第三章 评审办法（综合评分法）</w:t>
      </w:r>
    </w:p>
    <w:p>
      <w:pPr>
        <w:spacing w:line="360" w:lineRule="auto"/>
        <w:jc w:val="left"/>
        <w:rPr>
          <w:rFonts w:hint="eastAsia"/>
          <w:color w:val="auto"/>
          <w:sz w:val="24"/>
          <w:szCs w:val="24"/>
          <w:lang w:val="zh-CN"/>
        </w:rPr>
      </w:pPr>
      <w:r>
        <w:rPr>
          <w:rFonts w:hint="eastAsia"/>
          <w:color w:val="auto"/>
          <w:sz w:val="24"/>
          <w:szCs w:val="24"/>
          <w:lang w:val="zh-CN"/>
        </w:rPr>
        <w:t>在响应文件满足询比文件实质性的前提下，本项目采用综合评分法。</w:t>
      </w:r>
    </w:p>
    <w:p>
      <w:pPr>
        <w:tabs>
          <w:tab w:val="left" w:pos="8787"/>
        </w:tabs>
        <w:spacing w:line="360" w:lineRule="auto"/>
        <w:ind w:firstLine="482" w:firstLineChars="200"/>
        <w:jc w:val="left"/>
        <w:outlineLvl w:val="1"/>
      </w:pPr>
      <w:bookmarkStart w:id="229" w:name="_Toc7488"/>
      <w:r>
        <w:rPr>
          <w:rFonts w:hint="eastAsia" w:ascii="宋体" w:hAnsi="宋体" w:cs="宋体"/>
          <w:b/>
          <w:sz w:val="24"/>
          <w:highlight w:val="none"/>
          <w:lang w:val="zh-CN"/>
        </w:rPr>
        <w:t>评审标准和分值分配：</w:t>
      </w:r>
      <w:bookmarkEnd w:id="229"/>
    </w:p>
    <w:tbl>
      <w:tblPr>
        <w:tblStyle w:val="48"/>
        <w:tblW w:w="9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1267"/>
        <w:gridCol w:w="833"/>
        <w:gridCol w:w="6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4"/>
                <w:szCs w:val="24"/>
              </w:rPr>
            </w:pPr>
            <w:bookmarkStart w:id="230" w:name="_Toc22587"/>
            <w:bookmarkStart w:id="231" w:name="_Toc30694"/>
            <w:bookmarkStart w:id="232" w:name="_Toc26865"/>
            <w:r>
              <w:rPr>
                <w:rFonts w:hint="eastAsia" w:ascii="宋体" w:hAnsi="宋体"/>
                <w:sz w:val="24"/>
                <w:szCs w:val="24"/>
              </w:rPr>
              <w:t>评审项目</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eastAsia" w:ascii="宋体" w:hAnsi="宋体"/>
                <w:sz w:val="24"/>
                <w:szCs w:val="24"/>
              </w:rPr>
            </w:pPr>
            <w:r>
              <w:rPr>
                <w:rFonts w:hint="eastAsia" w:ascii="宋体" w:hAnsi="宋体"/>
                <w:sz w:val="24"/>
                <w:szCs w:val="24"/>
              </w:rPr>
              <w:t>内容</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满分 分值</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4"/>
                <w:szCs w:val="24"/>
              </w:rPr>
            </w:pPr>
            <w:r>
              <w:rPr>
                <w:rFonts w:hint="eastAsia" w:ascii="宋体" w:hAnsi="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报价40分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报价分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40</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color w:val="auto"/>
                <w:sz w:val="24"/>
                <w:szCs w:val="24"/>
                <w:lang w:val="zh-CN"/>
              </w:rPr>
              <w:t>在所有的有效报价中，以最低</w:t>
            </w:r>
            <w:r>
              <w:rPr>
                <w:rFonts w:hint="eastAsia"/>
                <w:color w:val="auto"/>
                <w:sz w:val="24"/>
                <w:szCs w:val="24"/>
              </w:rPr>
              <w:t>投标</w:t>
            </w:r>
            <w:r>
              <w:rPr>
                <w:rFonts w:hint="eastAsia"/>
                <w:color w:val="auto"/>
                <w:sz w:val="24"/>
                <w:szCs w:val="24"/>
                <w:lang w:val="zh-CN"/>
              </w:rPr>
              <w:t>报价（</w:t>
            </w:r>
            <w:r>
              <w:rPr>
                <w:rFonts w:hint="eastAsia"/>
                <w:color w:val="auto"/>
                <w:sz w:val="24"/>
                <w:szCs w:val="24"/>
              </w:rPr>
              <w:t>投标总单价）</w:t>
            </w:r>
            <w:r>
              <w:rPr>
                <w:rFonts w:hint="eastAsia"/>
                <w:color w:val="auto"/>
                <w:sz w:val="24"/>
                <w:szCs w:val="24"/>
                <w:lang w:val="zh-CN"/>
              </w:rPr>
              <w:t>为基准价，其价格分为满分。其他供应商的报价分统一按下列公式计算：投标报价得分=(评标基准价／投标报价（</w:t>
            </w:r>
            <w:r>
              <w:rPr>
                <w:rFonts w:hint="eastAsia"/>
                <w:color w:val="auto"/>
                <w:sz w:val="24"/>
                <w:szCs w:val="24"/>
              </w:rPr>
              <w:t>投标总单价）</w:t>
            </w:r>
            <w:r>
              <w:rPr>
                <w:rFonts w:hint="eastAsia"/>
                <w:color w:val="auto"/>
                <w:sz w:val="24"/>
                <w:szCs w:val="24"/>
                <w:lang w:val="zh-CN"/>
              </w:rPr>
              <w:t>)×价格权值（</w:t>
            </w:r>
            <w:r>
              <w:rPr>
                <w:rFonts w:hint="eastAsia"/>
                <w:color w:val="auto"/>
                <w:sz w:val="24"/>
                <w:szCs w:val="24"/>
                <w:lang w:val="en-US" w:eastAsia="zh-CN"/>
              </w:rPr>
              <w:t>4</w:t>
            </w:r>
            <w:r>
              <w:rPr>
                <w:rFonts w:hint="eastAsia"/>
                <w:color w:val="auto"/>
                <w:sz w:val="24"/>
                <w:szCs w:val="24"/>
                <w:lang w:val="zh-CN"/>
              </w:rPr>
              <w:t>0%）×100（四舍五入后保留小数点后两位）。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技术质量方面45分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技术参数</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宋体" w:hAnsi="宋体"/>
                <w:sz w:val="24"/>
                <w:szCs w:val="24"/>
              </w:rPr>
            </w:pPr>
            <w:r>
              <w:rPr>
                <w:rFonts w:hint="eastAsia" w:ascii="宋体" w:hAnsi="宋体"/>
                <w:sz w:val="24"/>
                <w:szCs w:val="24"/>
              </w:rPr>
              <w:t>35</w:t>
            </w:r>
          </w:p>
        </w:tc>
        <w:tc>
          <w:tcPr>
            <w:tcW w:w="664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sz w:val="24"/>
                <w:szCs w:val="24"/>
              </w:rPr>
            </w:pPr>
            <w:r>
              <w:rPr>
                <w:rFonts w:hint="eastAsia" w:ascii="宋体" w:hAnsi="宋体"/>
                <w:sz w:val="24"/>
                <w:szCs w:val="24"/>
              </w:rPr>
              <w:t>投标产品技术参数和配置完全满足或高于</w:t>
            </w:r>
            <w:r>
              <w:rPr>
                <w:rFonts w:hint="eastAsia"/>
                <w:sz w:val="24"/>
                <w:szCs w:val="24"/>
                <w:lang w:val="en-US" w:eastAsia="zh-CN"/>
              </w:rPr>
              <w:t>询比</w:t>
            </w:r>
            <w:r>
              <w:rPr>
                <w:rFonts w:hint="eastAsia" w:ascii="宋体" w:hAnsi="宋体"/>
                <w:sz w:val="24"/>
                <w:szCs w:val="24"/>
              </w:rPr>
              <w:t>文件要求的，得35分；每有一项负偏离扣5分，扣完为止。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4"/>
                <w:szCs w:val="24"/>
              </w:rPr>
            </w:pPr>
            <w:r>
              <w:rPr>
                <w:rFonts w:hint="eastAsia" w:ascii="宋体" w:hAnsi="宋体"/>
                <w:sz w:val="24"/>
                <w:szCs w:val="24"/>
              </w:rPr>
              <w:t>质量检验</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提供所投产品相关原材料检测报告（以2019年以来国家权威检测机构出具的抽检合格报告为准；原材料名称与采购需求中的要求相一致）。每提供1份得1分，最多得5分，未提供相关检测报告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提供检测服务的承诺函</w:t>
            </w:r>
          </w:p>
        </w:tc>
        <w:tc>
          <w:tcPr>
            <w:tcW w:w="833"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供应商在</w:t>
            </w:r>
            <w:r>
              <w:rPr>
                <w:rFonts w:hint="eastAsia"/>
                <w:sz w:val="24"/>
                <w:szCs w:val="24"/>
                <w:lang w:val="en-US" w:eastAsia="zh-CN"/>
              </w:rPr>
              <w:t>询比</w:t>
            </w:r>
            <w:r>
              <w:rPr>
                <w:rFonts w:hint="eastAsia" w:ascii="宋体" w:hAnsi="宋体"/>
                <w:sz w:val="24"/>
                <w:szCs w:val="24"/>
              </w:rPr>
              <w:t>响应文件中承诺供货时做有害物质检测的得5分。未提供承诺函的不得分。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5"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履约及售后服务能力15分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类似业绩情况</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228" w:firstLineChars="95"/>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提供自2019年</w:t>
            </w:r>
            <w:r>
              <w:rPr>
                <w:rFonts w:hint="eastAsia" w:ascii="宋体" w:hAnsi="宋体"/>
                <w:sz w:val="24"/>
                <w:szCs w:val="24"/>
                <w:lang w:val="en-US" w:eastAsia="zh-CN"/>
              </w:rPr>
              <w:t>12月01日</w:t>
            </w:r>
            <w:r>
              <w:rPr>
                <w:rFonts w:hint="eastAsia" w:ascii="宋体" w:hAnsi="宋体"/>
                <w:sz w:val="24"/>
                <w:szCs w:val="24"/>
              </w:rPr>
              <w:t>以来的类似业绩证明材料。提供5项以上（含5项）的，得5分；提供5项以下的，每提供1项得1分；不提供不得分。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项目管理及实施方案</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5" w:type="dxa"/>
            <w:vMerge w:val="continue"/>
            <w:tcBorders>
              <w:left w:val="single" w:color="auto" w:sz="4" w:space="0"/>
              <w:right w:val="single" w:color="auto" w:sz="4" w:space="0"/>
            </w:tcBorders>
            <w:noWrap w:val="0"/>
            <w:vAlign w:val="center"/>
          </w:tcPr>
          <w:p>
            <w:pPr>
              <w:ind w:firstLine="0" w:firstLineChars="0"/>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售后服务及相关承诺</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4"/>
                <w:szCs w:val="24"/>
              </w:rPr>
            </w:pPr>
            <w:r>
              <w:rPr>
                <w:rFonts w:hint="eastAsia" w:ascii="宋体" w:hAnsi="宋体"/>
                <w:sz w:val="24"/>
                <w:szCs w:val="24"/>
              </w:rPr>
              <w:t>5</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4"/>
                <w:szCs w:val="24"/>
              </w:rPr>
            </w:pPr>
            <w:r>
              <w:rPr>
                <w:rFonts w:hint="eastAsia" w:ascii="宋体" w:hAnsi="宋体"/>
                <w:sz w:val="24"/>
                <w:szCs w:val="24"/>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ind w:firstLine="0" w:firstLineChars="0"/>
              <w:rPr>
                <w:rFonts w:hint="eastAsia" w:ascii="宋体" w:hAnsi="宋体"/>
                <w:sz w:val="24"/>
                <w:szCs w:val="24"/>
              </w:rPr>
            </w:pPr>
            <w:r>
              <w:rPr>
                <w:rFonts w:hint="eastAsia" w:ascii="宋体" w:hAnsi="宋体"/>
                <w:sz w:val="24"/>
                <w:szCs w:val="24"/>
              </w:rPr>
              <w:t>2、提供售后服务相关承诺的，得1分；未提供不得分。</w:t>
            </w:r>
          </w:p>
        </w:tc>
      </w:tr>
    </w:tbl>
    <w:p>
      <w:pPr>
        <w:spacing w:line="360" w:lineRule="auto"/>
        <w:jc w:val="left"/>
        <w:outlineLvl w:val="0"/>
        <w:rPr>
          <w:rFonts w:cs="宋体"/>
          <w:b/>
          <w:bCs/>
          <w:sz w:val="24"/>
        </w:rPr>
      </w:pPr>
      <w:r>
        <w:rPr>
          <w:rFonts w:hint="eastAsia" w:cs="宋体"/>
          <w:b/>
          <w:bCs/>
          <w:sz w:val="24"/>
        </w:rPr>
        <w:t>1评审方法（综合评分法）</w:t>
      </w:r>
      <w:bookmarkEnd w:id="230"/>
      <w:bookmarkEnd w:id="231"/>
      <w:bookmarkEnd w:id="232"/>
    </w:p>
    <w:p>
      <w:pPr>
        <w:spacing w:line="360" w:lineRule="auto"/>
        <w:ind w:firstLine="480" w:firstLineChars="200"/>
        <w:jc w:val="left"/>
        <w:rPr>
          <w:rFonts w:cs="宋体"/>
          <w:sz w:val="24"/>
        </w:rPr>
      </w:pPr>
      <w:r>
        <w:rPr>
          <w:rFonts w:hint="eastAsia" w:cs="宋体"/>
          <w:sz w:val="24"/>
        </w:rPr>
        <w:t>本次评审采用综合评分法。评审小组对满足采购文件实质性要求的响应文件，按照本章第3条规定的评分标准进行打分，并按得分由高到低的顺序推荐候选成交供应商。</w:t>
      </w:r>
    </w:p>
    <w:p>
      <w:pPr>
        <w:spacing w:line="360" w:lineRule="auto"/>
        <w:jc w:val="left"/>
        <w:outlineLvl w:val="0"/>
        <w:rPr>
          <w:rFonts w:cs="宋体"/>
          <w:b/>
          <w:bCs/>
          <w:sz w:val="24"/>
        </w:rPr>
      </w:pPr>
      <w:bookmarkStart w:id="233" w:name="_Toc19928"/>
      <w:bookmarkStart w:id="234" w:name="_Toc11793"/>
      <w:bookmarkStart w:id="235" w:name="_Toc8852"/>
      <w:bookmarkStart w:id="236" w:name="_Toc13458"/>
      <w:r>
        <w:rPr>
          <w:rFonts w:hint="eastAsia" w:cs="宋体"/>
          <w:b/>
          <w:bCs/>
          <w:sz w:val="24"/>
        </w:rPr>
        <w:t>2初步评审标准和程序</w:t>
      </w:r>
      <w:bookmarkEnd w:id="233"/>
      <w:bookmarkEnd w:id="234"/>
      <w:bookmarkEnd w:id="235"/>
      <w:bookmarkEnd w:id="236"/>
    </w:p>
    <w:p>
      <w:pPr>
        <w:spacing w:line="360" w:lineRule="auto"/>
        <w:jc w:val="left"/>
        <w:outlineLvl w:val="0"/>
        <w:rPr>
          <w:rFonts w:cs="宋体"/>
          <w:b/>
          <w:bCs/>
          <w:sz w:val="24"/>
        </w:rPr>
      </w:pPr>
      <w:bookmarkStart w:id="237" w:name="_Toc7022"/>
      <w:bookmarkStart w:id="238" w:name="_Toc18024"/>
      <w:bookmarkStart w:id="239" w:name="_Toc14667"/>
      <w:bookmarkStart w:id="240" w:name="_Toc4087"/>
      <w:r>
        <w:rPr>
          <w:rFonts w:hint="eastAsia" w:cs="宋体"/>
          <w:b/>
          <w:bCs/>
          <w:sz w:val="24"/>
        </w:rPr>
        <w:t>2.1初步评审标准</w:t>
      </w:r>
      <w:bookmarkEnd w:id="237"/>
      <w:bookmarkEnd w:id="238"/>
      <w:bookmarkEnd w:id="239"/>
      <w:bookmarkEnd w:id="240"/>
    </w:p>
    <w:p>
      <w:pPr>
        <w:spacing w:line="360" w:lineRule="auto"/>
        <w:jc w:val="left"/>
        <w:rPr>
          <w:rFonts w:cs="宋体"/>
          <w:sz w:val="24"/>
        </w:rPr>
      </w:pPr>
      <w:r>
        <w:rPr>
          <w:rFonts w:hint="eastAsia" w:cs="宋体"/>
          <w:sz w:val="24"/>
        </w:rPr>
        <w:t>2.1.1资格评审标准：见评审办法前附表。</w:t>
      </w:r>
    </w:p>
    <w:p>
      <w:pPr>
        <w:spacing w:line="360" w:lineRule="auto"/>
        <w:jc w:val="left"/>
        <w:rPr>
          <w:rFonts w:cs="宋体"/>
          <w:sz w:val="24"/>
        </w:rPr>
      </w:pPr>
      <w:r>
        <w:rPr>
          <w:rFonts w:hint="eastAsia" w:cs="宋体"/>
          <w:sz w:val="24"/>
        </w:rPr>
        <w:t>2.1.2响应性评审标准：见评审办法前附表。</w:t>
      </w:r>
    </w:p>
    <w:p>
      <w:pPr>
        <w:spacing w:line="360" w:lineRule="auto"/>
        <w:jc w:val="left"/>
        <w:outlineLvl w:val="0"/>
        <w:rPr>
          <w:rFonts w:cs="宋体"/>
          <w:b/>
          <w:bCs/>
          <w:sz w:val="24"/>
        </w:rPr>
      </w:pPr>
      <w:bookmarkStart w:id="241" w:name="_Toc3497"/>
      <w:bookmarkStart w:id="242" w:name="_Toc15613"/>
      <w:bookmarkStart w:id="243" w:name="_Toc30115"/>
      <w:bookmarkStart w:id="244" w:name="_Toc24989"/>
      <w:r>
        <w:rPr>
          <w:rFonts w:hint="eastAsia" w:cs="宋体"/>
          <w:b/>
          <w:bCs/>
          <w:sz w:val="24"/>
        </w:rPr>
        <w:t>2.2初步评审程序</w:t>
      </w:r>
      <w:bookmarkEnd w:id="241"/>
      <w:bookmarkEnd w:id="242"/>
      <w:bookmarkEnd w:id="243"/>
      <w:bookmarkEnd w:id="244"/>
    </w:p>
    <w:p>
      <w:pPr>
        <w:spacing w:line="360" w:lineRule="auto"/>
        <w:jc w:val="left"/>
        <w:rPr>
          <w:rFonts w:cs="宋体"/>
          <w:sz w:val="24"/>
        </w:rPr>
      </w:pPr>
      <w:r>
        <w:rPr>
          <w:rFonts w:hint="eastAsia" w:cs="宋体"/>
          <w:sz w:val="24"/>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pacing w:line="360" w:lineRule="auto"/>
        <w:jc w:val="left"/>
        <w:rPr>
          <w:rFonts w:cs="宋体"/>
          <w:sz w:val="24"/>
        </w:rPr>
      </w:pPr>
      <w:r>
        <w:rPr>
          <w:rFonts w:hint="eastAsia" w:cs="宋体"/>
          <w:sz w:val="24"/>
        </w:rPr>
        <w:t>2.2.2除评审办法前附表另有规定外，评审价格为供应商在响应函中填报的大写含税价格。</w:t>
      </w:r>
    </w:p>
    <w:p>
      <w:pPr>
        <w:spacing w:line="360" w:lineRule="auto"/>
        <w:ind w:firstLine="480" w:firstLineChars="200"/>
        <w:jc w:val="left"/>
        <w:rPr>
          <w:rFonts w:cs="宋体"/>
          <w:sz w:val="24"/>
        </w:rPr>
      </w:pPr>
      <w:r>
        <w:rPr>
          <w:rFonts w:hint="eastAsia" w:cs="宋体"/>
          <w:sz w:val="24"/>
        </w:rPr>
        <w:t>评审价格若超过最高限价（如有），其响应文件将被视为无效。</w:t>
      </w:r>
    </w:p>
    <w:p>
      <w:pPr>
        <w:spacing w:line="360" w:lineRule="auto"/>
        <w:ind w:firstLine="480" w:firstLineChars="200"/>
        <w:jc w:val="left"/>
        <w:rPr>
          <w:rFonts w:cs="宋体"/>
          <w:sz w:val="24"/>
        </w:rPr>
      </w:pPr>
      <w:r>
        <w:rPr>
          <w:rFonts w:hint="eastAsia" w:cs="宋体"/>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spacing w:line="360" w:lineRule="auto"/>
        <w:jc w:val="left"/>
        <w:rPr>
          <w:rFonts w:cs="宋体"/>
          <w:sz w:val="24"/>
        </w:rPr>
      </w:pPr>
      <w:r>
        <w:rPr>
          <w:rFonts w:hint="eastAsia" w:cs="宋体"/>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spacing w:line="360" w:lineRule="auto"/>
        <w:ind w:firstLine="480" w:firstLineChars="200"/>
        <w:jc w:val="left"/>
        <w:rPr>
          <w:rFonts w:cs="宋体"/>
          <w:sz w:val="24"/>
        </w:rPr>
      </w:pPr>
      <w:r>
        <w:rPr>
          <w:rFonts w:hint="eastAsia" w:cs="宋体"/>
          <w:sz w:val="24"/>
        </w:rPr>
        <w:t>响应报价有算术错误及其他错误的，评审小组按以下原则要求供应商对响应报价进行修正，并要求供应商书面澄清确认。供应商拒不澄清确认的，其响应文件将被视为无效：</w:t>
      </w:r>
    </w:p>
    <w:p>
      <w:pPr>
        <w:spacing w:line="360" w:lineRule="auto"/>
        <w:ind w:firstLine="480" w:firstLineChars="200"/>
        <w:jc w:val="left"/>
        <w:rPr>
          <w:rFonts w:cs="宋体"/>
          <w:sz w:val="24"/>
        </w:rPr>
      </w:pPr>
      <w:r>
        <w:rPr>
          <w:rFonts w:hint="eastAsia" w:cs="宋体"/>
          <w:sz w:val="24"/>
        </w:rPr>
        <w:t>（1）大写金额与小写金额不一致的，以大写金额为准；</w:t>
      </w:r>
    </w:p>
    <w:p>
      <w:pPr>
        <w:spacing w:line="360" w:lineRule="auto"/>
        <w:ind w:firstLine="480" w:firstLineChars="200"/>
        <w:jc w:val="left"/>
        <w:rPr>
          <w:rFonts w:cs="宋体"/>
          <w:sz w:val="24"/>
        </w:rPr>
      </w:pPr>
      <w:r>
        <w:rPr>
          <w:rFonts w:hint="eastAsia" w:cs="宋体"/>
          <w:sz w:val="24"/>
        </w:rPr>
        <w:t>（2）总价金额与单价金额不一致的，以单价金额为准，但单价金额小数点有明显错误的除外；</w:t>
      </w:r>
    </w:p>
    <w:p>
      <w:pPr>
        <w:spacing w:line="360" w:lineRule="auto"/>
        <w:ind w:firstLine="480" w:firstLineChars="200"/>
        <w:jc w:val="left"/>
        <w:rPr>
          <w:rFonts w:cs="宋体"/>
          <w:sz w:val="24"/>
        </w:rPr>
      </w:pPr>
      <w:r>
        <w:rPr>
          <w:rFonts w:hint="eastAsia" w:cs="宋体"/>
          <w:sz w:val="24"/>
        </w:rPr>
        <w:t>（3）报价表合计报价与分项报价的合计不一致的，以各分项报价的合价累计数为准；</w:t>
      </w:r>
    </w:p>
    <w:p>
      <w:pPr>
        <w:spacing w:line="360" w:lineRule="auto"/>
        <w:ind w:firstLine="480" w:firstLineChars="200"/>
        <w:jc w:val="left"/>
        <w:rPr>
          <w:rFonts w:cs="宋体"/>
          <w:sz w:val="24"/>
        </w:rPr>
      </w:pPr>
      <w:r>
        <w:rPr>
          <w:rFonts w:hint="eastAsia" w:cs="宋体"/>
          <w:sz w:val="24"/>
        </w:rPr>
        <w:t>(4）如果分项报价中存在缺漏项，且缺漏项内容不属于实质性偏差的，则视为缺漏项内容的价格已包含在其他分项报价之中。</w:t>
      </w:r>
    </w:p>
    <w:p>
      <w:pPr>
        <w:spacing w:line="360" w:lineRule="auto"/>
        <w:ind w:firstLine="480" w:firstLineChars="200"/>
        <w:jc w:val="left"/>
        <w:rPr>
          <w:rFonts w:cs="宋体"/>
          <w:sz w:val="24"/>
        </w:rPr>
      </w:pPr>
      <w:r>
        <w:rPr>
          <w:rFonts w:hint="eastAsia" w:cs="宋体"/>
          <w:sz w:val="24"/>
        </w:rPr>
        <w:t>响应报价的算术错误修正不改变评审依据的响应总报价。当修正后的总报价高干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spacing w:line="360" w:lineRule="auto"/>
        <w:jc w:val="left"/>
        <w:rPr>
          <w:rFonts w:cs="宋体"/>
          <w:sz w:val="24"/>
        </w:rPr>
      </w:pPr>
      <w:r>
        <w:rPr>
          <w:rFonts w:hint="eastAsia" w:cs="宋体"/>
          <w:sz w:val="24"/>
        </w:rPr>
        <w:t>2.2.4供应商有串通、弄虚作假、行贿等违法行为的，其响应文件将被视为无效。</w:t>
      </w:r>
    </w:p>
    <w:p>
      <w:pPr>
        <w:spacing w:line="360" w:lineRule="auto"/>
        <w:jc w:val="left"/>
        <w:rPr>
          <w:rFonts w:cs="宋体"/>
          <w:sz w:val="24"/>
        </w:rPr>
      </w:pPr>
      <w:r>
        <w:rPr>
          <w:rFonts w:hint="eastAsia" w:cs="宋体"/>
          <w:sz w:val="24"/>
        </w:rPr>
        <w:t>2.2.5特殊情形处理</w:t>
      </w:r>
    </w:p>
    <w:p>
      <w:pPr>
        <w:spacing w:line="360" w:lineRule="auto"/>
        <w:ind w:firstLine="480" w:firstLineChars="200"/>
        <w:jc w:val="left"/>
        <w:rPr>
          <w:rFonts w:cs="宋体"/>
          <w:sz w:val="24"/>
        </w:rPr>
      </w:pPr>
      <w:r>
        <w:rPr>
          <w:rFonts w:hint="eastAsia" w:cs="宋体"/>
          <w:sz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spacing w:line="360" w:lineRule="auto"/>
        <w:ind w:firstLine="480" w:firstLineChars="200"/>
        <w:jc w:val="left"/>
        <w:rPr>
          <w:rFonts w:cs="宋体"/>
          <w:sz w:val="24"/>
        </w:rPr>
      </w:pPr>
      <w:r>
        <w:rPr>
          <w:rFonts w:hint="eastAsia" w:cs="宋体"/>
          <w:sz w:val="24"/>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pPr>
        <w:spacing w:line="360" w:lineRule="auto"/>
        <w:jc w:val="left"/>
        <w:outlineLvl w:val="0"/>
        <w:rPr>
          <w:rFonts w:cs="宋体"/>
          <w:b/>
          <w:bCs/>
          <w:sz w:val="24"/>
        </w:rPr>
      </w:pPr>
      <w:bookmarkStart w:id="245" w:name="_Toc20760"/>
      <w:bookmarkStart w:id="246" w:name="_Toc4334"/>
      <w:bookmarkStart w:id="247" w:name="_Toc12548"/>
      <w:bookmarkStart w:id="248" w:name="_Toc1790"/>
      <w:r>
        <w:rPr>
          <w:rFonts w:hint="eastAsia" w:cs="宋体"/>
          <w:b/>
          <w:bCs/>
          <w:sz w:val="24"/>
        </w:rPr>
        <w:t>3详细评审标准和程序（综合评分法）</w:t>
      </w:r>
      <w:bookmarkEnd w:id="245"/>
      <w:bookmarkEnd w:id="246"/>
      <w:bookmarkEnd w:id="247"/>
      <w:bookmarkEnd w:id="248"/>
    </w:p>
    <w:p>
      <w:pPr>
        <w:spacing w:line="360" w:lineRule="auto"/>
        <w:jc w:val="left"/>
        <w:outlineLvl w:val="0"/>
        <w:rPr>
          <w:rFonts w:cs="宋体"/>
          <w:b/>
          <w:bCs/>
          <w:sz w:val="24"/>
        </w:rPr>
      </w:pPr>
      <w:bookmarkStart w:id="249" w:name="_Toc18862"/>
      <w:bookmarkStart w:id="250" w:name="_Toc13821"/>
      <w:bookmarkStart w:id="251" w:name="_Toc30829"/>
      <w:bookmarkStart w:id="252" w:name="_Toc6169"/>
      <w:r>
        <w:rPr>
          <w:rFonts w:hint="eastAsia" w:cs="宋体"/>
          <w:b/>
          <w:bCs/>
          <w:sz w:val="24"/>
        </w:rPr>
        <w:t>3.1分值构成</w:t>
      </w:r>
      <w:bookmarkEnd w:id="249"/>
      <w:bookmarkEnd w:id="250"/>
      <w:bookmarkEnd w:id="251"/>
      <w:bookmarkEnd w:id="252"/>
    </w:p>
    <w:p>
      <w:pPr>
        <w:spacing w:line="360" w:lineRule="auto"/>
        <w:ind w:firstLine="480" w:firstLineChars="200"/>
        <w:jc w:val="left"/>
        <w:rPr>
          <w:rFonts w:cs="宋体"/>
          <w:sz w:val="24"/>
        </w:rPr>
      </w:pPr>
      <w:r>
        <w:rPr>
          <w:rFonts w:hint="eastAsia" w:cs="宋体"/>
          <w:sz w:val="24"/>
        </w:rPr>
        <w:t>（1）商务部分：见评审办法前附表；</w:t>
      </w:r>
    </w:p>
    <w:p>
      <w:pPr>
        <w:spacing w:line="360" w:lineRule="auto"/>
        <w:ind w:firstLine="480" w:firstLineChars="200"/>
        <w:jc w:val="left"/>
        <w:rPr>
          <w:rFonts w:cs="宋体"/>
          <w:sz w:val="24"/>
        </w:rPr>
      </w:pPr>
      <w:r>
        <w:rPr>
          <w:rFonts w:hint="eastAsia" w:cs="宋体"/>
          <w:sz w:val="24"/>
        </w:rPr>
        <w:t>（2）技术部分：见评审办法前附表；</w:t>
      </w:r>
    </w:p>
    <w:p>
      <w:pPr>
        <w:spacing w:line="360" w:lineRule="auto"/>
        <w:ind w:firstLine="480" w:firstLineChars="200"/>
        <w:jc w:val="left"/>
        <w:rPr>
          <w:rFonts w:cs="宋体"/>
          <w:sz w:val="24"/>
        </w:rPr>
      </w:pPr>
      <w:r>
        <w:rPr>
          <w:rFonts w:hint="eastAsia" w:cs="宋体"/>
          <w:sz w:val="24"/>
        </w:rPr>
        <w:t>（3) 报价：见评审办法前附表；</w:t>
      </w:r>
    </w:p>
    <w:p>
      <w:pPr>
        <w:spacing w:line="360" w:lineRule="auto"/>
        <w:ind w:firstLine="480" w:firstLineChars="200"/>
        <w:jc w:val="left"/>
        <w:rPr>
          <w:rFonts w:cs="宋体"/>
          <w:sz w:val="24"/>
        </w:rPr>
      </w:pPr>
      <w:r>
        <w:rPr>
          <w:rFonts w:hint="eastAsia" w:cs="宋体"/>
          <w:sz w:val="24"/>
        </w:rPr>
        <w:t>（4）其他评分因素：见评审办法前附表。</w:t>
      </w:r>
    </w:p>
    <w:p>
      <w:pPr>
        <w:spacing w:line="360" w:lineRule="auto"/>
        <w:jc w:val="left"/>
        <w:outlineLvl w:val="0"/>
        <w:rPr>
          <w:rFonts w:cs="宋体"/>
          <w:b/>
          <w:bCs/>
          <w:sz w:val="24"/>
        </w:rPr>
      </w:pPr>
      <w:bookmarkStart w:id="253" w:name="_Toc9140"/>
      <w:bookmarkStart w:id="254" w:name="_Toc31199"/>
      <w:bookmarkStart w:id="255" w:name="_Toc12406"/>
      <w:bookmarkStart w:id="256" w:name="_Toc26430"/>
      <w:r>
        <w:rPr>
          <w:rFonts w:hint="eastAsia" w:cs="宋体"/>
          <w:b/>
          <w:bCs/>
          <w:sz w:val="24"/>
        </w:rPr>
        <w:t>3.2评审基准价计算</w:t>
      </w:r>
      <w:bookmarkEnd w:id="253"/>
      <w:bookmarkEnd w:id="254"/>
      <w:bookmarkEnd w:id="255"/>
      <w:bookmarkEnd w:id="256"/>
    </w:p>
    <w:p>
      <w:pPr>
        <w:spacing w:line="360" w:lineRule="auto"/>
        <w:ind w:firstLine="480" w:firstLineChars="200"/>
        <w:jc w:val="left"/>
        <w:rPr>
          <w:rFonts w:cs="宋体"/>
          <w:sz w:val="24"/>
        </w:rPr>
      </w:pPr>
      <w:r>
        <w:rPr>
          <w:rFonts w:hint="eastAsia" w:cs="宋体"/>
          <w:sz w:val="24"/>
        </w:rPr>
        <w:t>（1）评审价格：评审价格为按照本章第2.2.2项规定确定的价格；</w:t>
      </w:r>
    </w:p>
    <w:p>
      <w:pPr>
        <w:spacing w:line="360" w:lineRule="auto"/>
        <w:ind w:firstLine="480" w:firstLineChars="200"/>
        <w:jc w:val="left"/>
        <w:rPr>
          <w:rFonts w:cs="宋体"/>
          <w:sz w:val="24"/>
        </w:rPr>
      </w:pPr>
      <w:r>
        <w:rPr>
          <w:rFonts w:hint="eastAsia" w:cs="宋体"/>
          <w:sz w:val="24"/>
        </w:rPr>
        <w:t>（2）评审基准价计算方法：</w:t>
      </w:r>
    </w:p>
    <w:p>
      <w:pPr>
        <w:spacing w:line="360" w:lineRule="auto"/>
        <w:ind w:firstLine="480" w:firstLineChars="200"/>
        <w:jc w:val="left"/>
        <w:outlineLvl w:val="1"/>
        <w:rPr>
          <w:rFonts w:cs="宋体"/>
          <w:sz w:val="24"/>
        </w:rPr>
      </w:pPr>
      <w:bookmarkStart w:id="257" w:name="_Toc13689"/>
      <w:bookmarkStart w:id="258" w:name="_Toc10094"/>
      <w:bookmarkStart w:id="259" w:name="_Toc1503"/>
      <w:r>
        <w:rPr>
          <w:rFonts w:hint="eastAsia" w:cs="宋体"/>
          <w:sz w:val="24"/>
        </w:rPr>
        <w:t>在所有的有效投标报价中，以最低投标报价为基准价，其价格分为满分。其他供应商的报价分统一按下列公式计算：投标报价得分=(评标基准价／投标报价)×价格权值（</w:t>
      </w:r>
      <w:r>
        <w:rPr>
          <w:rFonts w:hint="eastAsia" w:cs="宋体"/>
          <w:sz w:val="24"/>
          <w:lang w:val="en-US" w:eastAsia="zh-CN"/>
        </w:rPr>
        <w:t>4</w:t>
      </w:r>
      <w:r>
        <w:rPr>
          <w:rFonts w:hint="eastAsia" w:cs="宋体"/>
          <w:sz w:val="24"/>
        </w:rPr>
        <w:t>0%）×100（四舍五入后保留小数点后两位）。</w:t>
      </w:r>
      <w:bookmarkEnd w:id="257"/>
      <w:bookmarkEnd w:id="258"/>
      <w:bookmarkEnd w:id="259"/>
    </w:p>
    <w:p>
      <w:pPr>
        <w:spacing w:line="360" w:lineRule="auto"/>
        <w:ind w:firstLine="480" w:firstLineChars="200"/>
        <w:jc w:val="left"/>
        <w:rPr>
          <w:rFonts w:cs="宋体"/>
          <w:sz w:val="24"/>
        </w:rPr>
      </w:pPr>
      <w:r>
        <w:rPr>
          <w:rFonts w:hint="eastAsia" w:cs="宋体"/>
          <w:sz w:val="24"/>
        </w:rPr>
        <w:t>评审基准价计算方法的选择见评审办法前附表。</w:t>
      </w:r>
    </w:p>
    <w:p>
      <w:pPr>
        <w:spacing w:line="360" w:lineRule="auto"/>
        <w:jc w:val="left"/>
        <w:outlineLvl w:val="0"/>
        <w:rPr>
          <w:rFonts w:cs="宋体"/>
          <w:b/>
          <w:bCs/>
          <w:sz w:val="24"/>
        </w:rPr>
      </w:pPr>
      <w:bookmarkStart w:id="260" w:name="_Toc7760"/>
      <w:bookmarkStart w:id="261" w:name="_Toc29963"/>
      <w:bookmarkStart w:id="262" w:name="_Toc25295"/>
      <w:bookmarkStart w:id="263" w:name="_Toc23616"/>
      <w:r>
        <w:rPr>
          <w:rFonts w:hint="eastAsia" w:cs="宋体"/>
          <w:b/>
          <w:bCs/>
          <w:sz w:val="24"/>
        </w:rPr>
        <w:t>3.3评分标准</w:t>
      </w:r>
      <w:bookmarkEnd w:id="260"/>
      <w:bookmarkEnd w:id="261"/>
      <w:bookmarkEnd w:id="262"/>
      <w:bookmarkEnd w:id="263"/>
    </w:p>
    <w:p>
      <w:pPr>
        <w:spacing w:line="360" w:lineRule="auto"/>
        <w:ind w:firstLine="480" w:firstLineChars="200"/>
        <w:jc w:val="left"/>
        <w:outlineLvl w:val="1"/>
        <w:rPr>
          <w:rFonts w:cs="宋体"/>
          <w:sz w:val="24"/>
        </w:rPr>
      </w:pPr>
      <w:bookmarkStart w:id="264" w:name="_Toc9727"/>
      <w:bookmarkStart w:id="265" w:name="_Toc2230"/>
      <w:bookmarkStart w:id="266" w:name="_Toc4716"/>
      <w:bookmarkStart w:id="267" w:name="_Toc25509"/>
      <w:r>
        <w:rPr>
          <w:rFonts w:hint="eastAsia" w:cs="宋体"/>
          <w:sz w:val="24"/>
        </w:rPr>
        <w:t>（1)商务评分标准：见评审办法前附表；</w:t>
      </w:r>
      <w:bookmarkEnd w:id="264"/>
      <w:bookmarkEnd w:id="265"/>
      <w:bookmarkEnd w:id="266"/>
      <w:bookmarkEnd w:id="267"/>
    </w:p>
    <w:p>
      <w:pPr>
        <w:spacing w:line="360" w:lineRule="auto"/>
        <w:ind w:firstLine="480" w:firstLineChars="200"/>
        <w:jc w:val="left"/>
        <w:outlineLvl w:val="1"/>
        <w:rPr>
          <w:rFonts w:cs="宋体"/>
          <w:sz w:val="24"/>
        </w:rPr>
      </w:pPr>
      <w:bookmarkStart w:id="268" w:name="_Toc25983"/>
      <w:bookmarkStart w:id="269" w:name="_Toc23550"/>
      <w:bookmarkStart w:id="270" w:name="_Toc30110"/>
      <w:bookmarkStart w:id="271" w:name="_Toc30480"/>
      <w:r>
        <w:rPr>
          <w:rFonts w:hint="eastAsia" w:cs="宋体"/>
          <w:sz w:val="24"/>
        </w:rPr>
        <w:t>（2)技术评分标准：见评审办法前附表；</w:t>
      </w:r>
      <w:bookmarkEnd w:id="268"/>
      <w:bookmarkEnd w:id="269"/>
      <w:bookmarkEnd w:id="270"/>
      <w:bookmarkEnd w:id="271"/>
    </w:p>
    <w:p>
      <w:pPr>
        <w:spacing w:line="360" w:lineRule="auto"/>
        <w:ind w:firstLine="480" w:firstLineChars="200"/>
        <w:jc w:val="left"/>
        <w:outlineLvl w:val="1"/>
        <w:rPr>
          <w:rFonts w:cs="宋体"/>
          <w:sz w:val="24"/>
        </w:rPr>
      </w:pPr>
      <w:bookmarkStart w:id="272" w:name="_Toc31266"/>
      <w:bookmarkStart w:id="273" w:name="_Toc28927"/>
      <w:bookmarkStart w:id="274" w:name="_Toc15148"/>
      <w:bookmarkStart w:id="275" w:name="_Toc26366"/>
      <w:r>
        <w:rPr>
          <w:rFonts w:hint="eastAsia" w:cs="宋体"/>
          <w:sz w:val="24"/>
        </w:rPr>
        <w:t>（3）其他因素评分标准：见评审办法前附表。</w:t>
      </w:r>
      <w:bookmarkEnd w:id="272"/>
      <w:bookmarkEnd w:id="273"/>
      <w:bookmarkEnd w:id="274"/>
      <w:bookmarkEnd w:id="275"/>
    </w:p>
    <w:p>
      <w:pPr>
        <w:spacing w:line="360" w:lineRule="auto"/>
        <w:jc w:val="left"/>
        <w:outlineLvl w:val="0"/>
        <w:rPr>
          <w:rFonts w:cs="宋体"/>
          <w:b/>
          <w:bCs/>
          <w:sz w:val="24"/>
        </w:rPr>
      </w:pPr>
      <w:bookmarkStart w:id="276" w:name="_Toc18312"/>
      <w:bookmarkStart w:id="277" w:name="_Toc19086"/>
      <w:bookmarkStart w:id="278" w:name="_Toc26386"/>
      <w:bookmarkStart w:id="279" w:name="_Toc26728"/>
      <w:r>
        <w:rPr>
          <w:rFonts w:hint="eastAsia" w:cs="宋体"/>
          <w:b/>
          <w:bCs/>
          <w:sz w:val="24"/>
        </w:rPr>
        <w:t>3.4评分</w:t>
      </w:r>
      <w:bookmarkEnd w:id="276"/>
      <w:bookmarkEnd w:id="277"/>
      <w:bookmarkEnd w:id="278"/>
      <w:bookmarkEnd w:id="279"/>
    </w:p>
    <w:p>
      <w:pPr>
        <w:spacing w:line="360" w:lineRule="auto"/>
        <w:ind w:firstLine="480" w:firstLineChars="200"/>
        <w:jc w:val="left"/>
        <w:rPr>
          <w:rFonts w:cs="宋体"/>
          <w:sz w:val="24"/>
        </w:rPr>
      </w:pPr>
      <w:r>
        <w:rPr>
          <w:rFonts w:hint="eastAsia" w:cs="宋体"/>
          <w:sz w:val="24"/>
        </w:rPr>
        <w:t>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pPr>
        <w:spacing w:line="360" w:lineRule="auto"/>
        <w:jc w:val="left"/>
        <w:outlineLvl w:val="0"/>
        <w:rPr>
          <w:rFonts w:cs="宋体"/>
          <w:sz w:val="24"/>
        </w:rPr>
      </w:pPr>
      <w:bookmarkStart w:id="280" w:name="_Toc10779"/>
      <w:bookmarkStart w:id="281" w:name="_Toc17934"/>
      <w:bookmarkStart w:id="282" w:name="_Toc22289"/>
      <w:bookmarkStart w:id="283" w:name="_Toc837"/>
      <w:r>
        <w:rPr>
          <w:rFonts w:hint="eastAsia" w:cs="宋体"/>
          <w:b/>
          <w:bCs/>
          <w:sz w:val="24"/>
        </w:rPr>
        <w:t>3.5汇总</w:t>
      </w:r>
      <w:bookmarkEnd w:id="280"/>
      <w:bookmarkEnd w:id="281"/>
      <w:bookmarkEnd w:id="282"/>
      <w:bookmarkEnd w:id="283"/>
    </w:p>
    <w:p>
      <w:pPr>
        <w:spacing w:line="360" w:lineRule="auto"/>
        <w:ind w:firstLine="480" w:firstLineChars="200"/>
        <w:jc w:val="left"/>
        <w:rPr>
          <w:rFonts w:cs="宋体"/>
          <w:sz w:val="24"/>
        </w:rPr>
      </w:pPr>
      <w:r>
        <w:rPr>
          <w:rFonts w:hint="eastAsia" w:cs="宋体"/>
          <w:sz w:val="24"/>
        </w:rPr>
        <w:t>评审小组汇总每个成员对供应商的评分总分，每个供应商的评分总分的算术平均值为供应商最终得分。</w:t>
      </w:r>
    </w:p>
    <w:p>
      <w:pPr>
        <w:spacing w:line="360" w:lineRule="auto"/>
        <w:jc w:val="left"/>
        <w:outlineLvl w:val="0"/>
        <w:rPr>
          <w:rFonts w:cs="宋体"/>
          <w:b/>
          <w:bCs/>
          <w:sz w:val="24"/>
        </w:rPr>
      </w:pPr>
      <w:bookmarkStart w:id="284" w:name="_Toc21173"/>
      <w:bookmarkStart w:id="285" w:name="_Toc19352"/>
      <w:bookmarkStart w:id="286" w:name="_Toc21311"/>
      <w:bookmarkStart w:id="287" w:name="_Toc22561"/>
      <w:r>
        <w:rPr>
          <w:rFonts w:hint="eastAsia" w:cs="宋体"/>
          <w:b/>
          <w:bCs/>
          <w:sz w:val="24"/>
        </w:rPr>
        <w:t>3.6排序</w:t>
      </w:r>
      <w:bookmarkEnd w:id="284"/>
      <w:bookmarkEnd w:id="285"/>
      <w:bookmarkEnd w:id="286"/>
      <w:bookmarkEnd w:id="287"/>
    </w:p>
    <w:p>
      <w:pPr>
        <w:spacing w:line="360" w:lineRule="auto"/>
        <w:ind w:firstLine="480" w:firstLineChars="200"/>
        <w:jc w:val="left"/>
        <w:rPr>
          <w:rFonts w:cs="宋体"/>
          <w:sz w:val="24"/>
        </w:rPr>
      </w:pPr>
      <w:r>
        <w:rPr>
          <w:rFonts w:hint="eastAsia" w:cs="宋体"/>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spacing w:line="360" w:lineRule="auto"/>
        <w:jc w:val="left"/>
        <w:outlineLvl w:val="0"/>
        <w:rPr>
          <w:rFonts w:cs="宋体"/>
          <w:b/>
          <w:bCs/>
          <w:sz w:val="24"/>
        </w:rPr>
      </w:pPr>
      <w:bookmarkStart w:id="288" w:name="_Toc16722"/>
      <w:bookmarkStart w:id="289" w:name="_Toc23135"/>
      <w:r>
        <w:rPr>
          <w:rFonts w:hint="eastAsia" w:cs="宋体"/>
          <w:b/>
          <w:bCs/>
          <w:sz w:val="24"/>
        </w:rPr>
        <w:t>4评审结果</w:t>
      </w:r>
      <w:bookmarkEnd w:id="288"/>
      <w:bookmarkEnd w:id="289"/>
    </w:p>
    <w:p>
      <w:pPr>
        <w:spacing w:line="360" w:lineRule="auto"/>
        <w:jc w:val="left"/>
        <w:outlineLvl w:val="0"/>
        <w:rPr>
          <w:rFonts w:cs="宋体"/>
          <w:b/>
          <w:bCs/>
          <w:sz w:val="24"/>
        </w:rPr>
      </w:pPr>
      <w:bookmarkStart w:id="290" w:name="_Toc3834"/>
      <w:bookmarkStart w:id="291" w:name="_Toc10143"/>
      <w:bookmarkStart w:id="292" w:name="_Toc24588"/>
      <w:bookmarkStart w:id="293" w:name="_Toc18959"/>
      <w:r>
        <w:rPr>
          <w:rFonts w:hint="eastAsia" w:cs="宋体"/>
          <w:b/>
          <w:bCs/>
          <w:sz w:val="24"/>
        </w:rPr>
        <w:t>4.1提交书面评审报告</w:t>
      </w:r>
      <w:bookmarkEnd w:id="290"/>
      <w:bookmarkEnd w:id="291"/>
      <w:bookmarkEnd w:id="292"/>
      <w:bookmarkEnd w:id="293"/>
    </w:p>
    <w:p>
      <w:pPr>
        <w:spacing w:line="360" w:lineRule="auto"/>
        <w:ind w:firstLine="480" w:firstLineChars="200"/>
        <w:jc w:val="left"/>
        <w:rPr>
          <w:rFonts w:cs="宋体"/>
          <w:sz w:val="24"/>
        </w:rPr>
      </w:pPr>
      <w:r>
        <w:rPr>
          <w:rFonts w:hint="eastAsia" w:cs="宋体"/>
          <w:sz w:val="24"/>
        </w:rPr>
        <w:t>评审小组完成评审后，应当向采购人提交书面评审报告。</w:t>
      </w:r>
    </w:p>
    <w:p>
      <w:pPr>
        <w:spacing w:line="360" w:lineRule="auto"/>
        <w:jc w:val="left"/>
        <w:outlineLvl w:val="0"/>
        <w:rPr>
          <w:rFonts w:cs="宋体"/>
          <w:b/>
          <w:bCs/>
          <w:sz w:val="24"/>
        </w:rPr>
      </w:pPr>
      <w:bookmarkStart w:id="294" w:name="_Toc8656"/>
      <w:bookmarkStart w:id="295" w:name="_Toc21296"/>
      <w:bookmarkStart w:id="296" w:name="_Toc151"/>
      <w:bookmarkStart w:id="297" w:name="_Toc22185"/>
      <w:r>
        <w:rPr>
          <w:rFonts w:hint="eastAsia" w:cs="宋体"/>
          <w:b/>
          <w:bCs/>
          <w:sz w:val="24"/>
        </w:rPr>
        <w:t>4.2推荐候选成交供应商排序要求及数量</w:t>
      </w:r>
      <w:bookmarkEnd w:id="294"/>
      <w:bookmarkEnd w:id="295"/>
      <w:bookmarkEnd w:id="296"/>
      <w:bookmarkEnd w:id="297"/>
    </w:p>
    <w:p>
      <w:pPr>
        <w:spacing w:line="360" w:lineRule="auto"/>
        <w:ind w:firstLine="480" w:firstLineChars="200"/>
        <w:jc w:val="left"/>
        <w:rPr>
          <w:rFonts w:cs="宋体"/>
          <w:sz w:val="24"/>
        </w:rPr>
      </w:pPr>
      <w:r>
        <w:rPr>
          <w:rFonts w:hint="eastAsia" w:cs="宋体"/>
          <w:sz w:val="24"/>
        </w:rPr>
        <w:t>评审小组应在书面评审报告中按照供应商排列的优先顺序向采购人推荐候选成交供应商（排序或不排序）。候选成交供应商的排序要求及数量见第二章“供应商须知”。</w:t>
      </w:r>
    </w:p>
    <w:p>
      <w:pPr>
        <w:spacing w:line="360" w:lineRule="auto"/>
        <w:jc w:val="left"/>
        <w:outlineLvl w:val="0"/>
        <w:rPr>
          <w:rFonts w:cs="宋体"/>
          <w:b/>
          <w:bCs/>
          <w:sz w:val="24"/>
        </w:rPr>
      </w:pPr>
      <w:bookmarkStart w:id="298" w:name="_Toc24721"/>
      <w:bookmarkStart w:id="299" w:name="_Toc5477"/>
      <w:bookmarkStart w:id="300" w:name="_Toc27983"/>
      <w:bookmarkStart w:id="301" w:name="_Toc11057"/>
      <w:r>
        <w:rPr>
          <w:rFonts w:hint="eastAsia" w:cs="宋体"/>
          <w:b/>
          <w:bCs/>
          <w:sz w:val="24"/>
        </w:rPr>
        <w:t>5直接转换采购方式评审程序</w:t>
      </w:r>
      <w:bookmarkEnd w:id="298"/>
      <w:bookmarkEnd w:id="299"/>
      <w:bookmarkEnd w:id="300"/>
      <w:bookmarkEnd w:id="301"/>
    </w:p>
    <w:p>
      <w:pPr>
        <w:spacing w:line="360" w:lineRule="auto"/>
        <w:jc w:val="left"/>
        <w:outlineLvl w:val="0"/>
        <w:rPr>
          <w:rFonts w:cs="宋体"/>
          <w:b/>
          <w:bCs/>
          <w:sz w:val="24"/>
        </w:rPr>
      </w:pPr>
      <w:bookmarkStart w:id="302" w:name="_Toc28160"/>
      <w:bookmarkStart w:id="303" w:name="_Toc24746"/>
      <w:bookmarkStart w:id="304" w:name="_Toc26322"/>
      <w:bookmarkStart w:id="305" w:name="_Toc25553"/>
      <w:r>
        <w:rPr>
          <w:rFonts w:hint="eastAsia" w:cs="宋体"/>
          <w:b/>
          <w:bCs/>
          <w:sz w:val="24"/>
        </w:rPr>
        <w:t>5.1初步评审</w:t>
      </w:r>
      <w:bookmarkEnd w:id="302"/>
      <w:bookmarkEnd w:id="303"/>
      <w:bookmarkEnd w:id="304"/>
      <w:bookmarkEnd w:id="305"/>
    </w:p>
    <w:p>
      <w:pPr>
        <w:spacing w:line="360" w:lineRule="auto"/>
        <w:jc w:val="left"/>
        <w:rPr>
          <w:rFonts w:cs="宋体"/>
          <w:sz w:val="24"/>
        </w:rPr>
      </w:pPr>
      <w:r>
        <w:rPr>
          <w:rFonts w:hint="eastAsia" w:cs="宋体"/>
          <w:sz w:val="24"/>
        </w:rPr>
        <w:t>5.1.1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pacing w:line="360" w:lineRule="auto"/>
        <w:jc w:val="left"/>
        <w:rPr>
          <w:rFonts w:cs="宋体"/>
          <w:sz w:val="24"/>
        </w:rPr>
      </w:pPr>
      <w:r>
        <w:rPr>
          <w:rFonts w:hint="eastAsia" w:cs="宋体"/>
          <w:sz w:val="24"/>
        </w:rPr>
        <w:t>5.1.2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spacing w:line="360" w:lineRule="auto"/>
        <w:jc w:val="left"/>
        <w:rPr>
          <w:rFonts w:cs="宋体"/>
          <w:sz w:val="24"/>
        </w:rPr>
      </w:pPr>
      <w:r>
        <w:rPr>
          <w:rFonts w:hint="eastAsia" w:cs="宋体"/>
          <w:sz w:val="24"/>
        </w:rPr>
        <w:t>5.1.3只有形式评审和资格评审合格且实质性响应采购文件要求的供应商才可通过初步评审。经供应商澄清、说明和补正后仍未通过初步评审的响应文件将被视为无效，评审小组应告知有关供应商。</w:t>
      </w:r>
    </w:p>
    <w:p>
      <w:pPr>
        <w:spacing w:line="360" w:lineRule="auto"/>
        <w:ind w:firstLine="480" w:firstLineChars="200"/>
        <w:jc w:val="left"/>
        <w:rPr>
          <w:rFonts w:cs="宋体"/>
          <w:sz w:val="24"/>
        </w:rPr>
      </w:pPr>
      <w:r>
        <w:rPr>
          <w:rFonts w:hint="eastAsia" w:cs="宋体"/>
          <w:sz w:val="24"/>
        </w:rPr>
        <w:t>初步评审后，当所有响应文件均无效时，应重新组织采购。</w:t>
      </w:r>
    </w:p>
    <w:p>
      <w:pPr>
        <w:spacing w:line="360" w:lineRule="auto"/>
        <w:jc w:val="left"/>
        <w:outlineLvl w:val="0"/>
        <w:rPr>
          <w:rFonts w:cs="宋体"/>
          <w:b/>
          <w:bCs/>
          <w:sz w:val="24"/>
        </w:rPr>
      </w:pPr>
      <w:bookmarkStart w:id="306" w:name="_Toc23263"/>
      <w:bookmarkStart w:id="307" w:name="_Toc21397"/>
      <w:bookmarkStart w:id="308" w:name="_Toc28688"/>
      <w:bookmarkStart w:id="309" w:name="_Toc17886"/>
      <w:r>
        <w:rPr>
          <w:rFonts w:hint="eastAsia" w:cs="宋体"/>
          <w:b/>
          <w:bCs/>
          <w:sz w:val="24"/>
        </w:rPr>
        <w:t>5.2转换采购方式</w:t>
      </w:r>
      <w:bookmarkEnd w:id="306"/>
      <w:bookmarkEnd w:id="307"/>
      <w:bookmarkEnd w:id="308"/>
      <w:bookmarkEnd w:id="309"/>
    </w:p>
    <w:p>
      <w:pPr>
        <w:spacing w:line="360" w:lineRule="auto"/>
        <w:jc w:val="left"/>
        <w:outlineLvl w:val="1"/>
        <w:rPr>
          <w:rFonts w:cs="宋体"/>
          <w:sz w:val="24"/>
        </w:rPr>
      </w:pPr>
      <w:bookmarkStart w:id="310" w:name="_Toc7262"/>
      <w:bookmarkStart w:id="311" w:name="_Toc16616"/>
      <w:r>
        <w:rPr>
          <w:rFonts w:hint="eastAsia" w:cs="宋体"/>
          <w:sz w:val="24"/>
        </w:rPr>
        <w:t>5.2.1参照谈判采购方式评审</w:t>
      </w:r>
      <w:bookmarkEnd w:id="310"/>
      <w:bookmarkEnd w:id="311"/>
    </w:p>
    <w:p>
      <w:pPr>
        <w:spacing w:line="360" w:lineRule="auto"/>
        <w:ind w:firstLine="480" w:firstLineChars="200"/>
        <w:jc w:val="left"/>
        <w:rPr>
          <w:rFonts w:cs="宋体"/>
          <w:sz w:val="24"/>
        </w:rPr>
      </w:pPr>
      <w:r>
        <w:rPr>
          <w:rFonts w:hint="eastAsia" w:cs="宋体"/>
          <w:sz w:val="24"/>
        </w:rPr>
        <w:t>（1）谈判。</w:t>
      </w:r>
    </w:p>
    <w:p>
      <w:pPr>
        <w:spacing w:line="360" w:lineRule="auto"/>
        <w:ind w:firstLine="480" w:firstLineChars="200"/>
        <w:jc w:val="left"/>
        <w:rPr>
          <w:rFonts w:cs="宋体"/>
          <w:sz w:val="24"/>
        </w:rPr>
      </w:pPr>
      <w:r>
        <w:rPr>
          <w:rFonts w:hint="eastAsia" w:cs="宋体"/>
          <w:sz w:val="24"/>
        </w:rPr>
        <w:t>1)评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spacing w:line="360" w:lineRule="auto"/>
        <w:ind w:firstLine="480" w:firstLineChars="200"/>
        <w:jc w:val="left"/>
        <w:rPr>
          <w:rFonts w:cs="宋体"/>
          <w:sz w:val="24"/>
        </w:rPr>
      </w:pPr>
      <w:r>
        <w:rPr>
          <w:rFonts w:hint="eastAsia" w:cs="宋体"/>
          <w:sz w:val="24"/>
        </w:rPr>
        <w:t>2）供应商的法定代表人（单位负责人）或其授权的代理人应参加谈判。供应商的法定代表人（单位负责人）或其授权的代理人在谈判中作出的承诺构成响应文件的组成部分。</w:t>
      </w:r>
    </w:p>
    <w:p>
      <w:pPr>
        <w:spacing w:line="360" w:lineRule="auto"/>
        <w:ind w:firstLine="480" w:firstLineChars="200"/>
        <w:jc w:val="left"/>
        <w:rPr>
          <w:rFonts w:cs="宋体"/>
          <w:sz w:val="24"/>
        </w:rPr>
      </w:pPr>
      <w:r>
        <w:rPr>
          <w:rFonts w:hint="eastAsia" w:cs="宋体"/>
          <w:sz w:val="24"/>
        </w:rPr>
        <w:t>3)谈判结束后，评审小组将要求所有参加谈判的供应商在规定时间内递交最终报价。最终报价应由供应商的法定代表人（单位负责人）或其授权的代理人签字或加盖单位章。最终报价是供应商响应文件的组成部分。</w:t>
      </w:r>
    </w:p>
    <w:p>
      <w:pPr>
        <w:spacing w:line="360" w:lineRule="auto"/>
        <w:ind w:firstLine="480" w:firstLineChars="200"/>
        <w:jc w:val="left"/>
        <w:rPr>
          <w:rFonts w:cs="宋体"/>
          <w:sz w:val="24"/>
        </w:rPr>
      </w:pPr>
      <w:r>
        <w:rPr>
          <w:rFonts w:hint="eastAsia" w:cs="宋体"/>
          <w:sz w:val="24"/>
        </w:rPr>
        <w:t>（2）公开开启最终报价。</w:t>
      </w:r>
    </w:p>
    <w:p>
      <w:pPr>
        <w:spacing w:line="360" w:lineRule="auto"/>
        <w:ind w:firstLine="480" w:firstLineChars="200"/>
        <w:jc w:val="left"/>
        <w:rPr>
          <w:rFonts w:cs="宋体"/>
          <w:sz w:val="24"/>
        </w:rPr>
      </w:pPr>
      <w:r>
        <w:rPr>
          <w:rFonts w:hint="eastAsia" w:cs="宋体"/>
          <w:sz w:val="24"/>
        </w:rPr>
        <w:t>评审小组将在递交最终报价的截止时间公开开启最终报价，供应商未派代表参加开启会议的，视为默认开启结果。</w:t>
      </w:r>
    </w:p>
    <w:p>
      <w:pPr>
        <w:spacing w:line="360" w:lineRule="auto"/>
        <w:ind w:firstLine="480" w:firstLineChars="200"/>
        <w:jc w:val="left"/>
        <w:rPr>
          <w:rFonts w:cs="宋体"/>
          <w:sz w:val="24"/>
        </w:rPr>
      </w:pPr>
      <w:r>
        <w:rPr>
          <w:rFonts w:hint="eastAsia" w:cs="宋体"/>
          <w:sz w:val="24"/>
        </w:rPr>
        <w:t>（3）详细评审。</w:t>
      </w:r>
    </w:p>
    <w:p>
      <w:pPr>
        <w:spacing w:line="360" w:lineRule="auto"/>
        <w:ind w:firstLine="480" w:firstLineChars="200"/>
        <w:jc w:val="left"/>
        <w:rPr>
          <w:rFonts w:cs="宋体"/>
          <w:sz w:val="24"/>
        </w:rPr>
      </w:pPr>
      <w:r>
        <w:rPr>
          <w:rFonts w:hint="eastAsia" w:cs="宋体"/>
          <w:sz w:val="24"/>
        </w:rPr>
        <w:t>评审小组将按本章第3条规定对响应文件及其最终报价进行详细评审。采用综合评分法的，评审小组有权对本章第3.2项规定的评审基准价和第3.3（3）目规定的报价评分标准进行调整，但评审小组应在谈判开始前向供应商公布，未公布的，视为评审基准价和报价评分标准不作调整；详细评审标准中除报价评审标准外的其他评审标准不作调整。</w:t>
      </w:r>
    </w:p>
    <w:p>
      <w:pPr>
        <w:spacing w:line="360" w:lineRule="auto"/>
        <w:ind w:firstLine="480" w:firstLineChars="200"/>
        <w:jc w:val="left"/>
        <w:rPr>
          <w:rFonts w:cs="宋体"/>
          <w:sz w:val="24"/>
        </w:rPr>
      </w:pPr>
      <w:r>
        <w:rPr>
          <w:rFonts w:hint="eastAsia" w:cs="宋体"/>
          <w:sz w:val="24"/>
        </w:rPr>
        <w:t>通过谈判后，评审小组认为所有供应商的最终报价仍然不合理的，应向采购人提出终止采购建议。</w:t>
      </w:r>
    </w:p>
    <w:p>
      <w:pPr>
        <w:spacing w:line="360" w:lineRule="auto"/>
        <w:ind w:firstLine="480" w:firstLineChars="200"/>
        <w:jc w:val="left"/>
        <w:rPr>
          <w:rFonts w:cs="宋体"/>
          <w:sz w:val="24"/>
        </w:rPr>
      </w:pPr>
      <w:r>
        <w:rPr>
          <w:rFonts w:hint="eastAsia" w:cs="宋体"/>
          <w:sz w:val="24"/>
        </w:rPr>
        <w:t>（4）编写评审报告。</w:t>
      </w:r>
    </w:p>
    <w:p>
      <w:pPr>
        <w:spacing w:line="360" w:lineRule="auto"/>
        <w:ind w:firstLine="480" w:firstLineChars="200"/>
        <w:jc w:val="left"/>
        <w:rPr>
          <w:rFonts w:cs="宋体"/>
          <w:sz w:val="24"/>
        </w:rPr>
      </w:pPr>
      <w:r>
        <w:rPr>
          <w:rFonts w:hint="eastAsia" w:cs="宋体"/>
          <w:sz w:val="24"/>
        </w:rPr>
        <w:t>评审小组按本章第4.2款规定推荐候选成交供应商或按本章第5.2.1(3）规定提出终止采购建议，并向采购人提交书面评审报告。</w:t>
      </w:r>
    </w:p>
    <w:p>
      <w:pPr>
        <w:spacing w:line="360" w:lineRule="auto"/>
        <w:ind w:firstLine="480" w:firstLineChars="200"/>
        <w:jc w:val="left"/>
        <w:outlineLvl w:val="1"/>
        <w:rPr>
          <w:rFonts w:cs="宋体"/>
          <w:sz w:val="24"/>
        </w:rPr>
      </w:pPr>
      <w:bookmarkStart w:id="312" w:name="_Toc406"/>
      <w:bookmarkStart w:id="313" w:name="_Toc5827"/>
      <w:r>
        <w:rPr>
          <w:rFonts w:hint="eastAsia" w:cs="宋体"/>
          <w:sz w:val="24"/>
        </w:rPr>
        <w:t>5.2.2参照直接采购方式评审</w:t>
      </w:r>
      <w:bookmarkEnd w:id="312"/>
      <w:bookmarkEnd w:id="313"/>
    </w:p>
    <w:p>
      <w:pPr>
        <w:spacing w:line="360" w:lineRule="auto"/>
        <w:ind w:firstLine="480" w:firstLineChars="200"/>
        <w:jc w:val="left"/>
        <w:rPr>
          <w:rFonts w:cs="宋体"/>
          <w:sz w:val="24"/>
        </w:rPr>
      </w:pPr>
      <w:r>
        <w:rPr>
          <w:rFonts w:hint="eastAsia" w:cs="宋体"/>
          <w:sz w:val="24"/>
        </w:rPr>
        <w:t>（1）谈判。</w:t>
      </w:r>
    </w:p>
    <w:p>
      <w:pPr>
        <w:spacing w:line="360" w:lineRule="auto"/>
        <w:ind w:firstLine="480" w:firstLineChars="200"/>
        <w:jc w:val="left"/>
        <w:rPr>
          <w:rFonts w:cs="宋体"/>
          <w:sz w:val="24"/>
        </w:rPr>
      </w:pPr>
      <w:r>
        <w:rPr>
          <w:rFonts w:hint="eastAsia" w:cs="宋体"/>
          <w:sz w:val="24"/>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pPr>
        <w:spacing w:line="360" w:lineRule="auto"/>
        <w:ind w:firstLine="480" w:firstLineChars="200"/>
        <w:jc w:val="left"/>
        <w:rPr>
          <w:rFonts w:cs="宋体"/>
          <w:sz w:val="24"/>
        </w:rPr>
      </w:pPr>
      <w:r>
        <w:rPr>
          <w:rFonts w:hint="eastAsia" w:cs="宋体"/>
          <w:sz w:val="24"/>
        </w:rPr>
        <w:t>（2）详细评审。</w:t>
      </w:r>
    </w:p>
    <w:p>
      <w:pPr>
        <w:spacing w:line="360" w:lineRule="auto"/>
        <w:ind w:firstLine="480" w:firstLineChars="200"/>
        <w:jc w:val="left"/>
        <w:rPr>
          <w:rFonts w:cs="宋体"/>
          <w:sz w:val="24"/>
        </w:rPr>
      </w:pPr>
      <w:r>
        <w:rPr>
          <w:rFonts w:hint="eastAsia" w:cs="宋体"/>
          <w:sz w:val="24"/>
        </w:rPr>
        <w:t>评审小组通过对采购成本、供应能力、风险管控、采购目标等的分析，对供应商拟提供标的的技术、商务进行物有所值综合评价。</w:t>
      </w:r>
    </w:p>
    <w:p>
      <w:pPr>
        <w:spacing w:line="360" w:lineRule="auto"/>
        <w:ind w:firstLine="480" w:firstLineChars="200"/>
        <w:jc w:val="left"/>
        <w:rPr>
          <w:rFonts w:cs="宋体"/>
          <w:sz w:val="24"/>
        </w:rPr>
      </w:pPr>
      <w:r>
        <w:rPr>
          <w:rFonts w:hint="eastAsia" w:cs="宋体"/>
          <w:sz w:val="24"/>
        </w:rPr>
        <w:t>（3）编写评审报告。</w:t>
      </w:r>
    </w:p>
    <w:p>
      <w:pPr>
        <w:spacing w:line="360" w:lineRule="auto"/>
        <w:ind w:firstLine="480" w:firstLineChars="200"/>
        <w:jc w:val="left"/>
        <w:rPr>
          <w:rFonts w:cs="宋体"/>
          <w:sz w:val="24"/>
        </w:rPr>
      </w:pPr>
      <w:r>
        <w:rPr>
          <w:rFonts w:hint="eastAsia" w:cs="宋体"/>
          <w:sz w:val="24"/>
        </w:rPr>
        <w:t>评审小组根据预期的谈判目标综合谈判纪要编写评审报告，推荐候选成交供应商或提出谈判终止建议。</w:t>
      </w:r>
    </w:p>
    <w:p>
      <w:pPr>
        <w:rPr>
          <w:color w:val="auto"/>
          <w:sz w:val="24"/>
          <w:szCs w:val="24"/>
        </w:rPr>
      </w:pPr>
    </w:p>
    <w:p>
      <w:r>
        <w:br w:type="page"/>
      </w:r>
      <w:bookmarkStart w:id="314" w:name="_Toc260305395"/>
    </w:p>
    <w:p>
      <w:pPr>
        <w:pStyle w:val="3"/>
        <w:jc w:val="center"/>
      </w:pPr>
      <w:bookmarkStart w:id="315" w:name="_Toc11137"/>
      <w:bookmarkStart w:id="316" w:name="_Toc15285"/>
      <w:bookmarkStart w:id="317" w:name="_Toc5228"/>
      <w:bookmarkStart w:id="318" w:name="_Toc11925127"/>
      <w:r>
        <w:rPr>
          <w:rFonts w:hint="eastAsia"/>
          <w:sz w:val="32"/>
          <w:szCs w:val="32"/>
        </w:rPr>
        <w:t>第四章  合同条款及格式</w:t>
      </w:r>
      <w:bookmarkEnd w:id="315"/>
      <w:bookmarkEnd w:id="316"/>
      <w:bookmarkEnd w:id="317"/>
      <w:bookmarkEnd w:id="318"/>
    </w:p>
    <w:bookmarkEnd w:id="314"/>
    <w:p>
      <w:pPr>
        <w:spacing w:line="360" w:lineRule="auto"/>
        <w:ind w:firstLine="420"/>
        <w:rPr>
          <w:sz w:val="24"/>
        </w:rPr>
      </w:pPr>
      <w:bookmarkStart w:id="319" w:name="_Toc260305645"/>
      <w:bookmarkStart w:id="320" w:name="_Toc11925140"/>
      <w:bookmarkStart w:id="321" w:name="_Toc201287629"/>
    </w:p>
    <w:bookmarkEnd w:id="319"/>
    <w:bookmarkEnd w:id="320"/>
    <w:bookmarkEnd w:id="321"/>
    <w:p>
      <w:pPr>
        <w:spacing w:line="360" w:lineRule="auto"/>
        <w:rPr>
          <w:rFonts w:cs="宋体"/>
          <w:color w:val="auto"/>
        </w:rPr>
      </w:pPr>
    </w:p>
    <w:p>
      <w:pPr>
        <w:pStyle w:val="13"/>
        <w:ind w:firstLine="2600" w:firstLineChars="500"/>
        <w:rPr>
          <w:rFonts w:cs="宋体"/>
          <w:color w:val="auto"/>
          <w:sz w:val="52"/>
          <w:szCs w:val="52"/>
        </w:rPr>
      </w:pPr>
      <w:r>
        <w:rPr>
          <w:rFonts w:hint="eastAsia" w:cs="宋体"/>
          <w:color w:val="auto"/>
          <w:sz w:val="52"/>
          <w:szCs w:val="52"/>
        </w:rPr>
        <w:t>项目合同书</w:t>
      </w:r>
    </w:p>
    <w:p/>
    <w:p>
      <w:pPr>
        <w:spacing w:line="360" w:lineRule="auto"/>
        <w:ind w:firstLine="400"/>
        <w:rPr>
          <w:rFonts w:cs="宋体"/>
          <w:color w:val="auto"/>
        </w:rPr>
      </w:pPr>
    </w:p>
    <w:p>
      <w:pPr>
        <w:spacing w:line="360" w:lineRule="auto"/>
        <w:ind w:firstLine="400"/>
        <w:rPr>
          <w:rFonts w:cs="宋体"/>
          <w:color w:val="auto"/>
        </w:rPr>
      </w:pPr>
    </w:p>
    <w:p>
      <w:pPr>
        <w:spacing w:line="360" w:lineRule="auto"/>
        <w:ind w:firstLine="400"/>
        <w:rPr>
          <w:rFonts w:cs="宋体"/>
          <w:color w:val="auto"/>
        </w:rPr>
      </w:pPr>
    </w:p>
    <w:p>
      <w:pPr>
        <w:spacing w:line="360" w:lineRule="auto"/>
        <w:rPr>
          <w:rFonts w:cs="宋体"/>
          <w:color w:val="auto"/>
        </w:rPr>
      </w:pPr>
    </w:p>
    <w:p>
      <w:pPr>
        <w:spacing w:line="360" w:lineRule="auto"/>
        <w:rPr>
          <w:rFonts w:cs="宋体"/>
          <w:color w:val="auto"/>
        </w:rPr>
      </w:pPr>
    </w:p>
    <w:p>
      <w:pPr>
        <w:spacing w:line="360" w:lineRule="auto"/>
        <w:ind w:left="2249" w:hanging="2249" w:hangingChars="800"/>
        <w:rPr>
          <w:rFonts w:cs="宋体"/>
          <w:b/>
          <w:color w:val="auto"/>
          <w:sz w:val="28"/>
          <w:szCs w:val="28"/>
          <w:u w:val="single"/>
        </w:rPr>
      </w:pPr>
      <w:r>
        <w:rPr>
          <w:rFonts w:hint="eastAsia" w:cs="宋体"/>
          <w:b/>
          <w:color w:val="auto"/>
          <w:sz w:val="28"/>
          <w:szCs w:val="28"/>
        </w:rPr>
        <w:t>项目名称：</w:t>
      </w:r>
      <w:r>
        <w:rPr>
          <w:rFonts w:hint="eastAsia" w:cs="宋体"/>
          <w:b/>
          <w:color w:val="auto"/>
          <w:sz w:val="28"/>
          <w:szCs w:val="28"/>
          <w:u w:val="single"/>
          <w:lang w:val="en-US" w:eastAsia="zh-CN"/>
        </w:rPr>
        <w:t>青海民族大学采购安装经管大楼和艺术大楼室内窗帘项目</w:t>
      </w:r>
      <w:r>
        <w:rPr>
          <w:rFonts w:hint="eastAsia" w:cs="宋体"/>
          <w:b/>
          <w:color w:val="auto"/>
          <w:sz w:val="28"/>
          <w:szCs w:val="28"/>
          <w:u w:val="single"/>
          <w:lang w:val="zh-CN"/>
        </w:rPr>
        <w:t xml:space="preserve">      </w:t>
      </w:r>
      <w:r>
        <w:rPr>
          <w:rFonts w:hint="eastAsia" w:cs="宋体"/>
          <w:b/>
          <w:color w:val="auto"/>
          <w:sz w:val="28"/>
          <w:szCs w:val="28"/>
          <w:u w:val="single"/>
        </w:rPr>
        <w:t xml:space="preserve">                                          </w:t>
      </w:r>
    </w:p>
    <w:p>
      <w:pPr>
        <w:spacing w:line="360" w:lineRule="auto"/>
        <w:rPr>
          <w:rFonts w:cs="宋体"/>
          <w:b/>
          <w:color w:val="auto"/>
          <w:sz w:val="28"/>
          <w:szCs w:val="28"/>
          <w:u w:val="single"/>
        </w:rPr>
      </w:pPr>
      <w:r>
        <w:rPr>
          <w:rFonts w:hint="eastAsia" w:cs="宋体"/>
          <w:b/>
          <w:color w:val="auto"/>
          <w:sz w:val="28"/>
          <w:szCs w:val="28"/>
        </w:rPr>
        <w:t>项目编号：</w:t>
      </w:r>
      <w:r>
        <w:rPr>
          <w:rFonts w:hint="eastAsia" w:cs="宋体"/>
          <w:b/>
          <w:color w:val="auto"/>
          <w:sz w:val="28"/>
          <w:szCs w:val="28"/>
          <w:u w:val="single"/>
        </w:rPr>
        <w:t xml:space="preserve">       </w:t>
      </w:r>
      <w:r>
        <w:rPr>
          <w:rFonts w:hint="eastAsia" w:cs="宋体"/>
          <w:b/>
          <w:color w:val="auto"/>
          <w:sz w:val="28"/>
          <w:szCs w:val="28"/>
          <w:u w:val="single"/>
          <w:lang w:val="zh-CN"/>
        </w:rPr>
        <w:t>QHZX-询比（货物）2022-0</w:t>
      </w:r>
      <w:r>
        <w:rPr>
          <w:rFonts w:hint="eastAsia" w:cs="宋体"/>
          <w:b/>
          <w:color w:val="auto"/>
          <w:sz w:val="28"/>
          <w:szCs w:val="28"/>
          <w:u w:val="single"/>
          <w:lang w:val="en-US" w:eastAsia="zh-CN"/>
        </w:rPr>
        <w:t>54</w:t>
      </w:r>
      <w:r>
        <w:rPr>
          <w:rFonts w:hint="eastAsia" w:cs="宋体"/>
          <w:b/>
          <w:color w:val="auto"/>
          <w:sz w:val="28"/>
          <w:szCs w:val="28"/>
          <w:u w:val="single"/>
        </w:rPr>
        <w:t xml:space="preserve">                       </w:t>
      </w:r>
    </w:p>
    <w:p>
      <w:pPr>
        <w:spacing w:line="360" w:lineRule="auto"/>
        <w:rPr>
          <w:rFonts w:cs="宋体"/>
          <w:b/>
          <w:color w:val="auto"/>
          <w:sz w:val="28"/>
          <w:szCs w:val="28"/>
        </w:rPr>
      </w:pPr>
      <w:r>
        <w:rPr>
          <w:rFonts w:hint="eastAsia" w:cs="宋体"/>
          <w:b/>
          <w:color w:val="auto"/>
          <w:sz w:val="28"/>
          <w:szCs w:val="28"/>
        </w:rPr>
        <w:t>合同编号：</w:t>
      </w:r>
      <w:r>
        <w:rPr>
          <w:rFonts w:hint="eastAsia" w:cs="宋体"/>
          <w:b/>
          <w:color w:val="auto"/>
          <w:sz w:val="28"/>
          <w:szCs w:val="28"/>
          <w:u w:val="single"/>
        </w:rPr>
        <w:t xml:space="preserve">       </w:t>
      </w:r>
      <w:r>
        <w:rPr>
          <w:rFonts w:hint="eastAsia" w:cs="宋体"/>
          <w:b/>
          <w:color w:val="auto"/>
          <w:sz w:val="28"/>
          <w:szCs w:val="28"/>
          <w:u w:val="single"/>
          <w:lang w:eastAsia="zh-CN"/>
        </w:rPr>
        <w:t>QHZX-2022-0</w:t>
      </w:r>
      <w:r>
        <w:rPr>
          <w:rFonts w:hint="eastAsia" w:cs="宋体"/>
          <w:b/>
          <w:color w:val="auto"/>
          <w:sz w:val="28"/>
          <w:szCs w:val="28"/>
          <w:u w:val="single"/>
          <w:lang w:val="en-US" w:eastAsia="zh-CN"/>
        </w:rPr>
        <w:t>54</w:t>
      </w:r>
      <w:r>
        <w:rPr>
          <w:rFonts w:hint="eastAsia" w:cs="宋体"/>
          <w:b/>
          <w:color w:val="auto"/>
          <w:sz w:val="28"/>
          <w:szCs w:val="28"/>
          <w:u w:val="single"/>
        </w:rPr>
        <w:t xml:space="preserve">       </w:t>
      </w:r>
      <w:r>
        <w:rPr>
          <w:rFonts w:hint="eastAsia" w:cs="宋体"/>
          <w:b/>
          <w:color w:val="auto"/>
          <w:sz w:val="28"/>
          <w:szCs w:val="28"/>
          <w:u w:val="single"/>
          <w:lang w:val="en-US" w:eastAsia="zh-CN"/>
        </w:rPr>
        <w:t xml:space="preserve">           </w:t>
      </w:r>
      <w:r>
        <w:rPr>
          <w:rFonts w:hint="eastAsia" w:cs="宋体"/>
          <w:b/>
          <w:color w:val="auto"/>
          <w:sz w:val="28"/>
          <w:szCs w:val="28"/>
          <w:u w:val="single"/>
        </w:rPr>
        <w:t xml:space="preserve">           </w:t>
      </w:r>
    </w:p>
    <w:p>
      <w:pPr>
        <w:spacing w:line="360" w:lineRule="auto"/>
        <w:jc w:val="left"/>
        <w:rPr>
          <w:rFonts w:cs="宋体"/>
          <w:b/>
          <w:color w:val="auto"/>
          <w:sz w:val="28"/>
          <w:szCs w:val="28"/>
        </w:rPr>
      </w:pPr>
      <w:r>
        <w:rPr>
          <w:rFonts w:hint="eastAsia" w:cs="宋体"/>
          <w:b/>
          <w:color w:val="auto"/>
          <w:sz w:val="28"/>
          <w:szCs w:val="28"/>
        </w:rPr>
        <w:t>招标人（甲方）：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jc w:val="left"/>
        <w:rPr>
          <w:rFonts w:cs="宋体"/>
          <w:b/>
          <w:color w:val="auto"/>
          <w:sz w:val="28"/>
          <w:szCs w:val="28"/>
          <w:u w:val="single"/>
        </w:rPr>
      </w:pPr>
      <w:r>
        <w:rPr>
          <w:rFonts w:hint="eastAsia" w:cs="宋体"/>
          <w:b/>
          <w:color w:val="auto"/>
          <w:sz w:val="28"/>
          <w:szCs w:val="28"/>
        </w:rPr>
        <w:t>成交供应商（乙方）：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rPr>
          <w:rFonts w:cs="宋体"/>
          <w:b/>
          <w:color w:val="auto"/>
          <w:sz w:val="28"/>
          <w:szCs w:val="28"/>
        </w:rPr>
      </w:pPr>
      <w:r>
        <w:rPr>
          <w:rFonts w:hint="eastAsia" w:cs="宋体"/>
          <w:b/>
          <w:color w:val="auto"/>
          <w:sz w:val="28"/>
          <w:szCs w:val="28"/>
        </w:rPr>
        <w:t>采购日期：</w:t>
      </w:r>
      <w:r>
        <w:rPr>
          <w:rFonts w:hint="eastAsia" w:cs="宋体"/>
          <w:b/>
          <w:color w:val="auto"/>
          <w:sz w:val="28"/>
          <w:szCs w:val="28"/>
          <w:u w:val="single"/>
        </w:rPr>
        <w:t xml:space="preserve">                                                    </w:t>
      </w:r>
    </w:p>
    <w:p>
      <w:pPr>
        <w:autoSpaceDE w:val="0"/>
        <w:autoSpaceDN w:val="0"/>
        <w:adjustRightInd w:val="0"/>
        <w:spacing w:line="360" w:lineRule="auto"/>
        <w:ind w:firstLine="402"/>
        <w:jc w:val="left"/>
        <w:rPr>
          <w:rFonts w:cs="宋体"/>
          <w:b/>
          <w:color w:val="auto"/>
          <w:sz w:val="28"/>
          <w:szCs w:val="28"/>
        </w:rPr>
      </w:pPr>
      <w:r>
        <w:rPr>
          <w:rFonts w:hint="eastAsia" w:cs="宋体"/>
          <w:b/>
          <w:color w:val="auto"/>
        </w:rPr>
        <w:br w:type="page"/>
      </w:r>
      <w:r>
        <w:rPr>
          <w:rFonts w:hint="eastAsia" w:cs="宋体"/>
          <w:b/>
          <w:color w:val="auto"/>
          <w:sz w:val="28"/>
          <w:szCs w:val="28"/>
        </w:rPr>
        <w:t xml:space="preserve">采 购 </w:t>
      </w:r>
      <w:r>
        <w:rPr>
          <w:rFonts w:hint="eastAsia" w:cs="宋体"/>
          <w:b/>
          <w:color w:val="auto"/>
          <w:sz w:val="28"/>
          <w:szCs w:val="28"/>
          <w:lang w:val="zh-CN"/>
        </w:rPr>
        <w:t>人（以下简称甲方）：</w:t>
      </w:r>
    </w:p>
    <w:p>
      <w:pPr>
        <w:autoSpaceDE w:val="0"/>
        <w:autoSpaceDN w:val="0"/>
        <w:adjustRightInd w:val="0"/>
        <w:spacing w:line="360" w:lineRule="auto"/>
        <w:ind w:firstLine="402"/>
        <w:jc w:val="left"/>
        <w:rPr>
          <w:rFonts w:cs="宋体"/>
          <w:color w:val="auto"/>
          <w:sz w:val="28"/>
          <w:szCs w:val="28"/>
        </w:rPr>
      </w:pPr>
      <w:r>
        <w:rPr>
          <w:rFonts w:hint="eastAsia" w:cs="宋体"/>
          <w:b/>
          <w:color w:val="auto"/>
          <w:sz w:val="28"/>
          <w:szCs w:val="28"/>
          <w:lang w:val="zh-CN"/>
        </w:rPr>
        <w:t>供</w:t>
      </w:r>
      <w:r>
        <w:rPr>
          <w:rFonts w:hint="eastAsia" w:cs="宋体"/>
          <w:b/>
          <w:color w:val="auto"/>
          <w:sz w:val="28"/>
          <w:szCs w:val="28"/>
        </w:rPr>
        <w:t xml:space="preserve"> </w:t>
      </w:r>
      <w:r>
        <w:rPr>
          <w:rFonts w:hint="eastAsia" w:cs="宋体"/>
          <w:b/>
          <w:color w:val="auto"/>
          <w:sz w:val="28"/>
          <w:szCs w:val="28"/>
          <w:lang w:val="zh-CN"/>
        </w:rPr>
        <w:t>应</w:t>
      </w:r>
      <w:r>
        <w:rPr>
          <w:rFonts w:hint="eastAsia" w:cs="宋体"/>
          <w:b/>
          <w:color w:val="auto"/>
          <w:sz w:val="28"/>
          <w:szCs w:val="28"/>
        </w:rPr>
        <w:t xml:space="preserve"> </w:t>
      </w:r>
      <w:r>
        <w:rPr>
          <w:rFonts w:hint="eastAsia" w:cs="宋体"/>
          <w:b/>
          <w:color w:val="auto"/>
          <w:sz w:val="28"/>
          <w:szCs w:val="28"/>
          <w:lang w:val="zh-CN"/>
        </w:rPr>
        <w:t>商（以下简称乙方）：</w:t>
      </w:r>
    </w:p>
    <w:p>
      <w:pPr>
        <w:pStyle w:val="20"/>
        <w:ind w:firstLine="480"/>
        <w:rPr>
          <w:rFonts w:cs="宋体"/>
          <w:i w:val="0"/>
          <w:iCs w:val="0"/>
          <w:color w:val="auto"/>
          <w:sz w:val="24"/>
          <w:lang w:val="zh-CN"/>
        </w:rPr>
      </w:pPr>
      <w:r>
        <w:rPr>
          <w:rFonts w:hint="eastAsia" w:cs="宋体"/>
          <w:i w:val="0"/>
          <w:iCs w:val="0"/>
          <w:color w:val="auto"/>
          <w:sz w:val="24"/>
          <w:lang w:val="zh-CN"/>
        </w:rPr>
        <w:t>甲、乙双方根据“</w:t>
      </w:r>
      <w:r>
        <w:rPr>
          <w:rFonts w:hint="eastAsia" w:cs="宋体"/>
          <w:i w:val="0"/>
          <w:iCs w:val="0"/>
          <w:color w:val="auto"/>
          <w:sz w:val="24"/>
        </w:rPr>
        <w:t>*************</w:t>
      </w:r>
      <w:r>
        <w:rPr>
          <w:rFonts w:hint="eastAsia" w:cs="宋体"/>
          <w:i w:val="0"/>
          <w:iCs w:val="0"/>
          <w:color w:val="auto"/>
          <w:sz w:val="24"/>
          <w:lang w:val="zh-CN"/>
        </w:rPr>
        <w:t>”项目（项目编号：</w:t>
      </w:r>
      <w:r>
        <w:rPr>
          <w:rFonts w:hint="eastAsia" w:cs="宋体"/>
          <w:i w:val="0"/>
          <w:iCs w:val="0"/>
          <w:color w:val="auto"/>
          <w:sz w:val="24"/>
        </w:rPr>
        <w:t>**********</w:t>
      </w:r>
      <w:r>
        <w:rPr>
          <w:rFonts w:hint="eastAsia" w:cs="宋体"/>
          <w:i w:val="0"/>
          <w:iCs w:val="0"/>
          <w:color w:val="auto"/>
          <w:sz w:val="24"/>
          <w:lang w:val="zh-CN"/>
        </w:rPr>
        <w:t>）的询比采购文件要求和</w:t>
      </w:r>
      <w:r>
        <w:rPr>
          <w:rFonts w:hint="eastAsia" w:cs="宋体"/>
          <w:i w:val="0"/>
          <w:iCs w:val="0"/>
          <w:color w:val="auto"/>
          <w:sz w:val="24"/>
        </w:rPr>
        <w:t>采购</w:t>
      </w:r>
      <w:r>
        <w:rPr>
          <w:rFonts w:hint="eastAsia" w:cs="宋体"/>
          <w:i w:val="0"/>
          <w:iCs w:val="0"/>
          <w:color w:val="auto"/>
          <w:sz w:val="24"/>
          <w:lang w:val="zh-CN"/>
        </w:rPr>
        <w:t>代理机构出具的《成交通知书》，并经双方协商一致，签订本合同协议书。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一、签订本采购合同的依据</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本采购合同所附下列文件是构成本采购合同不可分割的部分：</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1. 询比采购文件；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2. 询比采购文件的更正、变更公告；</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3.成交人提交的响应文件；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4. 询比采购文件中规定的采购合同通用条款；</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5.成交通知书；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6.履约保证金缴费证明。</w:t>
      </w:r>
    </w:p>
    <w:p>
      <w:pPr>
        <w:autoSpaceDE w:val="0"/>
        <w:autoSpaceDN w:val="0"/>
        <w:adjustRightInd w:val="0"/>
        <w:spacing w:line="360" w:lineRule="auto"/>
        <w:ind w:firstLine="480" w:firstLineChars="200"/>
        <w:rPr>
          <w:rFonts w:hint="eastAsia" w:cs="宋体"/>
          <w:sz w:val="24"/>
          <w:lang w:val="zh-CN"/>
        </w:rPr>
      </w:pPr>
    </w:p>
    <w:p>
      <w:pPr>
        <w:autoSpaceDE w:val="0"/>
        <w:autoSpaceDN w:val="0"/>
        <w:adjustRightInd w:val="0"/>
        <w:spacing w:line="360" w:lineRule="auto"/>
        <w:ind w:firstLine="480" w:firstLineChars="200"/>
        <w:rPr>
          <w:rFonts w:cs="宋体"/>
          <w:sz w:val="24"/>
          <w:lang w:val="zh-CN"/>
        </w:rPr>
      </w:pPr>
      <w:r>
        <w:rPr>
          <w:rFonts w:hint="eastAsia" w:cs="宋体"/>
          <w:sz w:val="24"/>
          <w:lang w:val="zh-CN"/>
        </w:rPr>
        <w:t>二、</w:t>
      </w:r>
      <w:r>
        <w:rPr>
          <w:rFonts w:hint="eastAsia" w:cs="宋体"/>
          <w:sz w:val="24"/>
        </w:rPr>
        <w:t xml:space="preserve"> </w:t>
      </w:r>
      <w:r>
        <w:rPr>
          <w:rFonts w:hint="eastAsia" w:cs="宋体"/>
          <w:sz w:val="24"/>
          <w:lang w:val="en-US" w:eastAsia="zh-CN"/>
        </w:rPr>
        <w:t xml:space="preserve">合同标的及金额  </w:t>
      </w:r>
      <w:r>
        <w:rPr>
          <w:rFonts w:hint="eastAsia" w:cs="宋体"/>
          <w:sz w:val="24"/>
          <w:lang w:val="zh-CN"/>
        </w:rPr>
        <w:t xml:space="preserve">                               单位：元</w:t>
      </w:r>
    </w:p>
    <w:tbl>
      <w:tblPr>
        <w:tblStyle w:val="48"/>
        <w:tblpPr w:leftFromText="180" w:rightFromText="180" w:vertAnchor="text" w:horzAnchor="page" w:tblpX="972" w:tblpY="118"/>
        <w:tblOverlap w:val="never"/>
        <w:tblW w:w="9201"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035"/>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035"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autoSpaceDE w:val="0"/>
        <w:autoSpaceDN w:val="0"/>
        <w:adjustRightInd w:val="0"/>
        <w:spacing w:line="360" w:lineRule="auto"/>
        <w:ind w:firstLine="480" w:firstLineChars="200"/>
        <w:rPr>
          <w:rFonts w:cs="宋体"/>
          <w:sz w:val="24"/>
          <w:lang w:val="zh-CN"/>
        </w:rPr>
      </w:pPr>
      <w:r>
        <w:rPr>
          <w:rFonts w:hint="eastAsia" w:cs="宋体"/>
          <w:sz w:val="24"/>
          <w:lang w:val="zh-CN"/>
        </w:rPr>
        <w:t>根据上述采购合同文件要求，本采购合同的总</w:t>
      </w:r>
      <w:r>
        <w:rPr>
          <w:rFonts w:hint="eastAsia" w:cs="宋体"/>
          <w:sz w:val="24"/>
        </w:rPr>
        <w:t>单价</w:t>
      </w:r>
      <w:r>
        <w:rPr>
          <w:rFonts w:hint="eastAsia" w:cs="宋体"/>
          <w:sz w:val="24"/>
          <w:lang w:val="zh-CN"/>
        </w:rPr>
        <w:t>为人民币</w:t>
      </w:r>
      <w:r>
        <w:rPr>
          <w:rFonts w:hint="eastAsia" w:cs="宋体"/>
          <w:sz w:val="24"/>
          <w:u w:val="single"/>
          <w:lang w:val="zh-CN"/>
        </w:rPr>
        <w:t xml:space="preserve">       </w:t>
      </w:r>
      <w:r>
        <w:rPr>
          <w:rFonts w:hint="eastAsia" w:cs="宋体"/>
          <w:sz w:val="24"/>
          <w:lang w:val="zh-CN"/>
        </w:rPr>
        <w:t xml:space="preserve">  </w:t>
      </w:r>
      <w:r>
        <w:rPr>
          <w:rFonts w:hint="eastAsia" w:cs="宋体"/>
          <w:sz w:val="24"/>
          <w:u w:val="single"/>
          <w:lang w:val="zh-CN"/>
        </w:rPr>
        <w:t xml:space="preserve">             </w:t>
      </w:r>
      <w:r>
        <w:rPr>
          <w:rFonts w:hint="eastAsia" w:cs="宋体"/>
          <w:sz w:val="24"/>
          <w:lang w:val="zh-CN"/>
        </w:rPr>
        <w:t xml:space="preserve"> （大写）</w:t>
      </w:r>
      <w:r>
        <w:rPr>
          <w:rFonts w:hint="eastAsia" w:cs="宋体"/>
          <w:sz w:val="24"/>
          <w:u w:val="single"/>
          <w:lang w:val="zh-CN"/>
        </w:rPr>
        <w:t xml:space="preserve">                 </w:t>
      </w:r>
      <w:r>
        <w:rPr>
          <w:rFonts w:hint="eastAsia" w:cs="宋体"/>
          <w:sz w:val="24"/>
          <w:lang w:val="zh-CN"/>
        </w:rPr>
        <w:t>元。</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本合同以人民币进行结算，合同总价包括：产品费、验收费、手续费、包装费、运输费、售前、售中、售后服务费、</w:t>
      </w:r>
      <w:r>
        <w:rPr>
          <w:rFonts w:hint="eastAsia" w:cs="宋体"/>
          <w:sz w:val="24"/>
        </w:rPr>
        <w:t>招标</w:t>
      </w:r>
      <w:r>
        <w:rPr>
          <w:rFonts w:hint="eastAsia" w:cs="宋体"/>
          <w:sz w:val="24"/>
          <w:lang w:val="zh-CN"/>
        </w:rPr>
        <w:t>代理费、税金及不可预见费等全部费用。</w:t>
      </w:r>
    </w:p>
    <w:p>
      <w:pPr>
        <w:autoSpaceDE w:val="0"/>
        <w:autoSpaceDN w:val="0"/>
        <w:adjustRightInd w:val="0"/>
        <w:spacing w:line="360" w:lineRule="auto"/>
        <w:ind w:firstLine="480" w:firstLineChars="200"/>
        <w:rPr>
          <w:rFonts w:cs="宋体"/>
          <w:sz w:val="24"/>
        </w:rPr>
      </w:pPr>
      <w:r>
        <w:rPr>
          <w:rFonts w:hint="eastAsia" w:cs="宋体"/>
          <w:sz w:val="24"/>
          <w:lang w:val="zh-CN"/>
        </w:rPr>
        <w:t>三、交货时间、地点和要求</w:t>
      </w:r>
    </w:p>
    <w:p>
      <w:pPr>
        <w:autoSpaceDE w:val="0"/>
        <w:autoSpaceDN w:val="0"/>
        <w:adjustRightInd w:val="0"/>
        <w:spacing w:line="360" w:lineRule="auto"/>
        <w:ind w:firstLine="480" w:firstLineChars="200"/>
        <w:rPr>
          <w:rFonts w:cs="宋体"/>
          <w:color w:val="000000" w:themeColor="text1"/>
          <w:kern w:val="0"/>
          <w:sz w:val="24"/>
          <w:szCs w:val="24"/>
          <w:highlight w:val="none"/>
          <w14:textFill>
            <w14:solidFill>
              <w14:schemeClr w14:val="tx1"/>
            </w14:solidFill>
          </w14:textFill>
        </w:rPr>
      </w:pPr>
      <w:r>
        <w:rPr>
          <w:rFonts w:hint="eastAsia" w:cs="宋体"/>
          <w:bCs/>
          <w:color w:val="auto"/>
          <w:sz w:val="24"/>
          <w:szCs w:val="24"/>
          <w:lang w:val="zh-CN"/>
        </w:rPr>
        <w:t>1</w:t>
      </w:r>
      <w:r>
        <w:rPr>
          <w:rFonts w:hint="eastAsia" w:cs="宋体"/>
          <w:bCs/>
          <w:color w:val="auto"/>
          <w:sz w:val="24"/>
          <w:szCs w:val="24"/>
          <w:highlight w:val="none"/>
          <w:lang w:val="zh-CN"/>
        </w:rPr>
        <w:t>.</w:t>
      </w:r>
      <w:r>
        <w:rPr>
          <w:rFonts w:hint="eastAsia" w:cs="宋体"/>
          <w:bCs/>
          <w:color w:val="000000" w:themeColor="text1"/>
          <w:sz w:val="24"/>
          <w:szCs w:val="24"/>
          <w:highlight w:val="none"/>
          <w14:textFill>
            <w14:solidFill>
              <w14:schemeClr w14:val="tx1"/>
            </w14:solidFill>
          </w14:textFill>
        </w:rPr>
        <w:t>交货</w:t>
      </w:r>
      <w:r>
        <w:rPr>
          <w:rFonts w:hint="eastAsia" w:cs="宋体"/>
          <w:color w:val="000000" w:themeColor="text1"/>
          <w:sz w:val="24"/>
          <w:szCs w:val="24"/>
          <w:highlight w:val="none"/>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签订合同后30天内</w:t>
      </w:r>
      <w:r>
        <w:rPr>
          <w:rFonts w:hint="eastAsia" w:cs="宋体"/>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480" w:firstLineChars="200"/>
        <w:rPr>
          <w:rFonts w:hint="default" w:eastAsia="宋体" w:cs="宋体"/>
          <w:bCs/>
          <w:iCs/>
          <w:color w:val="000000" w:themeColor="text1"/>
          <w:sz w:val="24"/>
          <w:szCs w:val="22"/>
          <w:highlight w:val="none"/>
          <w:lang w:val="en-US" w:eastAsia="zh-CN"/>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 xml:space="preserve"> </w:t>
      </w:r>
      <w:r>
        <w:rPr>
          <w:rFonts w:hint="eastAsia" w:cs="宋体"/>
          <w:color w:val="000000" w:themeColor="text1"/>
          <w:kern w:val="0"/>
          <w:sz w:val="24"/>
          <w:szCs w:val="24"/>
          <w:highlight w:val="none"/>
          <w:lang w:val="en-US" w:eastAsia="zh-CN"/>
          <w14:textFill>
            <w14:solidFill>
              <w14:schemeClr w14:val="tx1"/>
            </w14:solidFill>
          </w14:textFill>
        </w:rPr>
        <w:t xml:space="preserve"> </w:t>
      </w:r>
      <w:r>
        <w:rPr>
          <w:rFonts w:hint="eastAsia" w:cs="宋体"/>
          <w:color w:val="000000" w:themeColor="text1"/>
          <w:kern w:val="0"/>
          <w:sz w:val="24"/>
          <w:szCs w:val="24"/>
          <w:highlight w:val="none"/>
          <w14:textFill>
            <w14:solidFill>
              <w14:schemeClr w14:val="tx1"/>
            </w14:solidFill>
          </w14:textFill>
        </w:rPr>
        <w:t>交货地点：</w:t>
      </w:r>
      <w:r>
        <w:rPr>
          <w:rFonts w:hint="eastAsia" w:cs="宋体"/>
          <w:color w:val="000000" w:themeColor="text1"/>
          <w:kern w:val="0"/>
          <w:sz w:val="24"/>
          <w:szCs w:val="24"/>
          <w:highlight w:val="none"/>
          <w:lang w:val="en-US" w:eastAsia="zh-CN"/>
          <w14:textFill>
            <w14:solidFill>
              <w14:schemeClr w14:val="tx1"/>
            </w14:solidFill>
          </w14:textFill>
        </w:rPr>
        <w:t>青海民族大学</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乙方提供不符合响应文件和本合同规定的产品，甲方有权拒绝接受。</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甲方应当在到货后</w:t>
      </w:r>
      <w:r>
        <w:rPr>
          <w:rFonts w:hint="eastAsia" w:cs="宋体"/>
          <w:sz w:val="24"/>
          <w:u w:val="single"/>
        </w:rPr>
        <w:t>15</w:t>
      </w:r>
      <w:r>
        <w:rPr>
          <w:rFonts w:hint="eastAsia" w:cs="宋体"/>
          <w:sz w:val="24"/>
          <w:lang w:val="zh-CN"/>
        </w:rPr>
        <w:t>个工作日内进行验收，逾期不验收的，乙方可视为验收合格。验收合格后，由甲乙双方签署产品验收单并加盖</w:t>
      </w:r>
      <w:r>
        <w:rPr>
          <w:rFonts w:hint="eastAsia" w:cs="宋体"/>
          <w:sz w:val="24"/>
        </w:rPr>
        <w:t>招标人</w:t>
      </w:r>
      <w:r>
        <w:rPr>
          <w:rFonts w:hint="eastAsia" w:cs="宋体"/>
          <w:sz w:val="24"/>
          <w:lang w:val="zh-CN"/>
        </w:rPr>
        <w:t>公章，甲乙双方各执一份。</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甲方应提供该项目验收报告交监管部门，由</w:t>
      </w:r>
      <w:r>
        <w:rPr>
          <w:rFonts w:hint="eastAsia" w:cs="宋体"/>
          <w:sz w:val="24"/>
        </w:rPr>
        <w:t>监管</w:t>
      </w:r>
      <w:r>
        <w:rPr>
          <w:rFonts w:hint="eastAsia" w:cs="宋体"/>
          <w:sz w:val="24"/>
          <w:lang w:val="zh-CN"/>
        </w:rPr>
        <w:t>部门按规定程序抽验后办理资金拨付。</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甲方在验收过程中发现乙方有违约问题，可按招、响应文件的规定要求乙方及时予以解决。</w:t>
      </w:r>
    </w:p>
    <w:p>
      <w:pPr>
        <w:autoSpaceDE w:val="0"/>
        <w:autoSpaceDN w:val="0"/>
        <w:adjustRightInd w:val="0"/>
        <w:spacing w:line="360" w:lineRule="auto"/>
        <w:ind w:firstLine="480" w:firstLineChars="200"/>
        <w:rPr>
          <w:rFonts w:cs="宋体"/>
          <w:sz w:val="24"/>
          <w:highlight w:val="none"/>
        </w:rPr>
      </w:pPr>
      <w:r>
        <w:rPr>
          <w:rFonts w:hint="eastAsia" w:cs="宋体"/>
          <w:sz w:val="24"/>
          <w:highlight w:val="none"/>
        </w:rPr>
        <w:t>7.</w:t>
      </w:r>
      <w:r>
        <w:rPr>
          <w:rFonts w:hint="eastAsia" w:cs="宋体"/>
          <w:sz w:val="24"/>
          <w:highlight w:val="none"/>
          <w:lang w:val="zh-CN"/>
        </w:rPr>
        <w:t>乙方向甲方提供产品相关完税销售发票。</w:t>
      </w:r>
    </w:p>
    <w:p>
      <w:pPr>
        <w:autoSpaceDE w:val="0"/>
        <w:autoSpaceDN w:val="0"/>
        <w:adjustRightInd w:val="0"/>
        <w:spacing w:line="360" w:lineRule="auto"/>
        <w:ind w:firstLine="480" w:firstLineChars="200"/>
        <w:rPr>
          <w:rFonts w:hint="eastAsia" w:cs="宋体"/>
          <w:sz w:val="24"/>
          <w:highlight w:val="none"/>
          <w:lang w:val="zh-CN"/>
        </w:rPr>
      </w:pPr>
      <w:r>
        <w:rPr>
          <w:rFonts w:hint="eastAsia" w:cs="宋体"/>
          <w:sz w:val="24"/>
          <w:highlight w:val="none"/>
          <w:lang w:val="zh-CN"/>
        </w:rPr>
        <w:t>四、付款方式</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乙方所交付的产品由甲方验收，验收合格后由甲</w:t>
      </w:r>
      <w:r>
        <w:rPr>
          <w:rFonts w:hint="eastAsia" w:ascii="宋体" w:hAnsi="宋体" w:eastAsia="宋体" w:cs="宋体"/>
          <w:sz w:val="24"/>
          <w:highlight w:val="none"/>
          <w:lang w:val="en-US" w:eastAsia="zh-CN"/>
        </w:rPr>
        <w:t>方</w:t>
      </w:r>
      <w:r>
        <w:rPr>
          <w:rFonts w:hint="eastAsia" w:ascii="宋体" w:hAnsi="宋体" w:eastAsia="宋体" w:cs="宋体"/>
          <w:sz w:val="24"/>
          <w:highlight w:val="none"/>
          <w:lang w:val="zh-CN"/>
        </w:rPr>
        <w:t>按合同金额向乙方支付合同总价款的100%（付款方式及金额由采购人根据项目情况确定），即人民币（大写）：             元。</w:t>
      </w:r>
    </w:p>
    <w:p>
      <w:pPr>
        <w:autoSpaceDE w:val="0"/>
        <w:autoSpaceDN w:val="0"/>
        <w:adjustRightInd w:val="0"/>
        <w:spacing w:line="360" w:lineRule="auto"/>
        <w:ind w:firstLine="480" w:firstLineChars="200"/>
        <w:rPr>
          <w:lang w:val="zh-CN"/>
        </w:rPr>
      </w:pPr>
      <w:r>
        <w:rPr>
          <w:rFonts w:hint="eastAsia" w:ascii="宋体" w:hAnsi="宋体" w:eastAsia="宋体" w:cs="宋体"/>
          <w:sz w:val="24"/>
          <w:highlight w:val="none"/>
          <w:lang w:val="zh-CN"/>
        </w:rPr>
        <w:t>乙方向甲方提交的履约保证金计（大写）        元转为质量保证金。质量保证金待约定的免费质保期满     （年）且产品无质量问题后，由乙方提出书面申请，甲方以转账方式予以退还。</w:t>
      </w:r>
    </w:p>
    <w:p>
      <w:pPr>
        <w:autoSpaceDE w:val="0"/>
        <w:autoSpaceDN w:val="0"/>
        <w:adjustRightInd w:val="0"/>
        <w:spacing w:line="360" w:lineRule="auto"/>
        <w:ind w:firstLine="480" w:firstLineChars="200"/>
        <w:rPr>
          <w:rFonts w:cs="宋体"/>
          <w:sz w:val="24"/>
          <w:szCs w:val="22"/>
          <w:lang w:val="zh-CN"/>
        </w:rPr>
      </w:pPr>
      <w:r>
        <w:rPr>
          <w:rFonts w:hint="eastAsia" w:cs="宋体"/>
          <w:sz w:val="24"/>
          <w:szCs w:val="22"/>
          <w:lang w:val="zh-CN"/>
        </w:rPr>
        <w:t>五、合同的变更、终止与转让</w:t>
      </w:r>
    </w:p>
    <w:p>
      <w:pPr>
        <w:autoSpaceDE w:val="0"/>
        <w:autoSpaceDN w:val="0"/>
        <w:adjustRightInd w:val="0"/>
        <w:spacing w:line="360" w:lineRule="auto"/>
        <w:ind w:firstLine="480" w:firstLineChars="200"/>
        <w:rPr>
          <w:rFonts w:cs="宋体"/>
          <w:sz w:val="24"/>
        </w:rPr>
      </w:pPr>
      <w:r>
        <w:rPr>
          <w:rFonts w:hint="eastAsia" w:cs="宋体"/>
          <w:sz w:val="24"/>
          <w:lang w:val="zh-CN"/>
        </w:rPr>
        <w:t>六、违约责任</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因包装、运输引起的货物损坏，按质量不合格处罚。</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甲方无故延期接受货物和乙方逾期交货的，每天应向对方偿付未交货物的货款</w:t>
      </w:r>
      <w:r>
        <w:rPr>
          <w:rFonts w:hint="eastAsia" w:cs="宋体"/>
          <w:sz w:val="24"/>
        </w:rPr>
        <w:t>3%</w:t>
      </w:r>
      <w:r>
        <w:rPr>
          <w:rFonts w:hint="eastAsia" w:cs="宋体"/>
          <w:sz w:val="24"/>
          <w:lang w:val="zh-CN"/>
        </w:rPr>
        <w:t>的违约金，但违约金累计不得超过违约货款的</w:t>
      </w:r>
      <w:r>
        <w:rPr>
          <w:rFonts w:hint="eastAsia" w:cs="宋体"/>
          <w:sz w:val="24"/>
        </w:rPr>
        <w:t>5%</w:t>
      </w:r>
      <w:r>
        <w:rPr>
          <w:rFonts w:hint="eastAsia" w:cs="宋体"/>
          <w:sz w:val="24"/>
          <w:lang w:val="zh-CN"/>
        </w:rPr>
        <w:t>，超过</w:t>
      </w:r>
      <w:r>
        <w:rPr>
          <w:rFonts w:hint="eastAsia" w:cs="宋体"/>
          <w:sz w:val="24"/>
          <w:u w:val="single"/>
        </w:rPr>
        <w:t>30</w:t>
      </w:r>
      <w:r>
        <w:rPr>
          <w:rFonts w:hint="eastAsia" w:cs="宋体"/>
          <w:sz w:val="24"/>
          <w:lang w:val="zh-CN"/>
        </w:rPr>
        <w:t>天对方有权解除合同，违约方承担因此给对方造成的经济损失</w:t>
      </w:r>
      <w:r>
        <w:rPr>
          <w:rFonts w:hint="eastAsia" w:cs="宋体"/>
          <w:sz w:val="24"/>
        </w:rPr>
        <w:t xml:space="preserve"> </w:t>
      </w:r>
      <w:r>
        <w:rPr>
          <w:rFonts w:hint="eastAsia" w:cs="宋体"/>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乙方未按本合同和响应文件中规定的服务承诺提供售后服务的，乙方应按本合同合计金额的</w:t>
      </w:r>
      <w:r>
        <w:rPr>
          <w:rFonts w:hint="eastAsia" w:cs="宋体"/>
          <w:sz w:val="24"/>
        </w:rPr>
        <w:t>5%</w:t>
      </w:r>
      <w:r>
        <w:rPr>
          <w:rFonts w:hint="eastAsia" w:cs="宋体"/>
          <w:sz w:val="24"/>
          <w:lang w:val="zh-CN"/>
        </w:rPr>
        <w:t>向甲方支付违约金。</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乙方提供的货物在质量保证期内，因设计、工艺或材料的缺陷和其它质量原因造成的问题，由乙方负责，费用从质保金中扣除，不足另补。</w:t>
      </w:r>
    </w:p>
    <w:p>
      <w:pPr>
        <w:autoSpaceDE w:val="0"/>
        <w:autoSpaceDN w:val="0"/>
        <w:adjustRightInd w:val="0"/>
        <w:spacing w:line="360" w:lineRule="auto"/>
        <w:ind w:firstLine="480" w:firstLineChars="200"/>
        <w:rPr>
          <w:rFonts w:cs="宋体"/>
          <w:sz w:val="24"/>
        </w:rPr>
      </w:pPr>
      <w:r>
        <w:rPr>
          <w:rFonts w:hint="eastAsia" w:cs="宋体"/>
          <w:sz w:val="24"/>
        </w:rPr>
        <w:t>7.</w:t>
      </w:r>
      <w:r>
        <w:rPr>
          <w:rFonts w:hint="eastAsia" w:cs="宋体"/>
          <w:sz w:val="24"/>
          <w:lang w:val="zh-CN"/>
        </w:rPr>
        <w:t>其它违约行为按违约货款额</w:t>
      </w:r>
      <w:r>
        <w:rPr>
          <w:rFonts w:hint="eastAsia" w:cs="宋体"/>
          <w:sz w:val="24"/>
        </w:rPr>
        <w:t>5%</w:t>
      </w:r>
      <w:r>
        <w:rPr>
          <w:rFonts w:hint="eastAsia" w:cs="宋体"/>
          <w:sz w:val="24"/>
          <w:lang w:val="zh-CN"/>
        </w:rPr>
        <w:t>收取违约金并赔偿经济损失。</w:t>
      </w:r>
    </w:p>
    <w:p>
      <w:pPr>
        <w:autoSpaceDE w:val="0"/>
        <w:autoSpaceDN w:val="0"/>
        <w:adjustRightInd w:val="0"/>
        <w:spacing w:line="360" w:lineRule="auto"/>
        <w:ind w:firstLine="480" w:firstLineChars="200"/>
        <w:rPr>
          <w:rFonts w:cs="宋体"/>
          <w:sz w:val="24"/>
        </w:rPr>
      </w:pPr>
      <w:r>
        <w:rPr>
          <w:rFonts w:hint="eastAsia" w:cs="宋体"/>
          <w:sz w:val="24"/>
          <w:lang w:val="zh-CN"/>
        </w:rPr>
        <w:t>七、不可抗力</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不可抗力使合同的某些内容有变更必要的，双方应通过协商在</w:t>
      </w:r>
      <w:r>
        <w:rPr>
          <w:rFonts w:hint="eastAsia" w:cs="宋体"/>
          <w:sz w:val="24"/>
          <w:u w:val="single"/>
        </w:rPr>
        <w:t>30</w:t>
      </w:r>
      <w:r>
        <w:rPr>
          <w:rFonts w:hint="eastAsia" w:cs="宋体"/>
          <w:sz w:val="24"/>
          <w:lang w:val="zh-CN"/>
        </w:rPr>
        <w:t>天内达成进一步履行合同的协议，因不可抗力致使合同不能履行的，合同终止。</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除法律、法规规定的不可抗力情形外，双方约定出现</w:t>
      </w:r>
      <w:r>
        <w:rPr>
          <w:rFonts w:hint="eastAsia" w:cs="宋体"/>
          <w:sz w:val="24"/>
          <w:u w:val="single"/>
          <w:lang w:val="zh-CN"/>
        </w:rPr>
        <w:t xml:space="preserve">  </w:t>
      </w:r>
      <w:r>
        <w:rPr>
          <w:rFonts w:hint="eastAsia" w:cs="宋体"/>
          <w:sz w:val="24"/>
          <w:u w:val="single"/>
        </w:rPr>
        <w:t xml:space="preserve">无  </w:t>
      </w:r>
      <w:r>
        <w:rPr>
          <w:rFonts w:hint="eastAsia" w:cs="宋体"/>
          <w:sz w:val="24"/>
          <w:lang w:val="zh-CN"/>
        </w:rPr>
        <w:t>情况亦视为不可抗力。</w:t>
      </w:r>
    </w:p>
    <w:p>
      <w:pPr>
        <w:autoSpaceDE w:val="0"/>
        <w:autoSpaceDN w:val="0"/>
        <w:adjustRightInd w:val="0"/>
        <w:spacing w:line="360" w:lineRule="auto"/>
        <w:ind w:firstLine="480" w:firstLineChars="200"/>
        <w:rPr>
          <w:rFonts w:cs="宋体"/>
          <w:sz w:val="24"/>
        </w:rPr>
      </w:pPr>
      <w:r>
        <w:rPr>
          <w:rFonts w:hint="eastAsia" w:cs="宋体"/>
          <w:sz w:val="24"/>
          <w:lang w:val="zh-CN"/>
        </w:rPr>
        <w:t>八、知识产权：</w:t>
      </w:r>
    </w:p>
    <w:p>
      <w:pPr>
        <w:autoSpaceDE w:val="0"/>
        <w:autoSpaceDN w:val="0"/>
        <w:adjustRightInd w:val="0"/>
        <w:spacing w:line="360" w:lineRule="auto"/>
        <w:ind w:firstLine="480" w:firstLineChars="200"/>
        <w:rPr>
          <w:rFonts w:cs="宋体"/>
          <w:sz w:val="24"/>
        </w:rPr>
      </w:pPr>
      <w:r>
        <w:rPr>
          <w:rFonts w:hint="eastAsia" w:cs="宋体"/>
          <w:sz w:val="24"/>
          <w:lang w:val="zh-CN"/>
        </w:rPr>
        <w:t>九、其他约定：</w:t>
      </w:r>
    </w:p>
    <w:p>
      <w:pPr>
        <w:autoSpaceDE w:val="0"/>
        <w:autoSpaceDN w:val="0"/>
        <w:adjustRightInd w:val="0"/>
        <w:spacing w:line="360" w:lineRule="auto"/>
        <w:ind w:firstLine="480" w:firstLineChars="200"/>
        <w:rPr>
          <w:rFonts w:cs="宋体"/>
          <w:sz w:val="24"/>
        </w:rPr>
      </w:pPr>
      <w:r>
        <w:rPr>
          <w:rFonts w:hint="eastAsia" w:cs="宋体"/>
          <w:sz w:val="24"/>
          <w:lang w:val="zh-CN"/>
        </w:rPr>
        <w:t>十、合同争议解决</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因履行本合同引起的或与本合同有关的争议，甲乙双方应首先通过友好协商解决，如果协商不能解决，可向</w:t>
      </w:r>
      <w:r>
        <w:rPr>
          <w:rFonts w:hint="eastAsia" w:cs="宋体"/>
          <w:sz w:val="24"/>
          <w:u w:val="single"/>
          <w:lang w:val="zh-CN"/>
        </w:rPr>
        <w:t>甲方</w:t>
      </w:r>
      <w:r>
        <w:rPr>
          <w:rFonts w:hint="eastAsia" w:cs="宋体"/>
          <w:sz w:val="24"/>
          <w:lang w:val="zh-CN"/>
        </w:rPr>
        <w:t>所在地仲裁委员会申请仲裁或向甲方所在地人民法院提起诉讼。</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诉讼期间，本合同继续履行。</w:t>
      </w:r>
    </w:p>
    <w:p>
      <w:pPr>
        <w:autoSpaceDE w:val="0"/>
        <w:autoSpaceDN w:val="0"/>
        <w:adjustRightInd w:val="0"/>
        <w:spacing w:line="360" w:lineRule="auto"/>
        <w:ind w:firstLine="480" w:firstLineChars="200"/>
        <w:rPr>
          <w:rFonts w:cs="宋体"/>
          <w:sz w:val="24"/>
        </w:rPr>
      </w:pPr>
      <w:r>
        <w:rPr>
          <w:rFonts w:hint="eastAsia" w:cs="宋体"/>
          <w:sz w:val="24"/>
          <w:lang w:val="zh-CN"/>
        </w:rPr>
        <w:t>十一、合同生效及其它</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本合同一式八份，经双方签字，并加盖公章即为生效。</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本合同未尽事宜，按《</w:t>
      </w:r>
      <w:r>
        <w:rPr>
          <w:rFonts w:hint="eastAsia" w:cs="宋体"/>
          <w:sz w:val="24"/>
          <w:lang w:val="en-US" w:eastAsia="zh-CN"/>
        </w:rPr>
        <w:t>中华人民共和国民法典</w:t>
      </w:r>
      <w:r>
        <w:rPr>
          <w:rFonts w:hint="eastAsia" w:cs="宋体"/>
          <w:sz w:val="24"/>
          <w:lang w:val="zh-CN"/>
        </w:rPr>
        <w:t>》有关规定处理。</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本合同的组成包含《合同通用条款》，可自行在青海政府采购网下载《合同通用条款》。</w:t>
      </w:r>
    </w:p>
    <w:p/>
    <w:p>
      <w:pPr>
        <w:autoSpaceDE w:val="0"/>
        <w:autoSpaceDN w:val="0"/>
        <w:adjustRightInd w:val="0"/>
        <w:spacing w:line="360" w:lineRule="auto"/>
        <w:ind w:firstLine="480" w:firstLineChars="200"/>
        <w:rPr>
          <w:rFonts w:cs="宋体"/>
          <w:sz w:val="24"/>
        </w:rPr>
      </w:pPr>
      <w:r>
        <w:rPr>
          <w:rFonts w:hint="eastAsia" w:cs="宋体"/>
          <w:sz w:val="24"/>
          <w:lang w:val="zh-CN"/>
        </w:rPr>
        <w:t>甲方（盖章）：</w:t>
      </w:r>
      <w:r>
        <w:rPr>
          <w:rFonts w:hint="eastAsia" w:cs="宋体"/>
          <w:sz w:val="24"/>
        </w:rPr>
        <w:t xml:space="preserve">                         </w:t>
      </w:r>
      <w:r>
        <w:rPr>
          <w:rFonts w:hint="eastAsia" w:cs="宋体"/>
          <w:sz w:val="24"/>
          <w:lang w:val="zh-CN"/>
        </w:rPr>
        <w:t>乙方（盖章）：</w:t>
      </w:r>
    </w:p>
    <w:p>
      <w:pPr>
        <w:autoSpaceDE w:val="0"/>
        <w:autoSpaceDN w:val="0"/>
        <w:adjustRightInd w:val="0"/>
        <w:spacing w:line="360" w:lineRule="auto"/>
        <w:ind w:firstLine="480" w:firstLineChars="200"/>
        <w:rPr>
          <w:rFonts w:cs="宋体"/>
          <w:sz w:val="24"/>
        </w:rPr>
      </w:pPr>
      <w:r>
        <w:rPr>
          <w:rFonts w:hint="eastAsia" w:cs="宋体"/>
          <w:sz w:val="24"/>
          <w:lang w:val="zh-CN"/>
        </w:rPr>
        <w:t>法定代表人或委托代理人</w:t>
      </w:r>
      <w:r>
        <w:rPr>
          <w:rFonts w:hint="eastAsia" w:cs="宋体"/>
          <w:sz w:val="24"/>
        </w:rPr>
        <w:t xml:space="preserve">：               </w:t>
      </w:r>
      <w:r>
        <w:rPr>
          <w:rFonts w:hint="eastAsia" w:cs="宋体"/>
          <w:sz w:val="24"/>
          <w:lang w:val="zh-CN"/>
        </w:rPr>
        <w:t>法定代表人或委托代理人</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开户银行：</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联系电话：</w:t>
      </w:r>
      <w:r>
        <w:rPr>
          <w:rFonts w:hint="eastAsia" w:cs="宋体"/>
          <w:sz w:val="24"/>
        </w:rPr>
        <w:t xml:space="preserve">                             </w:t>
      </w:r>
      <w:r>
        <w:rPr>
          <w:rFonts w:hint="eastAsia" w:cs="宋体"/>
          <w:sz w:val="24"/>
          <w:lang w:val="zh-CN"/>
        </w:rPr>
        <w:t>账号：</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联系电话：</w:t>
      </w:r>
    </w:p>
    <w:p>
      <w:pPr>
        <w:autoSpaceDE w:val="0"/>
        <w:autoSpaceDN w:val="0"/>
        <w:adjustRightInd w:val="0"/>
        <w:spacing w:line="360" w:lineRule="auto"/>
        <w:ind w:firstLine="480" w:firstLineChars="200"/>
        <w:rPr>
          <w:rFonts w:cs="宋体"/>
          <w:sz w:val="24"/>
        </w:rPr>
      </w:pPr>
      <w:r>
        <w:rPr>
          <w:rFonts w:hint="eastAsia" w:cs="宋体"/>
          <w:sz w:val="24"/>
          <w:lang w:val="zh-CN"/>
        </w:rPr>
        <w:t>签约时间：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480" w:firstLineChars="200"/>
        <w:rPr>
          <w:rFonts w:cs="宋体"/>
          <w:sz w:val="24"/>
          <w:lang w:val="zh-CN"/>
        </w:rPr>
      </w:pPr>
    </w:p>
    <w:p>
      <w:pPr>
        <w:autoSpaceDE w:val="0"/>
        <w:autoSpaceDN w:val="0"/>
        <w:adjustRightInd w:val="0"/>
        <w:spacing w:line="360" w:lineRule="auto"/>
        <w:ind w:firstLine="480" w:firstLineChars="200"/>
        <w:rPr>
          <w:rFonts w:cs="宋体"/>
          <w:sz w:val="24"/>
        </w:rPr>
      </w:pPr>
      <w:r>
        <w:rPr>
          <w:rFonts w:hint="eastAsia" w:cs="宋体"/>
          <w:sz w:val="24"/>
        </w:rPr>
        <w:t>采购</w:t>
      </w:r>
      <w:r>
        <w:rPr>
          <w:rFonts w:hint="eastAsia" w:cs="宋体"/>
          <w:sz w:val="24"/>
          <w:lang w:val="zh-CN"/>
        </w:rPr>
        <w:t>代理机构：</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负责人或经办人：</w:t>
      </w:r>
    </w:p>
    <w:p>
      <w:pPr>
        <w:autoSpaceDE w:val="0"/>
        <w:autoSpaceDN w:val="0"/>
        <w:adjustRightInd w:val="0"/>
        <w:spacing w:line="360" w:lineRule="auto"/>
        <w:ind w:firstLine="480" w:firstLineChars="200"/>
        <w:rPr>
          <w:rFonts w:cs="宋体"/>
          <w:color w:val="auto"/>
          <w:sz w:val="28"/>
          <w:szCs w:val="28"/>
        </w:rPr>
      </w:pPr>
      <w:r>
        <w:rPr>
          <w:rFonts w:hint="eastAsia" w:cs="宋体"/>
          <w:sz w:val="24"/>
          <w:lang w:val="zh-CN"/>
        </w:rPr>
        <w:t>合同备案时间：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562"/>
        <w:jc w:val="center"/>
        <w:rPr>
          <w:rFonts w:cs="宋体"/>
          <w:b/>
          <w:color w:val="auto"/>
          <w:sz w:val="28"/>
          <w:szCs w:val="28"/>
        </w:rPr>
      </w:pPr>
      <w:r>
        <w:rPr>
          <w:rFonts w:hint="eastAsia" w:cs="宋体"/>
          <w:b/>
          <w:color w:val="auto"/>
          <w:sz w:val="28"/>
          <w:szCs w:val="28"/>
          <w:lang w:val="zh-CN"/>
        </w:rPr>
        <w:br w:type="page"/>
      </w:r>
      <w:r>
        <w:rPr>
          <w:rFonts w:hint="eastAsia" w:cs="宋体"/>
          <w:b/>
          <w:color w:val="auto"/>
          <w:sz w:val="28"/>
          <w:szCs w:val="28"/>
          <w:lang w:val="zh-CN"/>
        </w:rPr>
        <w:t>合同通用条款</w:t>
      </w:r>
    </w:p>
    <w:p>
      <w:pPr>
        <w:autoSpaceDE w:val="0"/>
        <w:autoSpaceDN w:val="0"/>
        <w:adjustRightInd w:val="0"/>
        <w:spacing w:line="360" w:lineRule="auto"/>
        <w:ind w:firstLine="560"/>
        <w:rPr>
          <w:rFonts w:cs="宋体"/>
          <w:color w:val="auto"/>
          <w:sz w:val="28"/>
          <w:szCs w:val="28"/>
        </w:rPr>
      </w:pPr>
      <w:r>
        <w:rPr>
          <w:rFonts w:hint="eastAsia" w:cs="宋体"/>
          <w:color w:val="auto"/>
          <w:sz w:val="28"/>
          <w:szCs w:val="28"/>
        </w:rPr>
        <w:t xml:space="preserve"> </w:t>
      </w:r>
    </w:p>
    <w:p>
      <w:pPr>
        <w:autoSpaceDE w:val="0"/>
        <w:autoSpaceDN w:val="0"/>
        <w:adjustRightInd w:val="0"/>
        <w:spacing w:line="360" w:lineRule="auto"/>
        <w:ind w:firstLine="480"/>
        <w:rPr>
          <w:rFonts w:cs="宋体"/>
          <w:color w:val="auto"/>
          <w:sz w:val="24"/>
        </w:rPr>
      </w:pPr>
      <w:r>
        <w:rPr>
          <w:rFonts w:hint="eastAsia" w:cs="宋体"/>
          <w:color w:val="auto"/>
          <w:sz w:val="24"/>
          <w:lang w:val="zh-CN"/>
        </w:rPr>
        <w:t>根据</w:t>
      </w:r>
      <w:r>
        <w:rPr>
          <w:rFonts w:hint="eastAsia" w:cs="宋体"/>
          <w:sz w:val="24"/>
          <w:lang w:val="zh-CN"/>
        </w:rPr>
        <w:t>《</w:t>
      </w:r>
      <w:r>
        <w:rPr>
          <w:rFonts w:hint="eastAsia" w:cs="宋体"/>
          <w:sz w:val="24"/>
          <w:lang w:val="en-US" w:eastAsia="zh-CN"/>
        </w:rPr>
        <w:t>中华人民共和国民法典</w:t>
      </w:r>
      <w:r>
        <w:rPr>
          <w:rFonts w:hint="eastAsia" w:cs="宋体"/>
          <w:sz w:val="24"/>
          <w:lang w:val="zh-CN"/>
        </w:rPr>
        <w:t>》</w:t>
      </w:r>
      <w:r>
        <w:rPr>
          <w:rFonts w:hint="eastAsia" w:cs="宋体"/>
          <w:color w:val="auto"/>
          <w:sz w:val="24"/>
          <w:lang w:val="zh-CN"/>
        </w:rPr>
        <w:t>《中华人民共和国</w:t>
      </w:r>
      <w:r>
        <w:rPr>
          <w:rFonts w:hint="eastAsia" w:cs="宋体"/>
          <w:color w:val="auto"/>
          <w:sz w:val="24"/>
        </w:rPr>
        <w:t>招标投标法</w:t>
      </w:r>
      <w:r>
        <w:rPr>
          <w:rFonts w:hint="eastAsia" w:cs="宋体"/>
          <w:color w:val="auto"/>
          <w:sz w:val="24"/>
          <w:lang w:val="zh-CN"/>
        </w:rPr>
        <w:t>》的规定，合同双方经协商达成一致，自愿订立本合同，遵循公平原则明确双方的权利、义务，确保双方诚实守信地履行合同。</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w:t>
      </w:r>
      <w:r>
        <w:rPr>
          <w:rFonts w:hint="eastAsia" w:cs="宋体"/>
          <w:b/>
          <w:color w:val="auto"/>
          <w:sz w:val="28"/>
          <w:szCs w:val="28"/>
          <w:lang w:val="zh-CN"/>
        </w:rPr>
        <w:t>定义</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本合同中的下列术语应解释为：</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 </w:t>
      </w:r>
      <w:r>
        <w:rPr>
          <w:rFonts w:hint="eastAsia" w:cs="宋体"/>
          <w:color w:val="auto"/>
          <w:sz w:val="24"/>
          <w:lang w:val="zh-CN"/>
        </w:rPr>
        <w:t>“合同”指甲乙双方签署的、载明的甲乙双方权利义务的协议，包括所有的附件、附录和上述文件所提到的构成合同的所有文件。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1.2 </w:t>
      </w:r>
      <w:r>
        <w:rPr>
          <w:rFonts w:hint="eastAsia" w:cs="宋体"/>
          <w:color w:val="auto"/>
          <w:sz w:val="24"/>
          <w:lang w:val="zh-CN"/>
        </w:rPr>
        <w:t>“合同金额”指根据合同规定，乙方在正确地完全履行合同义务后甲方应付给乙方的价款。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1.3 </w:t>
      </w:r>
      <w:r>
        <w:rPr>
          <w:rFonts w:hint="eastAsia" w:cs="宋体"/>
          <w:color w:val="auto"/>
          <w:sz w:val="24"/>
          <w:lang w:val="zh-CN"/>
        </w:rPr>
        <w:t>“合同条款”指本合同条款。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1.4 </w:t>
      </w:r>
      <w:r>
        <w:rPr>
          <w:rFonts w:hint="eastAsia" w:cs="宋体"/>
          <w:color w:val="auto"/>
          <w:sz w:val="24"/>
          <w:lang w:val="zh-CN"/>
        </w:rPr>
        <w:t>“货物”指乙方根据合同约定须向甲方提供的一切产品、设备、机械、仪表、备件等，包括辅助工具、使用手册等相关资料。</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 </w:t>
      </w:r>
      <w:r>
        <w:rPr>
          <w:rFonts w:hint="eastAsia" w:cs="宋体"/>
          <w:color w:val="auto"/>
          <w:sz w:val="24"/>
          <w:lang w:val="zh-CN"/>
        </w:rPr>
        <w:t>“服务”指根据本合同规定乙方承担与供货有关的辅助服务，如运输、保险、调试、提供技术援助、培训和合同中规定乙方应承担的其它义务。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1.6 </w:t>
      </w:r>
      <w:r>
        <w:rPr>
          <w:rFonts w:hint="eastAsia" w:cs="宋体"/>
          <w:color w:val="auto"/>
          <w:sz w:val="24"/>
          <w:lang w:val="zh-CN"/>
        </w:rPr>
        <w:t>“甲方”指购买货物和服务的单位。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1.7 </w:t>
      </w:r>
      <w:r>
        <w:rPr>
          <w:rFonts w:hint="eastAsia" w:cs="宋体"/>
          <w:color w:val="auto"/>
          <w:sz w:val="24"/>
          <w:lang w:val="zh-CN"/>
        </w:rPr>
        <w:t>“乙方”指提供本合同条款下货物和服务的公司或其他实体。</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1.8 </w:t>
      </w:r>
      <w:r>
        <w:rPr>
          <w:rFonts w:hint="eastAsia" w:cs="宋体"/>
          <w:color w:val="auto"/>
          <w:sz w:val="24"/>
          <w:lang w:val="zh-CN"/>
        </w:rPr>
        <w:t>“现场”指合同规定货物将要运至指定地点。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1.9 </w:t>
      </w:r>
      <w:r>
        <w:rPr>
          <w:rFonts w:hint="eastAsia" w:cs="宋体"/>
          <w:color w:val="auto"/>
          <w:sz w:val="24"/>
          <w:lang w:val="zh-CN"/>
        </w:rPr>
        <w:t>“验收”指合同双方依据强制性的国家技术质量规范和合同约定，确认合同条款下的货物符合合同规定的活动。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1.10 </w:t>
      </w:r>
      <w:r>
        <w:rPr>
          <w:rFonts w:hint="eastAsia" w:cs="宋体"/>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 </w:t>
      </w:r>
      <w:r>
        <w:rPr>
          <w:rFonts w:hint="eastAsia" w:cs="宋体"/>
          <w:color w:val="auto"/>
          <w:sz w:val="24"/>
          <w:lang w:val="zh-CN"/>
        </w:rPr>
        <w:t>原产地：指产品的生产地，或提供服务的来源地。</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“工作日”指国家法定工作日，“天”指日历天数。</w:t>
      </w:r>
    </w:p>
    <w:p>
      <w:pPr>
        <w:autoSpaceDE w:val="0"/>
        <w:autoSpaceDN w:val="0"/>
        <w:adjustRightInd w:val="0"/>
        <w:spacing w:line="360" w:lineRule="auto"/>
        <w:ind w:firstLine="562"/>
        <w:rPr>
          <w:rFonts w:hint="eastAsia" w:cs="宋体"/>
          <w:b/>
          <w:color w:val="auto"/>
          <w:sz w:val="28"/>
          <w:szCs w:val="28"/>
        </w:rPr>
      </w:pP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w:t>
      </w:r>
      <w:r>
        <w:rPr>
          <w:rFonts w:hint="eastAsia" w:cs="宋体"/>
          <w:b/>
          <w:color w:val="auto"/>
          <w:sz w:val="28"/>
          <w:szCs w:val="28"/>
          <w:lang w:val="zh-CN"/>
        </w:rPr>
        <w:t>技术规格要求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2.1 </w:t>
      </w:r>
      <w:r>
        <w:rPr>
          <w:rFonts w:hint="eastAsia" w:cs="宋体"/>
          <w:color w:val="auto"/>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2.2 </w:t>
      </w:r>
      <w:r>
        <w:rPr>
          <w:rFonts w:hint="eastAsia" w:cs="宋体"/>
          <w:color w:val="auto"/>
          <w:sz w:val="24"/>
          <w:lang w:val="zh-CN"/>
        </w:rPr>
        <w:t>乙方应向甲方提供货物及服务有关的标准的中文文本。</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2.3 </w:t>
      </w:r>
      <w:r>
        <w:rPr>
          <w:rFonts w:hint="eastAsia" w:cs="宋体"/>
          <w:color w:val="auto"/>
          <w:sz w:val="24"/>
          <w:lang w:val="zh-CN"/>
        </w:rPr>
        <w:t>除非技术规范中另有规定，计量单位均采用中华人民共和国法定计量单位。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3.</w:t>
      </w:r>
      <w:r>
        <w:rPr>
          <w:rFonts w:hint="eastAsia" w:cs="宋体"/>
          <w:b/>
          <w:color w:val="auto"/>
          <w:sz w:val="28"/>
          <w:szCs w:val="28"/>
          <w:lang w:val="zh-CN"/>
        </w:rPr>
        <w:t>合同范围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3.1 </w:t>
      </w:r>
      <w:r>
        <w:rPr>
          <w:rFonts w:hint="eastAsia" w:cs="宋体"/>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3.2 </w:t>
      </w:r>
      <w:r>
        <w:rPr>
          <w:rFonts w:hint="eastAsia" w:cs="宋体"/>
          <w:color w:val="auto"/>
          <w:sz w:val="24"/>
          <w:lang w:val="zh-CN"/>
        </w:rPr>
        <w:t>乙方应负责培训甲方的技术人员。</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3.3 </w:t>
      </w:r>
      <w:r>
        <w:rPr>
          <w:rFonts w:hint="eastAsia" w:cs="宋体"/>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4.</w:t>
      </w:r>
      <w:r>
        <w:rPr>
          <w:rFonts w:hint="eastAsia" w:cs="宋体"/>
          <w:b/>
          <w:color w:val="auto"/>
          <w:sz w:val="28"/>
          <w:szCs w:val="28"/>
          <w:lang w:val="zh-CN"/>
        </w:rPr>
        <w:t>合同文件和资料</w:t>
      </w:r>
    </w:p>
    <w:p>
      <w:pPr>
        <w:autoSpaceDE w:val="0"/>
        <w:autoSpaceDN w:val="0"/>
        <w:adjustRightInd w:val="0"/>
        <w:spacing w:line="360" w:lineRule="auto"/>
        <w:ind w:firstLine="480"/>
        <w:rPr>
          <w:rFonts w:cs="宋体"/>
          <w:color w:val="auto"/>
          <w:sz w:val="24"/>
        </w:rPr>
      </w:pPr>
      <w:r>
        <w:rPr>
          <w:rFonts w:hint="eastAsia" w:cs="宋体"/>
          <w:color w:val="auto"/>
          <w:sz w:val="24"/>
        </w:rPr>
        <w:t>4.1</w:t>
      </w:r>
      <w:r>
        <w:rPr>
          <w:rFonts w:hint="eastAsia" w:cs="宋体"/>
          <w:color w:val="auto"/>
          <w:sz w:val="24"/>
          <w:lang w:val="zh-CN"/>
        </w:rPr>
        <w:t>乙方在提供仪器设备时应同时提供中文版相关的技术资料，如目录索引、图纸、操作手册、使用指南、维修指南、服务手册等。</w:t>
      </w:r>
    </w:p>
    <w:p>
      <w:pPr>
        <w:autoSpaceDE w:val="0"/>
        <w:autoSpaceDN w:val="0"/>
        <w:adjustRightInd w:val="0"/>
        <w:spacing w:line="360" w:lineRule="auto"/>
        <w:ind w:firstLine="480"/>
        <w:rPr>
          <w:rFonts w:cs="宋体"/>
          <w:color w:val="auto"/>
          <w:sz w:val="24"/>
        </w:rPr>
      </w:pPr>
      <w:r>
        <w:rPr>
          <w:rFonts w:hint="eastAsia" w:cs="宋体"/>
          <w:color w:val="auto"/>
          <w:sz w:val="24"/>
        </w:rPr>
        <w:t>4.2</w:t>
      </w:r>
      <w:r>
        <w:rPr>
          <w:rFonts w:hint="eastAsia" w:cs="宋体"/>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5.</w:t>
      </w:r>
      <w:r>
        <w:rPr>
          <w:rFonts w:hint="eastAsia" w:cs="宋体"/>
          <w:b/>
          <w:color w:val="auto"/>
          <w:sz w:val="28"/>
          <w:szCs w:val="28"/>
          <w:lang w:val="zh-CN"/>
        </w:rPr>
        <w:t>知识产权</w:t>
      </w:r>
    </w:p>
    <w:p>
      <w:pPr>
        <w:autoSpaceDE w:val="0"/>
        <w:autoSpaceDN w:val="0"/>
        <w:adjustRightInd w:val="0"/>
        <w:spacing w:line="360" w:lineRule="auto"/>
        <w:ind w:firstLine="480"/>
        <w:rPr>
          <w:rFonts w:cs="宋体"/>
          <w:color w:val="auto"/>
          <w:sz w:val="24"/>
        </w:rPr>
      </w:pPr>
      <w:r>
        <w:rPr>
          <w:rFonts w:hint="eastAsia" w:cs="宋体"/>
          <w:color w:val="auto"/>
          <w:sz w:val="24"/>
        </w:rPr>
        <w:t>5.1</w:t>
      </w:r>
      <w:r>
        <w:rPr>
          <w:rFonts w:hint="eastAsia" w:cs="宋体"/>
          <w:color w:val="auto"/>
          <w:sz w:val="24"/>
          <w:lang w:val="zh-CN"/>
        </w:rPr>
        <w:t>乙方应保证甲方在使用该货物或其任何一部分时不受第三方提出的侵犯专利权、</w:t>
      </w:r>
      <w:r>
        <w:rPr>
          <w:rFonts w:hint="eastAsia" w:cs="宋体"/>
          <w:color w:val="auto"/>
          <w:sz w:val="24"/>
        </w:rPr>
        <w:t xml:space="preserve"> </w:t>
      </w:r>
      <w:r>
        <w:rPr>
          <w:rFonts w:hint="eastAsia" w:cs="宋体"/>
          <w:color w:val="auto"/>
          <w:sz w:val="24"/>
          <w:lang w:val="zh-CN"/>
        </w:rPr>
        <w:t>著作权、商标权和工业设计权等的起诉。</w:t>
      </w:r>
    </w:p>
    <w:p>
      <w:pPr>
        <w:autoSpaceDE w:val="0"/>
        <w:autoSpaceDN w:val="0"/>
        <w:adjustRightInd w:val="0"/>
        <w:spacing w:line="360" w:lineRule="auto"/>
        <w:ind w:firstLine="480"/>
        <w:rPr>
          <w:rFonts w:cs="宋体"/>
          <w:color w:val="auto"/>
          <w:sz w:val="24"/>
        </w:rPr>
      </w:pPr>
      <w:r>
        <w:rPr>
          <w:rFonts w:hint="eastAsia" w:cs="宋体"/>
          <w:color w:val="auto"/>
          <w:sz w:val="24"/>
        </w:rPr>
        <w:t>5.2</w:t>
      </w:r>
      <w:r>
        <w:rPr>
          <w:rFonts w:hint="eastAsia" w:cs="宋体"/>
          <w:color w:val="auto"/>
          <w:sz w:val="24"/>
          <w:lang w:val="zh-CN"/>
        </w:rPr>
        <w:t>任何第三方提出侵权指控，乙方须与第三方交涉并承担由此产生的一切责任、费用和经济赔偿。</w:t>
      </w:r>
    </w:p>
    <w:p>
      <w:pPr>
        <w:autoSpaceDE w:val="0"/>
        <w:autoSpaceDN w:val="0"/>
        <w:adjustRightInd w:val="0"/>
        <w:spacing w:line="360" w:lineRule="auto"/>
        <w:ind w:firstLine="480"/>
        <w:rPr>
          <w:rFonts w:cs="宋体"/>
          <w:color w:val="auto"/>
          <w:sz w:val="24"/>
        </w:rPr>
      </w:pPr>
      <w:r>
        <w:rPr>
          <w:rFonts w:hint="eastAsia" w:cs="宋体"/>
          <w:color w:val="auto"/>
          <w:sz w:val="24"/>
        </w:rPr>
        <w:t>5.3</w:t>
      </w:r>
      <w:r>
        <w:rPr>
          <w:rFonts w:hint="eastAsia" w:cs="宋体"/>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rFonts w:cs="宋体"/>
          <w:color w:val="auto"/>
          <w:sz w:val="24"/>
        </w:rPr>
      </w:pPr>
      <w:r>
        <w:rPr>
          <w:rFonts w:hint="eastAsia" w:cs="宋体"/>
          <w:color w:val="auto"/>
          <w:sz w:val="24"/>
        </w:rPr>
        <w:t>5.4</w:t>
      </w:r>
      <w:r>
        <w:rPr>
          <w:rFonts w:hint="eastAsia" w:cs="宋体"/>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rFonts w:cs="宋体"/>
          <w:color w:val="auto"/>
          <w:sz w:val="24"/>
        </w:rPr>
      </w:pPr>
      <w:r>
        <w:rPr>
          <w:rFonts w:hint="eastAsia" w:cs="宋体"/>
          <w:color w:val="auto"/>
          <w:sz w:val="24"/>
        </w:rPr>
        <w:t>5.5</w:t>
      </w:r>
      <w:r>
        <w:rPr>
          <w:rFonts w:hint="eastAsia" w:cs="宋体"/>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6.</w:t>
      </w:r>
      <w:r>
        <w:rPr>
          <w:rFonts w:hint="eastAsia" w:cs="宋体"/>
          <w:b/>
          <w:color w:val="auto"/>
          <w:sz w:val="28"/>
          <w:szCs w:val="28"/>
          <w:lang w:val="zh-CN"/>
        </w:rPr>
        <w:t>保密</w:t>
      </w:r>
    </w:p>
    <w:p>
      <w:pPr>
        <w:autoSpaceDE w:val="0"/>
        <w:autoSpaceDN w:val="0"/>
        <w:adjustRightInd w:val="0"/>
        <w:spacing w:line="360" w:lineRule="auto"/>
        <w:ind w:firstLine="480"/>
        <w:rPr>
          <w:rFonts w:cs="宋体"/>
          <w:color w:val="auto"/>
          <w:sz w:val="24"/>
        </w:rPr>
      </w:pPr>
      <w:r>
        <w:rPr>
          <w:rFonts w:hint="eastAsia" w:cs="宋体"/>
          <w:color w:val="auto"/>
          <w:sz w:val="24"/>
        </w:rPr>
        <w:t>6.1</w:t>
      </w:r>
      <w:r>
        <w:rPr>
          <w:rFonts w:hint="eastAsia" w:cs="宋体"/>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360" w:lineRule="auto"/>
        <w:ind w:firstLine="480"/>
        <w:rPr>
          <w:rFonts w:cs="宋体"/>
          <w:color w:val="auto"/>
          <w:sz w:val="24"/>
        </w:rPr>
      </w:pPr>
      <w:r>
        <w:rPr>
          <w:rFonts w:hint="eastAsia" w:cs="宋体"/>
          <w:color w:val="auto"/>
          <w:sz w:val="24"/>
        </w:rPr>
        <w:t>6.2</w:t>
      </w:r>
      <w:r>
        <w:rPr>
          <w:rFonts w:hint="eastAsia" w:cs="宋体"/>
          <w:color w:val="auto"/>
          <w:sz w:val="24"/>
          <w:lang w:val="zh-CN"/>
        </w:rPr>
        <w:t>保密信息指任何一方因履行本合同所知悉的任何以口头、书面、图表或电子形式存在的对方信息，具体包括：</w:t>
      </w:r>
    </w:p>
    <w:p>
      <w:pPr>
        <w:autoSpaceDE w:val="0"/>
        <w:autoSpaceDN w:val="0"/>
        <w:adjustRightInd w:val="0"/>
        <w:spacing w:line="360" w:lineRule="auto"/>
        <w:ind w:firstLine="480"/>
        <w:rPr>
          <w:rFonts w:cs="宋体"/>
          <w:color w:val="auto"/>
          <w:sz w:val="24"/>
        </w:rPr>
      </w:pPr>
      <w:r>
        <w:rPr>
          <w:rFonts w:hint="eastAsia" w:cs="宋体"/>
          <w:color w:val="auto"/>
          <w:sz w:val="24"/>
        </w:rPr>
        <w:t>6.2.1</w:t>
      </w:r>
      <w:r>
        <w:rPr>
          <w:rFonts w:hint="eastAsia" w:cs="宋体"/>
          <w:color w:val="auto"/>
          <w:sz w:val="24"/>
          <w:lang w:val="zh-CN"/>
        </w:rPr>
        <w:t>任何涉及对方过去、现在或将来的商业计划、规章制度、操作规程、处理手段、财务信息；</w:t>
      </w:r>
    </w:p>
    <w:p>
      <w:pPr>
        <w:autoSpaceDE w:val="0"/>
        <w:autoSpaceDN w:val="0"/>
        <w:adjustRightInd w:val="0"/>
        <w:spacing w:line="360" w:lineRule="auto"/>
        <w:ind w:firstLine="480"/>
        <w:rPr>
          <w:rFonts w:cs="宋体"/>
          <w:color w:val="auto"/>
          <w:sz w:val="24"/>
        </w:rPr>
      </w:pPr>
      <w:r>
        <w:rPr>
          <w:rFonts w:hint="eastAsia" w:cs="宋体"/>
          <w:color w:val="auto"/>
          <w:sz w:val="24"/>
        </w:rPr>
        <w:t>6.2.2</w:t>
      </w:r>
      <w:r>
        <w:rPr>
          <w:rFonts w:hint="eastAsia" w:cs="宋体"/>
          <w:color w:val="auto"/>
          <w:sz w:val="24"/>
          <w:lang w:val="zh-CN"/>
        </w:rPr>
        <w:t>任何对方的技术措施、技术方案、软件应用及开发，硬件设备的品种、质量、数量、品牌等；</w:t>
      </w:r>
    </w:p>
    <w:p>
      <w:pPr>
        <w:autoSpaceDE w:val="0"/>
        <w:autoSpaceDN w:val="0"/>
        <w:adjustRightInd w:val="0"/>
        <w:spacing w:line="360" w:lineRule="auto"/>
        <w:ind w:firstLine="480"/>
        <w:rPr>
          <w:rFonts w:cs="宋体"/>
          <w:color w:val="auto"/>
          <w:sz w:val="24"/>
        </w:rPr>
      </w:pPr>
      <w:r>
        <w:rPr>
          <w:rFonts w:hint="eastAsia" w:cs="宋体"/>
          <w:color w:val="auto"/>
          <w:sz w:val="24"/>
        </w:rPr>
        <w:t>6.2.3</w:t>
      </w:r>
      <w:r>
        <w:rPr>
          <w:rFonts w:hint="eastAsia" w:cs="宋体"/>
          <w:color w:val="auto"/>
          <w:sz w:val="24"/>
          <w:lang w:val="zh-CN"/>
        </w:rPr>
        <w:t>任何对方的技术秘密或专有知识、文件</w:t>
      </w:r>
      <w:r>
        <w:rPr>
          <w:rFonts w:hint="eastAsia" w:cs="宋体"/>
          <w:color w:val="auto"/>
          <w:sz w:val="24"/>
        </w:rPr>
        <w:t xml:space="preserve"> </w:t>
      </w:r>
      <w:r>
        <w:rPr>
          <w:rFonts w:hint="eastAsia" w:cs="宋体"/>
          <w:color w:val="auto"/>
          <w:sz w:val="24"/>
          <w:lang w:val="zh-CN"/>
        </w:rPr>
        <w:t>、报告、数据、客户软件、流程图、数据库、发明、知识、贸易秘密。</w:t>
      </w:r>
    </w:p>
    <w:p>
      <w:pPr>
        <w:autoSpaceDE w:val="0"/>
        <w:autoSpaceDN w:val="0"/>
        <w:adjustRightInd w:val="0"/>
        <w:spacing w:line="360" w:lineRule="auto"/>
        <w:ind w:firstLine="480"/>
        <w:rPr>
          <w:rFonts w:cs="宋体"/>
          <w:color w:val="auto"/>
          <w:sz w:val="24"/>
        </w:rPr>
      </w:pPr>
      <w:r>
        <w:rPr>
          <w:rFonts w:hint="eastAsia" w:cs="宋体"/>
          <w:color w:val="auto"/>
          <w:sz w:val="24"/>
        </w:rPr>
        <w:t>6.3</w:t>
      </w:r>
      <w:r>
        <w:rPr>
          <w:rFonts w:hint="eastAsia" w:cs="宋体"/>
          <w:color w:val="auto"/>
          <w:sz w:val="24"/>
          <w:lang w:val="zh-CN"/>
        </w:rPr>
        <w:t>乙方应根据甲方的要求签署相应的保密协议，保密协议与本条款存在不一致的，以保密协议为准。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7. </w:t>
      </w:r>
      <w:r>
        <w:rPr>
          <w:rFonts w:hint="eastAsia" w:cs="宋体"/>
          <w:b/>
          <w:color w:val="auto"/>
          <w:sz w:val="28"/>
          <w:szCs w:val="28"/>
          <w:lang w:val="zh-CN"/>
        </w:rPr>
        <w:t>质量保证</w:t>
      </w:r>
    </w:p>
    <w:p>
      <w:pPr>
        <w:autoSpaceDE w:val="0"/>
        <w:autoSpaceDN w:val="0"/>
        <w:adjustRightInd w:val="0"/>
        <w:spacing w:line="360" w:lineRule="auto"/>
        <w:ind w:firstLine="480"/>
        <w:rPr>
          <w:rFonts w:cs="宋体"/>
          <w:color w:val="auto"/>
          <w:sz w:val="24"/>
        </w:rPr>
      </w:pPr>
      <w:r>
        <w:rPr>
          <w:rFonts w:hint="eastAsia" w:cs="宋体"/>
          <w:color w:val="auto"/>
          <w:sz w:val="24"/>
        </w:rPr>
        <w:t>7.1</w:t>
      </w:r>
      <w:r>
        <w:rPr>
          <w:rFonts w:hint="eastAsia" w:cs="宋体"/>
          <w:color w:val="auto"/>
          <w:sz w:val="24"/>
          <w:lang w:val="zh-CN"/>
        </w:rPr>
        <w:t>货物质量保证</w:t>
      </w:r>
    </w:p>
    <w:p>
      <w:pPr>
        <w:autoSpaceDE w:val="0"/>
        <w:autoSpaceDN w:val="0"/>
        <w:adjustRightInd w:val="0"/>
        <w:spacing w:line="360" w:lineRule="auto"/>
        <w:ind w:firstLine="480"/>
        <w:rPr>
          <w:rFonts w:cs="宋体"/>
          <w:color w:val="auto"/>
          <w:sz w:val="24"/>
        </w:rPr>
      </w:pPr>
      <w:r>
        <w:rPr>
          <w:rFonts w:hint="eastAsia" w:cs="宋体"/>
          <w:color w:val="auto"/>
          <w:sz w:val="24"/>
        </w:rPr>
        <w:t>7.1.1</w:t>
      </w:r>
      <w:r>
        <w:rPr>
          <w:rFonts w:hint="eastAsia" w:cs="宋体"/>
          <w:color w:val="auto"/>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360" w:lineRule="auto"/>
        <w:ind w:firstLine="480"/>
        <w:rPr>
          <w:rFonts w:cs="宋体"/>
          <w:color w:val="auto"/>
          <w:sz w:val="24"/>
        </w:rPr>
      </w:pPr>
      <w:r>
        <w:rPr>
          <w:rFonts w:hint="eastAsia" w:cs="宋体"/>
          <w:color w:val="auto"/>
          <w:sz w:val="24"/>
        </w:rPr>
        <w:t>7.1.2</w:t>
      </w:r>
      <w:r>
        <w:rPr>
          <w:rFonts w:hint="eastAsia" w:cs="宋体"/>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360" w:lineRule="auto"/>
        <w:ind w:firstLine="480"/>
        <w:rPr>
          <w:rFonts w:cs="宋体"/>
          <w:color w:val="auto"/>
          <w:sz w:val="24"/>
        </w:rPr>
      </w:pPr>
      <w:r>
        <w:rPr>
          <w:rFonts w:hint="eastAsia" w:cs="宋体"/>
          <w:color w:val="auto"/>
          <w:sz w:val="24"/>
        </w:rPr>
        <w:t>7.1.3</w:t>
      </w:r>
      <w:r>
        <w:rPr>
          <w:rFonts w:hint="eastAsia" w:cs="宋体"/>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360" w:lineRule="auto"/>
        <w:ind w:firstLine="480"/>
        <w:rPr>
          <w:rFonts w:cs="宋体"/>
          <w:color w:val="auto"/>
          <w:sz w:val="24"/>
        </w:rPr>
      </w:pPr>
      <w:r>
        <w:rPr>
          <w:rFonts w:hint="eastAsia" w:cs="宋体"/>
          <w:color w:val="auto"/>
          <w:sz w:val="24"/>
        </w:rPr>
        <w:t>7.1.4</w:t>
      </w:r>
      <w:r>
        <w:rPr>
          <w:rFonts w:hint="eastAsia" w:cs="宋体"/>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7.1.5 </w:t>
      </w:r>
      <w:r>
        <w:rPr>
          <w:rFonts w:hint="eastAsia" w:cs="宋体"/>
          <w:color w:val="auto"/>
          <w:sz w:val="24"/>
          <w:lang w:val="zh-CN"/>
        </w:rPr>
        <w:t>合同条款下货物的质量保证期自货物通过最终验收起算，合同另行规定除外。</w:t>
      </w:r>
    </w:p>
    <w:p>
      <w:pPr>
        <w:autoSpaceDE w:val="0"/>
        <w:autoSpaceDN w:val="0"/>
        <w:adjustRightInd w:val="0"/>
        <w:spacing w:line="360" w:lineRule="auto"/>
        <w:ind w:firstLine="480"/>
        <w:rPr>
          <w:rFonts w:cs="宋体"/>
          <w:color w:val="auto"/>
          <w:sz w:val="24"/>
        </w:rPr>
      </w:pPr>
      <w:r>
        <w:rPr>
          <w:rFonts w:hint="eastAsia" w:cs="宋体"/>
          <w:color w:val="auto"/>
          <w:sz w:val="24"/>
        </w:rPr>
        <w:t>7.2</w:t>
      </w:r>
      <w:r>
        <w:rPr>
          <w:rFonts w:hint="eastAsia" w:cs="宋体"/>
          <w:color w:val="auto"/>
          <w:sz w:val="24"/>
          <w:lang w:val="zh-CN"/>
        </w:rPr>
        <w:t>辅助服务质量保证</w:t>
      </w:r>
    </w:p>
    <w:p>
      <w:pPr>
        <w:autoSpaceDE w:val="0"/>
        <w:autoSpaceDN w:val="0"/>
        <w:adjustRightInd w:val="0"/>
        <w:spacing w:line="360" w:lineRule="auto"/>
        <w:ind w:firstLine="480"/>
        <w:rPr>
          <w:rFonts w:cs="宋体"/>
          <w:color w:val="auto"/>
          <w:sz w:val="24"/>
        </w:rPr>
      </w:pPr>
      <w:r>
        <w:rPr>
          <w:rFonts w:hint="eastAsia" w:cs="宋体"/>
          <w:color w:val="auto"/>
          <w:sz w:val="24"/>
        </w:rPr>
        <w:t>7.2.1</w:t>
      </w:r>
      <w:r>
        <w:rPr>
          <w:rFonts w:hint="eastAsia" w:cs="宋体"/>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360" w:lineRule="auto"/>
        <w:ind w:firstLine="480"/>
        <w:rPr>
          <w:rFonts w:cs="宋体"/>
          <w:color w:val="auto"/>
          <w:sz w:val="24"/>
        </w:rPr>
      </w:pPr>
      <w:r>
        <w:rPr>
          <w:rFonts w:hint="eastAsia" w:cs="宋体"/>
          <w:color w:val="auto"/>
          <w:sz w:val="24"/>
        </w:rPr>
        <w:t>7.2.2</w:t>
      </w:r>
      <w:r>
        <w:rPr>
          <w:rFonts w:hint="eastAsia" w:cs="宋体"/>
          <w:color w:val="auto"/>
          <w:sz w:val="24"/>
          <w:lang w:val="zh-CN"/>
        </w:rPr>
        <w:t>乙方应保证合同条款下所提供的服务包括培训、单机调试、系统联调和试验等，按合同规定方式进行，并保证不存在因乙方工作人员的过失、错误或疏忽而产生的缺陷。</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8.</w:t>
      </w:r>
      <w:r>
        <w:rPr>
          <w:rFonts w:hint="eastAsia" w:cs="宋体"/>
          <w:b/>
          <w:color w:val="auto"/>
          <w:sz w:val="28"/>
          <w:szCs w:val="28"/>
          <w:lang w:val="zh-CN"/>
        </w:rPr>
        <w:t>包装要求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8.1 </w:t>
      </w:r>
      <w:r>
        <w:rPr>
          <w:rFonts w:hint="eastAsia" w:cs="宋体"/>
          <w:color w:val="auto"/>
          <w:sz w:val="24"/>
          <w:lang w:val="zh-CN"/>
        </w:rPr>
        <w:t>除合同另有约定外</w:t>
      </w:r>
      <w:r>
        <w:rPr>
          <w:rFonts w:hint="eastAsia" w:cs="宋体"/>
          <w:color w:val="auto"/>
          <w:sz w:val="24"/>
        </w:rPr>
        <w:t>,</w:t>
      </w:r>
      <w:r>
        <w:rPr>
          <w:rFonts w:hint="eastAsia" w:cs="宋体"/>
          <w:color w:val="auto"/>
          <w:sz w:val="24"/>
          <w:lang w:val="zh-CN"/>
        </w:rPr>
        <w:t>乙方提供的全部货物</w:t>
      </w:r>
      <w:r>
        <w:rPr>
          <w:rFonts w:hint="eastAsia" w:cs="宋体"/>
          <w:color w:val="auto"/>
          <w:sz w:val="24"/>
        </w:rPr>
        <w:t>,</w:t>
      </w:r>
      <w:r>
        <w:rPr>
          <w:rFonts w:hint="eastAsia" w:cs="宋体"/>
          <w:color w:val="auto"/>
          <w:sz w:val="24"/>
          <w:lang w:val="zh-CN"/>
        </w:rPr>
        <w:t>均应采用本行业通用的方式进行包装，且该包装应符合国家有关包装的法律、法规的规定。</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8.2 </w:t>
      </w:r>
      <w:r>
        <w:rPr>
          <w:rFonts w:hint="eastAsia" w:cs="宋体"/>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乙方应提供货物运至合同规定的最终目的地所需要的包装，以防止货物在转运中损坏或变质。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8.3 </w:t>
      </w:r>
      <w:r>
        <w:rPr>
          <w:rFonts w:hint="eastAsia" w:cs="宋体"/>
          <w:color w:val="auto"/>
          <w:sz w:val="24"/>
          <w:lang w:val="zh-CN"/>
        </w:rPr>
        <w:t>乙方所提供的货物包装均为出厂时原包装。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8.4 </w:t>
      </w:r>
      <w:r>
        <w:rPr>
          <w:rFonts w:hint="eastAsia" w:cs="宋体"/>
          <w:color w:val="auto"/>
          <w:sz w:val="24"/>
          <w:lang w:val="zh-CN"/>
        </w:rPr>
        <w:t>乙方所提供货物必须附有质量合格证，装箱清单，主机、附件、各种零部件和消耗品，有清楚的与装箱单相对应的名称和编号。</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8.5 </w:t>
      </w:r>
      <w:r>
        <w:rPr>
          <w:rFonts w:hint="eastAsia" w:cs="宋体"/>
          <w:color w:val="auto"/>
          <w:sz w:val="24"/>
          <w:lang w:val="zh-CN"/>
        </w:rPr>
        <w:t>货物运输中的运输费用和保险费用均由乙方承担。运输过程中的一切损失、损坏均由乙方负责。</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9. </w:t>
      </w:r>
      <w:r>
        <w:rPr>
          <w:rFonts w:hint="eastAsia" w:cs="宋体"/>
          <w:b/>
          <w:color w:val="auto"/>
          <w:sz w:val="28"/>
          <w:szCs w:val="28"/>
          <w:lang w:val="zh-CN"/>
        </w:rPr>
        <w:t>价格</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9.1 </w:t>
      </w:r>
      <w:r>
        <w:rPr>
          <w:rFonts w:hint="eastAsia" w:cs="宋体"/>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9.2 </w:t>
      </w:r>
      <w:r>
        <w:rPr>
          <w:rFonts w:hint="eastAsia" w:cs="宋体"/>
          <w:color w:val="auto"/>
          <w:sz w:val="24"/>
          <w:lang w:val="zh-CN"/>
        </w:rPr>
        <w:t>本合同价格为固定价格，包括了乙方履行合同全过程产生的所有成本和费用以及乙方应承担的一切税费。</w:t>
      </w:r>
    </w:p>
    <w:p>
      <w:pPr>
        <w:autoSpaceDE w:val="0"/>
        <w:autoSpaceDN w:val="0"/>
        <w:adjustRightInd w:val="0"/>
        <w:spacing w:line="360" w:lineRule="auto"/>
        <w:ind w:firstLine="480"/>
        <w:rPr>
          <w:rFonts w:cs="宋体"/>
          <w:color w:val="auto"/>
          <w:sz w:val="24"/>
        </w:rPr>
      </w:pPr>
      <w:r>
        <w:rPr>
          <w:rFonts w:hint="eastAsia" w:cs="宋体"/>
          <w:color w:val="auto"/>
          <w:sz w:val="24"/>
        </w:rPr>
        <w:t>9.3</w:t>
      </w:r>
      <w:r>
        <w:rPr>
          <w:rFonts w:hint="eastAsia" w:cs="宋体"/>
          <w:color w:val="auto"/>
          <w:sz w:val="24"/>
          <w:lang w:val="zh-CN"/>
        </w:rPr>
        <w:t>检验费用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9.3.1 </w:t>
      </w:r>
      <w:r>
        <w:rPr>
          <w:rFonts w:hint="eastAsia" w:cs="宋体"/>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9.3.2 </w:t>
      </w:r>
      <w:r>
        <w:rPr>
          <w:rFonts w:hint="eastAsia" w:cs="宋体"/>
          <w:color w:val="auto"/>
          <w:sz w:val="24"/>
          <w:lang w:val="zh-CN"/>
        </w:rPr>
        <w:t>甲方按合同计划参加在乙方工厂所在地检验、测试和验收的费用全部由乙方负责并已包含在合同总价中。</w:t>
      </w:r>
    </w:p>
    <w:p>
      <w:pPr>
        <w:autoSpaceDE w:val="0"/>
        <w:autoSpaceDN w:val="0"/>
        <w:adjustRightInd w:val="0"/>
        <w:spacing w:line="360" w:lineRule="auto"/>
        <w:ind w:firstLine="480"/>
        <w:rPr>
          <w:rFonts w:cs="宋体"/>
          <w:color w:val="auto"/>
          <w:sz w:val="24"/>
        </w:rPr>
      </w:pPr>
      <w:r>
        <w:rPr>
          <w:rFonts w:hint="eastAsia" w:cs="宋体"/>
          <w:color w:val="auto"/>
          <w:sz w:val="24"/>
        </w:rPr>
        <w:t>9.3.3</w:t>
      </w:r>
      <w:r>
        <w:rPr>
          <w:rFonts w:hint="eastAsia" w:cs="宋体"/>
          <w:color w:val="auto"/>
          <w:sz w:val="24"/>
          <w:lang w:val="zh-CN"/>
        </w:rPr>
        <w:t>甲方检验人员已到卖方所在地，测试无法依照合同进行，</w:t>
      </w:r>
      <w:r>
        <w:rPr>
          <w:rFonts w:hint="eastAsia" w:cs="宋体"/>
          <w:color w:val="auto"/>
          <w:sz w:val="24"/>
        </w:rPr>
        <w:t xml:space="preserve"> </w:t>
      </w:r>
      <w:r>
        <w:rPr>
          <w:rFonts w:hint="eastAsia" w:cs="宋体"/>
          <w:color w:val="auto"/>
          <w:sz w:val="24"/>
          <w:lang w:val="zh-CN"/>
        </w:rPr>
        <w:t>而引起甲方人员延长逗留时间，所有由此产生的包括甲方人员在内的直接费用及成本由乙方承担。</w:t>
      </w:r>
    </w:p>
    <w:p>
      <w:pPr>
        <w:autoSpaceDE w:val="0"/>
        <w:autoSpaceDN w:val="0"/>
        <w:adjustRightInd w:val="0"/>
        <w:spacing w:line="360" w:lineRule="auto"/>
        <w:ind w:firstLine="480"/>
        <w:rPr>
          <w:rFonts w:cs="宋体"/>
          <w:bCs/>
          <w:iCs/>
          <w:color w:val="auto"/>
          <w:sz w:val="24"/>
          <w:szCs w:val="22"/>
          <w:lang w:val="zh-CN"/>
        </w:rPr>
      </w:pPr>
      <w:r>
        <w:rPr>
          <w:rFonts w:hint="eastAsia" w:cs="宋体"/>
          <w:bCs/>
          <w:iCs/>
          <w:color w:val="auto"/>
          <w:sz w:val="24"/>
          <w:szCs w:val="22"/>
          <w:lang w:val="zh-CN"/>
        </w:rPr>
        <w:t>10.交货日期及交货地点</w:t>
      </w:r>
    </w:p>
    <w:p>
      <w:pPr>
        <w:autoSpaceDE w:val="0"/>
        <w:autoSpaceDN w:val="0"/>
        <w:adjustRightInd w:val="0"/>
        <w:spacing w:line="360" w:lineRule="auto"/>
        <w:ind w:firstLine="480"/>
        <w:rPr>
          <w:rFonts w:cs="宋体"/>
          <w:color w:val="000000" w:themeColor="text1"/>
          <w:sz w:val="24"/>
          <w:lang w:val="zh-CN"/>
          <w14:textFill>
            <w14:solidFill>
              <w14:schemeClr w14:val="tx1"/>
            </w14:solidFill>
          </w14:textFill>
        </w:rPr>
      </w:pPr>
      <w:r>
        <w:rPr>
          <w:rFonts w:hint="eastAsia" w:cs="宋体"/>
          <w:color w:val="auto"/>
          <w:sz w:val="24"/>
          <w:lang w:val="zh-CN"/>
        </w:rPr>
        <w:t>交货期：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签订合同后30天内</w:t>
      </w:r>
      <w:r>
        <w:rPr>
          <w:rFonts w:hint="eastAsia" w:cs="宋体"/>
          <w:color w:val="000000" w:themeColor="text1"/>
          <w:sz w:val="24"/>
          <w:highlight w:val="none"/>
          <w:lang w:val="zh-CN"/>
          <w14:textFill>
            <w14:solidFill>
              <w14:schemeClr w14:val="tx1"/>
            </w14:solidFill>
          </w14:textFill>
        </w:rPr>
        <w:t xml:space="preserve"> </w:t>
      </w:r>
    </w:p>
    <w:p>
      <w:pPr>
        <w:autoSpaceDE w:val="0"/>
        <w:autoSpaceDN w:val="0"/>
        <w:adjustRightInd w:val="0"/>
        <w:spacing w:line="360" w:lineRule="auto"/>
        <w:ind w:firstLine="480"/>
        <w:rPr>
          <w:rFonts w:hint="eastAsia"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zh-CN"/>
          <w14:textFill>
            <w14:solidFill>
              <w14:schemeClr w14:val="tx1"/>
            </w14:solidFill>
          </w14:textFill>
        </w:rPr>
        <w:t>交货地点：</w:t>
      </w:r>
      <w:r>
        <w:rPr>
          <w:rFonts w:hint="eastAsia" w:cs="宋体"/>
          <w:color w:val="000000" w:themeColor="text1"/>
          <w:kern w:val="0"/>
          <w:sz w:val="24"/>
          <w:szCs w:val="24"/>
          <w:highlight w:val="none"/>
          <w:lang w:val="en-US" w:eastAsia="zh-CN"/>
          <w14:textFill>
            <w14:solidFill>
              <w14:schemeClr w14:val="tx1"/>
            </w14:solidFill>
          </w14:textFill>
        </w:rPr>
        <w:t>青海民族大学</w:t>
      </w:r>
    </w:p>
    <w:p>
      <w:pPr>
        <w:autoSpaceDE w:val="0"/>
        <w:autoSpaceDN w:val="0"/>
        <w:adjustRightInd w:val="0"/>
        <w:spacing w:line="360" w:lineRule="auto"/>
        <w:ind w:firstLine="480"/>
        <w:rPr>
          <w:rFonts w:cs="宋体"/>
          <w:color w:val="auto"/>
          <w:sz w:val="24"/>
          <w:lang w:val="zh-CN"/>
        </w:rPr>
      </w:pPr>
      <w:r>
        <w:rPr>
          <w:rFonts w:hint="eastAsia" w:cs="宋体"/>
          <w:color w:val="auto"/>
          <w:sz w:val="24"/>
          <w:lang w:val="zh-CN"/>
        </w:rPr>
        <w:t>11.检验和验收</w:t>
      </w:r>
    </w:p>
    <w:p>
      <w:pPr>
        <w:autoSpaceDE w:val="0"/>
        <w:autoSpaceDN w:val="0"/>
        <w:adjustRightInd w:val="0"/>
        <w:spacing w:line="360" w:lineRule="auto"/>
        <w:ind w:firstLine="480"/>
        <w:rPr>
          <w:rFonts w:cs="宋体"/>
          <w:color w:val="auto"/>
          <w:sz w:val="24"/>
        </w:rPr>
      </w:pPr>
      <w:r>
        <w:rPr>
          <w:rFonts w:hint="eastAsia" w:cs="宋体"/>
          <w:color w:val="auto"/>
          <w:sz w:val="24"/>
        </w:rPr>
        <w:t>11.1</w:t>
      </w:r>
      <w:r>
        <w:rPr>
          <w:rFonts w:hint="eastAsia" w:cs="宋体"/>
          <w:color w:val="auto"/>
          <w:sz w:val="24"/>
          <w:lang w:val="zh-CN"/>
        </w:rPr>
        <w:t>开箱验收</w:t>
      </w:r>
    </w:p>
    <w:p>
      <w:pPr>
        <w:autoSpaceDE w:val="0"/>
        <w:autoSpaceDN w:val="0"/>
        <w:adjustRightInd w:val="0"/>
        <w:spacing w:line="360" w:lineRule="auto"/>
        <w:ind w:firstLine="480"/>
        <w:rPr>
          <w:rFonts w:cs="宋体"/>
          <w:color w:val="auto"/>
          <w:sz w:val="24"/>
        </w:rPr>
      </w:pPr>
      <w:r>
        <w:rPr>
          <w:rFonts w:hint="eastAsia" w:cs="宋体"/>
          <w:color w:val="auto"/>
          <w:sz w:val="24"/>
        </w:rPr>
        <w:t>11.1.1</w:t>
      </w:r>
      <w:r>
        <w:rPr>
          <w:rFonts w:hint="eastAsia" w:cs="宋体"/>
          <w:color w:val="auto"/>
          <w:sz w:val="24"/>
          <w:lang w:val="zh-CN"/>
        </w:rPr>
        <w:t>货物运抵现场后，双方应及时开箱验收，并制作验收记录，以确认与本合同约定的数量、型号等是否一致。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11.1.2 </w:t>
      </w:r>
      <w:r>
        <w:rPr>
          <w:rFonts w:hint="eastAsia" w:cs="宋体"/>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11.1.3 </w:t>
      </w:r>
      <w:r>
        <w:rPr>
          <w:rFonts w:hint="eastAsia" w:cs="宋体"/>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检验验收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11.2.1 </w:t>
      </w:r>
      <w:r>
        <w:rPr>
          <w:rFonts w:hint="eastAsia" w:cs="宋体"/>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11.2.2 </w:t>
      </w:r>
      <w:r>
        <w:rPr>
          <w:rFonts w:hint="eastAsia" w:cs="宋体"/>
          <w:color w:val="auto"/>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11.2.3  </w:t>
      </w:r>
      <w:r>
        <w:rPr>
          <w:rFonts w:hint="eastAsia" w:cs="宋体"/>
          <w:color w:val="auto"/>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11.2.4  </w:t>
      </w:r>
      <w:r>
        <w:rPr>
          <w:rFonts w:hint="eastAsia" w:cs="宋体"/>
          <w:color w:val="auto"/>
          <w:sz w:val="24"/>
          <w:lang w:val="zh-CN"/>
        </w:rPr>
        <w:t>检验测试出现全部或部分未达到本合同所约定的技术指标，甲方有权选择下列任一处理方式：</w:t>
      </w:r>
    </w:p>
    <w:p>
      <w:pPr>
        <w:autoSpaceDE w:val="0"/>
        <w:autoSpaceDN w:val="0"/>
        <w:adjustRightInd w:val="0"/>
        <w:spacing w:line="360" w:lineRule="auto"/>
        <w:ind w:firstLine="480"/>
        <w:rPr>
          <w:rFonts w:cs="宋体"/>
          <w:color w:val="auto"/>
          <w:sz w:val="24"/>
        </w:rPr>
      </w:pPr>
      <w:r>
        <w:rPr>
          <w:rFonts w:hint="eastAsia" w:cs="宋体"/>
          <w:color w:val="auto"/>
          <w:sz w:val="24"/>
        </w:rPr>
        <w:t>a.</w:t>
      </w:r>
      <w:r>
        <w:rPr>
          <w:rFonts w:hint="eastAsia" w:cs="宋体"/>
          <w:color w:val="auto"/>
          <w:sz w:val="24"/>
          <w:lang w:val="zh-CN"/>
        </w:rPr>
        <w:t>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rPr>
        <w:t>b.</w:t>
      </w:r>
      <w:r>
        <w:rPr>
          <w:rFonts w:hint="eastAsia" w:cs="宋体"/>
          <w:color w:val="auto"/>
          <w:sz w:val="24"/>
          <w:lang w:val="zh-CN"/>
        </w:rPr>
        <w:t>要求乙方对货物进行免费更换，然后重新测试直至合格为止；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lang w:val="zh-CN"/>
        </w:rPr>
        <w:t>无论选择何种方式，甲方因此而发生的因卖方原因引起的所有费用均由乙方负担。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11.3  </w:t>
      </w:r>
      <w:r>
        <w:rPr>
          <w:rFonts w:hint="eastAsia" w:cs="宋体"/>
          <w:color w:val="auto"/>
          <w:sz w:val="24"/>
          <w:lang w:val="zh-CN"/>
        </w:rPr>
        <w:t>使用过程检验</w:t>
      </w:r>
    </w:p>
    <w:p>
      <w:pPr>
        <w:autoSpaceDE w:val="0"/>
        <w:autoSpaceDN w:val="0"/>
        <w:adjustRightInd w:val="0"/>
        <w:spacing w:line="360" w:lineRule="auto"/>
        <w:ind w:firstLine="480"/>
        <w:rPr>
          <w:rFonts w:cs="宋体"/>
          <w:color w:val="auto"/>
          <w:sz w:val="24"/>
        </w:rPr>
      </w:pPr>
      <w:r>
        <w:rPr>
          <w:rFonts w:hint="eastAsia" w:cs="宋体"/>
          <w:color w:val="auto"/>
          <w:sz w:val="24"/>
        </w:rPr>
        <w:t>11.3.1</w:t>
      </w:r>
      <w:r>
        <w:rPr>
          <w:rFonts w:hint="eastAsia" w:cs="宋体"/>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360" w:lineRule="auto"/>
        <w:ind w:firstLine="480"/>
        <w:rPr>
          <w:rFonts w:cs="宋体"/>
          <w:color w:val="auto"/>
          <w:sz w:val="24"/>
        </w:rPr>
      </w:pPr>
      <w:r>
        <w:rPr>
          <w:rFonts w:hint="eastAsia" w:cs="宋体"/>
          <w:color w:val="auto"/>
          <w:sz w:val="24"/>
        </w:rPr>
        <w:t>11.3.2</w:t>
      </w:r>
      <w:r>
        <w:rPr>
          <w:rFonts w:hint="eastAsia" w:cs="宋体"/>
          <w:color w:val="auto"/>
          <w:sz w:val="24"/>
          <w:lang w:val="zh-CN"/>
        </w:rPr>
        <w:t>如果合同双方对乙方提供的上述试验结果报告的解释有分歧，双方须于出现分歧后</w:t>
      </w:r>
      <w:r>
        <w:rPr>
          <w:rFonts w:hint="eastAsia" w:cs="宋体"/>
          <w:color w:val="auto"/>
          <w:sz w:val="24"/>
        </w:rPr>
        <w:t>10</w:t>
      </w:r>
      <w:r>
        <w:rPr>
          <w:rFonts w:hint="eastAsia" w:cs="宋体"/>
          <w:color w:val="auto"/>
          <w:sz w:val="24"/>
          <w:lang w:val="zh-CN"/>
        </w:rPr>
        <w:t>天内给对方声明，以陈述己方的观点。声明须附有关证据。分歧应通过协商解决。</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12.</w:t>
      </w:r>
      <w:r>
        <w:rPr>
          <w:rFonts w:hint="eastAsia" w:cs="宋体"/>
          <w:b/>
          <w:color w:val="auto"/>
          <w:sz w:val="28"/>
          <w:szCs w:val="28"/>
          <w:lang w:val="zh-CN"/>
        </w:rPr>
        <w:t>付款条件</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本合同条款下的付款方法和条件在“采购合同书”中具体规定。</w:t>
      </w:r>
    </w:p>
    <w:p>
      <w:pPr>
        <w:autoSpaceDE w:val="0"/>
        <w:autoSpaceDN w:val="0"/>
        <w:adjustRightInd w:val="0"/>
        <w:spacing w:line="360" w:lineRule="auto"/>
        <w:ind w:firstLine="562"/>
        <w:rPr>
          <w:rFonts w:cs="宋体"/>
          <w:color w:val="auto"/>
          <w:sz w:val="24"/>
        </w:rPr>
      </w:pPr>
      <w:r>
        <w:rPr>
          <w:rFonts w:hint="eastAsia" w:cs="宋体"/>
          <w:b/>
          <w:color w:val="auto"/>
          <w:sz w:val="28"/>
          <w:szCs w:val="28"/>
        </w:rPr>
        <w:t>13.</w:t>
      </w:r>
      <w:r>
        <w:rPr>
          <w:rFonts w:hint="eastAsia" w:cs="宋体"/>
          <w:b/>
          <w:color w:val="auto"/>
          <w:sz w:val="28"/>
          <w:szCs w:val="28"/>
          <w:lang w:val="zh-CN"/>
        </w:rPr>
        <w:t>履约保证金</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14.</w:t>
      </w:r>
      <w:r>
        <w:rPr>
          <w:rFonts w:hint="eastAsia" w:cs="宋体"/>
          <w:b/>
          <w:color w:val="auto"/>
          <w:sz w:val="28"/>
          <w:szCs w:val="28"/>
          <w:lang w:val="zh-CN"/>
        </w:rPr>
        <w:t>索赔</w:t>
      </w:r>
    </w:p>
    <w:p>
      <w:pPr>
        <w:autoSpaceDE w:val="0"/>
        <w:autoSpaceDN w:val="0"/>
        <w:adjustRightInd w:val="0"/>
        <w:spacing w:line="360" w:lineRule="auto"/>
        <w:ind w:firstLine="480"/>
        <w:rPr>
          <w:rFonts w:cs="宋体"/>
          <w:color w:val="auto"/>
          <w:sz w:val="24"/>
        </w:rPr>
      </w:pPr>
      <w:r>
        <w:rPr>
          <w:rFonts w:hint="eastAsia" w:cs="宋体"/>
          <w:color w:val="auto"/>
          <w:sz w:val="24"/>
        </w:rPr>
        <w:t>14.1</w:t>
      </w:r>
      <w:r>
        <w:rPr>
          <w:rFonts w:hint="eastAsia" w:cs="宋体"/>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360" w:lineRule="auto"/>
        <w:ind w:firstLine="480"/>
        <w:rPr>
          <w:rFonts w:cs="宋体"/>
          <w:color w:val="auto"/>
          <w:sz w:val="24"/>
        </w:rPr>
      </w:pPr>
      <w:r>
        <w:rPr>
          <w:rFonts w:hint="eastAsia" w:cs="宋体"/>
          <w:color w:val="auto"/>
          <w:sz w:val="24"/>
        </w:rPr>
        <w:t>14.2</w:t>
      </w:r>
      <w:r>
        <w:rPr>
          <w:rFonts w:hint="eastAsia" w:cs="宋体"/>
          <w:color w:val="auto"/>
          <w:sz w:val="24"/>
          <w:lang w:val="zh-CN"/>
        </w:rPr>
        <w:t>在履约保证期和检验期内，乙方对甲方提出的索赔负有责任，乙方应按照甲方同意的下列一种或多种方式解决索赔事宜：</w:t>
      </w:r>
    </w:p>
    <w:p>
      <w:pPr>
        <w:autoSpaceDE w:val="0"/>
        <w:autoSpaceDN w:val="0"/>
        <w:adjustRightInd w:val="0"/>
        <w:spacing w:line="360" w:lineRule="auto"/>
        <w:ind w:firstLine="480"/>
        <w:rPr>
          <w:rFonts w:cs="宋体"/>
          <w:color w:val="auto"/>
          <w:sz w:val="24"/>
        </w:rPr>
      </w:pPr>
      <w:r>
        <w:rPr>
          <w:rFonts w:hint="eastAsia" w:cs="宋体"/>
          <w:color w:val="auto"/>
          <w:sz w:val="24"/>
        </w:rPr>
        <w:t>14.2.1</w:t>
      </w:r>
      <w:r>
        <w:rPr>
          <w:rFonts w:hint="eastAsia" w:cs="宋体"/>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360" w:lineRule="auto"/>
        <w:ind w:firstLine="480"/>
        <w:rPr>
          <w:rFonts w:cs="宋体"/>
          <w:color w:val="auto"/>
          <w:sz w:val="24"/>
        </w:rPr>
      </w:pPr>
      <w:r>
        <w:rPr>
          <w:rFonts w:hint="eastAsia" w:cs="宋体"/>
          <w:color w:val="auto"/>
          <w:sz w:val="24"/>
        </w:rPr>
        <w:t>14.2.2</w:t>
      </w:r>
      <w:r>
        <w:rPr>
          <w:rFonts w:hint="eastAsia" w:cs="宋体"/>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360" w:lineRule="auto"/>
        <w:ind w:firstLine="480"/>
        <w:rPr>
          <w:rFonts w:cs="宋体"/>
          <w:color w:val="auto"/>
          <w:sz w:val="24"/>
        </w:rPr>
      </w:pPr>
      <w:r>
        <w:rPr>
          <w:rFonts w:hint="eastAsia" w:cs="宋体"/>
          <w:color w:val="auto"/>
          <w:sz w:val="24"/>
        </w:rPr>
        <w:t>14.2.3</w:t>
      </w:r>
      <w:r>
        <w:rPr>
          <w:rFonts w:hint="eastAsia" w:cs="宋体"/>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360" w:lineRule="auto"/>
        <w:ind w:firstLine="480"/>
        <w:rPr>
          <w:rFonts w:cs="宋体"/>
          <w:color w:val="auto"/>
          <w:sz w:val="24"/>
        </w:rPr>
      </w:pPr>
      <w:r>
        <w:rPr>
          <w:rFonts w:hint="eastAsia" w:cs="宋体"/>
          <w:color w:val="auto"/>
          <w:sz w:val="24"/>
        </w:rPr>
        <w:t>14.3</w:t>
      </w:r>
      <w:r>
        <w:rPr>
          <w:rFonts w:hint="eastAsia" w:cs="宋体"/>
          <w:color w:val="auto"/>
          <w:sz w:val="24"/>
          <w:lang w:val="zh-CN"/>
        </w:rPr>
        <w:t>乙方收到甲方发出的索赔通知之日起</w:t>
      </w:r>
      <w:r>
        <w:rPr>
          <w:rFonts w:hint="eastAsia" w:cs="宋体"/>
          <w:color w:val="auto"/>
          <w:sz w:val="24"/>
        </w:rPr>
        <w:t>5</w:t>
      </w:r>
      <w:r>
        <w:rPr>
          <w:rFonts w:hint="eastAsia" w:cs="宋体"/>
          <w:color w:val="auto"/>
          <w:sz w:val="24"/>
          <w:lang w:val="zh-CN"/>
        </w:rPr>
        <w:t>个工作日内未作答复的，甲方可从合同款或履约保证金中扣回索赔金额，如金额不足以补偿索赔金额，乙方应补足差额部分。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15.</w:t>
      </w:r>
      <w:r>
        <w:rPr>
          <w:rFonts w:hint="eastAsia" w:cs="宋体"/>
          <w:b/>
          <w:color w:val="auto"/>
          <w:sz w:val="28"/>
          <w:szCs w:val="28"/>
          <w:lang w:val="zh-CN"/>
        </w:rPr>
        <w:t>迟延交货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15.1 </w:t>
      </w:r>
      <w:r>
        <w:rPr>
          <w:rFonts w:hint="eastAsia" w:cs="宋体"/>
          <w:color w:val="auto"/>
          <w:sz w:val="24"/>
          <w:lang w:val="zh-CN"/>
        </w:rPr>
        <w:t>乙方应按照合同约定的时间交货和提供服务。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15.2 </w:t>
      </w:r>
      <w:r>
        <w:rPr>
          <w:rFonts w:hint="eastAsia" w:cs="宋体"/>
          <w:color w:val="auto"/>
          <w:sz w:val="24"/>
          <w:lang w:val="zh-CN"/>
        </w:rPr>
        <w:t>除不可抗力因素外，乙方迟延交货，甲方有权提出违约损失赔偿或解除合同。</w:t>
      </w:r>
    </w:p>
    <w:p>
      <w:pPr>
        <w:autoSpaceDE w:val="0"/>
        <w:autoSpaceDN w:val="0"/>
        <w:adjustRightInd w:val="0"/>
        <w:spacing w:line="360" w:lineRule="auto"/>
        <w:ind w:firstLine="480"/>
        <w:rPr>
          <w:rFonts w:cs="宋体"/>
          <w:color w:val="auto"/>
          <w:sz w:val="24"/>
        </w:rPr>
      </w:pPr>
      <w:r>
        <w:rPr>
          <w:rFonts w:hint="eastAsia" w:cs="宋体"/>
          <w:color w:val="auto"/>
          <w:sz w:val="24"/>
        </w:rPr>
        <w:t>15.3</w:t>
      </w:r>
      <w:r>
        <w:rPr>
          <w:rFonts w:hint="eastAsia" w:cs="宋体"/>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16.</w:t>
      </w:r>
      <w:r>
        <w:rPr>
          <w:rFonts w:hint="eastAsia" w:cs="宋体"/>
          <w:b/>
          <w:color w:val="auto"/>
          <w:sz w:val="28"/>
          <w:szCs w:val="28"/>
          <w:lang w:val="zh-CN"/>
        </w:rPr>
        <w:t>违约赔偿</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17.</w:t>
      </w:r>
      <w:r>
        <w:rPr>
          <w:rFonts w:hint="eastAsia" w:cs="宋体"/>
          <w:b/>
          <w:color w:val="auto"/>
          <w:sz w:val="28"/>
          <w:szCs w:val="28"/>
          <w:lang w:val="zh-CN"/>
        </w:rPr>
        <w:t>不可抗力</w:t>
      </w:r>
    </w:p>
    <w:p>
      <w:pPr>
        <w:autoSpaceDE w:val="0"/>
        <w:autoSpaceDN w:val="0"/>
        <w:adjustRightInd w:val="0"/>
        <w:spacing w:line="360" w:lineRule="auto"/>
        <w:ind w:firstLine="480"/>
        <w:rPr>
          <w:rFonts w:cs="宋体"/>
          <w:color w:val="auto"/>
          <w:sz w:val="24"/>
        </w:rPr>
      </w:pPr>
      <w:r>
        <w:rPr>
          <w:rFonts w:hint="eastAsia" w:cs="宋体"/>
          <w:color w:val="auto"/>
          <w:sz w:val="24"/>
        </w:rPr>
        <w:t>17.1.</w:t>
      </w:r>
      <w:r>
        <w:rPr>
          <w:rFonts w:hint="eastAsia" w:cs="宋体"/>
          <w:color w:val="auto"/>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360" w:lineRule="auto"/>
        <w:ind w:firstLine="480"/>
        <w:rPr>
          <w:rFonts w:cs="宋体"/>
          <w:color w:val="auto"/>
          <w:sz w:val="24"/>
        </w:rPr>
      </w:pPr>
      <w:r>
        <w:rPr>
          <w:rFonts w:hint="eastAsia" w:cs="宋体"/>
          <w:color w:val="auto"/>
          <w:sz w:val="24"/>
        </w:rPr>
        <w:t>17.2</w:t>
      </w:r>
      <w:r>
        <w:rPr>
          <w:rFonts w:hint="eastAsia" w:cs="宋体"/>
          <w:color w:val="auto"/>
          <w:sz w:val="24"/>
          <w:lang w:val="zh-CN"/>
        </w:rPr>
        <w:t>受事故影响的一方应在不可抗力的事故发生后以书面形式通知另一方。</w:t>
      </w:r>
    </w:p>
    <w:p>
      <w:pPr>
        <w:autoSpaceDE w:val="0"/>
        <w:autoSpaceDN w:val="0"/>
        <w:adjustRightInd w:val="0"/>
        <w:spacing w:line="360" w:lineRule="auto"/>
        <w:ind w:firstLine="480"/>
        <w:rPr>
          <w:rFonts w:cs="宋体"/>
          <w:color w:val="auto"/>
          <w:sz w:val="24"/>
        </w:rPr>
      </w:pPr>
      <w:r>
        <w:rPr>
          <w:rFonts w:hint="eastAsia" w:cs="宋体"/>
          <w:color w:val="auto"/>
          <w:sz w:val="24"/>
        </w:rPr>
        <w:t>17.3</w:t>
      </w:r>
      <w:r>
        <w:rPr>
          <w:rFonts w:hint="eastAsia" w:cs="宋体"/>
          <w:color w:val="auto"/>
          <w:sz w:val="24"/>
          <w:lang w:val="zh-CN"/>
        </w:rPr>
        <w:t>不可抗力使合同的某些内容有变更必要的，</w:t>
      </w:r>
      <w:r>
        <w:rPr>
          <w:rFonts w:hint="eastAsia" w:cs="宋体"/>
          <w:color w:val="auto"/>
          <w:sz w:val="24"/>
        </w:rPr>
        <w:t xml:space="preserve"> </w:t>
      </w:r>
      <w:r>
        <w:rPr>
          <w:rFonts w:hint="eastAsia" w:cs="宋体"/>
          <w:color w:val="auto"/>
          <w:sz w:val="24"/>
          <w:lang w:val="zh-CN"/>
        </w:rPr>
        <w:t>双方应通过协商达成进一步履行合同的协议，因不可抗力致使合同不能履行的，合同终止。</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18.</w:t>
      </w:r>
      <w:r>
        <w:rPr>
          <w:rFonts w:hint="eastAsia" w:cs="宋体"/>
          <w:b/>
          <w:color w:val="auto"/>
          <w:sz w:val="28"/>
          <w:szCs w:val="28"/>
          <w:lang w:val="zh-CN"/>
        </w:rPr>
        <w:t>税费</w:t>
      </w:r>
    </w:p>
    <w:p>
      <w:pPr>
        <w:autoSpaceDE w:val="0"/>
        <w:autoSpaceDN w:val="0"/>
        <w:adjustRightInd w:val="0"/>
        <w:spacing w:line="360" w:lineRule="auto"/>
        <w:ind w:firstLine="480"/>
        <w:rPr>
          <w:rFonts w:cs="宋体"/>
          <w:color w:val="auto"/>
          <w:sz w:val="24"/>
        </w:rPr>
      </w:pPr>
      <w:r>
        <w:rPr>
          <w:rFonts w:hint="eastAsia" w:cs="宋体"/>
          <w:color w:val="auto"/>
          <w:sz w:val="24"/>
          <w:lang w:val="zh-CN"/>
        </w:rPr>
        <w:t>与本合同有关的一切税费均由乙方承担。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19.</w:t>
      </w:r>
      <w:r>
        <w:rPr>
          <w:rFonts w:hint="eastAsia" w:cs="宋体"/>
          <w:b/>
          <w:color w:val="auto"/>
          <w:sz w:val="28"/>
          <w:szCs w:val="28"/>
          <w:lang w:val="zh-CN"/>
        </w:rPr>
        <w:t>合同争议的解决</w:t>
      </w:r>
    </w:p>
    <w:p>
      <w:pPr>
        <w:autoSpaceDE w:val="0"/>
        <w:autoSpaceDN w:val="0"/>
        <w:adjustRightInd w:val="0"/>
        <w:spacing w:line="360" w:lineRule="auto"/>
        <w:ind w:firstLine="480"/>
        <w:rPr>
          <w:rFonts w:cs="宋体"/>
          <w:color w:val="auto"/>
          <w:sz w:val="24"/>
        </w:rPr>
      </w:pPr>
      <w:r>
        <w:rPr>
          <w:rFonts w:hint="eastAsia" w:cs="宋体"/>
          <w:color w:val="auto"/>
          <w:sz w:val="24"/>
        </w:rPr>
        <w:t>19.1</w:t>
      </w:r>
      <w:r>
        <w:rPr>
          <w:rFonts w:hint="eastAsia" w:cs="宋体"/>
          <w:color w:val="auto"/>
          <w:sz w:val="24"/>
          <w:lang w:val="zh-CN"/>
        </w:rPr>
        <w:t>甲方和乙方由于本合同的履行而发生任何争议时，双方可先通过协商解决。</w:t>
      </w:r>
    </w:p>
    <w:p>
      <w:pPr>
        <w:autoSpaceDE w:val="0"/>
        <w:autoSpaceDN w:val="0"/>
        <w:adjustRightInd w:val="0"/>
        <w:spacing w:line="360" w:lineRule="auto"/>
        <w:ind w:firstLine="480"/>
        <w:rPr>
          <w:rFonts w:cs="宋体"/>
          <w:color w:val="auto"/>
          <w:sz w:val="24"/>
        </w:rPr>
      </w:pPr>
      <w:r>
        <w:rPr>
          <w:rFonts w:hint="eastAsia" w:cs="宋体"/>
          <w:color w:val="auto"/>
          <w:sz w:val="24"/>
        </w:rPr>
        <w:t>19.2</w:t>
      </w:r>
      <w:r>
        <w:rPr>
          <w:rFonts w:hint="eastAsia" w:cs="宋体"/>
          <w:color w:val="auto"/>
          <w:sz w:val="24"/>
          <w:lang w:val="zh-CN"/>
        </w:rPr>
        <w:t>任何一方不愿通过协商或通过协商仍不能解决争议，则双方中任何一方均应向甲方所在地人民法院起诉。</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20.</w:t>
      </w:r>
      <w:r>
        <w:rPr>
          <w:rFonts w:hint="eastAsia" w:cs="宋体"/>
          <w:b/>
          <w:color w:val="auto"/>
          <w:sz w:val="28"/>
          <w:szCs w:val="28"/>
          <w:lang w:val="zh-CN"/>
        </w:rPr>
        <w:t>违约解除合同</w:t>
      </w:r>
    </w:p>
    <w:p>
      <w:pPr>
        <w:autoSpaceDE w:val="0"/>
        <w:autoSpaceDN w:val="0"/>
        <w:adjustRightInd w:val="0"/>
        <w:spacing w:line="360" w:lineRule="auto"/>
        <w:ind w:firstLine="480"/>
        <w:rPr>
          <w:rFonts w:cs="宋体"/>
          <w:color w:val="auto"/>
          <w:sz w:val="24"/>
        </w:rPr>
      </w:pPr>
      <w:r>
        <w:rPr>
          <w:rFonts w:hint="eastAsia" w:cs="宋体"/>
          <w:color w:val="auto"/>
          <w:sz w:val="24"/>
        </w:rPr>
        <w:t>20.1</w:t>
      </w:r>
      <w:r>
        <w:rPr>
          <w:rFonts w:hint="eastAsia" w:cs="宋体"/>
          <w:color w:val="auto"/>
          <w:sz w:val="24"/>
          <w:lang w:val="zh-CN"/>
        </w:rPr>
        <w:t>出现下列情形之一的，视为乙方违约。甲方可向乙方发出书面通知，部分或全部终止合同，同时保留向乙方索赔的权利。</w:t>
      </w:r>
    </w:p>
    <w:p>
      <w:pPr>
        <w:autoSpaceDE w:val="0"/>
        <w:autoSpaceDN w:val="0"/>
        <w:adjustRightInd w:val="0"/>
        <w:spacing w:line="360" w:lineRule="auto"/>
        <w:ind w:firstLine="480"/>
        <w:rPr>
          <w:rFonts w:cs="宋体"/>
          <w:color w:val="auto"/>
          <w:sz w:val="24"/>
        </w:rPr>
      </w:pPr>
      <w:r>
        <w:rPr>
          <w:rFonts w:hint="eastAsia" w:cs="宋体"/>
          <w:color w:val="auto"/>
          <w:sz w:val="24"/>
        </w:rPr>
        <w:t>20.1.1</w:t>
      </w:r>
      <w:r>
        <w:rPr>
          <w:rFonts w:hint="eastAsia" w:cs="宋体"/>
          <w:color w:val="auto"/>
          <w:sz w:val="24"/>
          <w:lang w:val="zh-CN"/>
        </w:rPr>
        <w:t>乙方未能在合同规定的限期或甲方同意延长的限期内，提供全部或部分货物的；</w:t>
      </w:r>
    </w:p>
    <w:p>
      <w:pPr>
        <w:autoSpaceDE w:val="0"/>
        <w:autoSpaceDN w:val="0"/>
        <w:adjustRightInd w:val="0"/>
        <w:spacing w:line="360" w:lineRule="auto"/>
        <w:ind w:firstLine="480"/>
        <w:rPr>
          <w:rFonts w:cs="宋体"/>
          <w:color w:val="auto"/>
          <w:sz w:val="24"/>
        </w:rPr>
      </w:pPr>
      <w:r>
        <w:rPr>
          <w:rFonts w:hint="eastAsia" w:cs="宋体"/>
          <w:color w:val="auto"/>
          <w:sz w:val="24"/>
        </w:rPr>
        <w:t>20.1.2</w:t>
      </w:r>
      <w:r>
        <w:rPr>
          <w:rFonts w:hint="eastAsia" w:cs="宋体"/>
          <w:color w:val="auto"/>
          <w:sz w:val="24"/>
          <w:lang w:val="zh-CN"/>
        </w:rPr>
        <w:t>乙方未能履行合同规定的其它主要义务的；</w:t>
      </w:r>
    </w:p>
    <w:p>
      <w:pPr>
        <w:autoSpaceDE w:val="0"/>
        <w:autoSpaceDN w:val="0"/>
        <w:adjustRightInd w:val="0"/>
        <w:spacing w:line="360" w:lineRule="auto"/>
        <w:ind w:firstLine="480"/>
        <w:rPr>
          <w:rFonts w:cs="宋体"/>
          <w:color w:val="auto"/>
          <w:sz w:val="24"/>
        </w:rPr>
      </w:pPr>
      <w:r>
        <w:rPr>
          <w:rFonts w:hint="eastAsia" w:cs="宋体"/>
          <w:color w:val="auto"/>
          <w:sz w:val="24"/>
        </w:rPr>
        <w:t>20.1.3</w:t>
      </w:r>
      <w:r>
        <w:rPr>
          <w:rFonts w:hint="eastAsia" w:cs="宋体"/>
          <w:color w:val="auto"/>
          <w:sz w:val="24"/>
          <w:lang w:val="zh-CN"/>
        </w:rPr>
        <w:t>乙方在本合同履行过程中有欺诈行为的。</w:t>
      </w:r>
    </w:p>
    <w:p>
      <w:pPr>
        <w:autoSpaceDE w:val="0"/>
        <w:autoSpaceDN w:val="0"/>
        <w:adjustRightInd w:val="0"/>
        <w:spacing w:line="360" w:lineRule="auto"/>
        <w:ind w:firstLine="480"/>
        <w:rPr>
          <w:rFonts w:cs="宋体"/>
          <w:color w:val="auto"/>
          <w:sz w:val="24"/>
        </w:rPr>
      </w:pPr>
      <w:r>
        <w:rPr>
          <w:rFonts w:hint="eastAsia" w:cs="宋体"/>
          <w:color w:val="auto"/>
          <w:sz w:val="24"/>
        </w:rPr>
        <w:t>20.2</w:t>
      </w:r>
      <w:r>
        <w:rPr>
          <w:rFonts w:hint="eastAsia" w:cs="宋体"/>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21.</w:t>
      </w:r>
      <w:r>
        <w:rPr>
          <w:rFonts w:hint="eastAsia" w:cs="宋体"/>
          <w:b/>
          <w:color w:val="auto"/>
          <w:sz w:val="28"/>
          <w:szCs w:val="28"/>
          <w:lang w:val="zh-CN"/>
        </w:rPr>
        <w:t>破产终止合同</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22.</w:t>
      </w:r>
      <w:r>
        <w:rPr>
          <w:rFonts w:hint="eastAsia" w:cs="宋体"/>
          <w:b/>
          <w:color w:val="auto"/>
          <w:sz w:val="28"/>
          <w:szCs w:val="28"/>
          <w:lang w:val="zh-CN"/>
        </w:rPr>
        <w:t>转让和分包</w:t>
      </w:r>
    </w:p>
    <w:p>
      <w:pPr>
        <w:autoSpaceDE w:val="0"/>
        <w:autoSpaceDN w:val="0"/>
        <w:adjustRightInd w:val="0"/>
        <w:spacing w:line="360" w:lineRule="auto"/>
        <w:ind w:firstLine="480"/>
        <w:rPr>
          <w:rFonts w:cs="宋体"/>
          <w:color w:val="auto"/>
          <w:sz w:val="24"/>
        </w:rPr>
      </w:pPr>
      <w:r>
        <w:rPr>
          <w:rFonts w:hint="eastAsia" w:cs="宋体"/>
          <w:color w:val="auto"/>
          <w:sz w:val="24"/>
        </w:rPr>
        <w:t>22.1</w:t>
      </w:r>
      <w:r>
        <w:rPr>
          <w:rFonts w:hint="eastAsia" w:cs="宋体"/>
          <w:color w:val="auto"/>
          <w:sz w:val="24"/>
          <w:lang w:val="zh-CN"/>
        </w:rPr>
        <w:t>政府采购合同不能转让。</w:t>
      </w:r>
    </w:p>
    <w:p>
      <w:pPr>
        <w:autoSpaceDE w:val="0"/>
        <w:autoSpaceDN w:val="0"/>
        <w:adjustRightInd w:val="0"/>
        <w:spacing w:line="360" w:lineRule="auto"/>
        <w:ind w:firstLine="480"/>
        <w:rPr>
          <w:rFonts w:cs="宋体"/>
          <w:color w:val="auto"/>
          <w:sz w:val="24"/>
        </w:rPr>
      </w:pPr>
      <w:r>
        <w:rPr>
          <w:rFonts w:hint="eastAsia" w:cs="宋体"/>
          <w:color w:val="auto"/>
          <w:sz w:val="24"/>
        </w:rPr>
        <w:t>22.2</w:t>
      </w:r>
      <w:r>
        <w:rPr>
          <w:rFonts w:hint="eastAsia" w:cs="宋体"/>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23.</w:t>
      </w:r>
      <w:r>
        <w:rPr>
          <w:rFonts w:hint="eastAsia" w:cs="宋体"/>
          <w:b/>
          <w:color w:val="auto"/>
          <w:sz w:val="28"/>
          <w:szCs w:val="28"/>
          <w:lang w:val="zh-CN"/>
        </w:rPr>
        <w:t>合同修改</w:t>
      </w:r>
    </w:p>
    <w:p>
      <w:pPr>
        <w:autoSpaceDE w:val="0"/>
        <w:autoSpaceDN w:val="0"/>
        <w:adjustRightInd w:val="0"/>
        <w:spacing w:line="360" w:lineRule="auto"/>
        <w:ind w:firstLine="480"/>
        <w:rPr>
          <w:rFonts w:cs="宋体"/>
          <w:color w:val="auto"/>
          <w:sz w:val="24"/>
        </w:rPr>
      </w:pPr>
      <w:r>
        <w:rPr>
          <w:rFonts w:hint="eastAsia" w:cs="宋体"/>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24.</w:t>
      </w:r>
      <w:r>
        <w:rPr>
          <w:rFonts w:hint="eastAsia" w:cs="宋体"/>
          <w:b/>
          <w:color w:val="auto"/>
          <w:sz w:val="28"/>
          <w:szCs w:val="28"/>
          <w:lang w:val="zh-CN"/>
        </w:rPr>
        <w:t>通知</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本合同任何一方给另一方的通知，都应以书面形式发送，而另一方也应以书面形式确认并发送到对方明确的地址。</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25.</w:t>
      </w:r>
      <w:r>
        <w:rPr>
          <w:rFonts w:hint="eastAsia" w:cs="宋体"/>
          <w:b/>
          <w:color w:val="auto"/>
          <w:sz w:val="28"/>
          <w:szCs w:val="28"/>
          <w:lang w:val="zh-CN"/>
        </w:rPr>
        <w:t>计量单位</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除技术规范中另有规定外</w:t>
      </w:r>
      <w:r>
        <w:rPr>
          <w:rFonts w:hint="eastAsia" w:cs="宋体"/>
          <w:color w:val="auto"/>
          <w:sz w:val="24"/>
        </w:rPr>
        <w:t>,</w:t>
      </w:r>
      <w:r>
        <w:rPr>
          <w:rFonts w:hint="eastAsia" w:cs="宋体"/>
          <w:color w:val="auto"/>
          <w:sz w:val="24"/>
          <w:lang w:val="zh-CN"/>
        </w:rPr>
        <w:t>计量单位均使用国家法定计量单位。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26.</w:t>
      </w:r>
      <w:r>
        <w:rPr>
          <w:rFonts w:hint="eastAsia" w:cs="宋体"/>
          <w:b/>
          <w:color w:val="auto"/>
          <w:sz w:val="28"/>
          <w:szCs w:val="28"/>
          <w:lang w:val="zh-CN"/>
        </w:rPr>
        <w:t>适用法律</w:t>
      </w:r>
    </w:p>
    <w:p>
      <w:pPr>
        <w:autoSpaceDE w:val="0"/>
        <w:autoSpaceDN w:val="0"/>
        <w:adjustRightInd w:val="0"/>
        <w:spacing w:line="360" w:lineRule="auto"/>
        <w:ind w:firstLine="480"/>
      </w:pPr>
      <w:r>
        <w:rPr>
          <w:rFonts w:hint="eastAsia" w:cs="宋体"/>
          <w:color w:val="auto"/>
          <w:sz w:val="24"/>
          <w:lang w:val="zh-CN"/>
        </w:rPr>
        <w:t>本合同按照中华人民共和国的相关法律进行解释。</w:t>
      </w:r>
      <w:bookmarkStart w:id="322" w:name="_Toc24522"/>
      <w:bookmarkStart w:id="323" w:name="_Toc9268"/>
      <w:bookmarkStart w:id="324" w:name="_Toc17120"/>
    </w:p>
    <w:p>
      <w:pPr>
        <w:pStyle w:val="3"/>
        <w:jc w:val="center"/>
        <w:rPr>
          <w:sz w:val="32"/>
          <w:szCs w:val="32"/>
        </w:rPr>
      </w:pPr>
      <w:r>
        <w:rPr>
          <w:rFonts w:hint="eastAsia"/>
          <w:sz w:val="32"/>
          <w:szCs w:val="32"/>
        </w:rPr>
        <w:t>第五章  响应文件格式</w:t>
      </w:r>
      <w:bookmarkEnd w:id="322"/>
      <w:bookmarkEnd w:id="323"/>
      <w:bookmarkEnd w:id="324"/>
    </w:p>
    <w:p>
      <w:pPr>
        <w:pStyle w:val="44"/>
        <w:spacing w:before="0" w:after="0" w:line="360" w:lineRule="auto"/>
        <w:jc w:val="left"/>
        <w:outlineLvl w:val="1"/>
        <w:rPr>
          <w:rFonts w:ascii="宋体" w:hAnsi="宋体" w:cs="宋体"/>
        </w:rPr>
      </w:pPr>
      <w:bookmarkStart w:id="325" w:name="_Toc29301"/>
      <w:bookmarkStart w:id="326" w:name="_Toc27032"/>
      <w:bookmarkStart w:id="327" w:name="_Toc2836"/>
      <w:bookmarkStart w:id="328" w:name="_Toc11851"/>
      <w:bookmarkStart w:id="329" w:name="_Toc21337"/>
      <w:r>
        <w:rPr>
          <w:rFonts w:hint="eastAsia" w:ascii="宋体" w:hAnsi="宋体" w:cs="宋体"/>
          <w:sz w:val="30"/>
          <w:szCs w:val="30"/>
          <w:lang w:val="zh-CN"/>
        </w:rPr>
        <w:t>封面</w:t>
      </w:r>
      <w:bookmarkEnd w:id="325"/>
      <w:bookmarkEnd w:id="326"/>
      <w:bookmarkEnd w:id="327"/>
      <w:bookmarkEnd w:id="328"/>
      <w:bookmarkEnd w:id="329"/>
    </w:p>
    <w:p>
      <w:pPr>
        <w:autoSpaceDE w:val="0"/>
        <w:autoSpaceDN w:val="0"/>
        <w:spacing w:line="360" w:lineRule="auto"/>
        <w:jc w:val="right"/>
        <w:rPr>
          <w:rFonts w:cs="宋体"/>
          <w:b/>
          <w:bCs/>
          <w:color w:val="auto"/>
          <w:kern w:val="0"/>
          <w:sz w:val="36"/>
          <w:szCs w:val="36"/>
        </w:rPr>
      </w:pPr>
      <w:r>
        <w:rPr>
          <w:rFonts w:hint="eastAsia" w:cs="宋体"/>
          <w:b/>
          <w:bCs/>
          <w:color w:val="auto"/>
          <w:kern w:val="0"/>
          <w:sz w:val="36"/>
          <w:szCs w:val="36"/>
        </w:rPr>
        <w:t>正本/副本</w:t>
      </w:r>
    </w:p>
    <w:p>
      <w:pPr>
        <w:autoSpaceDE w:val="0"/>
        <w:autoSpaceDN w:val="0"/>
        <w:spacing w:line="360" w:lineRule="auto"/>
        <w:jc w:val="center"/>
        <w:rPr>
          <w:rFonts w:cs="宋体"/>
          <w:b/>
          <w:bCs/>
          <w:color w:val="auto"/>
          <w:kern w:val="0"/>
          <w:sz w:val="48"/>
          <w:szCs w:val="48"/>
          <w:lang w:val="zh-CN"/>
        </w:rPr>
      </w:pPr>
      <w:r>
        <w:rPr>
          <w:rFonts w:hint="eastAsia" w:cs="宋体"/>
          <w:b/>
          <w:bCs/>
          <w:color w:val="auto"/>
          <w:kern w:val="0"/>
          <w:sz w:val="48"/>
          <w:szCs w:val="48"/>
        </w:rPr>
        <w:t xml:space="preserve"> </w:t>
      </w:r>
      <w:r>
        <w:rPr>
          <w:rFonts w:hint="eastAsia" w:cs="宋体"/>
          <w:b/>
          <w:bCs/>
          <w:color w:val="auto"/>
          <w:kern w:val="0"/>
          <w:sz w:val="48"/>
          <w:szCs w:val="48"/>
          <w:u w:val="single"/>
        </w:rPr>
        <w:t xml:space="preserve">          </w:t>
      </w:r>
      <w:r>
        <w:rPr>
          <w:rFonts w:hint="eastAsia" w:cs="宋体"/>
          <w:b/>
          <w:bCs/>
          <w:color w:val="auto"/>
          <w:kern w:val="0"/>
          <w:sz w:val="48"/>
          <w:szCs w:val="48"/>
          <w:lang w:val="zh-CN"/>
        </w:rPr>
        <w:t>项目</w:t>
      </w:r>
    </w:p>
    <w:p>
      <w:pPr>
        <w:autoSpaceDE w:val="0"/>
        <w:autoSpaceDN w:val="0"/>
        <w:spacing w:line="360" w:lineRule="auto"/>
        <w:rPr>
          <w:rFonts w:cs="宋体"/>
          <w:color w:val="auto"/>
          <w:kern w:val="0"/>
          <w:sz w:val="48"/>
          <w:szCs w:val="48"/>
        </w:rPr>
      </w:pPr>
    </w:p>
    <w:p>
      <w:pPr>
        <w:autoSpaceDE w:val="0"/>
        <w:autoSpaceDN w:val="0"/>
        <w:spacing w:line="360" w:lineRule="auto"/>
        <w:jc w:val="center"/>
        <w:rPr>
          <w:rFonts w:cs="宋体"/>
          <w:b/>
          <w:bCs/>
          <w:color w:val="auto"/>
          <w:kern w:val="0"/>
          <w:sz w:val="52"/>
          <w:szCs w:val="52"/>
          <w:lang w:val="zh-CN"/>
        </w:rPr>
      </w:pPr>
      <w:r>
        <w:rPr>
          <w:rFonts w:hint="eastAsia" w:cs="宋体"/>
          <w:b/>
          <w:bCs/>
          <w:color w:val="auto"/>
          <w:kern w:val="0"/>
          <w:sz w:val="52"/>
          <w:szCs w:val="52"/>
          <w:lang w:val="zh-CN"/>
        </w:rPr>
        <w:t>响</w:t>
      </w:r>
      <w:r>
        <w:rPr>
          <w:rFonts w:hint="eastAsia" w:cs="宋体"/>
          <w:b/>
          <w:bCs/>
          <w:color w:val="auto"/>
          <w:kern w:val="0"/>
          <w:sz w:val="52"/>
          <w:szCs w:val="52"/>
        </w:rPr>
        <w:t xml:space="preserve"> </w:t>
      </w:r>
      <w:r>
        <w:rPr>
          <w:rFonts w:hint="eastAsia" w:cs="宋体"/>
          <w:b/>
          <w:bCs/>
          <w:color w:val="auto"/>
          <w:kern w:val="0"/>
          <w:sz w:val="52"/>
          <w:szCs w:val="52"/>
          <w:lang w:val="zh-CN"/>
        </w:rPr>
        <w:t>应</w:t>
      </w:r>
      <w:r>
        <w:rPr>
          <w:rFonts w:hint="eastAsia" w:cs="宋体"/>
          <w:b/>
          <w:bCs/>
          <w:color w:val="auto"/>
          <w:kern w:val="0"/>
          <w:sz w:val="52"/>
          <w:szCs w:val="52"/>
        </w:rPr>
        <w:t xml:space="preserve"> </w:t>
      </w:r>
      <w:r>
        <w:rPr>
          <w:rFonts w:hint="eastAsia" w:cs="宋体"/>
          <w:b/>
          <w:bCs/>
          <w:color w:val="auto"/>
          <w:kern w:val="0"/>
          <w:sz w:val="52"/>
          <w:szCs w:val="52"/>
          <w:lang w:val="zh-CN"/>
        </w:rPr>
        <w:t>文</w:t>
      </w:r>
      <w:r>
        <w:rPr>
          <w:rFonts w:hint="eastAsia" w:cs="宋体"/>
          <w:b/>
          <w:bCs/>
          <w:color w:val="auto"/>
          <w:kern w:val="0"/>
          <w:sz w:val="52"/>
          <w:szCs w:val="52"/>
        </w:rPr>
        <w:t xml:space="preserve"> </w:t>
      </w:r>
      <w:r>
        <w:rPr>
          <w:rFonts w:hint="eastAsia" w:cs="宋体"/>
          <w:b/>
          <w:bCs/>
          <w:color w:val="auto"/>
          <w:kern w:val="0"/>
          <w:sz w:val="52"/>
          <w:szCs w:val="52"/>
          <w:lang w:val="zh-CN"/>
        </w:rPr>
        <w:t>件</w:t>
      </w:r>
    </w:p>
    <w:p>
      <w:pPr>
        <w:autoSpaceDE w:val="0"/>
        <w:autoSpaceDN w:val="0"/>
        <w:spacing w:line="360" w:lineRule="auto"/>
        <w:jc w:val="center"/>
        <w:rPr>
          <w:rFonts w:cs="宋体"/>
          <w:b/>
          <w:bCs/>
          <w:color w:val="auto"/>
          <w:kern w:val="0"/>
          <w:sz w:val="36"/>
          <w:szCs w:val="36"/>
          <w:lang w:val="zh-CN"/>
        </w:rPr>
      </w:pPr>
    </w:p>
    <w:p>
      <w:pPr>
        <w:autoSpaceDE w:val="0"/>
        <w:autoSpaceDN w:val="0"/>
        <w:spacing w:line="360" w:lineRule="auto"/>
        <w:rPr>
          <w:rFonts w:cs="宋体"/>
          <w:color w:val="auto"/>
          <w:kern w:val="0"/>
          <w:sz w:val="36"/>
          <w:szCs w:val="36"/>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采购项目编号：</w:t>
      </w:r>
    </w:p>
    <w:p>
      <w:pPr>
        <w:autoSpaceDE w:val="0"/>
        <w:autoSpaceDN w:val="0"/>
        <w:spacing w:line="360" w:lineRule="auto"/>
        <w:rPr>
          <w:rFonts w:cs="宋体"/>
          <w:b/>
          <w:bCs/>
          <w:color w:val="auto"/>
          <w:kern w:val="0"/>
          <w:sz w:val="32"/>
          <w:szCs w:val="32"/>
          <w:lang w:val="zh-CN"/>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采购项目名称</w:t>
      </w:r>
      <w:r>
        <w:rPr>
          <w:rFonts w:hint="eastAsia" w:cs="宋体"/>
          <w:b/>
          <w:bCs/>
          <w:color w:val="auto"/>
          <w:kern w:val="0"/>
          <w:sz w:val="32"/>
          <w:szCs w:val="32"/>
        </w:rPr>
        <w:t>：</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en-US" w:eastAsia="zh-CN"/>
        </w:rPr>
        <w:t xml:space="preserve"> </w:t>
      </w:r>
      <w:r>
        <w:rPr>
          <w:rFonts w:hint="eastAsia" w:cs="宋体"/>
          <w:b/>
          <w:bCs/>
          <w:color w:val="auto"/>
          <w:kern w:val="0"/>
          <w:sz w:val="32"/>
          <w:szCs w:val="32"/>
        </w:rPr>
        <w:t xml:space="preserve"> </w:t>
      </w:r>
      <w:r>
        <w:rPr>
          <w:rFonts w:hint="eastAsia" w:cs="宋体"/>
          <w:b/>
          <w:bCs/>
          <w:color w:val="auto"/>
          <w:kern w:val="0"/>
          <w:sz w:val="32"/>
          <w:szCs w:val="32"/>
          <w:lang w:val="zh-CN"/>
        </w:rPr>
        <w:t>供应商：</w:t>
      </w:r>
      <w:r>
        <w:rPr>
          <w:rFonts w:hint="eastAsia" w:cs="宋体"/>
          <w:b/>
          <w:bCs/>
          <w:color w:val="auto"/>
          <w:kern w:val="0"/>
          <w:sz w:val="32"/>
          <w:szCs w:val="32"/>
          <w:u w:val="single"/>
        </w:rPr>
        <w:t xml:space="preserve">                          </w:t>
      </w:r>
      <w:r>
        <w:rPr>
          <w:rFonts w:hint="eastAsia" w:cs="宋体"/>
          <w:b/>
          <w:bCs/>
          <w:color w:val="auto"/>
          <w:kern w:val="0"/>
          <w:sz w:val="32"/>
          <w:szCs w:val="32"/>
        </w:rPr>
        <w:t>（</w:t>
      </w:r>
      <w:r>
        <w:rPr>
          <w:rFonts w:hint="eastAsia" w:cs="宋体"/>
          <w:b/>
          <w:bCs/>
          <w:color w:val="auto"/>
          <w:kern w:val="0"/>
          <w:sz w:val="32"/>
          <w:szCs w:val="32"/>
          <w:lang w:val="zh-CN"/>
        </w:rPr>
        <w:t>公章）</w:t>
      </w: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zh-CN"/>
        </w:rPr>
        <w:t>法定代表人或委托代理人：</w:t>
      </w:r>
      <w:r>
        <w:rPr>
          <w:rFonts w:hint="eastAsia" w:cs="宋体"/>
          <w:b/>
          <w:bCs/>
          <w:color w:val="auto"/>
          <w:kern w:val="0"/>
          <w:sz w:val="32"/>
          <w:szCs w:val="32"/>
          <w:u w:val="single"/>
        </w:rPr>
        <w:t xml:space="preserve">           </w:t>
      </w:r>
      <w:r>
        <w:rPr>
          <w:rFonts w:hint="eastAsia" w:cs="宋体"/>
          <w:b/>
          <w:bCs/>
          <w:color w:val="auto"/>
          <w:kern w:val="0"/>
          <w:sz w:val="32"/>
          <w:szCs w:val="32"/>
          <w:lang w:val="zh-CN"/>
        </w:rPr>
        <w:t>（签字）</w:t>
      </w:r>
    </w:p>
    <w:p>
      <w:pPr>
        <w:autoSpaceDE w:val="0"/>
        <w:autoSpaceDN w:val="0"/>
        <w:spacing w:line="360" w:lineRule="auto"/>
        <w:rPr>
          <w:rFonts w:cs="宋体"/>
          <w:b/>
          <w:bCs/>
          <w:color w:val="auto"/>
          <w:kern w:val="0"/>
          <w:sz w:val="32"/>
          <w:szCs w:val="32"/>
          <w:lang w:val="zh-CN"/>
        </w:rPr>
      </w:pPr>
      <w:r>
        <w:rPr>
          <w:rFonts w:hint="eastAsia" w:cs="宋体"/>
          <w:b/>
          <w:bCs/>
          <w:color w:val="auto"/>
          <w:kern w:val="0"/>
          <w:sz w:val="32"/>
          <w:szCs w:val="32"/>
        </w:rPr>
        <w:t xml:space="preserve">                    </w:t>
      </w:r>
      <w:r>
        <w:rPr>
          <w:rFonts w:hint="eastAsia" w:cs="宋体"/>
          <w:b/>
          <w:bCs/>
          <w:color w:val="auto"/>
          <w:kern w:val="0"/>
          <w:sz w:val="32"/>
          <w:szCs w:val="32"/>
          <w:lang w:val="zh-CN"/>
        </w:rPr>
        <w:t>年</w:t>
      </w:r>
      <w:r>
        <w:rPr>
          <w:rFonts w:hint="eastAsia" w:cs="宋体"/>
          <w:b/>
          <w:bCs/>
          <w:color w:val="auto"/>
          <w:kern w:val="0"/>
          <w:sz w:val="32"/>
          <w:szCs w:val="32"/>
        </w:rPr>
        <w:t xml:space="preserve">    </w:t>
      </w:r>
      <w:r>
        <w:rPr>
          <w:rFonts w:hint="eastAsia" w:cs="宋体"/>
          <w:b/>
          <w:bCs/>
          <w:color w:val="auto"/>
          <w:kern w:val="0"/>
          <w:sz w:val="32"/>
          <w:szCs w:val="32"/>
          <w:lang w:val="zh-CN"/>
        </w:rPr>
        <w:t>月</w:t>
      </w:r>
      <w:r>
        <w:rPr>
          <w:rFonts w:hint="eastAsia" w:cs="宋体"/>
          <w:b/>
          <w:bCs/>
          <w:color w:val="auto"/>
          <w:kern w:val="0"/>
          <w:sz w:val="32"/>
          <w:szCs w:val="32"/>
        </w:rPr>
        <w:t xml:space="preserve">    </w:t>
      </w:r>
      <w:r>
        <w:rPr>
          <w:rFonts w:hint="eastAsia" w:cs="宋体"/>
          <w:b/>
          <w:bCs/>
          <w:color w:val="auto"/>
          <w:kern w:val="0"/>
          <w:sz w:val="32"/>
          <w:szCs w:val="32"/>
          <w:lang w:val="zh-CN"/>
        </w:rPr>
        <w:t>日</w:t>
      </w:r>
    </w:p>
    <w:p>
      <w:pPr>
        <w:rPr>
          <w:sz w:val="32"/>
          <w:szCs w:val="32"/>
        </w:rPr>
      </w:pPr>
      <w:r>
        <w:rPr>
          <w:rFonts w:hint="eastAsia" w:cs="宋体"/>
          <w:color w:val="auto"/>
          <w:kern w:val="0"/>
          <w:sz w:val="32"/>
          <w:szCs w:val="32"/>
          <w:lang w:val="zh-CN"/>
        </w:rPr>
        <w:br w:type="page"/>
      </w:r>
    </w:p>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   录</w:t>
      </w:r>
    </w:p>
    <w:p>
      <w:pPr>
        <w:spacing w:line="360" w:lineRule="auto"/>
        <w:jc w:val="center"/>
        <w:rPr>
          <w:rFonts w:asciiTheme="minorEastAsia" w:hAnsiTheme="minorEastAsia" w:eastAsiaTheme="minorEastAsia" w:cstheme="minorEastAsia"/>
          <w:b/>
          <w:bCs/>
          <w:sz w:val="24"/>
          <w:szCs w:val="24"/>
        </w:rPr>
      </w:pPr>
    </w:p>
    <w:p>
      <w:pPr>
        <w:spacing w:line="360" w:lineRule="auto"/>
        <w:jc w:val="left"/>
        <w:outlineLvl w:val="0"/>
        <w:rPr>
          <w:rFonts w:asciiTheme="minorEastAsia" w:hAnsiTheme="minorEastAsia" w:eastAsiaTheme="minorEastAsia" w:cstheme="minorEastAsia"/>
          <w:sz w:val="24"/>
          <w:szCs w:val="24"/>
        </w:rPr>
      </w:pPr>
      <w:bookmarkStart w:id="330" w:name="_Toc17183"/>
      <w:bookmarkStart w:id="331" w:name="_Toc4538"/>
      <w:bookmarkStart w:id="332" w:name="_Toc4726"/>
      <w:bookmarkStart w:id="333" w:name="_Toc14754"/>
      <w:r>
        <w:rPr>
          <w:rFonts w:hint="eastAsia" w:asciiTheme="minorEastAsia" w:hAnsiTheme="minorEastAsia" w:eastAsiaTheme="minorEastAsia" w:cstheme="minorEastAsia"/>
          <w:sz w:val="24"/>
          <w:szCs w:val="24"/>
        </w:rPr>
        <w:t>一、响应函</w:t>
      </w:r>
      <w:bookmarkEnd w:id="330"/>
      <w:bookmarkEnd w:id="331"/>
      <w:bookmarkEnd w:id="332"/>
      <w:bookmarkEnd w:id="333"/>
    </w:p>
    <w:p>
      <w:pPr>
        <w:spacing w:line="360" w:lineRule="auto"/>
        <w:jc w:val="left"/>
        <w:outlineLvl w:val="0"/>
        <w:rPr>
          <w:rFonts w:asciiTheme="minorEastAsia" w:hAnsiTheme="minorEastAsia" w:eastAsiaTheme="minorEastAsia" w:cstheme="minorEastAsia"/>
          <w:sz w:val="24"/>
          <w:szCs w:val="24"/>
        </w:rPr>
      </w:pPr>
      <w:bookmarkStart w:id="334" w:name="_Toc195"/>
      <w:bookmarkStart w:id="335" w:name="_Toc29230"/>
      <w:bookmarkStart w:id="336" w:name="_Toc2988"/>
      <w:bookmarkStart w:id="337" w:name="_Toc359"/>
      <w:r>
        <w:rPr>
          <w:rFonts w:hint="eastAsia" w:asciiTheme="minorEastAsia" w:hAnsiTheme="minorEastAsia" w:eastAsiaTheme="minorEastAsia" w:cstheme="minorEastAsia"/>
          <w:sz w:val="24"/>
          <w:szCs w:val="24"/>
        </w:rPr>
        <w:t>二、授权委托书（适用于有委托代理人的情况）</w:t>
      </w:r>
      <w:bookmarkEnd w:id="334"/>
      <w:bookmarkEnd w:id="335"/>
      <w:bookmarkEnd w:id="336"/>
      <w:bookmarkEnd w:id="337"/>
    </w:p>
    <w:p>
      <w:pPr>
        <w:spacing w:line="360" w:lineRule="auto"/>
        <w:jc w:val="left"/>
        <w:outlineLvl w:val="0"/>
        <w:rPr>
          <w:rFonts w:asciiTheme="minorEastAsia" w:hAnsiTheme="minorEastAsia" w:eastAsiaTheme="minorEastAsia" w:cstheme="minorEastAsia"/>
          <w:sz w:val="24"/>
          <w:szCs w:val="24"/>
        </w:rPr>
      </w:pPr>
      <w:bookmarkStart w:id="338" w:name="_Toc26573"/>
      <w:bookmarkStart w:id="339" w:name="_Toc1037"/>
      <w:bookmarkStart w:id="340" w:name="_Toc4083"/>
      <w:bookmarkStart w:id="341" w:name="_Toc2154"/>
      <w:r>
        <w:rPr>
          <w:rFonts w:hint="eastAsia" w:asciiTheme="minorEastAsia" w:hAnsiTheme="minorEastAsia" w:eastAsiaTheme="minorEastAsia" w:cstheme="minorEastAsia"/>
          <w:sz w:val="24"/>
          <w:szCs w:val="24"/>
        </w:rPr>
        <w:t>三、响应保证金（适用于递交响应保证金的情况）</w:t>
      </w:r>
      <w:bookmarkEnd w:id="338"/>
      <w:bookmarkEnd w:id="339"/>
      <w:bookmarkEnd w:id="340"/>
      <w:bookmarkEnd w:id="341"/>
    </w:p>
    <w:p>
      <w:pPr>
        <w:spacing w:line="360" w:lineRule="auto"/>
        <w:jc w:val="left"/>
        <w:outlineLvl w:val="0"/>
        <w:rPr>
          <w:rFonts w:asciiTheme="minorEastAsia" w:hAnsiTheme="minorEastAsia" w:eastAsiaTheme="minorEastAsia" w:cstheme="minorEastAsia"/>
          <w:sz w:val="24"/>
          <w:szCs w:val="24"/>
        </w:rPr>
      </w:pPr>
      <w:bookmarkStart w:id="342" w:name="_Toc25273"/>
      <w:bookmarkStart w:id="343" w:name="_Toc21137"/>
      <w:bookmarkStart w:id="344" w:name="_Toc9804"/>
      <w:bookmarkStart w:id="345" w:name="_Toc21064"/>
      <w:r>
        <w:rPr>
          <w:rFonts w:hint="eastAsia" w:asciiTheme="minorEastAsia" w:hAnsiTheme="minorEastAsia" w:eastAsiaTheme="minorEastAsia" w:cstheme="minorEastAsia"/>
          <w:sz w:val="24"/>
          <w:szCs w:val="24"/>
        </w:rPr>
        <w:t>四、</w:t>
      </w:r>
      <w:bookmarkEnd w:id="342"/>
      <w:bookmarkEnd w:id="343"/>
      <w:bookmarkEnd w:id="344"/>
      <w:bookmarkEnd w:id="345"/>
      <w:r>
        <w:rPr>
          <w:rFonts w:hint="eastAsia" w:asciiTheme="minorEastAsia" w:hAnsiTheme="minorEastAsia" w:eastAsiaTheme="minorEastAsia" w:cstheme="minorEastAsia"/>
          <w:sz w:val="24"/>
          <w:szCs w:val="24"/>
        </w:rPr>
        <w:t>报价一览表</w:t>
      </w:r>
    </w:p>
    <w:p>
      <w:pPr>
        <w:spacing w:line="360" w:lineRule="auto"/>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五、分项报价表</w:t>
      </w:r>
    </w:p>
    <w:p>
      <w:pPr>
        <w:spacing w:line="360" w:lineRule="auto"/>
        <w:jc w:val="left"/>
        <w:outlineLvl w:val="0"/>
      </w:pPr>
      <w:bookmarkStart w:id="346" w:name="_Toc30094"/>
      <w:bookmarkStart w:id="347" w:name="_Toc20861"/>
      <w:bookmarkStart w:id="348" w:name="_Toc27978"/>
      <w:r>
        <w:rPr>
          <w:rFonts w:hint="eastAsia" w:asciiTheme="minorEastAsia" w:hAnsiTheme="minorEastAsia" w:eastAsiaTheme="minorEastAsia" w:cstheme="minorEastAsia"/>
          <w:sz w:val="24"/>
          <w:szCs w:val="24"/>
        </w:rPr>
        <w:t>六、技术规格响应表</w:t>
      </w:r>
      <w:bookmarkEnd w:id="346"/>
      <w:bookmarkEnd w:id="347"/>
      <w:bookmarkEnd w:id="348"/>
    </w:p>
    <w:p>
      <w:pPr>
        <w:autoSpaceDE w:val="0"/>
        <w:autoSpaceDN w:val="0"/>
        <w:spacing w:line="360" w:lineRule="auto"/>
        <w:rPr>
          <w:rFonts w:asciiTheme="minorEastAsia" w:hAnsiTheme="minorEastAsia" w:eastAsiaTheme="minorEastAsia" w:cstheme="minorEastAsia"/>
          <w:sz w:val="24"/>
          <w:szCs w:val="24"/>
        </w:rPr>
      </w:pPr>
      <w:bookmarkStart w:id="349" w:name="_Toc2742"/>
      <w:r>
        <w:rPr>
          <w:rFonts w:hint="eastAsia" w:asciiTheme="minorEastAsia" w:hAnsiTheme="minorEastAsia" w:eastAsiaTheme="minorEastAsia" w:cstheme="minorEastAsia"/>
          <w:sz w:val="24"/>
          <w:szCs w:val="24"/>
        </w:rPr>
        <w:t>七、</w:t>
      </w:r>
      <w:bookmarkEnd w:id="349"/>
      <w:bookmarkStart w:id="350" w:name="_Toc22716"/>
      <w:r>
        <w:rPr>
          <w:rFonts w:hint="eastAsia" w:asciiTheme="minorEastAsia" w:hAnsiTheme="minorEastAsia" w:eastAsiaTheme="minorEastAsia" w:cstheme="minorEastAsia"/>
          <w:sz w:val="24"/>
          <w:szCs w:val="24"/>
        </w:rPr>
        <w:t>产品相关资料</w:t>
      </w:r>
    </w:p>
    <w:p>
      <w:pPr>
        <w:spacing w:line="360" w:lineRule="auto"/>
        <w:jc w:val="left"/>
        <w:outlineLvl w:val="0"/>
        <w:rPr>
          <w:rFonts w:asciiTheme="minorEastAsia" w:hAnsiTheme="minorEastAsia" w:eastAsiaTheme="minorEastAsia" w:cstheme="minorEastAsia"/>
          <w:sz w:val="24"/>
          <w:szCs w:val="24"/>
        </w:rPr>
      </w:pPr>
      <w:bookmarkStart w:id="351" w:name="_Toc12912"/>
      <w:bookmarkStart w:id="352" w:name="_Toc8445"/>
      <w:bookmarkStart w:id="353" w:name="_Toc11633"/>
      <w:r>
        <w:rPr>
          <w:rFonts w:hint="eastAsia" w:asciiTheme="minorEastAsia" w:hAnsiTheme="minorEastAsia" w:eastAsiaTheme="minorEastAsia" w:cstheme="minorEastAsia"/>
          <w:sz w:val="24"/>
          <w:szCs w:val="24"/>
        </w:rPr>
        <w:t>八、资格审查资料</w:t>
      </w:r>
      <w:bookmarkEnd w:id="350"/>
      <w:bookmarkEnd w:id="351"/>
      <w:bookmarkEnd w:id="352"/>
      <w:bookmarkEnd w:id="353"/>
    </w:p>
    <w:p>
      <w:pPr>
        <w:spacing w:line="360" w:lineRule="auto"/>
        <w:jc w:val="left"/>
        <w:outlineLvl w:val="0"/>
        <w:rPr>
          <w:rFonts w:asciiTheme="minorEastAsia" w:hAnsiTheme="minorEastAsia" w:eastAsiaTheme="minorEastAsia" w:cstheme="minorEastAsia"/>
          <w:sz w:val="24"/>
          <w:szCs w:val="24"/>
        </w:rPr>
      </w:pPr>
      <w:bookmarkStart w:id="354" w:name="_Toc32215"/>
      <w:bookmarkStart w:id="355" w:name="_Toc11242"/>
      <w:bookmarkStart w:id="356" w:name="_Toc7307"/>
      <w:bookmarkStart w:id="357" w:name="_Toc28645"/>
      <w:r>
        <w:rPr>
          <w:rFonts w:hint="eastAsia" w:asciiTheme="minorEastAsia" w:hAnsiTheme="minorEastAsia" w:eastAsiaTheme="minorEastAsia" w:cstheme="minorEastAsia"/>
          <w:sz w:val="24"/>
          <w:szCs w:val="24"/>
        </w:rPr>
        <w:t>九、</w:t>
      </w:r>
      <w:bookmarkEnd w:id="354"/>
      <w:bookmarkEnd w:id="355"/>
      <w:bookmarkEnd w:id="356"/>
      <w:bookmarkEnd w:id="357"/>
      <w:bookmarkStart w:id="358" w:name="_Toc2280"/>
      <w:bookmarkStart w:id="359" w:name="_Toc618"/>
      <w:bookmarkStart w:id="360" w:name="_Toc10340"/>
      <w:bookmarkStart w:id="361" w:name="_Toc9316"/>
      <w:r>
        <w:rPr>
          <w:rFonts w:hint="eastAsia" w:asciiTheme="minorEastAsia" w:hAnsiTheme="minorEastAsia" w:eastAsiaTheme="minorEastAsia" w:cstheme="minorEastAsia"/>
          <w:sz w:val="24"/>
          <w:szCs w:val="24"/>
        </w:rPr>
        <w:t>其他资料</w:t>
      </w:r>
      <w:bookmarkEnd w:id="358"/>
      <w:bookmarkEnd w:id="359"/>
      <w:bookmarkEnd w:id="360"/>
      <w:bookmarkEnd w:id="361"/>
    </w:p>
    <w:p>
      <w:pPr>
        <w:spacing w:line="360" w:lineRule="auto"/>
        <w:ind w:firstLine="420"/>
        <w:rPr>
          <w:rFonts w:asciiTheme="minorEastAsia" w:hAnsiTheme="minorEastAsia" w:eastAsiaTheme="minorEastAsia" w:cstheme="minorEastAsia"/>
          <w:sz w:val="24"/>
          <w:szCs w:val="24"/>
        </w:rPr>
      </w:pPr>
    </w:p>
    <w:p>
      <w:pPr>
        <w:pStyle w:val="19"/>
        <w:rPr>
          <w:rFonts w:asciiTheme="minorEastAsia" w:hAnsiTheme="minorEastAsia" w:eastAsiaTheme="minorEastAsia" w:cstheme="minorEastAsia"/>
          <w:sz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ind w:firstLine="0"/>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一、响应函</w:t>
      </w:r>
    </w:p>
    <w:p>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(采购人名称):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1.我方已仔细研究了</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采购文件的全部内容,愿意以含税价人民币(大写)(￥)的报价（投标报价总单价）(其中:不含税价为:;增值税税额为:)完成/提供本项目货物,</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并按合同约定履行义务。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2.我方的响应文件包括下列内容: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(2)授权委托书(如有)；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(3)响应保证金(如有)；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(4)商务和技术偏差表；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(5)报价表；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(6)资格审查资料；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(7)响应方案；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响应文件的上述组成部分如存在内容不一致的,以响应函为准。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3.我方承诺除商务和技术偏差表列出的偏差外,我方响应采购文件的全部要求。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4.我方承诺在采购文件规定的响应文件有效期内不撤销响应文件。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5.如我方成交,我方承诺: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(1)在收到成交通知书后,在成交通知书规定的期限内与你方签订合同;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(2)在签订合同时不向你方提出附加条件;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(3)按照采购文件要求递交履约保证金;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(4)在合同约定的期限内完成合同规定的全部义务。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u w:val="single"/>
        </w:rPr>
        <w:t>(其他补充说明)。</w:t>
      </w:r>
    </w:p>
    <w:p>
      <w:pPr>
        <w:ind w:firstLine="1920" w:firstLineChars="800"/>
        <w:jc w:val="left"/>
        <w:rPr>
          <w:rFonts w:asciiTheme="minorEastAsia" w:hAnsiTheme="minorEastAsia" w:eastAsiaTheme="minorEastAsia" w:cstheme="minorEastAsia"/>
          <w:sz w:val="24"/>
          <w:szCs w:val="24"/>
        </w:rPr>
      </w:pPr>
    </w:p>
    <w:p>
      <w:pPr>
        <w:spacing w:line="360" w:lineRule="auto"/>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(盖单位章)</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法定代表人(单位负责人)或其授权的代理人:</w:t>
      </w:r>
      <w:r>
        <w:rPr>
          <w:rFonts w:hint="eastAsia" w:asciiTheme="minorEastAsia" w:hAnsiTheme="minorEastAsia" w:eastAsiaTheme="minorEastAsia" w:cstheme="minorEastAsia"/>
          <w:sz w:val="24"/>
          <w:szCs w:val="24"/>
          <w:u w:val="single"/>
        </w:rPr>
        <w:t>(签字)</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邮箱编码：</w:t>
      </w:r>
    </w:p>
    <w:p>
      <w:pPr>
        <w:spacing w:line="360" w:lineRule="auto"/>
        <w:ind w:firstLine="1920" w:firstLineChars="800"/>
        <w:jc w:val="right"/>
        <w:rPr>
          <w:rFonts w:asciiTheme="minorEastAsia" w:hAnsiTheme="minorEastAsia" w:eastAsiaTheme="minorEastAsia" w:cstheme="minorEastAsia"/>
          <w:sz w:val="24"/>
          <w:szCs w:val="24"/>
          <w:u w:val="single"/>
        </w:rPr>
      </w:pPr>
    </w:p>
    <w:p>
      <w:pPr>
        <w:pStyle w:val="20"/>
        <w:jc w:val="right"/>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年   月   日</w:t>
      </w: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Pr>
        <w:pStyle w:val="20"/>
        <w:jc w:val="right"/>
        <w:rPr>
          <w:rFonts w:asciiTheme="minorEastAsia" w:hAnsiTheme="minorEastAsia" w:eastAsiaTheme="minorEastAsia" w:cstheme="minorEastAsia"/>
          <w:i w:val="0"/>
          <w:iCs w:val="0"/>
          <w:sz w:val="24"/>
          <w:szCs w:val="24"/>
        </w:rPr>
      </w:pPr>
    </w:p>
    <w:p/>
    <w:p>
      <w:pPr>
        <w:pStyle w:val="20"/>
        <w:jc w:val="right"/>
        <w:rPr>
          <w:rFonts w:asciiTheme="minorEastAsia" w:hAnsiTheme="minorEastAsia" w:eastAsiaTheme="minorEastAsia" w:cstheme="minorEastAsia"/>
          <w:i w:val="0"/>
          <w:iCs w:val="0"/>
          <w:sz w:val="24"/>
          <w:szCs w:val="24"/>
        </w:rPr>
      </w:pPr>
    </w:p>
    <w:p>
      <w:pPr>
        <w:rPr>
          <w:rFonts w:asciiTheme="minorEastAsia" w:hAnsiTheme="minorEastAsia" w:eastAsiaTheme="minorEastAsia" w:cstheme="minorEastAsia"/>
          <w:sz w:val="24"/>
          <w:szCs w:val="24"/>
        </w:rPr>
      </w:pPr>
    </w:p>
    <w:p>
      <w:pPr>
        <w:pStyle w:val="20"/>
        <w:ind w:firstLine="0"/>
        <w:rPr>
          <w:rFonts w:asciiTheme="minorEastAsia" w:hAnsiTheme="minorEastAsia" w:eastAsiaTheme="minorEastAsia" w:cstheme="minorEastAsia"/>
          <w:i w:val="0"/>
          <w:iCs w:val="0"/>
          <w:sz w:val="24"/>
          <w:szCs w:val="24"/>
        </w:rPr>
      </w:pPr>
    </w:p>
    <w:p>
      <w:pPr>
        <w:ind w:firstLine="2891" w:firstLineChars="1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二、授权委托书</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(适用于有委托代理人的情况)</w:t>
      </w:r>
    </w:p>
    <w:p>
      <w:pPr>
        <w:jc w:val="center"/>
        <w:rPr>
          <w:rFonts w:asciiTheme="minorEastAsia" w:hAnsiTheme="minorEastAsia" w:eastAsiaTheme="minorEastAsia" w:cstheme="minorEastAsia"/>
          <w:sz w:val="24"/>
          <w:szCs w:val="24"/>
        </w:rPr>
      </w:pP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供应商名称)的法定代表人(单位负责人),现委托(姓名)为我方代理人。代理人根据授权,以我方名义签署、澄清确认、递交、撤回、修改 询比采购项目响应文件、签订合同和处理有关事宜,其法律后果由我方承担。</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委托期限:自本委托书签署之日起至询比采购项目签订采购合同之日止。</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附:法定代表人(单位负责人)身份证复印件及委托代理人身份证复印件。</w:t>
      </w:r>
    </w:p>
    <w:p>
      <w:pPr>
        <w:ind w:firstLine="2640" w:firstLineChars="1100"/>
        <w:jc w:val="left"/>
        <w:rPr>
          <w:rFonts w:asciiTheme="minorEastAsia" w:hAnsiTheme="minorEastAsia" w:eastAsiaTheme="minorEastAsia" w:cstheme="minorEastAsia"/>
          <w:sz w:val="24"/>
          <w:szCs w:val="24"/>
        </w:rPr>
      </w:pP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(盖单位章)</w:t>
      </w: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jc w:val="right"/>
        <w:rPr>
          <w:rFonts w:asciiTheme="minorEastAsia" w:hAnsiTheme="minorEastAsia" w:eastAsiaTheme="minorEastAsia" w:cstheme="minorEastAsia"/>
          <w:sz w:val="24"/>
          <w:szCs w:val="24"/>
          <w:u w:val="single"/>
        </w:rPr>
      </w:pPr>
    </w:p>
    <w:p>
      <w:pPr>
        <w:jc w:val="right"/>
        <w:rPr>
          <w:rFonts w:asciiTheme="minorEastAsia" w:hAnsiTheme="minorEastAsia" w:eastAsiaTheme="minorEastAsia" w:cstheme="minorEastAsia"/>
          <w:sz w:val="24"/>
          <w:szCs w:val="24"/>
        </w:rPr>
        <w:sectPr>
          <w:headerReference r:id="rId5" w:type="default"/>
          <w:footerReference r:id="rId6" w:type="default"/>
          <w:pgSz w:w="11906" w:h="16838"/>
          <w:pgMar w:top="12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24"/>
        </w:rPr>
        <w:t>年   月   日</w:t>
      </w: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三、响应保证金</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(适用于递交响应保证金的情况)</w:t>
      </w:r>
    </w:p>
    <w:p>
      <w:pPr>
        <w:jc w:val="center"/>
        <w:rPr>
          <w:rFonts w:asciiTheme="minorEastAsia" w:hAnsiTheme="minorEastAsia" w:eastAsiaTheme="minorEastAsia" w:cstheme="minorEastAsia"/>
          <w:sz w:val="24"/>
          <w:szCs w:val="24"/>
        </w:rPr>
      </w:pP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1.采用转账方式的,供应商应在此提供转账凭证复印件。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2.采用支票、汇票等方式的,供应商应在此提供支票、汇票等的复印件,原件应单独交。</w:t>
      </w: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pStyle w:val="20"/>
        <w:rPr>
          <w:rFonts w:asciiTheme="minorEastAsia" w:hAnsiTheme="minorEastAsia" w:eastAsiaTheme="minorEastAsia" w:cstheme="minorEastAsia"/>
          <w:sz w:val="24"/>
          <w:szCs w:val="24"/>
        </w:rPr>
      </w:pPr>
    </w:p>
    <w:p>
      <w:pPr>
        <w:rPr>
          <w:rFonts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br w:type="page"/>
      </w:r>
    </w:p>
    <w:p>
      <w:pPr>
        <w:numPr>
          <w:ilvl w:val="0"/>
          <w:numId w:val="2"/>
        </w:numPr>
        <w:spacing w:line="400" w:lineRule="exact"/>
        <w:jc w:val="center"/>
      </w:pPr>
      <w:r>
        <w:rPr>
          <w:rFonts w:hint="eastAsia" w:asciiTheme="minorEastAsia" w:hAnsiTheme="minorEastAsia" w:eastAsiaTheme="minorEastAsia" w:cstheme="minorEastAsia"/>
          <w:b/>
          <w:bCs/>
          <w:color w:val="auto"/>
          <w:sz w:val="24"/>
          <w:szCs w:val="24"/>
        </w:rPr>
        <w:t>报价一览表</w:t>
      </w:r>
    </w:p>
    <w:p>
      <w:pPr>
        <w:pStyle w:val="25"/>
        <w:numPr>
          <w:ilvl w:val="0"/>
          <w:numId w:val="0"/>
        </w:numPr>
      </w:pPr>
    </w:p>
    <w:p>
      <w:pPr>
        <w:spacing w:line="360" w:lineRule="auto"/>
        <w:jc w:val="left"/>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pPr>
        <w:spacing w:line="360" w:lineRule="auto"/>
        <w:jc w:val="lef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spacing w:line="360" w:lineRule="auto"/>
        <w:jc w:val="left"/>
        <w:rPr>
          <w:rFonts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tbl>
      <w:tblPr>
        <w:tblStyle w:val="4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84" w:type="dxa"/>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投标总价（元）</w:t>
            </w:r>
          </w:p>
        </w:tc>
        <w:tc>
          <w:tcPr>
            <w:tcW w:w="4303" w:type="dxa"/>
            <w:vAlign w:val="center"/>
          </w:tcPr>
          <w:p>
            <w:pPr>
              <w:spacing w:line="360" w:lineRule="auto"/>
              <w:jc w:val="center"/>
              <w:textAlignment w:val="baseline"/>
              <w:rPr>
                <w:rFonts w:ascii="宋体" w:hAnsi="宋体" w:cs="宋体"/>
                <w:sz w:val="24"/>
                <w:szCs w:val="24"/>
              </w:rPr>
            </w:pPr>
            <w:r>
              <w:rPr>
                <w:rFonts w:hint="eastAsia" w:ascii="宋体" w:hAnsi="宋体" w:cs="宋体"/>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84" w:type="dxa"/>
          </w:tcPr>
          <w:p>
            <w:pPr>
              <w:spacing w:line="360" w:lineRule="auto"/>
              <w:jc w:val="left"/>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小写：</w:t>
            </w:r>
          </w:p>
        </w:tc>
        <w:tc>
          <w:tcPr>
            <w:tcW w:w="4303" w:type="dxa"/>
            <w:vMerge w:val="restart"/>
          </w:tcPr>
          <w:p>
            <w:pPr>
              <w:spacing w:line="360" w:lineRule="auto"/>
              <w:jc w:val="left"/>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84" w:type="dxa"/>
          </w:tcPr>
          <w:p>
            <w:pPr>
              <w:spacing w:line="360" w:lineRule="auto"/>
              <w:jc w:val="left"/>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大写：</w:t>
            </w:r>
          </w:p>
        </w:tc>
        <w:tc>
          <w:tcPr>
            <w:tcW w:w="4303" w:type="dxa"/>
            <w:vMerge w:val="continue"/>
          </w:tcPr>
          <w:p>
            <w:pPr>
              <w:spacing w:line="360" w:lineRule="auto"/>
              <w:jc w:val="left"/>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87" w:type="dxa"/>
            <w:gridSpan w:val="2"/>
          </w:tcPr>
          <w:p>
            <w:pPr>
              <w:spacing w:line="360" w:lineRule="auto"/>
              <w:jc w:val="left"/>
              <w:textAlignment w:val="baseline"/>
              <w:rPr>
                <w:rFonts w:ascii="宋体" w:hAnsi="宋体" w:cs="宋体"/>
                <w:sz w:val="24"/>
                <w:szCs w:val="24"/>
              </w:rPr>
            </w:pPr>
            <w:r>
              <w:rPr>
                <w:rFonts w:hint="eastAsia" w:ascii="宋体" w:hAnsi="宋体" w:cs="宋体"/>
                <w:sz w:val="24"/>
                <w:szCs w:val="24"/>
              </w:rPr>
              <w:t>优惠条件及其他承诺：</w:t>
            </w:r>
          </w:p>
          <w:p>
            <w:pPr>
              <w:spacing w:line="360" w:lineRule="auto"/>
              <w:jc w:val="left"/>
              <w:textAlignment w:val="baseline"/>
              <w:rPr>
                <w:rFonts w:ascii="宋体" w:hAnsi="宋体" w:cs="宋体"/>
                <w:sz w:val="24"/>
                <w:szCs w:val="24"/>
              </w:rPr>
            </w:pPr>
          </w:p>
          <w:p>
            <w:pPr>
              <w:spacing w:line="360" w:lineRule="auto"/>
              <w:jc w:val="left"/>
              <w:textAlignment w:val="baseline"/>
              <w:rPr>
                <w:rFonts w:ascii="宋体" w:hAnsi="宋体" w:cs="宋体"/>
                <w:sz w:val="24"/>
                <w:szCs w:val="24"/>
              </w:rPr>
            </w:pPr>
          </w:p>
          <w:p>
            <w:pPr>
              <w:spacing w:line="360" w:lineRule="auto"/>
              <w:jc w:val="left"/>
              <w:textAlignment w:val="baseline"/>
              <w:rPr>
                <w:rFonts w:ascii="宋体" w:hAnsi="宋体" w:cs="宋体"/>
                <w:sz w:val="24"/>
                <w:szCs w:val="24"/>
              </w:rPr>
            </w:pPr>
          </w:p>
          <w:p>
            <w:pPr>
              <w:spacing w:line="360" w:lineRule="auto"/>
              <w:jc w:val="left"/>
              <w:textAlignment w:val="baseline"/>
              <w:rPr>
                <w:rFonts w:ascii="宋体" w:hAnsi="宋体" w:cs="宋体"/>
                <w:sz w:val="24"/>
                <w:szCs w:val="24"/>
              </w:rPr>
            </w:pPr>
          </w:p>
        </w:tc>
      </w:tr>
    </w:tbl>
    <w:p>
      <w:pPr>
        <w:spacing w:line="360" w:lineRule="auto"/>
        <w:jc w:val="left"/>
        <w:textAlignment w:val="baseline"/>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1、填写此表时不得改变表格的形式。</w:t>
      </w:r>
    </w:p>
    <w:p>
      <w:pPr>
        <w:numPr>
          <w:ilvl w:val="0"/>
          <w:numId w:val="3"/>
        </w:numPr>
        <w:spacing w:line="360" w:lineRule="auto"/>
        <w:jc w:val="left"/>
        <w:textAlignment w:val="baseline"/>
        <w:rPr>
          <w:rFonts w:hint="eastAsia" w:ascii="宋体" w:hAnsi="宋体" w:cs="宋体"/>
          <w:sz w:val="24"/>
          <w:szCs w:val="24"/>
        </w:rPr>
      </w:pPr>
      <w:r>
        <w:rPr>
          <w:rFonts w:hint="eastAsia" w:ascii="宋体" w:hAnsi="宋体" w:cs="宋体"/>
          <w:sz w:val="24"/>
          <w:szCs w:val="24"/>
        </w:rPr>
        <w:t>供应商如果需要对报价、售后服务或其它内容加以说明，可在“优惠承诺及其他”一栏中填写。</w:t>
      </w:r>
    </w:p>
    <w:p>
      <w:pPr>
        <w:pStyle w:val="25"/>
        <w:widowControl w:val="0"/>
        <w:numPr>
          <w:ilvl w:val="0"/>
          <w:numId w:val="0"/>
        </w:numPr>
        <w:spacing w:line="560" w:lineRule="exact"/>
        <w:jc w:val="both"/>
      </w:pPr>
    </w:p>
    <w:p>
      <w:pPr>
        <w:pStyle w:val="25"/>
        <w:widowControl w:val="0"/>
        <w:numPr>
          <w:ilvl w:val="0"/>
          <w:numId w:val="0"/>
        </w:numPr>
        <w:spacing w:line="560" w:lineRule="exact"/>
        <w:jc w:val="both"/>
      </w:pPr>
    </w:p>
    <w:p>
      <w:pPr>
        <w:pStyle w:val="25"/>
        <w:widowControl w:val="0"/>
        <w:numPr>
          <w:ilvl w:val="0"/>
          <w:numId w:val="0"/>
        </w:numPr>
        <w:spacing w:line="560" w:lineRule="exact"/>
        <w:jc w:val="both"/>
      </w:pPr>
    </w:p>
    <w:p>
      <w:pPr>
        <w:pStyle w:val="25"/>
        <w:widowControl w:val="0"/>
        <w:numPr>
          <w:ilvl w:val="0"/>
          <w:numId w:val="0"/>
        </w:numPr>
        <w:spacing w:line="560" w:lineRule="exact"/>
        <w:jc w:val="both"/>
      </w:pPr>
    </w:p>
    <w:p>
      <w:pPr>
        <w:spacing w:line="360" w:lineRule="auto"/>
        <w:jc w:val="center"/>
        <w:textAlignment w:val="baseline"/>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供应商名称（公章）：</w:t>
      </w:r>
    </w:p>
    <w:p>
      <w:pPr>
        <w:spacing w:line="360" w:lineRule="auto"/>
        <w:jc w:val="center"/>
        <w:textAlignment w:val="baseline"/>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法人代表或委托代理人签字：</w:t>
      </w:r>
    </w:p>
    <w:p>
      <w:pPr>
        <w:spacing w:line="360" w:lineRule="auto"/>
        <w:jc w:val="center"/>
        <w:rPr>
          <w:rFonts w:ascii="宋体" w:hAnsi="宋体" w:cs="宋体"/>
          <w:sz w:val="28"/>
          <w:szCs w:val="28"/>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pStyle w:val="30"/>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rPr>
        <w:t>五、</w:t>
      </w:r>
      <w:r>
        <w:rPr>
          <w:rFonts w:hint="eastAsia" w:asciiTheme="minorEastAsia" w:hAnsiTheme="minorEastAsia" w:eastAsiaTheme="minorEastAsia" w:cstheme="minorEastAsia"/>
          <w:b/>
          <w:bCs/>
          <w:color w:val="auto"/>
          <w:kern w:val="0"/>
          <w:sz w:val="24"/>
          <w:szCs w:val="24"/>
          <w:lang w:val="zh-CN"/>
        </w:rPr>
        <w:t>分项报价明细表</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                                        </w:t>
      </w:r>
    </w:p>
    <w:tbl>
      <w:tblPr>
        <w:tblStyle w:val="48"/>
        <w:tblpPr w:leftFromText="180" w:rightFromText="180" w:vertAnchor="text" w:horzAnchor="page" w:tblpX="972" w:tblpY="118"/>
        <w:tblOverlap w:val="never"/>
        <w:tblW w:w="9297"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131"/>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31"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31"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spacing w:line="400" w:lineRule="exact"/>
        <w:rPr>
          <w:rFonts w:asciiTheme="minorEastAsia" w:hAnsiTheme="minorEastAsia" w:eastAsiaTheme="minorEastAsia" w:cstheme="minorEastAsia"/>
          <w:color w:val="auto"/>
          <w:sz w:val="24"/>
          <w:szCs w:val="24"/>
        </w:rPr>
      </w:pPr>
    </w:p>
    <w:p>
      <w:pPr>
        <w:pStyle w:val="13"/>
        <w:rPr>
          <w:rFonts w:asciiTheme="minorEastAsia" w:hAnsiTheme="minorEastAsia" w:eastAsiaTheme="minorEastAsia" w:cstheme="minorEastAsia"/>
          <w:color w:val="auto"/>
          <w:sz w:val="24"/>
          <w:szCs w:val="24"/>
        </w:rPr>
      </w:pP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        （盖章）</w:t>
      </w: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pPr>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投标日期：</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1、供应商按“</w:t>
      </w:r>
      <w:r>
        <w:rPr>
          <w:rFonts w:hint="eastAsia" w:asciiTheme="minorEastAsia" w:hAnsiTheme="minorEastAsia" w:eastAsiaTheme="minorEastAsia" w:cstheme="minorEastAsia"/>
          <w:bCs/>
          <w:color w:val="auto"/>
          <w:sz w:val="24"/>
          <w:szCs w:val="24"/>
        </w:rPr>
        <w:t>分项报价明细表”的格式</w:t>
      </w:r>
      <w:r>
        <w:rPr>
          <w:rFonts w:hint="eastAsia" w:asciiTheme="minorEastAsia" w:hAnsiTheme="minorEastAsia" w:eastAsiaTheme="minorEastAsia" w:cstheme="minorEastAsia"/>
          <w:color w:val="auto"/>
          <w:sz w:val="24"/>
          <w:szCs w:val="24"/>
        </w:rPr>
        <w:t>详细报出投标单价的各个组成部分的报价。</w:t>
      </w:r>
    </w:p>
    <w:p>
      <w:pPr>
        <w:spacing w:line="400" w:lineRule="exact"/>
        <w:ind w:firstLine="48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分项报价明细表”各分项报价合计应当与“响应函”报价合计相等。</w:t>
      </w:r>
    </w:p>
    <w:p>
      <w:pP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kern w:val="0"/>
          <w:sz w:val="24"/>
          <w:szCs w:val="24"/>
          <w:lang w:val="zh-CN"/>
        </w:rPr>
        <w:t xml:space="preserve">                     </w:t>
      </w:r>
      <w:bookmarkStart w:id="362" w:name="_Toc22252"/>
      <w:bookmarkStart w:id="363" w:name="_Toc1430"/>
      <w:bookmarkStart w:id="364" w:name="_Toc7442"/>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b/>
          <w:bCs/>
          <w:color w:val="auto"/>
          <w:kern w:val="0"/>
          <w:sz w:val="24"/>
          <w:szCs w:val="24"/>
        </w:rPr>
        <w:t xml:space="preserve"> 六、</w:t>
      </w:r>
      <w:r>
        <w:rPr>
          <w:rFonts w:hint="eastAsia" w:asciiTheme="minorEastAsia" w:hAnsiTheme="minorEastAsia" w:eastAsiaTheme="minorEastAsia" w:cstheme="minorEastAsia"/>
          <w:b/>
          <w:bCs/>
          <w:color w:val="auto"/>
          <w:kern w:val="0"/>
          <w:sz w:val="24"/>
          <w:szCs w:val="24"/>
          <w:lang w:val="zh-CN"/>
        </w:rPr>
        <w:t>技术规格响应表</w:t>
      </w:r>
      <w:bookmarkEnd w:id="362"/>
      <w:bookmarkEnd w:id="363"/>
      <w:bookmarkEnd w:id="364"/>
    </w:p>
    <w:p>
      <w:pPr>
        <w:autoSpaceDE w:val="0"/>
        <w:autoSpaceDN w:val="0"/>
        <w:spacing w:line="360" w:lineRule="auto"/>
        <w:outlineLvl w:val="0"/>
        <w:rPr>
          <w:rFonts w:asciiTheme="minorEastAsia" w:hAnsiTheme="minorEastAsia" w:eastAsiaTheme="minorEastAsia" w:cstheme="minorEastAsia"/>
          <w:b/>
          <w:bCs/>
          <w:color w:val="auto"/>
          <w:kern w:val="0"/>
          <w:sz w:val="24"/>
          <w:szCs w:val="24"/>
          <w:lang w:val="zh-CN"/>
        </w:rPr>
      </w:pPr>
      <w:bookmarkStart w:id="365" w:name="_Toc29751"/>
      <w:bookmarkStart w:id="366" w:name="_Toc32208"/>
      <w:r>
        <w:rPr>
          <w:rFonts w:hint="eastAsia" w:asciiTheme="minorEastAsia" w:hAnsiTheme="minorEastAsia" w:eastAsiaTheme="minorEastAsia" w:cstheme="minorEastAsia"/>
          <w:b/>
          <w:bCs/>
          <w:color w:val="auto"/>
          <w:kern w:val="0"/>
          <w:sz w:val="24"/>
          <w:szCs w:val="24"/>
          <w:lang w:val="zh-CN"/>
        </w:rPr>
        <w:t>供应商名称</w:t>
      </w:r>
      <w:r>
        <w:rPr>
          <w:rFonts w:hint="eastAsia" w:asciiTheme="minorEastAsia" w:hAnsiTheme="minorEastAsia" w:eastAsiaTheme="minorEastAsia" w:cstheme="minorEastAsia"/>
          <w:b/>
          <w:bCs/>
          <w:color w:val="auto"/>
          <w:kern w:val="0"/>
          <w:sz w:val="24"/>
          <w:szCs w:val="24"/>
        </w:rPr>
        <w:t>：</w:t>
      </w:r>
      <w:bookmarkEnd w:id="365"/>
      <w:bookmarkEnd w:id="366"/>
      <w:r>
        <w:rPr>
          <w:rFonts w:hint="eastAsia" w:asciiTheme="minorEastAsia" w:hAnsiTheme="minorEastAsia" w:eastAsiaTheme="minorEastAsia" w:cstheme="minorEastAsia"/>
          <w:b/>
          <w:bCs/>
          <w:color w:val="auto"/>
          <w:kern w:val="0"/>
          <w:sz w:val="24"/>
          <w:szCs w:val="24"/>
        </w:rPr>
        <w:t xml:space="preserve">                                             </w:t>
      </w:r>
    </w:p>
    <w:tbl>
      <w:tblPr>
        <w:tblStyle w:val="4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bl>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注：</w:t>
      </w:r>
      <w:r>
        <w:rPr>
          <w:rFonts w:hint="eastAsia" w:asciiTheme="minorEastAsia" w:hAnsiTheme="minorEastAsia" w:eastAsiaTheme="minorEastAsia" w:cstheme="minorEastAsia"/>
          <w:color w:val="auto"/>
          <w:sz w:val="24"/>
          <w:szCs w:val="24"/>
        </w:rPr>
        <w:t>供应商必须据实填写，不得虚假应答，否则将取消其投标或中标资格。如与招标文件所列技术要求相关条款无偏离（包括正偏离和负偏离），则无须逐条应答。如有偏离条款，请将偏离条款逐条应答。未明确偏离的条款，视为默认接受，供应商不得籍未作应答而拒不接受。</w:t>
      </w:r>
    </w:p>
    <w:p>
      <w:pPr>
        <w:autoSpaceDE w:val="0"/>
        <w:autoSpaceDN w:val="0"/>
        <w:spacing w:line="360" w:lineRule="auto"/>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若招标文件中有要求提供证明材料的技术条款应当在此表中列出并应答。</w:t>
      </w: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 xml:space="preserve">供应商：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（公章）</w:t>
      </w: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法定代表人或委托代理人：        （签字）</w:t>
      </w:r>
    </w:p>
    <w:p>
      <w:pPr>
        <w:autoSpaceDE w:val="0"/>
        <w:autoSpaceDN w:val="0"/>
        <w:spacing w:line="360" w:lineRule="auto"/>
        <w:ind w:firstLine="3253"/>
        <w:jc w:val="right"/>
        <w:outlineLvl w:val="0"/>
        <w:rPr>
          <w:rFonts w:asciiTheme="minorEastAsia" w:hAnsiTheme="minorEastAsia" w:eastAsiaTheme="minorEastAsia" w:cstheme="minorEastAsia"/>
          <w:b/>
          <w:bCs/>
          <w:color w:val="auto"/>
          <w:kern w:val="0"/>
          <w:sz w:val="24"/>
          <w:szCs w:val="24"/>
          <w:lang w:val="zh-CN"/>
        </w:rPr>
      </w:pPr>
      <w:bookmarkStart w:id="367" w:name="_Toc20191"/>
      <w:bookmarkStart w:id="368" w:name="_Toc26599"/>
      <w:r>
        <w:rPr>
          <w:rFonts w:hint="eastAsia" w:asciiTheme="minorEastAsia" w:hAnsiTheme="minorEastAsia" w:eastAsiaTheme="minorEastAsia" w:cstheme="minorEastAsia"/>
          <w:b/>
          <w:bCs/>
          <w:color w:val="auto"/>
          <w:kern w:val="0"/>
          <w:sz w:val="24"/>
          <w:szCs w:val="24"/>
          <w:lang w:val="zh-CN"/>
        </w:rPr>
        <w:t xml:space="preserve">年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月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日</w:t>
      </w:r>
      <w:bookmarkEnd w:id="367"/>
      <w:bookmarkEnd w:id="368"/>
    </w:p>
    <w:p>
      <w:pPr>
        <w:autoSpaceDE w:val="0"/>
        <w:autoSpaceDN w:val="0"/>
        <w:spacing w:line="360" w:lineRule="auto"/>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br w:type="page"/>
      </w:r>
    </w:p>
    <w:p>
      <w:pPr>
        <w:autoSpaceDE w:val="0"/>
        <w:autoSpaceDN w:val="0"/>
        <w:spacing w:line="360" w:lineRule="auto"/>
        <w:ind w:left="720"/>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七、 产品相关资料</w:t>
      </w:r>
    </w:p>
    <w:p>
      <w:pPr>
        <w:autoSpaceDE w:val="0"/>
        <w:autoSpaceDN w:val="0"/>
        <w:spacing w:line="360" w:lineRule="auto"/>
        <w:ind w:left="720"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根据采购项目内容，投标时提供国家认可的质监机构出具的投标产品的产品检验报告</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证明技术参数响应的相关资料</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彩页（或厂家公开发布的资料参数）、相关认证等资料。</w:t>
      </w: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spacing w:line="400" w:lineRule="exact"/>
        <w:jc w:val="right"/>
        <w:rPr>
          <w:rFonts w:asciiTheme="minorEastAsia" w:hAnsiTheme="minorEastAsia" w:eastAsiaTheme="minorEastAsia" w:cstheme="minorEastAsia"/>
          <w:b/>
          <w:bCs/>
          <w:color w:val="auto"/>
          <w:sz w:val="24"/>
          <w:szCs w:val="24"/>
        </w:rPr>
      </w:pPr>
    </w:p>
    <w:p>
      <w:pPr>
        <w:adjustRightInd w:val="0"/>
        <w:spacing w:line="400" w:lineRule="exact"/>
        <w:ind w:firstLine="4200" w:firstLineChars="17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        （盖章）</w:t>
      </w:r>
    </w:p>
    <w:p>
      <w:pPr>
        <w:adjustRightInd w:val="0"/>
        <w:spacing w:line="400" w:lineRule="exact"/>
        <w:ind w:firstLine="4080" w:firstLineChars="17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w:t>
      </w:r>
    </w:p>
    <w:p>
      <w:pPr>
        <w:adjustRightInd w:val="0"/>
        <w:spacing w:line="400" w:lineRule="exact"/>
        <w:ind w:firstLine="4680" w:firstLineChars="19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响应日期:</w:t>
      </w:r>
    </w:p>
    <w:p>
      <w:pPr>
        <w:rPr>
          <w:rFonts w:asciiTheme="minorEastAsia" w:hAnsiTheme="minorEastAsia" w:eastAsiaTheme="minorEastAsia" w:cstheme="minorEastAsia"/>
          <w:color w:val="auto"/>
          <w:sz w:val="24"/>
          <w:szCs w:val="24"/>
        </w:rPr>
      </w:pPr>
    </w:p>
    <w:p>
      <w:pPr>
        <w:pStyle w:val="19"/>
        <w:rPr>
          <w:rFonts w:asciiTheme="minorEastAsia" w:hAnsiTheme="minorEastAsia" w:eastAsiaTheme="minorEastAsia" w:cstheme="minorEastAsia"/>
          <w:sz w:val="24"/>
        </w:rPr>
      </w:pPr>
    </w:p>
    <w:p>
      <w:pPr>
        <w:pStyle w:val="20"/>
        <w:rPr>
          <w:rFonts w:asciiTheme="minorEastAsia" w:hAnsiTheme="minorEastAsia" w:eastAsiaTheme="minorEastAsia" w:cstheme="minorEastAsia"/>
          <w:color w:val="auto"/>
          <w:sz w:val="24"/>
          <w:szCs w:val="24"/>
        </w:rPr>
      </w:pPr>
    </w:p>
    <w:p>
      <w:pPr>
        <w:pStyle w:val="20"/>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autoSpaceDE w:val="0"/>
        <w:autoSpaceDN w:val="0"/>
        <w:spacing w:line="360" w:lineRule="auto"/>
        <w:ind w:firstLine="2891" w:firstLineChars="1200"/>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八、资格审查资料</w:t>
      </w:r>
    </w:p>
    <w:p>
      <w:pP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p>
    <w:p>
      <w:pPr>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九、其他资料</w:t>
      </w:r>
    </w:p>
    <w:p>
      <w:pPr>
        <w:pStyle w:val="20"/>
        <w:rPr>
          <w:rFonts w:asciiTheme="minorEastAsia" w:hAnsiTheme="minorEastAsia" w:eastAsiaTheme="minorEastAsia" w:cstheme="minorEastAsia"/>
          <w:color w:val="auto"/>
          <w:sz w:val="24"/>
          <w:szCs w:val="24"/>
        </w:rPr>
      </w:pPr>
    </w:p>
    <w:p>
      <w:pPr>
        <w:pStyle w:val="20"/>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lang w:val="zh-CN"/>
        </w:rPr>
      </w:pPr>
      <w:bookmarkStart w:id="369" w:name="_Toc18752"/>
      <w:bookmarkStart w:id="370" w:name="_Toc17716"/>
      <w:r>
        <w:rPr>
          <w:rFonts w:hint="eastAsia" w:asciiTheme="minorEastAsia" w:hAnsiTheme="minorEastAsia" w:eastAsiaTheme="minorEastAsia" w:cstheme="minorEastAsia"/>
          <w:color w:val="auto"/>
          <w:sz w:val="24"/>
          <w:szCs w:val="24"/>
          <w:lang w:val="zh-CN"/>
        </w:rPr>
        <w:br w:type="page"/>
      </w:r>
    </w:p>
    <w:p>
      <w:pPr>
        <w:pStyle w:val="44"/>
        <w:numPr>
          <w:ilvl w:val="0"/>
          <w:numId w:val="4"/>
        </w:numPr>
        <w:spacing w:before="0" w:after="0" w:line="360" w:lineRule="auto"/>
        <w:rPr>
          <w:lang w:val="zh-CN"/>
        </w:rPr>
      </w:pPr>
      <w:r>
        <w:rPr>
          <w:rFonts w:hint="eastAsia" w:asciiTheme="minorEastAsia" w:hAnsiTheme="minorEastAsia" w:eastAsiaTheme="minorEastAsia" w:cstheme="minorEastAsia"/>
          <w:sz w:val="24"/>
          <w:szCs w:val="24"/>
          <w:lang w:val="zh-CN"/>
        </w:rPr>
        <w:t xml:space="preserve"> </w:t>
      </w:r>
      <w:bookmarkStart w:id="371" w:name="_Toc29631"/>
      <w:bookmarkStart w:id="372" w:name="_Toc15833"/>
      <w:bookmarkStart w:id="373" w:name="_Toc26974"/>
      <w:r>
        <w:rPr>
          <w:rFonts w:hint="eastAsia" w:asciiTheme="minorEastAsia" w:hAnsiTheme="minorEastAsia" w:eastAsiaTheme="minorEastAsia" w:cstheme="minorEastAsia"/>
          <w:sz w:val="32"/>
          <w:szCs w:val="32"/>
          <w:lang w:val="zh-CN"/>
        </w:rPr>
        <w:t>采购项目要求及技术参数</w:t>
      </w:r>
      <w:bookmarkEnd w:id="369"/>
      <w:bookmarkEnd w:id="370"/>
      <w:bookmarkEnd w:id="371"/>
      <w:bookmarkEnd w:id="372"/>
      <w:bookmarkEnd w:id="373"/>
    </w:p>
    <w:p>
      <w:pPr>
        <w:pStyle w:val="44"/>
        <w:jc w:val="left"/>
        <w:outlineLvl w:val="1"/>
        <w:rPr>
          <w:rFonts w:asciiTheme="minorEastAsia" w:hAnsiTheme="minorEastAsia" w:eastAsiaTheme="minorEastAsia" w:cstheme="minorEastAsia"/>
          <w:sz w:val="24"/>
          <w:szCs w:val="24"/>
          <w:lang w:val="zh-CN"/>
        </w:rPr>
      </w:pPr>
      <w:bookmarkStart w:id="374" w:name="_Toc428180599"/>
      <w:bookmarkStart w:id="375" w:name="_Toc25427"/>
      <w:bookmarkStart w:id="376" w:name="_Toc16713"/>
      <w:bookmarkStart w:id="377" w:name="_Toc12891"/>
      <w:bookmarkStart w:id="378" w:name="_Toc14262"/>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zh-CN"/>
        </w:rPr>
        <w:t>商务要求</w:t>
      </w:r>
      <w:bookmarkEnd w:id="374"/>
      <w:bookmarkEnd w:id="375"/>
      <w:bookmarkEnd w:id="376"/>
      <w:bookmarkEnd w:id="377"/>
      <w:bookmarkEnd w:id="378"/>
    </w:p>
    <w:p>
      <w:pPr>
        <w:autoSpaceDE w:val="0"/>
        <w:autoSpaceDN w:val="0"/>
        <w:adjustRightInd w:val="0"/>
        <w:spacing w:line="360" w:lineRule="auto"/>
        <w:rPr>
          <w:rFonts w:hint="eastAsia" w:cs="宋体"/>
          <w:bCs/>
          <w:color w:val="000000" w:themeColor="text1"/>
          <w:sz w:val="24"/>
          <w:szCs w:val="22"/>
          <w:highlight w:val="none"/>
          <w:lang w:val="en-US" w:eastAsia="zh-CN"/>
          <w14:textFill>
            <w14:solidFill>
              <w14:schemeClr w14:val="tx1"/>
            </w14:solidFill>
          </w14:textFill>
        </w:rPr>
      </w:pPr>
      <w:bookmarkStart w:id="379" w:name="_Toc24232"/>
      <w:bookmarkStart w:id="380" w:name="_Toc21528"/>
      <w:r>
        <w:rPr>
          <w:rFonts w:hint="eastAsia" w:cs="宋体"/>
          <w:bCs/>
          <w:sz w:val="24"/>
          <w:szCs w:val="22"/>
          <w:lang w:val="zh-CN"/>
        </w:rPr>
        <w:t>交货时间：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签订合同后30天内</w:t>
      </w:r>
    </w:p>
    <w:p>
      <w:pPr>
        <w:autoSpaceDE w:val="0"/>
        <w:autoSpaceDN w:val="0"/>
        <w:adjustRightInd w:val="0"/>
        <w:spacing w:line="360" w:lineRule="auto"/>
        <w:rPr>
          <w:rFonts w:hint="default" w:eastAsia="宋体" w:cs="宋体"/>
          <w:bCs/>
          <w:iCs/>
          <w:color w:val="000000" w:themeColor="text1"/>
          <w:sz w:val="24"/>
          <w:szCs w:val="22"/>
          <w:lang w:val="en-US" w:eastAsia="zh-CN"/>
          <w14:textFill>
            <w14:solidFill>
              <w14:schemeClr w14:val="tx1"/>
            </w14:solidFill>
          </w14:textFill>
        </w:rPr>
      </w:pPr>
      <w:r>
        <w:rPr>
          <w:rFonts w:hint="eastAsia" w:cs="宋体"/>
          <w:bCs/>
          <w:iCs/>
          <w:color w:val="000000" w:themeColor="text1"/>
          <w:sz w:val="24"/>
          <w:szCs w:val="22"/>
          <w14:textFill>
            <w14:solidFill>
              <w14:schemeClr w14:val="tx1"/>
            </w14:solidFill>
          </w14:textFill>
        </w:rPr>
        <w:t>2.</w:t>
      </w:r>
      <w:r>
        <w:rPr>
          <w:rFonts w:hint="eastAsia" w:cs="宋体"/>
          <w:bCs/>
          <w:iCs/>
          <w:color w:val="000000" w:themeColor="text1"/>
          <w:sz w:val="24"/>
          <w:szCs w:val="22"/>
          <w:lang w:val="zh-CN"/>
          <w14:textFill>
            <w14:solidFill>
              <w14:schemeClr w14:val="tx1"/>
            </w14:solidFill>
          </w14:textFill>
        </w:rPr>
        <w:t>交货地点：</w:t>
      </w:r>
      <w:r>
        <w:rPr>
          <w:rFonts w:hint="eastAsia" w:cs="宋体"/>
          <w:color w:val="000000" w:themeColor="text1"/>
          <w:kern w:val="0"/>
          <w:sz w:val="24"/>
          <w:szCs w:val="24"/>
          <w:highlight w:val="none"/>
          <w:lang w:val="en-US" w:eastAsia="zh-CN"/>
          <w14:textFill>
            <w14:solidFill>
              <w14:schemeClr w14:val="tx1"/>
            </w14:solidFill>
          </w14:textFill>
        </w:rPr>
        <w:t>青海民族大学</w:t>
      </w:r>
    </w:p>
    <w:p>
      <w:pPr>
        <w:pStyle w:val="133"/>
        <w:spacing w:line="360" w:lineRule="auto"/>
        <w:rPr>
          <w:rFonts w:hAnsi="宋体"/>
          <w:color w:val="000000" w:themeColor="text1"/>
          <w:kern w:val="2"/>
          <w:highlight w:val="yellow"/>
          <w14:textFill>
            <w14:solidFill>
              <w14:schemeClr w14:val="tx1"/>
            </w14:solidFill>
          </w14:textFill>
        </w:rPr>
      </w:pPr>
      <w:r>
        <w:rPr>
          <w:rFonts w:hint="eastAsia" w:hAnsi="宋体"/>
          <w:color w:val="000000" w:themeColor="text1"/>
          <w:kern w:val="2"/>
          <w14:textFill>
            <w14:solidFill>
              <w14:schemeClr w14:val="tx1"/>
            </w14:solidFill>
          </w14:textFill>
        </w:rPr>
        <w:t>3.质保期</w:t>
      </w:r>
      <w:r>
        <w:rPr>
          <w:rFonts w:hint="eastAsia" w:hAnsi="宋体"/>
          <w:color w:val="000000" w:themeColor="text1"/>
          <w:kern w:val="2"/>
          <w:highlight w:val="none"/>
          <w14:textFill>
            <w14:solidFill>
              <w14:schemeClr w14:val="tx1"/>
            </w14:solidFill>
          </w14:textFill>
        </w:rPr>
        <w:t>：一年</w:t>
      </w:r>
    </w:p>
    <w:p>
      <w:pPr>
        <w:pStyle w:val="133"/>
        <w:spacing w:line="360" w:lineRule="auto"/>
        <w:rPr>
          <w:rFonts w:hint="eastAsia" w:hAnsi="宋体"/>
          <w:kern w:val="2"/>
          <w:highlight w:val="none"/>
        </w:rPr>
      </w:pPr>
      <w:r>
        <w:rPr>
          <w:rFonts w:hint="eastAsia" w:hAnsi="宋体"/>
          <w:kern w:val="2"/>
        </w:rPr>
        <w:t>4.付款方式：</w:t>
      </w:r>
      <w:r>
        <w:rPr>
          <w:rFonts w:hint="eastAsia" w:hAnsi="宋体"/>
          <w:kern w:val="2"/>
          <w:highlight w:val="none"/>
        </w:rPr>
        <w:t>详见“第四部分青海省政府采购项目合同书范本”中“四、付款方式”的规定</w:t>
      </w:r>
    </w:p>
    <w:p>
      <w:pPr>
        <w:pStyle w:val="44"/>
        <w:jc w:val="left"/>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（二）.技术参数</w:t>
      </w:r>
      <w:bookmarkEnd w:id="379"/>
      <w:bookmarkEnd w:id="380"/>
    </w:p>
    <w:p>
      <w:pPr>
        <w:pStyle w:val="20"/>
        <w:ind w:firstLine="0"/>
        <w:rPr>
          <w:rFonts w:asciiTheme="minorEastAsia" w:hAnsiTheme="minorEastAsia" w:eastAsiaTheme="minorEastAsia" w:cstheme="minorEastAsia"/>
          <w:sz w:val="24"/>
          <w:szCs w:val="24"/>
        </w:rPr>
      </w:pPr>
    </w:p>
    <w:tbl>
      <w:tblPr>
        <w:tblStyle w:val="48"/>
        <w:tblW w:w="10108" w:type="dxa"/>
        <w:tblInd w:w="-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0"/>
        <w:gridCol w:w="800"/>
        <w:gridCol w:w="717"/>
        <w:gridCol w:w="4509"/>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2"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窗帘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高精密遮光布，折子比例:2倍折，甲醛含量≤300mg／kg，可分解致癌芳香胺染料＜20mg／kg，遮光率≥95%，克重量≥260克／㎡，耐皂洗色牢度变色、沾色≥4级，耐光色牢度≥4级，度罗马杆材质:铝合金材质，壁厚:不小于1.2mm，制作工艺:打孔，条件具备的窗户，罗马杆长度比窗口净宽度长40cm。</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经管大楼、艺术大楼窗帘安装，窗户尺寸见附表。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面料:高精密遮光布，颜色待定（成交后与采购人确定颜色）</w:t>
            </w:r>
          </w:p>
        </w:tc>
      </w:tr>
    </w:tbl>
    <w:p>
      <w:pPr>
        <w:jc w:val="left"/>
        <w:rPr>
          <w:rFonts w:hint="eastAsia" w:ascii="仿宋_GB2312" w:eastAsia="仿宋_GB2312"/>
          <w:b/>
          <w:bCs/>
          <w:sz w:val="32"/>
          <w:szCs w:val="32"/>
          <w:lang w:eastAsia="zh-CN"/>
        </w:rPr>
      </w:pPr>
    </w:p>
    <w:p>
      <w:pPr>
        <w:jc w:val="left"/>
        <w:rPr>
          <w:rFonts w:hint="eastAsia" w:ascii="仿宋_GB2312" w:eastAsia="仿宋_GB2312"/>
          <w:b/>
          <w:bCs/>
          <w:sz w:val="32"/>
          <w:szCs w:val="32"/>
          <w:lang w:eastAsia="zh-CN"/>
        </w:rPr>
      </w:pPr>
    </w:p>
    <w:p>
      <w:pPr>
        <w:jc w:val="left"/>
        <w:rPr>
          <w:rFonts w:hint="eastAsia" w:ascii="仿宋_GB2312" w:eastAsia="仿宋_GB2312"/>
          <w:b/>
          <w:bCs/>
          <w:sz w:val="32"/>
          <w:szCs w:val="32"/>
          <w:lang w:eastAsia="zh-CN"/>
        </w:rPr>
      </w:pPr>
    </w:p>
    <w:p>
      <w:pPr>
        <w:rPr>
          <w:rFonts w:hint="eastAsia" w:ascii="仿宋_GB2312" w:eastAsia="仿宋_GB2312"/>
          <w:b/>
          <w:bCs/>
          <w:sz w:val="32"/>
          <w:szCs w:val="32"/>
          <w:lang w:eastAsia="zh-CN"/>
        </w:rPr>
      </w:pPr>
      <w:r>
        <w:rPr>
          <w:rFonts w:hint="eastAsia" w:ascii="仿宋_GB2312" w:eastAsia="仿宋_GB2312"/>
          <w:b/>
          <w:bCs/>
          <w:sz w:val="32"/>
          <w:szCs w:val="32"/>
          <w:lang w:eastAsia="zh-CN"/>
        </w:rPr>
        <w:br w:type="page"/>
      </w:r>
    </w:p>
    <w:p>
      <w:pPr>
        <w:pStyle w:val="2"/>
        <w:rPr>
          <w:rFonts w:hint="eastAsia"/>
          <w:lang w:eastAsia="zh-CN"/>
        </w:rPr>
        <w:sectPr>
          <w:pgSz w:w="11906" w:h="16838"/>
          <w:pgMar w:top="1440" w:right="1800" w:bottom="1440" w:left="1800" w:header="851" w:footer="992" w:gutter="0"/>
          <w:cols w:space="425" w:num="1"/>
          <w:docGrid w:type="lines" w:linePitch="312" w:charSpace="0"/>
        </w:sectPr>
      </w:pPr>
    </w:p>
    <w:p>
      <w:pPr>
        <w:rPr>
          <w:rFonts w:hint="eastAsia"/>
          <w:lang w:eastAsia="zh-CN"/>
        </w:rPr>
      </w:pPr>
    </w:p>
    <w:p>
      <w:pPr>
        <w:jc w:val="left"/>
        <w:rPr>
          <w:rFonts w:asciiTheme="minorEastAsia" w:hAnsiTheme="minorEastAsia" w:eastAsiaTheme="minorEastAsia" w:cstheme="minorEastAsia"/>
          <w:sz w:val="24"/>
          <w:szCs w:val="24"/>
        </w:rPr>
      </w:pPr>
      <w:r>
        <w:rPr>
          <w:rFonts w:hint="eastAsia" w:ascii="仿宋_GB2312" w:eastAsia="仿宋_GB2312"/>
          <w:b/>
          <w:bCs/>
          <w:sz w:val="32"/>
          <w:szCs w:val="32"/>
          <w:lang w:eastAsia="zh-CN"/>
        </w:rPr>
        <w:t>附表：</w:t>
      </w:r>
    </w:p>
    <w:p>
      <w:pPr>
        <w:jc w:val="left"/>
        <w:rPr>
          <w:rFonts w:hint="eastAsia" w:ascii="仿宋_GB2312" w:eastAsia="仿宋_GB2312"/>
          <w:sz w:val="32"/>
          <w:szCs w:val="32"/>
        </w:rPr>
      </w:pPr>
    </w:p>
    <w:tbl>
      <w:tblPr>
        <w:tblStyle w:val="48"/>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189"/>
        <w:gridCol w:w="1160"/>
        <w:gridCol w:w="1223"/>
        <w:gridCol w:w="1096"/>
        <w:gridCol w:w="1096"/>
        <w:gridCol w:w="1096"/>
        <w:gridCol w:w="1096"/>
        <w:gridCol w:w="1075"/>
        <w:gridCol w:w="1096"/>
        <w:gridCol w:w="1096"/>
        <w:gridCol w:w="1064"/>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2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经管大楼</w:t>
            </w:r>
            <w:r>
              <w:rPr>
                <w:rFonts w:hint="eastAsia" w:ascii="宋体" w:hAnsi="宋体" w:cs="宋体"/>
                <w:i w:val="0"/>
                <w:iCs w:val="0"/>
                <w:color w:val="000000"/>
                <w:kern w:val="0"/>
                <w:sz w:val="32"/>
                <w:szCs w:val="32"/>
                <w:u w:val="none"/>
                <w:lang w:val="en-US" w:eastAsia="zh-CN" w:bidi="ar"/>
              </w:rPr>
              <w:t>窗户</w:t>
            </w:r>
            <w:r>
              <w:rPr>
                <w:rFonts w:hint="eastAsia" w:ascii="宋体" w:hAnsi="宋体" w:eastAsia="宋体" w:cs="宋体"/>
                <w:i w:val="0"/>
                <w:iCs w:val="0"/>
                <w:color w:val="000000"/>
                <w:kern w:val="0"/>
                <w:sz w:val="32"/>
                <w:szCs w:val="32"/>
                <w:u w:val="none"/>
                <w:lang w:val="en-US" w:eastAsia="zh-CN" w:bidi="ar"/>
              </w:rPr>
              <w:t>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东一</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东二</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东三</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5.7*2.8</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东四</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5.3*2.4</w:t>
            </w:r>
          </w:p>
        </w:tc>
        <w:tc>
          <w:tcPr>
            <w:tcW w:w="10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本楼合计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9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说明：局部房间窗户稍有偏差，实际尺寸以现场测量尺寸为准</w:t>
            </w:r>
            <w:r>
              <w:rPr>
                <w:rFonts w:hint="eastAsia" w:ascii="宋体" w:hAnsi="宋体" w:cs="宋体"/>
                <w:i w:val="0"/>
                <w:iCs w:val="0"/>
                <w:color w:val="000000"/>
                <w:kern w:val="0"/>
                <w:sz w:val="22"/>
                <w:szCs w:val="22"/>
                <w:u w:val="none"/>
                <w:lang w:val="en-US" w:eastAsia="zh-CN" w:bidi="ar"/>
              </w:rPr>
              <w:t>；以上窗户尺寸为宽*高，单位：米。</w:t>
            </w:r>
          </w:p>
        </w:tc>
      </w:tr>
    </w:tbl>
    <w:p>
      <w:pPr>
        <w:jc w:val="left"/>
        <w:rPr>
          <w:rFonts w:hint="eastAsia"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tbl>
      <w:tblPr>
        <w:tblStyle w:val="48"/>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1174"/>
        <w:gridCol w:w="1174"/>
        <w:gridCol w:w="1174"/>
        <w:gridCol w:w="1174"/>
        <w:gridCol w:w="1174"/>
        <w:gridCol w:w="1174"/>
        <w:gridCol w:w="1174"/>
        <w:gridCol w:w="1174"/>
        <w:gridCol w:w="1056"/>
        <w:gridCol w:w="1056"/>
        <w:gridCol w:w="1056"/>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965"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艺术大楼</w:t>
            </w:r>
            <w:r>
              <w:rPr>
                <w:rFonts w:hint="eastAsia" w:ascii="宋体" w:hAnsi="宋体" w:cs="宋体"/>
                <w:i w:val="0"/>
                <w:iCs w:val="0"/>
                <w:color w:val="000000"/>
                <w:kern w:val="0"/>
                <w:sz w:val="32"/>
                <w:szCs w:val="32"/>
                <w:u w:val="none"/>
                <w:lang w:val="en-US" w:eastAsia="zh-CN" w:bidi="ar"/>
              </w:rPr>
              <w:t>窗户</w:t>
            </w:r>
            <w:r>
              <w:rPr>
                <w:rFonts w:hint="eastAsia" w:ascii="宋体" w:hAnsi="宋体" w:eastAsia="宋体" w:cs="宋体"/>
                <w:i w:val="0"/>
                <w:iCs w:val="0"/>
                <w:color w:val="000000"/>
                <w:kern w:val="0"/>
                <w:sz w:val="32"/>
                <w:szCs w:val="32"/>
                <w:u w:val="none"/>
                <w:lang w:val="en-US" w:eastAsia="zh-CN" w:bidi="ar"/>
              </w:rPr>
              <w:t>统计</w:t>
            </w:r>
            <w:r>
              <w:rPr>
                <w:rFonts w:hint="eastAsia" w:ascii="宋体" w:hAnsi="宋体" w:cs="宋体"/>
                <w:i w:val="0"/>
                <w:iCs w:val="0"/>
                <w:color w:val="000000"/>
                <w:kern w:val="0"/>
                <w:sz w:val="32"/>
                <w:szCs w:val="32"/>
                <w:u w:val="none"/>
                <w:lang w:val="en-US" w:eastAsia="zh-CN" w:bidi="ar"/>
              </w:rPr>
              <w:t>（单位：米）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本层小计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9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说明：说明：局部房间窗户稍有偏差，实际尺寸以现场测量尺寸为准</w:t>
            </w:r>
            <w:r>
              <w:rPr>
                <w:rFonts w:hint="eastAsia" w:ascii="宋体" w:hAnsi="宋体" w:cs="宋体"/>
                <w:i w:val="0"/>
                <w:iCs w:val="0"/>
                <w:color w:val="000000"/>
                <w:kern w:val="0"/>
                <w:sz w:val="22"/>
                <w:szCs w:val="22"/>
                <w:u w:val="none"/>
                <w:lang w:val="en-US" w:eastAsia="zh-CN" w:bidi="ar"/>
              </w:rPr>
              <w:t>；以上窗户尺寸为宽*高，单位：米。</w:t>
            </w:r>
          </w:p>
        </w:tc>
      </w:tr>
    </w:tbl>
    <w:p>
      <w:pPr>
        <w:jc w:val="left"/>
        <w:rPr>
          <w:rFonts w:hint="eastAsia" w:ascii="仿宋_GB2312" w:eastAsia="仿宋_GB2312"/>
          <w:sz w:val="32"/>
          <w:szCs w:val="32"/>
          <w:lang w:eastAsia="zh-CN"/>
        </w:rPr>
      </w:pPr>
    </w:p>
    <w:p>
      <w:pPr>
        <w:pStyle w:val="2"/>
      </w:pPr>
    </w:p>
    <w:sectPr>
      <w:headerReference r:id="rId7" w:type="default"/>
      <w:footerReference r:id="rId8" w:type="default"/>
      <w:pgSz w:w="16838" w:h="11906" w:orient="landscape"/>
      <w:pgMar w:top="1418" w:right="1134" w:bottom="1418"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none" lIns="0" tIns="0" rIns="0" bIns="0" anchor="t" anchorCtr="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iApdcBAAC0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7QJ1BInLE38/P3b+cev88+v&#10;7HqZGtT7WFHeg6dMHN7AQMmzP5Iz6R7aYNOfFDGKE9bp0l41IJPp0mq5WpUUkhSbD4RfPF73IeK9&#10;AsuSUfNA88ttFcd3EcfUOSVVc3CnjckzNO4vB2EmT5G4jxyThcNumATtoDmRHnoIVKeD8IWzntag&#10;5o62njPz1lGXiSvORpiN3WwIJ+lizZGz0bzFvFmJSPSvD0jsMulUeqw3MaJhZtnT4qVt+fOcsx4f&#10;2+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zIgKXXAQAAtAMAAA4AAAAAAAAAAQAgAAAA&#10;HgEAAGRycy9lMm9Eb2MueG1sUEsFBgAAAAAGAAYAWQEAAGcFA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wps:txbx>
                    <wps:bodyPr vert="horz" wrap="none" lIns="0" tIns="0" rIns="0" bIns="0" anchor="t" anchorCtr="0">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6Hyx9gBAAC0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7QJS86csDTx8/dv5x+/zj+/&#10;sutValDvY0V5D54ycXgDAyXP/kjOpHtog01/UsQoTu09XdqrBmQyXVotV6uSQpJi84Hwi8frPkS8&#10;V2BZMmoeaH65reL4LuKYOqekag7utDF5hsb95SDM5CkS95FjsnDYDZOgHTQn0kMPgep0EL5w1tMa&#10;1NzR1nNm3jrqctqY2QizsZsN4SRdrDlyNpq3mDcrEYn+9QGJXSadSo/1JkY0zCx7Wry0LX+ec9bj&#10;Y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HofLH2AEAALQDAAAOAAAAAAAAAAEAIAAA&#10;AB4BAABkcnMvZTJvRG9jLnhtbFBLBQYAAAAABgAGAFkBAABoBQ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79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1312"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1"/>
      <w:pBdr>
        <w:bottom w:val="none" w:color="auto" w:sz="0" w:space="1"/>
      </w:pBdr>
      <w:spacing w:line="240" w:lineRule="auto"/>
      <w:jc w:val="right"/>
    </w:pPr>
  </w:p>
  <w:p>
    <w:pPr>
      <w:pStyle w:val="31"/>
      <w:pBdr>
        <w:bottom w:val="none" w:color="auto" w:sz="0" w:space="1"/>
      </w:pBdr>
      <w:spacing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2336"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1"/>
      <w:pBdr>
        <w:bottom w:val="none" w:color="auto" w:sz="0" w:space="1"/>
      </w:pBdr>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BD461"/>
    <w:multiLevelType w:val="singleLevel"/>
    <w:tmpl w:val="C74BD461"/>
    <w:lvl w:ilvl="0" w:tentative="0">
      <w:start w:val="2"/>
      <w:numFmt w:val="decimal"/>
      <w:suff w:val="nothing"/>
      <w:lvlText w:val="%1、"/>
      <w:lvlJc w:val="left"/>
    </w:lvl>
  </w:abstractNum>
  <w:abstractNum w:abstractNumId="1">
    <w:nsid w:val="27E98AD5"/>
    <w:multiLevelType w:val="singleLevel"/>
    <w:tmpl w:val="27E98AD5"/>
    <w:lvl w:ilvl="0" w:tentative="0">
      <w:start w:val="4"/>
      <w:numFmt w:val="chineseCounting"/>
      <w:suff w:val="nothing"/>
      <w:lvlText w:val="%1、"/>
      <w:lvlJc w:val="left"/>
      <w:rPr>
        <w:rFonts w:hint="eastAsia"/>
        <w:b/>
        <w:bCs/>
      </w:rPr>
    </w:lvl>
  </w:abstractNum>
  <w:abstractNum w:abstractNumId="2">
    <w:nsid w:val="28C9C34D"/>
    <w:multiLevelType w:val="singleLevel"/>
    <w:tmpl w:val="28C9C34D"/>
    <w:lvl w:ilvl="0" w:tentative="0">
      <w:start w:val="2"/>
      <w:numFmt w:val="decimal"/>
      <w:suff w:val="nothing"/>
      <w:lvlText w:val="（%1）"/>
      <w:lvlJc w:val="left"/>
    </w:lvl>
  </w:abstractNum>
  <w:abstractNum w:abstractNumId="3">
    <w:nsid w:val="487AB3A9"/>
    <w:multiLevelType w:val="singleLevel"/>
    <w:tmpl w:val="487AB3A9"/>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mFhYWI0ZjRiOTEzN2JhMGRlOThjMTk1NDg2YzgifQ=="/>
  </w:docVars>
  <w:rsids>
    <w:rsidRoot w:val="00E975F3"/>
    <w:rsid w:val="00061283"/>
    <w:rsid w:val="00086CF5"/>
    <w:rsid w:val="000B4250"/>
    <w:rsid w:val="000D4A7C"/>
    <w:rsid w:val="000E64F1"/>
    <w:rsid w:val="00131672"/>
    <w:rsid w:val="00136094"/>
    <w:rsid w:val="00272A93"/>
    <w:rsid w:val="002B33E7"/>
    <w:rsid w:val="002D68C7"/>
    <w:rsid w:val="002F7F03"/>
    <w:rsid w:val="0031442F"/>
    <w:rsid w:val="00363E23"/>
    <w:rsid w:val="003A79AD"/>
    <w:rsid w:val="003F41AE"/>
    <w:rsid w:val="00406D05"/>
    <w:rsid w:val="005356E1"/>
    <w:rsid w:val="005A1334"/>
    <w:rsid w:val="00606C50"/>
    <w:rsid w:val="00616229"/>
    <w:rsid w:val="006714BD"/>
    <w:rsid w:val="006902EA"/>
    <w:rsid w:val="00734892"/>
    <w:rsid w:val="007A32B5"/>
    <w:rsid w:val="007B35D8"/>
    <w:rsid w:val="007C763B"/>
    <w:rsid w:val="007D5A44"/>
    <w:rsid w:val="007F723C"/>
    <w:rsid w:val="008907D1"/>
    <w:rsid w:val="008C279F"/>
    <w:rsid w:val="00923BEE"/>
    <w:rsid w:val="009C2415"/>
    <w:rsid w:val="009E3040"/>
    <w:rsid w:val="009F4865"/>
    <w:rsid w:val="00AA1933"/>
    <w:rsid w:val="00AA477C"/>
    <w:rsid w:val="00AB191E"/>
    <w:rsid w:val="00AB5727"/>
    <w:rsid w:val="00AD14B1"/>
    <w:rsid w:val="00B1641F"/>
    <w:rsid w:val="00B96426"/>
    <w:rsid w:val="00BA7CB6"/>
    <w:rsid w:val="00C06AE0"/>
    <w:rsid w:val="00D1027C"/>
    <w:rsid w:val="00D20CE1"/>
    <w:rsid w:val="00D6468A"/>
    <w:rsid w:val="00DD4925"/>
    <w:rsid w:val="00E00629"/>
    <w:rsid w:val="00E41F01"/>
    <w:rsid w:val="00E975F3"/>
    <w:rsid w:val="00EC45A5"/>
    <w:rsid w:val="00EE4040"/>
    <w:rsid w:val="00F023F5"/>
    <w:rsid w:val="00F30C09"/>
    <w:rsid w:val="00FE0963"/>
    <w:rsid w:val="00FF2605"/>
    <w:rsid w:val="01464720"/>
    <w:rsid w:val="0159126E"/>
    <w:rsid w:val="018168C2"/>
    <w:rsid w:val="018F47A3"/>
    <w:rsid w:val="01C07708"/>
    <w:rsid w:val="021D4754"/>
    <w:rsid w:val="025F0970"/>
    <w:rsid w:val="02AC1305"/>
    <w:rsid w:val="02CE086D"/>
    <w:rsid w:val="02F401FE"/>
    <w:rsid w:val="02F471C0"/>
    <w:rsid w:val="03120D61"/>
    <w:rsid w:val="03144FCD"/>
    <w:rsid w:val="03421B0A"/>
    <w:rsid w:val="038E0B1B"/>
    <w:rsid w:val="03B05C8E"/>
    <w:rsid w:val="03D0006E"/>
    <w:rsid w:val="047770E7"/>
    <w:rsid w:val="04D54AC5"/>
    <w:rsid w:val="04DA185A"/>
    <w:rsid w:val="04DC3C9B"/>
    <w:rsid w:val="0510247B"/>
    <w:rsid w:val="052C0A8C"/>
    <w:rsid w:val="0597633F"/>
    <w:rsid w:val="05D063CA"/>
    <w:rsid w:val="060F0118"/>
    <w:rsid w:val="06197D65"/>
    <w:rsid w:val="06685686"/>
    <w:rsid w:val="06BE5C67"/>
    <w:rsid w:val="06F3181D"/>
    <w:rsid w:val="07003F3D"/>
    <w:rsid w:val="07035F04"/>
    <w:rsid w:val="070E5EE2"/>
    <w:rsid w:val="073B0B56"/>
    <w:rsid w:val="07BA2136"/>
    <w:rsid w:val="07D423DC"/>
    <w:rsid w:val="0821433A"/>
    <w:rsid w:val="083C3EF0"/>
    <w:rsid w:val="08494D3D"/>
    <w:rsid w:val="08657C22"/>
    <w:rsid w:val="08810235"/>
    <w:rsid w:val="0883321E"/>
    <w:rsid w:val="08A922CD"/>
    <w:rsid w:val="08C74C5F"/>
    <w:rsid w:val="093B4DB1"/>
    <w:rsid w:val="0968392A"/>
    <w:rsid w:val="09783258"/>
    <w:rsid w:val="09991070"/>
    <w:rsid w:val="099C5584"/>
    <w:rsid w:val="099E3DC1"/>
    <w:rsid w:val="09F45C01"/>
    <w:rsid w:val="0A3D0E66"/>
    <w:rsid w:val="0A4D1CCF"/>
    <w:rsid w:val="0A6A05C4"/>
    <w:rsid w:val="0A8F3ECA"/>
    <w:rsid w:val="0AB6451E"/>
    <w:rsid w:val="0AF639DA"/>
    <w:rsid w:val="0AF679FE"/>
    <w:rsid w:val="0B0735C6"/>
    <w:rsid w:val="0B094E4C"/>
    <w:rsid w:val="0B0A7B24"/>
    <w:rsid w:val="0B12310A"/>
    <w:rsid w:val="0B126CA3"/>
    <w:rsid w:val="0B16386A"/>
    <w:rsid w:val="0B246D71"/>
    <w:rsid w:val="0B5B3719"/>
    <w:rsid w:val="0B747AA6"/>
    <w:rsid w:val="0BFA5C4E"/>
    <w:rsid w:val="0C0146FB"/>
    <w:rsid w:val="0C1D35AC"/>
    <w:rsid w:val="0C2D57D1"/>
    <w:rsid w:val="0C304097"/>
    <w:rsid w:val="0C322DE7"/>
    <w:rsid w:val="0C4E0A04"/>
    <w:rsid w:val="0D105370"/>
    <w:rsid w:val="0D3A443F"/>
    <w:rsid w:val="0D4B713E"/>
    <w:rsid w:val="0D533933"/>
    <w:rsid w:val="0D7A022E"/>
    <w:rsid w:val="0DC70488"/>
    <w:rsid w:val="0DDF3737"/>
    <w:rsid w:val="0E127591"/>
    <w:rsid w:val="0E150831"/>
    <w:rsid w:val="0E9959C9"/>
    <w:rsid w:val="0ED63EFE"/>
    <w:rsid w:val="0EF037C7"/>
    <w:rsid w:val="0F353D7A"/>
    <w:rsid w:val="0F613EDB"/>
    <w:rsid w:val="0F890F19"/>
    <w:rsid w:val="0FE80E15"/>
    <w:rsid w:val="10325837"/>
    <w:rsid w:val="10770008"/>
    <w:rsid w:val="108C1CC2"/>
    <w:rsid w:val="109E335C"/>
    <w:rsid w:val="10A65B52"/>
    <w:rsid w:val="10B43FE5"/>
    <w:rsid w:val="10B957C4"/>
    <w:rsid w:val="10E460BE"/>
    <w:rsid w:val="11167A4E"/>
    <w:rsid w:val="112A73BC"/>
    <w:rsid w:val="113427EC"/>
    <w:rsid w:val="11411976"/>
    <w:rsid w:val="11600CFB"/>
    <w:rsid w:val="118657FC"/>
    <w:rsid w:val="11A2022B"/>
    <w:rsid w:val="11E31E7F"/>
    <w:rsid w:val="11F90233"/>
    <w:rsid w:val="12446EE0"/>
    <w:rsid w:val="12553352"/>
    <w:rsid w:val="12581A95"/>
    <w:rsid w:val="12FA29E0"/>
    <w:rsid w:val="130B25C5"/>
    <w:rsid w:val="133D3025"/>
    <w:rsid w:val="1369109A"/>
    <w:rsid w:val="13924510"/>
    <w:rsid w:val="13CF778E"/>
    <w:rsid w:val="14017DAE"/>
    <w:rsid w:val="14097C7D"/>
    <w:rsid w:val="14102AD9"/>
    <w:rsid w:val="14107A43"/>
    <w:rsid w:val="14286113"/>
    <w:rsid w:val="14311054"/>
    <w:rsid w:val="14733193"/>
    <w:rsid w:val="147C785E"/>
    <w:rsid w:val="14803FFF"/>
    <w:rsid w:val="14A73C9E"/>
    <w:rsid w:val="14D21777"/>
    <w:rsid w:val="14FE3055"/>
    <w:rsid w:val="156E6EFB"/>
    <w:rsid w:val="158D141B"/>
    <w:rsid w:val="158D63B9"/>
    <w:rsid w:val="158F3554"/>
    <w:rsid w:val="159A2405"/>
    <w:rsid w:val="15A179DB"/>
    <w:rsid w:val="15A65D7F"/>
    <w:rsid w:val="15C845CE"/>
    <w:rsid w:val="160B002B"/>
    <w:rsid w:val="160E46EE"/>
    <w:rsid w:val="16224386"/>
    <w:rsid w:val="16437E08"/>
    <w:rsid w:val="16905A0D"/>
    <w:rsid w:val="169A7084"/>
    <w:rsid w:val="16B64618"/>
    <w:rsid w:val="16C5053A"/>
    <w:rsid w:val="16D94043"/>
    <w:rsid w:val="17080B49"/>
    <w:rsid w:val="173D3D53"/>
    <w:rsid w:val="17863CB1"/>
    <w:rsid w:val="179B51C0"/>
    <w:rsid w:val="17A600F1"/>
    <w:rsid w:val="17B510D9"/>
    <w:rsid w:val="17CA7363"/>
    <w:rsid w:val="17D277AF"/>
    <w:rsid w:val="17E238CC"/>
    <w:rsid w:val="17E26F3E"/>
    <w:rsid w:val="181C50C8"/>
    <w:rsid w:val="186E04F9"/>
    <w:rsid w:val="188528B0"/>
    <w:rsid w:val="18B8583F"/>
    <w:rsid w:val="18CE4A09"/>
    <w:rsid w:val="18E875D3"/>
    <w:rsid w:val="1961193B"/>
    <w:rsid w:val="19913A72"/>
    <w:rsid w:val="19A03A86"/>
    <w:rsid w:val="19AF0FEC"/>
    <w:rsid w:val="19D64FE3"/>
    <w:rsid w:val="1A1E60DD"/>
    <w:rsid w:val="1A4D5875"/>
    <w:rsid w:val="1A5B6934"/>
    <w:rsid w:val="1ABA46D4"/>
    <w:rsid w:val="1AEE0821"/>
    <w:rsid w:val="1B330399"/>
    <w:rsid w:val="1B617EF3"/>
    <w:rsid w:val="1B6D0F3D"/>
    <w:rsid w:val="1B827B72"/>
    <w:rsid w:val="1BE230D0"/>
    <w:rsid w:val="1BF60CA0"/>
    <w:rsid w:val="1C382440"/>
    <w:rsid w:val="1C4F52EF"/>
    <w:rsid w:val="1C5304B6"/>
    <w:rsid w:val="1C5A1D25"/>
    <w:rsid w:val="1C7723A3"/>
    <w:rsid w:val="1CA33A81"/>
    <w:rsid w:val="1CC1082A"/>
    <w:rsid w:val="1CCB2BC8"/>
    <w:rsid w:val="1CD41F65"/>
    <w:rsid w:val="1CEF486E"/>
    <w:rsid w:val="1CF2091E"/>
    <w:rsid w:val="1D1B5688"/>
    <w:rsid w:val="1D466151"/>
    <w:rsid w:val="1D490EAC"/>
    <w:rsid w:val="1D5B0B76"/>
    <w:rsid w:val="1D5F6A58"/>
    <w:rsid w:val="1D634B02"/>
    <w:rsid w:val="1D802D60"/>
    <w:rsid w:val="1DA15309"/>
    <w:rsid w:val="1DC56F1B"/>
    <w:rsid w:val="1DF80FAB"/>
    <w:rsid w:val="1E111BA8"/>
    <w:rsid w:val="1E126B6C"/>
    <w:rsid w:val="1EA3628E"/>
    <w:rsid w:val="1EA97CAF"/>
    <w:rsid w:val="1EC16F08"/>
    <w:rsid w:val="1ED455FB"/>
    <w:rsid w:val="1F1B770B"/>
    <w:rsid w:val="1F1E2469"/>
    <w:rsid w:val="1F22360C"/>
    <w:rsid w:val="1F2849F8"/>
    <w:rsid w:val="1F3D3B25"/>
    <w:rsid w:val="1F446C62"/>
    <w:rsid w:val="1F786F68"/>
    <w:rsid w:val="1F8711B6"/>
    <w:rsid w:val="1F9A0B0F"/>
    <w:rsid w:val="1F9D054D"/>
    <w:rsid w:val="1FC724DA"/>
    <w:rsid w:val="1FCF7C1F"/>
    <w:rsid w:val="205A70DE"/>
    <w:rsid w:val="205C7FDB"/>
    <w:rsid w:val="20A91472"/>
    <w:rsid w:val="20B31A4B"/>
    <w:rsid w:val="20B908FA"/>
    <w:rsid w:val="20CD0AFB"/>
    <w:rsid w:val="20D21F50"/>
    <w:rsid w:val="20F0753F"/>
    <w:rsid w:val="211065EE"/>
    <w:rsid w:val="21112D46"/>
    <w:rsid w:val="2118030B"/>
    <w:rsid w:val="211F34E2"/>
    <w:rsid w:val="21233732"/>
    <w:rsid w:val="21352D06"/>
    <w:rsid w:val="21574BF0"/>
    <w:rsid w:val="218D7AAC"/>
    <w:rsid w:val="21B90160"/>
    <w:rsid w:val="21CB366A"/>
    <w:rsid w:val="21CC7BBF"/>
    <w:rsid w:val="21DD3F67"/>
    <w:rsid w:val="21EA5052"/>
    <w:rsid w:val="21ED75E9"/>
    <w:rsid w:val="22131923"/>
    <w:rsid w:val="222651BB"/>
    <w:rsid w:val="225B14C2"/>
    <w:rsid w:val="226E1E32"/>
    <w:rsid w:val="22810393"/>
    <w:rsid w:val="2288316F"/>
    <w:rsid w:val="2294144E"/>
    <w:rsid w:val="22AE0409"/>
    <w:rsid w:val="22E5246D"/>
    <w:rsid w:val="22F053E5"/>
    <w:rsid w:val="231E27E3"/>
    <w:rsid w:val="23303045"/>
    <w:rsid w:val="233367CA"/>
    <w:rsid w:val="2364294D"/>
    <w:rsid w:val="23FA1943"/>
    <w:rsid w:val="24284632"/>
    <w:rsid w:val="248168F8"/>
    <w:rsid w:val="24A93295"/>
    <w:rsid w:val="24B773B5"/>
    <w:rsid w:val="24C80315"/>
    <w:rsid w:val="24CC51B1"/>
    <w:rsid w:val="24DB053B"/>
    <w:rsid w:val="24EA1F40"/>
    <w:rsid w:val="250A7FE0"/>
    <w:rsid w:val="25286B3F"/>
    <w:rsid w:val="25587783"/>
    <w:rsid w:val="2577580C"/>
    <w:rsid w:val="25841075"/>
    <w:rsid w:val="25853CAF"/>
    <w:rsid w:val="2590602F"/>
    <w:rsid w:val="25A246E2"/>
    <w:rsid w:val="25BF7042"/>
    <w:rsid w:val="25D30EC1"/>
    <w:rsid w:val="25D52D09"/>
    <w:rsid w:val="25EC663D"/>
    <w:rsid w:val="26047E64"/>
    <w:rsid w:val="263F0DA1"/>
    <w:rsid w:val="264E630E"/>
    <w:rsid w:val="26561EDD"/>
    <w:rsid w:val="26673E8A"/>
    <w:rsid w:val="269A360B"/>
    <w:rsid w:val="26D36FB1"/>
    <w:rsid w:val="27142C02"/>
    <w:rsid w:val="272329F5"/>
    <w:rsid w:val="2760253D"/>
    <w:rsid w:val="278C0A48"/>
    <w:rsid w:val="27E100E2"/>
    <w:rsid w:val="280B5BB5"/>
    <w:rsid w:val="281A6193"/>
    <w:rsid w:val="288078E8"/>
    <w:rsid w:val="28897940"/>
    <w:rsid w:val="28C24822"/>
    <w:rsid w:val="28FE680F"/>
    <w:rsid w:val="290E58BD"/>
    <w:rsid w:val="29193935"/>
    <w:rsid w:val="293D1737"/>
    <w:rsid w:val="29452E67"/>
    <w:rsid w:val="29651C16"/>
    <w:rsid w:val="299741B3"/>
    <w:rsid w:val="29B42CDF"/>
    <w:rsid w:val="29C6520A"/>
    <w:rsid w:val="29DF6954"/>
    <w:rsid w:val="29EF5297"/>
    <w:rsid w:val="29F006D0"/>
    <w:rsid w:val="2A610568"/>
    <w:rsid w:val="2A673D07"/>
    <w:rsid w:val="2A9844A4"/>
    <w:rsid w:val="2A9860B3"/>
    <w:rsid w:val="2AB02DB0"/>
    <w:rsid w:val="2AB253C7"/>
    <w:rsid w:val="2AC663DB"/>
    <w:rsid w:val="2AE23E7E"/>
    <w:rsid w:val="2AE75DF9"/>
    <w:rsid w:val="2B2E28B9"/>
    <w:rsid w:val="2B7B7986"/>
    <w:rsid w:val="2BAC62BA"/>
    <w:rsid w:val="2BC47108"/>
    <w:rsid w:val="2BCE748B"/>
    <w:rsid w:val="2C1229A0"/>
    <w:rsid w:val="2C2C5374"/>
    <w:rsid w:val="2C9A25B7"/>
    <w:rsid w:val="2CB507F5"/>
    <w:rsid w:val="2CC478BA"/>
    <w:rsid w:val="2CCB7425"/>
    <w:rsid w:val="2CE36031"/>
    <w:rsid w:val="2CE945A5"/>
    <w:rsid w:val="2CF346B4"/>
    <w:rsid w:val="2D330348"/>
    <w:rsid w:val="2D4A5ECB"/>
    <w:rsid w:val="2D5274E4"/>
    <w:rsid w:val="2D690445"/>
    <w:rsid w:val="2DBC0A62"/>
    <w:rsid w:val="2DDE21F9"/>
    <w:rsid w:val="2DE30850"/>
    <w:rsid w:val="2E3C31BE"/>
    <w:rsid w:val="2E4C7BEF"/>
    <w:rsid w:val="2E57151D"/>
    <w:rsid w:val="2E5E3B58"/>
    <w:rsid w:val="2E713284"/>
    <w:rsid w:val="2E723C5D"/>
    <w:rsid w:val="2E7A020B"/>
    <w:rsid w:val="2E7D7A9A"/>
    <w:rsid w:val="2E8A1271"/>
    <w:rsid w:val="2EB91509"/>
    <w:rsid w:val="2EC30E5F"/>
    <w:rsid w:val="2ECF4F1B"/>
    <w:rsid w:val="2EF3575B"/>
    <w:rsid w:val="2F0F4DBD"/>
    <w:rsid w:val="2F307202"/>
    <w:rsid w:val="2F5C4685"/>
    <w:rsid w:val="2F735A06"/>
    <w:rsid w:val="2F7E1D1C"/>
    <w:rsid w:val="2F8A5440"/>
    <w:rsid w:val="2FA023CF"/>
    <w:rsid w:val="2FE31B49"/>
    <w:rsid w:val="2FE37DDA"/>
    <w:rsid w:val="2FFA6487"/>
    <w:rsid w:val="300B518F"/>
    <w:rsid w:val="301C258B"/>
    <w:rsid w:val="301F43AF"/>
    <w:rsid w:val="30ED7187"/>
    <w:rsid w:val="30FD37EE"/>
    <w:rsid w:val="31127545"/>
    <w:rsid w:val="312855F3"/>
    <w:rsid w:val="313A38F3"/>
    <w:rsid w:val="31420719"/>
    <w:rsid w:val="31467395"/>
    <w:rsid w:val="3172736F"/>
    <w:rsid w:val="31A3688E"/>
    <w:rsid w:val="31CF512F"/>
    <w:rsid w:val="31D46985"/>
    <w:rsid w:val="322352FB"/>
    <w:rsid w:val="3224379E"/>
    <w:rsid w:val="32562ADC"/>
    <w:rsid w:val="32891BB2"/>
    <w:rsid w:val="328C29A2"/>
    <w:rsid w:val="32C56BA9"/>
    <w:rsid w:val="32C758EE"/>
    <w:rsid w:val="32FF00B5"/>
    <w:rsid w:val="331E1CC9"/>
    <w:rsid w:val="335408A7"/>
    <w:rsid w:val="33572FB0"/>
    <w:rsid w:val="3372458A"/>
    <w:rsid w:val="33801A17"/>
    <w:rsid w:val="33830596"/>
    <w:rsid w:val="33DC24AF"/>
    <w:rsid w:val="34232FF5"/>
    <w:rsid w:val="34317BC2"/>
    <w:rsid w:val="34637732"/>
    <w:rsid w:val="346A26A5"/>
    <w:rsid w:val="346F4B3D"/>
    <w:rsid w:val="34872277"/>
    <w:rsid w:val="349B00DF"/>
    <w:rsid w:val="34D77D9B"/>
    <w:rsid w:val="34DA176A"/>
    <w:rsid w:val="35217D38"/>
    <w:rsid w:val="352E7223"/>
    <w:rsid w:val="35602F7C"/>
    <w:rsid w:val="3569275F"/>
    <w:rsid w:val="35D676D3"/>
    <w:rsid w:val="35F202B3"/>
    <w:rsid w:val="36036477"/>
    <w:rsid w:val="36304078"/>
    <w:rsid w:val="36340E39"/>
    <w:rsid w:val="364E0B7A"/>
    <w:rsid w:val="369A7A02"/>
    <w:rsid w:val="36A44235"/>
    <w:rsid w:val="36A46248"/>
    <w:rsid w:val="36BD1087"/>
    <w:rsid w:val="36F34D9D"/>
    <w:rsid w:val="372A2BCA"/>
    <w:rsid w:val="374B0C8E"/>
    <w:rsid w:val="378C62C4"/>
    <w:rsid w:val="37E65A4C"/>
    <w:rsid w:val="38037018"/>
    <w:rsid w:val="38077E3B"/>
    <w:rsid w:val="38633ED2"/>
    <w:rsid w:val="389B61AA"/>
    <w:rsid w:val="389D416A"/>
    <w:rsid w:val="39033279"/>
    <w:rsid w:val="39415CA2"/>
    <w:rsid w:val="39652CCB"/>
    <w:rsid w:val="397F75A6"/>
    <w:rsid w:val="39EF53C3"/>
    <w:rsid w:val="39F0262B"/>
    <w:rsid w:val="3A0951DE"/>
    <w:rsid w:val="3A491E6D"/>
    <w:rsid w:val="3AAA0C30"/>
    <w:rsid w:val="3AD45B23"/>
    <w:rsid w:val="3AE72717"/>
    <w:rsid w:val="3B0A2D58"/>
    <w:rsid w:val="3B2A5839"/>
    <w:rsid w:val="3B3F727D"/>
    <w:rsid w:val="3B4E6A46"/>
    <w:rsid w:val="3B73491E"/>
    <w:rsid w:val="3BC116A7"/>
    <w:rsid w:val="3C062BDF"/>
    <w:rsid w:val="3C1F551E"/>
    <w:rsid w:val="3C2872BC"/>
    <w:rsid w:val="3C2B72F5"/>
    <w:rsid w:val="3C31307F"/>
    <w:rsid w:val="3C6B11D3"/>
    <w:rsid w:val="3C6D611F"/>
    <w:rsid w:val="3C714DC6"/>
    <w:rsid w:val="3C791577"/>
    <w:rsid w:val="3C7A771C"/>
    <w:rsid w:val="3CED70B8"/>
    <w:rsid w:val="3CF81C65"/>
    <w:rsid w:val="3D0172EB"/>
    <w:rsid w:val="3D1431DF"/>
    <w:rsid w:val="3D4E71B8"/>
    <w:rsid w:val="3D52501D"/>
    <w:rsid w:val="3D750070"/>
    <w:rsid w:val="3D90595A"/>
    <w:rsid w:val="3D993D10"/>
    <w:rsid w:val="3DA942D8"/>
    <w:rsid w:val="3DBC0849"/>
    <w:rsid w:val="3DD93B00"/>
    <w:rsid w:val="3DEE0937"/>
    <w:rsid w:val="3E067230"/>
    <w:rsid w:val="3E2432A5"/>
    <w:rsid w:val="3E421BDC"/>
    <w:rsid w:val="3E73619E"/>
    <w:rsid w:val="3E742287"/>
    <w:rsid w:val="3ED431FE"/>
    <w:rsid w:val="3EE25884"/>
    <w:rsid w:val="3F191BEC"/>
    <w:rsid w:val="3F1A3975"/>
    <w:rsid w:val="3F23526A"/>
    <w:rsid w:val="3F2E7F27"/>
    <w:rsid w:val="3F763AC3"/>
    <w:rsid w:val="3F835BE9"/>
    <w:rsid w:val="3F952F08"/>
    <w:rsid w:val="3F993548"/>
    <w:rsid w:val="3FE501BD"/>
    <w:rsid w:val="402207C7"/>
    <w:rsid w:val="4023497B"/>
    <w:rsid w:val="402458E6"/>
    <w:rsid w:val="403327E9"/>
    <w:rsid w:val="404C5FB6"/>
    <w:rsid w:val="405C1F0B"/>
    <w:rsid w:val="405E7210"/>
    <w:rsid w:val="40646BCC"/>
    <w:rsid w:val="40A315E2"/>
    <w:rsid w:val="40A5116F"/>
    <w:rsid w:val="41161F99"/>
    <w:rsid w:val="415B01AC"/>
    <w:rsid w:val="41896125"/>
    <w:rsid w:val="41C65EDE"/>
    <w:rsid w:val="41E21275"/>
    <w:rsid w:val="41F87430"/>
    <w:rsid w:val="42881698"/>
    <w:rsid w:val="429470CC"/>
    <w:rsid w:val="42A51B7D"/>
    <w:rsid w:val="42AA077C"/>
    <w:rsid w:val="42B010D8"/>
    <w:rsid w:val="43137269"/>
    <w:rsid w:val="43A839BB"/>
    <w:rsid w:val="43DE4947"/>
    <w:rsid w:val="4425643D"/>
    <w:rsid w:val="4444756C"/>
    <w:rsid w:val="446E0159"/>
    <w:rsid w:val="4481044C"/>
    <w:rsid w:val="449A1C69"/>
    <w:rsid w:val="44E67A6A"/>
    <w:rsid w:val="45110859"/>
    <w:rsid w:val="45303661"/>
    <w:rsid w:val="454457A6"/>
    <w:rsid w:val="454D6A8B"/>
    <w:rsid w:val="45AD6EEA"/>
    <w:rsid w:val="45F4468E"/>
    <w:rsid w:val="46020B59"/>
    <w:rsid w:val="463552A0"/>
    <w:rsid w:val="465E5129"/>
    <w:rsid w:val="468C48C7"/>
    <w:rsid w:val="46E96D76"/>
    <w:rsid w:val="47004D4B"/>
    <w:rsid w:val="470C0B04"/>
    <w:rsid w:val="472E0834"/>
    <w:rsid w:val="47841EE2"/>
    <w:rsid w:val="478E7068"/>
    <w:rsid w:val="47C3256A"/>
    <w:rsid w:val="47C63275"/>
    <w:rsid w:val="47D10A4D"/>
    <w:rsid w:val="48046792"/>
    <w:rsid w:val="4811216F"/>
    <w:rsid w:val="48113842"/>
    <w:rsid w:val="48491098"/>
    <w:rsid w:val="48543CC5"/>
    <w:rsid w:val="485B6F54"/>
    <w:rsid w:val="48AF01F4"/>
    <w:rsid w:val="48D93648"/>
    <w:rsid w:val="48F44A12"/>
    <w:rsid w:val="48FF196E"/>
    <w:rsid w:val="495A051B"/>
    <w:rsid w:val="498F5017"/>
    <w:rsid w:val="499C7939"/>
    <w:rsid w:val="49B9148E"/>
    <w:rsid w:val="49BB23EE"/>
    <w:rsid w:val="49E556DD"/>
    <w:rsid w:val="49EB0702"/>
    <w:rsid w:val="49F61F7E"/>
    <w:rsid w:val="49F96BBC"/>
    <w:rsid w:val="4A1555C7"/>
    <w:rsid w:val="4A56081E"/>
    <w:rsid w:val="4AB77F6D"/>
    <w:rsid w:val="4ACF7478"/>
    <w:rsid w:val="4AED5E5F"/>
    <w:rsid w:val="4B503259"/>
    <w:rsid w:val="4B661C7C"/>
    <w:rsid w:val="4BE45649"/>
    <w:rsid w:val="4C001BB9"/>
    <w:rsid w:val="4C1C5EAA"/>
    <w:rsid w:val="4CFC08EA"/>
    <w:rsid w:val="4D126F65"/>
    <w:rsid w:val="4D1A1228"/>
    <w:rsid w:val="4D28089F"/>
    <w:rsid w:val="4D660B95"/>
    <w:rsid w:val="4D7300C4"/>
    <w:rsid w:val="4D7332CC"/>
    <w:rsid w:val="4D8E4845"/>
    <w:rsid w:val="4DFC3F65"/>
    <w:rsid w:val="4E025A0F"/>
    <w:rsid w:val="4E0624EC"/>
    <w:rsid w:val="4E12339E"/>
    <w:rsid w:val="4E1A45C1"/>
    <w:rsid w:val="4E207CC8"/>
    <w:rsid w:val="4E2442BA"/>
    <w:rsid w:val="4E390B8E"/>
    <w:rsid w:val="4E4D7031"/>
    <w:rsid w:val="4E564355"/>
    <w:rsid w:val="4E6743E0"/>
    <w:rsid w:val="4E7604D5"/>
    <w:rsid w:val="4EB5487F"/>
    <w:rsid w:val="4EF17A9F"/>
    <w:rsid w:val="4F00766E"/>
    <w:rsid w:val="4F367AC5"/>
    <w:rsid w:val="4F4D3164"/>
    <w:rsid w:val="4F5A7F57"/>
    <w:rsid w:val="4F75619A"/>
    <w:rsid w:val="4F885E5D"/>
    <w:rsid w:val="4FA06AEE"/>
    <w:rsid w:val="4FD03663"/>
    <w:rsid w:val="4FD70B78"/>
    <w:rsid w:val="500D6A78"/>
    <w:rsid w:val="501343F7"/>
    <w:rsid w:val="506A42E8"/>
    <w:rsid w:val="506D2BC6"/>
    <w:rsid w:val="50711150"/>
    <w:rsid w:val="507B4E73"/>
    <w:rsid w:val="5083678C"/>
    <w:rsid w:val="50875051"/>
    <w:rsid w:val="50B03CEF"/>
    <w:rsid w:val="50DB22FA"/>
    <w:rsid w:val="51114522"/>
    <w:rsid w:val="515314FD"/>
    <w:rsid w:val="51785ADD"/>
    <w:rsid w:val="51A26574"/>
    <w:rsid w:val="51CC42C8"/>
    <w:rsid w:val="51FB59CF"/>
    <w:rsid w:val="520A6D76"/>
    <w:rsid w:val="521D3897"/>
    <w:rsid w:val="523A1940"/>
    <w:rsid w:val="524A001A"/>
    <w:rsid w:val="52533F73"/>
    <w:rsid w:val="525E3091"/>
    <w:rsid w:val="527C3CBE"/>
    <w:rsid w:val="52914EAF"/>
    <w:rsid w:val="52EF008D"/>
    <w:rsid w:val="52F31309"/>
    <w:rsid w:val="53014D91"/>
    <w:rsid w:val="530B7E8D"/>
    <w:rsid w:val="53571A57"/>
    <w:rsid w:val="53670B95"/>
    <w:rsid w:val="541F2C66"/>
    <w:rsid w:val="54471E89"/>
    <w:rsid w:val="544E181C"/>
    <w:rsid w:val="54511575"/>
    <w:rsid w:val="54C2451E"/>
    <w:rsid w:val="54DF38F7"/>
    <w:rsid w:val="554373E5"/>
    <w:rsid w:val="55676508"/>
    <w:rsid w:val="55CD610B"/>
    <w:rsid w:val="55E01D88"/>
    <w:rsid w:val="56240464"/>
    <w:rsid w:val="564861B3"/>
    <w:rsid w:val="5658032E"/>
    <w:rsid w:val="565D1DDC"/>
    <w:rsid w:val="56827790"/>
    <w:rsid w:val="56C85549"/>
    <w:rsid w:val="56D67E79"/>
    <w:rsid w:val="57341555"/>
    <w:rsid w:val="576F6EBC"/>
    <w:rsid w:val="57722ECA"/>
    <w:rsid w:val="577C2568"/>
    <w:rsid w:val="57A85B98"/>
    <w:rsid w:val="57AE7922"/>
    <w:rsid w:val="583902FD"/>
    <w:rsid w:val="5851655B"/>
    <w:rsid w:val="585F0E05"/>
    <w:rsid w:val="58683B50"/>
    <w:rsid w:val="58DE1DD3"/>
    <w:rsid w:val="590C218E"/>
    <w:rsid w:val="59245A00"/>
    <w:rsid w:val="592E31E1"/>
    <w:rsid w:val="594B23BF"/>
    <w:rsid w:val="595E4D09"/>
    <w:rsid w:val="596619AA"/>
    <w:rsid w:val="59755CA4"/>
    <w:rsid w:val="59B46525"/>
    <w:rsid w:val="59CD4B5A"/>
    <w:rsid w:val="59D810F9"/>
    <w:rsid w:val="59F17403"/>
    <w:rsid w:val="59FD53A3"/>
    <w:rsid w:val="5A206073"/>
    <w:rsid w:val="5A7176F6"/>
    <w:rsid w:val="5B224E13"/>
    <w:rsid w:val="5B3F3F0D"/>
    <w:rsid w:val="5B5D69B7"/>
    <w:rsid w:val="5B697E1D"/>
    <w:rsid w:val="5BAD2AA3"/>
    <w:rsid w:val="5BC92358"/>
    <w:rsid w:val="5BDF7C6A"/>
    <w:rsid w:val="5BF66ED8"/>
    <w:rsid w:val="5BF910CD"/>
    <w:rsid w:val="5C041C9C"/>
    <w:rsid w:val="5C5B2F75"/>
    <w:rsid w:val="5C6E2808"/>
    <w:rsid w:val="5D296B1F"/>
    <w:rsid w:val="5D333752"/>
    <w:rsid w:val="5D643C5A"/>
    <w:rsid w:val="5D93602F"/>
    <w:rsid w:val="5DA23A9B"/>
    <w:rsid w:val="5DBC5914"/>
    <w:rsid w:val="5DC37E7D"/>
    <w:rsid w:val="5DF73294"/>
    <w:rsid w:val="5E612470"/>
    <w:rsid w:val="5E695D48"/>
    <w:rsid w:val="5E7739C9"/>
    <w:rsid w:val="5E8E35E8"/>
    <w:rsid w:val="5E9B30A3"/>
    <w:rsid w:val="5EC629B8"/>
    <w:rsid w:val="5EE86EAA"/>
    <w:rsid w:val="5EF92817"/>
    <w:rsid w:val="5F3E562E"/>
    <w:rsid w:val="5F49153A"/>
    <w:rsid w:val="5F580860"/>
    <w:rsid w:val="5F5E660A"/>
    <w:rsid w:val="5F731B80"/>
    <w:rsid w:val="5F9476DC"/>
    <w:rsid w:val="5F9A2284"/>
    <w:rsid w:val="5FCC464D"/>
    <w:rsid w:val="602A41ED"/>
    <w:rsid w:val="606C1537"/>
    <w:rsid w:val="60937944"/>
    <w:rsid w:val="60D626F7"/>
    <w:rsid w:val="60D71676"/>
    <w:rsid w:val="60DB7F76"/>
    <w:rsid w:val="60EA602F"/>
    <w:rsid w:val="611A6787"/>
    <w:rsid w:val="611B1815"/>
    <w:rsid w:val="61286EE5"/>
    <w:rsid w:val="619322BE"/>
    <w:rsid w:val="62183365"/>
    <w:rsid w:val="62404995"/>
    <w:rsid w:val="6243367C"/>
    <w:rsid w:val="624A5C16"/>
    <w:rsid w:val="625D5208"/>
    <w:rsid w:val="62923A1D"/>
    <w:rsid w:val="62BA5787"/>
    <w:rsid w:val="63586F81"/>
    <w:rsid w:val="63611B5C"/>
    <w:rsid w:val="636409B8"/>
    <w:rsid w:val="636E73D6"/>
    <w:rsid w:val="63911DD6"/>
    <w:rsid w:val="63A65719"/>
    <w:rsid w:val="63E702B2"/>
    <w:rsid w:val="641B2233"/>
    <w:rsid w:val="643F7523"/>
    <w:rsid w:val="645F068E"/>
    <w:rsid w:val="646208A2"/>
    <w:rsid w:val="64C65EC4"/>
    <w:rsid w:val="64C872C4"/>
    <w:rsid w:val="65054051"/>
    <w:rsid w:val="6622010B"/>
    <w:rsid w:val="66322C10"/>
    <w:rsid w:val="66336AD8"/>
    <w:rsid w:val="663F593C"/>
    <w:rsid w:val="668B670F"/>
    <w:rsid w:val="67A42A14"/>
    <w:rsid w:val="681D2262"/>
    <w:rsid w:val="693C0F9C"/>
    <w:rsid w:val="697551F9"/>
    <w:rsid w:val="6991456C"/>
    <w:rsid w:val="69E24DC4"/>
    <w:rsid w:val="6A5853ED"/>
    <w:rsid w:val="6A5E6469"/>
    <w:rsid w:val="6AC254B9"/>
    <w:rsid w:val="6AF04890"/>
    <w:rsid w:val="6AF0721F"/>
    <w:rsid w:val="6AF778C5"/>
    <w:rsid w:val="6B186F2D"/>
    <w:rsid w:val="6B205346"/>
    <w:rsid w:val="6B2F1AF8"/>
    <w:rsid w:val="6B4725B5"/>
    <w:rsid w:val="6B6A2B79"/>
    <w:rsid w:val="6B8B2856"/>
    <w:rsid w:val="6B941F38"/>
    <w:rsid w:val="6B9F2F61"/>
    <w:rsid w:val="6BA80C44"/>
    <w:rsid w:val="6BC56107"/>
    <w:rsid w:val="6C0975E1"/>
    <w:rsid w:val="6C136028"/>
    <w:rsid w:val="6C1825D5"/>
    <w:rsid w:val="6C224607"/>
    <w:rsid w:val="6C41441C"/>
    <w:rsid w:val="6CC24DE1"/>
    <w:rsid w:val="6CC507E7"/>
    <w:rsid w:val="6CFA3241"/>
    <w:rsid w:val="6D0C3AEC"/>
    <w:rsid w:val="6D0D56E4"/>
    <w:rsid w:val="6D142F1F"/>
    <w:rsid w:val="6D3F0725"/>
    <w:rsid w:val="6D477162"/>
    <w:rsid w:val="6D616F02"/>
    <w:rsid w:val="6D6F0DF3"/>
    <w:rsid w:val="6DE6309E"/>
    <w:rsid w:val="6DF177AD"/>
    <w:rsid w:val="6E52762A"/>
    <w:rsid w:val="6E534B54"/>
    <w:rsid w:val="6E9F0D8B"/>
    <w:rsid w:val="6ED010E2"/>
    <w:rsid w:val="6EF32E85"/>
    <w:rsid w:val="6F2D0D40"/>
    <w:rsid w:val="6F4B4AD9"/>
    <w:rsid w:val="6F5B2F60"/>
    <w:rsid w:val="6F6701D4"/>
    <w:rsid w:val="6F6A2B8D"/>
    <w:rsid w:val="6F723911"/>
    <w:rsid w:val="6F742E1E"/>
    <w:rsid w:val="6F802DC9"/>
    <w:rsid w:val="6FA7365B"/>
    <w:rsid w:val="6FF15617"/>
    <w:rsid w:val="70167CAD"/>
    <w:rsid w:val="704D62EE"/>
    <w:rsid w:val="70965581"/>
    <w:rsid w:val="70A8750C"/>
    <w:rsid w:val="70A97D20"/>
    <w:rsid w:val="70AC59E2"/>
    <w:rsid w:val="70BA713D"/>
    <w:rsid w:val="70E72620"/>
    <w:rsid w:val="71004572"/>
    <w:rsid w:val="711F2784"/>
    <w:rsid w:val="712E2FC3"/>
    <w:rsid w:val="714A35A8"/>
    <w:rsid w:val="716B3B79"/>
    <w:rsid w:val="7196612A"/>
    <w:rsid w:val="71EB6983"/>
    <w:rsid w:val="720D6514"/>
    <w:rsid w:val="72135425"/>
    <w:rsid w:val="72274084"/>
    <w:rsid w:val="722D2788"/>
    <w:rsid w:val="726B1345"/>
    <w:rsid w:val="72937B6E"/>
    <w:rsid w:val="72B92CEE"/>
    <w:rsid w:val="72E15E16"/>
    <w:rsid w:val="72F90AA4"/>
    <w:rsid w:val="730268FD"/>
    <w:rsid w:val="735A242A"/>
    <w:rsid w:val="736F3FB5"/>
    <w:rsid w:val="736F48D9"/>
    <w:rsid w:val="739E0B5A"/>
    <w:rsid w:val="73A442FC"/>
    <w:rsid w:val="73C76B82"/>
    <w:rsid w:val="73CE3AA2"/>
    <w:rsid w:val="73F0172C"/>
    <w:rsid w:val="73F06CCF"/>
    <w:rsid w:val="73F57C1F"/>
    <w:rsid w:val="74542985"/>
    <w:rsid w:val="74AB4387"/>
    <w:rsid w:val="74DD2AFD"/>
    <w:rsid w:val="75131BA3"/>
    <w:rsid w:val="75244C84"/>
    <w:rsid w:val="75596C68"/>
    <w:rsid w:val="757B3B0F"/>
    <w:rsid w:val="758D3C50"/>
    <w:rsid w:val="75A53BEF"/>
    <w:rsid w:val="76157207"/>
    <w:rsid w:val="764366CF"/>
    <w:rsid w:val="76923F50"/>
    <w:rsid w:val="76B32C1B"/>
    <w:rsid w:val="76B353C8"/>
    <w:rsid w:val="775140C5"/>
    <w:rsid w:val="77811371"/>
    <w:rsid w:val="779C055E"/>
    <w:rsid w:val="77C2009F"/>
    <w:rsid w:val="77C378D5"/>
    <w:rsid w:val="77C83101"/>
    <w:rsid w:val="77C94B41"/>
    <w:rsid w:val="77D66299"/>
    <w:rsid w:val="781225CE"/>
    <w:rsid w:val="78223F62"/>
    <w:rsid w:val="7908028A"/>
    <w:rsid w:val="79080420"/>
    <w:rsid w:val="795D704F"/>
    <w:rsid w:val="797B5970"/>
    <w:rsid w:val="798513B6"/>
    <w:rsid w:val="79A4527F"/>
    <w:rsid w:val="79BC5B11"/>
    <w:rsid w:val="79C863F4"/>
    <w:rsid w:val="7A365265"/>
    <w:rsid w:val="7A4633FF"/>
    <w:rsid w:val="7A49085A"/>
    <w:rsid w:val="7A661DCB"/>
    <w:rsid w:val="7A8B763C"/>
    <w:rsid w:val="7AEC3E5A"/>
    <w:rsid w:val="7AF802D4"/>
    <w:rsid w:val="7BA922FB"/>
    <w:rsid w:val="7BDB2455"/>
    <w:rsid w:val="7BE75B20"/>
    <w:rsid w:val="7BFE449E"/>
    <w:rsid w:val="7C167817"/>
    <w:rsid w:val="7C4779DA"/>
    <w:rsid w:val="7C892E98"/>
    <w:rsid w:val="7CA13DBE"/>
    <w:rsid w:val="7CDD0718"/>
    <w:rsid w:val="7D2515F9"/>
    <w:rsid w:val="7D2B7BF1"/>
    <w:rsid w:val="7D365CEF"/>
    <w:rsid w:val="7D3B03F9"/>
    <w:rsid w:val="7D762915"/>
    <w:rsid w:val="7DB23DBD"/>
    <w:rsid w:val="7DE40DCA"/>
    <w:rsid w:val="7DE54A22"/>
    <w:rsid w:val="7E0121D1"/>
    <w:rsid w:val="7E076FD5"/>
    <w:rsid w:val="7E3A6768"/>
    <w:rsid w:val="7EAD03A8"/>
    <w:rsid w:val="7ECE77B5"/>
    <w:rsid w:val="7EE00C59"/>
    <w:rsid w:val="7EEB551F"/>
    <w:rsid w:val="7F477001"/>
    <w:rsid w:val="7F8B7CA4"/>
    <w:rsid w:val="7FAB388C"/>
    <w:rsid w:val="7FAC7A8C"/>
    <w:rsid w:val="7FAF597C"/>
    <w:rsid w:val="7FD17457"/>
    <w:rsid w:val="7FE6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iPriority="99"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宋体" w:hAnsi="宋体" w:eastAsia="宋体" w:cs="仿宋_GB2312"/>
      <w:color w:val="000000"/>
      <w:kern w:val="2"/>
      <w:sz w:val="21"/>
      <w:szCs w:val="21"/>
      <w:lang w:val="en-US" w:eastAsia="zh-CN" w:bidi="ar-SA"/>
    </w:rPr>
  </w:style>
  <w:style w:type="paragraph" w:styleId="3">
    <w:name w:val="heading 1"/>
    <w:basedOn w:val="1"/>
    <w:next w:val="1"/>
    <w:link w:val="63"/>
    <w:qFormat/>
    <w:uiPriority w:val="0"/>
    <w:pPr>
      <w:keepNext/>
      <w:keepLines/>
      <w:spacing w:before="340" w:after="330" w:line="578" w:lineRule="auto"/>
      <w:outlineLvl w:val="0"/>
    </w:pPr>
    <w:rPr>
      <w:rFonts w:ascii="Calibri" w:hAnsi="Calibri" w:cs="Times New Roman"/>
      <w:b/>
      <w:bCs/>
      <w:color w:val="auto"/>
      <w:kern w:val="44"/>
      <w:sz w:val="44"/>
      <w:szCs w:val="44"/>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cs="Times New Roman"/>
      <w:b/>
      <w:bCs/>
      <w:color w:val="auto"/>
      <w:sz w:val="32"/>
      <w:szCs w:val="32"/>
    </w:rPr>
  </w:style>
  <w:style w:type="paragraph" w:styleId="5">
    <w:name w:val="heading 3"/>
    <w:basedOn w:val="1"/>
    <w:next w:val="1"/>
    <w:link w:val="129"/>
    <w:qFormat/>
    <w:uiPriority w:val="0"/>
    <w:pPr>
      <w:keepNext/>
      <w:keepLines/>
      <w:spacing w:before="260" w:after="260" w:line="416" w:lineRule="auto"/>
      <w:outlineLvl w:val="2"/>
    </w:pPr>
    <w:rPr>
      <w:rFonts w:ascii="Calibri" w:hAnsi="Calibri" w:cs="Times New Roman"/>
      <w:b/>
      <w:bCs/>
      <w:color w:val="auto"/>
      <w:sz w:val="32"/>
      <w:szCs w:val="32"/>
    </w:rPr>
  </w:style>
  <w:style w:type="paragraph" w:styleId="6">
    <w:name w:val="heading 4"/>
    <w:basedOn w:val="1"/>
    <w:next w:val="1"/>
    <w:link w:val="104"/>
    <w:qFormat/>
    <w:uiPriority w:val="0"/>
    <w:pPr>
      <w:keepNext/>
      <w:keepLines/>
      <w:adjustRightInd w:val="0"/>
      <w:spacing w:before="280" w:after="290" w:line="376" w:lineRule="atLeast"/>
      <w:textAlignment w:val="baseline"/>
      <w:outlineLvl w:val="3"/>
    </w:pPr>
    <w:rPr>
      <w:rFonts w:ascii="Arial" w:hAnsi="Arial" w:eastAsia="黑体" w:cs="Times New Roman"/>
      <w:b/>
      <w:color w:val="auto"/>
      <w:kern w:val="0"/>
      <w:sz w:val="28"/>
      <w:szCs w:val="20"/>
    </w:rPr>
  </w:style>
  <w:style w:type="paragraph" w:styleId="7">
    <w:name w:val="heading 5"/>
    <w:basedOn w:val="1"/>
    <w:next w:val="1"/>
    <w:link w:val="128"/>
    <w:qFormat/>
    <w:uiPriority w:val="0"/>
    <w:pPr>
      <w:keepNext/>
      <w:keepLines/>
      <w:adjustRightInd w:val="0"/>
      <w:spacing w:before="280" w:after="290" w:line="376" w:lineRule="atLeast"/>
      <w:textAlignment w:val="baseline"/>
      <w:outlineLvl w:val="4"/>
    </w:pPr>
    <w:rPr>
      <w:rFonts w:ascii="Calibri" w:hAnsi="Calibri" w:cs="Times New Roman"/>
      <w:b/>
      <w:color w:val="auto"/>
      <w:kern w:val="0"/>
      <w:sz w:val="28"/>
      <w:szCs w:val="20"/>
    </w:rPr>
  </w:style>
  <w:style w:type="paragraph" w:styleId="8">
    <w:name w:val="heading 6"/>
    <w:basedOn w:val="1"/>
    <w:next w:val="1"/>
    <w:link w:val="108"/>
    <w:qFormat/>
    <w:uiPriority w:val="0"/>
    <w:pPr>
      <w:keepNext/>
      <w:keepLines/>
      <w:adjustRightInd w:val="0"/>
      <w:spacing w:before="240" w:after="64" w:line="320" w:lineRule="atLeast"/>
      <w:textAlignment w:val="baseline"/>
      <w:outlineLvl w:val="5"/>
    </w:pPr>
    <w:rPr>
      <w:rFonts w:ascii="Arial" w:hAnsi="Arial" w:eastAsia="黑体" w:cs="Times New Roman"/>
      <w:b/>
      <w:color w:val="auto"/>
      <w:kern w:val="0"/>
      <w:sz w:val="24"/>
      <w:szCs w:val="20"/>
    </w:rPr>
  </w:style>
  <w:style w:type="paragraph" w:styleId="9">
    <w:name w:val="heading 7"/>
    <w:basedOn w:val="1"/>
    <w:next w:val="1"/>
    <w:link w:val="117"/>
    <w:qFormat/>
    <w:uiPriority w:val="0"/>
    <w:pPr>
      <w:keepNext/>
      <w:keepLines/>
      <w:adjustRightInd w:val="0"/>
      <w:spacing w:before="240" w:after="64" w:line="320" w:lineRule="atLeast"/>
      <w:textAlignment w:val="baseline"/>
      <w:outlineLvl w:val="6"/>
    </w:pPr>
    <w:rPr>
      <w:rFonts w:ascii="Calibri" w:hAnsi="Calibri" w:cs="Times New Roman"/>
      <w:b/>
      <w:color w:val="auto"/>
      <w:kern w:val="0"/>
      <w:sz w:val="24"/>
      <w:szCs w:val="20"/>
    </w:rPr>
  </w:style>
  <w:style w:type="paragraph" w:styleId="10">
    <w:name w:val="heading 8"/>
    <w:basedOn w:val="1"/>
    <w:next w:val="1"/>
    <w:link w:val="100"/>
    <w:qFormat/>
    <w:uiPriority w:val="0"/>
    <w:pPr>
      <w:keepNext/>
      <w:keepLines/>
      <w:adjustRightInd w:val="0"/>
      <w:spacing w:before="240" w:after="64" w:line="320" w:lineRule="atLeast"/>
      <w:textAlignment w:val="baseline"/>
      <w:outlineLvl w:val="7"/>
    </w:pPr>
    <w:rPr>
      <w:rFonts w:ascii="Arial" w:hAnsi="Arial" w:eastAsia="黑体" w:cs="Times New Roman"/>
      <w:color w:val="auto"/>
      <w:kern w:val="0"/>
      <w:sz w:val="24"/>
      <w:szCs w:val="20"/>
    </w:rPr>
  </w:style>
  <w:style w:type="paragraph" w:styleId="11">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cs="Times New Roman"/>
      <w:color w:val="auto"/>
      <w:kern w:val="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Theme="majorHAnsi" w:hAnsiTheme="majorHAnsi" w:eastAsiaTheme="majorEastAsia" w:cstheme="majorBidi"/>
    </w:rPr>
  </w:style>
  <w:style w:type="paragraph" w:styleId="12">
    <w:name w:val="toc 7"/>
    <w:basedOn w:val="1"/>
    <w:next w:val="1"/>
    <w:qFormat/>
    <w:uiPriority w:val="39"/>
    <w:pPr>
      <w:ind w:left="1680"/>
      <w:jc w:val="left"/>
    </w:pPr>
    <w:rPr>
      <w:sz w:val="18"/>
      <w:szCs w:val="18"/>
    </w:rPr>
  </w:style>
  <w:style w:type="paragraph" w:styleId="13">
    <w:name w:val="table of authorities"/>
    <w:basedOn w:val="1"/>
    <w:next w:val="1"/>
    <w:semiHidden/>
    <w:qFormat/>
    <w:uiPriority w:val="0"/>
    <w:pPr>
      <w:ind w:left="420" w:leftChars="200"/>
    </w:pPr>
  </w:style>
  <w:style w:type="paragraph" w:styleId="14">
    <w:name w:val="Normal Indent"/>
    <w:basedOn w:val="1"/>
    <w:qFormat/>
    <w:uiPriority w:val="0"/>
    <w:pPr>
      <w:ind w:firstLine="420" w:firstLineChars="200"/>
    </w:pPr>
    <w:rPr>
      <w:szCs w:val="2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81"/>
    <w:qFormat/>
    <w:uiPriority w:val="0"/>
    <w:pPr>
      <w:shd w:val="clear" w:color="auto" w:fill="000080"/>
    </w:pPr>
    <w:rPr>
      <w:rFonts w:ascii="Calibri" w:hAnsi="Calibri" w:cs="Times New Roman"/>
      <w:color w:val="auto"/>
      <w:kern w:val="0"/>
      <w:sz w:val="20"/>
      <w:szCs w:val="24"/>
      <w:shd w:val="clear" w:color="auto" w:fill="000080"/>
    </w:rPr>
  </w:style>
  <w:style w:type="paragraph" w:styleId="17">
    <w:name w:val="annotation text"/>
    <w:basedOn w:val="1"/>
    <w:link w:val="78"/>
    <w:qFormat/>
    <w:uiPriority w:val="0"/>
    <w:pPr>
      <w:jc w:val="left"/>
    </w:pPr>
    <w:rPr>
      <w:rFonts w:ascii="Calibri" w:hAnsi="Calibri" w:cs="Times New Roman"/>
      <w:color w:val="auto"/>
      <w:szCs w:val="22"/>
    </w:rPr>
  </w:style>
  <w:style w:type="paragraph" w:styleId="18">
    <w:name w:val="Body Text 3"/>
    <w:basedOn w:val="1"/>
    <w:link w:val="107"/>
    <w:qFormat/>
    <w:uiPriority w:val="0"/>
    <w:pPr>
      <w:spacing w:after="120"/>
    </w:pPr>
    <w:rPr>
      <w:sz w:val="16"/>
      <w:szCs w:val="16"/>
    </w:rPr>
  </w:style>
  <w:style w:type="paragraph" w:styleId="19">
    <w:name w:val="Body Text"/>
    <w:basedOn w:val="1"/>
    <w:next w:val="20"/>
    <w:link w:val="109"/>
    <w:qFormat/>
    <w:uiPriority w:val="0"/>
    <w:rPr>
      <w:rFonts w:ascii="Calibri" w:hAnsi="Calibri" w:eastAsia="黑体" w:cs="Times New Roman"/>
      <w:color w:val="auto"/>
      <w:sz w:val="36"/>
      <w:szCs w:val="24"/>
    </w:rPr>
  </w:style>
  <w:style w:type="paragraph" w:styleId="20">
    <w:name w:val="Body Text Indent"/>
    <w:basedOn w:val="1"/>
    <w:next w:val="1"/>
    <w:link w:val="123"/>
    <w:qFormat/>
    <w:uiPriority w:val="0"/>
    <w:pPr>
      <w:spacing w:line="360" w:lineRule="auto"/>
      <w:ind w:firstLine="570"/>
    </w:pPr>
    <w:rPr>
      <w:i/>
      <w:iCs/>
    </w:rPr>
  </w:style>
  <w:style w:type="paragraph" w:styleId="21">
    <w:name w:val="Block Text"/>
    <w:basedOn w:val="1"/>
    <w:qFormat/>
    <w:uiPriority w:val="0"/>
    <w:pPr>
      <w:spacing w:after="120"/>
      <w:ind w:left="1440" w:leftChars="700" w:right="1440" w:rightChars="700"/>
    </w:pPr>
    <w:rPr>
      <w:szCs w:val="24"/>
    </w:rPr>
  </w:style>
  <w:style w:type="paragraph" w:styleId="22">
    <w:name w:val="index 4"/>
    <w:basedOn w:val="1"/>
    <w:next w:val="1"/>
    <w:qFormat/>
    <w:uiPriority w:val="0"/>
    <w:pPr>
      <w:ind w:left="600" w:leftChars="600"/>
    </w:pPr>
    <w:rPr>
      <w:szCs w:val="24"/>
    </w:rPr>
  </w:style>
  <w:style w:type="paragraph" w:styleId="23">
    <w:name w:val="toc 5"/>
    <w:basedOn w:val="1"/>
    <w:next w:val="1"/>
    <w:qFormat/>
    <w:uiPriority w:val="39"/>
    <w:pPr>
      <w:ind w:left="1120"/>
      <w:jc w:val="left"/>
    </w:pPr>
    <w:rPr>
      <w:sz w:val="18"/>
      <w:szCs w:val="18"/>
    </w:rPr>
  </w:style>
  <w:style w:type="paragraph" w:styleId="24">
    <w:name w:val="toc 3"/>
    <w:basedOn w:val="13"/>
    <w:next w:val="1"/>
    <w:qFormat/>
    <w:uiPriority w:val="39"/>
    <w:pPr>
      <w:ind w:left="560" w:leftChars="0"/>
      <w:jc w:val="left"/>
    </w:pPr>
    <w:rPr>
      <w:i/>
      <w:iCs/>
      <w:sz w:val="20"/>
    </w:rPr>
  </w:style>
  <w:style w:type="paragraph" w:styleId="25">
    <w:name w:val="Plain Text"/>
    <w:basedOn w:val="1"/>
    <w:link w:val="105"/>
    <w:qFormat/>
    <w:uiPriority w:val="0"/>
    <w:rPr>
      <w:rFonts w:hAnsi="Courier New"/>
    </w:rPr>
  </w:style>
  <w:style w:type="paragraph" w:styleId="26">
    <w:name w:val="toc 8"/>
    <w:basedOn w:val="1"/>
    <w:next w:val="1"/>
    <w:qFormat/>
    <w:uiPriority w:val="39"/>
    <w:pPr>
      <w:ind w:left="1960"/>
      <w:jc w:val="left"/>
    </w:pPr>
    <w:rPr>
      <w:sz w:val="18"/>
      <w:szCs w:val="18"/>
    </w:rPr>
  </w:style>
  <w:style w:type="paragraph" w:styleId="27">
    <w:name w:val="Date"/>
    <w:basedOn w:val="1"/>
    <w:next w:val="1"/>
    <w:link w:val="89"/>
    <w:qFormat/>
    <w:uiPriority w:val="0"/>
    <w:pPr>
      <w:ind w:left="100" w:leftChars="2500"/>
    </w:pPr>
    <w:rPr>
      <w:rFonts w:ascii="Calibri" w:hAnsi="Calibri" w:cs="Times New Roman"/>
      <w:color w:val="auto"/>
      <w:sz w:val="28"/>
      <w:szCs w:val="20"/>
    </w:rPr>
  </w:style>
  <w:style w:type="paragraph" w:styleId="28">
    <w:name w:val="Body Text Indent 2"/>
    <w:basedOn w:val="1"/>
    <w:link w:val="73"/>
    <w:qFormat/>
    <w:uiPriority w:val="0"/>
    <w:pPr>
      <w:spacing w:line="360" w:lineRule="auto"/>
      <w:ind w:firstLine="570"/>
    </w:pPr>
    <w:rPr>
      <w:iCs/>
    </w:rPr>
  </w:style>
  <w:style w:type="paragraph" w:styleId="29">
    <w:name w:val="Balloon Text"/>
    <w:basedOn w:val="1"/>
    <w:link w:val="90"/>
    <w:qFormat/>
    <w:uiPriority w:val="0"/>
    <w:rPr>
      <w:rFonts w:ascii="Calibri" w:hAnsi="Calibri" w:cs="Times New Roman"/>
      <w:color w:val="auto"/>
      <w:sz w:val="18"/>
      <w:szCs w:val="18"/>
    </w:rPr>
  </w:style>
  <w:style w:type="paragraph" w:styleId="30">
    <w:name w:val="footer"/>
    <w:basedOn w:val="1"/>
    <w:link w:val="132"/>
    <w:qFormat/>
    <w:uiPriority w:val="0"/>
    <w:pPr>
      <w:tabs>
        <w:tab w:val="center" w:pos="4153"/>
        <w:tab w:val="right" w:pos="8306"/>
      </w:tabs>
      <w:snapToGrid w:val="0"/>
      <w:jc w:val="left"/>
    </w:pPr>
    <w:rPr>
      <w:rFonts w:ascii="Calibri" w:hAnsi="Calibri" w:cs="Times New Roman"/>
      <w:color w:val="auto"/>
      <w:sz w:val="18"/>
      <w:szCs w:val="18"/>
    </w:rPr>
  </w:style>
  <w:style w:type="paragraph" w:styleId="31">
    <w:name w:val="header"/>
    <w:basedOn w:val="1"/>
    <w:link w:val="96"/>
    <w:qFormat/>
    <w:uiPriority w:val="0"/>
    <w:pPr>
      <w:pBdr>
        <w:bottom w:val="single" w:color="auto" w:sz="6" w:space="1"/>
      </w:pBdr>
      <w:tabs>
        <w:tab w:val="center" w:pos="4153"/>
        <w:tab w:val="right" w:pos="8306"/>
      </w:tabs>
      <w:snapToGrid w:val="0"/>
      <w:jc w:val="center"/>
    </w:pPr>
    <w:rPr>
      <w:rFonts w:ascii="Calibri" w:hAnsi="Calibri" w:cs="Times New Roman"/>
      <w:color w:val="auto"/>
      <w:sz w:val="18"/>
      <w:szCs w:val="18"/>
    </w:rPr>
  </w:style>
  <w:style w:type="paragraph" w:styleId="32">
    <w:name w:val="toc 1"/>
    <w:basedOn w:val="13"/>
    <w:next w:val="13"/>
    <w:qFormat/>
    <w:uiPriority w:val="39"/>
    <w:pPr>
      <w:spacing w:before="120" w:after="120"/>
      <w:ind w:left="0" w:leftChars="0"/>
      <w:jc w:val="left"/>
    </w:pPr>
    <w:rPr>
      <w:b/>
      <w:bCs/>
      <w:caps/>
      <w:sz w:val="20"/>
    </w:rPr>
  </w:style>
  <w:style w:type="paragraph" w:styleId="33">
    <w:name w:val="toc 4"/>
    <w:basedOn w:val="1"/>
    <w:next w:val="1"/>
    <w:qFormat/>
    <w:uiPriority w:val="39"/>
    <w:pPr>
      <w:ind w:left="840"/>
      <w:jc w:val="left"/>
    </w:pPr>
    <w:rPr>
      <w:sz w:val="18"/>
      <w:szCs w:val="18"/>
    </w:rPr>
  </w:style>
  <w:style w:type="paragraph" w:styleId="34">
    <w:name w:val="Subtitle"/>
    <w:basedOn w:val="1"/>
    <w:next w:val="1"/>
    <w:link w:val="61"/>
    <w:qFormat/>
    <w:uiPriority w:val="0"/>
    <w:pPr>
      <w:spacing w:before="240" w:after="60" w:line="312" w:lineRule="auto"/>
      <w:jc w:val="center"/>
      <w:outlineLvl w:val="1"/>
    </w:pPr>
    <w:rPr>
      <w:rFonts w:ascii="Cambria" w:hAnsi="Cambria" w:cs="Times New Roman"/>
      <w:b/>
      <w:bCs/>
      <w:color w:val="auto"/>
      <w:kern w:val="28"/>
      <w:sz w:val="32"/>
      <w:szCs w:val="32"/>
    </w:rPr>
  </w:style>
  <w:style w:type="paragraph" w:styleId="35">
    <w:name w:val="List"/>
    <w:basedOn w:val="1"/>
    <w:qFormat/>
    <w:uiPriority w:val="0"/>
    <w:pPr>
      <w:adjustRightInd w:val="0"/>
      <w:spacing w:line="360" w:lineRule="atLeast"/>
      <w:ind w:left="420" w:hanging="420"/>
      <w:jc w:val="left"/>
    </w:pPr>
    <w:rPr>
      <w:rFonts w:hint="eastAsia"/>
      <w:kern w:val="0"/>
      <w:sz w:val="24"/>
    </w:rPr>
  </w:style>
  <w:style w:type="paragraph" w:styleId="36">
    <w:name w:val="toc 6"/>
    <w:basedOn w:val="1"/>
    <w:next w:val="1"/>
    <w:qFormat/>
    <w:uiPriority w:val="39"/>
    <w:pPr>
      <w:ind w:left="1400"/>
      <w:jc w:val="left"/>
    </w:pPr>
    <w:rPr>
      <w:sz w:val="18"/>
      <w:szCs w:val="18"/>
    </w:rPr>
  </w:style>
  <w:style w:type="paragraph" w:styleId="37">
    <w:name w:val="Body Text Indent 3"/>
    <w:basedOn w:val="1"/>
    <w:link w:val="75"/>
    <w:qFormat/>
    <w:uiPriority w:val="0"/>
    <w:pPr>
      <w:spacing w:after="120"/>
      <w:ind w:left="420" w:leftChars="200"/>
    </w:pPr>
    <w:rPr>
      <w:sz w:val="16"/>
      <w:szCs w:val="16"/>
    </w:rPr>
  </w:style>
  <w:style w:type="paragraph" w:styleId="38">
    <w:name w:val="toc 2"/>
    <w:basedOn w:val="1"/>
    <w:next w:val="1"/>
    <w:qFormat/>
    <w:uiPriority w:val="39"/>
    <w:pPr>
      <w:ind w:left="280"/>
      <w:jc w:val="left"/>
    </w:pPr>
    <w:rPr>
      <w:smallCaps/>
      <w:sz w:val="20"/>
    </w:rPr>
  </w:style>
  <w:style w:type="paragraph" w:styleId="39">
    <w:name w:val="toc 9"/>
    <w:basedOn w:val="1"/>
    <w:next w:val="1"/>
    <w:qFormat/>
    <w:uiPriority w:val="39"/>
    <w:pPr>
      <w:ind w:left="2240"/>
      <w:jc w:val="left"/>
    </w:pPr>
    <w:rPr>
      <w:sz w:val="18"/>
      <w:szCs w:val="18"/>
    </w:rPr>
  </w:style>
  <w:style w:type="paragraph" w:styleId="40">
    <w:name w:val="Body Text 2"/>
    <w:basedOn w:val="1"/>
    <w:link w:val="66"/>
    <w:qFormat/>
    <w:uiPriority w:val="0"/>
    <w:pPr>
      <w:jc w:val="center"/>
    </w:pPr>
    <w:rPr>
      <w:rFonts w:eastAsia="黑体"/>
      <w:bCs/>
      <w:sz w:val="72"/>
      <w:szCs w:val="24"/>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 w:val="24"/>
    </w:rPr>
  </w:style>
  <w:style w:type="paragraph" w:styleId="42">
    <w:name w:val="Normal (Web)"/>
    <w:basedOn w:val="1"/>
    <w:qFormat/>
    <w:uiPriority w:val="0"/>
    <w:pPr>
      <w:widowControl/>
      <w:spacing w:before="100" w:beforeAutospacing="1" w:after="100" w:afterAutospacing="1"/>
      <w:jc w:val="left"/>
    </w:pPr>
    <w:rPr>
      <w:kern w:val="0"/>
      <w:sz w:val="24"/>
      <w:szCs w:val="24"/>
    </w:rPr>
  </w:style>
  <w:style w:type="paragraph" w:styleId="43">
    <w:name w:val="index 1"/>
    <w:basedOn w:val="1"/>
    <w:next w:val="1"/>
    <w:semiHidden/>
    <w:qFormat/>
    <w:uiPriority w:val="0"/>
  </w:style>
  <w:style w:type="paragraph" w:styleId="44">
    <w:name w:val="Title"/>
    <w:basedOn w:val="1"/>
    <w:next w:val="1"/>
    <w:link w:val="127"/>
    <w:qFormat/>
    <w:uiPriority w:val="0"/>
    <w:pPr>
      <w:adjustRightInd w:val="0"/>
      <w:spacing w:before="240" w:after="60" w:line="360" w:lineRule="atLeast"/>
      <w:jc w:val="center"/>
      <w:outlineLvl w:val="0"/>
    </w:pPr>
    <w:rPr>
      <w:rFonts w:ascii="Arial" w:hAnsi="Arial" w:cs="Times New Roman"/>
      <w:b/>
      <w:color w:val="auto"/>
      <w:kern w:val="0"/>
      <w:sz w:val="32"/>
      <w:szCs w:val="20"/>
    </w:rPr>
  </w:style>
  <w:style w:type="paragraph" w:styleId="45">
    <w:name w:val="annotation subject"/>
    <w:basedOn w:val="17"/>
    <w:next w:val="17"/>
    <w:link w:val="76"/>
    <w:qFormat/>
    <w:uiPriority w:val="0"/>
    <w:rPr>
      <w:rFonts w:ascii="宋体"/>
      <w:b/>
      <w:bCs/>
      <w:kern w:val="0"/>
      <w:sz w:val="28"/>
      <w:szCs w:val="20"/>
    </w:rPr>
  </w:style>
  <w:style w:type="paragraph" w:styleId="46">
    <w:name w:val="Body Text First Indent"/>
    <w:basedOn w:val="19"/>
    <w:next w:val="1"/>
    <w:qFormat/>
    <w:uiPriority w:val="0"/>
    <w:pPr>
      <w:ind w:firstLine="420" w:firstLineChars="100"/>
    </w:pPr>
  </w:style>
  <w:style w:type="paragraph" w:styleId="47">
    <w:name w:val="Body Text First Indent 2"/>
    <w:basedOn w:val="20"/>
    <w:qFormat/>
    <w:uiPriority w:val="0"/>
    <w:pPr>
      <w:ind w:firstLine="420" w:firstLineChars="200"/>
    </w:pPr>
    <w:rPr>
      <w:rFonts w:ascii="仿宋_GB2312"/>
      <w:kern w:val="0"/>
      <w:sz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color w:val="72ACE8"/>
      <w:u w:val="single"/>
    </w:rPr>
  </w:style>
  <w:style w:type="character" w:styleId="54">
    <w:name w:val="Emphasis"/>
    <w:qFormat/>
    <w:uiPriority w:val="0"/>
    <w:rPr>
      <w:i/>
      <w:iCs/>
    </w:rPr>
  </w:style>
  <w:style w:type="character" w:styleId="55">
    <w:name w:val="Hyperlink"/>
    <w:basedOn w:val="50"/>
    <w:qFormat/>
    <w:uiPriority w:val="99"/>
    <w:rPr>
      <w:color w:val="72ACE8"/>
      <w:u w:val="single"/>
    </w:rPr>
  </w:style>
  <w:style w:type="character" w:styleId="56">
    <w:name w:val="annotation reference"/>
    <w:qFormat/>
    <w:uiPriority w:val="0"/>
    <w:rPr>
      <w:rFonts w:cs="Times New Roman"/>
      <w:sz w:val="21"/>
      <w:szCs w:val="21"/>
    </w:rPr>
  </w:style>
  <w:style w:type="paragraph" w:customStyle="1" w:styleId="57">
    <w:name w:val="一级条标题"/>
    <w:basedOn w:val="58"/>
    <w:next w:val="59"/>
    <w:qFormat/>
    <w:uiPriority w:val="0"/>
    <w:pPr>
      <w:spacing w:line="240" w:lineRule="auto"/>
      <w:ind w:left="420"/>
      <w:outlineLvl w:val="2"/>
    </w:pPr>
  </w:style>
  <w:style w:type="paragraph" w:customStyle="1" w:styleId="5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Char Char17"/>
    <w:qFormat/>
    <w:uiPriority w:val="0"/>
    <w:rPr>
      <w:rFonts w:ascii="Cambria" w:hAnsi="Cambria" w:eastAsia="宋体" w:cs="Times New Roman"/>
      <w:b/>
      <w:bCs/>
      <w:kern w:val="2"/>
      <w:sz w:val="32"/>
      <w:szCs w:val="32"/>
    </w:rPr>
  </w:style>
  <w:style w:type="character" w:customStyle="1" w:styleId="61">
    <w:name w:val="副标题 字符"/>
    <w:link w:val="34"/>
    <w:qFormat/>
    <w:uiPriority w:val="0"/>
    <w:rPr>
      <w:rFonts w:ascii="Cambria" w:hAnsi="Cambria"/>
      <w:b/>
      <w:bCs/>
      <w:kern w:val="28"/>
      <w:sz w:val="32"/>
      <w:szCs w:val="32"/>
      <w:lang w:bidi="ar-SA"/>
    </w:rPr>
  </w:style>
  <w:style w:type="character" w:customStyle="1" w:styleId="62">
    <w:name w:val="Subtitle Char"/>
    <w:qFormat/>
    <w:locked/>
    <w:uiPriority w:val="0"/>
    <w:rPr>
      <w:rFonts w:ascii="Cambria" w:hAnsi="Cambria" w:cs="Cambria"/>
      <w:b/>
      <w:bCs/>
      <w:kern w:val="28"/>
      <w:sz w:val="32"/>
      <w:szCs w:val="32"/>
    </w:rPr>
  </w:style>
  <w:style w:type="character" w:customStyle="1" w:styleId="63">
    <w:name w:val="标题 1 字符"/>
    <w:link w:val="3"/>
    <w:qFormat/>
    <w:uiPriority w:val="0"/>
    <w:rPr>
      <w:rFonts w:ascii="Calibri" w:hAnsi="Calibri" w:eastAsia="宋体"/>
      <w:b/>
      <w:bCs/>
      <w:kern w:val="44"/>
      <w:sz w:val="44"/>
      <w:szCs w:val="44"/>
      <w:lang w:val="en-US" w:eastAsia="zh-CN" w:bidi="ar-SA"/>
    </w:rPr>
  </w:style>
  <w:style w:type="character" w:customStyle="1" w:styleId="64">
    <w:name w:val="标题 9 字符"/>
    <w:link w:val="11"/>
    <w:qFormat/>
    <w:uiPriority w:val="0"/>
    <w:rPr>
      <w:rFonts w:ascii="Arial" w:hAnsi="Arial" w:eastAsia="黑体"/>
      <w:sz w:val="21"/>
      <w:lang w:val="en-US" w:eastAsia="zh-CN" w:bidi="ar-SA"/>
    </w:rPr>
  </w:style>
  <w:style w:type="character" w:customStyle="1" w:styleId="65">
    <w:name w:val="Quote Char"/>
    <w:qFormat/>
    <w:locked/>
    <w:uiPriority w:val="0"/>
    <w:rPr>
      <w:i/>
      <w:iCs/>
      <w:color w:val="000000"/>
      <w:kern w:val="2"/>
      <w:sz w:val="22"/>
      <w:szCs w:val="22"/>
    </w:rPr>
  </w:style>
  <w:style w:type="character" w:customStyle="1" w:styleId="66">
    <w:name w:val="正文文本 2 字符"/>
    <w:basedOn w:val="50"/>
    <w:link w:val="40"/>
    <w:qFormat/>
    <w:locked/>
    <w:uiPriority w:val="0"/>
    <w:rPr>
      <w:rFonts w:ascii="宋体" w:hAnsi="宋体" w:eastAsia="黑体" w:cs="仿宋_GB2312"/>
      <w:bCs/>
      <w:color w:val="000000"/>
      <w:kern w:val="2"/>
      <w:sz w:val="72"/>
      <w:szCs w:val="24"/>
      <w:lang w:val="en-US" w:eastAsia="zh-CN" w:bidi="ar-SA"/>
    </w:rPr>
  </w:style>
  <w:style w:type="character" w:customStyle="1" w:styleId="67">
    <w:name w:val="批注框文本 Char1"/>
    <w:qFormat/>
    <w:uiPriority w:val="0"/>
    <w:rPr>
      <w:kern w:val="2"/>
      <w:sz w:val="18"/>
      <w:szCs w:val="18"/>
    </w:rPr>
  </w:style>
  <w:style w:type="character" w:customStyle="1" w:styleId="68">
    <w:name w:val="textcontents"/>
    <w:qFormat/>
    <w:uiPriority w:val="0"/>
    <w:rPr>
      <w:rFonts w:cs="Times New Roman"/>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5"/>
    <w:link w:val="69"/>
    <w:qFormat/>
    <w:uiPriority w:val="0"/>
    <w:pPr>
      <w:spacing w:line="413" w:lineRule="auto"/>
    </w:pPr>
    <w:rPr>
      <w:rFonts w:ascii="Arial" w:hAnsi="Arial"/>
      <w:kern w:val="0"/>
      <w:sz w:val="24"/>
    </w:rPr>
  </w:style>
  <w:style w:type="character" w:customStyle="1" w:styleId="71">
    <w:name w:val="Char Char"/>
    <w:qFormat/>
    <w:uiPriority w:val="0"/>
    <w:rPr>
      <w:rFonts w:ascii="Arial" w:hAnsi="Arial" w:eastAsia="黑体"/>
      <w:b/>
      <w:bCs/>
      <w:kern w:val="2"/>
      <w:sz w:val="32"/>
      <w:szCs w:val="32"/>
      <w:lang w:val="en-US" w:eastAsia="zh-CN" w:bidi="ar-SA"/>
    </w:rPr>
  </w:style>
  <w:style w:type="character" w:customStyle="1" w:styleId="72">
    <w:name w:val="Header Char"/>
    <w:qFormat/>
    <w:locked/>
    <w:uiPriority w:val="0"/>
    <w:rPr>
      <w:rFonts w:eastAsia="宋体"/>
      <w:kern w:val="2"/>
      <w:sz w:val="18"/>
      <w:szCs w:val="18"/>
      <w:lang w:val="en-US" w:eastAsia="zh-CN"/>
    </w:rPr>
  </w:style>
  <w:style w:type="character" w:customStyle="1" w:styleId="73">
    <w:name w:val="正文文本缩进 2 字符"/>
    <w:basedOn w:val="50"/>
    <w:link w:val="28"/>
    <w:qFormat/>
    <w:locked/>
    <w:uiPriority w:val="0"/>
    <w:rPr>
      <w:rFonts w:ascii="宋体" w:hAnsi="宋体" w:eastAsia="宋体" w:cs="仿宋_GB2312"/>
      <w:iCs/>
      <w:color w:val="000000"/>
      <w:kern w:val="2"/>
      <w:sz w:val="21"/>
      <w:szCs w:val="21"/>
      <w:lang w:val="en-US" w:eastAsia="zh-CN" w:bidi="ar-SA"/>
    </w:rPr>
  </w:style>
  <w:style w:type="character" w:customStyle="1" w:styleId="74">
    <w:name w:val="_Style 68"/>
    <w:qFormat/>
    <w:uiPriority w:val="0"/>
    <w:rPr>
      <w:smallCaps/>
      <w:color w:val="C0504D"/>
      <w:u w:val="single"/>
    </w:rPr>
  </w:style>
  <w:style w:type="character" w:customStyle="1" w:styleId="75">
    <w:name w:val="正文文本缩进 3 字符"/>
    <w:basedOn w:val="50"/>
    <w:link w:val="37"/>
    <w:qFormat/>
    <w:locked/>
    <w:uiPriority w:val="0"/>
    <w:rPr>
      <w:rFonts w:ascii="宋体" w:hAnsi="宋体" w:eastAsia="宋体" w:cs="仿宋_GB2312"/>
      <w:color w:val="000000"/>
      <w:kern w:val="2"/>
      <w:sz w:val="16"/>
      <w:szCs w:val="16"/>
      <w:lang w:val="en-US" w:eastAsia="zh-CN" w:bidi="ar-SA"/>
    </w:rPr>
  </w:style>
  <w:style w:type="character" w:customStyle="1" w:styleId="76">
    <w:name w:val="批注主题 字符"/>
    <w:link w:val="45"/>
    <w:qFormat/>
    <w:uiPriority w:val="0"/>
    <w:rPr>
      <w:rFonts w:ascii="宋体"/>
      <w:b/>
      <w:bCs/>
      <w:sz w:val="28"/>
      <w:lang w:bidi="ar-SA"/>
    </w:rPr>
  </w:style>
  <w:style w:type="character" w:customStyle="1" w:styleId="77">
    <w:name w:val="文档结构图 Char1"/>
    <w:qFormat/>
    <w:uiPriority w:val="0"/>
    <w:rPr>
      <w:rFonts w:ascii="宋体"/>
      <w:kern w:val="2"/>
      <w:sz w:val="18"/>
      <w:szCs w:val="18"/>
    </w:rPr>
  </w:style>
  <w:style w:type="character" w:customStyle="1" w:styleId="78">
    <w:name w:val="批注文字 字符"/>
    <w:link w:val="17"/>
    <w:qFormat/>
    <w:uiPriority w:val="0"/>
    <w:rPr>
      <w:kern w:val="2"/>
      <w:sz w:val="21"/>
      <w:szCs w:val="22"/>
      <w:lang w:bidi="ar-SA"/>
    </w:rPr>
  </w:style>
  <w:style w:type="character" w:customStyle="1" w:styleId="79">
    <w:name w:val="edui-clickable"/>
    <w:basedOn w:val="50"/>
    <w:qFormat/>
    <w:uiPriority w:val="0"/>
    <w:rPr>
      <w:color w:val="0000FF"/>
      <w:u w:val="single"/>
    </w:rPr>
  </w:style>
  <w:style w:type="character" w:customStyle="1" w:styleId="80">
    <w:name w:val="edui-clickable2"/>
    <w:basedOn w:val="50"/>
    <w:qFormat/>
    <w:uiPriority w:val="0"/>
    <w:rPr>
      <w:color w:val="0000FF"/>
      <w:u w:val="single"/>
    </w:rPr>
  </w:style>
  <w:style w:type="character" w:customStyle="1" w:styleId="81">
    <w:name w:val="文档结构图 字符"/>
    <w:link w:val="16"/>
    <w:qFormat/>
    <w:uiPriority w:val="0"/>
    <w:rPr>
      <w:szCs w:val="24"/>
      <w:shd w:val="clear" w:color="auto" w:fill="000080"/>
      <w:lang w:bidi="ar-SA"/>
    </w:rPr>
  </w:style>
  <w:style w:type="character" w:customStyle="1" w:styleId="82">
    <w:name w:val="_Style 76"/>
    <w:qFormat/>
    <w:uiPriority w:val="0"/>
    <w:rPr>
      <w:b/>
      <w:bCs/>
      <w:smallCaps/>
      <w:spacing w:val="5"/>
    </w:rPr>
  </w:style>
  <w:style w:type="character" w:customStyle="1" w:styleId="83">
    <w:name w:val="标题 3 Char"/>
    <w:qFormat/>
    <w:uiPriority w:val="0"/>
    <w:rPr>
      <w:rFonts w:eastAsia="宋体"/>
      <w:b/>
      <w:bCs/>
      <w:kern w:val="2"/>
      <w:sz w:val="32"/>
      <w:szCs w:val="32"/>
      <w:lang w:val="en-US" w:eastAsia="zh-CN" w:bidi="ar-SA"/>
    </w:rPr>
  </w:style>
  <w:style w:type="character" w:customStyle="1" w:styleId="84">
    <w:name w:val="批注主题 Char1"/>
    <w:qFormat/>
    <w:uiPriority w:val="0"/>
    <w:rPr>
      <w:b/>
      <w:bCs/>
      <w:kern w:val="2"/>
      <w:sz w:val="21"/>
      <w:szCs w:val="22"/>
    </w:rPr>
  </w:style>
  <w:style w:type="character" w:customStyle="1" w:styleId="85">
    <w:name w:val="日期 Char1"/>
    <w:qFormat/>
    <w:uiPriority w:val="0"/>
    <w:rPr>
      <w:kern w:val="2"/>
      <w:sz w:val="21"/>
      <w:szCs w:val="22"/>
    </w:rPr>
  </w:style>
  <w:style w:type="character" w:customStyle="1" w:styleId="86">
    <w:name w:val="引用 字符"/>
    <w:link w:val="87"/>
    <w:qFormat/>
    <w:uiPriority w:val="0"/>
    <w:rPr>
      <w:i/>
      <w:iCs/>
      <w:color w:val="000000"/>
      <w:kern w:val="2"/>
      <w:sz w:val="21"/>
      <w:szCs w:val="22"/>
      <w:lang w:bidi="ar-SA"/>
    </w:rPr>
  </w:style>
  <w:style w:type="paragraph" w:styleId="87">
    <w:name w:val="Quote"/>
    <w:basedOn w:val="1"/>
    <w:next w:val="1"/>
    <w:link w:val="86"/>
    <w:qFormat/>
    <w:uiPriority w:val="0"/>
    <w:rPr>
      <w:rFonts w:ascii="Calibri" w:hAnsi="Calibri" w:cs="Times New Roman"/>
      <w:i/>
      <w:iCs/>
      <w:szCs w:val="22"/>
    </w:rPr>
  </w:style>
  <w:style w:type="character" w:customStyle="1" w:styleId="88">
    <w:name w:val="font161"/>
    <w:qFormat/>
    <w:uiPriority w:val="0"/>
    <w:rPr>
      <w:b/>
      <w:bCs/>
      <w:sz w:val="32"/>
      <w:szCs w:val="32"/>
    </w:rPr>
  </w:style>
  <w:style w:type="character" w:customStyle="1" w:styleId="89">
    <w:name w:val="日期 字符"/>
    <w:link w:val="27"/>
    <w:qFormat/>
    <w:uiPriority w:val="0"/>
    <w:rPr>
      <w:kern w:val="2"/>
      <w:sz w:val="28"/>
      <w:lang w:bidi="ar-SA"/>
    </w:rPr>
  </w:style>
  <w:style w:type="character" w:customStyle="1" w:styleId="90">
    <w:name w:val="批注框文本 字符"/>
    <w:link w:val="29"/>
    <w:qFormat/>
    <w:uiPriority w:val="0"/>
    <w:rPr>
      <w:kern w:val="2"/>
      <w:sz w:val="18"/>
      <w:szCs w:val="18"/>
      <w:lang w:bidi="ar-SA"/>
    </w:rPr>
  </w:style>
  <w:style w:type="character" w:customStyle="1" w:styleId="91">
    <w:name w:val="XW正文 Char"/>
    <w:basedOn w:val="50"/>
    <w:link w:val="92"/>
    <w:qFormat/>
    <w:uiPriority w:val="0"/>
    <w:rPr>
      <w:rFonts w:eastAsia="宋体" w:cs="仿宋_GB2312"/>
      <w:color w:val="000000"/>
      <w:sz w:val="21"/>
      <w:szCs w:val="24"/>
      <w:lang w:val="en-US" w:eastAsia="zh-CN" w:bidi="ar-SA"/>
    </w:rPr>
  </w:style>
  <w:style w:type="paragraph" w:customStyle="1" w:styleId="92">
    <w:name w:val="XW正文"/>
    <w:basedOn w:val="20"/>
    <w:link w:val="91"/>
    <w:qFormat/>
    <w:uiPriority w:val="0"/>
    <w:pPr>
      <w:adjustRightInd w:val="0"/>
      <w:snapToGrid w:val="0"/>
      <w:spacing w:line="300" w:lineRule="auto"/>
      <w:ind w:firstLine="520" w:firstLineChars="200"/>
      <w:jc w:val="left"/>
    </w:pPr>
    <w:rPr>
      <w:rFonts w:ascii="Times New Roman" w:hAnsi="Times New Roman"/>
      <w:i w:val="0"/>
      <w:iCs w:val="0"/>
      <w:kern w:val="0"/>
      <w:szCs w:val="24"/>
    </w:rPr>
  </w:style>
  <w:style w:type="character" w:customStyle="1" w:styleId="93">
    <w:name w:val="Char Char11"/>
    <w:qFormat/>
    <w:uiPriority w:val="0"/>
    <w:rPr>
      <w:rFonts w:ascii="Arial" w:hAnsi="Arial" w:eastAsia="黑体" w:cs="Arial"/>
      <w:b/>
      <w:bCs/>
      <w:kern w:val="2"/>
      <w:sz w:val="32"/>
      <w:szCs w:val="32"/>
      <w:lang w:val="en-US" w:eastAsia="zh-CN"/>
    </w:rPr>
  </w:style>
  <w:style w:type="character" w:customStyle="1" w:styleId="94">
    <w:name w:val="_Style 88"/>
    <w:qFormat/>
    <w:uiPriority w:val="0"/>
    <w:rPr>
      <w:b/>
      <w:bCs/>
      <w:smallCaps/>
      <w:color w:val="C0504D"/>
      <w:spacing w:val="5"/>
      <w:u w:val="single"/>
    </w:rPr>
  </w:style>
  <w:style w:type="character" w:customStyle="1" w:styleId="95">
    <w:name w:val="正文文本 Char1"/>
    <w:qFormat/>
    <w:uiPriority w:val="0"/>
    <w:rPr>
      <w:kern w:val="2"/>
      <w:sz w:val="21"/>
      <w:szCs w:val="22"/>
    </w:rPr>
  </w:style>
  <w:style w:type="character" w:customStyle="1" w:styleId="96">
    <w:name w:val="页眉 字符"/>
    <w:link w:val="31"/>
    <w:qFormat/>
    <w:uiPriority w:val="0"/>
    <w:rPr>
      <w:rFonts w:eastAsia="宋体"/>
      <w:kern w:val="2"/>
      <w:sz w:val="18"/>
      <w:szCs w:val="18"/>
      <w:lang w:val="en-US" w:eastAsia="zh-CN" w:bidi="ar-SA"/>
    </w:rPr>
  </w:style>
  <w:style w:type="character" w:customStyle="1" w:styleId="97">
    <w:name w:val="Balloon Text Char"/>
    <w:qFormat/>
    <w:locked/>
    <w:uiPriority w:val="0"/>
    <w:rPr>
      <w:kern w:val="2"/>
      <w:sz w:val="18"/>
      <w:szCs w:val="18"/>
    </w:rPr>
  </w:style>
  <w:style w:type="character" w:customStyle="1" w:styleId="98">
    <w:name w:val="Footer Char"/>
    <w:qFormat/>
    <w:locked/>
    <w:uiPriority w:val="0"/>
    <w:rPr>
      <w:rFonts w:eastAsia="宋体"/>
      <w:kern w:val="2"/>
      <w:sz w:val="18"/>
      <w:szCs w:val="18"/>
      <w:lang w:val="en-US" w:eastAsia="zh-CN"/>
    </w:rPr>
  </w:style>
  <w:style w:type="character" w:customStyle="1" w:styleId="99">
    <w:name w:val="标题 2 字符"/>
    <w:link w:val="4"/>
    <w:qFormat/>
    <w:uiPriority w:val="0"/>
    <w:rPr>
      <w:rFonts w:ascii="Arial" w:hAnsi="Arial" w:eastAsia="黑体"/>
      <w:b/>
      <w:bCs/>
      <w:kern w:val="2"/>
      <w:sz w:val="32"/>
      <w:szCs w:val="32"/>
      <w:lang w:val="en-US" w:eastAsia="zh-CN" w:bidi="ar-SA"/>
    </w:rPr>
  </w:style>
  <w:style w:type="character" w:customStyle="1" w:styleId="100">
    <w:name w:val="标题 8 字符"/>
    <w:link w:val="10"/>
    <w:qFormat/>
    <w:uiPriority w:val="0"/>
    <w:rPr>
      <w:rFonts w:ascii="Arial" w:hAnsi="Arial" w:eastAsia="黑体"/>
      <w:sz w:val="24"/>
      <w:lang w:val="en-US" w:eastAsia="zh-CN" w:bidi="ar-SA"/>
    </w:rPr>
  </w:style>
  <w:style w:type="character" w:customStyle="1" w:styleId="101">
    <w:name w:val="标题 2 Char"/>
    <w:qFormat/>
    <w:uiPriority w:val="0"/>
    <w:rPr>
      <w:rFonts w:ascii="Arial" w:hAnsi="Arial" w:eastAsia="黑体"/>
      <w:b/>
      <w:bCs/>
      <w:kern w:val="2"/>
      <w:sz w:val="32"/>
      <w:szCs w:val="32"/>
      <w:lang w:val="en-US" w:eastAsia="zh-CN" w:bidi="ar-SA"/>
    </w:rPr>
  </w:style>
  <w:style w:type="character" w:customStyle="1" w:styleId="102">
    <w:name w:val="_Style 96"/>
    <w:qFormat/>
    <w:uiPriority w:val="0"/>
    <w:rPr>
      <w:b/>
      <w:bCs/>
      <w:i/>
      <w:iCs/>
      <w:color w:val="4F81BD"/>
    </w:rPr>
  </w:style>
  <w:style w:type="character" w:customStyle="1" w:styleId="103">
    <w:name w:val="Char Char1"/>
    <w:qFormat/>
    <w:uiPriority w:val="0"/>
    <w:rPr>
      <w:rFonts w:eastAsia="宋体"/>
      <w:kern w:val="2"/>
      <w:sz w:val="24"/>
      <w:szCs w:val="24"/>
      <w:lang w:val="en-US" w:eastAsia="zh-CN"/>
    </w:rPr>
  </w:style>
  <w:style w:type="character" w:customStyle="1" w:styleId="104">
    <w:name w:val="标题 4 字符"/>
    <w:link w:val="6"/>
    <w:qFormat/>
    <w:uiPriority w:val="0"/>
    <w:rPr>
      <w:rFonts w:ascii="Arial" w:hAnsi="Arial" w:eastAsia="黑体"/>
      <w:b/>
      <w:sz w:val="28"/>
      <w:lang w:val="en-US" w:eastAsia="zh-CN" w:bidi="ar-SA"/>
    </w:rPr>
  </w:style>
  <w:style w:type="character" w:customStyle="1" w:styleId="105">
    <w:name w:val="纯文本 字符"/>
    <w:basedOn w:val="50"/>
    <w:link w:val="25"/>
    <w:qFormat/>
    <w:locked/>
    <w:uiPriority w:val="0"/>
    <w:rPr>
      <w:rFonts w:ascii="宋体" w:hAnsi="Courier New" w:eastAsia="宋体" w:cs="仿宋_GB2312"/>
      <w:color w:val="000000"/>
      <w:kern w:val="2"/>
      <w:sz w:val="21"/>
      <w:szCs w:val="21"/>
      <w:lang w:val="en-US" w:eastAsia="zh-CN" w:bidi="ar-SA"/>
    </w:rPr>
  </w:style>
  <w:style w:type="character" w:customStyle="1" w:styleId="106">
    <w:name w:val="Comment Subject Char"/>
    <w:qFormat/>
    <w:locked/>
    <w:uiPriority w:val="0"/>
    <w:rPr>
      <w:rFonts w:ascii="宋体" w:cs="宋体"/>
      <w:b/>
      <w:bCs/>
      <w:sz w:val="28"/>
      <w:szCs w:val="28"/>
    </w:rPr>
  </w:style>
  <w:style w:type="character" w:customStyle="1" w:styleId="107">
    <w:name w:val="正文文本 3 字符"/>
    <w:basedOn w:val="50"/>
    <w:link w:val="18"/>
    <w:qFormat/>
    <w:locked/>
    <w:uiPriority w:val="0"/>
    <w:rPr>
      <w:rFonts w:ascii="宋体" w:hAnsi="宋体" w:eastAsia="宋体" w:cs="仿宋_GB2312"/>
      <w:color w:val="000000"/>
      <w:kern w:val="2"/>
      <w:sz w:val="16"/>
      <w:szCs w:val="16"/>
      <w:lang w:val="en-US" w:eastAsia="zh-CN" w:bidi="ar-SA"/>
    </w:rPr>
  </w:style>
  <w:style w:type="character" w:customStyle="1" w:styleId="108">
    <w:name w:val="标题 6 字符"/>
    <w:link w:val="8"/>
    <w:qFormat/>
    <w:uiPriority w:val="0"/>
    <w:rPr>
      <w:rFonts w:ascii="Arial" w:hAnsi="Arial" w:eastAsia="黑体"/>
      <w:b/>
      <w:sz w:val="24"/>
      <w:lang w:val="en-US" w:eastAsia="zh-CN" w:bidi="ar-SA"/>
    </w:rPr>
  </w:style>
  <w:style w:type="character" w:customStyle="1" w:styleId="109">
    <w:name w:val="正文文本 字符"/>
    <w:link w:val="19"/>
    <w:qFormat/>
    <w:uiPriority w:val="0"/>
    <w:rPr>
      <w:rFonts w:eastAsia="黑体"/>
      <w:kern w:val="2"/>
      <w:sz w:val="36"/>
      <w:szCs w:val="24"/>
      <w:lang w:val="en-US" w:eastAsia="zh-CN" w:bidi="ar-SA"/>
    </w:rPr>
  </w:style>
  <w:style w:type="character" w:customStyle="1" w:styleId="110">
    <w:name w:val="Date Char"/>
    <w:qFormat/>
    <w:locked/>
    <w:uiPriority w:val="0"/>
    <w:rPr>
      <w:kern w:val="2"/>
      <w:sz w:val="28"/>
      <w:szCs w:val="28"/>
    </w:rPr>
  </w:style>
  <w:style w:type="character" w:customStyle="1" w:styleId="111">
    <w:name w:val="Char Char171"/>
    <w:qFormat/>
    <w:uiPriority w:val="0"/>
    <w:rPr>
      <w:rFonts w:ascii="Cambria" w:hAnsi="Cambria" w:eastAsia="宋体" w:cs="Cambria"/>
      <w:b/>
      <w:bCs/>
      <w:kern w:val="2"/>
      <w:sz w:val="32"/>
      <w:szCs w:val="32"/>
    </w:rPr>
  </w:style>
  <w:style w:type="character" w:customStyle="1" w:styleId="112">
    <w:name w:val="样式 粉红"/>
    <w:qFormat/>
    <w:uiPriority w:val="0"/>
    <w:rPr>
      <w:color w:val="auto"/>
      <w:u w:val="none"/>
    </w:rPr>
  </w:style>
  <w:style w:type="character" w:customStyle="1" w:styleId="113">
    <w:name w:val="标题4 Char Char"/>
    <w:link w:val="114"/>
    <w:qFormat/>
    <w:uiPriority w:val="0"/>
    <w:rPr>
      <w:rFonts w:ascii="Arial" w:hAnsi="Arial"/>
      <w:b/>
      <w:bCs/>
      <w:sz w:val="24"/>
      <w:szCs w:val="32"/>
      <w:lang w:bidi="ar-SA"/>
    </w:rPr>
  </w:style>
  <w:style w:type="paragraph" w:customStyle="1" w:styleId="114">
    <w:name w:val="标题4"/>
    <w:basedOn w:val="4"/>
    <w:next w:val="22"/>
    <w:link w:val="113"/>
    <w:qFormat/>
    <w:uiPriority w:val="0"/>
    <w:pPr>
      <w:spacing w:line="413" w:lineRule="auto"/>
    </w:pPr>
    <w:rPr>
      <w:rFonts w:eastAsia="宋体"/>
      <w:kern w:val="0"/>
      <w:sz w:val="24"/>
    </w:rPr>
  </w:style>
  <w:style w:type="character" w:customStyle="1" w:styleId="115">
    <w:name w:val="Comment Text Char"/>
    <w:qFormat/>
    <w:locked/>
    <w:uiPriority w:val="0"/>
    <w:rPr>
      <w:kern w:val="2"/>
      <w:sz w:val="22"/>
      <w:szCs w:val="22"/>
    </w:rPr>
  </w:style>
  <w:style w:type="character" w:customStyle="1" w:styleId="116">
    <w:name w:val="Char Char12"/>
    <w:qFormat/>
    <w:uiPriority w:val="0"/>
    <w:rPr>
      <w:rFonts w:eastAsia="宋体"/>
      <w:kern w:val="2"/>
      <w:sz w:val="24"/>
      <w:lang w:val="en-US" w:eastAsia="zh-CN" w:bidi="ar-SA"/>
    </w:rPr>
  </w:style>
  <w:style w:type="character" w:customStyle="1" w:styleId="117">
    <w:name w:val="标题 7 字符"/>
    <w:link w:val="9"/>
    <w:qFormat/>
    <w:uiPriority w:val="0"/>
    <w:rPr>
      <w:rFonts w:ascii="Calibri" w:hAnsi="Calibri" w:eastAsia="宋体"/>
      <w:b/>
      <w:sz w:val="24"/>
      <w:lang w:val="en-US" w:eastAsia="zh-CN" w:bidi="ar-SA"/>
    </w:rPr>
  </w:style>
  <w:style w:type="character" w:customStyle="1" w:styleId="118">
    <w:name w:val="Document Map Char"/>
    <w:qFormat/>
    <w:locked/>
    <w:uiPriority w:val="0"/>
    <w:rPr>
      <w:sz w:val="24"/>
      <w:szCs w:val="24"/>
      <w:shd w:val="clear" w:color="auto" w:fill="000080"/>
    </w:rPr>
  </w:style>
  <w:style w:type="character" w:customStyle="1" w:styleId="119">
    <w:name w:val="明显引用 字符"/>
    <w:link w:val="120"/>
    <w:qFormat/>
    <w:uiPriority w:val="0"/>
    <w:rPr>
      <w:b/>
      <w:bCs/>
      <w:i/>
      <w:iCs/>
      <w:color w:val="4F81BD"/>
      <w:kern w:val="2"/>
      <w:sz w:val="21"/>
      <w:szCs w:val="22"/>
      <w:lang w:bidi="ar-SA"/>
    </w:rPr>
  </w:style>
  <w:style w:type="paragraph" w:styleId="120">
    <w:name w:val="Intense Quote"/>
    <w:basedOn w:val="1"/>
    <w:next w:val="1"/>
    <w:link w:val="119"/>
    <w:qFormat/>
    <w:uiPriority w:val="0"/>
    <w:pPr>
      <w:pBdr>
        <w:bottom w:val="single" w:color="4F81BD" w:sz="4" w:space="4"/>
      </w:pBdr>
      <w:spacing w:before="200" w:after="280"/>
      <w:ind w:left="936" w:right="936"/>
    </w:pPr>
    <w:rPr>
      <w:rFonts w:ascii="Calibri" w:hAnsi="Calibri" w:cs="Times New Roman"/>
      <w:b/>
      <w:bCs/>
      <w:i/>
      <w:iCs/>
      <w:color w:val="4F81BD"/>
      <w:szCs w:val="22"/>
    </w:rPr>
  </w:style>
  <w:style w:type="character" w:customStyle="1" w:styleId="121">
    <w:name w:val="Intense Quote Char"/>
    <w:qFormat/>
    <w:locked/>
    <w:uiPriority w:val="0"/>
    <w:rPr>
      <w:b/>
      <w:bCs/>
      <w:i/>
      <w:iCs/>
      <w:color w:val="4F81BD"/>
      <w:kern w:val="2"/>
      <w:sz w:val="22"/>
      <w:szCs w:val="22"/>
    </w:rPr>
  </w:style>
  <w:style w:type="character" w:customStyle="1" w:styleId="122">
    <w:name w:val="_Style 116"/>
    <w:qFormat/>
    <w:uiPriority w:val="0"/>
    <w:rPr>
      <w:i/>
      <w:iCs/>
      <w:color w:val="808080"/>
    </w:rPr>
  </w:style>
  <w:style w:type="character" w:customStyle="1" w:styleId="123">
    <w:name w:val="正文文本缩进 字符"/>
    <w:basedOn w:val="50"/>
    <w:link w:val="20"/>
    <w:qFormat/>
    <w:locked/>
    <w:uiPriority w:val="0"/>
    <w:rPr>
      <w:rFonts w:ascii="宋体" w:hAnsi="宋体" w:eastAsia="宋体" w:cs="仿宋_GB2312"/>
      <w:i/>
      <w:iCs/>
      <w:color w:val="000000"/>
      <w:kern w:val="2"/>
      <w:sz w:val="21"/>
      <w:szCs w:val="21"/>
      <w:lang w:val="en-US" w:eastAsia="zh-CN" w:bidi="ar-SA"/>
    </w:rPr>
  </w:style>
  <w:style w:type="character" w:customStyle="1" w:styleId="124">
    <w:name w:val="edui-unclickable"/>
    <w:basedOn w:val="50"/>
    <w:qFormat/>
    <w:uiPriority w:val="0"/>
    <w:rPr>
      <w:color w:val="808080"/>
    </w:rPr>
  </w:style>
  <w:style w:type="character" w:customStyle="1" w:styleId="125">
    <w:name w:val="webpageurl"/>
    <w:basedOn w:val="50"/>
    <w:qFormat/>
    <w:uiPriority w:val="0"/>
  </w:style>
  <w:style w:type="character" w:customStyle="1" w:styleId="126">
    <w:name w:val="批注文字 Char Char"/>
    <w:qFormat/>
    <w:uiPriority w:val="0"/>
    <w:rPr>
      <w:rFonts w:ascii="宋体" w:hAnsi="Times New Roman" w:eastAsia="宋体" w:cs="Times New Roman"/>
      <w:sz w:val="28"/>
      <w:szCs w:val="20"/>
    </w:rPr>
  </w:style>
  <w:style w:type="character" w:customStyle="1" w:styleId="127">
    <w:name w:val="标题 字符"/>
    <w:link w:val="44"/>
    <w:qFormat/>
    <w:uiPriority w:val="0"/>
    <w:rPr>
      <w:rFonts w:ascii="Arial" w:hAnsi="Arial" w:eastAsia="宋体"/>
      <w:b/>
      <w:sz w:val="32"/>
      <w:lang w:val="en-US" w:eastAsia="zh-CN" w:bidi="ar-SA"/>
    </w:rPr>
  </w:style>
  <w:style w:type="character" w:customStyle="1" w:styleId="128">
    <w:name w:val="标题 5 字符"/>
    <w:link w:val="7"/>
    <w:qFormat/>
    <w:uiPriority w:val="0"/>
    <w:rPr>
      <w:rFonts w:ascii="Calibri" w:hAnsi="Calibri" w:eastAsia="宋体"/>
      <w:b/>
      <w:sz w:val="28"/>
      <w:lang w:val="en-US" w:eastAsia="zh-CN" w:bidi="ar-SA"/>
    </w:rPr>
  </w:style>
  <w:style w:type="character" w:customStyle="1" w:styleId="129">
    <w:name w:val="标题 3 字符"/>
    <w:link w:val="5"/>
    <w:qFormat/>
    <w:uiPriority w:val="0"/>
    <w:rPr>
      <w:rFonts w:ascii="Calibri" w:hAnsi="Calibri" w:eastAsia="宋体"/>
      <w:b/>
      <w:bCs/>
      <w:kern w:val="2"/>
      <w:sz w:val="32"/>
      <w:szCs w:val="32"/>
      <w:lang w:val="en-US" w:eastAsia="zh-CN" w:bidi="ar-SA"/>
    </w:rPr>
  </w:style>
  <w:style w:type="character" w:customStyle="1" w:styleId="130">
    <w:name w:val="con"/>
    <w:basedOn w:val="50"/>
    <w:qFormat/>
    <w:uiPriority w:val="0"/>
  </w:style>
  <w:style w:type="character" w:customStyle="1" w:styleId="131">
    <w:name w:val="Title Char"/>
    <w:qFormat/>
    <w:locked/>
    <w:uiPriority w:val="0"/>
    <w:rPr>
      <w:rFonts w:ascii="Arial" w:hAnsi="Arial" w:eastAsia="宋体" w:cs="Arial"/>
      <w:b/>
      <w:bCs/>
      <w:sz w:val="32"/>
      <w:szCs w:val="32"/>
      <w:lang w:val="en-US" w:eastAsia="zh-CN"/>
    </w:rPr>
  </w:style>
  <w:style w:type="character" w:customStyle="1" w:styleId="132">
    <w:name w:val="页脚 字符"/>
    <w:link w:val="30"/>
    <w:qFormat/>
    <w:uiPriority w:val="0"/>
    <w:rPr>
      <w:rFonts w:eastAsia="宋体"/>
      <w:kern w:val="2"/>
      <w:sz w:val="18"/>
      <w:szCs w:val="18"/>
      <w:lang w:val="en-US" w:eastAsia="zh-CN" w:bidi="ar-SA"/>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_Style 4"/>
    <w:basedOn w:val="3"/>
    <w:next w:val="1"/>
    <w:qFormat/>
    <w:uiPriority w:val="0"/>
    <w:pPr>
      <w:spacing w:line="576" w:lineRule="auto"/>
      <w:outlineLvl w:val="9"/>
    </w:pPr>
  </w:style>
  <w:style w:type="paragraph" w:customStyle="1" w:styleId="135">
    <w:name w:val="Char"/>
    <w:basedOn w:val="1"/>
    <w:qFormat/>
    <w:uiPriority w:val="0"/>
    <w:pPr>
      <w:adjustRightInd w:val="0"/>
      <w:spacing w:line="312" w:lineRule="auto"/>
      <w:textAlignment w:val="baseline"/>
    </w:pPr>
    <w:rPr>
      <w:rFonts w:cs="宋体"/>
    </w:rPr>
  </w:style>
  <w:style w:type="paragraph" w:customStyle="1" w:styleId="13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7">
    <w:name w:val="reader-word-layer reader-word-s1-8"/>
    <w:basedOn w:val="1"/>
    <w:qFormat/>
    <w:uiPriority w:val="0"/>
    <w:pPr>
      <w:widowControl/>
      <w:spacing w:before="100" w:beforeAutospacing="1" w:after="100" w:afterAutospacing="1"/>
      <w:jc w:val="left"/>
    </w:pPr>
    <w:rPr>
      <w:rFonts w:cs="宋体"/>
      <w:kern w:val="0"/>
      <w:sz w:val="24"/>
      <w:szCs w:val="24"/>
    </w:rPr>
  </w:style>
  <w:style w:type="paragraph" w:customStyle="1" w:styleId="138">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Char11"/>
    <w:basedOn w:val="1"/>
    <w:qFormat/>
    <w:uiPriority w:val="0"/>
    <w:pPr>
      <w:adjustRightInd w:val="0"/>
      <w:spacing w:line="312" w:lineRule="auto"/>
      <w:textAlignment w:val="baseline"/>
    </w:pPr>
  </w:style>
  <w:style w:type="paragraph" w:customStyle="1" w:styleId="140">
    <w:name w:val="表格"/>
    <w:basedOn w:val="1"/>
    <w:qFormat/>
    <w:uiPriority w:val="0"/>
    <w:pPr>
      <w:jc w:val="center"/>
      <w:textAlignment w:val="center"/>
    </w:pPr>
    <w:rPr>
      <w:rFonts w:ascii="华文细黑" w:hAnsi="华文细黑"/>
      <w:kern w:val="0"/>
    </w:rPr>
  </w:style>
  <w:style w:type="paragraph" w:customStyle="1" w:styleId="141">
    <w:name w:val="表格文字"/>
    <w:basedOn w:val="1"/>
    <w:qFormat/>
    <w:uiPriority w:val="0"/>
    <w:pPr>
      <w:adjustRightInd w:val="0"/>
      <w:spacing w:line="420" w:lineRule="atLeast"/>
      <w:jc w:val="left"/>
      <w:textAlignment w:val="baseline"/>
    </w:pPr>
    <w:rPr>
      <w:kern w:val="0"/>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3">
    <w:name w:val="Char1"/>
    <w:basedOn w:val="1"/>
    <w:qFormat/>
    <w:uiPriority w:val="0"/>
    <w:rPr>
      <w:rFonts w:ascii="Tahoma" w:hAnsi="Tahoma" w:cs="Tahoma"/>
      <w:sz w:val="24"/>
      <w:szCs w:val="24"/>
    </w:rPr>
  </w:style>
  <w:style w:type="paragraph" w:customStyle="1" w:styleId="144">
    <w:name w:val="_Style 139"/>
    <w:qFormat/>
    <w:uiPriority w:val="0"/>
    <w:rPr>
      <w:rFonts w:ascii="Times New Roman" w:hAnsi="Times New Roman" w:eastAsia="宋体" w:cs="Times New Roman"/>
      <w:kern w:val="2"/>
      <w:sz w:val="21"/>
      <w:szCs w:val="24"/>
      <w:lang w:val="en-US" w:eastAsia="zh-CN" w:bidi="ar-SA"/>
    </w:rPr>
  </w:style>
  <w:style w:type="paragraph" w:customStyle="1" w:styleId="145">
    <w:name w:val="金安桥正文"/>
    <w:basedOn w:val="20"/>
    <w:qFormat/>
    <w:uiPriority w:val="0"/>
    <w:pPr>
      <w:adjustRightInd w:val="0"/>
      <w:spacing w:line="300" w:lineRule="auto"/>
      <w:ind w:firstLine="200" w:firstLineChars="200"/>
      <w:jc w:val="left"/>
    </w:pPr>
    <w:rPr>
      <w:rFonts w:ascii="Times New Roman" w:hAnsi="Times New Roman"/>
      <w:i w:val="0"/>
      <w:iCs w:val="0"/>
      <w:kern w:val="0"/>
      <w:sz w:val="24"/>
    </w:rPr>
  </w:style>
  <w:style w:type="paragraph" w:customStyle="1" w:styleId="146">
    <w:name w:val="Char2"/>
    <w:basedOn w:val="1"/>
    <w:qFormat/>
    <w:uiPriority w:val="0"/>
    <w:pPr>
      <w:adjustRightInd w:val="0"/>
      <w:spacing w:line="360" w:lineRule="auto"/>
    </w:pPr>
    <w:rPr>
      <w:rFonts w:cs="宋体"/>
      <w:kern w:val="0"/>
      <w:sz w:val="24"/>
      <w:szCs w:val="24"/>
    </w:rPr>
  </w:style>
  <w:style w:type="paragraph" w:customStyle="1" w:styleId="147">
    <w:name w:val="xl36"/>
    <w:basedOn w:val="1"/>
    <w:qFormat/>
    <w:uiPriority w:val="0"/>
    <w:pPr>
      <w:widowControl/>
      <w:spacing w:before="100" w:after="100"/>
      <w:jc w:val="center"/>
    </w:pPr>
    <w:rPr>
      <w:rFonts w:hint="eastAsia"/>
      <w:kern w:val="0"/>
      <w:sz w:val="24"/>
      <w:szCs w:val="20"/>
    </w:rPr>
  </w:style>
  <w:style w:type="paragraph" w:customStyle="1" w:styleId="148">
    <w:name w:val="Char Char Char Char Char Char Char Char Char"/>
    <w:basedOn w:val="1"/>
    <w:qFormat/>
    <w:uiPriority w:val="0"/>
    <w:pPr>
      <w:spacing w:line="240" w:lineRule="auto"/>
    </w:pPr>
    <w:rPr>
      <w:rFonts w:ascii="Times New Roman" w:hAnsi="Times New Roman" w:cs="Times New Roman"/>
      <w:color w:val="auto"/>
      <w:szCs w:val="20"/>
    </w:rPr>
  </w:style>
  <w:style w:type="paragraph" w:customStyle="1" w:styleId="149">
    <w:name w:val="Table Paragraph"/>
    <w:basedOn w:val="1"/>
    <w:qFormat/>
    <w:uiPriority w:val="0"/>
    <w:pPr>
      <w:autoSpaceDE w:val="0"/>
      <w:autoSpaceDN w:val="0"/>
    </w:pPr>
    <w:rPr>
      <w:rFonts w:cs="宋体"/>
      <w:lang w:val="zh-CN"/>
    </w:rPr>
  </w:style>
  <w:style w:type="paragraph" w:styleId="150">
    <w:name w:val="List Paragraph"/>
    <w:basedOn w:val="1"/>
    <w:qFormat/>
    <w:uiPriority w:val="0"/>
    <w:pPr>
      <w:ind w:firstLine="420" w:firstLineChars="200"/>
    </w:pPr>
    <w:rPr>
      <w:rFonts w:ascii="Calibri" w:hAnsi="Calibri"/>
      <w:szCs w:val="22"/>
    </w:rPr>
  </w:style>
  <w:style w:type="paragraph" w:customStyle="1" w:styleId="151">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15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3">
    <w:name w:val="reader-word-layer reader-word-s1-6"/>
    <w:basedOn w:val="1"/>
    <w:qFormat/>
    <w:uiPriority w:val="0"/>
    <w:pPr>
      <w:widowControl/>
      <w:spacing w:before="100" w:beforeAutospacing="1" w:after="100" w:afterAutospacing="1"/>
      <w:jc w:val="left"/>
    </w:pPr>
    <w:rPr>
      <w:rFonts w:cs="宋体"/>
      <w:kern w:val="0"/>
      <w:sz w:val="24"/>
      <w:szCs w:val="24"/>
    </w:rPr>
  </w:style>
  <w:style w:type="paragraph" w:customStyle="1" w:styleId="154">
    <w:name w:val="1"/>
    <w:basedOn w:val="1"/>
    <w:next w:val="1"/>
    <w:qFormat/>
    <w:uiPriority w:val="0"/>
    <w:rPr>
      <w:szCs w:val="24"/>
    </w:rPr>
  </w:style>
  <w:style w:type="paragraph" w:customStyle="1" w:styleId="155">
    <w:name w:val="_Style 150"/>
    <w:basedOn w:val="3"/>
    <w:next w:val="1"/>
    <w:qFormat/>
    <w:uiPriority w:val="0"/>
    <w:pPr>
      <w:spacing w:line="576" w:lineRule="auto"/>
      <w:outlineLvl w:val="9"/>
    </w:p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8">
    <w:name w:val="reader-word-layer reader-word-s1-7"/>
    <w:basedOn w:val="1"/>
    <w:qFormat/>
    <w:uiPriority w:val="0"/>
    <w:pPr>
      <w:widowControl/>
      <w:spacing w:before="100" w:beforeAutospacing="1" w:after="100" w:afterAutospacing="1"/>
      <w:jc w:val="left"/>
    </w:pPr>
    <w:rPr>
      <w:rFonts w:cs="宋体"/>
      <w:kern w:val="0"/>
      <w:sz w:val="24"/>
      <w:szCs w:val="24"/>
    </w:rPr>
  </w:style>
  <w:style w:type="paragraph" w:customStyle="1" w:styleId="159">
    <w:name w:val="reader-word-layer reader-word-s1-3"/>
    <w:basedOn w:val="1"/>
    <w:qFormat/>
    <w:uiPriority w:val="0"/>
    <w:pPr>
      <w:widowControl/>
      <w:spacing w:before="100" w:beforeAutospacing="1" w:after="100" w:afterAutospacing="1"/>
      <w:jc w:val="left"/>
    </w:pPr>
    <w:rPr>
      <w:rFonts w:cs="宋体"/>
      <w:kern w:val="0"/>
      <w:sz w:val="24"/>
      <w:szCs w:val="24"/>
    </w:rPr>
  </w:style>
  <w:style w:type="paragraph" w:customStyle="1" w:styleId="160">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Char21"/>
    <w:basedOn w:val="1"/>
    <w:qFormat/>
    <w:uiPriority w:val="0"/>
    <w:pPr>
      <w:adjustRightInd w:val="0"/>
      <w:spacing w:line="360" w:lineRule="auto"/>
    </w:pPr>
    <w:rPr>
      <w:kern w:val="0"/>
      <w:sz w:val="24"/>
    </w:rPr>
  </w:style>
  <w:style w:type="paragraph" w:customStyle="1" w:styleId="16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3">
    <w:name w:val="Char12"/>
    <w:basedOn w:val="1"/>
    <w:qFormat/>
    <w:uiPriority w:val="0"/>
    <w:rPr>
      <w:rFonts w:ascii="Tahoma" w:hAnsi="Tahoma"/>
      <w:sz w:val="24"/>
    </w:rPr>
  </w:style>
  <w:style w:type="paragraph" w:customStyle="1" w:styleId="164">
    <w:name w:val="xl24"/>
    <w:basedOn w:val="1"/>
    <w:qFormat/>
    <w:uiPriority w:val="0"/>
    <w:pPr>
      <w:widowControl/>
      <w:spacing w:before="100" w:after="100"/>
      <w:jc w:val="center"/>
      <w:textAlignment w:val="center"/>
    </w:pPr>
    <w:rPr>
      <w:kern w:val="0"/>
      <w:sz w:val="24"/>
    </w:rPr>
  </w:style>
  <w:style w:type="paragraph" w:customStyle="1" w:styleId="165">
    <w:name w:val="Blockquote_0"/>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166">
    <w:name w:val="reader-word-layer reader-word-s1-5"/>
    <w:basedOn w:val="1"/>
    <w:qFormat/>
    <w:uiPriority w:val="0"/>
    <w:pPr>
      <w:widowControl/>
      <w:spacing w:before="100" w:beforeAutospacing="1" w:after="100" w:afterAutospacing="1"/>
      <w:jc w:val="left"/>
    </w:pPr>
    <w:rPr>
      <w:rFonts w:cs="宋体"/>
      <w:kern w:val="0"/>
      <w:sz w:val="24"/>
      <w:szCs w:val="24"/>
    </w:rPr>
  </w:style>
  <w:style w:type="paragraph" w:styleId="16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无间隔1"/>
    <w:basedOn w:val="1"/>
    <w:qFormat/>
    <w:uiPriority w:val="1"/>
    <w:pPr>
      <w:spacing w:line="400" w:lineRule="exact"/>
    </w:pPr>
    <w:rPr>
      <w:sz w:val="24"/>
    </w:rPr>
  </w:style>
  <w:style w:type="character" w:customStyle="1" w:styleId="169">
    <w:name w:val="font21"/>
    <w:basedOn w:val="50"/>
    <w:qFormat/>
    <w:uiPriority w:val="0"/>
    <w:rPr>
      <w:rFonts w:hint="eastAsia" w:ascii="宋体" w:hAnsi="宋体" w:eastAsia="宋体" w:cs="宋体"/>
      <w:color w:val="000000"/>
      <w:sz w:val="20"/>
      <w:szCs w:val="20"/>
      <w:u w:val="none"/>
    </w:rPr>
  </w:style>
  <w:style w:type="character" w:customStyle="1" w:styleId="170">
    <w:name w:val="font11"/>
    <w:basedOn w:val="50"/>
    <w:qFormat/>
    <w:uiPriority w:val="0"/>
    <w:rPr>
      <w:rFonts w:ascii="Calibri" w:hAnsi="Calibri" w:cs="Calibri"/>
      <w:color w:val="000000"/>
      <w:sz w:val="20"/>
      <w:szCs w:val="20"/>
      <w:u w:val="none"/>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3">
    <w:name w:val="样式 首行缩进:  2 字符"/>
    <w:basedOn w:val="1"/>
    <w:qFormat/>
    <w:uiPriority w:val="0"/>
    <w:pPr>
      <w:ind w:firstLine="560"/>
    </w:pPr>
    <w:rPr>
      <w:rFonts w:eastAsia="仿宋_GB2312" w:cs="宋体"/>
      <w:sz w:val="24"/>
      <w:szCs w:val="20"/>
    </w:rPr>
  </w:style>
  <w:style w:type="paragraph" w:customStyle="1" w:styleId="174">
    <w:name w:val="bt1bt1"/>
    <w:basedOn w:val="3"/>
    <w:qFormat/>
    <w:uiPriority w:val="0"/>
    <w:pPr>
      <w:spacing w:line="240" w:lineRule="auto"/>
      <w:jc w:val="center"/>
    </w:pPr>
    <w:rPr>
      <w:rFonts w:ascii="黑体" w:eastAsia="黑体"/>
      <w:b w:val="0"/>
      <w:sz w:val="36"/>
      <w:szCs w:val="36"/>
    </w:rPr>
  </w:style>
  <w:style w:type="character" w:customStyle="1" w:styleId="175">
    <w:name w:val="font3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24977</Words>
  <Characters>29391</Characters>
  <Lines>221</Lines>
  <Paragraphs>62</Paragraphs>
  <TotalTime>66</TotalTime>
  <ScaleCrop>false</ScaleCrop>
  <LinksUpToDate>false</LinksUpToDate>
  <CharactersWithSpaces>30782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2019-06-19T03:05:00Z</dcterms:created>
  <dc:creator>lm</dc:creator>
  <cp:lastModifiedBy>Administrator</cp:lastModifiedBy>
  <cp:lastPrinted>2020-07-27T09:29:00Z</cp:lastPrinted>
  <dcterms:modified xsi:type="dcterms:W3CDTF">2022-12-08T09:06:03Z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9AE1D73EC5BC4D658ACD8200C6C84FDE</vt:lpwstr>
  </property>
</Properties>
</file>