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val="0"/>
          <w:bCs/>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DZZB-2022-042</w:t>
      </w:r>
    </w:p>
    <w:p>
      <w:pPr>
        <w:adjustRightInd w:val="0"/>
        <w:spacing w:line="720" w:lineRule="auto"/>
        <w:ind w:left="2530" w:right="420" w:rightChars="200" w:hanging="2530" w:hangingChars="700"/>
        <w:textAlignment w:val="baseline"/>
        <w:rPr>
          <w:rFonts w:hint="default" w:ascii="宋体" w:hAnsi="宋体" w:eastAsia="宋体" w:cs="宋体"/>
          <w:b/>
          <w:color w:val="auto"/>
          <w:sz w:val="36"/>
          <w:szCs w:val="36"/>
          <w:lang w:val="en-US"/>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val="en-US" w:eastAsia="zh-CN"/>
        </w:rPr>
        <w:t>青海民族大学在线考试系统服务项目</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青海民族大学</w:t>
      </w:r>
    </w:p>
    <w:p>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青海鼎钊招标代理有限公司</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w:t>
      </w:r>
      <w:r>
        <w:rPr>
          <w:rFonts w:hint="eastAsia" w:ascii="宋体" w:hAnsi="宋体" w:eastAsia="宋体" w:cs="宋体"/>
          <w:b/>
          <w:bCs/>
          <w:color w:val="auto"/>
          <w:sz w:val="36"/>
          <w:szCs w:val="36"/>
          <w:lang w:val="en-US" w:eastAsia="zh-CN"/>
        </w:rPr>
        <w:t>2</w:t>
      </w:r>
      <w:r>
        <w:rPr>
          <w:rFonts w:hint="eastAsia" w:ascii="宋体" w:hAnsi="宋体" w:eastAsia="宋体" w:cs="宋体"/>
          <w:b/>
          <w:bCs/>
          <w:color w:val="auto"/>
          <w:sz w:val="36"/>
          <w:szCs w:val="36"/>
          <w:lang w:eastAsia="zh-CN"/>
        </w:rPr>
        <w:t>年</w:t>
      </w:r>
      <w:r>
        <w:rPr>
          <w:rFonts w:hint="eastAsia" w:ascii="宋体" w:hAnsi="宋体" w:eastAsia="宋体" w:cs="宋体"/>
          <w:b/>
          <w:bCs/>
          <w:color w:val="auto"/>
          <w:sz w:val="36"/>
          <w:szCs w:val="36"/>
          <w:lang w:val="en-US" w:eastAsia="zh-CN"/>
        </w:rPr>
        <w:t>12</w:t>
      </w:r>
      <w:r>
        <w:rPr>
          <w:rFonts w:hint="eastAsia" w:ascii="宋体" w:hAnsi="宋体" w:eastAsia="宋体" w:cs="宋体"/>
          <w:b/>
          <w:bCs/>
          <w:color w:val="auto"/>
          <w:sz w:val="36"/>
          <w:szCs w:val="36"/>
          <w:lang w:eastAsia="zh-CN"/>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Cs/>
          <w:color w:val="auto"/>
          <w:sz w:val="24"/>
          <w:szCs w:val="24"/>
        </w:rPr>
      </w:pPr>
      <w:r>
        <w:rPr>
          <w:rFonts w:hint="eastAsia" w:ascii="宋体" w:hAnsi="宋体" w:eastAsia="宋体" w:cs="宋体"/>
          <w:b/>
          <w:color w:val="auto"/>
          <w:sz w:val="40"/>
          <w:szCs w:val="30"/>
        </w:rPr>
        <w:t>目  录</w:t>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Style w:val="30"/>
          <w:rFonts w:hint="eastAsia" w:ascii="宋体" w:hAnsi="宋体" w:eastAsia="宋体" w:cs="宋体"/>
          <w:b w:val="0"/>
          <w:bCs/>
          <w:i w:val="0"/>
          <w:iCs w:val="0"/>
          <w:color w:val="auto"/>
          <w:sz w:val="24"/>
          <w:szCs w:val="24"/>
          <w:lang w:val="zh-CN"/>
        </w:rPr>
        <w:instrText xml:space="preserve"> TOC \o "1-3" \h \z \u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_Toc16689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第一部分</w:t>
      </w:r>
      <w:r>
        <w:rPr>
          <w:rFonts w:hint="eastAsia" w:ascii="宋体" w:hAnsi="宋体" w:eastAsia="宋体" w:cs="宋体"/>
          <w:b w:val="0"/>
          <w:bCs/>
          <w:i w:val="0"/>
          <w:iCs w:val="0"/>
          <w:color w:val="auto"/>
          <w:sz w:val="24"/>
          <w:szCs w:val="24"/>
          <w:lang w:val="en-US" w:eastAsia="zh-CN"/>
        </w:rPr>
        <w:t xml:space="preserve">  </w:t>
      </w:r>
      <w:r>
        <w:rPr>
          <w:rFonts w:hint="eastAsia" w:ascii="宋体" w:hAnsi="宋体" w:eastAsia="宋体" w:cs="宋体"/>
          <w:b w:val="0"/>
          <w:bCs/>
          <w:i w:val="0"/>
          <w:iCs w:val="0"/>
          <w:color w:val="auto"/>
          <w:sz w:val="24"/>
          <w:szCs w:val="24"/>
          <w:lang w:val="zh-CN"/>
        </w:rPr>
        <w:t>投标邀请</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_Toc16689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_Toc8578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第二部分</w:t>
      </w:r>
      <w:r>
        <w:rPr>
          <w:rFonts w:hint="eastAsia" w:ascii="宋体" w:hAnsi="宋体" w:eastAsia="宋体" w:cs="宋体"/>
          <w:b w:val="0"/>
          <w:bCs/>
          <w:i w:val="0"/>
          <w:iCs w:val="0"/>
          <w:color w:val="auto"/>
          <w:sz w:val="24"/>
          <w:szCs w:val="24"/>
          <w:lang w:val="en-US" w:eastAsia="zh-CN"/>
        </w:rPr>
        <w:t xml:space="preserve">  </w:t>
      </w:r>
      <w:r>
        <w:rPr>
          <w:rFonts w:hint="eastAsia" w:ascii="宋体" w:hAnsi="宋体" w:eastAsia="宋体" w:cs="宋体"/>
          <w:b w:val="0"/>
          <w:bCs/>
          <w:i w:val="0"/>
          <w:iCs w:val="0"/>
          <w:color w:val="auto"/>
          <w:sz w:val="24"/>
          <w:szCs w:val="24"/>
          <w:lang w:val="zh-CN"/>
        </w:rPr>
        <w:t>供应商须知前附表</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_Toc8578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_Toc15266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kern w:val="28"/>
          <w:sz w:val="24"/>
          <w:szCs w:val="24"/>
        </w:rPr>
        <w:t>第三部分  供应商须知</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_Toc15266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_Toc25787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一、说  明</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_Toc25787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_Toc18676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1.适用范围</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_Toc18676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_Toc27624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2.采购方式、合格的供应商</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_Toc27624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_Toc2464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3.磋商费用</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_Toc2464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_Toc31854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二、磋商文件说明</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_Toc31854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_Toc24856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4.磋商文件的构成</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_Toc24856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_Toc22792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5.</w:t>
      </w:r>
      <w:r>
        <w:rPr>
          <w:rFonts w:hint="eastAsia" w:ascii="宋体" w:hAnsi="宋体" w:eastAsia="宋体" w:cs="宋体"/>
          <w:b w:val="0"/>
          <w:bCs/>
          <w:i w:val="0"/>
          <w:iCs w:val="0"/>
          <w:color w:val="auto"/>
          <w:sz w:val="24"/>
          <w:szCs w:val="24"/>
          <w:lang w:val="en-US" w:eastAsia="zh-CN"/>
        </w:rPr>
        <w:t>磋商</w:t>
      </w:r>
      <w:r>
        <w:rPr>
          <w:rFonts w:hint="eastAsia" w:ascii="宋体" w:hAnsi="宋体" w:eastAsia="宋体" w:cs="宋体"/>
          <w:b w:val="0"/>
          <w:bCs/>
          <w:i w:val="0"/>
          <w:iCs w:val="0"/>
          <w:color w:val="auto"/>
          <w:sz w:val="24"/>
          <w:szCs w:val="24"/>
          <w:lang w:val="zh-CN"/>
        </w:rPr>
        <w:t>文件、采购活动和</w:t>
      </w:r>
      <w:r>
        <w:rPr>
          <w:rFonts w:hint="eastAsia" w:ascii="宋体" w:hAnsi="宋体" w:eastAsia="宋体" w:cs="宋体"/>
          <w:b w:val="0"/>
          <w:bCs/>
          <w:i w:val="0"/>
          <w:iCs w:val="0"/>
          <w:color w:val="auto"/>
          <w:sz w:val="24"/>
          <w:szCs w:val="24"/>
          <w:lang w:val="en-US" w:eastAsia="zh-CN"/>
        </w:rPr>
        <w:t>成交</w:t>
      </w:r>
      <w:r>
        <w:rPr>
          <w:rFonts w:hint="eastAsia" w:ascii="宋体" w:hAnsi="宋体" w:eastAsia="宋体" w:cs="宋体"/>
          <w:b w:val="0"/>
          <w:bCs/>
          <w:i w:val="0"/>
          <w:iCs w:val="0"/>
          <w:color w:val="auto"/>
          <w:sz w:val="24"/>
          <w:szCs w:val="24"/>
          <w:lang w:val="zh-CN"/>
        </w:rPr>
        <w:t>结果的质疑</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_Toc22792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_Toc10203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6.磋商文件的澄清、修改</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_Toc10203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8</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_Toc24108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三、响应文件的编制</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_Toc24108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8</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_Toc16076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7.响应文件的语言及度量衡单位</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_Toc16076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8</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_Toc3686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8.磋商保证金</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_Toc3686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8</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_Toc5779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9.磋商有效期</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_Toc5779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9</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_Toc30410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10.响应文件构成</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_Toc30410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9</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_Toc4830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11.响应文件编印和签署</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_Toc4830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10</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_Toc21414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四、响应文件的递交</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_Toc21414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10</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_Toc12464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12.响应文件的密封和标记</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_Toc12464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10</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_Toc24605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13.提交响应文件截止时间、地点</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_Toc24605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10</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_Toc20516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五、磋商过程</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_Toc20516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10</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_Toc20313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14.磋商过程</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_Toc20313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11</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_Toc17740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六、磋商程序及方法</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_Toc17740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11</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_Toc9323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15.磋商小组</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_Toc9323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11</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_Toc12570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16.磋商程序</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_Toc12570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12</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_Toc1559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17.评审办法</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_Toc1559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13</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_Toc27249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七、确定成交供应商</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_Toc27249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_Toc22048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18.推荐并确定成交供应商</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_Toc22048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_Toc16588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19.成交通知</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_Toc16588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_Toc20430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八、授予合同</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_Toc20430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_Toc27940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20.签订合同</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_Toc27940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_Toc20418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九、磋商活动终止</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_Toc20418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_Toc27383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21.终止情形</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_Toc27383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_Toc14169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十、处罚</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_Toc14169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16</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4"/>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_Toc674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22.处罚情形</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_Toc674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16</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_Toc12327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十一、其他</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_Toc12327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16</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_Toc22379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kern w:val="28"/>
          <w:sz w:val="24"/>
          <w:szCs w:val="24"/>
        </w:rPr>
        <w:t>第四部分  采购项目合同书</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_Toc22379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17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_Toc30805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kern w:val="28"/>
          <w:sz w:val="24"/>
          <w:szCs w:val="24"/>
        </w:rPr>
        <w:t>第五部分  响应文件格式</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_Toc30805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22</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_Toc7913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附件1：响应文件封面</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_Toc7913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22</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_Toc26342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附件2：磋商函</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_Toc26342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23</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_Toc5299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附件3：投标报价一览表</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_Toc5299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24</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_Toc3888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eastAsia="zh-CN"/>
        </w:rPr>
        <w:t>4</w:t>
      </w:r>
      <w:r>
        <w:rPr>
          <w:rFonts w:hint="eastAsia" w:ascii="宋体" w:hAnsi="宋体" w:eastAsia="宋体" w:cs="宋体"/>
          <w:b w:val="0"/>
          <w:bCs/>
          <w:i w:val="0"/>
          <w:iCs w:val="0"/>
          <w:color w:val="auto"/>
          <w:sz w:val="24"/>
          <w:szCs w:val="24"/>
        </w:rPr>
        <w:t>：法定代表人证明书</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_Toc3888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25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_Toc5242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eastAsia="zh-CN"/>
        </w:rPr>
        <w:t>5</w:t>
      </w:r>
      <w:r>
        <w:rPr>
          <w:rFonts w:hint="eastAsia" w:ascii="宋体" w:hAnsi="宋体" w:eastAsia="宋体" w:cs="宋体"/>
          <w:b w:val="0"/>
          <w:bCs/>
          <w:i w:val="0"/>
          <w:iCs w:val="0"/>
          <w:color w:val="auto"/>
          <w:sz w:val="24"/>
          <w:szCs w:val="24"/>
        </w:rPr>
        <w:t>：法定代表人授权书</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_Toc5242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26</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_Toc25867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eastAsia="zh-CN"/>
        </w:rPr>
        <w:t>6</w:t>
      </w:r>
      <w:r>
        <w:rPr>
          <w:rFonts w:hint="eastAsia" w:ascii="宋体" w:hAnsi="宋体" w:eastAsia="宋体" w:cs="宋体"/>
          <w:b w:val="0"/>
          <w:bCs/>
          <w:i w:val="0"/>
          <w:iCs w:val="0"/>
          <w:color w:val="auto"/>
          <w:sz w:val="24"/>
          <w:szCs w:val="24"/>
        </w:rPr>
        <w:t>：供应商承诺函</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_Toc25867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27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_Toc22008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eastAsia="zh-CN"/>
        </w:rPr>
        <w:t>7</w:t>
      </w:r>
      <w:r>
        <w:rPr>
          <w:rFonts w:hint="eastAsia" w:ascii="宋体" w:hAnsi="宋体" w:eastAsia="宋体" w:cs="宋体"/>
          <w:b w:val="0"/>
          <w:bCs/>
          <w:i w:val="0"/>
          <w:iCs w:val="0"/>
          <w:color w:val="auto"/>
          <w:sz w:val="24"/>
          <w:szCs w:val="24"/>
        </w:rPr>
        <w:t>：供应商诚信承诺书</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_Toc22008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28</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_Toc3970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eastAsia="zh-CN"/>
        </w:rPr>
        <w:t>8</w:t>
      </w:r>
      <w:r>
        <w:rPr>
          <w:rFonts w:hint="eastAsia" w:ascii="宋体" w:hAnsi="宋体" w:eastAsia="宋体" w:cs="宋体"/>
          <w:b w:val="0"/>
          <w:bCs/>
          <w:i w:val="0"/>
          <w:iCs w:val="0"/>
          <w:color w:val="auto"/>
          <w:sz w:val="24"/>
          <w:szCs w:val="24"/>
        </w:rPr>
        <w:t>：资格证明材料</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_Toc3970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29</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_Toc24926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eastAsia="zh-CN"/>
        </w:rPr>
        <w:t>9</w:t>
      </w:r>
      <w:r>
        <w:rPr>
          <w:rFonts w:hint="eastAsia" w:ascii="宋体" w:hAnsi="宋体" w:eastAsia="宋体" w:cs="宋体"/>
          <w:b w:val="0"/>
          <w:bCs/>
          <w:i w:val="0"/>
          <w:iCs w:val="0"/>
          <w:color w:val="auto"/>
          <w:sz w:val="24"/>
          <w:szCs w:val="24"/>
        </w:rPr>
        <w:t>：财务状况证明</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_Toc24926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30</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_Toc17935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附件1</w:t>
      </w:r>
      <w:r>
        <w:rPr>
          <w:rFonts w:hint="eastAsia" w:ascii="宋体" w:hAnsi="宋体" w:eastAsia="宋体" w:cs="宋体"/>
          <w:b w:val="0"/>
          <w:bCs/>
          <w:i w:val="0"/>
          <w:iCs w:val="0"/>
          <w:color w:val="auto"/>
          <w:sz w:val="24"/>
          <w:szCs w:val="24"/>
          <w:lang w:val="en-US" w:eastAsia="zh-CN"/>
        </w:rPr>
        <w:t>0</w:t>
      </w:r>
      <w:r>
        <w:rPr>
          <w:rFonts w:hint="eastAsia" w:ascii="宋体" w:hAnsi="宋体" w:eastAsia="宋体" w:cs="宋体"/>
          <w:b w:val="0"/>
          <w:bCs/>
          <w:i w:val="0"/>
          <w:iCs w:val="0"/>
          <w:color w:val="auto"/>
          <w:sz w:val="24"/>
          <w:szCs w:val="24"/>
        </w:rPr>
        <w:t>：具备履行合同所必须的设备和专业技术能力证明</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_Toc17935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31</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_Toc18467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附件1</w:t>
      </w:r>
      <w:r>
        <w:rPr>
          <w:rFonts w:hint="eastAsia" w:ascii="宋体" w:hAnsi="宋体" w:eastAsia="宋体" w:cs="宋体"/>
          <w:b w:val="0"/>
          <w:bCs/>
          <w:i w:val="0"/>
          <w:iCs w:val="0"/>
          <w:color w:val="auto"/>
          <w:sz w:val="24"/>
          <w:szCs w:val="24"/>
          <w:lang w:val="en-US" w:eastAsia="zh-CN"/>
        </w:rPr>
        <w:t>1</w:t>
      </w:r>
      <w:r>
        <w:rPr>
          <w:rFonts w:hint="eastAsia" w:ascii="宋体" w:hAnsi="宋体" w:eastAsia="宋体" w:cs="宋体"/>
          <w:b w:val="0"/>
          <w:bCs/>
          <w:i w:val="0"/>
          <w:iCs w:val="0"/>
          <w:color w:val="auto"/>
          <w:sz w:val="24"/>
          <w:szCs w:val="24"/>
        </w:rPr>
        <w:t>：无重大违法记录声明</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_Toc18467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32</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_Toc13473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附件1</w:t>
      </w:r>
      <w:r>
        <w:rPr>
          <w:rFonts w:hint="eastAsia" w:ascii="宋体" w:hAnsi="宋体" w:eastAsia="宋体" w:cs="宋体"/>
          <w:b w:val="0"/>
          <w:bCs/>
          <w:i w:val="0"/>
          <w:iCs w:val="0"/>
          <w:color w:val="auto"/>
          <w:sz w:val="24"/>
          <w:szCs w:val="24"/>
          <w:lang w:val="en-US" w:eastAsia="zh-CN"/>
        </w:rPr>
        <w:t>2</w:t>
      </w:r>
      <w:r>
        <w:rPr>
          <w:rFonts w:hint="eastAsia" w:ascii="宋体" w:hAnsi="宋体" w:eastAsia="宋体" w:cs="宋体"/>
          <w:b w:val="0"/>
          <w:bCs/>
          <w:i w:val="0"/>
          <w:iCs w:val="0"/>
          <w:color w:val="auto"/>
          <w:sz w:val="24"/>
          <w:szCs w:val="24"/>
        </w:rPr>
        <w:t>：磋商保证金</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_Toc13473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33</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_Toc19815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附件1</w:t>
      </w:r>
      <w:r>
        <w:rPr>
          <w:rFonts w:hint="eastAsia" w:ascii="宋体" w:hAnsi="宋体" w:eastAsia="宋体" w:cs="宋体"/>
          <w:b w:val="0"/>
          <w:bCs/>
          <w:i w:val="0"/>
          <w:iCs w:val="0"/>
          <w:color w:val="auto"/>
          <w:sz w:val="24"/>
          <w:szCs w:val="24"/>
          <w:lang w:val="en-US" w:eastAsia="zh-CN"/>
        </w:rPr>
        <w:t>3</w:t>
      </w:r>
      <w:r>
        <w:rPr>
          <w:rFonts w:hint="eastAsia" w:ascii="宋体" w:hAnsi="宋体" w:eastAsia="宋体" w:cs="宋体"/>
          <w:b w:val="0"/>
          <w:bCs/>
          <w:i w:val="0"/>
          <w:iCs w:val="0"/>
          <w:color w:val="auto"/>
          <w:sz w:val="24"/>
          <w:szCs w:val="24"/>
        </w:rPr>
        <w:t>：供应商最后报价表</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_Toc19815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34</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_Toc1287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rPr>
        <w:t>附件1</w:t>
      </w:r>
      <w:r>
        <w:rPr>
          <w:rFonts w:hint="eastAsia" w:ascii="宋体" w:hAnsi="宋体" w:eastAsia="宋体" w:cs="宋体"/>
          <w:b w:val="0"/>
          <w:bCs/>
          <w:i w:val="0"/>
          <w:iCs w:val="0"/>
          <w:color w:val="auto"/>
          <w:sz w:val="24"/>
          <w:szCs w:val="24"/>
          <w:lang w:val="en-US" w:eastAsia="zh-CN"/>
        </w:rPr>
        <w:t>4</w:t>
      </w:r>
      <w:r>
        <w:rPr>
          <w:rFonts w:hint="eastAsia" w:ascii="宋体" w:hAnsi="宋体" w:eastAsia="宋体" w:cs="宋体"/>
          <w:b w:val="0"/>
          <w:bCs/>
          <w:i w:val="0"/>
          <w:iCs w:val="0"/>
          <w:color w:val="auto"/>
          <w:sz w:val="24"/>
          <w:szCs w:val="24"/>
        </w:rPr>
        <w:t>：</w:t>
      </w:r>
      <w:r>
        <w:rPr>
          <w:rFonts w:hint="eastAsia" w:ascii="宋体" w:hAnsi="宋体" w:eastAsia="宋体" w:cs="宋体"/>
          <w:b w:val="0"/>
          <w:bCs/>
          <w:i w:val="0"/>
          <w:iCs w:val="0"/>
          <w:color w:val="auto"/>
          <w:sz w:val="24"/>
          <w:szCs w:val="24"/>
          <w:lang w:val="en-US" w:eastAsia="zh-CN"/>
        </w:rPr>
        <w:t>中小企业声明函</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_Toc1287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35</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_Toc16962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en-US" w:eastAsia="zh-CN" w:bidi="ar-SA"/>
        </w:rPr>
        <w:t>附件15：</w:t>
      </w:r>
      <w:r>
        <w:rPr>
          <w:rFonts w:hint="eastAsia" w:ascii="宋体" w:hAnsi="宋体" w:eastAsia="宋体" w:cs="宋体"/>
          <w:b w:val="0"/>
          <w:bCs/>
          <w:i w:val="0"/>
          <w:iCs w:val="0"/>
          <w:color w:val="auto"/>
          <w:sz w:val="24"/>
          <w:szCs w:val="24"/>
          <w:lang w:val="zh-CN" w:eastAsia="zh-CN" w:bidi="ar-SA"/>
        </w:rPr>
        <w:t>残疾人</w:t>
      </w:r>
      <w:r>
        <w:rPr>
          <w:rFonts w:hint="eastAsia" w:ascii="宋体" w:hAnsi="宋体" w:eastAsia="宋体" w:cs="宋体"/>
          <w:b w:val="0"/>
          <w:bCs/>
          <w:i w:val="0"/>
          <w:iCs w:val="0"/>
          <w:color w:val="auto"/>
          <w:sz w:val="24"/>
          <w:szCs w:val="24"/>
          <w:lang w:val="en-US" w:eastAsia="zh-CN" w:bidi="ar-SA"/>
        </w:rPr>
        <w:t>福利性单位声明函</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_Toc16962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36</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_Toc24688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en-US" w:eastAsia="zh-CN" w:bidi="ar-SA"/>
        </w:rPr>
        <w:t>附件16：监狱企业证明材料</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_Toc24688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37</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_Toc15800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kern w:val="28"/>
          <w:sz w:val="24"/>
          <w:szCs w:val="24"/>
        </w:rPr>
        <w:t xml:space="preserve">第六部分  </w:t>
      </w:r>
      <w:r>
        <w:rPr>
          <w:rFonts w:hint="eastAsia" w:ascii="宋体" w:hAnsi="宋体" w:eastAsia="宋体" w:cs="宋体"/>
          <w:b w:val="0"/>
          <w:bCs/>
          <w:i w:val="0"/>
          <w:iCs w:val="0"/>
          <w:color w:val="auto"/>
          <w:kern w:val="28"/>
          <w:sz w:val="24"/>
          <w:szCs w:val="24"/>
          <w:lang w:eastAsia="zh-CN"/>
        </w:rPr>
        <w:t>采购项目要求</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_Toc15800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38</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Cs/>
          <w:color w:val="auto"/>
          <w:szCs w:val="24"/>
          <w:lang w:val="zh-CN"/>
        </w:rPr>
      </w:pP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Cs/>
          <w:color w:val="auto"/>
          <w:szCs w:val="24"/>
          <w:lang w:val="zh-CN"/>
        </w:rPr>
        <w:br w:type="page"/>
      </w:r>
    </w:p>
    <w:p>
      <w:pPr>
        <w:pStyle w:val="23"/>
        <w:spacing w:before="0" w:after="0" w:line="360" w:lineRule="auto"/>
        <w:ind w:firstLine="0" w:firstLineChars="0"/>
        <w:rPr>
          <w:rFonts w:hint="eastAsia" w:ascii="宋体" w:hAnsi="宋体" w:eastAsia="宋体" w:cs="宋体"/>
          <w:color w:val="auto"/>
          <w:szCs w:val="36"/>
        </w:rPr>
      </w:pPr>
      <w:bookmarkStart w:id="0" w:name="_Toc10494"/>
      <w:bookmarkStart w:id="1" w:name="_Toc16689"/>
      <w:r>
        <w:rPr>
          <w:rFonts w:hint="eastAsia" w:ascii="宋体" w:hAnsi="宋体" w:eastAsia="宋体" w:cs="宋体"/>
          <w:color w:val="auto"/>
          <w:szCs w:val="36"/>
          <w:lang w:val="zh-CN"/>
        </w:rPr>
        <w:t>第一部分</w:t>
      </w:r>
      <w:r>
        <w:rPr>
          <w:rFonts w:hint="eastAsia" w:ascii="宋体" w:hAnsi="宋体" w:eastAsia="宋体" w:cs="宋体"/>
          <w:color w:val="auto"/>
          <w:szCs w:val="36"/>
          <w:lang w:val="en-US" w:eastAsia="zh-CN"/>
        </w:rPr>
        <w:t xml:space="preserve">  </w:t>
      </w:r>
      <w:r>
        <w:rPr>
          <w:rFonts w:hint="eastAsia" w:ascii="宋体" w:hAnsi="宋体" w:eastAsia="宋体" w:cs="宋体"/>
          <w:color w:val="auto"/>
          <w:szCs w:val="36"/>
          <w:lang w:val="zh-CN"/>
        </w:rPr>
        <w:t>投标邀请</w:t>
      </w:r>
      <w:bookmarkEnd w:id="0"/>
      <w:bookmarkEnd w:id="1"/>
    </w:p>
    <w:p>
      <w:pPr>
        <w:pStyle w:val="31"/>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青海鼎钊招标代理有限公司（以下均简称“采购代理机构”）受青海民族大学（以下均简称“采购人”）委托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青海民族大学在线考试系统服务</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5"/>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DZZB-2022-042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青海民族大学在线考试系统服务</w:t>
            </w:r>
            <w:r>
              <w:rPr>
                <w:rFonts w:hint="eastAsia" w:ascii="宋体" w:hAnsi="宋体" w:eastAsia="宋体" w:cs="宋体"/>
                <w:color w:val="auto"/>
                <w:sz w:val="24"/>
                <w:szCs w:val="24"/>
                <w:lang w:val="en-US"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7"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磋商内容：在线考试系统服务</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具体内容</w:t>
            </w:r>
            <w:r>
              <w:rPr>
                <w:rFonts w:hint="eastAsia" w:ascii="宋体" w:hAnsi="宋体" w:eastAsia="宋体" w:cs="宋体"/>
                <w:color w:val="auto"/>
                <w:sz w:val="24"/>
                <w:szCs w:val="24"/>
                <w:lang w:val="zh-CN"/>
              </w:rPr>
              <w:t>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1、符合《政府采购法》第22条条件，并提供下列材料：</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的营业执照等证明文件，自然人的身份证明。</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）财务状况报告，依法缴纳税收和社会保障资金的相关材料。</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）具备履行合同所必需的设备和专业技术能力的证明材料。</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）参加政府采购活动前3年内在经营活动中没有重大违法记录的书面声明。</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）具备法律、行政法规规定的其他条件的证明材料。</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3、单位负责人为同一人或者存在直接控股、管理关系的不同</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，不得参加同一合同项下的政府采购活动。否则，皆取消投标资格；</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4、为本采购项目提供整体设计、规范编制或者项目管理、监理、检测等服务的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，不得再参加该采购项目的其他采购活动；</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5、本项目不接受</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以联合体方式进行投标；</w:t>
            </w:r>
          </w:p>
          <w:p>
            <w:pPr>
              <w:pStyle w:val="17"/>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6、供应商</w:t>
            </w:r>
            <w:r>
              <w:rPr>
                <w:rFonts w:hint="eastAsia" w:ascii="宋体" w:hAnsi="宋体" w:eastAsia="宋体" w:cs="宋体"/>
                <w:color w:val="auto"/>
                <w:sz w:val="24"/>
                <w:szCs w:val="24"/>
                <w:lang w:val="zh-CN"/>
              </w:rPr>
              <w:t>必须向采购代理机构购买磋商文件并登记，未经向采购代理机构购买磋商文件并登记的潜在</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均无资格参加本次投标。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2022年12月12日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2022年12月13日至12月19日，每天</w:t>
            </w:r>
            <w:r>
              <w:rPr>
                <w:rFonts w:hint="eastAsia" w:ascii="宋体" w:hAnsi="宋体" w:eastAsia="宋体" w:cs="宋体"/>
                <w:color w:val="auto"/>
                <w:sz w:val="24"/>
                <w:szCs w:val="24"/>
              </w:rPr>
              <w:t>上午9:00-12:00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下午2:30-5:30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r>
              <w:rPr>
                <w:rFonts w:hint="eastAsia" w:ascii="宋体" w:hAnsi="宋体" w:eastAsia="宋体" w:cs="宋体"/>
                <w:color w:val="auto"/>
                <w:sz w:val="24"/>
                <w:szCs w:val="24"/>
                <w:lang w:val="zh-CN"/>
              </w:rPr>
              <w:t>元/</w:t>
            </w:r>
            <w:r>
              <w:rPr>
                <w:rFonts w:hint="eastAsia" w:ascii="宋体" w:hAnsi="宋体" w:eastAsia="宋体" w:cs="宋体"/>
                <w:color w:val="auto"/>
                <w:sz w:val="24"/>
                <w:szCs w:val="24"/>
                <w:lang w:val="en-US" w:eastAsia="zh-CN"/>
              </w:rPr>
              <w:t>份</w:t>
            </w:r>
            <w:r>
              <w:rPr>
                <w:rFonts w:hint="eastAsia" w:ascii="宋体" w:hAnsi="宋体" w:eastAsia="宋体" w:cs="宋体"/>
                <w:color w:val="auto"/>
                <w:sz w:val="24"/>
                <w:szCs w:val="24"/>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地址：西宁市东川工业园区金桥路39号1号楼2楼（新力景瑞新城）</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标书购买联系人：王女士</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电话：0971-8179315</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电子邮箱：qhdzzgs@163.com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供应商的营业执照复印件、法人授权委托书（原件）及法人和委托代理人身份证复印件。</w:t>
            </w:r>
          </w:p>
          <w:p>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注：需网上购买标书的供应商应将以上材料扫描后发至我公司联系邮箱，在邮件中标明购买项目名称、项目编号、包号、联系人及联系方式，并与我公司工作人员进行联系确认。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2022年12月23日上午9:30（北京时间）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2022年12月23日上午9:30（北京时间）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西宁市东川工业园区金桥路39号1号楼2楼（新力景瑞新城）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采购人：青海民族大学</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李老师</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zh-CN" w:eastAsia="zh-CN"/>
              </w:rPr>
              <w:t>0971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8802687</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val="zh-CN" w:eastAsia="zh-CN"/>
              </w:rPr>
              <w:t>西宁市城东区八一中路3号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采购代理机构：青海鼎钊招标代理有限公司</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w:t>
            </w:r>
            <w:r>
              <w:rPr>
                <w:rFonts w:hint="eastAsia" w:ascii="宋体" w:hAnsi="宋体" w:eastAsia="宋体" w:cs="宋体"/>
                <w:color w:val="auto"/>
                <w:kern w:val="0"/>
                <w:sz w:val="24"/>
                <w:szCs w:val="24"/>
                <w:lang w:val="en-US" w:eastAsia="zh-CN"/>
              </w:rPr>
              <w:t>马女士、王先生</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0971-8179517</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zh-CN"/>
              </w:rPr>
              <w:t>联系地址：西宁市东川工业园区金桥路39号1号楼2楼（新力景瑞新城）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上海浦东发展银行股份有限公司西宁城东支行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35030078801500000377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zh-CN" w:eastAsia="zh-CN"/>
              </w:rPr>
              <w:t>公告发布</w:t>
            </w:r>
            <w:r>
              <w:rPr>
                <w:rFonts w:hint="eastAsia" w:ascii="宋体" w:hAnsi="宋体" w:eastAsia="宋体" w:cs="宋体"/>
                <w:color w:val="auto"/>
                <w:sz w:val="24"/>
                <w:szCs w:val="24"/>
                <w:lang w:val="en-US" w:eastAsia="zh-CN"/>
              </w:rPr>
              <w:t>网站</w:t>
            </w:r>
            <w:r>
              <w:rPr>
                <w:rFonts w:hint="eastAsia" w:ascii="宋体" w:hAnsi="宋体" w:eastAsia="宋体" w:cs="宋体"/>
                <w:color w:val="auto"/>
                <w:sz w:val="24"/>
                <w:szCs w:val="24"/>
                <w:lang w:val="zh-CN" w:eastAsia="zh-CN"/>
              </w:rPr>
              <w:t>：《青海项目信息网》</w:t>
            </w:r>
          </w:p>
        </w:tc>
      </w:tr>
    </w:tbl>
    <w:p>
      <w:pPr>
        <w:spacing w:line="360" w:lineRule="auto"/>
        <w:ind w:firstLine="0" w:firstLineChars="0"/>
        <w:jc w:val="right"/>
        <w:rPr>
          <w:rFonts w:hint="eastAsia" w:ascii="宋体" w:hAnsi="宋体" w:eastAsia="宋体" w:cs="宋体"/>
          <w:color w:val="auto"/>
          <w:sz w:val="24"/>
          <w:szCs w:val="24"/>
          <w:lang w:eastAsia="zh-CN"/>
        </w:rPr>
      </w:pPr>
    </w:p>
    <w:p>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青海鼎钊招标代理有限公司</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2022年12月12日</w:t>
      </w:r>
      <w:r>
        <w:rPr>
          <w:rFonts w:hint="eastAsia" w:ascii="宋体" w:hAnsi="宋体" w:eastAsia="宋体" w:cs="宋体"/>
          <w:color w:val="auto"/>
          <w:sz w:val="24"/>
          <w:szCs w:val="24"/>
          <w:lang w:val="en-US" w:eastAsia="zh-CN"/>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3"/>
        <w:spacing w:before="0" w:after="0" w:line="360" w:lineRule="auto"/>
        <w:ind w:firstLine="0" w:firstLineChars="0"/>
        <w:rPr>
          <w:rFonts w:hint="eastAsia" w:ascii="宋体" w:hAnsi="宋体" w:eastAsia="宋体" w:cs="宋体"/>
          <w:color w:val="auto"/>
          <w:lang w:val="zh-CN"/>
        </w:rPr>
      </w:pPr>
      <w:bookmarkStart w:id="2" w:name="_Toc3201"/>
      <w:bookmarkStart w:id="3" w:name="_Toc8578"/>
      <w:r>
        <w:rPr>
          <w:rFonts w:hint="eastAsia" w:ascii="宋体" w:hAnsi="宋体" w:eastAsia="宋体" w:cs="宋体"/>
          <w:color w:val="auto"/>
          <w:lang w:val="zh-CN"/>
        </w:rPr>
        <w:t>第二部分</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25"/>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DZZB-2022-042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青海民族大学在线考试系统服务</w:t>
            </w:r>
            <w:r>
              <w:rPr>
                <w:rFonts w:hint="eastAsia" w:ascii="宋体" w:hAnsi="宋体" w:eastAsia="宋体" w:cs="宋体"/>
                <w:color w:val="auto"/>
                <w:sz w:val="24"/>
                <w:szCs w:val="24"/>
                <w:lang w:val="en-US" w:eastAsia="zh-CN"/>
              </w:rPr>
              <w:t>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青海民族大学</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bidi w:val="0"/>
              <w:adjustRightInd/>
              <w:snapToGrid/>
              <w:spacing w:line="36" w:lineRule="atLeas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详见第一部分投标邀请中“各包供应商资格条件”的规定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zh-CN"/>
              </w:rPr>
              <w:t>磋商保证金金额：</w:t>
            </w:r>
            <w:r>
              <w:rPr>
                <w:rFonts w:hint="eastAsia" w:ascii="宋体" w:hAnsi="宋体" w:eastAsia="宋体" w:cs="宋体"/>
                <w:b/>
                <w:bCs/>
                <w:color w:val="auto"/>
                <w:sz w:val="24"/>
                <w:szCs w:val="24"/>
                <w:lang w:val="en-US" w:eastAsia="zh-CN"/>
              </w:rPr>
              <w:t>2600</w:t>
            </w:r>
            <w:r>
              <w:rPr>
                <w:rFonts w:hint="eastAsia" w:ascii="宋体" w:hAnsi="宋体" w:eastAsia="宋体" w:cs="宋体"/>
                <w:b/>
                <w:bCs/>
                <w:color w:val="auto"/>
                <w:sz w:val="24"/>
                <w:szCs w:val="24"/>
                <w:u w:val="none"/>
                <w:lang w:val="en-US" w:eastAsia="zh-CN"/>
              </w:rPr>
              <w:t>元</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收款单位：</w:t>
            </w:r>
            <w:r>
              <w:rPr>
                <w:rFonts w:hint="eastAsia" w:ascii="宋体" w:hAnsi="宋体" w:eastAsia="宋体" w:cs="宋体"/>
                <w:color w:val="auto"/>
                <w:sz w:val="24"/>
                <w:szCs w:val="24"/>
                <w:lang w:eastAsia="zh-CN"/>
              </w:rPr>
              <w:t>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开 户 行：</w:t>
            </w:r>
            <w:r>
              <w:rPr>
                <w:rFonts w:hint="eastAsia" w:ascii="宋体" w:hAnsi="宋体" w:eastAsia="宋体" w:cs="宋体"/>
                <w:color w:val="auto"/>
                <w:sz w:val="24"/>
                <w:szCs w:val="24"/>
                <w:lang w:eastAsia="zh-CN"/>
              </w:rPr>
              <w:t>上海浦东发展银行股份有限公司西宁城东支行</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银行账号：</w:t>
            </w:r>
            <w:r>
              <w:rPr>
                <w:rFonts w:hint="eastAsia" w:ascii="宋体" w:hAnsi="宋体" w:eastAsia="宋体" w:cs="宋体"/>
                <w:color w:val="auto"/>
                <w:sz w:val="24"/>
                <w:szCs w:val="24"/>
                <w:lang w:eastAsia="zh-CN"/>
              </w:rPr>
              <w:t>35030078801500000377</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缴费时间：</w:t>
            </w:r>
            <w:r>
              <w:rPr>
                <w:rFonts w:hint="eastAsia" w:ascii="宋体" w:hAnsi="宋体" w:eastAsia="宋体" w:cs="宋体"/>
                <w:b/>
                <w:bCs/>
                <w:color w:val="auto"/>
                <w:sz w:val="24"/>
                <w:szCs w:val="24"/>
              </w:rPr>
              <w:t>提交响应文件截止时间</w:t>
            </w:r>
            <w:r>
              <w:rPr>
                <w:rFonts w:hint="eastAsia" w:ascii="宋体" w:hAnsi="宋体" w:eastAsia="宋体" w:cs="宋体"/>
                <w:b/>
                <w:bCs/>
                <w:color w:val="auto"/>
                <w:sz w:val="24"/>
                <w:szCs w:val="24"/>
                <w:lang w:val="zh-CN"/>
              </w:rPr>
              <w:t>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2022年12月23日上午9:30（北京时间）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2022年12月23日上午9:30（北京时间）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西宁市东川工业园区金桥路39号1号楼2楼（新力景瑞新城）</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收取对象：</w:t>
            </w:r>
            <w:r>
              <w:rPr>
                <w:rFonts w:hint="eastAsia" w:ascii="宋体" w:hAnsi="宋体" w:eastAsia="宋体" w:cs="宋体"/>
                <w:b/>
                <w:bCs/>
                <w:color w:val="auto"/>
                <w:sz w:val="24"/>
                <w:szCs w:val="24"/>
                <w:lang w:val="zh-CN"/>
              </w:rPr>
              <w:t>成交供应商</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收费金额：</w:t>
            </w:r>
            <w:r>
              <w:rPr>
                <w:rFonts w:hint="eastAsia" w:ascii="宋体" w:hAnsi="宋体" w:eastAsia="宋体" w:cs="宋体"/>
                <w:b/>
                <w:bCs/>
                <w:color w:val="auto"/>
                <w:sz w:val="24"/>
                <w:szCs w:val="24"/>
                <w:lang w:val="en-US" w:eastAsia="zh-CN"/>
              </w:rPr>
              <w:t>3500元</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收款单位：青海鼎钊招标代理有限公司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 户 行：中国农业银行股份有限公司西宁城东经济技术开发区支行</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银行账号：2801 2001 0400 0229 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val="zh-CN"/>
              </w:rPr>
              <w:t>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15266"/>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376936728"/>
      <w:bookmarkStart w:id="7" w:name="_Toc14943"/>
      <w:bookmarkStart w:id="8" w:name="_Toc25787"/>
      <w:bookmarkStart w:id="9" w:name="_Toc24622"/>
      <w:r>
        <w:rPr>
          <w:rFonts w:hint="eastAsia" w:ascii="宋体" w:hAnsi="宋体" w:eastAsia="宋体" w:cs="宋体"/>
          <w:b/>
          <w:bCs/>
          <w:color w:val="auto"/>
          <w:sz w:val="24"/>
          <w:szCs w:val="24"/>
        </w:rPr>
        <w:t>一、说  明</w:t>
      </w:r>
      <w:bookmarkEnd w:id="5"/>
      <w:bookmarkEnd w:id="6"/>
      <w:bookmarkEnd w:id="7"/>
      <w:bookmarkEnd w:id="8"/>
      <w:bookmarkEnd w:id="9"/>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26944"/>
      <w:bookmarkStart w:id="11" w:name="_Toc376936729"/>
      <w:bookmarkStart w:id="12" w:name="_Toc18676"/>
      <w:bookmarkStart w:id="13" w:name="_Toc325725998"/>
      <w:bookmarkStart w:id="14" w:name="_Toc9770"/>
      <w:r>
        <w:rPr>
          <w:rFonts w:hint="eastAsia" w:ascii="宋体" w:hAnsi="宋体" w:eastAsia="宋体" w:cs="宋体"/>
          <w:b/>
          <w:bCs/>
          <w:color w:val="auto"/>
          <w:sz w:val="24"/>
          <w:szCs w:val="24"/>
        </w:rPr>
        <w:t>1.适用范围</w:t>
      </w:r>
      <w:bookmarkEnd w:id="10"/>
      <w:bookmarkEnd w:id="11"/>
      <w:bookmarkEnd w:id="12"/>
      <w:bookmarkEnd w:id="13"/>
      <w:bookmarkEnd w:id="14"/>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本次采购依据采购人的采购计划，仅适用于本磋商文件中所叙述的项目。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 w:name="_Toc21998"/>
      <w:bookmarkStart w:id="16" w:name="_Toc376936730"/>
      <w:bookmarkStart w:id="17" w:name="_Toc325725999"/>
      <w:bookmarkStart w:id="18" w:name="_Toc27624"/>
      <w:bookmarkStart w:id="19" w:name="_Toc31556"/>
      <w:r>
        <w:rPr>
          <w:rFonts w:hint="eastAsia" w:ascii="宋体" w:hAnsi="宋体" w:eastAsia="宋体" w:cs="宋体"/>
          <w:b/>
          <w:bCs/>
          <w:color w:val="auto"/>
          <w:sz w:val="24"/>
          <w:szCs w:val="24"/>
        </w:rPr>
        <w:t>2.采购方式、合格的</w:t>
      </w:r>
      <w:bookmarkEnd w:id="15"/>
      <w:bookmarkEnd w:id="16"/>
      <w:bookmarkEnd w:id="17"/>
      <w:r>
        <w:rPr>
          <w:rFonts w:hint="eastAsia" w:ascii="宋体" w:hAnsi="宋体" w:eastAsia="宋体" w:cs="宋体"/>
          <w:b/>
          <w:bCs/>
          <w:color w:val="auto"/>
          <w:sz w:val="24"/>
          <w:szCs w:val="24"/>
        </w:rPr>
        <w:t>供应商</w:t>
      </w:r>
      <w:bookmarkEnd w:id="18"/>
      <w:bookmarkEnd w:id="19"/>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r>
        <w:rPr>
          <w:rFonts w:hint="eastAsia" w:ascii="宋体" w:hAnsi="宋体" w:eastAsia="宋体" w:cs="宋体"/>
          <w:color w:val="auto"/>
          <w:sz w:val="24"/>
          <w:szCs w:val="24"/>
          <w:lang w:val="zh-CN"/>
        </w:rPr>
        <w:t>详见第一部分投标邀请中“各包供应商资格条件”的规定</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0" w:name="_Toc8805"/>
      <w:bookmarkStart w:id="21" w:name="_Toc376936731"/>
      <w:bookmarkStart w:id="22" w:name="_Toc325726000"/>
      <w:bookmarkStart w:id="23" w:name="_Toc2464"/>
      <w:bookmarkStart w:id="24" w:name="_Toc8820"/>
      <w:r>
        <w:rPr>
          <w:rFonts w:hint="eastAsia" w:ascii="宋体" w:hAnsi="宋体" w:eastAsia="宋体" w:cs="宋体"/>
          <w:b/>
          <w:bCs/>
          <w:color w:val="auto"/>
          <w:sz w:val="24"/>
          <w:szCs w:val="24"/>
        </w:rPr>
        <w:t>3.磋商费用</w:t>
      </w:r>
      <w:bookmarkEnd w:id="20"/>
      <w:bookmarkEnd w:id="21"/>
      <w:bookmarkEnd w:id="22"/>
      <w:bookmarkEnd w:id="23"/>
      <w:bookmarkEnd w:id="24"/>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5" w:name="_Toc18155"/>
      <w:bookmarkStart w:id="26" w:name="_Toc325726001"/>
      <w:bookmarkStart w:id="27" w:name="_Toc3769367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28" w:name="_Toc31854"/>
      <w:r>
        <w:rPr>
          <w:rFonts w:hint="eastAsia" w:ascii="宋体" w:hAnsi="宋体" w:eastAsia="宋体" w:cs="宋体"/>
          <w:b/>
          <w:bCs/>
          <w:color w:val="auto"/>
          <w:sz w:val="24"/>
          <w:szCs w:val="24"/>
        </w:rPr>
        <w:t>二、磋商文件说明</w:t>
      </w:r>
      <w:bookmarkEnd w:id="25"/>
      <w:bookmarkEnd w:id="26"/>
      <w:bookmarkEnd w:id="27"/>
      <w:bookmarkEnd w:id="28"/>
    </w:p>
    <w:p>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14153"/>
      <w:bookmarkStart w:id="30" w:name="_Toc24856"/>
      <w:bookmarkStart w:id="31" w:name="_Toc325726002"/>
      <w:bookmarkStart w:id="32" w:name="_Toc376936733"/>
      <w:bookmarkStart w:id="33" w:name="_Toc10649"/>
      <w:r>
        <w:rPr>
          <w:rFonts w:hint="eastAsia" w:ascii="宋体" w:hAnsi="宋体" w:eastAsia="宋体" w:cs="宋体"/>
          <w:b/>
          <w:bCs/>
          <w:color w:val="auto"/>
          <w:sz w:val="24"/>
          <w:szCs w:val="24"/>
        </w:rPr>
        <w:t>4.磋商文件的构成</w:t>
      </w:r>
      <w:bookmarkEnd w:id="29"/>
      <w:bookmarkEnd w:id="30"/>
      <w:bookmarkEnd w:id="31"/>
      <w:bookmarkEnd w:id="32"/>
      <w:bookmarkEnd w:id="3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4" w:name="_Toc3451"/>
      <w:bookmarkStart w:id="35" w:name="_Toc325726003"/>
      <w:bookmarkStart w:id="36" w:name="_Toc6482"/>
      <w:bookmarkStart w:id="37" w:name="_Toc376936734"/>
      <w:bookmarkStart w:id="38" w:name="_Toc22792"/>
      <w:r>
        <w:rPr>
          <w:rFonts w:hint="eastAsia" w:ascii="宋体" w:hAnsi="宋体" w:eastAsia="宋体" w:cs="宋体"/>
          <w:b/>
          <w:bCs/>
          <w:color w:val="auto"/>
          <w:sz w:val="24"/>
          <w:szCs w:val="24"/>
        </w:rPr>
        <w:t>5.</w:t>
      </w:r>
      <w:bookmarkEnd w:id="34"/>
      <w:bookmarkEnd w:id="35"/>
      <w:bookmarkEnd w:id="36"/>
      <w:bookmarkEnd w:id="37"/>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bookmarkEnd w:id="38"/>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376936735"/>
      <w:bookmarkStart w:id="40" w:name="_Toc325726004"/>
      <w:bookmarkStart w:id="41" w:name="_Toc10203"/>
      <w:bookmarkStart w:id="42" w:name="_Toc26515"/>
      <w:bookmarkStart w:id="43" w:name="_Toc13050"/>
      <w:r>
        <w:rPr>
          <w:rFonts w:hint="eastAsia" w:ascii="宋体" w:hAnsi="宋体" w:eastAsia="宋体" w:cs="宋体"/>
          <w:b/>
          <w:bCs/>
          <w:color w:val="auto"/>
          <w:sz w:val="24"/>
          <w:szCs w:val="24"/>
        </w:rPr>
        <w:t>6.磋商文件的澄清、修改</w:t>
      </w:r>
      <w:bookmarkEnd w:id="39"/>
      <w:bookmarkEnd w:id="40"/>
      <w:bookmarkEnd w:id="41"/>
      <w:bookmarkEnd w:id="42"/>
      <w:bookmarkEnd w:id="4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6.2在提交响应文件截止时间前，采购代理机构可以视采购具体情况，延长提交响应文件截止时间和开启时间，并将变更公告发布在</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上。</w:t>
      </w:r>
      <w:bookmarkStart w:id="44" w:name="_Toc376936736"/>
      <w:bookmarkStart w:id="45" w:name="_Toc23340"/>
      <w:bookmarkStart w:id="46" w:name="_Toc325726005"/>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47" w:name="_Toc24108"/>
      <w:r>
        <w:rPr>
          <w:rFonts w:hint="eastAsia" w:ascii="宋体" w:hAnsi="宋体" w:eastAsia="宋体" w:cs="宋体"/>
          <w:b/>
          <w:bCs/>
          <w:color w:val="auto"/>
          <w:sz w:val="24"/>
          <w:szCs w:val="24"/>
        </w:rPr>
        <w:t>三、响应文件的编制</w:t>
      </w:r>
      <w:bookmarkEnd w:id="44"/>
      <w:bookmarkEnd w:id="45"/>
      <w:bookmarkEnd w:id="46"/>
      <w:bookmarkEnd w:id="47"/>
    </w:p>
    <w:p>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376936737"/>
      <w:bookmarkStart w:id="49" w:name="_Toc325726006"/>
      <w:bookmarkStart w:id="50" w:name="_Toc13057"/>
      <w:bookmarkStart w:id="51" w:name="_Toc9674"/>
      <w:bookmarkStart w:id="52" w:name="_Toc16076"/>
      <w:r>
        <w:rPr>
          <w:rFonts w:hint="eastAsia" w:ascii="宋体" w:hAnsi="宋体" w:eastAsia="宋体" w:cs="宋体"/>
          <w:b/>
          <w:bCs/>
          <w:color w:val="auto"/>
          <w:sz w:val="24"/>
          <w:szCs w:val="24"/>
        </w:rPr>
        <w:t>7.响应文件的语言及度量衡单位</w:t>
      </w:r>
      <w:bookmarkEnd w:id="48"/>
      <w:bookmarkEnd w:id="49"/>
      <w:bookmarkEnd w:id="50"/>
      <w:bookmarkEnd w:id="51"/>
      <w:bookmarkEnd w:id="5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3" w:name="_Toc3686"/>
      <w:bookmarkStart w:id="54" w:name="_Toc21569"/>
      <w:bookmarkStart w:id="55" w:name="_Toc376936743"/>
      <w:bookmarkStart w:id="56" w:name="_Toc325726012"/>
      <w:bookmarkStart w:id="57" w:name="_Toc17093"/>
      <w:r>
        <w:rPr>
          <w:rFonts w:hint="eastAsia" w:ascii="宋体" w:hAnsi="宋体" w:eastAsia="宋体" w:cs="宋体"/>
          <w:b/>
          <w:bCs/>
          <w:color w:val="auto"/>
          <w:sz w:val="24"/>
          <w:szCs w:val="24"/>
        </w:rPr>
        <w:t>8.磋商保证金</w:t>
      </w:r>
      <w:bookmarkEnd w:id="53"/>
      <w:bookmarkEnd w:id="54"/>
      <w:bookmarkEnd w:id="55"/>
      <w:bookmarkEnd w:id="56"/>
      <w:bookmarkEnd w:id="57"/>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磋商保证金由供应商以转款方式直接缴入“青海鼎钊招标代理有限公司”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8" w:name="_Toc5779"/>
      <w:bookmarkStart w:id="59" w:name="_Toc325726013"/>
      <w:bookmarkStart w:id="60" w:name="_Toc32704"/>
      <w:bookmarkStart w:id="61" w:name="_Toc22044"/>
      <w:bookmarkStart w:id="62" w:name="_Toc376936744"/>
      <w:r>
        <w:rPr>
          <w:rFonts w:hint="eastAsia" w:ascii="宋体" w:hAnsi="宋体" w:eastAsia="宋体" w:cs="宋体"/>
          <w:b/>
          <w:bCs/>
          <w:color w:val="auto"/>
          <w:sz w:val="24"/>
          <w:szCs w:val="24"/>
        </w:rPr>
        <w:t>9.磋商有效期</w:t>
      </w:r>
      <w:bookmarkEnd w:id="58"/>
      <w:bookmarkEnd w:id="59"/>
      <w:bookmarkEnd w:id="60"/>
      <w:bookmarkEnd w:id="61"/>
      <w:bookmarkEnd w:id="62"/>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0410"/>
      <w:bookmarkStart w:id="64" w:name="_Toc31915"/>
      <w:bookmarkStart w:id="65" w:name="_Toc325726008"/>
      <w:bookmarkStart w:id="66" w:name="_Toc16445"/>
      <w:bookmarkStart w:id="67" w:name="_Toc376936739"/>
      <w:r>
        <w:rPr>
          <w:rFonts w:hint="eastAsia" w:ascii="宋体" w:hAnsi="宋体" w:eastAsia="宋体" w:cs="宋体"/>
          <w:b/>
          <w:bCs/>
          <w:color w:val="auto"/>
          <w:sz w:val="24"/>
          <w:szCs w:val="24"/>
        </w:rPr>
        <w:t>10.响应文件构成</w:t>
      </w:r>
      <w:bookmarkEnd w:id="63"/>
      <w:bookmarkEnd w:id="64"/>
      <w:bookmarkEnd w:id="65"/>
      <w:bookmarkEnd w:id="66"/>
      <w:bookmarkEnd w:id="6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）资格证明材料</w:t>
      </w:r>
    </w:p>
    <w:p>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）财务状况</w:t>
      </w:r>
      <w:r>
        <w:rPr>
          <w:rFonts w:hint="eastAsia" w:ascii="宋体" w:hAnsi="宋体" w:eastAsia="宋体" w:cs="宋体"/>
          <w:color w:val="auto"/>
          <w:sz w:val="24"/>
          <w:szCs w:val="24"/>
          <w:lang w:val="en-US" w:eastAsia="zh-CN"/>
        </w:rPr>
        <w:t>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pStyle w:val="24"/>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中小企业声明函</w:t>
      </w:r>
    </w:p>
    <w:p>
      <w:pPr>
        <w:pStyle w:val="2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残疾人</w:t>
      </w:r>
      <w:r>
        <w:rPr>
          <w:rFonts w:hint="eastAsia" w:ascii="宋体" w:hAnsi="宋体" w:eastAsia="宋体" w:cs="宋体"/>
          <w:color w:val="auto"/>
          <w:sz w:val="24"/>
          <w:szCs w:val="24"/>
          <w:lang w:val="en-US" w:eastAsia="zh-CN"/>
        </w:rPr>
        <w:t>福利性单位声明函</w:t>
      </w:r>
    </w:p>
    <w:p>
      <w:pPr>
        <w:pStyle w:val="2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监狱企业证明材料</w:t>
      </w:r>
    </w:p>
    <w:p>
      <w:pPr>
        <w:pStyle w:val="2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4830"/>
      <w:bookmarkStart w:id="69" w:name="_Toc373392580"/>
      <w:bookmarkStart w:id="70" w:name="_Toc11377"/>
      <w:bookmarkStart w:id="71" w:name="_Toc412617729"/>
      <w:bookmarkStart w:id="72" w:name="_Toc16453"/>
      <w:r>
        <w:rPr>
          <w:rFonts w:hint="eastAsia" w:ascii="宋体" w:hAnsi="宋体" w:eastAsia="宋体" w:cs="宋体"/>
          <w:b/>
          <w:bCs/>
          <w:color w:val="auto"/>
          <w:sz w:val="24"/>
          <w:szCs w:val="24"/>
        </w:rPr>
        <w:t>11.响应文件编印和签署</w:t>
      </w:r>
      <w:bookmarkEnd w:id="68"/>
      <w:bookmarkEnd w:id="69"/>
      <w:bookmarkEnd w:id="70"/>
      <w:bookmarkEnd w:id="71"/>
      <w:bookmarkEnd w:id="72"/>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73" w:name="_Toc412617730"/>
      <w:bookmarkStart w:id="74" w:name="_Toc15102"/>
      <w:bookmarkStart w:id="75" w:name="_Toc376936748"/>
      <w:bookmarkStart w:id="76" w:name="_Toc371090029"/>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7" w:name="_Toc21414"/>
      <w:r>
        <w:rPr>
          <w:rFonts w:hint="eastAsia" w:ascii="宋体" w:hAnsi="宋体" w:eastAsia="宋体" w:cs="宋体"/>
          <w:b/>
          <w:bCs/>
          <w:color w:val="auto"/>
          <w:sz w:val="24"/>
          <w:szCs w:val="24"/>
        </w:rPr>
        <w:t>四、响应文件的递交</w:t>
      </w:r>
      <w:bookmarkEnd w:id="73"/>
      <w:bookmarkEnd w:id="74"/>
      <w:bookmarkEnd w:id="77"/>
    </w:p>
    <w:p>
      <w:pPr>
        <w:widowControl/>
        <w:spacing w:line="360" w:lineRule="auto"/>
        <w:ind w:firstLine="0" w:firstLineChars="0"/>
        <w:jc w:val="left"/>
        <w:outlineLvl w:val="2"/>
        <w:rPr>
          <w:rFonts w:hint="eastAsia" w:ascii="宋体" w:hAnsi="宋体" w:eastAsia="宋体" w:cs="宋体"/>
          <w:b/>
          <w:bCs/>
          <w:color w:val="auto"/>
          <w:sz w:val="24"/>
          <w:szCs w:val="24"/>
        </w:rPr>
      </w:pPr>
      <w:bookmarkStart w:id="78" w:name="_Toc412617731"/>
      <w:bookmarkStart w:id="79" w:name="_Toc325726016"/>
      <w:bookmarkStart w:id="80" w:name="_Toc373392582"/>
      <w:bookmarkStart w:id="81" w:name="_Toc23823"/>
      <w:bookmarkStart w:id="82" w:name="_Toc1176"/>
      <w:bookmarkStart w:id="83" w:name="_Toc12464"/>
      <w:r>
        <w:rPr>
          <w:rFonts w:hint="eastAsia" w:ascii="宋体" w:hAnsi="宋体" w:eastAsia="宋体" w:cs="宋体"/>
          <w:b/>
          <w:bCs/>
          <w:color w:val="auto"/>
          <w:sz w:val="24"/>
          <w:szCs w:val="24"/>
        </w:rPr>
        <w:t>12.响应文件的密封和标记</w:t>
      </w:r>
      <w:bookmarkEnd w:id="78"/>
      <w:bookmarkEnd w:id="79"/>
      <w:bookmarkEnd w:id="80"/>
      <w:bookmarkEnd w:id="81"/>
      <w:bookmarkEnd w:id="82"/>
      <w:bookmarkEnd w:id="83"/>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2022年12月23日上午9:30</w:t>
      </w:r>
      <w:r>
        <w:rPr>
          <w:rFonts w:hint="eastAsia" w:ascii="宋体" w:hAnsi="宋体" w:eastAsia="宋体" w:cs="宋体"/>
          <w:color w:val="auto"/>
          <w:sz w:val="24"/>
          <w:szCs w:val="24"/>
        </w:rPr>
        <w:t>之前不准启封”标签密封。</w:t>
      </w:r>
    </w:p>
    <w:p>
      <w:pPr>
        <w:pStyle w:val="15"/>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75"/>
    <w:bookmarkEnd w:id="76"/>
    <w:p>
      <w:pPr>
        <w:widowControl/>
        <w:spacing w:line="360" w:lineRule="auto"/>
        <w:ind w:firstLine="0" w:firstLineChars="0"/>
        <w:jc w:val="left"/>
        <w:outlineLvl w:val="2"/>
        <w:rPr>
          <w:rFonts w:hint="eastAsia" w:ascii="宋体" w:hAnsi="宋体" w:eastAsia="宋体" w:cs="宋体"/>
          <w:b/>
          <w:bCs/>
          <w:color w:val="auto"/>
          <w:sz w:val="24"/>
          <w:szCs w:val="24"/>
        </w:rPr>
      </w:pPr>
      <w:bookmarkStart w:id="84" w:name="_Toc412617732"/>
      <w:bookmarkStart w:id="85" w:name="_Toc325726017"/>
      <w:bookmarkStart w:id="86" w:name="_Toc373392583"/>
      <w:bookmarkStart w:id="87" w:name="_Toc30756"/>
      <w:bookmarkStart w:id="88" w:name="_Toc4009"/>
      <w:bookmarkStart w:id="89" w:name="_Toc24605"/>
      <w:bookmarkStart w:id="90" w:name="_Toc376936749"/>
      <w:bookmarkStart w:id="91" w:name="_Toc371090030"/>
      <w:r>
        <w:rPr>
          <w:rFonts w:hint="eastAsia" w:ascii="宋体" w:hAnsi="宋体" w:eastAsia="宋体" w:cs="宋体"/>
          <w:b/>
          <w:bCs/>
          <w:color w:val="auto"/>
          <w:sz w:val="24"/>
          <w:szCs w:val="24"/>
        </w:rPr>
        <w:t>13.</w:t>
      </w:r>
      <w:bookmarkEnd w:id="84"/>
      <w:bookmarkEnd w:id="85"/>
      <w:bookmarkEnd w:id="86"/>
      <w:bookmarkEnd w:id="87"/>
      <w:bookmarkEnd w:id="88"/>
      <w:r>
        <w:rPr>
          <w:rFonts w:hint="eastAsia" w:ascii="宋体" w:hAnsi="宋体" w:eastAsia="宋体" w:cs="宋体"/>
          <w:b/>
          <w:bCs/>
          <w:color w:val="auto"/>
          <w:sz w:val="24"/>
          <w:szCs w:val="24"/>
        </w:rPr>
        <w:t>提交响应文件截止时间、地点</w:t>
      </w:r>
      <w:bookmarkEnd w:id="89"/>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5"/>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90"/>
      <w:bookmarkEnd w:id="91"/>
      <w:bookmarkStart w:id="92" w:name="_Toc376936750"/>
      <w:bookmarkStart w:id="93" w:name="_Toc325726019"/>
      <w:bookmarkStart w:id="94"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95" w:name="_Toc20516"/>
      <w:bookmarkStart w:id="96" w:name="_Toc5644"/>
      <w:r>
        <w:rPr>
          <w:rFonts w:hint="eastAsia" w:ascii="宋体" w:hAnsi="宋体" w:eastAsia="宋体" w:cs="宋体"/>
          <w:b/>
          <w:bCs/>
          <w:color w:val="auto"/>
          <w:sz w:val="24"/>
          <w:szCs w:val="24"/>
        </w:rPr>
        <w:t>五、</w:t>
      </w:r>
      <w:bookmarkEnd w:id="92"/>
      <w:bookmarkEnd w:id="93"/>
      <w:r>
        <w:rPr>
          <w:rFonts w:hint="eastAsia" w:ascii="宋体" w:hAnsi="宋体" w:eastAsia="宋体" w:cs="宋体"/>
          <w:b/>
          <w:bCs/>
          <w:color w:val="auto"/>
          <w:sz w:val="24"/>
          <w:szCs w:val="24"/>
        </w:rPr>
        <w:t>磋商过程</w:t>
      </w:r>
      <w:bookmarkEnd w:id="94"/>
      <w:bookmarkEnd w:id="95"/>
      <w:bookmarkEnd w:id="96"/>
    </w:p>
    <w:p>
      <w:pPr>
        <w:widowControl/>
        <w:spacing w:line="360" w:lineRule="auto"/>
        <w:ind w:firstLine="0" w:firstLineChars="0"/>
        <w:jc w:val="left"/>
        <w:outlineLvl w:val="2"/>
        <w:rPr>
          <w:rFonts w:hint="eastAsia" w:ascii="宋体" w:hAnsi="宋体" w:eastAsia="宋体" w:cs="宋体"/>
          <w:b/>
          <w:bCs/>
          <w:color w:val="auto"/>
          <w:sz w:val="24"/>
          <w:szCs w:val="24"/>
        </w:rPr>
      </w:pPr>
      <w:bookmarkStart w:id="97" w:name="_Toc376936751"/>
      <w:bookmarkStart w:id="98" w:name="_Toc325726020"/>
      <w:bookmarkStart w:id="99" w:name="_Toc15630"/>
      <w:bookmarkStart w:id="100" w:name="_Toc20313"/>
      <w:bookmarkStart w:id="101" w:name="_Toc26723"/>
      <w:r>
        <w:rPr>
          <w:rFonts w:hint="eastAsia" w:ascii="宋体" w:hAnsi="宋体" w:eastAsia="宋体" w:cs="宋体"/>
          <w:b/>
          <w:bCs/>
          <w:color w:val="auto"/>
          <w:sz w:val="24"/>
          <w:szCs w:val="24"/>
        </w:rPr>
        <w:t>14.</w:t>
      </w:r>
      <w:bookmarkEnd w:id="97"/>
      <w:bookmarkEnd w:id="98"/>
      <w:r>
        <w:rPr>
          <w:rFonts w:hint="eastAsia" w:ascii="宋体" w:hAnsi="宋体" w:eastAsia="宋体" w:cs="宋体"/>
          <w:b/>
          <w:bCs/>
          <w:color w:val="auto"/>
          <w:sz w:val="24"/>
          <w:szCs w:val="24"/>
        </w:rPr>
        <w:t>磋商过程</w:t>
      </w:r>
      <w:bookmarkEnd w:id="99"/>
      <w:bookmarkEnd w:id="100"/>
      <w:bookmarkEnd w:id="10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02" w:name="_Toc17740"/>
      <w:bookmarkStart w:id="103" w:name="_Toc325726021"/>
      <w:bookmarkStart w:id="104" w:name="_Toc376936752"/>
      <w:bookmarkStart w:id="105" w:name="_Toc18107"/>
      <w:bookmarkStart w:id="106" w:name="_Toc19030"/>
      <w:r>
        <w:rPr>
          <w:rFonts w:hint="eastAsia" w:ascii="宋体" w:hAnsi="宋体" w:eastAsia="宋体" w:cs="宋体"/>
          <w:b/>
          <w:bCs/>
          <w:color w:val="auto"/>
          <w:sz w:val="24"/>
          <w:szCs w:val="24"/>
        </w:rPr>
        <w:t>六、磋商程序及方法</w:t>
      </w:r>
      <w:bookmarkEnd w:id="102"/>
      <w:bookmarkEnd w:id="103"/>
      <w:bookmarkEnd w:id="104"/>
      <w:bookmarkEnd w:id="105"/>
      <w:bookmarkEnd w:id="106"/>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7" w:name="_Toc26121"/>
      <w:bookmarkStart w:id="108" w:name="_Toc376936753"/>
      <w:bookmarkStart w:id="109" w:name="_Toc325726022"/>
      <w:bookmarkStart w:id="110" w:name="_Toc9323"/>
      <w:bookmarkStart w:id="111" w:name="_Toc16935"/>
      <w:r>
        <w:rPr>
          <w:rFonts w:hint="eastAsia" w:ascii="宋体" w:hAnsi="宋体" w:eastAsia="宋体" w:cs="宋体"/>
          <w:b/>
          <w:bCs/>
          <w:color w:val="auto"/>
          <w:sz w:val="24"/>
          <w:szCs w:val="24"/>
        </w:rPr>
        <w:t>15.磋商小组</w:t>
      </w:r>
      <w:bookmarkEnd w:id="107"/>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2" w:name="_Toc325726023"/>
      <w:bookmarkStart w:id="113" w:name="_Toc27086"/>
      <w:bookmarkStart w:id="114" w:name="_Toc14694"/>
      <w:bookmarkStart w:id="115" w:name="_Toc376936754"/>
      <w:bookmarkStart w:id="116" w:name="_Toc12570"/>
      <w:r>
        <w:rPr>
          <w:rFonts w:hint="eastAsia" w:ascii="宋体" w:hAnsi="宋体" w:eastAsia="宋体" w:cs="宋体"/>
          <w:b/>
          <w:bCs/>
          <w:color w:val="auto"/>
          <w:sz w:val="24"/>
          <w:szCs w:val="24"/>
        </w:rPr>
        <w:t>16.磋商程序</w:t>
      </w:r>
      <w:bookmarkEnd w:id="112"/>
      <w:bookmarkEnd w:id="113"/>
      <w:bookmarkEnd w:id="114"/>
      <w:bookmarkEnd w:id="115"/>
      <w:bookmarkEnd w:id="116"/>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w:t>
      </w:r>
      <w:r>
        <w:rPr>
          <w:rFonts w:hint="eastAsia" w:ascii="宋体" w:hAnsi="宋体" w:eastAsia="宋体" w:cs="宋体"/>
          <w:color w:val="auto"/>
          <w:sz w:val="24"/>
          <w:szCs w:val="24"/>
          <w:lang w:val="en-US" w:eastAsia="zh-CN"/>
        </w:rPr>
        <w:t>或最高限价</w:t>
      </w:r>
      <w:r>
        <w:rPr>
          <w:rFonts w:hint="eastAsia" w:ascii="宋体" w:hAnsi="宋体" w:eastAsia="宋体" w:cs="宋体"/>
          <w:color w:val="auto"/>
          <w:sz w:val="24"/>
          <w:szCs w:val="24"/>
          <w:lang w:val="zh-CN"/>
        </w:rPr>
        <w:t>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提交报告时间</w:t>
      </w:r>
      <w:r>
        <w:rPr>
          <w:rFonts w:hint="eastAsia" w:ascii="宋体" w:hAnsi="宋体" w:eastAsia="宋体" w:cs="宋体"/>
          <w:color w:val="auto"/>
          <w:sz w:val="24"/>
          <w:szCs w:val="24"/>
        </w:rPr>
        <w:t>、磋商有效期不能满足磋商文件要求的；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7" w:name="_Toc20611"/>
      <w:bookmarkStart w:id="118" w:name="_Toc376936755"/>
      <w:bookmarkStart w:id="119" w:name="_Toc325726024"/>
      <w:bookmarkStart w:id="120" w:name="_Toc1559"/>
      <w:bookmarkStart w:id="121" w:name="_Toc13668"/>
      <w:r>
        <w:rPr>
          <w:rFonts w:hint="eastAsia" w:ascii="宋体" w:hAnsi="宋体" w:eastAsia="宋体" w:cs="宋体"/>
          <w:b/>
          <w:bCs/>
          <w:color w:val="auto"/>
          <w:sz w:val="24"/>
          <w:szCs w:val="24"/>
        </w:rPr>
        <w:t>17.评审办法</w:t>
      </w:r>
      <w:bookmarkEnd w:id="117"/>
      <w:bookmarkEnd w:id="118"/>
      <w:bookmarkEnd w:id="119"/>
      <w:bookmarkEnd w:id="120"/>
      <w:bookmarkEnd w:id="12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5"/>
        <w:tblW w:w="10205" w:type="dxa"/>
        <w:jc w:val="center"/>
        <w:tblLayout w:type="fixed"/>
        <w:tblCellMar>
          <w:top w:w="0" w:type="dxa"/>
          <w:left w:w="20" w:type="dxa"/>
          <w:bottom w:w="0" w:type="dxa"/>
          <w:right w:w="20" w:type="dxa"/>
        </w:tblCellMar>
      </w:tblPr>
      <w:tblGrid>
        <w:gridCol w:w="715"/>
        <w:gridCol w:w="1168"/>
        <w:gridCol w:w="8322"/>
      </w:tblGrid>
      <w:tr>
        <w:tblPrEx>
          <w:tblCellMar>
            <w:top w:w="0" w:type="dxa"/>
            <w:left w:w="20" w:type="dxa"/>
            <w:bottom w:w="0" w:type="dxa"/>
            <w:right w:w="20"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序号</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评审</w:t>
            </w:r>
            <w:r>
              <w:rPr>
                <w:rFonts w:hint="eastAsia" w:ascii="宋体" w:hAnsi="宋体" w:eastAsia="宋体" w:cs="宋体"/>
                <w:b/>
                <w:bCs/>
                <w:color w:val="auto"/>
                <w:sz w:val="24"/>
                <w:szCs w:val="24"/>
              </w:rPr>
              <w:t>因素</w:t>
            </w:r>
          </w:p>
        </w:tc>
        <w:tc>
          <w:tcPr>
            <w:tcW w:w="8322"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评审标准</w:t>
            </w:r>
          </w:p>
        </w:tc>
      </w:tr>
      <w:tr>
        <w:tblPrEx>
          <w:tblCellMar>
            <w:top w:w="0" w:type="dxa"/>
            <w:left w:w="20" w:type="dxa"/>
            <w:bottom w:w="0" w:type="dxa"/>
            <w:right w:w="20"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投标报价(</w:t>
            </w:r>
            <w:r>
              <w:rPr>
                <w:rFonts w:hint="eastAsia" w:eastAsia="宋体" w:cs="宋体"/>
                <w:b/>
                <w:bCs/>
                <w:color w:val="auto"/>
                <w:sz w:val="24"/>
                <w:szCs w:val="24"/>
                <w:lang w:val="en-US" w:eastAsia="zh-CN"/>
              </w:rPr>
              <w:t>30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满足磋商文件要求且最后报价最低的供应商的价格为磋商基准价，其价格分为满分，其他供应商的价格分统一按照下列公式计算：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磋商报价得分=（磋商基准价/最后磋商报价）×</w:t>
            </w:r>
            <w:r>
              <w:rPr>
                <w:rFonts w:hint="eastAsia" w:ascii="宋体" w:hAnsi="宋体" w:eastAsia="宋体" w:cs="宋体"/>
                <w:color w:val="auto"/>
                <w:sz w:val="24"/>
                <w:szCs w:val="24"/>
                <w:lang w:val="en-US" w:eastAsia="zh-CN"/>
              </w:rPr>
              <w:t>30</w:t>
            </w:r>
          </w:p>
          <w:p>
            <w:pPr>
              <w:spacing w:line="240" w:lineRule="auto"/>
              <w:ind w:left="0" w:leftChars="0" w:firstLine="0" w:firstLineChars="0"/>
              <w:jc w:val="left"/>
              <w:rPr>
                <w:rFonts w:hint="eastAsia" w:ascii="宋体" w:hAnsi="宋体" w:eastAsia="宋体" w:cs="宋体"/>
                <w:color w:val="auto"/>
                <w:sz w:val="24"/>
                <w:szCs w:val="24"/>
                <w:lang w:val="en-US" w:eastAsia="zh-CN"/>
              </w:rPr>
            </w:pPr>
            <w:bookmarkStart w:id="122" w:name="_Toc27421"/>
            <w:r>
              <w:rPr>
                <w:rFonts w:hint="eastAsia" w:ascii="宋体" w:hAnsi="宋体" w:eastAsia="宋体" w:cs="宋体"/>
                <w:color w:val="auto"/>
                <w:sz w:val="24"/>
                <w:szCs w:val="24"/>
                <w:lang w:val="en-US" w:eastAsia="zh-CN"/>
              </w:rPr>
              <w:t>注：1.对小微企业、残疾人福利性单位、监狱企业的报价给予10%的扣除，用扣除后的价格计算投标报价得分，须提供《中小企业声明函》、《残疾人福利性单位声明函》、监狱企业证明材料。</w:t>
            </w:r>
          </w:p>
          <w:p>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2.残疾人福利性单位（监狱企业）属于小型、微型企业的，不重复享受政策。</w:t>
            </w:r>
          </w:p>
          <w:p>
            <w:pPr>
              <w:spacing w:line="24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3.本项目采购标的所属行业为：</w:t>
            </w:r>
            <w:bookmarkEnd w:id="122"/>
            <w:r>
              <w:rPr>
                <w:rFonts w:hint="eastAsia" w:ascii="宋体" w:hAnsi="宋体" w:eastAsia="宋体" w:cs="宋体"/>
                <w:color w:val="auto"/>
                <w:sz w:val="24"/>
                <w:szCs w:val="24"/>
                <w:lang w:val="en-US" w:eastAsia="zh-CN"/>
              </w:rPr>
              <w:t>软件和信息技术服务业</w:t>
            </w:r>
            <w:bookmarkStart w:id="233" w:name="_GoBack"/>
            <w:bookmarkEnd w:id="233"/>
          </w:p>
        </w:tc>
      </w:tr>
      <w:tr>
        <w:tblPrEx>
          <w:tblCellMar>
            <w:top w:w="0" w:type="dxa"/>
            <w:left w:w="20" w:type="dxa"/>
            <w:bottom w:w="0" w:type="dxa"/>
            <w:right w:w="20"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技术</w:t>
            </w:r>
            <w:r>
              <w:rPr>
                <w:rFonts w:hint="eastAsia" w:eastAsia="宋体" w:cs="宋体"/>
                <w:b/>
                <w:bCs/>
                <w:color w:val="auto"/>
                <w:sz w:val="24"/>
                <w:szCs w:val="24"/>
                <w:lang w:val="en-US" w:eastAsia="zh-CN"/>
              </w:rPr>
              <w:t>服务</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eastAsia="宋体" w:cs="宋体"/>
                <w:b/>
                <w:bCs/>
                <w:color w:val="auto"/>
                <w:sz w:val="24"/>
                <w:szCs w:val="24"/>
                <w:lang w:val="en-US" w:eastAsia="zh-CN"/>
              </w:rPr>
              <w:t>50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zh-CN"/>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pPr>
              <w:spacing w:line="240" w:lineRule="auto"/>
              <w:ind w:firstLine="0" w:firstLineChar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zh-CN" w:eastAsia="zh-CN"/>
              </w:rPr>
              <w:t>技术</w:t>
            </w:r>
            <w:r>
              <w:rPr>
                <w:rFonts w:hint="eastAsia" w:ascii="宋体" w:hAnsi="宋体" w:eastAsia="宋体" w:cs="宋体"/>
                <w:b/>
                <w:bCs/>
                <w:color w:val="auto"/>
                <w:sz w:val="24"/>
                <w:szCs w:val="24"/>
                <w:lang w:val="en-US" w:eastAsia="zh-CN"/>
              </w:rPr>
              <w:t>服务方案</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en-US" w:eastAsia="zh-CN"/>
              </w:rPr>
              <w:t>50</w:t>
            </w:r>
            <w:r>
              <w:rPr>
                <w:rFonts w:hint="eastAsia" w:ascii="宋体" w:hAnsi="宋体" w:eastAsia="宋体" w:cs="宋体"/>
                <w:b/>
                <w:bCs/>
                <w:color w:val="auto"/>
                <w:sz w:val="24"/>
                <w:szCs w:val="24"/>
                <w:lang w:val="zh-CN" w:eastAsia="zh-CN"/>
              </w:rPr>
              <w:t>分）</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根据所提供产品或服务的技术性能、标准与磋商文件要求的相符性进行评审打分，完全满足或高于要求的得50分；每有一项负偏离扣5分，扣完为止。</w:t>
            </w:r>
          </w:p>
        </w:tc>
      </w:tr>
      <w:tr>
        <w:tblPrEx>
          <w:tblCellMar>
            <w:top w:w="0" w:type="dxa"/>
            <w:left w:w="20" w:type="dxa"/>
            <w:bottom w:w="0" w:type="dxa"/>
            <w:right w:w="20"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eastAsia="zh-CN"/>
              </w:rPr>
            </w:pPr>
            <w:r>
              <w:rPr>
                <w:rFonts w:hint="eastAsia" w:eastAsia="宋体" w:cs="宋体"/>
                <w:b/>
                <w:bCs/>
                <w:color w:val="auto"/>
                <w:sz w:val="24"/>
                <w:szCs w:val="24"/>
                <w:lang w:val="en-US" w:eastAsia="zh-CN"/>
              </w:rPr>
              <w:t>3</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履约能力</w:t>
            </w:r>
            <w:r>
              <w:rPr>
                <w:rFonts w:hint="eastAsia" w:ascii="宋体" w:hAnsi="宋体" w:eastAsia="宋体" w:cs="宋体"/>
                <w:b/>
                <w:bCs/>
                <w:color w:val="auto"/>
                <w:sz w:val="24"/>
                <w:szCs w:val="24"/>
                <w:shd w:val="clear" w:color="auto" w:fill="FFFFFF"/>
              </w:rPr>
              <w:t>(</w:t>
            </w:r>
            <w:r>
              <w:rPr>
                <w:rFonts w:hint="eastAsia" w:eastAsia="宋体" w:cs="宋体"/>
                <w:b/>
                <w:bCs/>
                <w:color w:val="auto"/>
                <w:sz w:val="24"/>
                <w:szCs w:val="24"/>
                <w:shd w:val="clear" w:color="auto" w:fill="FFFFFF"/>
                <w:lang w:val="en-US" w:eastAsia="zh-CN"/>
              </w:rPr>
              <w:t>8</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类似业绩情况（</w:t>
            </w:r>
            <w:r>
              <w:rPr>
                <w:rFonts w:hint="eastAsia" w:eastAsia="宋体" w:cs="宋体"/>
                <w:b/>
                <w:bCs/>
                <w:color w:val="auto"/>
                <w:sz w:val="24"/>
                <w:szCs w:val="24"/>
                <w:lang w:val="en-US" w:eastAsia="zh-CN"/>
              </w:rPr>
              <w:t>6</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提供投标截止日前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类似业绩证明材料</w:t>
            </w:r>
            <w:r>
              <w:rPr>
                <w:rFonts w:hint="eastAsia" w:ascii="宋体" w:hAnsi="宋体" w:eastAsia="宋体" w:cs="宋体"/>
                <w:color w:val="auto"/>
                <w:sz w:val="24"/>
                <w:szCs w:val="24"/>
                <w:lang w:val="en-US" w:eastAsia="zh-CN"/>
              </w:rPr>
              <w:t>（类似业绩是指与采购项目在产品类型、使用功能、合同规模等方面相同或相近的项目），</w:t>
            </w:r>
            <w:r>
              <w:rPr>
                <w:rFonts w:hint="eastAsia" w:ascii="宋体" w:hAnsi="宋体" w:eastAsia="宋体" w:cs="宋体"/>
                <w:color w:val="auto"/>
                <w:sz w:val="24"/>
                <w:szCs w:val="24"/>
              </w:rPr>
              <w:t>需提供包含合同首页、标的及金额所在页、供货合同签字盖章页的扫描（或复印）件，</w:t>
            </w:r>
            <w:r>
              <w:rPr>
                <w:rFonts w:hint="eastAsia" w:ascii="宋体" w:hAnsi="宋体" w:eastAsia="宋体" w:cs="宋体"/>
                <w:b w:val="0"/>
                <w:bCs w:val="0"/>
                <w:color w:val="auto"/>
                <w:sz w:val="24"/>
                <w:szCs w:val="24"/>
              </w:rPr>
              <w:t>每提供1份得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分,满分</w:t>
            </w:r>
            <w:r>
              <w:rPr>
                <w:rFonts w:hint="eastAsia"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分</w:t>
            </w:r>
            <w:r>
              <w:rPr>
                <w:rFonts w:hint="eastAsia" w:ascii="宋体" w:hAnsi="宋体" w:eastAsia="宋体" w:cs="宋体"/>
                <w:color w:val="auto"/>
                <w:sz w:val="24"/>
                <w:szCs w:val="24"/>
              </w:rPr>
              <w:t>；不提供不得分。</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本地化服务能力（</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w:t>
            </w:r>
            <w:r>
              <w:rPr>
                <w:rFonts w:hint="eastAsia" w:ascii="宋体" w:hAnsi="宋体" w:eastAsia="宋体" w:cs="宋体"/>
                <w:b w:val="0"/>
                <w:bCs w:val="0"/>
                <w:color w:val="auto"/>
                <w:sz w:val="24"/>
                <w:szCs w:val="24"/>
              </w:rPr>
              <w:t>在青海地区有服务机构</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合作性服务机构的得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没有不得分。需提供服务机构的营业执照</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委托协议等证明文件。</w:t>
            </w:r>
          </w:p>
        </w:tc>
      </w:tr>
      <w:tr>
        <w:tblPrEx>
          <w:tblCellMar>
            <w:top w:w="0" w:type="dxa"/>
            <w:left w:w="20" w:type="dxa"/>
            <w:bottom w:w="0" w:type="dxa"/>
            <w:right w:w="20"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241" w:firstLineChars="100"/>
              <w:jc w:val="both"/>
              <w:textAlignment w:val="auto"/>
              <w:rPr>
                <w:rFonts w:hint="eastAsia" w:ascii="宋体" w:hAnsi="宋体" w:eastAsia="宋体" w:cs="宋体"/>
                <w:b/>
                <w:bCs/>
                <w:color w:val="auto"/>
                <w:sz w:val="24"/>
                <w:szCs w:val="24"/>
                <w:lang w:eastAsia="zh-CN"/>
              </w:rPr>
            </w:pPr>
            <w:r>
              <w:rPr>
                <w:rFonts w:hint="eastAsia" w:eastAsia="宋体" w:cs="宋体"/>
                <w:b/>
                <w:bCs/>
                <w:color w:val="auto"/>
                <w:sz w:val="24"/>
                <w:szCs w:val="24"/>
                <w:lang w:val="en-US" w:eastAsia="zh-CN"/>
              </w:rPr>
              <w:t>4</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售后服务</w:t>
            </w:r>
            <w:r>
              <w:rPr>
                <w:rFonts w:hint="eastAsia" w:ascii="宋体" w:hAnsi="宋体" w:eastAsia="宋体" w:cs="宋体"/>
                <w:b/>
                <w:bCs/>
                <w:color w:val="auto"/>
                <w:sz w:val="24"/>
                <w:szCs w:val="24"/>
                <w:shd w:val="clear" w:color="auto" w:fill="FFFFFF"/>
              </w:rPr>
              <w:t>(</w:t>
            </w:r>
            <w:r>
              <w:rPr>
                <w:rFonts w:hint="eastAsia" w:eastAsia="宋体" w:cs="宋体"/>
                <w:b/>
                <w:bCs/>
                <w:color w:val="auto"/>
                <w:sz w:val="24"/>
                <w:szCs w:val="24"/>
                <w:lang w:val="en-US" w:eastAsia="zh-CN"/>
              </w:rPr>
              <w:t>12</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pPr>
              <w:pStyle w:val="17"/>
              <w:spacing w:line="24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eastAsia="zh-CN"/>
              </w:rPr>
              <w:t>项目管理及实施方案（</w:t>
            </w:r>
            <w:r>
              <w:rPr>
                <w:rFonts w:hint="eastAsia" w:ascii="宋体" w:hAnsi="宋体" w:eastAsia="宋体" w:cs="宋体"/>
                <w:b/>
                <w:bCs/>
                <w:color w:val="auto"/>
                <w:sz w:val="24"/>
                <w:szCs w:val="24"/>
                <w:lang w:val="en-US" w:eastAsia="zh-CN"/>
              </w:rPr>
              <w:t>5分</w:t>
            </w:r>
            <w:r>
              <w:rPr>
                <w:rFonts w:hint="eastAsia" w:ascii="宋体" w:hAnsi="宋体" w:eastAsia="宋体" w:cs="宋体"/>
                <w:b/>
                <w:bCs/>
                <w:color w:val="auto"/>
                <w:sz w:val="24"/>
                <w:szCs w:val="24"/>
                <w:lang w:val="zh-CN" w:eastAsia="zh-CN"/>
              </w:rPr>
              <w:t>）：</w:t>
            </w:r>
            <w:r>
              <w:rPr>
                <w:rFonts w:hint="eastAsia" w:ascii="宋体" w:hAnsi="宋体" w:eastAsia="宋体" w:cs="宋体"/>
                <w:color w:val="auto"/>
                <w:sz w:val="24"/>
                <w:szCs w:val="24"/>
                <w:lang w:val="en-US" w:eastAsia="zh-CN"/>
              </w:rPr>
              <w:t>设置了项目管理机构，有项目管理措施，且能够结合项目特点制定</w:t>
            </w:r>
            <w:r>
              <w:rPr>
                <w:rFonts w:hint="eastAsia" w:ascii="宋体" w:hAnsi="宋体" w:eastAsia="宋体" w:cs="宋体"/>
                <w:b w:val="0"/>
                <w:bCs w:val="0"/>
                <w:color w:val="auto"/>
                <w:sz w:val="24"/>
                <w:szCs w:val="24"/>
                <w:lang w:val="zh-CN" w:eastAsia="zh-CN"/>
              </w:rPr>
              <w:t>项目管理及实施方案</w:t>
            </w:r>
            <w:r>
              <w:rPr>
                <w:rFonts w:hint="eastAsia" w:ascii="宋体" w:hAnsi="宋体" w:eastAsia="宋体" w:cs="宋体"/>
                <w:color w:val="auto"/>
                <w:sz w:val="24"/>
                <w:szCs w:val="24"/>
                <w:lang w:val="en-US" w:eastAsia="zh-CN"/>
              </w:rPr>
              <w:t>基节、人员管理方案、故障应急方案；</w:t>
            </w:r>
            <w:r>
              <w:rPr>
                <w:rFonts w:hint="eastAsia" w:ascii="宋体" w:hAnsi="宋体" w:eastAsia="宋体" w:cs="宋体"/>
                <w:b w:val="0"/>
                <w:bCs w:val="0"/>
                <w:color w:val="auto"/>
                <w:sz w:val="24"/>
                <w:szCs w:val="24"/>
                <w:lang w:val="zh-CN" w:eastAsia="zh-CN"/>
              </w:rPr>
              <w:t>项目管理及实施方案</w:t>
            </w:r>
            <w:r>
              <w:rPr>
                <w:rFonts w:hint="eastAsia" w:ascii="宋体" w:hAnsi="宋体" w:eastAsia="宋体" w:cs="宋体"/>
                <w:color w:val="auto"/>
                <w:sz w:val="24"/>
                <w:szCs w:val="24"/>
                <w:lang w:val="en-US" w:eastAsia="zh-CN"/>
              </w:rPr>
              <w:t>基节、人员管理方案、故障应急方案科学、具体的并且能够结合项目特点的得5分，</w:t>
            </w:r>
            <w:r>
              <w:rPr>
                <w:rFonts w:hint="eastAsia" w:ascii="宋体" w:hAnsi="宋体" w:eastAsia="宋体" w:cs="宋体"/>
                <w:b w:val="0"/>
                <w:bCs w:val="0"/>
                <w:color w:val="auto"/>
                <w:sz w:val="24"/>
                <w:szCs w:val="24"/>
                <w:lang w:val="zh-CN" w:eastAsia="zh-CN"/>
              </w:rPr>
              <w:t>项目管理及实施方案</w:t>
            </w:r>
            <w:r>
              <w:rPr>
                <w:rFonts w:hint="eastAsia" w:ascii="宋体" w:hAnsi="宋体" w:eastAsia="宋体" w:cs="宋体"/>
                <w:color w:val="auto"/>
                <w:sz w:val="24"/>
                <w:szCs w:val="24"/>
                <w:lang w:val="en-US" w:eastAsia="zh-CN"/>
              </w:rPr>
              <w:t>基节、人员管理方案、故障应急方案科学或具体的或结合项目特点的得3分；否则不得分。</w:t>
            </w:r>
          </w:p>
          <w:p>
            <w:pPr>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（2）服务计划及保证措施（4分）：</w:t>
            </w:r>
            <w:r>
              <w:rPr>
                <w:rFonts w:hint="eastAsia" w:ascii="宋体" w:hAnsi="宋体" w:eastAsia="宋体" w:cs="宋体"/>
                <w:color w:val="auto"/>
                <w:sz w:val="24"/>
                <w:szCs w:val="24"/>
                <w:lang w:val="en-US" w:eastAsia="zh-CN"/>
              </w:rPr>
              <w:t>根据供应商针对本项目提供的总体实施方案综合评比：实施方案能充分体现服务内容、细化服务方案、可操作性强、对服务内容理解深刻、涵盖考试实施方案、运行服务管理细务方案、对服务内容理解良好、涵盖运行服务管理内容的得4分；总体建设方案不能体现服务内容、可操作性差、对服务内容理解一般的得2分；差或未提供的不得分。</w:t>
            </w:r>
          </w:p>
          <w:p>
            <w:pPr>
              <w:pStyle w:val="17"/>
              <w:spacing w:line="240" w:lineRule="auto"/>
              <w:ind w:left="0" w:leftChars="0" w:firstLine="0" w:firstLineChars="0"/>
              <w:jc w:val="both"/>
              <w:rPr>
                <w:rFonts w:hint="eastAsia" w:ascii="宋体" w:hAnsi="宋体" w:eastAsia="宋体" w:cs="宋体"/>
                <w:color w:val="auto"/>
                <w:kern w:val="0"/>
                <w:sz w:val="24"/>
                <w:szCs w:val="24"/>
                <w:lang w:bidi="ar"/>
              </w:rPr>
            </w:pPr>
            <w:r>
              <w:rPr>
                <w:rFonts w:hint="eastAsia" w:ascii="宋体" w:hAnsi="宋体" w:eastAsia="宋体" w:cs="宋体"/>
                <w:b/>
                <w:bCs/>
                <w:color w:val="auto"/>
                <w:sz w:val="24"/>
                <w:szCs w:val="24"/>
                <w:lang w:val="en-US" w:eastAsia="zh-CN"/>
              </w:rPr>
              <w:t>（3）质量控制及保证措施（3分）：</w:t>
            </w:r>
            <w:r>
              <w:rPr>
                <w:rFonts w:hint="eastAsia" w:ascii="宋体" w:hAnsi="宋体" w:eastAsia="宋体" w:cs="宋体"/>
                <w:color w:val="auto"/>
                <w:sz w:val="24"/>
                <w:szCs w:val="24"/>
                <w:lang w:val="en-US" w:eastAsia="zh-CN"/>
              </w:rPr>
              <w:t>控制及措施明确、周密、可行的得3分；控制及措施较明确、可行的得1分；否则不得分。</w:t>
            </w:r>
          </w:p>
        </w:tc>
      </w:tr>
    </w:tbl>
    <w:p>
      <w:pPr>
        <w:spacing w:line="360" w:lineRule="auto"/>
        <w:ind w:firstLine="0" w:firstLineChars="0"/>
        <w:jc w:val="left"/>
        <w:rPr>
          <w:rFonts w:hint="eastAsia" w:ascii="宋体" w:hAnsi="宋体" w:eastAsia="宋体" w:cs="宋体"/>
          <w:color w:val="auto"/>
          <w:sz w:val="24"/>
          <w:szCs w:val="24"/>
        </w:rPr>
      </w:pPr>
    </w:p>
    <w:p>
      <w:pPr>
        <w:pStyle w:val="21"/>
        <w:rPr>
          <w:rFonts w:hint="eastAsia" w:ascii="宋体" w:hAnsi="宋体" w:eastAsia="宋体" w:cs="宋体"/>
          <w:color w:val="auto"/>
        </w:rPr>
      </w:pPr>
    </w:p>
    <w:p>
      <w:pPr>
        <w:wordWrap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23" w:name="_Toc325726025"/>
      <w:bookmarkStart w:id="124" w:name="_Toc376936756"/>
      <w:bookmarkStart w:id="125" w:name="_Toc27249"/>
      <w:bookmarkStart w:id="126" w:name="_Toc6689"/>
      <w:bookmarkStart w:id="127" w:name="_Toc2506"/>
      <w:r>
        <w:rPr>
          <w:rFonts w:hint="eastAsia" w:ascii="宋体" w:hAnsi="宋体" w:eastAsia="宋体" w:cs="宋体"/>
          <w:b/>
          <w:bCs/>
          <w:color w:val="auto"/>
          <w:sz w:val="24"/>
          <w:szCs w:val="24"/>
        </w:rPr>
        <w:t>七、</w:t>
      </w:r>
      <w:bookmarkEnd w:id="123"/>
      <w:bookmarkEnd w:id="124"/>
      <w:r>
        <w:rPr>
          <w:rFonts w:hint="eastAsia" w:ascii="宋体" w:hAnsi="宋体" w:eastAsia="宋体" w:cs="宋体"/>
          <w:b/>
          <w:bCs/>
          <w:color w:val="auto"/>
          <w:sz w:val="24"/>
          <w:szCs w:val="24"/>
        </w:rPr>
        <w:t>确定成交供应商</w:t>
      </w:r>
      <w:bookmarkEnd w:id="125"/>
      <w:bookmarkEnd w:id="126"/>
      <w:bookmarkEnd w:id="127"/>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8" w:name="_Toc325726026"/>
      <w:bookmarkStart w:id="129" w:name="_Toc376936757"/>
      <w:bookmarkStart w:id="130" w:name="_Toc28889"/>
      <w:bookmarkStart w:id="131" w:name="_Toc17038"/>
      <w:bookmarkStart w:id="132" w:name="_Toc22048"/>
      <w:r>
        <w:rPr>
          <w:rFonts w:hint="eastAsia" w:ascii="宋体" w:hAnsi="宋体" w:eastAsia="宋体" w:cs="宋体"/>
          <w:b/>
          <w:bCs/>
          <w:color w:val="auto"/>
          <w:sz w:val="24"/>
          <w:szCs w:val="24"/>
        </w:rPr>
        <w:t>18.推荐并确定成交</w:t>
      </w:r>
      <w:bookmarkEnd w:id="128"/>
      <w:bookmarkEnd w:id="129"/>
      <w:r>
        <w:rPr>
          <w:rFonts w:hint="eastAsia" w:ascii="宋体" w:hAnsi="宋体" w:eastAsia="宋体" w:cs="宋体"/>
          <w:b/>
          <w:bCs/>
          <w:color w:val="auto"/>
          <w:sz w:val="24"/>
          <w:szCs w:val="24"/>
        </w:rPr>
        <w:t>供应商</w:t>
      </w:r>
      <w:bookmarkEnd w:id="130"/>
      <w:bookmarkEnd w:id="131"/>
      <w:bookmarkEnd w:id="132"/>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3" w:name="_Toc376936759"/>
      <w:bookmarkStart w:id="134" w:name="_Toc2346"/>
      <w:bookmarkStart w:id="135" w:name="_Toc16588"/>
      <w:bookmarkStart w:id="136" w:name="_Toc325726028"/>
      <w:bookmarkStart w:id="137" w:name="_Toc2963"/>
      <w:bookmarkStart w:id="138" w:name="_Toc325726027"/>
      <w:r>
        <w:rPr>
          <w:rFonts w:hint="eastAsia" w:ascii="宋体" w:hAnsi="宋体" w:eastAsia="宋体" w:cs="宋体"/>
          <w:b/>
          <w:bCs/>
          <w:color w:val="auto"/>
          <w:sz w:val="24"/>
          <w:szCs w:val="24"/>
        </w:rPr>
        <w:t>19.成交通知</w:t>
      </w:r>
      <w:bookmarkEnd w:id="133"/>
      <w:bookmarkEnd w:id="134"/>
      <w:bookmarkEnd w:id="135"/>
      <w:bookmarkEnd w:id="136"/>
      <w:bookmarkEnd w:id="137"/>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9" w:name="_Toc5556"/>
      <w:bookmarkStart w:id="140" w:name="_Toc20430"/>
      <w:bookmarkStart w:id="141" w:name="_Toc376936758"/>
      <w:bookmarkStart w:id="142" w:name="_Toc18063"/>
      <w:r>
        <w:rPr>
          <w:rFonts w:hint="eastAsia" w:ascii="宋体" w:hAnsi="宋体" w:eastAsia="宋体" w:cs="宋体"/>
          <w:b/>
          <w:bCs/>
          <w:color w:val="auto"/>
          <w:sz w:val="24"/>
          <w:szCs w:val="24"/>
        </w:rPr>
        <w:t>八、授予合同</w:t>
      </w:r>
      <w:bookmarkEnd w:id="138"/>
      <w:bookmarkEnd w:id="139"/>
      <w:bookmarkEnd w:id="140"/>
      <w:bookmarkEnd w:id="141"/>
      <w:bookmarkEnd w:id="14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43" w:name="_Toc27940"/>
      <w:bookmarkStart w:id="144" w:name="_Toc28394"/>
      <w:bookmarkStart w:id="145" w:name="_Toc376936760"/>
      <w:bookmarkStart w:id="146" w:name="_Toc325726029"/>
      <w:bookmarkStart w:id="147" w:name="_Toc921"/>
      <w:r>
        <w:rPr>
          <w:rFonts w:hint="eastAsia" w:ascii="宋体" w:hAnsi="宋体" w:eastAsia="宋体" w:cs="宋体"/>
          <w:b/>
          <w:bCs/>
          <w:color w:val="auto"/>
          <w:sz w:val="24"/>
          <w:szCs w:val="24"/>
        </w:rPr>
        <w:t>20.签订合同</w:t>
      </w:r>
      <w:bookmarkEnd w:id="143"/>
      <w:bookmarkEnd w:id="144"/>
      <w:bookmarkEnd w:id="145"/>
      <w:bookmarkEnd w:id="146"/>
      <w:bookmarkEnd w:id="147"/>
    </w:p>
    <w:p>
      <w:pPr>
        <w:spacing w:line="360" w:lineRule="auto"/>
        <w:ind w:firstLine="0" w:firstLineChars="0"/>
        <w:jc w:val="left"/>
        <w:rPr>
          <w:rFonts w:hint="eastAsia" w:ascii="宋体" w:hAnsi="宋体" w:eastAsia="宋体" w:cs="宋体"/>
          <w:color w:val="auto"/>
          <w:sz w:val="24"/>
          <w:szCs w:val="24"/>
        </w:rPr>
      </w:pPr>
      <w:bookmarkStart w:id="148" w:name="_Toc376936761"/>
      <w:bookmarkStart w:id="149"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lang w:val="zh-CN"/>
        </w:rPr>
        <w:t>2</w:t>
      </w:r>
      <w:r>
        <w:rPr>
          <w:rFonts w:hint="eastAsia" w:ascii="宋体" w:hAnsi="宋体" w:eastAsia="宋体" w:cs="宋体"/>
          <w:color w:val="auto"/>
          <w:sz w:val="24"/>
        </w:rPr>
        <w:t>0</w:t>
      </w:r>
      <w:r>
        <w:rPr>
          <w:rFonts w:hint="eastAsia" w:ascii="宋体" w:hAnsi="宋体" w:eastAsia="宋体" w:cs="宋体"/>
          <w:color w:val="auto"/>
          <w:sz w:val="24"/>
          <w:lang w:val="zh-CN"/>
        </w:rPr>
        <w:t>.2</w:t>
      </w:r>
      <w:r>
        <w:rPr>
          <w:rFonts w:hint="eastAsia" w:ascii="宋体" w:hAnsi="宋体" w:eastAsia="宋体" w:cs="宋体"/>
          <w:b/>
          <w:bCs/>
          <w:color w:val="auto"/>
          <w:sz w:val="24"/>
          <w:lang w:val="zh-CN"/>
        </w:rPr>
        <w:t>签订合同时，成交供应商应当以支票、汇票、本票等非现金形式交纳成交金额</w:t>
      </w:r>
      <w:r>
        <w:rPr>
          <w:rFonts w:hint="eastAsia" w:ascii="宋体" w:hAnsi="宋体" w:eastAsia="宋体" w:cs="宋体"/>
          <w:b/>
          <w:bCs/>
          <w:color w:val="auto"/>
          <w:sz w:val="24"/>
          <w:u w:val="single"/>
          <w:lang w:val="en-US" w:eastAsia="zh-CN"/>
        </w:rPr>
        <w:t>5</w:t>
      </w:r>
      <w:r>
        <w:rPr>
          <w:rFonts w:hint="eastAsia" w:ascii="宋体" w:hAnsi="宋体" w:eastAsia="宋体" w:cs="宋体"/>
          <w:b/>
          <w:bCs/>
          <w:color w:val="auto"/>
          <w:sz w:val="24"/>
          <w:u w:val="single"/>
          <w:lang w:val="zh-CN"/>
        </w:rPr>
        <w:t>%</w:t>
      </w:r>
      <w:r>
        <w:rPr>
          <w:rFonts w:hint="eastAsia" w:ascii="宋体" w:hAnsi="宋体" w:eastAsia="宋体" w:cs="宋体"/>
          <w:b/>
          <w:bCs/>
          <w:color w:val="auto"/>
          <w:sz w:val="24"/>
          <w:lang w:val="zh-CN"/>
        </w:rPr>
        <w:t>的履约保证金到采购人指定的账户。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50" w:name="_Toc896"/>
      <w:bookmarkStart w:id="151" w:name="_Toc20418"/>
      <w:bookmarkStart w:id="152" w:name="_Toc22442"/>
      <w:r>
        <w:rPr>
          <w:rFonts w:hint="eastAsia" w:ascii="宋体" w:hAnsi="宋体" w:eastAsia="宋体" w:cs="宋体"/>
          <w:b/>
          <w:bCs/>
          <w:color w:val="auto"/>
          <w:sz w:val="24"/>
          <w:szCs w:val="24"/>
        </w:rPr>
        <w:t>九、</w:t>
      </w:r>
      <w:bookmarkEnd w:id="148"/>
      <w:bookmarkEnd w:id="149"/>
      <w:r>
        <w:rPr>
          <w:rFonts w:hint="eastAsia" w:ascii="宋体" w:hAnsi="宋体" w:eastAsia="宋体" w:cs="宋体"/>
          <w:b/>
          <w:bCs/>
          <w:color w:val="auto"/>
          <w:sz w:val="24"/>
          <w:szCs w:val="24"/>
        </w:rPr>
        <w:t>磋商活动终止</w:t>
      </w:r>
      <w:bookmarkEnd w:id="150"/>
      <w:bookmarkEnd w:id="151"/>
      <w:bookmarkEnd w:id="15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3" w:name="_Toc11684"/>
      <w:bookmarkStart w:id="154" w:name="_Toc27383"/>
      <w:bookmarkStart w:id="155" w:name="_Toc7098"/>
      <w:bookmarkStart w:id="156" w:name="_Toc325726031"/>
      <w:bookmarkStart w:id="157" w:name="_Toc376936762"/>
      <w:r>
        <w:rPr>
          <w:rFonts w:hint="eastAsia" w:ascii="宋体" w:hAnsi="宋体" w:eastAsia="宋体" w:cs="宋体"/>
          <w:b/>
          <w:bCs/>
          <w:color w:val="auto"/>
          <w:sz w:val="24"/>
          <w:szCs w:val="24"/>
        </w:rPr>
        <w:t>21.终止情形</w:t>
      </w:r>
      <w:bookmarkEnd w:id="153"/>
      <w:bookmarkEnd w:id="154"/>
      <w:bookmarkEnd w:id="15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56"/>
      <w:bookmarkEnd w:id="15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5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59" w:name="_Toc6646"/>
      <w:bookmarkStart w:id="160" w:name="_Toc14169"/>
      <w:bookmarkStart w:id="161" w:name="_Toc27950"/>
      <w:bookmarkStart w:id="162" w:name="_Toc376936763"/>
      <w:r>
        <w:rPr>
          <w:rFonts w:hint="eastAsia" w:ascii="宋体" w:hAnsi="宋体" w:eastAsia="宋体" w:cs="宋体"/>
          <w:b/>
          <w:bCs/>
          <w:color w:val="auto"/>
          <w:sz w:val="24"/>
          <w:szCs w:val="24"/>
        </w:rPr>
        <w:t>十、处罚</w:t>
      </w:r>
      <w:bookmarkEnd w:id="158"/>
      <w:bookmarkEnd w:id="159"/>
      <w:bookmarkEnd w:id="160"/>
      <w:bookmarkEnd w:id="161"/>
      <w:bookmarkEnd w:id="16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63" w:name="_Toc28018"/>
      <w:bookmarkStart w:id="164" w:name="_Toc325726033"/>
      <w:bookmarkStart w:id="165" w:name="_Toc376936764"/>
      <w:bookmarkStart w:id="166" w:name="_Toc17567"/>
      <w:bookmarkStart w:id="167" w:name="_Toc674"/>
      <w:r>
        <w:rPr>
          <w:rFonts w:hint="eastAsia" w:ascii="宋体" w:hAnsi="宋体" w:eastAsia="宋体" w:cs="宋体"/>
          <w:b/>
          <w:bCs/>
          <w:color w:val="auto"/>
          <w:sz w:val="24"/>
          <w:szCs w:val="24"/>
        </w:rPr>
        <w:t>22.处罚情形</w:t>
      </w:r>
      <w:bookmarkEnd w:id="163"/>
      <w:bookmarkEnd w:id="164"/>
      <w:bookmarkEnd w:id="165"/>
      <w:bookmarkEnd w:id="166"/>
      <w:bookmarkEnd w:id="167"/>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68" w:name="_Toc12327"/>
      <w:bookmarkStart w:id="169" w:name="_Toc16406"/>
      <w:bookmarkStart w:id="170" w:name="_Toc325726034"/>
      <w:bookmarkStart w:id="171" w:name="_Toc19538"/>
      <w:bookmarkStart w:id="172" w:name="_Toc376936765"/>
      <w:r>
        <w:rPr>
          <w:rFonts w:hint="eastAsia" w:ascii="宋体" w:hAnsi="宋体" w:eastAsia="宋体" w:cs="宋体"/>
          <w:b/>
          <w:bCs/>
          <w:color w:val="auto"/>
          <w:sz w:val="24"/>
          <w:szCs w:val="24"/>
        </w:rPr>
        <w:t>十一、其他</w:t>
      </w:r>
      <w:bookmarkEnd w:id="168"/>
      <w:bookmarkEnd w:id="169"/>
      <w:bookmarkEnd w:id="170"/>
      <w:bookmarkEnd w:id="171"/>
      <w:bookmarkEnd w:id="172"/>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》、《中华人民共和国政府采购法实施条例》、《政府采购竞争性磋商采购方式管理暂行办法》等法律法规的有关条款执行。</w:t>
      </w:r>
    </w:p>
    <w:p>
      <w:pPr>
        <w:wordWrap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73" w:name="_Toc22379"/>
      <w:r>
        <w:rPr>
          <w:rFonts w:hint="eastAsia" w:ascii="宋体" w:hAnsi="宋体" w:eastAsia="宋体" w:cs="宋体"/>
          <w:b/>
          <w:color w:val="auto"/>
          <w:kern w:val="28"/>
          <w:sz w:val="36"/>
          <w:szCs w:val="20"/>
        </w:rPr>
        <w:t>第四部分  采购项目合同书</w:t>
      </w:r>
      <w:bookmarkEnd w:id="173"/>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采购项目合同书</w:t>
      </w:r>
    </w:p>
    <w:p>
      <w:pPr>
        <w:autoSpaceDE w:val="0"/>
        <w:autoSpaceDN w:val="0"/>
        <w:spacing w:line="360" w:lineRule="auto"/>
        <w:ind w:firstLine="0" w:firstLineChars="0"/>
        <w:jc w:val="center"/>
        <w:rPr>
          <w:rFonts w:hint="eastAsia" w:ascii="宋体" w:hAnsi="宋体" w:eastAsia="宋体" w:cs="宋体"/>
          <w:b/>
          <w:bCs/>
          <w:color w:val="auto"/>
          <w:sz w:val="48"/>
          <w:szCs w:val="48"/>
          <w:lang w:val="zh-CN" w:eastAsia="zh-CN"/>
        </w:rPr>
      </w:pPr>
      <w:r>
        <w:rPr>
          <w:rFonts w:hint="eastAsia" w:ascii="宋体" w:hAnsi="宋体" w:eastAsia="宋体" w:cs="宋体"/>
          <w:b/>
          <w:bCs/>
          <w:color w:val="auto"/>
          <w:sz w:val="48"/>
          <w:szCs w:val="48"/>
          <w:lang w:val="zh-CN" w:eastAsia="zh-CN"/>
        </w:rPr>
        <w:t>（</w:t>
      </w:r>
      <w:r>
        <w:rPr>
          <w:rFonts w:hint="eastAsia" w:ascii="宋体" w:hAnsi="宋体" w:eastAsia="宋体" w:cs="宋体"/>
          <w:b/>
          <w:bCs/>
          <w:color w:val="auto"/>
          <w:sz w:val="48"/>
          <w:szCs w:val="48"/>
          <w:lang w:val="en-US" w:eastAsia="zh-CN"/>
        </w:rPr>
        <w:t>参考版</w:t>
      </w:r>
      <w:r>
        <w:rPr>
          <w:rFonts w:hint="eastAsia" w:ascii="宋体" w:hAnsi="宋体" w:eastAsia="宋体" w:cs="宋体"/>
          <w:b/>
          <w:bCs/>
          <w:color w:val="auto"/>
          <w:sz w:val="48"/>
          <w:szCs w:val="48"/>
          <w:lang w:val="zh-CN" w:eastAsia="zh-CN"/>
        </w:rPr>
        <w:t>）</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autoSpaceDE w:val="0"/>
        <w:autoSpaceDN w:val="0"/>
        <w:spacing w:line="360" w:lineRule="auto"/>
        <w:ind w:firstLine="0" w:firstLineChars="0"/>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DZZB-2022-042</w:t>
      </w:r>
    </w:p>
    <w:p>
      <w:pPr>
        <w:pStyle w:val="31"/>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en-US" w:eastAsia="zh-CN"/>
        </w:rPr>
        <w:t>青海民族大学</w:t>
      </w:r>
      <w:r>
        <w:rPr>
          <w:rFonts w:hint="eastAsia" w:ascii="宋体" w:hAnsi="宋体" w:eastAsia="宋体" w:cs="宋体"/>
          <w:b/>
          <w:bCs/>
          <w:color w:val="auto"/>
          <w:sz w:val="30"/>
          <w:szCs w:val="30"/>
          <w:u w:val="single"/>
          <w:lang w:val="zh-CN" w:eastAsia="zh-CN" w:bidi="ar-SA"/>
        </w:rPr>
        <w:t>在线考试系统服务</w:t>
      </w:r>
      <w:r>
        <w:rPr>
          <w:rFonts w:hint="eastAsia" w:ascii="宋体" w:hAnsi="宋体" w:eastAsia="宋体" w:cs="宋体"/>
          <w:b/>
          <w:bCs/>
          <w:color w:val="auto"/>
          <w:sz w:val="30"/>
          <w:szCs w:val="30"/>
          <w:u w:val="single"/>
          <w:lang w:val="en-US" w:eastAsia="zh-CN" w:bidi="ar-SA"/>
        </w:rPr>
        <w:t>项目</w:t>
      </w:r>
    </w:p>
    <w:p>
      <w:pPr>
        <w:autoSpaceDE w:val="0"/>
        <w:autoSpaceDN w:val="0"/>
        <w:spacing w:line="360" w:lineRule="auto"/>
        <w:ind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DZZB-2022-042</w:t>
      </w:r>
    </w:p>
    <w:p>
      <w:pPr>
        <w:autoSpaceDE w:val="0"/>
        <w:autoSpaceDN w:val="0"/>
        <w:spacing w:line="360" w:lineRule="auto"/>
        <w:ind w:firstLine="0" w:firstLineChars="0"/>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hint="eastAsia" w:ascii="宋体" w:hAnsi="宋体" w:eastAsia="宋体" w:cs="宋体"/>
          <w:b/>
          <w:bCs/>
          <w:color w:val="auto"/>
          <w:sz w:val="30"/>
          <w:szCs w:val="30"/>
          <w:u w:val="single"/>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lang w:val="en-US" w:eastAsia="zh-CN"/>
        </w:rPr>
        <w:t xml:space="preserve">                        </w:t>
      </w:r>
    </w:p>
    <w:p>
      <w:pPr>
        <w:spacing w:line="360" w:lineRule="auto"/>
        <w:ind w:left="0" w:leftChars="0" w:firstLine="0" w:firstLineChars="0"/>
        <w:rPr>
          <w:rFonts w:hint="eastAsia" w:ascii="宋体" w:hAnsi="宋体" w:eastAsia="宋体" w:cs="宋体"/>
          <w:color w:val="auto"/>
          <w:sz w:val="24"/>
          <w:szCs w:val="24"/>
        </w:rPr>
      </w:pPr>
    </w:p>
    <w:p>
      <w:pPr>
        <w:spacing w:line="360" w:lineRule="auto"/>
        <w:ind w:left="0" w:leftChars="0" w:firstLine="0" w:firstLineChars="0"/>
        <w:rPr>
          <w:rFonts w:hint="eastAsia" w:ascii="宋体" w:hAnsi="宋体" w:eastAsia="宋体" w:cs="宋体"/>
          <w:color w:val="auto"/>
          <w:sz w:val="24"/>
          <w:szCs w:val="24"/>
        </w:rPr>
      </w:pPr>
    </w:p>
    <w:p>
      <w:pPr>
        <w:spacing w:line="360" w:lineRule="auto"/>
        <w:ind w:left="0" w:leftChars="0" w:firstLine="0" w:firstLineChars="0"/>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pPr>
        <w:pStyle w:val="31"/>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青海民族大学</w:t>
      </w:r>
      <w:r>
        <w:rPr>
          <w:rFonts w:hint="eastAsia" w:ascii="宋体" w:hAnsi="宋体" w:eastAsia="宋体" w:cs="宋体"/>
          <w:color w:val="auto"/>
          <w:sz w:val="24"/>
          <w:szCs w:val="24"/>
          <w:lang w:val="zh-CN"/>
        </w:rPr>
        <w:t>在线考试系统服务</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zh-CN"/>
        </w:rPr>
        <w:t>”（项目编号：DZZB-2022-042）的磋商文件要求和青海鼎钊招标代理有限公司出具的《成交通知书》，并经双方协商一致，签订本合同协议书。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p>
    <w:p>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.成交通知书</w:t>
      </w:r>
      <w:r>
        <w:rPr>
          <w:rFonts w:hint="eastAsia" w:ascii="宋体" w:hAnsi="宋体" w:eastAsia="宋体" w:cs="宋体"/>
          <w:color w:val="auto"/>
          <w:sz w:val="24"/>
          <w:szCs w:val="24"/>
          <w:lang w:val="en-US" w:eastAsia="zh-CN"/>
        </w:rPr>
        <w:t>；</w:t>
      </w:r>
    </w:p>
    <w:p>
      <w:pPr>
        <w:pStyle w:val="17"/>
        <w:rPr>
          <w:rFonts w:hint="default"/>
          <w:color w:val="auto"/>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kern w:val="0"/>
          <w:sz w:val="24"/>
          <w:szCs w:val="24"/>
          <w:lang w:val="en-US" w:eastAsia="zh-CN" w:bidi="ar"/>
        </w:rPr>
        <w:t>履约保证金缴费凭证。</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b/>
          <w:color w:val="auto"/>
          <w:kern w:val="0"/>
          <w:sz w:val="24"/>
          <w:szCs w:val="24"/>
          <w:lang w:val="en-US" w:eastAsia="zh-CN" w:bidi="ar"/>
        </w:rPr>
        <w:t>二、</w:t>
      </w:r>
      <w:r>
        <w:rPr>
          <w:rFonts w:hint="eastAsia" w:ascii="宋体" w:hAnsi="宋体" w:eastAsia="宋体" w:cs="宋体"/>
          <w:b/>
          <w:bCs/>
          <w:color w:val="auto"/>
          <w:sz w:val="24"/>
          <w:szCs w:val="24"/>
          <w:lang w:val="zh-CN"/>
        </w:rPr>
        <w:t>合同标的及金额</w:t>
      </w:r>
      <w:r>
        <w:rPr>
          <w:rFonts w:hint="eastAsia" w:ascii="宋体" w:hAnsi="宋体" w:eastAsia="宋体" w:cs="宋体"/>
          <w:color w:val="auto"/>
          <w:sz w:val="24"/>
          <w:szCs w:val="24"/>
          <w:lang w:val="zh-CN"/>
        </w:rPr>
        <w:t xml:space="preserve">                                       单位：元</w:t>
      </w:r>
    </w:p>
    <w:tbl>
      <w:tblPr>
        <w:tblStyle w:val="25"/>
        <w:tblW w:w="9000" w:type="dxa"/>
        <w:jc w:val="center"/>
        <w:tblLayout w:type="fixed"/>
        <w:tblCellMar>
          <w:top w:w="0" w:type="dxa"/>
          <w:left w:w="57" w:type="dxa"/>
          <w:bottom w:w="0" w:type="dxa"/>
          <w:right w:w="57" w:type="dxa"/>
        </w:tblCellMar>
      </w:tblPr>
      <w:tblGrid>
        <w:gridCol w:w="1006"/>
        <w:gridCol w:w="2714"/>
        <w:gridCol w:w="1394"/>
        <w:gridCol w:w="1319"/>
        <w:gridCol w:w="1357"/>
        <w:gridCol w:w="1210"/>
      </w:tblGrid>
      <w:tr>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服务期限</w:t>
      </w:r>
      <w:r>
        <w:rPr>
          <w:rFonts w:hint="eastAsia" w:ascii="宋体" w:hAnsi="宋体" w:eastAsia="宋体" w:cs="宋体"/>
          <w:b/>
          <w:bCs/>
          <w:color w:val="auto"/>
          <w:sz w:val="24"/>
          <w:szCs w:val="24"/>
          <w:lang w:val="zh-CN"/>
        </w:rPr>
        <w:t>、地点和要求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服务期限</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乙方提供不符合磋商、响应文件和本合同规定的产品（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lang w:val="en-US" w:eastAsia="zh-CN"/>
        </w:rPr>
        <w:t>所有材料</w:t>
      </w:r>
      <w:r>
        <w:rPr>
          <w:rFonts w:hint="eastAsia" w:ascii="宋体" w:hAnsi="宋体" w:eastAsia="宋体" w:cs="宋体"/>
          <w:color w:val="auto"/>
          <w:sz w:val="24"/>
          <w:szCs w:val="24"/>
          <w:lang w:val="zh-CN"/>
        </w:rPr>
        <w:t>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w:t>
      </w:r>
      <w:r>
        <w:rPr>
          <w:rFonts w:hint="eastAsia" w:ascii="宋体" w:hAnsi="宋体" w:eastAsia="宋体" w:cs="宋体"/>
          <w:color w:val="auto"/>
          <w:sz w:val="24"/>
          <w:szCs w:val="24"/>
          <w:lang w:val="en-US" w:eastAsia="zh-CN"/>
        </w:rPr>
        <w:t>可研报告通过审核后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个工作日内进行验收，逾期不验收的，乙方可视为验收合格。验收合格后，由甲乙双方签署验收单并加盖采购人公章，甲乙双方各执一份。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甲方在验收过程中发现乙方有违约问题，可按磋商、响应文件的规定要求乙方及时予以解决。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val="zh-CN"/>
        </w:rPr>
        <w:t>、付款方式</w:t>
      </w:r>
    </w:p>
    <w:p>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乙方所交付的产品由甲方验收，验收通过后由甲方报同级财政监管部门，按合同金额向乙方支付，即人民币（大写）：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w:t>
      </w:r>
    </w:p>
    <w:p>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乙方向甲方提交的履约保证金为合同金额的5%，计（大写）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元转为质量保证金。质量保证金待约定的服务期满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（年）且产品无质量问题后，由乙方提出书面申请，甲方以转账方式予以退还。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val="zh-CN"/>
        </w:rPr>
        <w:t>、合同的变更、终止与转让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val="zh-CN"/>
        </w:rPr>
        <w:t>、违约责任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lang w:val="zh-CN"/>
        </w:rPr>
        <w:t>、不可抗力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szCs w:val="24"/>
          <w:u w:val="single"/>
          <w:lang w:val="zh-CN"/>
        </w:rPr>
        <w:t>非人为</w:t>
      </w:r>
      <w:r>
        <w:rPr>
          <w:rFonts w:hint="eastAsia" w:ascii="宋体" w:hAnsi="宋体" w:eastAsia="宋体" w:cs="宋体"/>
          <w:color w:val="auto"/>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lang w:val="zh-CN"/>
        </w:rPr>
        <w:t>、知识产权：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pStyle w:val="17"/>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lang w:val="zh-CN"/>
        </w:rPr>
        <w:t>、其他约定：</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rPr>
        <w:t>、合同生效及其它</w:t>
      </w:r>
      <w:r>
        <w:rPr>
          <w:rFonts w:hint="eastAsia" w:ascii="宋体" w:hAnsi="宋体" w:eastAsia="宋体" w:cs="宋体"/>
          <w:b/>
          <w:bCs/>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lang w:val="zh-CN"/>
        </w:rPr>
        <w:t>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地址：</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采购代理机构：青海鼎钊招标代理有限公司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p>
    <w:p>
      <w:pPr>
        <w:wordWrap w:val="0"/>
        <w:spacing w:line="360" w:lineRule="auto"/>
        <w:ind w:firstLine="0" w:firstLineChar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4" w:name="_Toc30805"/>
      <w:r>
        <w:rPr>
          <w:rFonts w:hint="eastAsia" w:ascii="宋体" w:hAnsi="宋体" w:eastAsia="宋体" w:cs="宋体"/>
          <w:b/>
          <w:color w:val="auto"/>
          <w:kern w:val="28"/>
          <w:sz w:val="36"/>
          <w:szCs w:val="20"/>
        </w:rPr>
        <w:t>第五部分  响应文件格式</w:t>
      </w:r>
      <w:bookmarkEnd w:id="174"/>
    </w:p>
    <w:p>
      <w:pPr>
        <w:widowControl/>
        <w:snapToGrid w:val="0"/>
        <w:spacing w:line="360" w:lineRule="auto"/>
        <w:ind w:firstLine="0" w:firstLineChars="0"/>
        <w:outlineLvl w:val="1"/>
        <w:rPr>
          <w:rFonts w:hint="eastAsia" w:ascii="宋体" w:hAnsi="宋体" w:eastAsia="宋体" w:cs="宋体"/>
          <w:b/>
          <w:color w:val="auto"/>
          <w:sz w:val="28"/>
          <w:szCs w:val="28"/>
        </w:rPr>
      </w:pPr>
      <w:bookmarkStart w:id="175" w:name="_Toc7913"/>
      <w:bookmarkStart w:id="176" w:name="_Toc9848"/>
      <w:bookmarkStart w:id="177" w:name="_Toc16431"/>
      <w:r>
        <w:rPr>
          <w:rFonts w:hint="eastAsia" w:ascii="宋体" w:hAnsi="宋体" w:eastAsia="宋体" w:cs="宋体"/>
          <w:b/>
          <w:color w:val="auto"/>
          <w:sz w:val="28"/>
          <w:szCs w:val="28"/>
        </w:rPr>
        <w:t>附件1：响应文件封面</w:t>
      </w:r>
      <w:bookmarkEnd w:id="175"/>
      <w:bookmarkEnd w:id="176"/>
      <w:bookmarkEnd w:id="177"/>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lang w:val="en-US" w:eastAsia="zh-CN"/>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 xml:space="preserve">年   月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 xml:space="preserve">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78" w:name="_Toc17238"/>
      <w:bookmarkStart w:id="179" w:name="_Toc30269"/>
      <w:bookmarkStart w:id="180" w:name="_Toc26342"/>
      <w:r>
        <w:rPr>
          <w:rFonts w:hint="eastAsia" w:ascii="宋体" w:hAnsi="宋体" w:eastAsia="宋体" w:cs="宋体"/>
          <w:b/>
          <w:color w:val="auto"/>
          <w:sz w:val="24"/>
          <w:szCs w:val="24"/>
        </w:rPr>
        <w:t>附件2</w:t>
      </w:r>
      <w:bookmarkStart w:id="181" w:name="_Toc325726037"/>
      <w:bookmarkStart w:id="182" w:name="_Toc376936768"/>
      <w:r>
        <w:rPr>
          <w:rFonts w:hint="eastAsia" w:ascii="宋体" w:hAnsi="宋体" w:eastAsia="宋体" w:cs="宋体"/>
          <w:b/>
          <w:color w:val="auto"/>
          <w:sz w:val="24"/>
          <w:szCs w:val="24"/>
        </w:rPr>
        <w:t>：磋商函</w:t>
      </w:r>
      <w:bookmarkEnd w:id="178"/>
      <w:bookmarkEnd w:id="179"/>
      <w:bookmarkEnd w:id="180"/>
      <w:bookmarkEnd w:id="181"/>
      <w:bookmarkEnd w:id="182"/>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青海鼎钊招标代理有限公司</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b/>
          <w:bCs/>
          <w:color w:val="auto"/>
          <w:sz w:val="24"/>
          <w:szCs w:val="24"/>
          <w:u w:val="single"/>
          <w:lang w:eastAsia="zh-CN"/>
        </w:rPr>
        <w:t>DZZB-2022-042</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2、磋商有效期自磋商开始之日起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内有效</w:t>
      </w:r>
      <w:r>
        <w:rPr>
          <w:rFonts w:hint="eastAsia" w:ascii="宋体" w:hAnsi="宋体" w:eastAsia="宋体" w:cs="宋体"/>
          <w:color w:val="auto"/>
          <w:sz w:val="24"/>
          <w:szCs w:val="24"/>
        </w:rPr>
        <w:t>。如果在规定的磋商时间后，我方在磋商有效期内撤回投标或成交后不签约的，磋商保证金将被贵方没收。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3" w:name="_Toc26950"/>
      <w:bookmarkStart w:id="184" w:name="_Toc5299"/>
      <w:bookmarkStart w:id="185" w:name="_Toc31069"/>
      <w:r>
        <w:rPr>
          <w:rFonts w:hint="eastAsia" w:ascii="宋体" w:hAnsi="宋体" w:eastAsia="宋体" w:cs="宋体"/>
          <w:b/>
          <w:color w:val="auto"/>
          <w:sz w:val="24"/>
          <w:szCs w:val="24"/>
        </w:rPr>
        <w:t>附件3：投标报价一览表</w:t>
      </w:r>
      <w:bookmarkEnd w:id="183"/>
      <w:bookmarkEnd w:id="184"/>
      <w:bookmarkEnd w:id="185"/>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14"/>
        <w:gridCol w:w="6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14" w:type="dxa"/>
            <w:vAlign w:val="center"/>
          </w:tcPr>
          <w:p>
            <w:pPr>
              <w:pStyle w:val="6"/>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363" w:type="dxa"/>
            <w:vAlign w:val="center"/>
          </w:tcPr>
          <w:p>
            <w:pPr>
              <w:pStyle w:val="6"/>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14" w:type="dxa"/>
            <w:vAlign w:val="center"/>
          </w:tcPr>
          <w:p>
            <w:pPr>
              <w:pStyle w:val="6"/>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363" w:type="dxa"/>
            <w:vAlign w:val="center"/>
          </w:tcPr>
          <w:p>
            <w:pPr>
              <w:pStyle w:val="6"/>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14" w:type="dxa"/>
            <w:vAlign w:val="center"/>
          </w:tcPr>
          <w:p>
            <w:pPr>
              <w:pStyle w:val="6"/>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6363" w:type="dxa"/>
            <w:vAlign w:val="center"/>
          </w:tcPr>
          <w:p>
            <w:pPr>
              <w:pStyle w:val="6"/>
              <w:spacing w:line="360" w:lineRule="auto"/>
              <w:ind w:firstLine="0" w:firstLineChars="0"/>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14" w:type="dxa"/>
            <w:vAlign w:val="center"/>
          </w:tcPr>
          <w:p>
            <w:pPr>
              <w:pStyle w:val="6"/>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p>
        </w:tc>
        <w:tc>
          <w:tcPr>
            <w:tcW w:w="6363" w:type="dxa"/>
            <w:vAlign w:val="center"/>
          </w:tcPr>
          <w:p>
            <w:pPr>
              <w:pStyle w:val="6"/>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val="zh-CN"/>
              </w:rPr>
              <w:t>：</w:t>
            </w:r>
          </w:p>
          <w:p>
            <w:pPr>
              <w:pStyle w:val="6"/>
              <w:spacing w:line="360" w:lineRule="auto"/>
              <w:ind w:firstLine="0" w:firstLineChars="0"/>
              <w:rPr>
                <w:rFonts w:hint="eastAsia" w:ascii="宋体" w:hAnsi="宋体" w:eastAsia="宋体" w:cs="宋体"/>
                <w:color w:val="auto"/>
                <w:sz w:val="24"/>
                <w:szCs w:val="24"/>
                <w:lang w:val="zh-CN"/>
              </w:rPr>
            </w:pPr>
          </w:p>
          <w:p>
            <w:pPr>
              <w:pStyle w:val="6"/>
              <w:spacing w:line="360" w:lineRule="auto"/>
              <w:ind w:firstLine="0" w:firstLineChars="0"/>
              <w:rPr>
                <w:rFonts w:hint="eastAsia" w:ascii="宋体" w:hAnsi="宋体" w:eastAsia="宋体" w:cs="宋体"/>
                <w:color w:val="auto"/>
                <w:sz w:val="24"/>
                <w:szCs w:val="24"/>
                <w:lang w:val="zh-CN"/>
              </w:rPr>
            </w:pPr>
          </w:p>
          <w:p>
            <w:pPr>
              <w:pStyle w:val="6"/>
              <w:spacing w:line="360" w:lineRule="auto"/>
              <w:ind w:firstLine="0" w:firstLineChars="0"/>
              <w:rPr>
                <w:rFonts w:hint="eastAsia" w:ascii="宋体" w:hAnsi="宋体" w:eastAsia="宋体" w:cs="宋体"/>
                <w:color w:val="auto"/>
                <w:sz w:val="24"/>
                <w:szCs w:val="24"/>
                <w:lang w:val="zh-CN"/>
              </w:rPr>
            </w:pPr>
          </w:p>
          <w:p>
            <w:pPr>
              <w:pStyle w:val="6"/>
              <w:spacing w:line="360" w:lineRule="auto"/>
              <w:ind w:firstLine="0" w:firstLineChars="0"/>
              <w:rPr>
                <w:rFonts w:hint="eastAsia" w:ascii="宋体" w:hAnsi="宋体" w:eastAsia="宋体" w:cs="宋体"/>
                <w:color w:val="auto"/>
                <w:sz w:val="24"/>
                <w:szCs w:val="24"/>
                <w:lang w:val="zh-CN"/>
              </w:rPr>
            </w:pPr>
          </w:p>
          <w:p>
            <w:pPr>
              <w:pStyle w:val="6"/>
              <w:spacing w:line="360" w:lineRule="auto"/>
              <w:ind w:firstLine="0" w:firstLineChars="0"/>
              <w:rPr>
                <w:rFonts w:hint="eastAsia" w:ascii="宋体" w:hAnsi="宋体" w:eastAsia="宋体" w:cs="宋体"/>
                <w:color w:val="auto"/>
                <w:sz w:val="24"/>
                <w:szCs w:val="24"/>
                <w:lang w:val="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6" w:name="_Toc14675"/>
      <w:bookmarkStart w:id="187" w:name="_Toc3888"/>
      <w:bookmarkStart w:id="188" w:name="_Toc13693"/>
      <w:r>
        <w:rPr>
          <w:rFonts w:hint="eastAsia" w:ascii="宋体" w:hAnsi="宋体" w:eastAsia="宋体" w:cs="宋体"/>
          <w:b/>
          <w:color w:val="auto"/>
          <w:sz w:val="24"/>
          <w:szCs w:val="24"/>
        </w:rPr>
        <w:t>附件</w:t>
      </w:r>
      <w:bookmarkStart w:id="189" w:name="_Toc376936774"/>
      <w:bookmarkStart w:id="190" w:name="_Toc325726043"/>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：法定代表人证明书</w:t>
      </w:r>
      <w:bookmarkEnd w:id="186"/>
      <w:bookmarkEnd w:id="187"/>
      <w:bookmarkEnd w:id="188"/>
      <w:bookmarkEnd w:id="189"/>
      <w:bookmarkEnd w:id="190"/>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lang w:val="en-US" w:eastAsia="zh-CN"/>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p>
    <w:p>
      <w:pPr>
        <w:autoSpaceDE w:val="0"/>
        <w:autoSpaceDN w:val="0"/>
        <w:spacing w:line="360" w:lineRule="auto"/>
        <w:ind w:firstLine="0" w:firstLineChars="0"/>
        <w:jc w:val="lef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lang w:val="en-US" w:eastAsia="zh-CN"/>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1" w:name="_Toc324756736"/>
      <w:bookmarkStart w:id="192" w:name="_Toc201287639"/>
      <w:bookmarkStart w:id="193" w:name="_Toc5242"/>
      <w:bookmarkStart w:id="194" w:name="_Toc31614"/>
      <w:bookmarkStart w:id="195" w:name="_Toc29201"/>
      <w:r>
        <w:rPr>
          <w:rFonts w:hint="eastAsia" w:ascii="宋体" w:hAnsi="宋体" w:eastAsia="宋体" w:cs="宋体"/>
          <w:b/>
          <w:color w:val="auto"/>
          <w:sz w:val="24"/>
          <w:szCs w:val="24"/>
        </w:rPr>
        <w:t>附件</w:t>
      </w:r>
      <w:bookmarkEnd w:id="191"/>
      <w:bookmarkEnd w:id="192"/>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：法定代表人授权书</w:t>
      </w:r>
      <w:bookmarkEnd w:id="193"/>
      <w:bookmarkEnd w:id="194"/>
      <w:bookmarkEnd w:id="19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lang w:val="en-US" w:eastAsia="zh-CN"/>
        </w:rPr>
        <w:t xml:space="preserve">      </w:t>
      </w:r>
    </w:p>
    <w:p>
      <w:pPr>
        <w:spacing w:line="360" w:lineRule="auto"/>
        <w:ind w:firstLine="0" w:firstLineChars="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6" w:name="_Toc30284"/>
      <w:bookmarkStart w:id="197" w:name="_Toc25867"/>
      <w:bookmarkStart w:id="198" w:name="_Toc25884"/>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：供应商承诺函</w:t>
      </w:r>
      <w:bookmarkEnd w:id="196"/>
      <w:bookmarkEnd w:id="197"/>
      <w:bookmarkEnd w:id="198"/>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lang w:val="en-US" w:eastAsia="zh-CN"/>
        </w:rPr>
      </w:pPr>
    </w:p>
    <w:p>
      <w:pPr>
        <w:pStyle w:val="8"/>
        <w:ind w:left="0" w:leftChars="0" w:firstLine="0" w:firstLineChars="0"/>
        <w:rPr>
          <w:rFonts w:hint="eastAsia" w:ascii="宋体" w:hAnsi="宋体" w:eastAsia="宋体" w:cs="宋体"/>
          <w:color w:val="auto"/>
          <w:lang w:val="en-US" w:eastAsia="zh-CN"/>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9" w:name="_Toc11173"/>
      <w:bookmarkStart w:id="200" w:name="_Toc22008"/>
      <w:bookmarkStart w:id="201" w:name="_Toc11349"/>
      <w:r>
        <w:rPr>
          <w:rFonts w:hint="eastAsia" w:ascii="宋体" w:hAnsi="宋体" w:eastAsia="宋体" w:cs="宋体"/>
          <w:b/>
          <w:color w:val="auto"/>
          <w:sz w:val="24"/>
          <w:szCs w:val="24"/>
        </w:rPr>
        <w:t>附件</w:t>
      </w:r>
      <w:bookmarkStart w:id="202" w:name="_Toc376936779"/>
      <w:bookmarkStart w:id="203" w:name="_Toc365019584"/>
      <w:bookmarkStart w:id="204" w:name="_Toc351475542"/>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：供应商诚信承诺书</w:t>
      </w:r>
      <w:bookmarkEnd w:id="199"/>
      <w:bookmarkEnd w:id="200"/>
      <w:bookmarkEnd w:id="201"/>
      <w:bookmarkEnd w:id="202"/>
      <w:bookmarkEnd w:id="203"/>
      <w:bookmarkEnd w:id="20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青海鼎钊招标代理有限公司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5" w:name="_Toc3970"/>
      <w:bookmarkStart w:id="206" w:name="_Toc7486"/>
      <w:bookmarkStart w:id="207" w:name="_Toc25993"/>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：资格证明材料</w:t>
      </w:r>
      <w:bookmarkEnd w:id="205"/>
      <w:bookmarkEnd w:id="206"/>
      <w:bookmarkEnd w:id="207"/>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8" w:name="_Toc24926"/>
      <w:bookmarkStart w:id="209" w:name="_Toc32130"/>
      <w:bookmarkStart w:id="210" w:name="_Toc19128"/>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：财务状况证明</w:t>
      </w:r>
      <w:bookmarkEnd w:id="208"/>
      <w:bookmarkEnd w:id="209"/>
      <w:bookmarkEnd w:id="210"/>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color w:val="auto"/>
          <w:sz w:val="24"/>
          <w:lang w:val="zh-CN" w:eastAsia="zh-CN"/>
        </w:rPr>
      </w:pPr>
      <w:r>
        <w:rPr>
          <w:rFonts w:hint="eastAsia" w:ascii="宋体" w:hAnsi="宋体" w:eastAsia="宋体" w:cs="宋体"/>
          <w:color w:val="auto"/>
          <w:sz w:val="24"/>
          <w:lang w:val="zh-CN"/>
        </w:rPr>
        <w:t>按照磋商文件“第一部分  投标邀请”各包供应商资格要求</w:t>
      </w:r>
      <w:r>
        <w:rPr>
          <w:rFonts w:hint="eastAsia" w:ascii="宋体" w:hAnsi="宋体" w:eastAsia="宋体" w:cs="宋体"/>
          <w:color w:val="auto"/>
          <w:sz w:val="24"/>
          <w:lang w:val="zh-CN" w:eastAsia="zh-CN"/>
        </w:rPr>
        <w:t>1、</w:t>
      </w:r>
      <w:r>
        <w:rPr>
          <w:rFonts w:hint="eastAsia" w:ascii="宋体" w:hAnsi="宋体" w:eastAsia="宋体" w:cs="宋体"/>
          <w:color w:val="auto"/>
          <w:sz w:val="24"/>
          <w:lang w:val="zh-CN"/>
        </w:rPr>
        <w:t>中第（</w:t>
      </w:r>
      <w:r>
        <w:rPr>
          <w:rFonts w:hint="eastAsia" w:ascii="宋体" w:hAnsi="宋体" w:eastAsia="宋体" w:cs="宋体"/>
          <w:color w:val="auto"/>
          <w:sz w:val="24"/>
          <w:lang w:val="zh-CN" w:eastAsia="zh-CN"/>
        </w:rPr>
        <w:t>2</w:t>
      </w:r>
      <w:r>
        <w:rPr>
          <w:rFonts w:hint="eastAsia" w:ascii="宋体" w:hAnsi="宋体" w:eastAsia="宋体" w:cs="宋体"/>
          <w:color w:val="auto"/>
          <w:sz w:val="24"/>
          <w:lang w:val="zh-CN"/>
        </w:rPr>
        <w:t>）条规定提供以下相关材料</w:t>
      </w:r>
      <w:r>
        <w:rPr>
          <w:rFonts w:hint="eastAsia" w:ascii="宋体" w:hAnsi="宋体" w:eastAsia="宋体" w:cs="宋体"/>
          <w:color w:val="auto"/>
          <w:sz w:val="24"/>
          <w:lang w:val="zh-CN" w:eastAsia="zh-CN"/>
        </w:rPr>
        <w:t>：</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是法人的，提供基本开户银行近三个月内出具的资信证明（同时提供基本存款账户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）或20</w:t>
      </w:r>
      <w:r>
        <w:rPr>
          <w:rFonts w:hint="eastAsia" w:ascii="宋体" w:hAnsi="宋体" w:eastAsia="宋体" w:cs="宋体"/>
          <w:color w:val="auto"/>
          <w:sz w:val="24"/>
          <w:lang w:val="en-US" w:eastAsia="zh-CN"/>
        </w:rPr>
        <w:t>21</w:t>
      </w:r>
      <w:r>
        <w:rPr>
          <w:rFonts w:hint="eastAsia" w:ascii="宋体" w:hAnsi="宋体" w:eastAsia="宋体" w:cs="宋体"/>
          <w:color w:val="auto"/>
          <w:sz w:val="24"/>
          <w:lang w:val="zh-CN"/>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是其他组织和自然人，没有经审计的财务报告，可以提供基本开户银行出具的资信证明（同时提供基本存款账户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2、近半年内</w:t>
      </w:r>
      <w:r>
        <w:rPr>
          <w:rFonts w:hint="eastAsia" w:ascii="宋体" w:hAnsi="宋体" w:eastAsia="宋体" w:cs="宋体"/>
          <w:color w:val="auto"/>
          <w:sz w:val="24"/>
          <w:lang w:val="en-US" w:eastAsia="zh-CN"/>
        </w:rPr>
        <w:t>至少1个月的</w:t>
      </w:r>
      <w:r>
        <w:rPr>
          <w:rFonts w:hint="eastAsia" w:ascii="宋体" w:hAnsi="宋体" w:eastAsia="宋体" w:cs="宋体"/>
          <w:color w:val="auto"/>
          <w:sz w:val="24"/>
          <w:lang w:val="zh-CN"/>
        </w:rPr>
        <w:t>依法缴纳税收和社会保障资金记录的证明材料；依法免税或不需要缴纳社会保障资金的投标人须提供相应文件证明其依法免税或不需要缴纳社会保障资金。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1" w:name="_Toc17935"/>
      <w:bookmarkStart w:id="212" w:name="_Toc27149"/>
      <w:bookmarkStart w:id="213" w:name="_Toc2311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：具备履行合同所必须的设备和专业技术能力证明</w:t>
      </w:r>
      <w:bookmarkEnd w:id="211"/>
    </w:p>
    <w:p>
      <w:pPr>
        <w:autoSpaceDE w:val="0"/>
        <w:autoSpaceDN w:val="0"/>
        <w:spacing w:line="360" w:lineRule="auto"/>
        <w:ind w:firstLine="480"/>
        <w:rPr>
          <w:rFonts w:hint="eastAsia" w:ascii="宋体" w:hAnsi="宋体" w:eastAsia="宋体" w:cs="宋体"/>
          <w:color w:val="auto"/>
          <w:sz w:val="24"/>
          <w:szCs w:val="24"/>
          <w:lang w:val="zh-CN"/>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hint="eastAsia" w:ascii="宋体" w:hAnsi="宋体" w:eastAsia="宋体" w:cs="宋体"/>
          <w:b/>
          <w:color w:val="auto"/>
          <w:sz w:val="24"/>
          <w:szCs w:val="24"/>
          <w:lang w:val="zh-CN"/>
        </w:rPr>
      </w:pPr>
    </w:p>
    <w:p>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pPr>
        <w:ind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4" w:name="_Toc18467"/>
      <w:r>
        <w:rPr>
          <w:rFonts w:hint="eastAsia" w:ascii="宋体" w:hAnsi="宋体" w:eastAsia="宋体" w:cs="宋体"/>
          <w:b/>
          <w:color w:val="auto"/>
          <w:sz w:val="24"/>
          <w:szCs w:val="24"/>
        </w:rPr>
        <w:t>附件</w:t>
      </w:r>
      <w:bookmarkStart w:id="215" w:name="_Toc376936781"/>
      <w:bookmarkStart w:id="216" w:name="_Toc325726049"/>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215"/>
      <w:bookmarkEnd w:id="216"/>
      <w:r>
        <w:rPr>
          <w:rFonts w:hint="eastAsia" w:ascii="宋体" w:hAnsi="宋体" w:eastAsia="宋体" w:cs="宋体"/>
          <w:b/>
          <w:color w:val="auto"/>
          <w:sz w:val="24"/>
          <w:szCs w:val="24"/>
        </w:rPr>
        <w:t>无重大违法记录声明</w:t>
      </w:r>
      <w:bookmarkEnd w:id="212"/>
      <w:bookmarkEnd w:id="213"/>
      <w:bookmarkEnd w:id="214"/>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青海鼎钊招标代理有限公司</w:t>
      </w:r>
    </w:p>
    <w:p>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auto"/>
          <w:sz w:val="24"/>
          <w:szCs w:val="24"/>
          <w:shd w:val="clear" w:color="auto" w:fill="FFFFFF"/>
        </w:rPr>
        <w:t>件。我方对此声明负全部法律责任。</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szCs w:val="24"/>
        </w:rPr>
        <w:t>特此声明。</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7" w:name="_Toc24531"/>
      <w:bookmarkStart w:id="218" w:name="_Toc13473"/>
      <w:bookmarkStart w:id="219"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217"/>
      <w:bookmarkEnd w:id="218"/>
      <w:bookmarkEnd w:id="219"/>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银行开具的针对本项目投标的磋商保证金交款证明扫描（或复印）件。</w:t>
      </w:r>
    </w:p>
    <w:p>
      <w:pPr>
        <w:wordWrap w:val="0"/>
        <w:spacing w:line="360" w:lineRule="auto"/>
        <w:ind w:firstLine="0" w:firstLineChars="0"/>
        <w:rPr>
          <w:rFonts w:hint="eastAsia" w:ascii="宋体" w:hAnsi="宋体" w:eastAsia="宋体" w:cs="宋体"/>
          <w:b/>
          <w:color w:val="auto"/>
          <w:sz w:val="24"/>
          <w:szCs w:val="24"/>
        </w:rPr>
      </w:pPr>
      <w:bookmarkStart w:id="220" w:name="_Toc1224"/>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bCs/>
          <w:color w:val="auto"/>
          <w:sz w:val="24"/>
          <w:szCs w:val="24"/>
        </w:rPr>
      </w:pPr>
      <w:bookmarkStart w:id="221" w:name="_Toc19815"/>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220"/>
      <w:bookmarkEnd w:id="221"/>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222" w:name="_Toc408326292"/>
      <w:r>
        <w:rPr>
          <w:rFonts w:hint="eastAsia" w:ascii="宋体" w:hAnsi="宋体" w:eastAsia="宋体" w:cs="宋体"/>
          <w:b/>
          <w:color w:val="auto"/>
          <w:sz w:val="24"/>
          <w:szCs w:val="24"/>
        </w:rPr>
        <w:t>供应商最后报价表</w:t>
      </w:r>
      <w:bookmarkEnd w:id="222"/>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p>
      <w:pPr>
        <w:pStyle w:val="17"/>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w:t>
      </w:r>
    </w:p>
    <w:tbl>
      <w:tblPr>
        <w:tblStyle w:val="2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246"/>
        <w:gridCol w:w="332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w:t>
            </w:r>
            <w:r>
              <w:rPr>
                <w:rFonts w:hint="eastAsia" w:ascii="宋体" w:hAnsi="宋体" w:eastAsia="宋体" w:cs="宋体"/>
                <w:bCs/>
                <w:color w:val="auto"/>
                <w:sz w:val="24"/>
                <w:szCs w:val="24"/>
                <w:lang w:val="en-US" w:eastAsia="zh-CN"/>
              </w:rPr>
              <w:t>报价</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332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报价</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tc>
        <w:tc>
          <w:tcPr>
            <w:tcW w:w="332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lang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br w:type="page"/>
      </w:r>
      <w:bookmarkStart w:id="223" w:name="_Toc4721"/>
      <w:bookmarkStart w:id="224" w:name="_Toc29948"/>
      <w:bookmarkStart w:id="225" w:name="_Toc128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中小企业声明函</w:t>
      </w:r>
      <w:bookmarkEnd w:id="223"/>
      <w:bookmarkEnd w:id="224"/>
      <w:bookmarkEnd w:id="225"/>
    </w:p>
    <w:p>
      <w:pPr>
        <w:keepNext w:val="0"/>
        <w:keepLines w:val="0"/>
        <w:widowControl/>
        <w:suppressLineNumbers w:val="0"/>
        <w:spacing w:line="360" w:lineRule="auto"/>
        <w:ind w:left="0" w:leftChars="0" w:firstLine="0" w:firstLineChars="0"/>
        <w:jc w:val="center"/>
        <w:rPr>
          <w:rFonts w:hint="eastAsia" w:ascii="宋体" w:hAnsi="宋体" w:eastAsia="宋体" w:cs="宋体"/>
          <w:b/>
          <w:i w:val="0"/>
          <w:iCs w:val="0"/>
          <w:color w:val="auto"/>
          <w:kern w:val="0"/>
          <w:sz w:val="24"/>
          <w:szCs w:val="24"/>
          <w:lang w:val="en-US" w:eastAsia="zh-CN" w:bidi="ar"/>
        </w:rPr>
      </w:pPr>
    </w:p>
    <w:p>
      <w:pPr>
        <w:autoSpaceDE w:val="0"/>
        <w:autoSpaceDN w:val="0"/>
        <w:spacing w:line="360" w:lineRule="auto"/>
        <w:jc w:val="center"/>
        <w:rPr>
          <w:rFonts w:hint="eastAsia" w:ascii="宋体" w:hAnsi="宋体" w:eastAsia="宋体" w:cs="宋体"/>
          <w:b/>
          <w:bCs/>
          <w:color w:val="auto"/>
          <w:kern w:val="0"/>
          <w:sz w:val="36"/>
          <w:szCs w:val="36"/>
          <w:lang w:val="zh-CN" w:eastAsia="zh-CN"/>
        </w:rPr>
      </w:pPr>
      <w:r>
        <w:rPr>
          <w:rFonts w:hint="eastAsia" w:ascii="宋体" w:hAnsi="宋体" w:eastAsia="宋体" w:cs="宋体"/>
          <w:b/>
          <w:bCs/>
          <w:color w:val="auto"/>
          <w:kern w:val="0"/>
          <w:sz w:val="28"/>
          <w:szCs w:val="28"/>
          <w:lang w:eastAsia="zh-CN"/>
        </w:rPr>
        <w:t>中小企业声明函</w:t>
      </w:r>
    </w:p>
    <w:p>
      <w:pPr>
        <w:autoSpaceDE w:val="0"/>
        <w:autoSpaceDN w:val="0"/>
        <w:spacing w:line="360" w:lineRule="auto"/>
        <w:ind w:left="0" w:leftChars="0" w:firstLine="0" w:firstLineChars="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致：青海鼎钊招标代理有限公司</w:t>
      </w:r>
    </w:p>
    <w:p>
      <w:pPr>
        <w:keepNext w:val="0"/>
        <w:keepLines w:val="0"/>
        <w:widowControl/>
        <w:suppressLineNumbers w:val="0"/>
        <w:spacing w:line="360" w:lineRule="auto"/>
        <w:ind w:firstLine="480" w:firstLineChars="200"/>
        <w:jc w:val="both"/>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4"/>
          <w:szCs w:val="24"/>
          <w:u w:val="single"/>
          <w:lang w:val="en-US" w:eastAsia="zh-CN" w:bidi="ar"/>
        </w:rPr>
        <w:t>（单位名称）的（项目名称）</w:t>
      </w:r>
      <w:r>
        <w:rPr>
          <w:rFonts w:hint="eastAsia" w:ascii="宋体" w:hAnsi="宋体" w:eastAsia="宋体" w:cs="宋体"/>
          <w:i w:val="0"/>
          <w:iCs w:val="0"/>
          <w:color w:val="auto"/>
          <w:kern w:val="0"/>
          <w:sz w:val="24"/>
          <w:szCs w:val="24"/>
          <w:lang w:val="en-US" w:eastAsia="zh-CN" w:bidi="ar"/>
        </w:rPr>
        <w:t>采购活动，服务全部由符合政策要求的中小企业承接。相关企业的具体情况如下：</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本企业对上述声明内容的真实性负责。如有虚假，将依法承担相应责任。</w:t>
      </w:r>
    </w:p>
    <w:p>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企业名称（盖章）：</w:t>
      </w:r>
    </w:p>
    <w:p>
      <w:pPr>
        <w:keepNext w:val="0"/>
        <w:keepLines w:val="0"/>
        <w:widowControl/>
        <w:suppressLineNumbers w:val="0"/>
        <w:spacing w:line="360" w:lineRule="auto"/>
        <w:jc w:val="center"/>
        <w:rPr>
          <w:rFonts w:hint="eastAsia" w:ascii="宋体" w:hAnsi="宋体" w:eastAsia="宋体" w:cs="宋体"/>
          <w:b/>
          <w:bCs/>
          <w:i w:val="0"/>
          <w:iCs w:val="0"/>
          <w:color w:val="auto"/>
          <w:kern w:val="0"/>
          <w:sz w:val="24"/>
          <w:szCs w:val="24"/>
          <w:lang w:val="en-US" w:eastAsia="zh-CN" w:bidi="ar"/>
        </w:rPr>
      </w:pPr>
      <w:r>
        <w:rPr>
          <w:rFonts w:hint="eastAsia" w:ascii="宋体" w:hAnsi="宋体" w:eastAsia="宋体" w:cs="宋体"/>
          <w:b/>
          <w:bCs/>
          <w:i w:val="0"/>
          <w:iCs w:val="0"/>
          <w:color w:val="auto"/>
          <w:kern w:val="0"/>
          <w:sz w:val="24"/>
          <w:szCs w:val="24"/>
          <w:lang w:val="en-US" w:eastAsia="zh-CN" w:bidi="ar"/>
        </w:rPr>
        <w:t>日 期：</w:t>
      </w:r>
    </w:p>
    <w:p>
      <w:pPr>
        <w:pStyle w:val="24"/>
        <w:rPr>
          <w:rFonts w:hint="eastAsia" w:ascii="宋体" w:hAnsi="宋体" w:eastAsia="宋体" w:cs="宋体"/>
          <w:color w:val="auto"/>
        </w:rPr>
      </w:pPr>
    </w:p>
    <w:p>
      <w:pPr>
        <w:keepNext w:val="0"/>
        <w:keepLines w:val="0"/>
        <w:widowControl/>
        <w:suppressLineNumbers w:val="0"/>
        <w:spacing w:line="360" w:lineRule="auto"/>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注：1、</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从业人员、营业收入、资产总额填报上一年度数据，无上一年度数据的新成立企业可不填报。</w:t>
      </w:r>
    </w:p>
    <w:p>
      <w:pPr>
        <w:pStyle w:val="8"/>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lang w:val="en-US" w:eastAsia="zh-CN" w:bidi="ar"/>
        </w:rPr>
        <w:t xml:space="preserve">    2、</w:t>
      </w:r>
      <w:r>
        <w:rPr>
          <w:rFonts w:hint="eastAsia" w:ascii="宋体" w:hAnsi="宋体" w:eastAsia="宋体" w:cs="宋体"/>
          <w:color w:val="auto"/>
          <w:sz w:val="24"/>
          <w:szCs w:val="24"/>
          <w:lang w:val="en-US" w:eastAsia="zh-CN"/>
        </w:rPr>
        <w:t>成交供应商享受</w:t>
      </w:r>
      <w:r>
        <w:rPr>
          <w:rFonts w:hint="eastAsia" w:ascii="宋体" w:hAnsi="宋体" w:eastAsia="宋体" w:cs="宋体"/>
          <w:i w:val="0"/>
          <w:iCs w:val="0"/>
          <w:color w:val="auto"/>
          <w:kern w:val="0"/>
          <w:sz w:val="24"/>
          <w:szCs w:val="24"/>
          <w:lang w:val="en-US" w:eastAsia="zh-CN" w:bidi="ar"/>
        </w:rPr>
        <w:t>《政府采购促进中小企业发展管理办法》规定的中小企业扶持政策的，采购代理机构应当随成交结果公开成交供应商的《中小企业声明函》。</w:t>
      </w:r>
    </w:p>
    <w:p>
      <w:pPr>
        <w:pStyle w:val="17"/>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lang w:val="en-US" w:eastAsia="zh-CN" w:bidi="ar"/>
        </w:rPr>
        <w:t xml:space="preserve">    3、</w:t>
      </w:r>
      <w:r>
        <w:rPr>
          <w:rFonts w:hint="eastAsia" w:ascii="宋体" w:hAnsi="宋体" w:eastAsia="宋体" w:cs="宋体"/>
          <w:color w:val="auto"/>
          <w:sz w:val="24"/>
          <w:szCs w:val="24"/>
        </w:rPr>
        <w:t>若无此项内容，可不提供此函。</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37"/>
        <w:outlineLvl w:val="1"/>
        <w:rPr>
          <w:rFonts w:hint="eastAsia" w:ascii="宋体" w:hAnsi="宋体" w:eastAsia="宋体" w:cs="宋体"/>
          <w:b/>
          <w:color w:val="auto"/>
          <w:sz w:val="24"/>
          <w:szCs w:val="24"/>
          <w:lang w:val="en-US" w:eastAsia="zh-CN" w:bidi="ar-SA"/>
        </w:rPr>
      </w:pPr>
      <w:bookmarkStart w:id="226" w:name="_Toc16962"/>
      <w:r>
        <w:rPr>
          <w:rFonts w:hint="eastAsia" w:ascii="宋体" w:hAnsi="宋体" w:eastAsia="宋体" w:cs="宋体"/>
          <w:b/>
          <w:color w:val="auto"/>
          <w:sz w:val="24"/>
          <w:szCs w:val="24"/>
          <w:lang w:val="en-US" w:eastAsia="zh-CN" w:bidi="ar-SA"/>
        </w:rPr>
        <w:t>附件15：</w:t>
      </w:r>
      <w:r>
        <w:rPr>
          <w:rFonts w:hint="eastAsia" w:ascii="宋体" w:hAnsi="宋体" w:eastAsia="宋体" w:cs="宋体"/>
          <w:b/>
          <w:color w:val="auto"/>
          <w:sz w:val="24"/>
          <w:szCs w:val="24"/>
          <w:lang w:val="zh-CN" w:eastAsia="zh-CN" w:bidi="ar-SA"/>
        </w:rPr>
        <w:t>残疾人</w:t>
      </w:r>
      <w:r>
        <w:rPr>
          <w:rFonts w:hint="eastAsia" w:ascii="宋体" w:hAnsi="宋体" w:eastAsia="宋体" w:cs="宋体"/>
          <w:b/>
          <w:color w:val="auto"/>
          <w:sz w:val="24"/>
          <w:szCs w:val="24"/>
          <w:lang w:val="en-US" w:eastAsia="zh-CN" w:bidi="ar-SA"/>
        </w:rPr>
        <w:t>福利性单位声明函</w:t>
      </w:r>
      <w:bookmarkEnd w:id="226"/>
    </w:p>
    <w:p>
      <w:pPr>
        <w:pStyle w:val="37"/>
        <w:rPr>
          <w:rFonts w:hint="eastAsia" w:ascii="宋体" w:hAnsi="宋体" w:eastAsia="宋体" w:cs="宋体"/>
          <w:b/>
          <w:color w:val="auto"/>
          <w:sz w:val="24"/>
          <w:szCs w:val="24"/>
          <w:lang w:val="en-US" w:eastAsia="zh-CN" w:bidi="ar-SA"/>
        </w:rPr>
      </w:pPr>
    </w:p>
    <w:p>
      <w:pPr>
        <w:autoSpaceDE w:val="0"/>
        <w:autoSpaceDN w:val="0"/>
        <w:spacing w:line="360" w:lineRule="auto"/>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残疾人福利性单位声明函</w:t>
      </w:r>
    </w:p>
    <w:p>
      <w:pPr>
        <w:spacing w:after="120" w:afterLines="50" w:line="360" w:lineRule="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kern w:val="0"/>
          <w:sz w:val="24"/>
          <w:szCs w:val="24"/>
          <w:lang w:val="zh-CN"/>
        </w:rPr>
        <w:t>青海鼎钊招标代理有限公司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 w:val="24"/>
          <w:szCs w:val="24"/>
        </w:rPr>
        <w:t>注：若无此项内容，可不提供此函</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 xml:space="preserve">                              企业名称：</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（公章）</w:t>
      </w:r>
    </w:p>
    <w:p>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rPr>
          <w:rFonts w:hint="eastAsia" w:ascii="宋体" w:hAnsi="宋体" w:eastAsia="宋体" w:cs="宋体"/>
          <w:b/>
          <w:color w:val="auto"/>
        </w:rPr>
      </w:pPr>
      <w:r>
        <w:rPr>
          <w:rFonts w:hint="eastAsia" w:ascii="宋体" w:hAnsi="宋体" w:eastAsia="宋体" w:cs="宋体"/>
          <w:b/>
          <w:color w:val="auto"/>
        </w:rPr>
        <w:t xml:space="preserve">       企业法定代表人：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（签字或盖章）</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rPr>
      </w:pPr>
      <w:r>
        <w:rPr>
          <w:rFonts w:hint="eastAsia" w:ascii="宋体" w:hAnsi="宋体" w:eastAsia="宋体" w:cs="宋体"/>
          <w:b/>
          <w:color w:val="auto"/>
        </w:rPr>
        <w:t xml:space="preserve">              年   月   日</w:t>
      </w:r>
    </w:p>
    <w:p>
      <w:pPr>
        <w:ind w:left="0" w:leftChars="0"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color w:val="auto"/>
          <w:lang w:val="zh-CN"/>
        </w:rPr>
        <w:br w:type="page"/>
      </w:r>
      <w:bookmarkStart w:id="227" w:name="_Toc24688"/>
      <w:r>
        <w:rPr>
          <w:rFonts w:hint="eastAsia" w:ascii="宋体" w:hAnsi="宋体" w:eastAsia="宋体" w:cs="宋体"/>
          <w:b/>
          <w:color w:val="auto"/>
          <w:sz w:val="24"/>
          <w:szCs w:val="24"/>
          <w:lang w:val="en-US" w:eastAsia="zh-CN" w:bidi="ar-SA"/>
        </w:rPr>
        <w:t>附件16：监狱企业证明材料</w:t>
      </w:r>
      <w:bookmarkEnd w:id="227"/>
    </w:p>
    <w:p>
      <w:pPr>
        <w:rPr>
          <w:rFonts w:hint="eastAsia" w:ascii="宋体" w:hAnsi="宋体" w:eastAsia="宋体" w:cs="宋体"/>
          <w:color w:val="auto"/>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w:t>
      </w:r>
    </w:p>
    <w:p>
      <w:pPr>
        <w:ind w:left="0" w:leftChars="0" w:firstLine="0" w:firstLineChars="0"/>
        <w:rPr>
          <w:rFonts w:hint="eastAsia" w:ascii="宋体" w:hAnsi="宋体" w:eastAsia="宋体" w:cs="宋体"/>
          <w:color w:val="auto"/>
          <w:lang w:val="en-US" w:eastAsia="zh-CN"/>
        </w:rPr>
      </w:pPr>
      <w:r>
        <w:rPr>
          <w:rFonts w:hint="eastAsia" w:ascii="宋体" w:hAnsi="宋体" w:eastAsia="宋体" w:cs="宋体"/>
          <w:b/>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rPr>
      </w:pPr>
      <w:bookmarkStart w:id="228" w:name="_Toc15800"/>
      <w:r>
        <w:rPr>
          <w:rFonts w:hint="eastAsia" w:ascii="宋体" w:hAnsi="宋体" w:eastAsia="宋体" w:cs="宋体"/>
          <w:b/>
          <w:color w:val="auto"/>
          <w:kern w:val="28"/>
          <w:sz w:val="36"/>
          <w:szCs w:val="20"/>
        </w:rPr>
        <w:t xml:space="preserve">第六部分  </w:t>
      </w:r>
      <w:r>
        <w:rPr>
          <w:rFonts w:hint="eastAsia" w:ascii="宋体" w:hAnsi="宋体" w:eastAsia="宋体" w:cs="宋体"/>
          <w:b/>
          <w:color w:val="auto"/>
          <w:kern w:val="28"/>
          <w:sz w:val="36"/>
          <w:szCs w:val="20"/>
          <w:lang w:eastAsia="zh-CN"/>
        </w:rPr>
        <w:t>采购项目要求</w:t>
      </w:r>
      <w:bookmarkEnd w:id="228"/>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一、投标要求：</w:t>
      </w:r>
    </w:p>
    <w:p>
      <w:pPr>
        <w:pStyle w:val="23"/>
        <w:keepNext w:val="0"/>
        <w:keepLines w:val="0"/>
        <w:pageBreakBefore w:val="0"/>
        <w:widowControl w:val="0"/>
        <w:kinsoku/>
        <w:wordWrap/>
        <w:overflowPunct/>
        <w:topLinePunct w:val="0"/>
        <w:bidi w:val="0"/>
        <w:adjustRightInd/>
        <w:snapToGrid/>
        <w:spacing w:before="0" w:after="0" w:line="360" w:lineRule="auto"/>
        <w:ind w:left="0" w:leftChars="0" w:firstLine="0" w:firstLineChars="0"/>
        <w:jc w:val="left"/>
        <w:textAlignment w:val="auto"/>
        <w:rPr>
          <w:rFonts w:hint="eastAsia" w:ascii="宋体" w:hAnsi="宋体" w:eastAsia="宋体" w:cs="宋体"/>
          <w:color w:val="auto"/>
          <w:sz w:val="24"/>
          <w:szCs w:val="24"/>
          <w:lang w:val="zh-CN"/>
        </w:rPr>
      </w:pPr>
      <w:bookmarkStart w:id="229" w:name="_Toc4635"/>
      <w:bookmarkStart w:id="230" w:name="_Toc15074"/>
      <w:r>
        <w:rPr>
          <w:rFonts w:hint="eastAsia" w:ascii="宋体" w:hAnsi="宋体" w:eastAsia="宋体" w:cs="宋体"/>
          <w:color w:val="auto"/>
          <w:sz w:val="24"/>
          <w:szCs w:val="24"/>
          <w:lang w:val="zh-CN"/>
        </w:rPr>
        <w:t>1.投标说明</w:t>
      </w:r>
      <w:bookmarkEnd w:id="229"/>
      <w:bookmarkEnd w:id="230"/>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供应商必须对</w:t>
      </w:r>
      <w:r>
        <w:rPr>
          <w:rFonts w:hint="eastAsia" w:ascii="宋体" w:hAnsi="宋体" w:eastAsia="宋体" w:cs="宋体"/>
          <w:color w:val="auto"/>
          <w:sz w:val="24"/>
          <w:szCs w:val="24"/>
          <w:lang w:val="en-US" w:eastAsia="zh-CN"/>
        </w:rPr>
        <w:t>本文件</w:t>
      </w:r>
      <w:r>
        <w:rPr>
          <w:rFonts w:hint="eastAsia" w:ascii="宋体" w:hAnsi="宋体" w:eastAsia="宋体" w:cs="宋体"/>
          <w:color w:val="auto"/>
          <w:sz w:val="24"/>
          <w:szCs w:val="24"/>
          <w:lang w:val="zh-CN"/>
        </w:rPr>
        <w:t>中的所有内容作为一个整体进行投标，不能拆分或少报。否则，投标无效。</w:t>
      </w:r>
    </w:p>
    <w:p>
      <w:pPr>
        <w:pStyle w:val="23"/>
        <w:keepNext w:val="0"/>
        <w:keepLines w:val="0"/>
        <w:pageBreakBefore w:val="0"/>
        <w:widowControl w:val="0"/>
        <w:kinsoku/>
        <w:wordWrap/>
        <w:overflowPunct/>
        <w:topLinePunct w:val="0"/>
        <w:bidi w:val="0"/>
        <w:adjustRightInd/>
        <w:snapToGrid/>
        <w:spacing w:before="0" w:after="0" w:line="360" w:lineRule="auto"/>
        <w:ind w:left="0" w:leftChars="0" w:firstLine="0" w:firstLineChars="0"/>
        <w:jc w:val="left"/>
        <w:textAlignment w:val="auto"/>
        <w:rPr>
          <w:rFonts w:hint="eastAsia" w:ascii="宋体" w:hAnsi="宋体" w:eastAsia="宋体" w:cs="宋体"/>
          <w:color w:val="auto"/>
          <w:sz w:val="24"/>
          <w:szCs w:val="24"/>
        </w:rPr>
      </w:pPr>
      <w:bookmarkStart w:id="231" w:name="_Toc21805"/>
      <w:bookmarkStart w:id="232" w:name="_Toc17561"/>
      <w:r>
        <w:rPr>
          <w:rFonts w:hint="eastAsia" w:ascii="宋体" w:hAnsi="宋体" w:eastAsia="宋体" w:cs="宋体"/>
          <w:color w:val="auto"/>
          <w:sz w:val="24"/>
          <w:szCs w:val="24"/>
        </w:rPr>
        <w:t>2.报价说明</w:t>
      </w:r>
      <w:bookmarkEnd w:id="231"/>
      <w:bookmarkEnd w:id="232"/>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本次磋商文件中规定的采购预算额度为最高限价，供应商的投标报价不得超出此额度。否则，投标无效。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投标报价为投标总价。投标报价应包括：产品费、验收费、手续费、包装费、运输费、保险费、安装费、调试费、培训费、售前、售中、售后服务费、中标服务费及不可预见费等全部费用。</w:t>
      </w:r>
    </w:p>
    <w:p>
      <w:pPr>
        <w:pStyle w:val="17"/>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二、采购内容：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35"/>
        <w:gridCol w:w="5193"/>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1335" w:type="dxa"/>
          </w:tcPr>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服务名称</w:t>
            </w:r>
          </w:p>
        </w:tc>
        <w:tc>
          <w:tcPr>
            <w:tcW w:w="5193" w:type="dxa"/>
          </w:tcPr>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采购技术需求</w:t>
            </w:r>
          </w:p>
        </w:tc>
        <w:tc>
          <w:tcPr>
            <w:tcW w:w="1157" w:type="dxa"/>
          </w:tcPr>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335"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在线考试服务</w:t>
            </w:r>
          </w:p>
        </w:tc>
        <w:tc>
          <w:tcPr>
            <w:tcW w:w="5193" w:type="dxa"/>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一</w:t>
            </w:r>
            <w:r>
              <w:rPr>
                <w:rFonts w:hint="eastAsia" w:ascii="宋体" w:hAnsi="宋体" w:eastAsia="宋体" w:cs="宋体"/>
                <w:color w:val="auto"/>
                <w:sz w:val="24"/>
                <w:szCs w:val="24"/>
                <w:vertAlign w:val="baseline"/>
              </w:rPr>
              <w:t>、基本需求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考试系统是应用计算机技术、多媒体技术、网络通信技术、数字技术、生物识别技术等现代信息技术手段构建的一种新型考试模式。平台应满足以下基本要求：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1.需支持基础数据管理、题库建设、自动组卷、试卷发放、在线监考、自动阅卷、数据分析等完整的考试流程，实现信息技术与在线考试的深度融合。</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rPr>
              <w:t>2.考试系统需实现与网络教学平台无缝对接，使教学与考试紧密结合，对接数据至少应包括师生账号数据、课程选课数据、题库、试卷库、考试成绩等。并可实现一键调取网络课程题库、发布考试时关联网络课程中学生数据等</w:t>
            </w:r>
            <w:r>
              <w:rPr>
                <w:rFonts w:hint="eastAsia" w:ascii="宋体" w:hAnsi="宋体" w:eastAsia="宋体" w:cs="宋体"/>
                <w:color w:val="auto"/>
                <w:sz w:val="24"/>
                <w:szCs w:val="24"/>
                <w:vertAlign w:val="baseline"/>
                <w:lang w:eastAsia="zh-CN"/>
              </w:rPr>
              <w:t>。</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3.系统应支持多种题型，以满足不同科目考试需求，题型至少涵盖单选、多选、填空、判断、简答、名词解析、论述、计算、分录、连线、排序、完形填空、阅读理解、口语、听力、共用选项等常见题型。</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4.系统需具有完善的考试过程监管及防作弊机制，包含活体人脸识别，双机位监考、切屏监控，屏幕异常识别，IP记录，乱序设置等。</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5.系统设计满足大规模用户使用、支持分布式部署，应满足万人在线考试的性能要求。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6.采用B/S结构，基于J2EE架构，页面采用Web2.0 AJAX开发，不需要另行安装插件就可以支持IE9及以上版本、safari、Firefox、chrome等浏览器。</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7.具有先进性、可移植性、开放性和兼容性，支持标准化多媒体课件。支持随用户使用量的增大而只需增加相应的硬件即可。</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8.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9.不限注册题库数量和注册用户数，建设的题库、试卷库支持导入、导出进行备份。</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10.系统需具有视频、文档格式自动转换、码流自动转换的功能， 以适应不同的访问终端（Android，iOS）；所有文档资源自动转码成h5格式播放，视频类资源系统自动转码为mp4、flv等多种格式。</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11.角色管理：可建立学生、教师、管理员、超级管理员等角色，各级管理员也可以根据自身的需求创建角色和为角色指定权限。</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12.权限管理：可为每个导航功能点分配访问、管理等不同的权限，管理员可以批量给用户分配、收回权限，具有权限整体移交功能。</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13.提供专门的机房考试客户端，通过考试客户端实现学生集中考试，防止学生作弊。</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二</w:t>
            </w:r>
            <w:r>
              <w:rPr>
                <w:rFonts w:hint="eastAsia" w:ascii="宋体" w:hAnsi="宋体" w:eastAsia="宋体" w:cs="宋体"/>
                <w:color w:val="auto"/>
                <w:sz w:val="24"/>
                <w:szCs w:val="24"/>
                <w:vertAlign w:val="baseline"/>
              </w:rPr>
              <w:t>、功能技术要求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1.系统管理</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.系统配置：系统采用模块化设计，超级管理员可以对系统各个功能模块进行增加，删除或者修改操作。</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角色权限管理：支持对用户、用户权限进行管理，对用户信息进行添加、编辑、删除、重置密码、修改密码、批量导入导出等，支持对用户的权限设置，操作权限可以具体到“添加”、“删除”等按钮的权限授予。</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.基础数据可实现与教务系统、网络教学平台等相关业务系统进行数据对接，教学平台的用户数据可以一键同步，也可以由管理员进行手动导入及维护。</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.操作日志：系统提供详细的操作日志，便于操作记录查询，可详细记录用户账号、用户姓名、操作时间、操作ip、操作详细描述，并支持时间和用户筛选。</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2.用户管理</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.教师管理：支持批量导入教师和手动录入教师，教师数据也可直接从网络教学平台同步，支持对教师账号进行编辑修改、删除、重置密码等操作。</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.学生管理：支持批量导入学生和手动录入学生，支持编辑修改、删除学生，对学生重置密码、修改密码、密码错误解冻等操作。</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.管理员管理：支持添加多位管理员共同管理系统，可自定义管理员角色并为不同的管理员角色赋予不同的权限，包括功能模块权限和数据范围权限。</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3.考务管理</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.考务基础数据管理：系统需支持考试学期、考区、教室、教务课程、选课数据等考务基础数据的增删改查管理，可以为考务排考提供基础数据支撑。</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排考管理：系统需支持按考试批次、场次进行考务安排管理，包括对各学期的期末考试、补考、重修考试等进行统一的考试时间、考试地点、监考教师等排考安排，并且需支持但不限于正考、补考、重修等批次类型，需支持设置可约考的考试批次，允许学生可自主约考报名。</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.约考管理：系统支持查看已约考报名的考生并支持取消考生约考状态，也支持查看未约考的考生，并对考生发放督促通知。</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排考结果数据管理：系统支持根据考务排考安排生成排考结果信息，或者一键导入所有考试的排考结果信息，排考信息需支持包括课程名称、课程编号、学年学期、学号、姓名、考试批次、考试场次、课程教师工号、监考教师工号、批阅教师工号、考试开始时间、考试结束时间、考试地点等信息，支持导入排考数据带监考分组信息，以支持批量对监考分组。</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.未发布考试管理：系统支持根据排考结果数据生成对应的未发布考试，对未发布的考试可以直接选择试卷进行发布，支持批量添加试卷、批量发布考试；对已经发布的考试可以管理考生、监考教师和阅卷教师。</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4.题库管理</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.题库分类：题库支持自定义多级分类管理，对分类支持增加、删除、修改操作，建设好的题库可以调整所属分类。</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.建设任务指派：管理者对每个题库可以指派多名建设教师，并对每位教师可以设置编辑、管理题目、组卷、删除等不同的操作权限。</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.题库加密：为保障系统题库安全，题库建设者可为自己所负责的的题库设置安全口令，只有输入安全口令才能进入题库，避免因题库泄露导致考试事故的发生。</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.题型支持：至少应支持单选、多选、填空、判断、简答、名词解析、论述、计算、分录、连线、排序、完形填空、阅读理解、口语、听力、共用选项等常见题型，并支持题型自定义。</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.创建题库时支持用户勾选题库试卷所属学期，用户可以在题库管理编辑单个题库学期信息，并支持筛选功能。</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6</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.支持题库关联教务课程编号，和学校教务课程信息相关联。</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7</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.试题设置：对试题的相关属性进行设置，如难度等级、所属知识点等情况进行设置和分类检索。</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8</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.试题导入：教师建设题库时除可以手动录入外应支持模板导入功能，模板至少提供常用的word和excel两种格式。</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9</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.智能识别：题库建设时可直接从文档中智能识别题目并录入题库，识别有误时智能提醒，调整后再次录入。对每种不同的题型会自动识别出来并归类，如：选择题、简答题、多选题、填空题、判断题等。</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需要现场演示，演示项1）</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.分文件夹管理：每个题库支持按文件夹形式对题库中的试题进行分类管理，每个分类里面可以放入不同难度、知识点的题目，有效的做到试题的归类整理。</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.建设好的题支持移动、复制、再次编辑、删除等操作。</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.题库提供回收站，误删题之后可以从回收站恢复。</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.题库中的所有题支持一键导出。</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.题库引用：题库建设时，可以直接从</w:t>
            </w:r>
            <w:r>
              <w:rPr>
                <w:rFonts w:hint="eastAsia" w:ascii="宋体" w:hAnsi="宋体" w:eastAsia="宋体" w:cs="宋体"/>
                <w:color w:val="auto"/>
                <w:sz w:val="24"/>
                <w:szCs w:val="24"/>
                <w:vertAlign w:val="baseline"/>
                <w:lang w:val="en-US" w:eastAsia="zh-CN"/>
              </w:rPr>
              <w:t>学校</w:t>
            </w:r>
            <w:r>
              <w:rPr>
                <w:rFonts w:hint="eastAsia" w:ascii="宋体" w:hAnsi="宋体" w:eastAsia="宋体" w:cs="宋体"/>
                <w:color w:val="auto"/>
                <w:sz w:val="24"/>
                <w:szCs w:val="24"/>
                <w:vertAlign w:val="baseline"/>
              </w:rPr>
              <w:t>网络教学平台建设的网络课程中的题库板块中引用试题。</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此项需提供现场演示，演示项2）</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.题库审核：支持开启题库审核并自定义设置题库审批流程，审核通过之后题库才可使用。</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16</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公共题库：共3000余套题库，70余万道试题，覆盖本科12个大类，专科19个大类，170多个子类，涵盖多种题型、不同难度。题库涉及本科大类：哲学、法学、历史学、经济学、艺术学、医学类、教育学、农学类、管理学类、工学类、理学类、文学类。题库涉及专科大类：财经商贸大类、水利大类、轻工纺织大类、装备制造大类、医药卫生大类、食品药品与粮食大类、土木建筑大类、农林牧渔大类、资源环境与安全大类、教育与体育大类、交通运输大类、能源与材料大类、公安与司法大类、电子信息大类、公共管理大类、旅游大类、生物化工大类、文化艺术大类、新闻传播大类。</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此项需提供现场演示，演示项3）</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17</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.教学资源库：支持教师创建题目时在教学资源库内进行相关课程题库搜索并支持一键调用。</w:t>
            </w:r>
            <w:r>
              <w:rPr>
                <w:rFonts w:hint="eastAsia" w:ascii="宋体" w:hAnsi="宋体" w:eastAsia="宋体" w:cs="宋体"/>
                <w:color w:val="auto"/>
                <w:sz w:val="24"/>
                <w:szCs w:val="24"/>
                <w:vertAlign w:val="baseline"/>
                <w:lang w:val="en-US" w:eastAsia="zh-CN"/>
              </w:rPr>
              <w:t>考试系统公共教学资源库由全国优质课程组成，涵盖包括财经商务、电子与信息、教育与体育等专业的课程题库。</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此项需提供现场演示，演示项4）</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5.试卷管理</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智能组卷：设置好组卷逻辑之后，可以从指定的题库中按照设置的组卷逻辑进行随机抽题组卷，每次组卷数量上限不得低于20套，支持按知识点、文件夹、题型、难易度等多维度组合抽题组卷，支持设置组卷的题目重复率，避免抽取到大量重复题目。</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.创建试卷时支持用户勾选题库试卷所属学期，用户可以对单个试卷编辑试卷所属学期，并支持筛选功能。</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.手动组卷：支持手动从题库选择试题进行组卷，选择试题后如果发现题目有误，支持在线修改。</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.智能导入：支持通过上传Word文档智能识别题目并导入生成试卷，导入支持文本、图片、公式，若识别有误，可在上方下载推荐格式，按格式修改后重新识别。</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.听力题：听力题支持设置音频播放次数，播放达到听力次数，将不能再次播放。</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6</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.试卷封存：为防止试卷泄漏，组卷完成后可将试卷进行封存，封存的试卷只有输入密码才能开启，有效防止泄题事故的发生。</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7</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.试卷编辑：对组建完成的试卷可进行预览、编辑、复制、删除、指派试卷负责老师等工作，对于试卷负责老师可以限定权限。</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8</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试卷导出：支持试卷按标准版和模板导出。对于按模板导出功能，支持管理员后台创建模板供教师在前台空间导出试卷时使用。也支持教师自定义模板内容导出，导出后按照标准的线下考试试卷进行排版，可直接打印用于线下考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9</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.试卷审核：支持开启试卷审核并自定义设置试卷审批流程，审核通过之后试卷才可使用。</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6.考试管理</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生管理：考生支持手动添加、批量导入、根据组织架构选择、也可以从网络课程的教学班或选课数据中直接选择学生，支持按照是否已采集人脸识别照片、院系、专业、班级筛选考生，并支持按筛选条件对考生发放考试通知、人脸采集照片通知。</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.考试时间：可以设置考试开始时间、截至时间、考试时长，最早交卷时间、最晚进入考试时间。</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.通知提醒功能：对于已发布的考试支持给监考教师，批阅教师发送通知 ，未开始，进行中的考试支持给监考教师进行发送监考通知，已发送的监考通知支持撤回。</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.考试发布支持设置“允许学生查看考试等级”。</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.单题限时：可设置考试题目的单道题答题时长限制。</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6</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防作弊设置：系统支持设置考试人脸识别和考试抓拍间隔设置，支持屏幕异常次数限制，支持切出考试次数限制，支持设置人脸识别不通过不允许进入考试，支持开启第二设置支持的情况下未开启第二设备直播不允许进入考试进行试卷作答，支持多终端考试限制等防作弊设置。</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此项需提供现场演示，演示项5）</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7</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.指定Ip：设置好考试IP之后，考试只能在指定ip下才能参加考试。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8</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.题目乱序：每位考生所收到试卷的题目顺序进行打乱排列。</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9</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.选项乱序：对于选择题的每个选项进行打乱排列。</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.考生终端：可以指定考试终端，设置为客户端考试时考生只能到学校机房进行考试，满足集中考试需求。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.考试码设置：为防止替考的情况，考试需支持设置考试码，学生需输入考试码验证通过才可以进入考试，已发布的考试支持重新生成考试码，防止考试码泄露。</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其他设置：提供及格分数、允许重考次数、多次考试时分数取值方式、查看试卷权限、试卷提交查看答案权限、查看分数权限、答案防粘贴、截至时间自动交卷、填空题为客观题、填空题答案判定标准、多选题分数设置、随机抽题等设置，满足不同类型考试需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.可批量修改考试设置功能。</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.考试支持按时间、学期名称、考试发放方式等多种方式进行筛选。</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.可按学校设置考试承诺书，承诺书支持学院自定义设置添加手写签名、填写日期及承诺内容等信息。</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16</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监考教师：考试发布时可以指定监考教师，监考教师会收到监考任务，进行线上监考，监考教师支持对考生进行标记、提醒、直播监控、留言反馈、抓拍照片、强制收卷、查看答题记录等操作，以上权限支持对监考教师进行设置分配。</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17</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.阅卷教师：考试发布时可以指定阅卷教师，阅卷教师会收到阅卷任务进行线上阅卷。</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18</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.阅卷机制：阅卷时需支持流水阅卷和整卷批阅。</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7.在线监考</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在线监考：支持监考教师实时查看每位考生是否进入考试、进入时间、当前状态、IP地址、所在地区、考试方式、人脸识别情况、切屏次数、考试过程中抓拍照片识别次数、考试过程中抓拍照片识别异常次数、屏幕抓拍识别异常次数、是否被标记等。</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.系统对远程控制答题作弊有拦截功能，避免学生远程投屏作弊，包括但不限于向日葵、腾讯会议、华为协同互动等。</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此项需提供现场演示，演示项6）</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.分组监考：支持对监考的考生进行分组监考管理，并指定每个组的监考教师，支持随机分组和导入分组。</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.通知提醒：针对未及时参加考试的考生或者有异常行为的考生，监考教师可对考生发送提醒通知。</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.强制收卷：监考老师发现有异常行为的考生可进行强制收卷。</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6</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人脸识别：考生在考试前需进行活体人脸核对，核对结果可以实时显示到监考页面，监考教师可以查看考生的人脸识别结果；且考生的整个答题过程都支持人脸抓拍，并可设置抓拍照片的间隔时长，还可设置抓拍照片进行人脸识别比对的间隔张数，支持管理员和监考教师查看所有抓拍和比对结果。</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此项需提供现场演示，演示项7）</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7</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.屏幕异常识别：移动端考试需支持设置抓拍屏幕照片，且系统可自动识别屏幕照片是否有悬浮窗、分屏、输入法粘贴答案等异常，也支持监考教师人工教正屏幕识别结果，支持设置屏幕照片异常几次强制收卷。</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8</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切屏监控：在考生考试过程中将全程监控考生的答题界面，对考生切出页面的次数与时长进行记录，管理员或者监考教师可实时查看所有考生切出页面的次数与时长，可设置考生切屏达到次数对监考教师发送提醒通知，监考教师可通过通知查看触发切屏预警的考生，且支持设置考生切屏几次强制收卷。</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此项需提供现场演示，演示项8）</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9</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.考生申诉管理：监考教师可以对考生的考试申诉进行审核查看，支持筛选申诉类型。</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.多终端考试限制：可设置不允许考生多终端考试，且支持对学生多终端考试进行监考记录。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查看考生详情：监考老师可随时查看每位考生的考试行为记录，详情以时间轴形式呈现，包括考生进入考试人脸识别结果、考试切屏记录、考试抓拍记录、屏幕抓拍识别记录、考生答题记录、直播监考记录、监考教师操作记录等。</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.标记考生：考试过程中，监考教师可以根据考生监考详情记录，对有作弊嫌疑的考生进行标记。</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.提醒考生：考试过程中，监考教师可以对需要提醒的考生发提醒，支持一键选择系统提醒内容，快速发放提醒。</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.手动抓拍：考试过程中，监考教师可以对某个考生，发起手动抓拍，查看抓拍人脸画面和屏幕截图是否正常。</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rPr>
              <w:t>15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.直播监控：考试过程中，监考教师可以随时调取考生的直播画面进行直播监考，直播过程中可以设定实时观看考生的前置摄像头或者后置摄像头，查看考生的周边情况，进一步确认考生的真实考试情况。</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16</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.抓拍监控：将所有考生前后摄像头和屏幕的抓拍监控画面展示在一个页面上，便于监考教师更加直观了解每位考生当前的作答情况。</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17</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.留言板：支持监考教师查看考生在考试过程中的反馈留言，对考生的问题反馈进行留言答复。</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18</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.异常分析：支持查看考试中被系统标记为异常的所有考生异常记录，并支持按异常类型筛选，包括人脸识别异常、屏幕异常、切屏、拒绝抓拍、强制收卷等。</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19</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.监考导出：支持导出监考列表和监考详情数据。</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20</w:t>
            </w:r>
            <w:r>
              <w:rPr>
                <w:rFonts w:hint="eastAsia" w:ascii="宋体" w:hAnsi="宋体" w:eastAsia="宋体" w:cs="宋体"/>
                <w:color w:val="auto"/>
                <w:sz w:val="24"/>
                <w:szCs w:val="24"/>
                <w:vertAlign w:val="baseline"/>
                <w:lang w:val="en-US" w:eastAsia="zh-CN"/>
              </w:rPr>
              <w:t>)</w:t>
            </w:r>
            <w:r>
              <w:rPr>
                <w:rFonts w:hint="eastAsia" w:ascii="宋体" w:hAnsi="宋体" w:eastAsia="宋体" w:cs="宋体"/>
                <w:color w:val="auto"/>
                <w:sz w:val="24"/>
                <w:szCs w:val="24"/>
                <w:vertAlign w:val="baseline"/>
              </w:rPr>
              <w:t>.移动端监考：支持监考教师使用移动端进行监考，可以随时随地使用手机进行监考，包括查看考生监考详情，对考生进行强制收卷、打回继续考试等操作。</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21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.双机位监考：发布考试时可以设置第二设置监考功能，并且学生开启直播画面有对应视频内容可按表格导出单个学生直播回看链接。</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此项需提供现场演示，演示项9）</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.巡考监考：支持巡考教师线下在考试教室选择考生，移动端拍摄人脸照片上传后查看识别比对结果，并支持查看巡考拍照比对记录，管理员支持查看所有巡考教师的拍照比对记录。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8.考试阅卷</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.客观题批阅：对于客观题系统自动批阅并计算分数，无需人工干预。</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.主观题批阅：主观题批阅时支持打分和写批语，批语除支持文字录入之外也支持公式、符号、图片以及附件录入。</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.在线批注：支持对主观题考生上传的图片和文档进行在线批注，进行画线标记、圈注等操作。</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.流水判卷：可支持对主观题进行流水判卷，按题分配阅卷教师，实现多位老师流水阅卷，且支持设置教师批阅时隐藏考生信息。</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.试卷导出：批阅完成的试卷支持一键打包下载，便于存档，至少支持Word和pdf两种格式导出， word格式导出可支持设置按模板格式导出。</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9.成绩管理</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.线下成绩录入：需支持线下成绩批量导入。</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.成绩管理：成绩管理应包括考生姓名、学号、试卷名称、考试成绩、考试状态、成绩状态等信息，成绩支持多维度的查询和筛选，支持勘误和删除操作，需支持成绩一键导出。</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10.统计分析</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综合统计：提供对考试系统运行整体情况进行综合分析，包括但不限于发放考试次数、发放人数、参与人数、合格率、优秀率、每一批次下多次考试的成绩分布趋势、各院系各专业数据对比等维度的统计分析，所有数据分析以图形形式展示。</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.题库统计：针对题库数据进行统计，以图表呈现包括试题总数、题库题型分布、题目难易度分布、教师出题数量分布等，支持查看题库统计详情和每个题库的题目更新记录。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.考试统计：针对每一次考试进行统计分析，呈现内容包括考试名称、题量、考试时间、考试时长、满分、平均分数等，可通过筛选或搜索查找相应考试。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.考试分析：针对每一次考试生成详细的考试分析图，包括分数段对比、客观题正确率、每道题的统计详情等数据，所有分析必须以直观的图形呈现，并支持一键导出。</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.考试报告：针对每一次考试生成考试报告，报告内容可根据实际需求选择考试报告呈现的内容，并支持分析报告的导出。</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11.人脸识别管理</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.照片导入：人脸识别照片支持管理员从后台批量导入，照片格式支持png、jpg。</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.自主采集：人脸识别照片支持考试自主上传，上传后管理员可对采集到的人脸照片进行审核，对不合规的照片进行打回。</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.可对考生发送人脸采集通知，设置采集时效。</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12.师生空间</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.教师空间：教师登陆空间后应将教师常用应用展示到教师工作台上，至少应包括题库管理、试卷库管理、考试管理，考试管理根据教师权限支持在线监考、批阅、考生管理等，支持教师选择试卷发布考试。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.学生空间：学生登陆空间后应将学生的所有考试以列表形式呈现在学生空间中，学生可直接进行考试或查看试卷，以及支持学生在线选择考试进行约考。</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.云盘：系统为每位用户提供可进行上传视频、音频、文档等教学资源的云盘。云盘支持分类管理并可快速分享他人，同时支持创建题库时上传的各类文档、视频材料进行自动备份。</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13.移动端</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.具有移动客户端，支持iOS和Android操作系统，用于手机、Pad等智能移动终端中，实现在线移动考试。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.移动端考试：考试管理员将试卷发布后，学生可以通过移动端收到考试相关通知并直接应答回答并提交，所有防作弊设置对移动端一样有效。</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.考试屏幕抓拍限制：移动端考试可支持考生拒绝抓拍将无法继续考试。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.考试申诉：考生在触发系统强制收卷后，如有异议，可发起申诉并查看申诉结果。</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 xml:space="preserve">.各终端数据必须实时同步。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6</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移动端拓展功能：支持对接教务系统课表或手工添加课表，可以设置关联线上课程、编写教案、关联网络班级、编辑上课周次、上课时间、节次、节数、上课地点等。通过课表教师可以直接发起课堂活动（包括签到、投票选人、直播、同步课堂等），展开教学。学生可在移动端参加教学活动，通过笔记记录考试要点，完成各类线上教学活动。</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此项需提供现场演示，演示项10）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14.机房考试客户端</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.必须提供安装在学校机房专门用于集中考试的机房考试客户端，当需要集中考试时，可通过安装在机房的机房考试客户端进行集中考试。</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2</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.客户端数据与PC端实现无缝互联，支持考生参加考试、答卷、交卷、查看分数等完整过程。</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rPr>
              <w:t>3</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设置为客户端考试时，考生只能通过考试专用客户端登录进行考试，启动后自动全屏且在唯一的考试界面下进行操作考试，且考试客户端考试也支持进入考试活体人脸识别、考试过程中人脸抓拍、屏幕抓拍、考生提醒等监考防作弊监控。</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此项需提供现场演示，演示项11）</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4</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.支持主观题答题系统调用电脑摄像头进行拍照作答。</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.支持断电保护、实时数据反馈等数据保护措施。</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三</w:t>
            </w:r>
            <w:r>
              <w:rPr>
                <w:rFonts w:hint="eastAsia" w:ascii="宋体" w:hAnsi="宋体" w:eastAsia="宋体" w:cs="宋体"/>
                <w:color w:val="auto"/>
                <w:sz w:val="24"/>
                <w:szCs w:val="24"/>
                <w:vertAlign w:val="baseline"/>
              </w:rPr>
              <w:t>、交货与售后质保期</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平台必须在合同签订后</w:t>
            </w:r>
            <w:r>
              <w:rPr>
                <w:rFonts w:hint="eastAsia" w:ascii="宋体" w:hAnsi="宋体" w:eastAsia="宋体" w:cs="宋体"/>
                <w:color w:val="auto"/>
                <w:sz w:val="24"/>
                <w:szCs w:val="24"/>
                <w:vertAlign w:val="baseline"/>
                <w:lang w:val="en-US" w:eastAsia="zh-CN"/>
              </w:rPr>
              <w:t>5</w:t>
            </w:r>
            <w:r>
              <w:rPr>
                <w:rFonts w:hint="eastAsia" w:ascii="宋体" w:hAnsi="宋体" w:eastAsia="宋体" w:cs="宋体"/>
                <w:color w:val="auto"/>
                <w:sz w:val="24"/>
                <w:szCs w:val="24"/>
                <w:vertAlign w:val="baseline"/>
              </w:rPr>
              <w:t>个工作日内给学校部署完毕并交付使用。项目验收结束后，提供6个月免费服务。服务期间承担平台维护工作，保障系统正常运行。</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本平台部署后，买方应在</w:t>
            </w:r>
            <w:r>
              <w:rPr>
                <w:rFonts w:hint="eastAsia" w:ascii="宋体" w:hAnsi="宋体" w:eastAsia="宋体" w:cs="宋体"/>
                <w:color w:val="auto"/>
                <w:sz w:val="24"/>
                <w:szCs w:val="24"/>
                <w:vertAlign w:val="baseline"/>
                <w:lang w:val="en-US" w:eastAsia="zh-CN"/>
              </w:rPr>
              <w:t>5</w:t>
            </w:r>
            <w:r>
              <w:rPr>
                <w:rFonts w:hint="eastAsia" w:ascii="宋体" w:hAnsi="宋体" w:eastAsia="宋体" w:cs="宋体"/>
                <w:color w:val="auto"/>
                <w:sz w:val="24"/>
                <w:szCs w:val="24"/>
                <w:vertAlign w:val="baseline"/>
              </w:rPr>
              <w:t>日内组织验收，并制作验收备忘录，签署验收意见。买方有在产品安装过程中派员监造的权利, 卖方有义务为买方监造人员行使该权利提供方便。</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在项目实施过程中及售后服务期内，项目投标人需承诺指定专人负责与用户保持长期的联系与服务。</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免费提供完整的平台配套的产品资料，包括系统安装使用手册、系统功能模块说明书、用户使用手册、帮助文档等。</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四</w:t>
            </w:r>
            <w:r>
              <w:rPr>
                <w:rFonts w:hint="eastAsia" w:ascii="宋体" w:hAnsi="宋体" w:eastAsia="宋体" w:cs="宋体"/>
                <w:color w:val="auto"/>
                <w:sz w:val="24"/>
                <w:szCs w:val="24"/>
                <w:vertAlign w:val="baseline"/>
              </w:rPr>
              <w:t>、</w:t>
            </w:r>
            <w:r>
              <w:rPr>
                <w:rFonts w:hint="eastAsia" w:ascii="宋体" w:hAnsi="宋体" w:eastAsia="宋体" w:cs="宋体"/>
                <w:color w:val="auto"/>
                <w:sz w:val="24"/>
                <w:szCs w:val="24"/>
                <w:vertAlign w:val="baseline"/>
                <w:lang w:val="en-US" w:eastAsia="zh-CN"/>
              </w:rPr>
              <w:t>培训需求</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免费提供系统管理员的系统维护培训服务及必要的支撑技术培训服务。</w:t>
            </w:r>
            <w:r>
              <w:rPr>
                <w:rFonts w:hint="eastAsia" w:ascii="宋体" w:hAnsi="宋体" w:eastAsia="宋体" w:cs="宋体"/>
                <w:color w:val="auto"/>
                <w:sz w:val="24"/>
                <w:szCs w:val="24"/>
                <w:vertAlign w:val="baseline"/>
                <w:lang w:val="en-US" w:eastAsia="zh-CN"/>
              </w:rPr>
              <w:t>供应商应</w:t>
            </w:r>
            <w:r>
              <w:rPr>
                <w:rFonts w:hint="eastAsia" w:ascii="宋体" w:hAnsi="宋体" w:eastAsia="宋体" w:cs="宋体"/>
                <w:color w:val="auto"/>
                <w:sz w:val="24"/>
                <w:szCs w:val="24"/>
                <w:vertAlign w:val="baseline"/>
              </w:rPr>
              <w:t>提供至少3次总计不低于6学时针对老师和学生的系统应用操作免费现场培训服务。</w:t>
            </w:r>
          </w:p>
        </w:tc>
        <w:tc>
          <w:tcPr>
            <w:tcW w:w="1157" w:type="dxa"/>
            <w:vAlign w:val="center"/>
          </w:tcPr>
          <w:p>
            <w:pPr>
              <w:keepNext w:val="0"/>
              <w:keepLines w:val="0"/>
              <w:pageBreakBefore w:val="0"/>
              <w:widowControl/>
              <w:kinsoku/>
              <w:wordWrap/>
              <w:overflowPunct/>
              <w:topLinePunct w:val="0"/>
              <w:autoSpaceDE/>
              <w:autoSpaceDN/>
              <w:bidi w:val="0"/>
              <w:adjustRightInd/>
              <w:snapToGrid/>
              <w:spacing w:after="0" w:line="360" w:lineRule="auto"/>
              <w:ind w:firstLine="240" w:firstLineChars="10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1项</w:t>
            </w:r>
          </w:p>
        </w:tc>
      </w:tr>
    </w:tbl>
    <w:p>
      <w:pPr>
        <w:pStyle w:val="17"/>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注：以上需要演示内容供应商自带设备进行现场演示，如供应商因其他原因不能到场需在腾讯会议中进行现场视频演示，流程如下：</w:t>
      </w:r>
    </w:p>
    <w:p>
      <w:pPr>
        <w:pStyle w:val="17"/>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 xml:space="preserve">1、*电话通知各供应商后进入： </w:t>
      </w:r>
    </w:p>
    <w:p>
      <w:pPr>
        <w:pStyle w:val="17"/>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2、下载腾讯会议，并注册登录；</w:t>
      </w:r>
    </w:p>
    <w:p>
      <w:pPr>
        <w:pStyle w:val="17"/>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 打开腾讯会议---加入会议---输入会议码或链接：198-556-673，</w:t>
      </w:r>
    </w:p>
    <w:p>
      <w:pPr>
        <w:pStyle w:val="17"/>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https://meeting.tencent.com/dm/FYIOXCDKyJO3，---进入会议---报名：组织名称（填写单位名称），姓名（请务必实名）。</w:t>
      </w:r>
    </w:p>
    <w:p>
      <w:pPr>
        <w:pStyle w:val="17"/>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bidi="ar-SA"/>
        </w:rPr>
        <w:t>三、服务要求</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zh-CN" w:eastAsia="zh-CN"/>
        </w:rPr>
        <w:t>服务期</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zh-CN" w:eastAsia="zh-CN"/>
        </w:rPr>
        <w:t>2022-2023学年秋季学期期末考试——2022-2023学年春季开学补考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2" w:firstLineChars="200"/>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服务地点：青海民族大学</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青海鼎钊招标代理有限公司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DZZB-2022-042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D93A9"/>
    <w:multiLevelType w:val="multilevel"/>
    <w:tmpl w:val="F15D93A9"/>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GFhZTkxNWQ0NWMxNmEzZDQyNmQwYzllNTI5YjkifQ=="/>
  </w:docVars>
  <w:rsids>
    <w:rsidRoot w:val="6F3A01D0"/>
    <w:rsid w:val="0011729F"/>
    <w:rsid w:val="002C5D0F"/>
    <w:rsid w:val="007076D2"/>
    <w:rsid w:val="00796EA1"/>
    <w:rsid w:val="00983BE2"/>
    <w:rsid w:val="009B76F9"/>
    <w:rsid w:val="00A22D1A"/>
    <w:rsid w:val="00AE5A2B"/>
    <w:rsid w:val="00B102E6"/>
    <w:rsid w:val="00D14A56"/>
    <w:rsid w:val="00D656C9"/>
    <w:rsid w:val="00D728E7"/>
    <w:rsid w:val="00E22C49"/>
    <w:rsid w:val="00E24720"/>
    <w:rsid w:val="00EB4D82"/>
    <w:rsid w:val="00F10486"/>
    <w:rsid w:val="012D5BC8"/>
    <w:rsid w:val="014622CC"/>
    <w:rsid w:val="01BC2907"/>
    <w:rsid w:val="01D036F5"/>
    <w:rsid w:val="022E65D5"/>
    <w:rsid w:val="025161A5"/>
    <w:rsid w:val="02694478"/>
    <w:rsid w:val="0383077C"/>
    <w:rsid w:val="03AC1C47"/>
    <w:rsid w:val="03F41C04"/>
    <w:rsid w:val="04227417"/>
    <w:rsid w:val="04543C07"/>
    <w:rsid w:val="04A57852"/>
    <w:rsid w:val="04C048E2"/>
    <w:rsid w:val="051B2461"/>
    <w:rsid w:val="05920F04"/>
    <w:rsid w:val="05BD220F"/>
    <w:rsid w:val="06185D2D"/>
    <w:rsid w:val="075D5AAA"/>
    <w:rsid w:val="07723089"/>
    <w:rsid w:val="07880366"/>
    <w:rsid w:val="07C54232"/>
    <w:rsid w:val="07E3578E"/>
    <w:rsid w:val="07F92F02"/>
    <w:rsid w:val="08432C65"/>
    <w:rsid w:val="0874513E"/>
    <w:rsid w:val="08951775"/>
    <w:rsid w:val="08A26F27"/>
    <w:rsid w:val="08F40EEB"/>
    <w:rsid w:val="091E3B75"/>
    <w:rsid w:val="09EA5816"/>
    <w:rsid w:val="0A70061F"/>
    <w:rsid w:val="0A7945D4"/>
    <w:rsid w:val="0ACE28E8"/>
    <w:rsid w:val="0AF357C2"/>
    <w:rsid w:val="0B6C09CE"/>
    <w:rsid w:val="0BFA7A74"/>
    <w:rsid w:val="0C35159A"/>
    <w:rsid w:val="0C846CD5"/>
    <w:rsid w:val="0D7501A0"/>
    <w:rsid w:val="0D8B758F"/>
    <w:rsid w:val="0DA75F99"/>
    <w:rsid w:val="0DCF2D63"/>
    <w:rsid w:val="0DD46331"/>
    <w:rsid w:val="0DE440BD"/>
    <w:rsid w:val="0E302379"/>
    <w:rsid w:val="0E472F86"/>
    <w:rsid w:val="104533D0"/>
    <w:rsid w:val="109764CF"/>
    <w:rsid w:val="10A71125"/>
    <w:rsid w:val="111A4579"/>
    <w:rsid w:val="1129001A"/>
    <w:rsid w:val="112F1D43"/>
    <w:rsid w:val="11800378"/>
    <w:rsid w:val="11AD6B2E"/>
    <w:rsid w:val="123E0181"/>
    <w:rsid w:val="127204A3"/>
    <w:rsid w:val="127F4381"/>
    <w:rsid w:val="12925110"/>
    <w:rsid w:val="12AA6F32"/>
    <w:rsid w:val="12D4409A"/>
    <w:rsid w:val="1309024B"/>
    <w:rsid w:val="132C6AC6"/>
    <w:rsid w:val="132C6ADB"/>
    <w:rsid w:val="133D02CB"/>
    <w:rsid w:val="135E4911"/>
    <w:rsid w:val="138D3DF0"/>
    <w:rsid w:val="13A31C56"/>
    <w:rsid w:val="13ED4CBD"/>
    <w:rsid w:val="14D25708"/>
    <w:rsid w:val="150A777D"/>
    <w:rsid w:val="152626AF"/>
    <w:rsid w:val="153C106C"/>
    <w:rsid w:val="1553307A"/>
    <w:rsid w:val="155C7BF4"/>
    <w:rsid w:val="15A7459D"/>
    <w:rsid w:val="161407E8"/>
    <w:rsid w:val="16751125"/>
    <w:rsid w:val="16AA5A4F"/>
    <w:rsid w:val="18091BBE"/>
    <w:rsid w:val="18960420"/>
    <w:rsid w:val="18A45C5D"/>
    <w:rsid w:val="18B311F5"/>
    <w:rsid w:val="18BF4949"/>
    <w:rsid w:val="18D906A0"/>
    <w:rsid w:val="18E91BA8"/>
    <w:rsid w:val="19362BA0"/>
    <w:rsid w:val="1B3A68FE"/>
    <w:rsid w:val="1BAF484F"/>
    <w:rsid w:val="1C8E16BB"/>
    <w:rsid w:val="1CB021A4"/>
    <w:rsid w:val="1D1E5AEA"/>
    <w:rsid w:val="1D3B3901"/>
    <w:rsid w:val="1DA36D9A"/>
    <w:rsid w:val="1DBA3241"/>
    <w:rsid w:val="1DE64446"/>
    <w:rsid w:val="1E07408D"/>
    <w:rsid w:val="1E642BAC"/>
    <w:rsid w:val="1ECB0BA8"/>
    <w:rsid w:val="1F1A07DB"/>
    <w:rsid w:val="1F1A514E"/>
    <w:rsid w:val="1F62093A"/>
    <w:rsid w:val="1F8F0C22"/>
    <w:rsid w:val="1FDD6E90"/>
    <w:rsid w:val="200731AA"/>
    <w:rsid w:val="2048658C"/>
    <w:rsid w:val="20755732"/>
    <w:rsid w:val="20BC37C8"/>
    <w:rsid w:val="2105452D"/>
    <w:rsid w:val="213236FF"/>
    <w:rsid w:val="21364CF7"/>
    <w:rsid w:val="21A57604"/>
    <w:rsid w:val="21B63D65"/>
    <w:rsid w:val="21FF1565"/>
    <w:rsid w:val="220F2458"/>
    <w:rsid w:val="22AB7B04"/>
    <w:rsid w:val="22D97467"/>
    <w:rsid w:val="23045B21"/>
    <w:rsid w:val="23121DAA"/>
    <w:rsid w:val="23A501AD"/>
    <w:rsid w:val="23B43CB0"/>
    <w:rsid w:val="23DF1E28"/>
    <w:rsid w:val="23E35D90"/>
    <w:rsid w:val="23F47ADC"/>
    <w:rsid w:val="23FC09CC"/>
    <w:rsid w:val="246011EC"/>
    <w:rsid w:val="24FE5668"/>
    <w:rsid w:val="25A77C5D"/>
    <w:rsid w:val="25BD5036"/>
    <w:rsid w:val="25CF121F"/>
    <w:rsid w:val="261E151D"/>
    <w:rsid w:val="262D2C9E"/>
    <w:rsid w:val="263503B3"/>
    <w:rsid w:val="265505E9"/>
    <w:rsid w:val="26806A2A"/>
    <w:rsid w:val="26813488"/>
    <w:rsid w:val="26A16E16"/>
    <w:rsid w:val="270F023A"/>
    <w:rsid w:val="27360209"/>
    <w:rsid w:val="27E64DFD"/>
    <w:rsid w:val="27F219B8"/>
    <w:rsid w:val="27FF372E"/>
    <w:rsid w:val="28074E02"/>
    <w:rsid w:val="280A391D"/>
    <w:rsid w:val="28442F27"/>
    <w:rsid w:val="285F27BE"/>
    <w:rsid w:val="291D0CF0"/>
    <w:rsid w:val="29DB20A0"/>
    <w:rsid w:val="29FB37E0"/>
    <w:rsid w:val="29FD4568"/>
    <w:rsid w:val="29FE5317"/>
    <w:rsid w:val="2A2C3390"/>
    <w:rsid w:val="2A5E32AB"/>
    <w:rsid w:val="2A6813DA"/>
    <w:rsid w:val="2AD409FF"/>
    <w:rsid w:val="2B0E45AA"/>
    <w:rsid w:val="2BB36004"/>
    <w:rsid w:val="2BF66CC1"/>
    <w:rsid w:val="2C0D3E59"/>
    <w:rsid w:val="2C46065A"/>
    <w:rsid w:val="2C6D60A4"/>
    <w:rsid w:val="2C8C3BA3"/>
    <w:rsid w:val="2CC472B9"/>
    <w:rsid w:val="2D5E3BF4"/>
    <w:rsid w:val="2D726292"/>
    <w:rsid w:val="2DEE768F"/>
    <w:rsid w:val="2E60666A"/>
    <w:rsid w:val="2EE353EB"/>
    <w:rsid w:val="2F500B3A"/>
    <w:rsid w:val="2F596BB6"/>
    <w:rsid w:val="2F8F2AF6"/>
    <w:rsid w:val="2FBF705B"/>
    <w:rsid w:val="2FEC5819"/>
    <w:rsid w:val="30003D1D"/>
    <w:rsid w:val="303F4F25"/>
    <w:rsid w:val="30595E14"/>
    <w:rsid w:val="3082509F"/>
    <w:rsid w:val="30C419B0"/>
    <w:rsid w:val="311B08F6"/>
    <w:rsid w:val="32ED664A"/>
    <w:rsid w:val="33542A82"/>
    <w:rsid w:val="335E17F2"/>
    <w:rsid w:val="33660CCD"/>
    <w:rsid w:val="336F5D12"/>
    <w:rsid w:val="33D26F22"/>
    <w:rsid w:val="33E76902"/>
    <w:rsid w:val="34243CCB"/>
    <w:rsid w:val="34694D37"/>
    <w:rsid w:val="347D6427"/>
    <w:rsid w:val="348D682D"/>
    <w:rsid w:val="34A94F8C"/>
    <w:rsid w:val="34E00D75"/>
    <w:rsid w:val="34EB33C6"/>
    <w:rsid w:val="358937B7"/>
    <w:rsid w:val="35980BD9"/>
    <w:rsid w:val="35A72150"/>
    <w:rsid w:val="35D41965"/>
    <w:rsid w:val="36306450"/>
    <w:rsid w:val="365932DD"/>
    <w:rsid w:val="371B1451"/>
    <w:rsid w:val="37425226"/>
    <w:rsid w:val="37AC6F17"/>
    <w:rsid w:val="37C239D4"/>
    <w:rsid w:val="38840C30"/>
    <w:rsid w:val="39350A01"/>
    <w:rsid w:val="3A441E84"/>
    <w:rsid w:val="3A6D2C1F"/>
    <w:rsid w:val="3A7E38B2"/>
    <w:rsid w:val="3A9D4A5A"/>
    <w:rsid w:val="3AB42FBD"/>
    <w:rsid w:val="3BEE1C53"/>
    <w:rsid w:val="3C177CC1"/>
    <w:rsid w:val="3C5349E3"/>
    <w:rsid w:val="3CF208B5"/>
    <w:rsid w:val="3D7C2888"/>
    <w:rsid w:val="3E39336E"/>
    <w:rsid w:val="3EBA4F51"/>
    <w:rsid w:val="3F082449"/>
    <w:rsid w:val="3F4871AE"/>
    <w:rsid w:val="3F9B6B83"/>
    <w:rsid w:val="3FD5747A"/>
    <w:rsid w:val="400F2EC6"/>
    <w:rsid w:val="40EC6DDC"/>
    <w:rsid w:val="40F170AA"/>
    <w:rsid w:val="410042A8"/>
    <w:rsid w:val="41796A32"/>
    <w:rsid w:val="41E066CC"/>
    <w:rsid w:val="427E62E2"/>
    <w:rsid w:val="4289147A"/>
    <w:rsid w:val="42AD1AEC"/>
    <w:rsid w:val="42DE4B4E"/>
    <w:rsid w:val="4361198C"/>
    <w:rsid w:val="44157B0F"/>
    <w:rsid w:val="4416066E"/>
    <w:rsid w:val="44376732"/>
    <w:rsid w:val="443F17B1"/>
    <w:rsid w:val="44642C0C"/>
    <w:rsid w:val="44B27F70"/>
    <w:rsid w:val="44F80CE9"/>
    <w:rsid w:val="4565582E"/>
    <w:rsid w:val="45837329"/>
    <w:rsid w:val="45984FD7"/>
    <w:rsid w:val="46260101"/>
    <w:rsid w:val="462C6948"/>
    <w:rsid w:val="462E490D"/>
    <w:rsid w:val="465A2875"/>
    <w:rsid w:val="46DC630D"/>
    <w:rsid w:val="47125265"/>
    <w:rsid w:val="47700BE5"/>
    <w:rsid w:val="47D420AB"/>
    <w:rsid w:val="483E36C7"/>
    <w:rsid w:val="48776B62"/>
    <w:rsid w:val="499860A6"/>
    <w:rsid w:val="4A3027A7"/>
    <w:rsid w:val="4BBA69BC"/>
    <w:rsid w:val="4BE16C2F"/>
    <w:rsid w:val="4C553F36"/>
    <w:rsid w:val="4CAC5739"/>
    <w:rsid w:val="4D0F74BB"/>
    <w:rsid w:val="4D2243EF"/>
    <w:rsid w:val="4D2F3ED8"/>
    <w:rsid w:val="4D3C5E91"/>
    <w:rsid w:val="4D7D7304"/>
    <w:rsid w:val="4D8367CC"/>
    <w:rsid w:val="4DB26FA1"/>
    <w:rsid w:val="4DC041CF"/>
    <w:rsid w:val="4F0718D0"/>
    <w:rsid w:val="4FCC15FF"/>
    <w:rsid w:val="4FE055FC"/>
    <w:rsid w:val="4FE535DF"/>
    <w:rsid w:val="5024289C"/>
    <w:rsid w:val="50BA160C"/>
    <w:rsid w:val="50E01D2E"/>
    <w:rsid w:val="516115B4"/>
    <w:rsid w:val="51824063"/>
    <w:rsid w:val="51EE4372"/>
    <w:rsid w:val="5207347D"/>
    <w:rsid w:val="531B78B9"/>
    <w:rsid w:val="535D4B57"/>
    <w:rsid w:val="536C721C"/>
    <w:rsid w:val="53702858"/>
    <w:rsid w:val="53B84F69"/>
    <w:rsid w:val="53BA19C2"/>
    <w:rsid w:val="53D72ACA"/>
    <w:rsid w:val="53EE0EFD"/>
    <w:rsid w:val="54EA3781"/>
    <w:rsid w:val="54ED376F"/>
    <w:rsid w:val="55265A7D"/>
    <w:rsid w:val="558D05EC"/>
    <w:rsid w:val="55DC0515"/>
    <w:rsid w:val="563551E8"/>
    <w:rsid w:val="56C7337E"/>
    <w:rsid w:val="575F2360"/>
    <w:rsid w:val="578E22E5"/>
    <w:rsid w:val="57B31820"/>
    <w:rsid w:val="57F54A48"/>
    <w:rsid w:val="58BB59C9"/>
    <w:rsid w:val="58FF6AF9"/>
    <w:rsid w:val="59041A49"/>
    <w:rsid w:val="596147DC"/>
    <w:rsid w:val="5A30765B"/>
    <w:rsid w:val="5A89132E"/>
    <w:rsid w:val="5A8A6DCB"/>
    <w:rsid w:val="5A8C7845"/>
    <w:rsid w:val="5AE85938"/>
    <w:rsid w:val="5BE371A1"/>
    <w:rsid w:val="5BEB6971"/>
    <w:rsid w:val="5C2D03E1"/>
    <w:rsid w:val="5C43431F"/>
    <w:rsid w:val="5C8D6F26"/>
    <w:rsid w:val="5D430142"/>
    <w:rsid w:val="5DBE321D"/>
    <w:rsid w:val="5EA26944"/>
    <w:rsid w:val="5F304BF4"/>
    <w:rsid w:val="5F4A5A61"/>
    <w:rsid w:val="602471D7"/>
    <w:rsid w:val="60686DE8"/>
    <w:rsid w:val="61A253BE"/>
    <w:rsid w:val="61CF66BD"/>
    <w:rsid w:val="623468A3"/>
    <w:rsid w:val="62707F48"/>
    <w:rsid w:val="62C56307"/>
    <w:rsid w:val="630D00D6"/>
    <w:rsid w:val="633E0520"/>
    <w:rsid w:val="63CC4194"/>
    <w:rsid w:val="64832A3F"/>
    <w:rsid w:val="64E47800"/>
    <w:rsid w:val="65212235"/>
    <w:rsid w:val="657459E4"/>
    <w:rsid w:val="658C233E"/>
    <w:rsid w:val="658D6460"/>
    <w:rsid w:val="65CF759F"/>
    <w:rsid w:val="66814853"/>
    <w:rsid w:val="669037AE"/>
    <w:rsid w:val="67C55A8E"/>
    <w:rsid w:val="67CB7C26"/>
    <w:rsid w:val="680F531A"/>
    <w:rsid w:val="68362CCE"/>
    <w:rsid w:val="68527809"/>
    <w:rsid w:val="68622876"/>
    <w:rsid w:val="686F695A"/>
    <w:rsid w:val="68E31B1E"/>
    <w:rsid w:val="695218D5"/>
    <w:rsid w:val="696D2228"/>
    <w:rsid w:val="696D4097"/>
    <w:rsid w:val="6973469A"/>
    <w:rsid w:val="69F47C99"/>
    <w:rsid w:val="6A0D6879"/>
    <w:rsid w:val="6A4B791D"/>
    <w:rsid w:val="6A7B37CD"/>
    <w:rsid w:val="6AEC0BB1"/>
    <w:rsid w:val="6B2219AB"/>
    <w:rsid w:val="6B295089"/>
    <w:rsid w:val="6CB0493B"/>
    <w:rsid w:val="6CFA0F76"/>
    <w:rsid w:val="6D076383"/>
    <w:rsid w:val="6DD45363"/>
    <w:rsid w:val="6E0E705B"/>
    <w:rsid w:val="6E166336"/>
    <w:rsid w:val="6E4F283B"/>
    <w:rsid w:val="6E5F0E8E"/>
    <w:rsid w:val="6E606037"/>
    <w:rsid w:val="6F2B0CA8"/>
    <w:rsid w:val="6F3A01D0"/>
    <w:rsid w:val="6F7E5B51"/>
    <w:rsid w:val="700E447F"/>
    <w:rsid w:val="70CD6084"/>
    <w:rsid w:val="70F076DF"/>
    <w:rsid w:val="71124563"/>
    <w:rsid w:val="71C54E5B"/>
    <w:rsid w:val="71CF5DCD"/>
    <w:rsid w:val="72A137A6"/>
    <w:rsid w:val="73120080"/>
    <w:rsid w:val="740B06A5"/>
    <w:rsid w:val="747855EE"/>
    <w:rsid w:val="748C1A26"/>
    <w:rsid w:val="755537E3"/>
    <w:rsid w:val="75710B04"/>
    <w:rsid w:val="75C779C2"/>
    <w:rsid w:val="75D70262"/>
    <w:rsid w:val="766F3DA0"/>
    <w:rsid w:val="76C659F8"/>
    <w:rsid w:val="76F82369"/>
    <w:rsid w:val="77EF630B"/>
    <w:rsid w:val="77FE6825"/>
    <w:rsid w:val="78652314"/>
    <w:rsid w:val="78EC06E7"/>
    <w:rsid w:val="79182EA4"/>
    <w:rsid w:val="7A320489"/>
    <w:rsid w:val="7A8C54B0"/>
    <w:rsid w:val="7A8F3748"/>
    <w:rsid w:val="7AA40E74"/>
    <w:rsid w:val="7ACC5CEF"/>
    <w:rsid w:val="7B8B2DF6"/>
    <w:rsid w:val="7C2166BD"/>
    <w:rsid w:val="7C9E462D"/>
    <w:rsid w:val="7CF56F0B"/>
    <w:rsid w:val="7D890306"/>
    <w:rsid w:val="7DE46300"/>
    <w:rsid w:val="7DEB4668"/>
    <w:rsid w:val="7E0E041C"/>
    <w:rsid w:val="7E9F58CF"/>
    <w:rsid w:val="7EC15CA3"/>
    <w:rsid w:val="7F4974F7"/>
    <w:rsid w:val="7F967D36"/>
    <w:rsid w:val="7FC11EE8"/>
    <w:rsid w:val="7FC1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60" w:beforeLines="0" w:beforeAutospacing="0" w:after="60" w:afterLines="0" w:afterAutospacing="0" w:line="360" w:lineRule="auto"/>
      <w:ind w:left="575" w:hanging="575"/>
      <w:outlineLvl w:val="1"/>
    </w:pPr>
    <w:rPr>
      <w:rFonts w:ascii="Arial" w:hAnsi="Arial" w:eastAsia="宋体" w:cs="Times New Roman"/>
      <w:b/>
      <w:sz w:val="30"/>
    </w:rPr>
  </w:style>
  <w:style w:type="paragraph" w:styleId="3">
    <w:name w:val="heading 3"/>
    <w:basedOn w:val="1"/>
    <w:next w:val="1"/>
    <w:semiHidden/>
    <w:unhideWhenUsed/>
    <w:qFormat/>
    <w:uiPriority w:val="0"/>
    <w:pPr>
      <w:keepNext/>
      <w:keepLines/>
      <w:numPr>
        <w:ilvl w:val="2"/>
        <w:numId w:val="1"/>
      </w:numPr>
      <w:tabs>
        <w:tab w:val="left" w:pos="0"/>
      </w:tabs>
      <w:spacing w:beforeLines="0" w:beforeAutospacing="0" w:after="50" w:afterLines="50" w:afterAutospacing="0" w:line="360" w:lineRule="auto"/>
      <w:ind w:left="720" w:leftChars="0" w:right="0" w:rightChars="0" w:hanging="720" w:firstLineChars="0"/>
      <w:jc w:val="left"/>
      <w:outlineLvl w:val="2"/>
    </w:pPr>
    <w:rPr>
      <w:rFonts w:ascii="Times New Roman" w:hAnsi="Times New Roman" w:eastAsia="宋体" w:cs="Times New Roman"/>
      <w:b/>
      <w:sz w:val="28"/>
    </w:rPr>
  </w:style>
  <w:style w:type="paragraph" w:styleId="4">
    <w:name w:val="heading 4"/>
    <w:basedOn w:val="1"/>
    <w:next w:val="1"/>
    <w:semiHidden/>
    <w:unhideWhenUsed/>
    <w:qFormat/>
    <w:uiPriority w:val="0"/>
    <w:pPr>
      <w:keepNext/>
      <w:keepLines/>
      <w:numPr>
        <w:ilvl w:val="3"/>
        <w:numId w:val="1"/>
      </w:numPr>
      <w:spacing w:before="140" w:beforeLines="0" w:beforeAutospacing="0" w:after="140" w:afterLines="0" w:afterAutospacing="0" w:line="360" w:lineRule="auto"/>
      <w:ind w:left="862" w:hanging="862"/>
      <w:outlineLvl w:val="3"/>
    </w:pPr>
    <w:rPr>
      <w:rFonts w:ascii="Arial" w:hAnsi="Arial" w:eastAsia="宋体" w:cs="Times New Roman"/>
      <w:b/>
      <w:sz w:val="24"/>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te Heading"/>
    <w:basedOn w:val="1"/>
    <w:next w:val="1"/>
    <w:qFormat/>
    <w:uiPriority w:val="0"/>
    <w:pPr>
      <w:jc w:val="center"/>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Body Text Indent"/>
    <w:basedOn w:val="1"/>
    <w:next w:val="13"/>
    <w:qFormat/>
    <w:uiPriority w:val="0"/>
    <w:pPr>
      <w:spacing w:after="120"/>
      <w:ind w:left="420" w:leftChars="200"/>
    </w:pPr>
  </w:style>
  <w:style w:type="paragraph" w:styleId="13">
    <w:name w:val="Body Text First Indent 2"/>
    <w:basedOn w:val="12"/>
    <w:qFormat/>
    <w:uiPriority w:val="99"/>
    <w:pPr>
      <w:tabs>
        <w:tab w:val="left" w:pos="2160"/>
      </w:tabs>
      <w:spacing w:after="120" w:line="480" w:lineRule="auto"/>
      <w:ind w:left="418" w:leftChars="0" w:firstLine="216"/>
    </w:pPr>
    <w:rPr>
      <w:rFonts w:eastAsia="仿宋_GB2312"/>
      <w:sz w:val="24"/>
    </w:rPr>
  </w:style>
  <w:style w:type="paragraph" w:styleId="14">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5">
    <w:name w:val="Plain Text"/>
    <w:basedOn w:val="1"/>
    <w:qFormat/>
    <w:uiPriority w:val="0"/>
    <w:rPr>
      <w:rFonts w:ascii="宋体" w:hAnsi="Courier New"/>
      <w:szCs w:val="20"/>
    </w:rPr>
  </w:style>
  <w:style w:type="paragraph" w:styleId="16">
    <w:name w:val="Balloon Text"/>
    <w:basedOn w:val="1"/>
    <w:link w:val="32"/>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spacing w:before="120" w:after="120"/>
      <w:jc w:val="left"/>
    </w:pPr>
    <w:rPr>
      <w:rFonts w:ascii="Calibri" w:hAnsi="Calibri"/>
      <w:b/>
      <w:bCs/>
      <w:caps/>
      <w:sz w:val="20"/>
      <w:szCs w:val="20"/>
    </w:rPr>
  </w:style>
  <w:style w:type="paragraph" w:styleId="20">
    <w:name w:val="toc 2"/>
    <w:basedOn w:val="1"/>
    <w:next w:val="1"/>
    <w:qFormat/>
    <w:uiPriority w:val="0"/>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2">
    <w:name w:val="Normal (Web)"/>
    <w:basedOn w:val="1"/>
    <w:qFormat/>
    <w:uiPriority w:val="0"/>
    <w:pPr>
      <w:widowControl/>
      <w:spacing w:before="100" w:beforeAutospacing="1" w:after="119"/>
      <w:jc w:val="left"/>
    </w:pPr>
    <w:rPr>
      <w:rFonts w:ascii="宋体" w:hAnsi="宋体" w:cs="宋体"/>
      <w:sz w:val="24"/>
    </w:rPr>
  </w:style>
  <w:style w:type="paragraph" w:styleId="23">
    <w:name w:val="Title"/>
    <w:basedOn w:val="1"/>
    <w:next w:val="1"/>
    <w:qFormat/>
    <w:uiPriority w:val="0"/>
    <w:pPr>
      <w:spacing w:before="240" w:after="60"/>
      <w:jc w:val="center"/>
      <w:outlineLvl w:val="0"/>
    </w:pPr>
    <w:rPr>
      <w:rFonts w:ascii="Cambria" w:hAnsi="Cambria"/>
      <w:b/>
      <w:bCs/>
      <w:sz w:val="36"/>
      <w:szCs w:val="32"/>
    </w:rPr>
  </w:style>
  <w:style w:type="paragraph" w:styleId="24">
    <w:name w:val="Body Text First Indent"/>
    <w:basedOn w:val="8"/>
    <w:unhideWhenUsed/>
    <w:qFormat/>
    <w:uiPriority w:val="99"/>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style>
  <w:style w:type="character" w:styleId="29">
    <w:name w:val="page number"/>
    <w:basedOn w:val="27"/>
    <w:qFormat/>
    <w:uiPriority w:val="0"/>
  </w:style>
  <w:style w:type="character" w:styleId="30">
    <w:name w:val="Hyperlink"/>
    <w:qFormat/>
    <w:uiPriority w:val="0"/>
    <w:rPr>
      <w:color w:val="000099"/>
      <w:u w:val="none"/>
    </w:rPr>
  </w:style>
  <w:style w:type="paragraph" w:customStyle="1" w:styleId="31">
    <w:name w:val="列出段落1"/>
    <w:basedOn w:val="1"/>
    <w:qFormat/>
    <w:uiPriority w:val="34"/>
    <w:pPr>
      <w:ind w:firstLine="420"/>
    </w:pPr>
    <w:rPr>
      <w:rFonts w:ascii="Calibri" w:hAnsi="Calibri"/>
    </w:rPr>
  </w:style>
  <w:style w:type="character" w:customStyle="1" w:styleId="32">
    <w:name w:val="批注框文本 Char"/>
    <w:basedOn w:val="27"/>
    <w:link w:val="16"/>
    <w:qFormat/>
    <w:uiPriority w:val="0"/>
    <w:rPr>
      <w:sz w:val="18"/>
      <w:szCs w:val="18"/>
    </w:rPr>
  </w:style>
  <w:style w:type="character" w:customStyle="1" w:styleId="33">
    <w:name w:val="font41"/>
    <w:basedOn w:val="27"/>
    <w:qFormat/>
    <w:uiPriority w:val="0"/>
    <w:rPr>
      <w:rFonts w:hint="default" w:ascii="Tahoma" w:hAnsi="Tahoma" w:eastAsia="Tahoma" w:cs="Tahoma"/>
      <w:color w:val="000000"/>
      <w:sz w:val="18"/>
      <w:szCs w:val="18"/>
      <w:u w:val="none"/>
    </w:rPr>
  </w:style>
  <w:style w:type="character" w:customStyle="1" w:styleId="34">
    <w:name w:val="font11"/>
    <w:basedOn w:val="27"/>
    <w:qFormat/>
    <w:uiPriority w:val="0"/>
    <w:rPr>
      <w:rFonts w:hint="eastAsia" w:ascii="宋体" w:hAnsi="宋体" w:eastAsia="宋体" w:cs="宋体"/>
      <w:color w:val="000000"/>
      <w:sz w:val="24"/>
      <w:szCs w:val="24"/>
      <w:u w:val="none"/>
      <w:vertAlign w:val="subscript"/>
    </w:rPr>
  </w:style>
  <w:style w:type="character" w:customStyle="1" w:styleId="35">
    <w:name w:val="int_huang_12_b1"/>
    <w:qFormat/>
    <w:uiPriority w:val="0"/>
    <w:rPr>
      <w:rFonts w:hint="default" w:ascii="Verdana" w:hAnsi="Verdana"/>
      <w:b/>
      <w:bCs/>
      <w:color w:val="EECC77"/>
      <w:sz w:val="18"/>
      <w:szCs w:val="18"/>
    </w:rPr>
  </w:style>
  <w:style w:type="paragraph" w:customStyle="1" w:styleId="36">
    <w:name w:val="Table Paragraph"/>
    <w:basedOn w:val="1"/>
    <w:qFormat/>
    <w:uiPriority w:val="1"/>
    <w:rPr>
      <w:rFonts w:ascii="宋体" w:hAnsi="宋体" w:eastAsia="宋体" w:cs="宋体"/>
      <w:lang w:val="zh-CN" w:eastAsia="zh-CN" w:bidi="zh-CN"/>
    </w:rPr>
  </w:style>
  <w:style w:type="paragraph" w:customStyle="1" w:styleId="37">
    <w:name w:val="Default"/>
    <w:next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正文部分"/>
    <w:basedOn w:val="1"/>
    <w:qFormat/>
    <w:uiPriority w:val="0"/>
    <w:pPr>
      <w:spacing w:line="360" w:lineRule="auto"/>
    </w:pPr>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23878</Words>
  <Characters>24907</Characters>
  <Lines>32</Lines>
  <Paragraphs>58</Paragraphs>
  <TotalTime>0</TotalTime>
  <ScaleCrop>false</ScaleCrop>
  <LinksUpToDate>false</LinksUpToDate>
  <CharactersWithSpaces>25950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2021-04-09T07:18:00Z</cp:lastPrinted>
  <dcterms:modified xsi:type="dcterms:W3CDTF">2022-12-13T08:13:26Z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69E5420E09C64B8A838E2E7320C3C010</vt:lpwstr>
  </property>
</Properties>
</file>