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7167800"/>
      <w:bookmarkStart w:id="1" w:name="_Toc385609766"/>
      <w:bookmarkStart w:id="2" w:name="_Toc385787472"/>
      <w:bookmarkStart w:id="3" w:name="_Toc389216451"/>
      <w:bookmarkStart w:id="4" w:name="_Toc385584503"/>
      <w:bookmarkStart w:id="5" w:name="_Toc385783727"/>
      <w:bookmarkStart w:id="6" w:name="_Toc386559306"/>
      <w:bookmarkStart w:id="7" w:name="_Toc389216840"/>
      <w:bookmarkStart w:id="8" w:name="_Toc384982721"/>
      <w:bookmarkStart w:id="9" w:name="_Toc386987368"/>
      <w:bookmarkStart w:id="10" w:name="_Toc390063255"/>
      <w:bookmarkStart w:id="11" w:name="_Toc386615084"/>
      <w:bookmarkStart w:id="12" w:name="_Toc384982824"/>
      <w:bookmarkStart w:id="13" w:name="_Toc390063399"/>
      <w:bookmarkStart w:id="14" w:name="_Toc385586225"/>
      <w:bookmarkStart w:id="15" w:name="_Toc389718322"/>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果洛-直却330千伏输电线路工程 工程用（基础钢筋）采购项目（采购编号：[2022]QSWZCG-080-2）</w:t>
      </w:r>
      <w:bookmarkStart w:id="17" w:name="_GoBack"/>
      <w:bookmarkEnd w:id="17"/>
    </w:p>
    <w:p>
      <w:pPr>
        <w:jc w:val="center"/>
        <w:rPr>
          <w:rFonts w:ascii="宋体" w:hAnsi="宋体" w:cs="宋体"/>
          <w:color w:val="auto"/>
          <w:szCs w:val="21"/>
          <w:highlight w:val="none"/>
        </w:rPr>
      </w:pPr>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C3669AD"/>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