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64A" w:rsidRDefault="0053464A" w:rsidP="0053464A">
      <w:pPr>
        <w:jc w:val="center"/>
        <w:rPr>
          <w:b/>
          <w:bCs/>
        </w:rPr>
      </w:pPr>
      <w:r>
        <w:rPr>
          <w:b/>
          <w:bCs/>
          <w:color w:val="000000"/>
          <w:sz w:val="24"/>
        </w:rPr>
        <w:t>氧化铝卸料、打料及倒运项目工作内容清单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87"/>
        <w:gridCol w:w="1900"/>
        <w:gridCol w:w="6168"/>
        <w:gridCol w:w="2410"/>
        <w:gridCol w:w="742"/>
        <w:gridCol w:w="1231"/>
      </w:tblGrid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序号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工序名称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主要工作内容及范围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工作标准及要求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工器具配备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单位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ind w:leftChars="-50" w:left="-105" w:rightChars="-50" w:right="-105"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暂定工作量（</w:t>
            </w: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年）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氧化铝结块料破碎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氧化铝结块料破碎并返回浓相打料系统。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、根据实际产生的结块量按甲方要求进行破碎。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、氧化铝块料破碎后粒度＜</w:t>
            </w: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毫米。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、氧化铝块料破碎后输送至浓相系统。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</w:t>
            </w:r>
            <w:r>
              <w:rPr>
                <w:kern w:val="0"/>
                <w:position w:val="-6"/>
                <w:sz w:val="18"/>
                <w:szCs w:val="18"/>
              </w:rPr>
              <w:t>、制定有效措施，破碎过程中严格控制现场粉尘飞扬。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、作业区域卫生清理。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为了满足生产需求，所需包括破碎设备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及其它工器具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乙方自行配备。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16200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袋装氧化铝卸料、堆垛、打料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袋装氧化铝到货后的卸料、入库及根据生产工艺的需求进行打料工作；氧化铝仓库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台</w:t>
            </w:r>
            <w:r>
              <w:rPr>
                <w:kern w:val="0"/>
                <w:position w:val="-6"/>
                <w:sz w:val="18"/>
                <w:szCs w:val="18"/>
              </w:rPr>
              <w:t>5T</w:t>
            </w:r>
            <w:r>
              <w:rPr>
                <w:kern w:val="0"/>
                <w:position w:val="-6"/>
                <w:sz w:val="18"/>
                <w:szCs w:val="18"/>
              </w:rPr>
              <w:t>桥式天车运行工作。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小时作业，完成袋装氧化铝卸料、堆垛、打料工作。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、每天卸料量计划约为</w:t>
            </w:r>
            <w:r>
              <w:rPr>
                <w:kern w:val="0"/>
                <w:position w:val="-6"/>
                <w:sz w:val="18"/>
                <w:szCs w:val="18"/>
              </w:rPr>
              <w:t>3000</w:t>
            </w:r>
            <w:r>
              <w:rPr>
                <w:kern w:val="0"/>
                <w:position w:val="-6"/>
                <w:sz w:val="18"/>
                <w:szCs w:val="18"/>
              </w:rPr>
              <w:t>吨，每天最大卸料量约</w:t>
            </w:r>
            <w:r>
              <w:rPr>
                <w:kern w:val="0"/>
                <w:position w:val="-6"/>
                <w:sz w:val="18"/>
                <w:szCs w:val="18"/>
              </w:rPr>
              <w:t>8000</w:t>
            </w:r>
            <w:r>
              <w:rPr>
                <w:kern w:val="0"/>
                <w:position w:val="-6"/>
                <w:sz w:val="18"/>
                <w:szCs w:val="18"/>
              </w:rPr>
              <w:t>吨；每天浓相打料量不少于</w:t>
            </w:r>
            <w:r>
              <w:rPr>
                <w:kern w:val="0"/>
                <w:position w:val="-6"/>
                <w:sz w:val="18"/>
                <w:szCs w:val="18"/>
              </w:rPr>
              <w:t>3000</w:t>
            </w:r>
            <w:r>
              <w:rPr>
                <w:kern w:val="0"/>
                <w:position w:val="-6"/>
                <w:sz w:val="18"/>
                <w:szCs w:val="18"/>
              </w:rPr>
              <w:t>吨；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台</w:t>
            </w:r>
            <w:r>
              <w:rPr>
                <w:kern w:val="0"/>
                <w:position w:val="-6"/>
                <w:sz w:val="18"/>
                <w:szCs w:val="18"/>
              </w:rPr>
              <w:t>5T</w:t>
            </w:r>
            <w:r>
              <w:rPr>
                <w:kern w:val="0"/>
                <w:position w:val="-6"/>
                <w:sz w:val="18"/>
                <w:szCs w:val="18"/>
              </w:rPr>
              <w:t>桥式天车运行工作。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、氧化铝仓库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台</w:t>
            </w:r>
            <w:r>
              <w:rPr>
                <w:kern w:val="0"/>
                <w:position w:val="-6"/>
                <w:sz w:val="18"/>
                <w:szCs w:val="18"/>
              </w:rPr>
              <w:t>5T</w:t>
            </w:r>
            <w:r>
              <w:rPr>
                <w:kern w:val="0"/>
                <w:position w:val="-6"/>
                <w:sz w:val="18"/>
                <w:szCs w:val="18"/>
              </w:rPr>
              <w:t>桥式天车运行、日常检修、维护、保养。滑触线、天车及轨道的大修由甲方负责。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</w:t>
            </w:r>
            <w:r>
              <w:rPr>
                <w:kern w:val="0"/>
                <w:position w:val="-6"/>
                <w:sz w:val="18"/>
                <w:szCs w:val="18"/>
              </w:rPr>
              <w:t>、</w:t>
            </w: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台回柱绞车运行、日常检修、维护、保养。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、及时对氧化铝仓库内卸料、堆垛、打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料完成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后的卫生清扫及仓库内外周边道路、绿化带卫生、积雪清理。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6</w:t>
            </w:r>
            <w:r>
              <w:rPr>
                <w:kern w:val="0"/>
                <w:position w:val="-6"/>
                <w:sz w:val="18"/>
                <w:szCs w:val="18"/>
              </w:rPr>
              <w:t>、保证氧化铝仓库内外地沟管网卫生清理。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7</w:t>
            </w:r>
            <w:r>
              <w:rPr>
                <w:kern w:val="0"/>
                <w:position w:val="-6"/>
                <w:sz w:val="18"/>
                <w:szCs w:val="18"/>
              </w:rPr>
              <w:t>、负责浓相管线更换配合工作。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8</w:t>
            </w:r>
            <w:r>
              <w:rPr>
                <w:kern w:val="0"/>
                <w:position w:val="-6"/>
                <w:sz w:val="18"/>
                <w:szCs w:val="18"/>
              </w:rPr>
              <w:t>、负责到货汽运车辆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揭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篷布并将篷布放回车厢。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台</w:t>
            </w:r>
            <w:r>
              <w:rPr>
                <w:kern w:val="0"/>
                <w:position w:val="-6"/>
                <w:sz w:val="18"/>
                <w:szCs w:val="18"/>
              </w:rPr>
              <w:t>5T</w:t>
            </w:r>
            <w:r>
              <w:rPr>
                <w:kern w:val="0"/>
                <w:position w:val="-6"/>
                <w:sz w:val="18"/>
                <w:szCs w:val="18"/>
              </w:rPr>
              <w:t>桥式天车和</w:t>
            </w: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台回柱绞车由招标人提供。为了满足生产需求，其他所需设备及工器具投标人自行配备。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5475000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罐装氧化铝卸料、打料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氧化铝仓库内罐装氧化铝到货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后的卸料及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根据生产工艺的需求进行打料工作。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、按照生产工艺要求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小时作业，完成罐装氧化铝卸料、打料工作。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、罐装氧化铝要求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小时内完成卸料量</w:t>
            </w:r>
            <w:r>
              <w:rPr>
                <w:sz w:val="18"/>
                <w:szCs w:val="18"/>
              </w:rPr>
              <w:t>910</w:t>
            </w:r>
            <w:r>
              <w:rPr>
                <w:sz w:val="18"/>
                <w:szCs w:val="18"/>
              </w:rPr>
              <w:t>吨，预估每年到货量</w:t>
            </w:r>
            <w:r>
              <w:rPr>
                <w:sz w:val="18"/>
                <w:szCs w:val="18"/>
              </w:rPr>
              <w:t>50000</w:t>
            </w:r>
            <w:r>
              <w:rPr>
                <w:sz w:val="18"/>
                <w:szCs w:val="18"/>
              </w:rPr>
              <w:t>吨。罐装氧化铝打料量按招标人指令和生产实际情况安排打料工作。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、罐内余料人工清理工作。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、及时对罐装氧化铝作业区域的平台、罐体、轨道卫生清理。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、罐装氧化铝卸料口密封圈、紧固螺栓、垫板、进风管二次防护</w:t>
            </w:r>
            <w:proofErr w:type="gramStart"/>
            <w:r>
              <w:rPr>
                <w:sz w:val="18"/>
                <w:szCs w:val="18"/>
              </w:rPr>
              <w:t>防脱链的</w:t>
            </w:r>
            <w:proofErr w:type="gramEnd"/>
            <w:r>
              <w:rPr>
                <w:sz w:val="18"/>
                <w:szCs w:val="18"/>
              </w:rPr>
              <w:t>采购及更换。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、负责超浓相、稀相管线更换配合工作。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lastRenderedPageBreak/>
              <w:t>为了满足生产需求，所需设备及工器具投标人自行配备。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250000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氧化铝库内倒运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氧化铝仓库内跨区间倒运。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小时作业，完成氧化铝仓库内跨区间倒运工作。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、袋装氧化铝必须按照属地管理单位要求倒运至指定跨区，并整齐排列。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、作业区域卫生清理。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5t</w:t>
            </w:r>
            <w:r>
              <w:rPr>
                <w:kern w:val="0"/>
                <w:position w:val="-6"/>
                <w:sz w:val="18"/>
                <w:szCs w:val="18"/>
              </w:rPr>
              <w:t>桥式天车、</w:t>
            </w:r>
            <w:r>
              <w:rPr>
                <w:kern w:val="0"/>
                <w:position w:val="-6"/>
                <w:sz w:val="18"/>
                <w:szCs w:val="18"/>
              </w:rPr>
              <w:t>8</w:t>
            </w:r>
            <w:r>
              <w:rPr>
                <w:kern w:val="0"/>
                <w:position w:val="-6"/>
                <w:sz w:val="18"/>
                <w:szCs w:val="18"/>
              </w:rPr>
              <w:t>吨叉车、平板车由招标方提供，为了满足生产需求，其他所需设备及工器具投标人自行配备。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60000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氟化铝库内卸料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氟化铝到货卸料作业。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小时作业，完成氟化铝到货卸料工作。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、氟化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铝袋必须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按照属地管理单位要求卸至指定跨区，并整齐排列。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、作业区域卫生清理。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为了满足生产需求，所需设备及工器具投标人自行配备。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48000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6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氟化铝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料台加料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作业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氟化铝吊运至氟化铝输送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料台加料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及废袋的清理回收工作。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小时作业，完成氟化铝加料工作。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、计划每天配送量为</w:t>
            </w:r>
            <w:r>
              <w:rPr>
                <w:kern w:val="0"/>
                <w:position w:val="-6"/>
                <w:sz w:val="18"/>
                <w:szCs w:val="18"/>
              </w:rPr>
              <w:t>26</w:t>
            </w:r>
            <w:r>
              <w:rPr>
                <w:kern w:val="0"/>
                <w:position w:val="-6"/>
                <w:sz w:val="18"/>
                <w:szCs w:val="18"/>
              </w:rPr>
              <w:t>吨；最大日配送量为</w:t>
            </w:r>
            <w:r>
              <w:rPr>
                <w:kern w:val="0"/>
                <w:position w:val="-6"/>
                <w:sz w:val="18"/>
                <w:szCs w:val="18"/>
              </w:rPr>
              <w:t>50</w:t>
            </w: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、氟化铝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输送料台周边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卫生清理及废袋回收。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为了满足生产需求，所需设备及工器具投标人自行配备。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48000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7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proofErr w:type="gramStart"/>
            <w:r>
              <w:rPr>
                <w:kern w:val="0"/>
                <w:position w:val="-6"/>
                <w:sz w:val="18"/>
                <w:szCs w:val="18"/>
              </w:rPr>
              <w:t>氧化铝翻袋或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小口割袋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完整氧化铝袋的小口割袋作业及小口袋整理收存。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小时作业，完成氧化铝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完整翻袋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或小口割袋工作。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、小口袋必须完整，除底部小口外不能有破损，割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袋过程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中不得破坏受力带。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proofErr w:type="gramStart"/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</w:t>
            </w: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台翻袋机运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行、检修、维护、保养。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</w:t>
            </w:r>
            <w:r>
              <w:rPr>
                <w:kern w:val="0"/>
                <w:position w:val="-6"/>
                <w:sz w:val="18"/>
                <w:szCs w:val="18"/>
              </w:rPr>
              <w:t>、作业区域卫生清理。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台</w:t>
            </w:r>
            <w:proofErr w:type="gramStart"/>
            <w:r>
              <w:rPr>
                <w:kern w:val="0"/>
                <w:position w:val="-6"/>
                <w:sz w:val="18"/>
                <w:szCs w:val="18"/>
              </w:rPr>
              <w:t>翻袋机</w:t>
            </w:r>
            <w:proofErr w:type="gramEnd"/>
            <w:r>
              <w:rPr>
                <w:kern w:val="0"/>
                <w:position w:val="-6"/>
                <w:sz w:val="18"/>
                <w:szCs w:val="18"/>
              </w:rPr>
              <w:t>由招标人提供。为了满足生产需求，其他所需设备及工器具投标人自行配备。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条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192000</w:t>
            </w:r>
          </w:p>
        </w:tc>
      </w:tr>
      <w:tr w:rsidR="0053464A" w:rsidTr="007E2765">
        <w:trPr>
          <w:trHeight w:val="340"/>
        </w:trPr>
        <w:tc>
          <w:tcPr>
            <w:tcW w:w="534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8</w:t>
            </w:r>
          </w:p>
        </w:tc>
        <w:tc>
          <w:tcPr>
            <w:tcW w:w="1287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氧化铝废袋及彩条布打捆</w:t>
            </w:r>
          </w:p>
        </w:tc>
        <w:tc>
          <w:tcPr>
            <w:tcW w:w="190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废氧化铝袋与内衬区分打捆、彩条布打捆作业。</w:t>
            </w:r>
          </w:p>
        </w:tc>
        <w:tc>
          <w:tcPr>
            <w:tcW w:w="6168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1</w:t>
            </w:r>
            <w:r>
              <w:rPr>
                <w:kern w:val="0"/>
                <w:position w:val="-6"/>
                <w:sz w:val="18"/>
                <w:szCs w:val="18"/>
              </w:rPr>
              <w:t>、按照生产工艺要求</w:t>
            </w:r>
            <w:r>
              <w:rPr>
                <w:kern w:val="0"/>
                <w:position w:val="-6"/>
                <w:sz w:val="18"/>
                <w:szCs w:val="18"/>
              </w:rPr>
              <w:t>24</w:t>
            </w:r>
            <w:r>
              <w:rPr>
                <w:kern w:val="0"/>
                <w:position w:val="-6"/>
                <w:sz w:val="18"/>
                <w:szCs w:val="18"/>
              </w:rPr>
              <w:t>小时作业，完成打捆工作量，不影响生产。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2</w:t>
            </w:r>
            <w:r>
              <w:rPr>
                <w:kern w:val="0"/>
                <w:position w:val="-6"/>
                <w:sz w:val="18"/>
                <w:szCs w:val="18"/>
              </w:rPr>
              <w:t>、将氧化铝袋与内衬塑料分开打捆。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3</w:t>
            </w:r>
            <w:r>
              <w:rPr>
                <w:kern w:val="0"/>
                <w:position w:val="-6"/>
                <w:sz w:val="18"/>
                <w:szCs w:val="18"/>
              </w:rPr>
              <w:t>、彩条布打捆。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4</w:t>
            </w:r>
            <w:r>
              <w:rPr>
                <w:kern w:val="0"/>
                <w:position w:val="-6"/>
                <w:sz w:val="18"/>
                <w:szCs w:val="18"/>
              </w:rPr>
              <w:t>、作业区域卫生清理。</w:t>
            </w:r>
          </w:p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5</w:t>
            </w:r>
            <w:r>
              <w:rPr>
                <w:kern w:val="0"/>
                <w:position w:val="-6"/>
                <w:sz w:val="18"/>
                <w:szCs w:val="18"/>
              </w:rPr>
              <w:t>、打捆尺寸：</w:t>
            </w:r>
            <w:r>
              <w:rPr>
                <w:kern w:val="0"/>
                <w:position w:val="-6"/>
                <w:sz w:val="18"/>
                <w:szCs w:val="18"/>
              </w:rPr>
              <w:t>1.5</w:t>
            </w:r>
            <w:r>
              <w:rPr>
                <w:kern w:val="0"/>
                <w:position w:val="-6"/>
                <w:sz w:val="18"/>
                <w:szCs w:val="18"/>
              </w:rPr>
              <w:t>米</w:t>
            </w:r>
            <w:r>
              <w:rPr>
                <w:kern w:val="0"/>
                <w:position w:val="-6"/>
                <w:sz w:val="18"/>
                <w:szCs w:val="18"/>
              </w:rPr>
              <w:t>*1.3</w:t>
            </w:r>
            <w:r>
              <w:rPr>
                <w:kern w:val="0"/>
                <w:position w:val="-6"/>
                <w:sz w:val="18"/>
                <w:szCs w:val="18"/>
              </w:rPr>
              <w:t>米</w:t>
            </w:r>
            <w:r>
              <w:rPr>
                <w:kern w:val="0"/>
                <w:position w:val="-6"/>
                <w:sz w:val="18"/>
                <w:szCs w:val="18"/>
              </w:rPr>
              <w:t>*0.9</w:t>
            </w:r>
            <w:r>
              <w:rPr>
                <w:kern w:val="0"/>
                <w:position w:val="-6"/>
                <w:sz w:val="18"/>
                <w:szCs w:val="18"/>
              </w:rPr>
              <w:t>米</w:t>
            </w:r>
          </w:p>
        </w:tc>
        <w:tc>
          <w:tcPr>
            <w:tcW w:w="2410" w:type="dxa"/>
            <w:vAlign w:val="center"/>
          </w:tcPr>
          <w:p w:rsidR="0053464A" w:rsidRDefault="0053464A" w:rsidP="007E2765">
            <w:pPr>
              <w:widowControl/>
              <w:contextualSpacing/>
              <w:jc w:val="left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为了满足生产需求，打捆机及工器具投标人自行配备。</w:t>
            </w:r>
          </w:p>
        </w:tc>
        <w:tc>
          <w:tcPr>
            <w:tcW w:w="742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吨</w:t>
            </w:r>
          </w:p>
        </w:tc>
        <w:tc>
          <w:tcPr>
            <w:tcW w:w="1231" w:type="dxa"/>
            <w:vAlign w:val="center"/>
          </w:tcPr>
          <w:p w:rsidR="0053464A" w:rsidRDefault="0053464A" w:rsidP="007E2765">
            <w:pPr>
              <w:widowControl/>
              <w:contextualSpacing/>
              <w:jc w:val="center"/>
              <w:rPr>
                <w:kern w:val="0"/>
                <w:position w:val="-6"/>
                <w:sz w:val="18"/>
                <w:szCs w:val="18"/>
              </w:rPr>
            </w:pPr>
            <w:r>
              <w:rPr>
                <w:kern w:val="0"/>
                <w:position w:val="-6"/>
                <w:sz w:val="18"/>
                <w:szCs w:val="18"/>
              </w:rPr>
              <w:t>9600</w:t>
            </w:r>
          </w:p>
        </w:tc>
      </w:tr>
    </w:tbl>
    <w:p w:rsidR="0053464A" w:rsidRDefault="0053464A" w:rsidP="0053464A">
      <w:pPr>
        <w:spacing w:line="360" w:lineRule="auto"/>
        <w:contextualSpacing/>
        <w:rPr>
          <w:sz w:val="24"/>
        </w:rPr>
      </w:pPr>
      <w:r>
        <w:rPr>
          <w:sz w:val="24"/>
        </w:rPr>
        <w:t>1.2.3</w:t>
      </w:r>
      <w:r>
        <w:rPr>
          <w:sz w:val="24"/>
        </w:rPr>
        <w:t>甲方提供的设施明细：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563"/>
        <w:gridCol w:w="9936"/>
        <w:gridCol w:w="888"/>
        <w:gridCol w:w="1096"/>
      </w:tblGrid>
      <w:tr w:rsidR="0053464A" w:rsidTr="007E2765">
        <w:trPr>
          <w:trHeight w:val="340"/>
        </w:trPr>
        <w:tc>
          <w:tcPr>
            <w:tcW w:w="800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1563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名称</w:t>
            </w:r>
          </w:p>
        </w:tc>
        <w:tc>
          <w:tcPr>
            <w:tcW w:w="993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规格及型号</w:t>
            </w:r>
          </w:p>
        </w:tc>
        <w:tc>
          <w:tcPr>
            <w:tcW w:w="888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</w:t>
            </w:r>
          </w:p>
        </w:tc>
        <w:tc>
          <w:tcPr>
            <w:tcW w:w="109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数量</w:t>
            </w:r>
          </w:p>
        </w:tc>
      </w:tr>
      <w:tr w:rsidR="0053464A" w:rsidTr="007E2765">
        <w:trPr>
          <w:trHeight w:val="340"/>
        </w:trPr>
        <w:tc>
          <w:tcPr>
            <w:tcW w:w="800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3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5T</w:t>
            </w:r>
            <w:r>
              <w:rPr>
                <w:rFonts w:ascii="Times New Roman" w:hAnsi="Times New Roman"/>
                <w:sz w:val="18"/>
                <w:szCs w:val="18"/>
              </w:rPr>
              <w:t>桥式天车</w:t>
            </w:r>
          </w:p>
        </w:tc>
        <w:tc>
          <w:tcPr>
            <w:tcW w:w="993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型号规格：</w:t>
            </w:r>
            <w:r>
              <w:rPr>
                <w:rFonts w:ascii="Times New Roman" w:hAnsi="Times New Roman"/>
                <w:sz w:val="18"/>
                <w:szCs w:val="18"/>
              </w:rPr>
              <w:t>QD5-13.5;</w:t>
            </w:r>
            <w:r>
              <w:rPr>
                <w:rFonts w:ascii="Times New Roman" w:hAnsi="Times New Roman"/>
                <w:sz w:val="18"/>
                <w:szCs w:val="18"/>
              </w:rPr>
              <w:t>主机速度：</w:t>
            </w:r>
            <w:r>
              <w:rPr>
                <w:rFonts w:ascii="Times New Roman" w:hAnsi="Times New Roman"/>
                <w:sz w:val="18"/>
                <w:szCs w:val="18"/>
              </w:rPr>
              <w:t>11.3m/min;</w:t>
            </w:r>
            <w:r>
              <w:rPr>
                <w:rFonts w:ascii="Times New Roman" w:hAnsi="Times New Roman"/>
                <w:sz w:val="18"/>
                <w:szCs w:val="18"/>
              </w:rPr>
              <w:t>大车运行速度：</w:t>
            </w:r>
            <w:r>
              <w:rPr>
                <w:rFonts w:ascii="Times New Roman" w:hAnsi="Times New Roman"/>
                <w:sz w:val="18"/>
                <w:szCs w:val="18"/>
              </w:rPr>
              <w:t>90.7m/min</w:t>
            </w:r>
            <w:r>
              <w:rPr>
                <w:rFonts w:ascii="Times New Roman" w:hAnsi="Times New Roman"/>
                <w:sz w:val="18"/>
                <w:szCs w:val="18"/>
              </w:rPr>
              <w:t>；工作级别：</w:t>
            </w:r>
            <w:r>
              <w:rPr>
                <w:rFonts w:ascii="Times New Roman" w:hAnsi="Times New Roman"/>
                <w:sz w:val="18"/>
                <w:szCs w:val="18"/>
              </w:rPr>
              <w:t>A5</w:t>
            </w:r>
            <w:r>
              <w:rPr>
                <w:rFonts w:ascii="Times New Roman" w:hAnsi="Times New Roman"/>
                <w:sz w:val="18"/>
                <w:szCs w:val="18"/>
              </w:rPr>
              <w:t>；主起升高度：</w:t>
            </w:r>
            <w:r>
              <w:rPr>
                <w:rFonts w:ascii="Times New Roman" w:hAnsi="Times New Roman"/>
                <w:sz w:val="18"/>
                <w:szCs w:val="18"/>
              </w:rPr>
              <w:t>15M</w:t>
            </w:r>
          </w:p>
        </w:tc>
        <w:tc>
          <w:tcPr>
            <w:tcW w:w="888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台</w:t>
            </w:r>
          </w:p>
        </w:tc>
        <w:tc>
          <w:tcPr>
            <w:tcW w:w="109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53464A" w:rsidTr="007E2765">
        <w:trPr>
          <w:trHeight w:val="340"/>
        </w:trPr>
        <w:tc>
          <w:tcPr>
            <w:tcW w:w="800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3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回柱绞车</w:t>
            </w:r>
          </w:p>
        </w:tc>
        <w:tc>
          <w:tcPr>
            <w:tcW w:w="993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型号：</w:t>
            </w:r>
            <w:r>
              <w:rPr>
                <w:rFonts w:ascii="Times New Roman" w:hAnsi="Times New Roman"/>
                <w:sz w:val="18"/>
                <w:szCs w:val="18"/>
              </w:rPr>
              <w:t>YBK2-200L2-6</w:t>
            </w:r>
          </w:p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380/660V;F</w:t>
            </w:r>
            <w:r>
              <w:rPr>
                <w:rFonts w:ascii="Times New Roman" w:hAnsi="Times New Roman"/>
                <w:sz w:val="18"/>
                <w:szCs w:val="18"/>
              </w:rPr>
              <w:t>级绝缘</w:t>
            </w:r>
            <w:r>
              <w:rPr>
                <w:rFonts w:ascii="Times New Roman" w:hAnsi="Times New Roman"/>
                <w:sz w:val="18"/>
                <w:szCs w:val="18"/>
              </w:rPr>
              <w:t>220KW;50Hz</w:t>
            </w:r>
            <w:r>
              <w:rPr>
                <w:rFonts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44.7/25.8A</w:t>
            </w:r>
          </w:p>
        </w:tc>
        <w:tc>
          <w:tcPr>
            <w:tcW w:w="888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台</w:t>
            </w:r>
          </w:p>
        </w:tc>
        <w:tc>
          <w:tcPr>
            <w:tcW w:w="109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3464A" w:rsidTr="007E2765">
        <w:trPr>
          <w:trHeight w:val="340"/>
        </w:trPr>
        <w:tc>
          <w:tcPr>
            <w:tcW w:w="800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翻袋机</w:t>
            </w:r>
            <w:proofErr w:type="gramEnd"/>
          </w:p>
        </w:tc>
        <w:tc>
          <w:tcPr>
            <w:tcW w:w="993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型号：</w:t>
            </w:r>
            <w:r>
              <w:rPr>
                <w:rFonts w:ascii="Times New Roman" w:hAnsi="Times New Roman"/>
                <w:sz w:val="18"/>
                <w:szCs w:val="18"/>
              </w:rPr>
              <w:t>FCKH2050*110*1200-1.5T;</w:t>
            </w:r>
            <w:r>
              <w:rPr>
                <w:rFonts w:ascii="Times New Roman" w:hAnsi="Times New Roman"/>
                <w:sz w:val="18"/>
                <w:szCs w:val="18"/>
              </w:rPr>
              <w:t>主轴转数：</w:t>
            </w:r>
            <w:r>
              <w:rPr>
                <w:rFonts w:ascii="Times New Roman" w:hAnsi="Times New Roman"/>
                <w:sz w:val="18"/>
                <w:szCs w:val="18"/>
              </w:rPr>
              <w:t>1400r/min;</w:t>
            </w:r>
            <w:r>
              <w:rPr>
                <w:rFonts w:ascii="Times New Roman" w:hAnsi="Times New Roman"/>
                <w:sz w:val="18"/>
                <w:szCs w:val="18"/>
              </w:rPr>
              <w:t>电机功率：</w:t>
            </w:r>
            <w:r>
              <w:rPr>
                <w:rFonts w:ascii="Times New Roman" w:hAnsi="Times New Roman"/>
                <w:sz w:val="18"/>
                <w:szCs w:val="18"/>
              </w:rPr>
              <w:t>7.5KW</w:t>
            </w:r>
          </w:p>
        </w:tc>
        <w:tc>
          <w:tcPr>
            <w:tcW w:w="888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台</w:t>
            </w:r>
          </w:p>
        </w:tc>
        <w:tc>
          <w:tcPr>
            <w:tcW w:w="1096" w:type="dxa"/>
            <w:vAlign w:val="center"/>
          </w:tcPr>
          <w:p w:rsidR="0053464A" w:rsidRDefault="0053464A" w:rsidP="007E2765">
            <w:pPr>
              <w:pStyle w:val="1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AB476D" w:rsidRDefault="00AB476D"/>
    <w:sectPr w:rsidR="00AB476D" w:rsidSect="005346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4A"/>
    <w:rsid w:val="0053464A"/>
    <w:rsid w:val="00A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6885-6B0E-4A35-8F3D-41DF1562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46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3464A"/>
    <w:pPr>
      <w:ind w:firstLineChars="200" w:firstLine="420"/>
    </w:pPr>
    <w:rPr>
      <w:rFonts w:ascii="Calibri" w:hAnsi="Calibri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53464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346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10A17DB-E5BD-4A58-83E6-2C6B284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2023-01-07T07:22:00Z</dcterms:created>
  <dcterms:modified xsi:type="dcterms:W3CDTF">2023-01-07T07:23:00Z</dcterms:modified>
</cp:coreProperties>
</file>