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Arial" w:hAnsi="Arial" w:eastAsia="新宋体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新宋体" w:cs="Arial"/>
          <w:kern w:val="2"/>
          <w:sz w:val="28"/>
          <w:szCs w:val="28"/>
          <w:lang w:val="en-US" w:eastAsia="zh-CN" w:bidi="ar-SA"/>
        </w:rPr>
        <w:t>附件：</w:t>
      </w:r>
    </w:p>
    <w:p>
      <w:pPr>
        <w:rPr>
          <w:rFonts w:hint="eastAsia" w:ascii="Arial" w:hAnsi="Arial" w:eastAsia="新宋体" w:cs="Arial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新宋体" w:cs="Arial"/>
          <w:b/>
          <w:bCs/>
          <w:kern w:val="2"/>
          <w:sz w:val="28"/>
          <w:szCs w:val="28"/>
          <w:lang w:val="en-US" w:eastAsia="zh-CN" w:bidi="ar-SA"/>
        </w:rPr>
        <w:t>更正前内容：</w:t>
      </w:r>
      <w:bookmarkStart w:id="0" w:name="_Toc3405"/>
    </w:p>
    <w:p>
      <w:pPr>
        <w:rPr>
          <w:rFonts w:hint="eastAsia" w:ascii="Arial" w:hAnsi="Arial" w:eastAsia="新宋体" w:cs="Arial"/>
          <w:kern w:val="2"/>
          <w:sz w:val="28"/>
          <w:szCs w:val="28"/>
          <w:lang w:val="en-US" w:eastAsia="zh-CN" w:bidi="ar-SA"/>
        </w:rPr>
      </w:pPr>
      <w:r>
        <w:rPr>
          <w:rFonts w:hint="default" w:ascii="Arial" w:hAnsi="Arial" w:eastAsia="新宋体" w:cs="Arial"/>
          <w:kern w:val="2"/>
          <w:sz w:val="28"/>
          <w:szCs w:val="28"/>
          <w:lang w:val="zh-CN" w:eastAsia="zh-CN" w:bidi="ar-SA"/>
        </w:rPr>
        <w:t>1</w:t>
      </w:r>
      <w:r>
        <w:rPr>
          <w:rFonts w:hint="eastAsia" w:ascii="Arial" w:hAnsi="Arial" w:eastAsia="新宋体" w:cs="Arial"/>
          <w:kern w:val="2"/>
          <w:sz w:val="28"/>
          <w:szCs w:val="28"/>
          <w:lang w:val="en-US" w:eastAsia="zh-CN" w:bidi="ar-SA"/>
        </w:rPr>
        <w:t>8</w:t>
      </w:r>
      <w:r>
        <w:rPr>
          <w:rFonts w:hint="default" w:ascii="Arial" w:hAnsi="Arial" w:eastAsia="新宋体" w:cs="Arial"/>
          <w:kern w:val="2"/>
          <w:sz w:val="28"/>
          <w:szCs w:val="28"/>
          <w:lang w:val="zh-CN" w:eastAsia="zh-CN" w:bidi="ar-SA"/>
        </w:rPr>
        <w:t>.</w:t>
      </w:r>
      <w:r>
        <w:rPr>
          <w:rFonts w:hint="eastAsia" w:ascii="Arial" w:hAnsi="Arial" w:eastAsia="新宋体" w:cs="Arial"/>
          <w:kern w:val="2"/>
          <w:sz w:val="28"/>
          <w:szCs w:val="28"/>
          <w:lang w:val="zh-CN" w:eastAsia="zh-CN" w:bidi="ar-SA"/>
        </w:rPr>
        <w:t>评审办法</w:t>
      </w:r>
      <w:bookmarkEnd w:id="0"/>
    </w:p>
    <w:p>
      <w:pPr>
        <w:spacing w:line="360" w:lineRule="auto"/>
        <w:rPr>
          <w:rFonts w:ascii="Arial" w:hAnsi="Arial" w:cs="Arial"/>
          <w:color w:val="auto"/>
          <w:lang w:val="zh-CN"/>
        </w:rPr>
      </w:pPr>
      <w:r>
        <w:rPr>
          <w:rFonts w:ascii="Arial" w:hAnsi="Arial" w:cs="Arial"/>
          <w:b/>
          <w:bCs/>
          <w:color w:val="auto"/>
          <w:sz w:val="24"/>
        </w:rPr>
        <w:t>包三：宽幅面打印机购置</w:t>
      </w:r>
      <w:r>
        <w:rPr>
          <w:rFonts w:ascii="Arial" w:hAnsi="Arial" w:cs="Arial"/>
          <w:b/>
          <w:bCs/>
          <w:color w:val="auto"/>
          <w:sz w:val="24"/>
          <w:lang w:val="zh-CN"/>
        </w:rPr>
        <w:t>评分细则</w:t>
      </w:r>
    </w:p>
    <w:tbl>
      <w:tblPr>
        <w:tblStyle w:val="7"/>
        <w:tblW w:w="4997" w:type="pct"/>
        <w:jc w:val="center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55"/>
        <w:gridCol w:w="801"/>
        <w:gridCol w:w="5665"/>
        <w:gridCol w:w="7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6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评分因素</w:t>
            </w:r>
          </w:p>
        </w:tc>
        <w:tc>
          <w:tcPr>
            <w:tcW w:w="750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项目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满分 分值</w:t>
            </w:r>
          </w:p>
        </w:tc>
        <w:tc>
          <w:tcPr>
            <w:tcW w:w="3139" w:type="pct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 xml:space="preserve">                  评审标准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666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最后磋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商报价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</w:rPr>
              <w:t>30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分</w:t>
            </w:r>
          </w:p>
        </w:tc>
        <w:tc>
          <w:tcPr>
            <w:tcW w:w="750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报价分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30</w:t>
            </w:r>
          </w:p>
        </w:tc>
        <w:tc>
          <w:tcPr>
            <w:tcW w:w="3139" w:type="pct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综合评分法中的价格分统一采用低价优先法计算，即满足磋商文件要求且最后报价最低的供应商的价格为磋商基准价，其价格分为满分。其他供应商的价格分统一按照下列公式计算：</w:t>
            </w:r>
          </w:p>
          <w:p>
            <w:pPr>
              <w:pStyle w:val="9"/>
              <w:spacing w:line="360" w:lineRule="auto"/>
              <w:ind w:firstLine="0" w:firstLineChars="0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磋商报价得分=（磋商基准价/最后磋商报价）×30%×100（四舍五入后保留小数点后两位）</w:t>
            </w:r>
          </w:p>
          <w:p>
            <w:pPr>
              <w:spacing w:line="360" w:lineRule="auto"/>
              <w:rPr>
                <w:rFonts w:ascii="Arial" w:hAnsi="Arial" w:cs="Arial"/>
                <w:color w:val="auto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注：根据《政府采购促进中小企业发展管理办法》</w:t>
            </w:r>
            <w:r>
              <w:rPr>
                <w:rFonts w:ascii="Arial" w:hAnsi="Arial" w:cs="Arial"/>
                <w:color w:val="auto"/>
                <w:sz w:val="24"/>
              </w:rPr>
              <w:t>及《关于进一步加大政府采购支持中小企业力度的通知》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的相关规定，对小型和微型企业制造（生产）产品的价格给予</w:t>
            </w:r>
            <w:r>
              <w:rPr>
                <w:rFonts w:ascii="Arial" w:hAnsi="Arial" w:cs="Arial"/>
                <w:color w:val="auto"/>
                <w:sz w:val="24"/>
              </w:rPr>
              <w:t>10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%的扣除，用扣除后的价格参与评审。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1206" w:hRule="atLeast"/>
          <w:jc w:val="center"/>
        </w:trPr>
        <w:tc>
          <w:tcPr>
            <w:tcW w:w="666" w:type="pct"/>
            <w:vMerge w:val="restar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商务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评价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13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分</w:t>
            </w:r>
          </w:p>
        </w:tc>
        <w:tc>
          <w:tcPr>
            <w:tcW w:w="750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lang w:val="zh-CN" w:bidi="zh-CN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val="zh-CN" w:bidi="zh-CN"/>
              </w:rPr>
              <w:t>类似业绩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8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提供2019以来类似项目业绩的，每提供一个得1分，最高得8分；未提供不得分。（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需提供包含合同首页、标的及金额所在页、供货合同签字盖章页的扫描（或复印）件</w:t>
            </w:r>
            <w:r>
              <w:rPr>
                <w:rFonts w:hint="eastAsia" w:ascii="Arial" w:hAnsi="Arial" w:cs="Arial"/>
                <w:color w:val="auto"/>
                <w:sz w:val="24"/>
                <w:lang w:val="zh-CN"/>
              </w:rPr>
              <w:t>，</w:t>
            </w: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合同须有原件备查</w:t>
            </w:r>
            <w:r>
              <w:rPr>
                <w:rFonts w:ascii="Arial" w:hAnsi="Arial" w:cs="Arial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1247" w:hRule="atLeast"/>
          <w:jc w:val="center"/>
        </w:trPr>
        <w:tc>
          <w:tcPr>
            <w:tcW w:w="666" w:type="pct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</w:p>
        </w:tc>
        <w:tc>
          <w:tcPr>
            <w:tcW w:w="750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lang w:val="zh-CN" w:bidi="zh-CN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zh-CN"/>
              </w:rPr>
              <w:t>获奖情况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5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</w:rPr>
              <w:t>自2020年以来获得过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地理信息产业优秀工程奖</w:t>
            </w:r>
            <w:r>
              <w:rPr>
                <w:rFonts w:ascii="Arial" w:hAnsi="Arial" w:cs="Arial"/>
                <w:color w:val="auto"/>
                <w:sz w:val="24"/>
              </w:rPr>
              <w:t>或者地理信息产业优秀工程其他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省部级</w:t>
            </w:r>
            <w:r>
              <w:rPr>
                <w:rFonts w:ascii="Arial" w:hAnsi="Arial" w:cs="Arial"/>
                <w:color w:val="auto"/>
                <w:sz w:val="24"/>
              </w:rPr>
              <w:t>奖项的，</w:t>
            </w: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每</w:t>
            </w:r>
            <w:r>
              <w:rPr>
                <w:rFonts w:ascii="Arial" w:hAnsi="Arial" w:cs="Arial"/>
                <w:color w:val="auto"/>
                <w:sz w:val="24"/>
              </w:rPr>
              <w:t>提供一项</w:t>
            </w:r>
            <w:r>
              <w:rPr>
                <w:rFonts w:hint="eastAsia" w:ascii="Arial" w:hAnsi="Arial" w:cs="Arial"/>
                <w:color w:val="auto"/>
                <w:sz w:val="24"/>
                <w:lang w:eastAsia="zh-CN"/>
              </w:rPr>
              <w:t>，</w:t>
            </w:r>
            <w:r>
              <w:rPr>
                <w:rFonts w:ascii="Arial" w:hAnsi="Arial" w:cs="Arial"/>
                <w:color w:val="auto"/>
                <w:sz w:val="24"/>
              </w:rPr>
              <w:t>得1分，最高得5分，不提供不得分。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1280" w:hRule="atLeast"/>
          <w:jc w:val="center"/>
        </w:trPr>
        <w:tc>
          <w:tcPr>
            <w:tcW w:w="666" w:type="pct"/>
            <w:vMerge w:val="restar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技术评价</w:t>
            </w: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47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分</w:t>
            </w:r>
          </w:p>
        </w:tc>
        <w:tc>
          <w:tcPr>
            <w:tcW w:w="750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lang w:bidi="zh-CN"/>
              </w:rPr>
            </w:pPr>
            <w:r>
              <w:rPr>
                <w:rFonts w:ascii="Arial" w:hAnsi="Arial" w:cs="Arial"/>
                <w:color w:val="auto"/>
                <w:sz w:val="24"/>
              </w:rPr>
              <w:t>技术参数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  <w:lang w:val="zh-CN"/>
              </w:rPr>
              <w:t>投标产品技术参数和配置完全满足或高于</w:t>
            </w: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竞争性磋商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文件要求的，得</w:t>
            </w: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30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分；每有一项负偏离扣</w:t>
            </w:r>
            <w:r>
              <w:rPr>
                <w:rFonts w:ascii="Arial" w:hAnsi="Arial" w:cs="Arial"/>
                <w:color w:val="auto"/>
                <w:sz w:val="24"/>
              </w:rPr>
              <w:t>3</w:t>
            </w:r>
            <w:r>
              <w:rPr>
                <w:rFonts w:ascii="Arial" w:hAnsi="Arial" w:cs="Arial"/>
                <w:color w:val="auto"/>
                <w:sz w:val="24"/>
                <w:lang w:val="zh-CN"/>
              </w:rPr>
              <w:t>分，扣完该项得分为止。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2540" w:hRule="atLeast"/>
          <w:jc w:val="center"/>
        </w:trPr>
        <w:tc>
          <w:tcPr>
            <w:tcW w:w="666" w:type="pct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</w:p>
        </w:tc>
        <w:tc>
          <w:tcPr>
            <w:tcW w:w="750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lang w:bidi="zh-CN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bidi="zh-CN"/>
              </w:rPr>
              <w:t>项目团队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9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（1）项目总负责人具有电子信息（或计算机）工程类高级工程师证书，得1分，不提供不得分。</w:t>
            </w:r>
          </w:p>
          <w:p>
            <w:pPr>
              <w:spacing w:line="36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（2）项目实施经理具有信息系统项目管理师高级证书的得2分，中级的得1分，不提供不得分。</w:t>
            </w:r>
          </w:p>
          <w:p>
            <w:pPr>
              <w:spacing w:line="36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（3）项目组成员具有信息系统项目管理师中级证书的，每提供1人得1分，最高得4分，不提供不得分。</w:t>
            </w:r>
          </w:p>
          <w:p>
            <w:pPr>
              <w:spacing w:line="36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（4）项目组成员具有PMP（项目管理专业人员资格认证）的，每提供一人得1分，最高得2分，不提供不得分。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1350" w:hRule="atLeast"/>
          <w:jc w:val="center"/>
        </w:trPr>
        <w:tc>
          <w:tcPr>
            <w:tcW w:w="666" w:type="pct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750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</w:rPr>
              <w:t>项目管理实施方案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设置了项目管理机构，并且有科学、具体的项目管理措施（包含：1.详细的实施计划；2.实施团队；3.实施进度；4.质量控制措施；5.安全保障措施），安排充分合理，方案内容描述条理清晰、科学合理、内容完整、响应度高、具体措施切实可行的，得8分；实施方案内容完整、较合理科学、制定的措施较可行的，得5分；方案内容粗略简单、缺乏科学性合理性，可行性一般的得3分；方案内容不健全、有明显不足的，得1分；方案内容无实际措施、与项目需求无切实关联、编写逻辑混乱的不得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992" w:hRule="atLeast"/>
          <w:jc w:val="center"/>
        </w:trPr>
        <w:tc>
          <w:tcPr>
            <w:tcW w:w="666" w:type="pct"/>
            <w:vMerge w:val="restar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lang w:val="zh-CN" w:bidi="zh-CN"/>
              </w:rPr>
              <w:t>售后服务</w:t>
            </w:r>
            <w:r>
              <w:rPr>
                <w:rFonts w:ascii="Arial" w:hAnsi="Arial" w:cs="Arial"/>
                <w:color w:val="auto"/>
                <w:kern w:val="0"/>
                <w:sz w:val="24"/>
                <w:lang w:bidi="zh-CN"/>
              </w:rPr>
              <w:t>10分</w:t>
            </w:r>
          </w:p>
        </w:tc>
        <w:tc>
          <w:tcPr>
            <w:tcW w:w="750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</w:rPr>
              <w:t>售后服务方案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6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针对该项目须有完善的售后服务体系（包含：1.售后服务机构和人员；2.售后服务内容及流程；3.售后服务响应时间和质量；4.售后服务方式和特色），结合以上因素进行评价，内容完整、完全满足要求的得6分；方案体系较完整，基本满足要求的得3分；方案体系明显缺失，部分符合要求的，得1分。未提供或其他情况不得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992" w:hRule="atLeast"/>
          <w:jc w:val="center"/>
        </w:trPr>
        <w:tc>
          <w:tcPr>
            <w:tcW w:w="666" w:type="pct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lang w:val="zh-CN" w:bidi="zh-CN"/>
              </w:rPr>
            </w:pPr>
          </w:p>
        </w:tc>
        <w:tc>
          <w:tcPr>
            <w:tcW w:w="750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lang w:val="zh-CN" w:bidi="zh-CN"/>
              </w:rPr>
            </w:pPr>
            <w:r>
              <w:rPr>
                <w:rFonts w:ascii="Arial" w:hAnsi="Arial" w:cs="Arial"/>
                <w:color w:val="auto"/>
                <w:sz w:val="24"/>
              </w:rPr>
              <w:t>售后服务计划、措施及服务承诺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4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针对该项目提供详尽的组织配送、验收等方面的服务能力、措施进行评价。承诺全面符合或优于要求的得4分；承诺较全面符合要求的得2分；承诺缺失不符合要求响应差的得1分。未提供或其他情况不得分。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更正后内容：</w:t>
      </w:r>
    </w:p>
    <w:p>
      <w:pPr>
        <w:rPr>
          <w:rFonts w:hint="eastAsia" w:ascii="Arial" w:hAnsi="Arial" w:eastAsia="新宋体" w:cs="Arial"/>
          <w:kern w:val="2"/>
          <w:sz w:val="28"/>
          <w:szCs w:val="28"/>
          <w:lang w:val="en-US" w:eastAsia="zh-CN" w:bidi="ar-SA"/>
        </w:rPr>
      </w:pPr>
      <w:r>
        <w:rPr>
          <w:rFonts w:hint="default" w:ascii="Arial" w:hAnsi="Arial" w:eastAsia="新宋体" w:cs="Arial"/>
          <w:kern w:val="2"/>
          <w:sz w:val="28"/>
          <w:szCs w:val="28"/>
          <w:lang w:val="zh-CN" w:eastAsia="zh-CN" w:bidi="ar-SA"/>
        </w:rPr>
        <w:t>1</w:t>
      </w:r>
      <w:r>
        <w:rPr>
          <w:rFonts w:hint="eastAsia" w:ascii="Arial" w:hAnsi="Arial" w:eastAsia="新宋体" w:cs="Arial"/>
          <w:kern w:val="2"/>
          <w:sz w:val="28"/>
          <w:szCs w:val="28"/>
          <w:lang w:val="en-US" w:eastAsia="zh-CN" w:bidi="ar-SA"/>
        </w:rPr>
        <w:t>8</w:t>
      </w:r>
      <w:r>
        <w:rPr>
          <w:rFonts w:hint="default" w:ascii="Arial" w:hAnsi="Arial" w:eastAsia="新宋体" w:cs="Arial"/>
          <w:kern w:val="2"/>
          <w:sz w:val="28"/>
          <w:szCs w:val="28"/>
          <w:lang w:val="zh-CN" w:eastAsia="zh-CN" w:bidi="ar-SA"/>
        </w:rPr>
        <w:t>.</w:t>
      </w:r>
      <w:r>
        <w:rPr>
          <w:rFonts w:hint="eastAsia" w:ascii="Arial" w:hAnsi="Arial" w:eastAsia="新宋体" w:cs="Arial"/>
          <w:kern w:val="2"/>
          <w:sz w:val="28"/>
          <w:szCs w:val="28"/>
          <w:lang w:val="zh-CN" w:eastAsia="zh-CN" w:bidi="ar-SA"/>
        </w:rPr>
        <w:t>评审办法</w:t>
      </w:r>
    </w:p>
    <w:p>
      <w:pPr>
        <w:spacing w:line="360" w:lineRule="auto"/>
        <w:rPr>
          <w:rFonts w:ascii="Arial" w:hAnsi="Arial" w:cs="Arial"/>
          <w:color w:val="auto"/>
          <w:lang w:val="zh-CN"/>
        </w:rPr>
      </w:pPr>
      <w:r>
        <w:rPr>
          <w:rFonts w:ascii="Arial" w:hAnsi="Arial" w:cs="Arial"/>
          <w:b/>
          <w:bCs/>
          <w:color w:val="auto"/>
          <w:sz w:val="24"/>
        </w:rPr>
        <w:t>包三：宽幅面打印机购置</w:t>
      </w:r>
      <w:r>
        <w:rPr>
          <w:rFonts w:ascii="Arial" w:hAnsi="Arial" w:cs="Arial"/>
          <w:b/>
          <w:bCs/>
          <w:color w:val="auto"/>
          <w:sz w:val="24"/>
          <w:lang w:val="zh-CN"/>
        </w:rPr>
        <w:t>评分细则</w:t>
      </w:r>
    </w:p>
    <w:tbl>
      <w:tblPr>
        <w:tblStyle w:val="7"/>
        <w:tblW w:w="4997" w:type="pct"/>
        <w:jc w:val="center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350"/>
        <w:gridCol w:w="817"/>
        <w:gridCol w:w="5665"/>
        <w:gridCol w:w="2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评分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因素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项目</w:t>
            </w:r>
          </w:p>
        </w:tc>
        <w:tc>
          <w:tcPr>
            <w:tcW w:w="452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满分 分值</w:t>
            </w:r>
          </w:p>
        </w:tc>
        <w:tc>
          <w:tcPr>
            <w:tcW w:w="3136" w:type="pct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 xml:space="preserve">                  评审标准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66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最后磋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商报价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</w:rPr>
              <w:t>30</w:t>
            </w: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分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报价分</w:t>
            </w:r>
          </w:p>
        </w:tc>
        <w:tc>
          <w:tcPr>
            <w:tcW w:w="452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</w:rPr>
              <w:t>30</w:t>
            </w:r>
          </w:p>
        </w:tc>
        <w:tc>
          <w:tcPr>
            <w:tcW w:w="3136" w:type="pct"/>
            <w:gridSpan w:val="2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综合评分法中的价格分统一采用低价优先法计算，即满足磋商文件要求且最后报价最低的供应商的价格为磋商基准价，其价格分为满分。其他供应商的价格分统一按照下列公式计算：</w:t>
            </w:r>
          </w:p>
          <w:p>
            <w:pPr>
              <w:pStyle w:val="9"/>
              <w:spacing w:line="360" w:lineRule="auto"/>
              <w:ind w:firstLine="0" w:firstLineChars="0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磋商报价得分=（磋商基准价/最后磋商报价）×30%×100（四舍五入后保留小数点后两位）</w:t>
            </w:r>
          </w:p>
          <w:p>
            <w:pPr>
              <w:spacing w:line="360" w:lineRule="auto"/>
              <w:rPr>
                <w:rFonts w:ascii="Arial" w:hAnsi="Arial" w:cs="Arial"/>
                <w:color w:val="auto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注：根据《政府采购促进中小企业发展管理办法》</w:t>
            </w:r>
            <w:r>
              <w:rPr>
                <w:rFonts w:ascii="Arial" w:hAnsi="Arial" w:cs="Arial"/>
                <w:color w:val="auto"/>
                <w:sz w:val="24"/>
                <w:highlight w:val="none"/>
              </w:rPr>
              <w:t>及《关于进一步加大政府采购支持中小企业力度的通知》</w:t>
            </w: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的相关规定，对小型和微型企业制造（生产）产品的价格给予</w:t>
            </w:r>
            <w:r>
              <w:rPr>
                <w:rFonts w:ascii="Arial" w:hAnsi="Arial" w:cs="Arial"/>
                <w:color w:val="auto"/>
                <w:sz w:val="24"/>
                <w:highlight w:val="none"/>
              </w:rPr>
              <w:t>10</w:t>
            </w: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%的扣除，用扣除后的价格参与评审。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1206" w:hRule="atLeast"/>
          <w:jc w:val="center"/>
        </w:trPr>
        <w:tc>
          <w:tcPr>
            <w:tcW w:w="663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商务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评价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分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highlight w:val="none"/>
                <w:lang w:val="zh-CN" w:bidi="zh-CN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highlight w:val="none"/>
                <w:lang w:val="zh-CN" w:bidi="zh-CN"/>
              </w:rPr>
              <w:t>类似业绩</w:t>
            </w:r>
          </w:p>
        </w:tc>
        <w:tc>
          <w:tcPr>
            <w:tcW w:w="452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color w:val="auto"/>
                <w:sz w:val="24"/>
                <w:highlight w:val="none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</w:rPr>
              <w:t>提供2019以来类似项目业绩的，每提供一个得1分，最高得8分；未提供不得分。（</w:t>
            </w: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需提供包含合同首页、标的及金额所在页、供货合同签字盖章页的扫描（或复印）件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zh-CN"/>
              </w:rPr>
              <w:t>，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合同须有原件备查</w:t>
            </w:r>
            <w:r>
              <w:rPr>
                <w:rFonts w:ascii="Arial" w:hAnsi="Arial" w:cs="Arial"/>
                <w:color w:val="auto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1280" w:hRule="atLeast"/>
          <w:jc w:val="center"/>
        </w:trPr>
        <w:tc>
          <w:tcPr>
            <w:tcW w:w="663" w:type="pct"/>
            <w:vMerge w:val="restar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技术评价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48</w:t>
            </w: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分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highlight w:val="none"/>
                <w:lang w:bidi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</w:rPr>
              <w:t>技术参数</w:t>
            </w:r>
          </w:p>
        </w:tc>
        <w:tc>
          <w:tcPr>
            <w:tcW w:w="452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Arial" w:hAnsi="Arial" w:cs="Arial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39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auto"/>
                <w:sz w:val="24"/>
                <w:highlight w:val="none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投标产品技术参数和配置完全满足或高于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竞争性磋商</w:t>
            </w: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文件要求的，得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39</w:t>
            </w: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分；每有一项负偏离扣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  <w:t>分，扣完该项得分为止。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1280" w:hRule="atLeast"/>
          <w:jc w:val="center"/>
        </w:trPr>
        <w:tc>
          <w:tcPr>
            <w:tcW w:w="663" w:type="pct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4"/>
                <w:highlight w:val="none"/>
              </w:rPr>
              <w:t>环保和节能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56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ascii="Arial" w:hAnsi="Arial" w:cs="Arial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zh-CN"/>
              </w:rPr>
              <w:t>投标产品具有环保认证证书的，得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zh-CN"/>
              </w:rPr>
              <w:t>.5分；具有节能认证证书的，得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zh-CN"/>
              </w:rPr>
              <w:t>.5分；未提供不得分。该项得分的认定以《国家节能产品认证证书》、《中国环境标志产品认证证书》</w:t>
            </w: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复印件（或扫描件）为准。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780" w:hRule="atLeast"/>
          <w:jc w:val="center"/>
        </w:trPr>
        <w:tc>
          <w:tcPr>
            <w:tcW w:w="663" w:type="pct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</w:rPr>
            </w:pP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</w:rPr>
              <w:t>项目管理实施方案</w:t>
            </w:r>
          </w:p>
        </w:tc>
        <w:tc>
          <w:tcPr>
            <w:tcW w:w="452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Arial" w:hAnsi="Arial" w:eastAsia="宋体" w:cs="Arial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Arial" w:hAnsi="Arial" w:cs="Arial"/>
                <w:color w:val="auto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4"/>
                <w:highlight w:val="none"/>
              </w:rPr>
              <w:t>结合当地实际情况进行详细方案设计，提供详细的供货组织方案和计划进度表，设置了项目管理机构，并且有科学、具体的项目管理措施及质量保障方案，结合以上因素进行评价，方案内容完整、完全满足要求，得8分；方案内容较完整，较合理，得5分；方案基本满足合理，得3分；方案明显缺失，部分符合要求，得1分；未提供或其他情况的，不得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992" w:hRule="atLeast"/>
          <w:jc w:val="center"/>
        </w:trPr>
        <w:tc>
          <w:tcPr>
            <w:tcW w:w="663" w:type="pct"/>
            <w:vMerge w:val="restar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highlight w:val="none"/>
                <w:lang w:val="zh-CN" w:bidi="zh-CN"/>
              </w:rPr>
              <w:t>售后服务</w:t>
            </w:r>
            <w:r>
              <w:rPr>
                <w:rFonts w:ascii="Arial" w:hAnsi="Arial" w:cs="Arial"/>
                <w:color w:val="auto"/>
                <w:kern w:val="0"/>
                <w:sz w:val="24"/>
                <w:highlight w:val="none"/>
                <w:lang w:bidi="zh-CN"/>
              </w:rPr>
              <w:t>1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highlight w:val="none"/>
                <w:lang w:val="en-US" w:bidi="zh-CN"/>
              </w:rPr>
              <w:t>4</w:t>
            </w:r>
            <w:r>
              <w:rPr>
                <w:rFonts w:ascii="Arial" w:hAnsi="Arial" w:cs="Arial"/>
                <w:color w:val="auto"/>
                <w:kern w:val="0"/>
                <w:sz w:val="24"/>
                <w:highlight w:val="none"/>
                <w:lang w:bidi="zh-CN"/>
              </w:rPr>
              <w:t>分</w:t>
            </w: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sz w:val="24"/>
                <w:highlight w:val="none"/>
                <w:lang w:val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</w:rPr>
              <w:t>售后服务方案</w:t>
            </w:r>
          </w:p>
        </w:tc>
        <w:tc>
          <w:tcPr>
            <w:tcW w:w="452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Arial" w:hAnsi="Arial" w:cs="Arial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Arial" w:hAnsi="Arial" w:cs="Arial"/>
                <w:color w:val="auto"/>
                <w:sz w:val="24"/>
                <w:highlight w:val="none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</w:rPr>
              <w:t>针对该项目须有完善的售后服务体系（包含：1.售后服务机构和人员；2.售后服务内容及流程；3.售后服务响应时间和质量；4.售后服务方式和特色），结合以上因素进行评价，</w:t>
            </w:r>
            <w:r>
              <w:rPr>
                <w:rFonts w:hint="default" w:ascii="Arial" w:hAnsi="Arial" w:eastAsia="宋体" w:cs="Arial"/>
                <w:color w:val="auto"/>
                <w:sz w:val="24"/>
                <w:lang w:val="zh-CN" w:eastAsia="zh-CN"/>
              </w:rPr>
              <w:t>方案内容完整、完全满足要求，得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Arial" w:hAnsi="Arial" w:eastAsia="宋体" w:cs="Arial"/>
                <w:color w:val="auto"/>
                <w:sz w:val="24"/>
                <w:lang w:val="zh-CN" w:eastAsia="zh-CN"/>
              </w:rPr>
              <w:t>分；方案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en-US" w:eastAsia="zh-CN"/>
              </w:rPr>
              <w:t>内容</w:t>
            </w:r>
            <w:r>
              <w:rPr>
                <w:rFonts w:hint="default" w:ascii="Arial" w:hAnsi="Arial" w:eastAsia="宋体" w:cs="Arial"/>
                <w:color w:val="auto"/>
                <w:sz w:val="24"/>
                <w:lang w:val="zh-CN" w:eastAsia="zh-CN"/>
              </w:rPr>
              <w:t>较完整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zh-CN" w:eastAsia="zh-CN"/>
              </w:rPr>
              <w:t>，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en-US" w:eastAsia="zh-CN"/>
              </w:rPr>
              <w:t>较合理</w:t>
            </w:r>
            <w:r>
              <w:rPr>
                <w:rFonts w:hint="default" w:ascii="Arial" w:hAnsi="Arial" w:eastAsia="宋体" w:cs="Arial"/>
                <w:color w:val="auto"/>
                <w:sz w:val="24"/>
                <w:lang w:val="zh-CN" w:eastAsia="zh-CN"/>
              </w:rPr>
              <w:t>，得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Arial" w:hAnsi="Arial" w:eastAsia="宋体" w:cs="Arial"/>
                <w:color w:val="auto"/>
                <w:sz w:val="24"/>
                <w:lang w:val="zh-CN" w:eastAsia="zh-CN"/>
              </w:rPr>
              <w:t>分；方案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en-US" w:eastAsia="zh-CN"/>
              </w:rPr>
              <w:t>基本</w:t>
            </w:r>
            <w:r>
              <w:rPr>
                <w:rFonts w:hint="default" w:ascii="Arial" w:hAnsi="Arial" w:eastAsia="宋体" w:cs="Arial"/>
                <w:color w:val="auto"/>
                <w:sz w:val="24"/>
                <w:lang w:val="zh-CN" w:eastAsia="zh-CN"/>
              </w:rPr>
              <w:t>满足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en-US" w:eastAsia="zh-CN"/>
              </w:rPr>
              <w:t>合理</w:t>
            </w:r>
            <w:r>
              <w:rPr>
                <w:rFonts w:hint="default" w:ascii="Arial" w:hAnsi="Arial" w:eastAsia="宋体" w:cs="Arial"/>
                <w:color w:val="auto"/>
                <w:sz w:val="24"/>
                <w:lang w:val="zh-CN" w:eastAsia="zh-CN"/>
              </w:rPr>
              <w:t>，得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Arial" w:hAnsi="Arial" w:eastAsia="宋体" w:cs="Arial"/>
                <w:color w:val="auto"/>
                <w:sz w:val="24"/>
                <w:lang w:val="zh-CN" w:eastAsia="zh-CN"/>
              </w:rPr>
              <w:t>分；方案明显缺失，部分符合要求，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en-US" w:eastAsia="zh-CN"/>
              </w:rPr>
              <w:t>得1</w:t>
            </w:r>
            <w:r>
              <w:rPr>
                <w:rFonts w:hint="default" w:ascii="Arial" w:hAnsi="Arial" w:eastAsia="宋体" w:cs="Arial"/>
                <w:color w:val="auto"/>
                <w:sz w:val="24"/>
                <w:lang w:val="zh-CN" w:eastAsia="zh-CN"/>
              </w:rPr>
              <w:t>分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zh-CN" w:eastAsia="zh-CN"/>
              </w:rPr>
              <w:t>；</w:t>
            </w:r>
            <w:r>
              <w:rPr>
                <w:rFonts w:hint="default" w:ascii="Arial" w:hAnsi="Arial" w:eastAsia="宋体" w:cs="Arial"/>
                <w:color w:val="auto"/>
                <w:sz w:val="24"/>
                <w:lang w:val="zh-CN" w:eastAsia="zh-CN"/>
              </w:rPr>
              <w:t>未提供或其他情况的，不得分</w:t>
            </w:r>
            <w:r>
              <w:rPr>
                <w:rFonts w:hint="eastAsia" w:ascii="Arial" w:hAnsi="Arial" w:eastAsia="宋体" w:cs="Arial"/>
                <w:color w:val="auto"/>
                <w:sz w:val="24"/>
                <w:lang w:val="zh-CN"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992" w:hRule="atLeast"/>
          <w:jc w:val="center"/>
        </w:trPr>
        <w:tc>
          <w:tcPr>
            <w:tcW w:w="663" w:type="pct"/>
            <w:vMerge w:val="continue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highlight w:val="none"/>
                <w:lang w:val="zh-CN" w:bidi="zh-CN"/>
              </w:rPr>
            </w:pPr>
          </w:p>
        </w:tc>
        <w:tc>
          <w:tcPr>
            <w:tcW w:w="747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highlight w:val="none"/>
                <w:lang w:val="zh-CN" w:bidi="zh-CN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</w:rPr>
              <w:t>售后服务计划、措施及服务承诺</w:t>
            </w:r>
          </w:p>
        </w:tc>
        <w:tc>
          <w:tcPr>
            <w:tcW w:w="452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Arial" w:hAnsi="Arial" w:cs="Arial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3135" w:type="pct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Arial" w:hAnsi="Arial" w:cs="Arial"/>
                <w:color w:val="auto"/>
                <w:sz w:val="24"/>
                <w:highlight w:val="none"/>
              </w:rPr>
            </w:pPr>
            <w:r>
              <w:rPr>
                <w:rFonts w:ascii="Arial" w:hAnsi="Arial" w:cs="Arial"/>
                <w:color w:val="auto"/>
                <w:sz w:val="24"/>
                <w:highlight w:val="none"/>
              </w:rPr>
              <w:t>针对该项目提供详尽的组织配送、验收等方面的服务能力、措施进行评价。</w:t>
            </w:r>
            <w:r>
              <w:rPr>
                <w:rFonts w:ascii="Arial" w:hAnsi="Arial" w:cs="Arial"/>
                <w:bCs/>
                <w:color w:val="auto"/>
                <w:sz w:val="24"/>
              </w:rPr>
              <w:t>承诺全面符合或优于要求，得</w:t>
            </w:r>
            <w:r>
              <w:rPr>
                <w:rFonts w:hint="eastAsia" w:ascii="Arial" w:hAnsi="Arial" w:cs="Arial"/>
                <w:bCs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Arial" w:hAnsi="Arial" w:cs="Arial"/>
                <w:bCs/>
                <w:color w:val="auto"/>
                <w:sz w:val="24"/>
              </w:rPr>
              <w:t>分；承诺较全面符合要求，得3分；承诺基本全面符合要求，得1分；承诺缺失不符合要求响应差不得分。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486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NzIxMDc5MDI4MGYzZDZmMGI2NjAwYmFiMzVhZTQifQ=="/>
  </w:docVars>
  <w:rsids>
    <w:rsidRoot w:val="279101EE"/>
    <w:rsid w:val="279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Calibri" w:eastAsia="黑体" w:cs="Times New Roman"/>
      <w:sz w:val="21"/>
      <w:szCs w:val="22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2023-02-02T10:46:00Z</dcterms:created>
  <dc:creator>那y1抹阳光1423119218</dc:creator>
  <cp:lastModifiedBy>那y1抹阳光1423119218</cp:lastModifiedBy>
  <dcterms:modified xsi:type="dcterms:W3CDTF">2023-02-02T10:47:04Z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D2EBCCB552734DF58BA937FFBF92B178</vt:lpwstr>
  </property>
</Properties>
</file>