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  <w:t>附件：</w:t>
      </w:r>
    </w:p>
    <w:p>
      <w:pPr>
        <w:rPr>
          <w:rFonts w:hint="eastAsia" w:ascii="Arial" w:hAnsi="Arial" w:eastAsia="新宋体" w:cs="Arial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新宋体" w:cs="Arial"/>
          <w:b/>
          <w:bCs/>
          <w:kern w:val="2"/>
          <w:sz w:val="28"/>
          <w:szCs w:val="28"/>
          <w:lang w:val="en-US" w:eastAsia="zh-CN" w:bidi="ar-SA"/>
        </w:rPr>
        <w:t>更正前内容：</w:t>
      </w:r>
      <w:bookmarkStart w:id="0" w:name="_Toc3405"/>
    </w:p>
    <w:p>
      <w:pPr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新宋体" w:cs="Arial"/>
          <w:kern w:val="2"/>
          <w:sz w:val="28"/>
          <w:szCs w:val="28"/>
          <w:lang w:val="zh-CN" w:eastAsia="zh-CN" w:bidi="ar-SA"/>
        </w:rPr>
        <w:t>1</w:t>
      </w:r>
      <w:r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Arial" w:hAnsi="Arial" w:eastAsia="新宋体" w:cs="Arial"/>
          <w:kern w:val="2"/>
          <w:sz w:val="28"/>
          <w:szCs w:val="28"/>
          <w:lang w:val="zh-CN" w:eastAsia="zh-CN" w:bidi="ar-SA"/>
        </w:rPr>
        <w:t>.</w:t>
      </w:r>
      <w:r>
        <w:rPr>
          <w:rFonts w:hint="eastAsia" w:ascii="Arial" w:hAnsi="Arial" w:eastAsia="新宋体" w:cs="Arial"/>
          <w:kern w:val="2"/>
          <w:sz w:val="28"/>
          <w:szCs w:val="28"/>
          <w:lang w:val="zh-CN" w:eastAsia="zh-CN" w:bidi="ar-SA"/>
        </w:rPr>
        <w:t>评审办法</w:t>
      </w:r>
      <w:bookmarkEnd w:id="0"/>
    </w:p>
    <w:p>
      <w:pPr>
        <w:spacing w:line="360" w:lineRule="auto"/>
        <w:rPr>
          <w:rFonts w:ascii="Arial" w:hAnsi="Arial" w:cs="Arial"/>
          <w:color w:val="auto"/>
          <w:lang w:val="zh-CN"/>
        </w:rPr>
      </w:pPr>
      <w:r>
        <w:rPr>
          <w:rFonts w:ascii="Arial" w:hAnsi="Arial" w:cs="Arial"/>
          <w:b/>
          <w:bCs/>
          <w:color w:val="auto"/>
          <w:sz w:val="24"/>
        </w:rPr>
        <w:t>包三：宽幅面打印机购置</w:t>
      </w:r>
      <w:r>
        <w:rPr>
          <w:rFonts w:ascii="Arial" w:hAnsi="Arial" w:cs="Arial"/>
          <w:b/>
          <w:bCs/>
          <w:color w:val="auto"/>
          <w:sz w:val="24"/>
          <w:lang w:val="zh-CN"/>
        </w:rPr>
        <w:t>评分细则</w:t>
      </w:r>
    </w:p>
    <w:tbl>
      <w:tblPr>
        <w:tblStyle w:val="7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55"/>
        <w:gridCol w:w="801"/>
        <w:gridCol w:w="5665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6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评分因素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项目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满分 分值</w:t>
            </w:r>
          </w:p>
        </w:tc>
        <w:tc>
          <w:tcPr>
            <w:tcW w:w="3139" w:type="pct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 xml:space="preserve">                  评审标准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666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最后磋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商报价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30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分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报价分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30</w:t>
            </w:r>
          </w:p>
        </w:tc>
        <w:tc>
          <w:tcPr>
            <w:tcW w:w="3139" w:type="pct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综合评分法中的价格分统一采用低价优先法计算，即满足磋商文件要求且最后报价最低的供应商的价格为磋商基准价，其价格分为满分。其他供应商的价格分统一按照下列公式计算：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磋商报价得分=（磋商基准价/最后磋商报价）×30%×100（四舍五入后保留小数点后两位）</w:t>
            </w:r>
          </w:p>
          <w:p>
            <w:pPr>
              <w:spacing w:line="360" w:lineRule="auto"/>
              <w:rPr>
                <w:rFonts w:ascii="Arial" w:hAnsi="Arial" w:cs="Arial"/>
                <w:color w:val="auto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注：根据《政府采购促进中小企业发展管理办法》</w:t>
            </w:r>
            <w:r>
              <w:rPr>
                <w:rFonts w:ascii="Arial" w:hAnsi="Arial" w:cs="Arial"/>
                <w:color w:val="auto"/>
                <w:sz w:val="24"/>
              </w:rPr>
              <w:t>及《关于进一步加大政府采购支持中小企业力度的通知》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的相关规定，对小型和微型企业制造（生产）产品的价格给予</w:t>
            </w:r>
            <w:r>
              <w:rPr>
                <w:rFonts w:ascii="Arial" w:hAnsi="Arial" w:cs="Arial"/>
                <w:color w:val="auto"/>
                <w:sz w:val="24"/>
              </w:rPr>
              <w:t>10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%的扣除，用扣除后的价格参与评审。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206" w:hRule="atLeast"/>
          <w:jc w:val="center"/>
        </w:trPr>
        <w:tc>
          <w:tcPr>
            <w:tcW w:w="666" w:type="pct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商务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评价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13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分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  <w:t>类似业绩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8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提供2019以来类似项目业绩的，每提供一个得1分，最高得8分；未提供不得分。（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需提供包含合同首页、标的及金额所在页、供货合同签字盖章页的扫描（或复印）件</w:t>
            </w:r>
            <w:r>
              <w:rPr>
                <w:rFonts w:hint="eastAsia" w:ascii="Arial" w:hAnsi="Arial" w:cs="Arial"/>
                <w:color w:val="auto"/>
                <w:sz w:val="24"/>
                <w:lang w:val="zh-CN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合同须有原件备查</w:t>
            </w:r>
            <w:r>
              <w:rPr>
                <w:rFonts w:ascii="Arial" w:hAnsi="Arial" w:cs="Arial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247" w:hRule="atLeast"/>
          <w:jc w:val="center"/>
        </w:trPr>
        <w:tc>
          <w:tcPr>
            <w:tcW w:w="666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lang w:bidi="zh-CN"/>
              </w:rPr>
              <w:t>获奖情况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5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自2020年以来获得过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地理信息产业优秀工程奖</w:t>
            </w:r>
            <w:r>
              <w:rPr>
                <w:rFonts w:ascii="Arial" w:hAnsi="Arial" w:cs="Arial"/>
                <w:color w:val="auto"/>
                <w:sz w:val="24"/>
              </w:rPr>
              <w:t>或者地理信息产业优秀工程其他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省部级</w:t>
            </w:r>
            <w:r>
              <w:rPr>
                <w:rFonts w:ascii="Arial" w:hAnsi="Arial" w:cs="Arial"/>
                <w:color w:val="auto"/>
                <w:sz w:val="24"/>
              </w:rPr>
              <w:t>奖项的，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每</w:t>
            </w:r>
            <w:r>
              <w:rPr>
                <w:rFonts w:ascii="Arial" w:hAnsi="Arial" w:cs="Arial"/>
                <w:color w:val="auto"/>
                <w:sz w:val="24"/>
              </w:rPr>
              <w:t>提供一项</w:t>
            </w:r>
            <w:r>
              <w:rPr>
                <w:rFonts w:hint="eastAsia" w:ascii="Arial" w:hAnsi="Arial" w:cs="Arial"/>
                <w:color w:val="auto"/>
                <w:sz w:val="24"/>
                <w:lang w:eastAsia="zh-CN"/>
              </w:rPr>
              <w:t>，</w:t>
            </w:r>
            <w:r>
              <w:rPr>
                <w:rFonts w:ascii="Arial" w:hAnsi="Arial" w:cs="Arial"/>
                <w:color w:val="auto"/>
                <w:sz w:val="24"/>
              </w:rPr>
              <w:t>得1分，最高得5分，不提供不得分。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280" w:hRule="atLeast"/>
          <w:jc w:val="center"/>
        </w:trPr>
        <w:tc>
          <w:tcPr>
            <w:tcW w:w="666" w:type="pct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技术评价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47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分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bidi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技术参数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  <w:lang w:val="zh-CN"/>
              </w:rPr>
              <w:t>投标产品技术参数和配置完全满足或高于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竞争性磋商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文件要求的，得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30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分；每有一项负偏离扣</w:t>
            </w:r>
            <w:r>
              <w:rPr>
                <w:rFonts w:ascii="Arial" w:hAnsi="Arial" w:cs="Arial"/>
                <w:color w:val="auto"/>
                <w:sz w:val="24"/>
              </w:rPr>
              <w:t>3</w:t>
            </w:r>
            <w:r>
              <w:rPr>
                <w:rFonts w:ascii="Arial" w:hAnsi="Arial" w:cs="Arial"/>
                <w:color w:val="auto"/>
                <w:sz w:val="24"/>
                <w:lang w:val="zh-CN"/>
              </w:rPr>
              <w:t>分，扣完该项得分为止。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540" w:hRule="atLeast"/>
          <w:jc w:val="center"/>
        </w:trPr>
        <w:tc>
          <w:tcPr>
            <w:tcW w:w="666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bidi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lang w:bidi="zh-CN"/>
              </w:rPr>
              <w:t>项目团队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9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（1）项目总负责人具有电子信息（或计算机）工程类高级工程师证书，得1分，不提供不得分。</w:t>
            </w:r>
          </w:p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（2）项目实施经理具有信息系统项目管理师高级证书的得2分，中级的得1分，不提供不得分。</w:t>
            </w:r>
          </w:p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（3）项目组成员具有信息系统项目管理师中级证书的，每提供1人得1分，最高得4分，不提供不得分。</w:t>
            </w:r>
          </w:p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（4）项目组成员具有PMP（项目管理专业人员资格认证）的，每提供一人得1分，最高得2分，不提供不得分。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350" w:hRule="atLeast"/>
          <w:jc w:val="center"/>
        </w:trPr>
        <w:tc>
          <w:tcPr>
            <w:tcW w:w="666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项目管理实施方案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Arial" w:hAnsi="Arial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设置了项目管理机构，并且有科学、具体的项目管理措施（包含：1.详细的实施计划；2.实施团队；3.实施进度；4.质量控制措施；5.安全保障措施），安排充分合理，方案内容描述条理清晰、科学合理、内容完整、响应度高、具体措施切实可行的，得8分；实施方案内容完整、较合理科学、制定的措施较可行的，得5分；方案内容粗略简单、缺乏科学性合理性，可行性一般的得3分；方案内容不健全、有明显不足的，得1分；方案内容无实际措施、与项目需求无切实关联、编写逻辑混乱的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92" w:hRule="atLeast"/>
          <w:jc w:val="center"/>
        </w:trPr>
        <w:tc>
          <w:tcPr>
            <w:tcW w:w="666" w:type="pct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  <w:t>售后服务</w:t>
            </w:r>
            <w:r>
              <w:rPr>
                <w:rFonts w:ascii="Arial" w:hAnsi="Arial" w:cs="Arial"/>
                <w:color w:val="auto"/>
                <w:kern w:val="0"/>
                <w:sz w:val="24"/>
                <w:lang w:bidi="zh-CN"/>
              </w:rPr>
              <w:t>10分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售后服务方案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6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针对该项目须有完善的售后服务体系（包含：1.售后服务机构和人员；2.售后服务内容及流程；3.售后服务响应时间和质量；4.售后服务方式和特色），结合以上因素进行评价，内容完整、完全满足要求的得6分；方案体系较完整，基本满足要求的得3分；方案体系明显缺失，部分符合要求的，得1分。未提供或其他情况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92" w:hRule="atLeast"/>
          <w:jc w:val="center"/>
        </w:trPr>
        <w:tc>
          <w:tcPr>
            <w:tcW w:w="666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lang w:val="zh-CN" w:bidi="zh-CN"/>
              </w:rPr>
            </w:pPr>
            <w:r>
              <w:rPr>
                <w:rFonts w:ascii="Arial" w:hAnsi="Arial" w:cs="Arial"/>
                <w:color w:val="auto"/>
                <w:sz w:val="24"/>
              </w:rPr>
              <w:t>售后服务计划、措施及服务承诺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4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针对该项目提供详尽的组织配送、验收等方面的服务能力、措施进行评价。承诺全面符合或优于要求的得4分；承诺较全面符合要求的得2分；承诺缺失不符合要求响应差的得1分。未提供或其他情况不得分。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更正后内容：</w:t>
      </w:r>
    </w:p>
    <w:p>
      <w:pPr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新宋体" w:cs="Arial"/>
          <w:kern w:val="2"/>
          <w:sz w:val="28"/>
          <w:szCs w:val="28"/>
          <w:lang w:val="zh-CN" w:eastAsia="zh-CN" w:bidi="ar-SA"/>
        </w:rPr>
        <w:t>1</w:t>
      </w:r>
      <w:r>
        <w:rPr>
          <w:rFonts w:hint="eastAsia" w:ascii="Arial" w:hAnsi="Arial" w:eastAsia="新宋体" w:cs="Arial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Arial" w:hAnsi="Arial" w:eastAsia="新宋体" w:cs="Arial"/>
          <w:kern w:val="2"/>
          <w:sz w:val="28"/>
          <w:szCs w:val="28"/>
          <w:lang w:val="zh-CN" w:eastAsia="zh-CN" w:bidi="ar-SA"/>
        </w:rPr>
        <w:t>.</w:t>
      </w:r>
      <w:r>
        <w:rPr>
          <w:rFonts w:hint="eastAsia" w:ascii="Arial" w:hAnsi="Arial" w:eastAsia="新宋体" w:cs="Arial"/>
          <w:kern w:val="2"/>
          <w:sz w:val="28"/>
          <w:szCs w:val="28"/>
          <w:lang w:val="zh-CN" w:eastAsia="zh-CN" w:bidi="ar-SA"/>
        </w:rPr>
        <w:t>评审办法</w:t>
      </w:r>
    </w:p>
    <w:p>
      <w:pPr>
        <w:spacing w:line="360" w:lineRule="auto"/>
        <w:rPr>
          <w:rFonts w:ascii="Arial" w:hAnsi="Arial" w:cs="Arial"/>
          <w:color w:val="auto"/>
          <w:lang w:val="zh-CN"/>
        </w:rPr>
      </w:pPr>
      <w:r>
        <w:rPr>
          <w:rFonts w:ascii="Arial" w:hAnsi="Arial" w:cs="Arial"/>
          <w:b/>
          <w:bCs/>
          <w:color w:val="auto"/>
          <w:sz w:val="24"/>
        </w:rPr>
        <w:t>包三：宽幅面打印机购置</w:t>
      </w:r>
      <w:r>
        <w:rPr>
          <w:rFonts w:ascii="Arial" w:hAnsi="Arial" w:cs="Arial"/>
          <w:b/>
          <w:bCs/>
          <w:color w:val="auto"/>
          <w:sz w:val="24"/>
          <w:lang w:val="zh-CN"/>
        </w:rPr>
        <w:t>评分细则</w:t>
      </w:r>
    </w:p>
    <w:tbl>
      <w:tblPr>
        <w:tblStyle w:val="7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50"/>
        <w:gridCol w:w="817"/>
        <w:gridCol w:w="5665"/>
        <w:gridCol w:w="2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评分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因素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项目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满分 分值</w:t>
            </w:r>
          </w:p>
        </w:tc>
        <w:tc>
          <w:tcPr>
            <w:tcW w:w="3136" w:type="pct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 xml:space="preserve">                  评审标准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66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最后磋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商报价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30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分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报价分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30</w:t>
            </w:r>
          </w:p>
        </w:tc>
        <w:tc>
          <w:tcPr>
            <w:tcW w:w="3136" w:type="pct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综合评分法中的价格分统一采用低价优先法计算，即满足磋商文件要求且最后报价最低的供应商的价格为磋商基准价，其价格分为满分。其他供应商的价格分统一按照下列公式计算：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磋商报价得分=（磋商基准价/最后磋商报价）×30%×100（四舍五入后保留小数点后两位）</w:t>
            </w:r>
          </w:p>
          <w:p>
            <w:pPr>
              <w:spacing w:line="360" w:lineRule="auto"/>
              <w:rPr>
                <w:rFonts w:ascii="Arial" w:hAnsi="Arial" w:cs="Arial"/>
                <w:color w:val="auto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注：根据《政府采购促进中小企业发展管理办法》</w:t>
            </w:r>
            <w:r>
              <w:rPr>
                <w:rFonts w:ascii="Arial" w:hAnsi="Arial" w:cs="Arial"/>
                <w:color w:val="auto"/>
                <w:sz w:val="24"/>
                <w:highlight w:val="none"/>
              </w:rPr>
              <w:t>及《关于进一步加大政府采购支持中小企业力度的通知》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的相关规定，对小型和微型企业制造（生产）产品的价格给予</w:t>
            </w:r>
            <w:r>
              <w:rPr>
                <w:rFonts w:ascii="Arial" w:hAnsi="Arial" w:cs="Arial"/>
                <w:color w:val="auto"/>
                <w:sz w:val="24"/>
                <w:highlight w:val="none"/>
              </w:rPr>
              <w:t>10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%的扣除，用扣除后的价格参与评审。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206" w:hRule="atLeast"/>
          <w:jc w:val="center"/>
        </w:trPr>
        <w:tc>
          <w:tcPr>
            <w:tcW w:w="663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商务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评价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分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  <w:lang w:val="zh-CN" w:bidi="zh-CN"/>
              </w:rPr>
              <w:t>类似业绩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提供2019以来类似项目业绩的，每提供一个得1分，最高得8分；未提供不得分。（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需提供包含合同首页、标的及金额所在页、供货合同签字盖章页的扫描（或复印）件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zh-CN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合同须有原件备查</w:t>
            </w:r>
            <w:r>
              <w:rPr>
                <w:rFonts w:ascii="Arial" w:hAnsi="Arial" w:cs="Arial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280" w:hRule="atLeast"/>
          <w:jc w:val="center"/>
        </w:trPr>
        <w:tc>
          <w:tcPr>
            <w:tcW w:w="663" w:type="pct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技术评价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48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分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技术参数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Arial" w:hAnsi="Arial" w:cs="Arial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投标产品技术参数和配置完全满足或高于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竞争性磋商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文件要求的，得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39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分；每有一项负偏离扣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  <w:t>分，扣完该项得分为止。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280" w:hRule="atLeast"/>
          <w:jc w:val="center"/>
        </w:trPr>
        <w:tc>
          <w:tcPr>
            <w:tcW w:w="663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环保和节能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566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Arial" w:hAnsi="Arial" w:cs="Arial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zh-CN"/>
              </w:rPr>
              <w:t>投标产品具有环保认证证书的，得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zh-CN"/>
              </w:rPr>
              <w:t>.5分；具有节能认证证书的，得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zh-CN"/>
              </w:rPr>
              <w:t>.5分；未提供不得分。该项得分的认定以《国家节能产品认证证书》、《中国环境标志产品认证证书》</w:t>
            </w: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复印件（或扫描件）为准。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80" w:hRule="atLeast"/>
          <w:jc w:val="center"/>
        </w:trPr>
        <w:tc>
          <w:tcPr>
            <w:tcW w:w="663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项目管理实施方案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Arial" w:hAnsi="Arial" w:eastAsia="宋体" w:cs="Arial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结合当地实际情况进行详细方案设计，提供详细的供货组织方案和计划进度表，设置了项目管理机构，并且有科学、具体的项目管理措施及质量保障方案，结合以上因素进行评价，方案内容完整、完全满足要求，得8分；方案内容较完整，较合理，得5分；方案基本满足合理，得3分；方案明显缺失，部分符合要求，得1分；未提供或其他情况的，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92" w:hRule="atLeast"/>
          <w:jc w:val="center"/>
        </w:trPr>
        <w:tc>
          <w:tcPr>
            <w:tcW w:w="663" w:type="pct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  <w:lang w:val="zh-CN" w:bidi="zh-CN"/>
              </w:rPr>
              <w:t>售后服务</w:t>
            </w: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  <w:lang w:bidi="zh-CN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  <w:lang w:val="en-US" w:bidi="zh-CN"/>
              </w:rPr>
              <w:t>4</w:t>
            </w:r>
            <w:r>
              <w:rPr>
                <w:rFonts w:ascii="Arial" w:hAnsi="Arial" w:cs="Arial"/>
                <w:color w:val="auto"/>
                <w:kern w:val="0"/>
                <w:sz w:val="24"/>
                <w:highlight w:val="none"/>
                <w:lang w:bidi="zh-CN"/>
              </w:rPr>
              <w:t>分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售后服务方案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Arial" w:hAnsi="Arial" w:cs="Arial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针对该项目须有完善的售后服务体系（包含：1.售后服务机构和人员；2.售后服务内容及流程；3.售后服务响应时间和质量；4.售后服务方式和特色），结合以上因素进行评价，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方案内容完整、完全满足要求，得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分；方案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内容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较完整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zh-CN" w:eastAsia="zh-CN"/>
              </w:rPr>
              <w:t>，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较合理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，得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分；方案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基本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满足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合理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，得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分；方案明显缺失，部分符合要求，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  <w:t>得1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分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zh-CN" w:eastAsia="zh-CN"/>
              </w:rPr>
              <w:t>；</w:t>
            </w:r>
            <w:r>
              <w:rPr>
                <w:rFonts w:hint="default" w:ascii="Arial" w:hAnsi="Arial" w:eastAsia="宋体" w:cs="Arial"/>
                <w:color w:val="auto"/>
                <w:sz w:val="24"/>
                <w:lang w:val="zh-CN" w:eastAsia="zh-CN"/>
              </w:rPr>
              <w:t>未提供或其他情况的，不得分</w:t>
            </w:r>
            <w:r>
              <w:rPr>
                <w:rFonts w:hint="eastAsia" w:ascii="Arial" w:hAnsi="Arial" w:eastAsia="宋体" w:cs="Arial"/>
                <w:color w:val="auto"/>
                <w:sz w:val="24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92" w:hRule="atLeast"/>
          <w:jc w:val="center"/>
        </w:trPr>
        <w:tc>
          <w:tcPr>
            <w:tcW w:w="663" w:type="pct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售后服务计划、措施及服务承诺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Arial" w:hAnsi="Arial" w:cs="Arial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135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针对该项目提供详尽的组织配送、验收等方面的服务能力、措施进行评价。</w:t>
            </w:r>
            <w:r>
              <w:rPr>
                <w:rFonts w:ascii="Arial" w:hAnsi="Arial" w:cs="Arial"/>
                <w:bCs/>
                <w:color w:val="auto"/>
                <w:sz w:val="24"/>
              </w:rPr>
              <w:t>承诺全面符合或优于要求，得</w:t>
            </w:r>
            <w:r>
              <w:rPr>
                <w:rFonts w:hint="eastAsia" w:ascii="Arial" w:hAnsi="Arial" w:cs="Arial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Arial" w:hAnsi="Arial" w:cs="Arial"/>
                <w:bCs/>
                <w:color w:val="auto"/>
                <w:sz w:val="24"/>
              </w:rPr>
              <w:t>分；承诺较全面符合要求，得3分；承诺基本全面符合要求，得1分；承诺缺失不符合要求响应差不得分。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486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IxMDc5MDI4MGYzZDZmMGI2NjAwYmFiMzVhZTQifQ=="/>
  </w:docVars>
  <w:rsids>
    <w:rsidRoot w:val="279101EE"/>
    <w:rsid w:val="279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2023-02-02T10:46:00Z</dcterms:created>
  <dc:creator>那y1抹阳光1423119218</dc:creator>
  <cp:lastModifiedBy>那y1抹阳光1423119218</cp:lastModifiedBy>
  <dcterms:modified xsi:type="dcterms:W3CDTF">2023-02-02T10:47:04Z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D2EBCCB552734DF58BA937FFBF92B178</vt:lpwstr>
  </property>
</Properties>
</file>