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jc w:val="center"/>
        <w:rPr>
          <w:rFonts w:ascii="宋体" w:hAnsi="宋体" w:cs="宋体"/>
          <w:b/>
          <w:bCs/>
          <w:sz w:val="36"/>
          <w:szCs w:val="36"/>
        </w:rPr>
      </w:pPr>
    </w:p>
    <w:p>
      <w:pPr>
        <w:jc w:val="center"/>
        <w:rPr>
          <w:rFonts w:hint="default" w:ascii="宋体" w:hAnsi="宋体" w:eastAsia="宋体" w:cs="宋体"/>
          <w:b/>
          <w:bCs/>
          <w:sz w:val="44"/>
          <w:szCs w:val="44"/>
          <w:lang w:val="en-US" w:eastAsia="zh-CN"/>
        </w:rPr>
      </w:pPr>
      <w:r>
        <w:rPr>
          <w:rFonts w:hint="eastAsia" w:ascii="宋体" w:hAnsi="宋体" w:cs="宋体"/>
          <w:b/>
          <w:bCs/>
          <w:sz w:val="36"/>
          <w:szCs w:val="36"/>
          <w:lang w:val="en-US" w:eastAsia="zh-CN"/>
        </w:rPr>
        <w:t>东川工业园区城管办公家具采购项目（第二次）</w:t>
      </w:r>
    </w:p>
    <w:p>
      <w:pPr>
        <w:jc w:val="center"/>
        <w:rPr>
          <w:rFonts w:ascii="宋体" w:hAnsi="宋体" w:cs="宋体"/>
          <w:b/>
          <w:bCs/>
          <w:sz w:val="44"/>
          <w:szCs w:val="44"/>
        </w:rPr>
      </w:pPr>
    </w:p>
    <w:p>
      <w:pPr>
        <w:jc w:val="center"/>
        <w:rPr>
          <w:rFonts w:ascii="宋体" w:hAnsi="宋体" w:cs="宋体"/>
          <w:b/>
          <w:bCs/>
          <w:sz w:val="32"/>
          <w:szCs w:val="32"/>
        </w:rPr>
      </w:pPr>
      <w:r>
        <w:rPr>
          <w:rFonts w:hint="eastAsia" w:ascii="宋体" w:hAnsi="宋体" w:cs="宋体"/>
          <w:b/>
          <w:bCs/>
          <w:sz w:val="32"/>
          <w:szCs w:val="32"/>
        </w:rPr>
        <w:t>（采购编号：青海聚鑫询比（货物）202</w:t>
      </w:r>
      <w:r>
        <w:rPr>
          <w:rFonts w:hint="eastAsia" w:ascii="宋体" w:hAnsi="宋体" w:cs="宋体"/>
          <w:b/>
          <w:bCs/>
          <w:sz w:val="32"/>
          <w:szCs w:val="32"/>
          <w:lang w:val="en-US" w:eastAsia="zh-CN"/>
        </w:rPr>
        <w:t>3-005</w:t>
      </w:r>
      <w:r>
        <w:rPr>
          <w:rFonts w:hint="eastAsia" w:ascii="宋体" w:hAnsi="宋体" w:cs="宋体"/>
          <w:b/>
          <w:bCs/>
          <w:sz w:val="32"/>
          <w:szCs w:val="32"/>
        </w:rPr>
        <w:t>）</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4"/>
          <w:szCs w:val="44"/>
        </w:rPr>
      </w:pPr>
      <w:r>
        <w:rPr>
          <w:rFonts w:hint="eastAsia" w:ascii="宋体" w:hAnsi="宋体" w:cs="宋体"/>
          <w:b/>
          <w:bCs/>
          <w:sz w:val="44"/>
          <w:szCs w:val="44"/>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采购代理机构：青海聚鑫工程管理有限公司（盖公章）</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年0</w:t>
      </w:r>
      <w:r>
        <w:rPr>
          <w:rFonts w:hint="eastAsia" w:ascii="宋体" w:hAnsi="宋体" w:cs="宋体"/>
          <w:b/>
          <w:bCs/>
          <w:sz w:val="28"/>
          <w:szCs w:val="28"/>
          <w:lang w:val="en-US" w:eastAsia="zh-CN"/>
        </w:rPr>
        <w:t>4</w:t>
      </w:r>
      <w:r>
        <w:rPr>
          <w:rFonts w:hint="eastAsia" w:ascii="宋体" w:hAnsi="宋体" w:cs="宋体"/>
          <w:b/>
          <w:bCs/>
          <w:sz w:val="28"/>
          <w:szCs w:val="28"/>
        </w:rPr>
        <w:t>月</w:t>
      </w:r>
    </w:p>
    <w:p>
      <w:pPr>
        <w:jc w:val="cente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8"/>
            <w:jc w:val="center"/>
          </w:pPr>
          <w:r>
            <w:rPr>
              <w:sz w:val="32"/>
              <w:szCs w:val="32"/>
              <w:lang w:val="zh-CN"/>
            </w:rPr>
            <w:t>目录</w:t>
          </w:r>
        </w:p>
        <w:p>
          <w:pPr>
            <w:pStyle w:val="31"/>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4"/>
              <w:rFonts w:hint="eastAsia"/>
            </w:rPr>
            <w:t>第一章询比采购邀请书</w:t>
          </w:r>
          <w:r>
            <w:tab/>
          </w:r>
          <w:r>
            <w:fldChar w:fldCharType="begin"/>
          </w:r>
          <w:r>
            <w:instrText xml:space="preserve"> PAGEREF _Toc36021873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4"/>
              <w:rFonts w:hint="eastAsia"/>
            </w:rPr>
            <w:t>第二章供应商须知</w:t>
          </w:r>
          <w:r>
            <w:tab/>
          </w:r>
          <w:r>
            <w:fldChar w:fldCharType="begin"/>
          </w:r>
          <w:r>
            <w:instrText xml:space="preserve"> PAGEREF _Toc36021874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4"/>
              <w:rFonts w:hint="eastAsia"/>
            </w:rPr>
            <w:t>第三章评审办法</w:t>
          </w:r>
          <w:r>
            <w:tab/>
          </w:r>
          <w:r>
            <w:fldChar w:fldCharType="begin"/>
          </w:r>
          <w:r>
            <w:instrText xml:space="preserve"> PAGEREF _Toc36021875 \h </w:instrText>
          </w:r>
          <w:r>
            <w:fldChar w:fldCharType="separate"/>
          </w:r>
          <w:r>
            <w:t>28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4"/>
              <w:rFonts w:hint="eastAsia"/>
            </w:rPr>
            <w:t>第四章合同条款及格式</w:t>
          </w:r>
          <w:r>
            <w:tab/>
          </w:r>
          <w:r>
            <w:fldChar w:fldCharType="begin"/>
          </w:r>
          <w:r>
            <w:instrText xml:space="preserve"> PAGEREF _Toc36021876 \h </w:instrText>
          </w:r>
          <w:r>
            <w:fldChar w:fldCharType="separate"/>
          </w:r>
          <w:r>
            <w:t>35</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4"/>
              <w:rFonts w:hint="eastAsia"/>
            </w:rPr>
            <w:t>第五章采购需求</w:t>
          </w:r>
          <w:r>
            <w:tab/>
          </w:r>
          <w:r>
            <w:fldChar w:fldCharType="begin"/>
          </w:r>
          <w:r>
            <w:instrText xml:space="preserve"> PAGEREF _Toc36021877 \h </w:instrText>
          </w:r>
          <w:r>
            <w:fldChar w:fldCharType="separate"/>
          </w:r>
          <w:r>
            <w:t>38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4"/>
              <w:rFonts w:hint="eastAsia"/>
            </w:rPr>
            <w:t>第六章响应文件格式</w:t>
          </w:r>
          <w:r>
            <w:tab/>
          </w:r>
          <w:r>
            <w:fldChar w:fldCharType="begin"/>
          </w:r>
          <w:r>
            <w:instrText xml:space="preserve"> PAGEREF _Toc36021878 \h </w:instrText>
          </w:r>
          <w:r>
            <w:fldChar w:fldCharType="separate"/>
          </w:r>
          <w:r>
            <w:t>39</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pPr>
      <w:bookmarkStart w:id="0" w:name="_Toc36021873"/>
      <w:r>
        <w:rPr>
          <w:rFonts w:hint="eastAsia"/>
        </w:rPr>
        <w:t>第一章 询比采购邀请书</w:t>
      </w:r>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bookmarkStart w:id="1" w:name="_Toc36021874"/>
      <w:r>
        <w:rPr>
          <w:rFonts w:hint="eastAsia" w:ascii="宋体" w:hAnsi="宋体" w:eastAsia="宋体" w:cs="宋体"/>
          <w:b/>
          <w:bCs/>
          <w:kern w:val="2"/>
          <w:sz w:val="32"/>
          <w:szCs w:val="32"/>
          <w:lang w:val="en-US" w:eastAsia="zh-CN" w:bidi="ar"/>
        </w:rPr>
        <w:t>东川工业园区城管办公家具采购项目（第二次）</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询比采购公告</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（采购编号：青海聚鑫询比（货物）2023-005）</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东川工业园区城管办公家具采购项目（第二次）已具备采购条件，现公开邀请供应商参加询比采购活动。</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1.采购项目简介</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采购项目名称：东川工业园区城管办公家具采购项目（第二次）</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采购人：西宁经济技术开发区东川工业园区管理委员会</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采购代理机构：青海聚鑫工程管理有限公司</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采购项目资金落实情况：已落实</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采购项目概况：采购办公桌、办公椅、沙发、茶几等。</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采购方式：询比采购</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合同估算价：288569.00元</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2.采购范围及相关要求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2.1采购范围：采购办公桌、办公椅、沙发、茶几等。</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2.2交货期：合同签订后30天内。</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2.3交货地点：</w:t>
      </w:r>
      <w:r>
        <w:rPr>
          <w:rFonts w:hint="eastAsia" w:ascii="宋体" w:hAnsi="宋体" w:eastAsia="宋体" w:cs="宋体"/>
          <w:color w:val="000000"/>
          <w:kern w:val="2"/>
          <w:sz w:val="24"/>
          <w:szCs w:val="24"/>
          <w:lang w:val="en-US" w:eastAsia="zh-CN" w:bidi="ar"/>
        </w:rPr>
        <w:t>西宁经济技术开发区东川工业园区</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3.供应商资格要求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3.1供应商应依法设立且具备承担本采购项目的资格条件、能力和信誉：</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资格要求：供应商须具有有效营业执照，并在人员、设备、资金等方面应具有相应的能力。</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信誉要求：供应商应有良好的信誉。本次询比活动不接受在“信用中国”（www.creditchina.gov.cn）网站上被列为黑名单失信被执行人(单位或法定代表人)的供应商参与询比。</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3.2供应商不得存在下列情形之一：</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（1）处于被责令停产停业、暂扣或者吊销执照、暂扣或者吊销许可证、吊销资格证书状态；</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（2）进入清算程序，或被宣告破产，或其他丧失履约能力的情形；</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3.3本次采购不接受联合体。</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4.采购文件的获取</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4.1有意参加询比采购活动的单位，请于2023年04月14日9:00至2023年04月18日17:00，将营业执照复印件加盖公章发送至1760235192@qq.com，与代理机构工作人员电话联系线上获取询比采购文件。</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4.2询比采购文件每套售价500元，售后不退。</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5.响应文件的提交</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5.1响应文件递交的截止时间为2023年04月20日11时00分，地点为</w:t>
      </w:r>
      <w:r>
        <w:rPr>
          <w:rFonts w:hint="eastAsia" w:ascii="宋体" w:hAnsi="宋体" w:eastAsia="宋体" w:cs="宋体"/>
          <w:kern w:val="0"/>
          <w:sz w:val="24"/>
          <w:szCs w:val="24"/>
          <w:lang w:val="en-US" w:eastAsia="zh-CN" w:bidi="ar"/>
        </w:rPr>
        <w:t>青海聚鑫工程管理有限公司</w:t>
      </w: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青海生物科技产业园纬一路24号8号楼11层1101室</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5.2逾期送达的、未送达指定地点的响应文件，采购人将予以拒收。</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6.响应文件开启时间和地点</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采购人在本项目响应文件递交截止时间公开开启响应文件，并邀请所有供应商的法定代表人或其委托代理人参加开启会议，未参加开启会议的，视为默认开启结果。</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7.发布公告的媒介</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本询比采购公告同时在《中国招标投标公共服务平台》、《青海项目信息网》上发布。</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8.联系方式</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采购人：</w:t>
      </w:r>
      <w:r>
        <w:rPr>
          <w:rFonts w:hint="eastAsia" w:ascii="宋体" w:hAnsi="宋体" w:eastAsia="宋体" w:cs="宋体"/>
          <w:color w:val="000000"/>
          <w:kern w:val="2"/>
          <w:sz w:val="24"/>
          <w:szCs w:val="24"/>
          <w:lang w:val="en-US" w:eastAsia="zh-CN" w:bidi="ar"/>
        </w:rPr>
        <w:t>西宁经济技术开发区东川工业园区管理委员会</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联系地址：城东经济开发区金桥路</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w:t>
      </w:r>
      <w:r>
        <w:rPr>
          <w:rFonts w:hint="eastAsia" w:ascii="宋体" w:hAnsi="宋体" w:eastAsia="宋体" w:cs="宋体"/>
          <w:color w:val="000000"/>
          <w:kern w:val="2"/>
          <w:sz w:val="24"/>
          <w:szCs w:val="24"/>
          <w:lang w:val="en-US" w:eastAsia="zh-CN" w:bidi="ar"/>
        </w:rPr>
        <w:t>邵先生</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联系电话：</w:t>
      </w:r>
      <w:r>
        <w:rPr>
          <w:rFonts w:hint="eastAsia" w:ascii="宋体" w:hAnsi="宋体" w:eastAsia="宋体" w:cs="宋体"/>
          <w:color w:val="000000"/>
          <w:kern w:val="2"/>
          <w:sz w:val="24"/>
          <w:szCs w:val="24"/>
          <w:lang w:val="en-US" w:eastAsia="zh-CN" w:bidi="ar"/>
        </w:rPr>
        <w:t>0971-8163053</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代理机构：青海聚鑫工程管理有限公司</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联系地址：青海生物科技产业园纬一路24号8号楼11层1101室</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联系人：马先生</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电话：</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0971-8266981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bidi="ar"/>
        </w:rPr>
        <w:t>2023</w:t>
      </w:r>
      <w:r>
        <w:rPr>
          <w:rFonts w:hint="eastAsia" w:ascii="宋体" w:hAnsi="宋体" w:eastAsia="宋体" w:cs="宋体"/>
          <w:kern w:val="0"/>
          <w:sz w:val="24"/>
          <w:szCs w:val="24"/>
          <w:lang w:val="en-US" w:eastAsia="zh-CN" w:bidi="ar"/>
        </w:rPr>
        <w:t>年</w:t>
      </w:r>
      <w:r>
        <w:rPr>
          <w:rFonts w:hint="eastAsia" w:ascii="宋体" w:hAnsi="宋体" w:eastAsia="宋体" w:cs="Times New Roman"/>
          <w:kern w:val="0"/>
          <w:sz w:val="24"/>
          <w:szCs w:val="24"/>
          <w:lang w:val="en-US" w:eastAsia="zh-CN" w:bidi="ar"/>
        </w:rPr>
        <w:t>0</w:t>
      </w:r>
      <w:r>
        <w:rPr>
          <w:rFonts w:hint="eastAsia" w:ascii="宋体" w:hAnsi="宋体" w:eastAsia="宋体" w:cs="宋体"/>
          <w:kern w:val="0"/>
          <w:sz w:val="24"/>
          <w:szCs w:val="24"/>
          <w:lang w:val="en-US" w:eastAsia="zh-CN" w:bidi="ar"/>
        </w:rPr>
        <w:t>4月13日</w:t>
      </w: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keepNext w:val="0"/>
        <w:keepLines w:val="0"/>
        <w:widowControl/>
        <w:suppressLineNumbers w:val="0"/>
        <w:spacing w:before="0" w:beforeAutospacing="0" w:after="0" w:afterAutospacing="0" w:line="500" w:lineRule="exact"/>
        <w:ind w:left="0" w:right="0"/>
        <w:jc w:val="both"/>
        <w:rPr>
          <w:rFonts w:hint="eastAsia" w:ascii="宋体" w:hAnsi="宋体" w:eastAsia="宋体" w:cs="宋体"/>
          <w:kern w:val="0"/>
          <w:sz w:val="24"/>
          <w:szCs w:val="24"/>
        </w:rPr>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r>
        <w:rPr>
          <w:rFonts w:hint="eastAsia"/>
        </w:rPr>
        <w:br w:type="page"/>
      </w:r>
    </w:p>
    <w:p>
      <w:pPr>
        <w:pStyle w:val="2"/>
        <w:jc w:val="center"/>
      </w:pPr>
      <w:r>
        <w:rPr>
          <w:rFonts w:hint="eastAsia"/>
        </w:rPr>
        <w:t>第二章 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6" w:type="dxa"/>
            <w:noWrap/>
          </w:tcPr>
          <w:p>
            <w:pPr>
              <w:keepNext w:val="0"/>
              <w:keepLines w:val="0"/>
              <w:suppressLineNumbers w:val="0"/>
              <w:spacing w:before="0" w:beforeAutospacing="0" w:after="0" w:afterAutospacing="0" w:line="48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3462"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条款名称</w:t>
            </w:r>
          </w:p>
        </w:tc>
        <w:tc>
          <w:tcPr>
            <w:tcW w:w="3974"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6"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1.7.1</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路勘现场</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不组织</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1.8</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询比采购预备会</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不召开</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keepNext w:val="0"/>
              <w:keepLines w:val="0"/>
              <w:suppressLineNumbers w:val="0"/>
              <w:spacing w:before="0" w:beforeAutospacing="0" w:after="0" w:afterAutospacing="0" w:line="400" w:lineRule="exact"/>
              <w:ind w:left="0" w:right="0"/>
              <w:rPr>
                <w:rFonts w:hint="default" w:ascii="宋体" w:hAnsi="宋体" w:cs="宋体"/>
                <w:sz w:val="18"/>
                <w:szCs w:val="18"/>
              </w:rPr>
            </w:pPr>
            <w:r>
              <w:rPr>
                <w:rFonts w:hint="eastAsia" w:ascii="宋体" w:hAnsi="宋体" w:cs="宋体"/>
                <w:sz w:val="18"/>
                <w:szCs w:val="18"/>
              </w:rPr>
              <w:t>1.9（A、C）</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分包</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不得分包的内容：本项目不分包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1.10.2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可以偏差的范围：</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2.1（7）</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构成采购文件的其他资料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供应商要求澄清采购文件的时间</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2.2.3</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确认的最晚时间：收到补充文件1日内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3.1.1（9）</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构成响应文件的其他资料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采购标的数量增减幅度</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采购标的数量增减幅度：0％</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3.2.3</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最高限价或其计算方法</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无</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eq \o\ac(□,√)</w:instrText>
            </w:r>
            <w:r>
              <w:rPr>
                <w:rFonts w:hint="eastAsia" w:ascii="宋体" w:hAnsi="宋体" w:cs="宋体"/>
                <w:sz w:val="18"/>
                <w:szCs w:val="18"/>
              </w:rPr>
              <w:fldChar w:fldCharType="end"/>
            </w:r>
            <w:r>
              <w:rPr>
                <w:rFonts w:hint="eastAsia" w:ascii="宋体" w:hAnsi="宋体" w:cs="宋体"/>
                <w:sz w:val="18"/>
                <w:szCs w:val="18"/>
              </w:rPr>
              <w:t>有，最高限价：人民币</w:t>
            </w:r>
            <w:r>
              <w:rPr>
                <w:rFonts w:hint="eastAsia" w:ascii="宋体" w:hAnsi="宋体" w:cs="宋体"/>
                <w:sz w:val="18"/>
                <w:szCs w:val="18"/>
                <w:lang w:val="en-US" w:eastAsia="zh-CN"/>
              </w:rPr>
              <w:t>贰拾捌万捌仟伍佰陆拾玖元整</w:t>
            </w:r>
            <w:r>
              <w:rPr>
                <w:rFonts w:hint="eastAsia" w:ascii="宋体" w:hAnsi="宋体" w:cs="宋体"/>
                <w:sz w:val="18"/>
                <w:szCs w:val="18"/>
              </w:rPr>
              <w:t>（¥</w:t>
            </w:r>
            <w:r>
              <w:rPr>
                <w:rFonts w:hint="eastAsia" w:ascii="宋体" w:hAnsi="宋体" w:cs="宋体"/>
                <w:sz w:val="18"/>
                <w:szCs w:val="18"/>
                <w:lang w:val="en-US" w:eastAsia="zh-CN"/>
              </w:rPr>
              <w:t>288569.00</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3.2.4</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报价的其他要求</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3.3.1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递交响应文件截止时间起60日历天</w:t>
            </w:r>
          </w:p>
        </w:tc>
      </w:tr>
    </w:tbl>
    <w:tbl>
      <w:tblPr>
        <w:tblStyle w:val="47"/>
        <w:tblpPr w:leftFromText="180" w:rightFromText="180" w:vertAnchor="text" w:horzAnchor="page" w:tblpX="1866" w:tblpY="5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5"/>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3.4.1</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响应保证金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eastAsia" w:ascii="宋体" w:hAnsi="宋体" w:cs="宋体"/>
                <w:sz w:val="18"/>
                <w:szCs w:val="18"/>
              </w:rPr>
              <w:sym w:font="Wingdings" w:char="00A8"/>
            </w:r>
            <w:r>
              <w:rPr>
                <w:rFonts w:hint="eastAsia" w:ascii="宋体" w:hAnsi="宋体" w:cs="宋体"/>
                <w:b/>
                <w:sz w:val="18"/>
                <w:szCs w:val="18"/>
              </w:rPr>
              <w:t>不要求递交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b/>
                <w:sz w:val="18"/>
                <w:szCs w:val="18"/>
              </w:rPr>
              <w:sym w:font="Wingdings" w:char="00FE"/>
            </w:r>
            <w:r>
              <w:rPr>
                <w:rFonts w:hint="eastAsia" w:ascii="宋体" w:hAnsi="宋体" w:cs="宋体"/>
                <w:sz w:val="18"/>
                <w:szCs w:val="18"/>
              </w:rPr>
              <w:t xml:space="preserve"> 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保证金的金额：人民币伍仟元整（¥5000.00）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suppressLineNumbers w:val="0"/>
              <w:autoSpaceDE w:val="0"/>
              <w:autoSpaceDN w:val="0"/>
              <w:spacing w:before="0" w:beforeAutospacing="0" w:after="0" w:afterAutospacing="0" w:line="480" w:lineRule="exact"/>
              <w:ind w:left="0" w:right="0"/>
              <w:rPr>
                <w:rFonts w:hint="default" w:ascii="宋体" w:hAnsi="宋体" w:cs="宋体"/>
                <w:sz w:val="18"/>
                <w:szCs w:val="18"/>
              </w:rPr>
            </w:pPr>
            <w:r>
              <w:rPr>
                <w:rFonts w:hint="eastAsia" w:ascii="宋体" w:hAnsi="宋体" w:cs="宋体"/>
                <w:sz w:val="18"/>
                <w:szCs w:val="18"/>
              </w:rPr>
              <w:t>收款单位：中国工商银行股份有限公司西宁城北支行</w:t>
            </w:r>
            <w:r>
              <w:rPr>
                <w:rFonts w:hint="default" w:ascii="宋体" w:hAnsi="宋体" w:cs="宋体"/>
                <w:sz w:val="18"/>
                <w:szCs w:val="18"/>
              </w:rPr>
              <w:br w:type="textWrapping"/>
            </w:r>
            <w:r>
              <w:rPr>
                <w:rFonts w:hint="default" w:ascii="宋体" w:hAnsi="宋体" w:cs="宋体"/>
                <w:sz w:val="18"/>
                <w:szCs w:val="18"/>
              </w:rPr>
              <w:t>开户行：</w:t>
            </w:r>
            <w:r>
              <w:rPr>
                <w:rFonts w:hint="eastAsia" w:ascii="宋体" w:hAnsi="宋体" w:cs="宋体"/>
                <w:sz w:val="18"/>
                <w:szCs w:val="18"/>
              </w:rPr>
              <w:t>青海聚鑫工程管理有限公司</w:t>
            </w:r>
            <w:r>
              <w:rPr>
                <w:rFonts w:hint="default" w:ascii="宋体" w:hAnsi="宋体" w:cs="宋体"/>
                <w:sz w:val="18"/>
                <w:szCs w:val="18"/>
              </w:rPr>
              <w:br w:type="textWrapping"/>
            </w:r>
            <w:r>
              <w:rPr>
                <w:rFonts w:hint="default" w:ascii="宋体" w:hAnsi="宋体" w:cs="宋体"/>
                <w:sz w:val="18"/>
                <w:szCs w:val="18"/>
              </w:rPr>
              <w:t>开户帐号：</w:t>
            </w:r>
            <w:r>
              <w:rPr>
                <w:rFonts w:hint="eastAsia" w:ascii="宋体" w:hAnsi="宋体" w:cs="宋体"/>
                <w:sz w:val="18"/>
                <w:szCs w:val="18"/>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3.4.2</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退还响应保证金的时间</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3.4.3（3）</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不退还响应保证金的其他形式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（1）供应商在规定的响应文件有效期内撤销或修改其响应文件；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3.5（1）</w:t>
            </w:r>
          </w:p>
        </w:tc>
        <w:tc>
          <w:tcPr>
            <w:tcW w:w="308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依法设立的证明材料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3.5（2）</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资格要求证明材料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适用。供应商应提供相关资质证书副本的复印件，以证明供应商具有承担本项目要求的资质。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资质证书包括：/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3.5（3）</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w:t>
            </w:r>
            <w:r>
              <w:rPr>
                <w:rFonts w:hint="eastAsia" w:ascii="宋体" w:hAnsi="宋体" w:cs="宋体"/>
                <w:b/>
                <w:sz w:val="18"/>
                <w:szCs w:val="18"/>
              </w:rPr>
              <w:t>供应商提供202</w:t>
            </w:r>
            <w:r>
              <w:rPr>
                <w:rFonts w:hint="eastAsia" w:ascii="宋体" w:hAnsi="宋体" w:cs="宋体"/>
                <w:b/>
                <w:sz w:val="18"/>
                <w:szCs w:val="18"/>
                <w:lang w:val="en-US" w:eastAsia="zh-CN"/>
              </w:rPr>
              <w:t>1</w:t>
            </w:r>
            <w:r>
              <w:rPr>
                <w:rFonts w:hint="eastAsia" w:ascii="宋体" w:hAnsi="宋体" w:cs="宋体"/>
                <w:b/>
                <w:sz w:val="18"/>
                <w:szCs w:val="18"/>
              </w:rPr>
              <w:t>年度</w:t>
            </w:r>
            <w:r>
              <w:rPr>
                <w:rFonts w:hint="eastAsia" w:ascii="宋体" w:hAnsi="宋体" w:cs="宋体"/>
                <w:b/>
                <w:sz w:val="18"/>
                <w:szCs w:val="18"/>
                <w:lang w:eastAsia="zh-CN"/>
              </w:rPr>
              <w:t>（</w:t>
            </w:r>
            <w:r>
              <w:rPr>
                <w:rFonts w:hint="eastAsia" w:ascii="宋体" w:hAnsi="宋体" w:cs="宋体"/>
                <w:b/>
                <w:sz w:val="18"/>
                <w:szCs w:val="18"/>
                <w:lang w:val="en-US" w:eastAsia="zh-CN"/>
              </w:rPr>
              <w:t>或2022年度</w:t>
            </w:r>
            <w:r>
              <w:rPr>
                <w:rFonts w:hint="eastAsia" w:ascii="宋体" w:hAnsi="宋体" w:cs="宋体"/>
                <w:b/>
                <w:sz w:val="18"/>
                <w:szCs w:val="18"/>
                <w:lang w:eastAsia="zh-CN"/>
              </w:rPr>
              <w:t>）</w:t>
            </w:r>
            <w:r>
              <w:rPr>
                <w:rFonts w:hint="eastAsia" w:ascii="宋体" w:hAnsi="宋体" w:cs="宋体"/>
                <w:b/>
                <w:sz w:val="18"/>
                <w:szCs w:val="18"/>
              </w:rPr>
              <w:t>第三方审计的财务审计报告</w:t>
            </w:r>
            <w:r>
              <w:rPr>
                <w:rFonts w:hint="eastAsia" w:ascii="宋体" w:hAnsi="宋体" w:cs="宋体"/>
                <w:b/>
                <w:sz w:val="18"/>
                <w:szCs w:val="18"/>
                <w:lang w:val="en-US" w:eastAsia="zh-CN"/>
              </w:rPr>
              <w:t>或</w:t>
            </w:r>
            <w:r>
              <w:rPr>
                <w:rFonts w:hint="eastAsia" w:ascii="宋体" w:hAnsi="宋体" w:cs="宋体"/>
                <w:b/>
                <w:sz w:val="18"/>
                <w:szCs w:val="18"/>
              </w:rPr>
              <w:t>提供近三个月</w:t>
            </w:r>
            <w:r>
              <w:rPr>
                <w:rFonts w:hint="eastAsia" w:ascii="宋体" w:hAnsi="宋体" w:cs="宋体"/>
                <w:b/>
                <w:sz w:val="18"/>
                <w:szCs w:val="18"/>
                <w:lang w:val="en-US" w:eastAsia="zh-CN"/>
              </w:rPr>
              <w:t>银行资信证明</w:t>
            </w:r>
            <w:r>
              <w:rPr>
                <w:rFonts w:hint="eastAsia" w:ascii="宋体" w:hAnsi="宋体" w:cs="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3.5（4）</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业绩要求证明材料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b/>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适用。供应商应提供近年的类似项目情况</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表，以证明供应商具有承担本项目要求的业绩。</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近年是指：/</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合同/订单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中标通知书/成交通知书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竣工验收报告/验收证明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业绩证明材料种类要求：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提供上述勾选的任一项证明材料即可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其他要求：业绩要求不作为资格审查条件，作为详细评审条件。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3.5（5）</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信誉要求证明材料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适用。供应商应提供相关信誉情况的证明材料，包括：</w:t>
            </w:r>
            <w:r>
              <w:rPr>
                <w:rFonts w:hint="eastAsia" w:ascii="宋体" w:hAnsi="宋体" w:cs="宋体"/>
                <w:b/>
                <w:sz w:val="18"/>
                <w:szCs w:val="18"/>
              </w:rPr>
              <w:t>信用中国网站查询截图</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3.5（6）</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承担本项目的主要人员要求证明材料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3.5（7）</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其他要求的证明材料</w:t>
            </w:r>
          </w:p>
        </w:tc>
        <w:tc>
          <w:tcPr>
            <w:tcW w:w="4428" w:type="dxa"/>
            <w:noWrap/>
          </w:tcPr>
          <w:p>
            <w:pPr>
              <w:keepNext w:val="0"/>
              <w:keepLines w:val="0"/>
              <w:suppressLineNumbers w:val="0"/>
              <w:spacing w:before="0" w:beforeAutospacing="0" w:after="0" w:afterAutospacing="0" w:line="40" w:lineRule="atLeast"/>
              <w:ind w:left="0" w:right="0"/>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3.5（8）</w:t>
            </w:r>
          </w:p>
        </w:tc>
        <w:tc>
          <w:tcPr>
            <w:tcW w:w="3085" w:type="dxa"/>
            <w:noWrap/>
          </w:tcPr>
          <w:p>
            <w:pPr>
              <w:keepNext w:val="0"/>
              <w:keepLines w:val="0"/>
              <w:suppressLineNumbers w:val="0"/>
              <w:spacing w:before="0" w:beforeAutospacing="0" w:after="0" w:afterAutospacing="0" w:line="384" w:lineRule="auto"/>
              <w:ind w:left="0" w:right="0"/>
              <w:jc w:val="center"/>
              <w:rPr>
                <w:rFonts w:hint="default" w:ascii="宋体" w:hAnsi="宋体" w:cs="宋体"/>
                <w:sz w:val="18"/>
                <w:szCs w:val="18"/>
              </w:rPr>
            </w:pPr>
            <w:r>
              <w:rPr>
                <w:rFonts w:hint="eastAsia" w:ascii="宋体" w:hAnsi="宋体" w:cs="宋体"/>
                <w:sz w:val="18"/>
                <w:szCs w:val="18"/>
              </w:rPr>
              <w:t>供应商不存在第一章3.2款情形的证明材料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不需提供证明材料</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3.5（9）</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联合体要求的证明材料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3.6.1</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对关键条款进行响应的证据或证明材料要求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3.7.5</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响应文件副本份数及电子版要求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响应文件份数：一正二副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是否要求提供电子版响应文件：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rPr>
              <w:t>要求，提供电子版响应文件的形式：响应文件电子版与纸质版要一直（包括签字盖章），扫描PDF格式提供。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3.7.6</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分册装订要求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4.1.1</w:t>
            </w:r>
          </w:p>
        </w:tc>
        <w:tc>
          <w:tcPr>
            <w:tcW w:w="3085"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响应文件密封要求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响应文件外层密封袋的标注：</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项目名称：</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4.1.2</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封套上应载明的信息</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供应商名称：</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4.2.1</w:t>
            </w:r>
          </w:p>
        </w:tc>
        <w:tc>
          <w:tcPr>
            <w:tcW w:w="3085"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递交响应文件截止时间和地点</w:t>
            </w:r>
          </w:p>
        </w:tc>
        <w:tc>
          <w:tcPr>
            <w:tcW w:w="4428" w:type="dxa"/>
            <w:noWrap/>
            <w:vAlign w:val="center"/>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截止时间：202</w:t>
            </w:r>
            <w:r>
              <w:rPr>
                <w:rFonts w:hint="eastAsia" w:ascii="宋体" w:hAnsi="宋体" w:cs="宋体"/>
                <w:sz w:val="18"/>
                <w:szCs w:val="18"/>
                <w:lang w:val="en-US" w:eastAsia="zh-CN"/>
              </w:rPr>
              <w:t>3</w:t>
            </w:r>
            <w:r>
              <w:rPr>
                <w:rFonts w:hint="eastAsia" w:ascii="宋体" w:hAnsi="宋体" w:cs="宋体"/>
                <w:sz w:val="18"/>
                <w:szCs w:val="18"/>
              </w:rPr>
              <w:t>年0</w:t>
            </w:r>
            <w:r>
              <w:rPr>
                <w:rFonts w:hint="eastAsia" w:ascii="宋体" w:hAnsi="宋体" w:cs="宋体"/>
                <w:sz w:val="18"/>
                <w:szCs w:val="18"/>
                <w:lang w:val="en-US" w:eastAsia="zh-CN"/>
              </w:rPr>
              <w:t>4</w:t>
            </w:r>
            <w:r>
              <w:rPr>
                <w:rFonts w:hint="eastAsia" w:ascii="宋体" w:hAnsi="宋体" w:cs="宋体"/>
                <w:sz w:val="18"/>
                <w:szCs w:val="18"/>
              </w:rPr>
              <w:t>月</w:t>
            </w:r>
            <w:r>
              <w:rPr>
                <w:rFonts w:hint="eastAsia" w:ascii="宋体" w:hAnsi="宋体" w:cs="宋体"/>
                <w:sz w:val="18"/>
                <w:szCs w:val="18"/>
                <w:lang w:val="en-US" w:eastAsia="zh-CN"/>
              </w:rPr>
              <w:t>20</w:t>
            </w:r>
            <w:r>
              <w:rPr>
                <w:rFonts w:hint="eastAsia" w:ascii="宋体" w:hAnsi="宋体" w:cs="宋体"/>
                <w:sz w:val="18"/>
                <w:szCs w:val="18"/>
              </w:rPr>
              <w:t>日</w:t>
            </w:r>
            <w:r>
              <w:rPr>
                <w:rFonts w:hint="eastAsia" w:ascii="宋体" w:hAnsi="宋体" w:cs="宋体"/>
                <w:sz w:val="18"/>
                <w:szCs w:val="18"/>
                <w:lang w:val="en-US" w:eastAsia="zh-CN"/>
              </w:rPr>
              <w:t>11</w:t>
            </w:r>
            <w:r>
              <w:rPr>
                <w:rFonts w:hint="eastAsia" w:ascii="宋体" w:hAnsi="宋体" w:cs="宋体"/>
                <w:sz w:val="18"/>
                <w:szCs w:val="18"/>
              </w:rPr>
              <w:t>:00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递交响应文件的地点：青海聚鑫工程管理有限公司（青海生物科技产业园纬</w:t>
            </w:r>
            <w:r>
              <w:rPr>
                <w:rFonts w:hint="eastAsia" w:ascii="宋体" w:hAnsi="宋体" w:cs="宋体"/>
                <w:sz w:val="18"/>
                <w:szCs w:val="18"/>
                <w:lang w:val="en-US" w:eastAsia="zh-CN"/>
              </w:rPr>
              <w:t>一</w:t>
            </w:r>
            <w:r>
              <w:rPr>
                <w:rFonts w:hint="eastAsia" w:ascii="宋体" w:hAnsi="宋体" w:cs="宋体"/>
                <w:sz w:val="18"/>
                <w:szCs w:val="18"/>
              </w:rPr>
              <w:t>路</w:t>
            </w:r>
            <w:r>
              <w:rPr>
                <w:rFonts w:hint="eastAsia" w:ascii="宋体" w:hAnsi="宋体" w:cs="宋体"/>
                <w:sz w:val="18"/>
                <w:szCs w:val="18"/>
                <w:lang w:val="en-US" w:eastAsia="zh-CN"/>
              </w:rPr>
              <w:t>24</w:t>
            </w:r>
            <w:r>
              <w:rPr>
                <w:rFonts w:hint="eastAsia" w:ascii="宋体" w:hAnsi="宋体" w:cs="宋体"/>
                <w:sz w:val="18"/>
                <w:szCs w:val="18"/>
              </w:rPr>
              <w:t>号</w:t>
            </w:r>
            <w:r>
              <w:rPr>
                <w:rFonts w:hint="eastAsia" w:ascii="宋体" w:hAnsi="宋体" w:cs="宋体"/>
                <w:sz w:val="18"/>
                <w:szCs w:val="18"/>
                <w:lang w:val="en-US" w:eastAsia="zh-CN"/>
              </w:rPr>
              <w:t>8号</w:t>
            </w:r>
            <w:r>
              <w:rPr>
                <w:rFonts w:hint="eastAsia" w:ascii="宋体" w:hAnsi="宋体" w:cs="宋体"/>
                <w:sz w:val="18"/>
                <w:szCs w:val="18"/>
              </w:rPr>
              <w:t>楼</w:t>
            </w:r>
            <w:r>
              <w:rPr>
                <w:rFonts w:hint="eastAsia" w:ascii="宋体" w:hAnsi="宋体" w:cs="宋体"/>
                <w:sz w:val="18"/>
                <w:szCs w:val="18"/>
                <w:lang w:val="en-US" w:eastAsia="zh-CN"/>
              </w:rPr>
              <w:t>11层</w:t>
            </w:r>
            <w:r>
              <w:rPr>
                <w:rFonts w:hint="eastAsia" w:ascii="宋体" w:hAnsi="宋体" w:cs="宋体"/>
                <w:sz w:val="18"/>
                <w:szCs w:val="18"/>
              </w:rPr>
              <w:t>1</w:t>
            </w:r>
            <w:r>
              <w:rPr>
                <w:rFonts w:hint="eastAsia" w:ascii="宋体" w:hAnsi="宋体" w:cs="宋体"/>
                <w:sz w:val="18"/>
                <w:szCs w:val="18"/>
                <w:lang w:val="en-US" w:eastAsia="zh-CN"/>
              </w:rPr>
              <w:t>1</w:t>
            </w:r>
            <w:r>
              <w:rPr>
                <w:rFonts w:hint="eastAsia" w:ascii="宋体" w:hAnsi="宋体" w:cs="宋体"/>
                <w:sz w:val="18"/>
                <w:szCs w:val="18"/>
              </w:rPr>
              <w:t>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4.2.2</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是否退还响应文件</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4.3.3</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供应商撤回响应文件情况下退还响应保证金的时间</w:t>
            </w:r>
          </w:p>
        </w:tc>
        <w:tc>
          <w:tcPr>
            <w:tcW w:w="4428" w:type="dxa"/>
            <w:noWrap/>
          </w:tcPr>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 xml:space="preserve">自采购人收到供应商递交的书面通知之日起    </w:t>
            </w:r>
          </w:p>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5.2（4）</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开启程序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开启顺序：按照购买询比文件的顺序开启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其他应公布的信息：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宣布开启会议纪律</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宣布参加开启会议的工作人员姓名</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供应商代表检查确认响应文件的密封情况</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（5）</w:t>
            </w:r>
            <w:r>
              <w:rPr>
                <w:rFonts w:hint="default" w:ascii="宋体" w:hAnsi="宋体" w:cs="宋体"/>
                <w:sz w:val="18"/>
                <w:szCs w:val="18"/>
              </w:rPr>
              <w:t>供应商代表及相关工作人员等在响应文件开启记录上签字确认</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（6）</w:t>
            </w:r>
            <w:r>
              <w:rPr>
                <w:rFonts w:hint="default" w:ascii="宋体" w:hAnsi="宋体" w:cs="宋体"/>
                <w:sz w:val="18"/>
                <w:szCs w:val="18"/>
              </w:rPr>
              <w:t>宣布有关注意事项</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（7）</w:t>
            </w:r>
            <w:r>
              <w:rPr>
                <w:rFonts w:hint="default"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5.3</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递交响应文件的供应商不足的情形</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成交供应商为多家时，供应商不足的数量要求：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6.2.2</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推荐候选成交供应商的数量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7.3</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预成交结果公示</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公示媒介：中国招标投标公共服务平台、青海项目信息网</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公示期限：3个日历日</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7.6.1</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履约保证金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不要求提交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要求提交</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履约保证金金额：合同签订时约定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履约保证金形式：合同签订时约定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履约保证金有效期限：</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8.1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异议渠道</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联系人：马先生</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联系电话：0971-8266981</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通讯地址：青海聚鑫工程管理有限公司（青海生物科技产业园纬一路24号8号楼11层1101室）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8.2</w:t>
            </w:r>
          </w:p>
        </w:tc>
        <w:tc>
          <w:tcPr>
            <w:tcW w:w="3085" w:type="dxa"/>
            <w:noWrap/>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可以调解异议争议的行业组织或专业咨询机构</w:t>
            </w:r>
          </w:p>
        </w:tc>
        <w:tc>
          <w:tcPr>
            <w:tcW w:w="4428" w:type="dxa"/>
            <w:noWrap/>
          </w:tcPr>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10.1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采购代理服务费</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不要求承担</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要求承担</w:t>
            </w:r>
          </w:p>
          <w:p>
            <w:pPr>
              <w:keepNext w:val="0"/>
              <w:keepLines w:val="0"/>
              <w:suppressLineNumbers w:val="0"/>
              <w:spacing w:before="0" w:beforeAutospacing="0" w:after="0" w:afterAutospacing="0" w:line="312" w:lineRule="auto"/>
              <w:ind w:left="0" w:right="0" w:firstLine="181" w:firstLineChars="100"/>
              <w:jc w:val="left"/>
              <w:rPr>
                <w:rFonts w:hint="default" w:ascii="宋体" w:hAnsi="宋体" w:cs="宋体"/>
                <w:b/>
                <w:sz w:val="18"/>
                <w:szCs w:val="18"/>
              </w:rPr>
            </w:pPr>
            <w:r>
              <w:rPr>
                <w:rFonts w:hint="eastAsia" w:ascii="宋体" w:hAnsi="宋体" w:cs="宋体"/>
                <w:b/>
                <w:sz w:val="18"/>
                <w:szCs w:val="18"/>
              </w:rPr>
              <w:t>支付方：成交人</w:t>
            </w:r>
          </w:p>
          <w:p>
            <w:pPr>
              <w:keepNext w:val="0"/>
              <w:keepLines w:val="0"/>
              <w:suppressLineNumbers w:val="0"/>
              <w:spacing w:before="0" w:beforeAutospacing="0" w:after="0" w:afterAutospacing="0" w:line="312" w:lineRule="auto"/>
              <w:ind w:left="0" w:right="0" w:firstLine="181" w:firstLineChars="100"/>
              <w:jc w:val="left"/>
              <w:rPr>
                <w:rFonts w:hint="default" w:ascii="宋体" w:hAnsi="宋体" w:cs="宋体"/>
                <w:b/>
                <w:sz w:val="18"/>
                <w:szCs w:val="18"/>
              </w:rPr>
            </w:pPr>
            <w:r>
              <w:rPr>
                <w:rFonts w:hint="eastAsia" w:ascii="宋体" w:hAnsi="宋体" w:cs="宋体"/>
                <w:b/>
                <w:sz w:val="18"/>
                <w:szCs w:val="18"/>
              </w:rPr>
              <w:t>费用标准或金额：人民币</w:t>
            </w:r>
            <w:r>
              <w:rPr>
                <w:rFonts w:hint="eastAsia" w:ascii="宋体" w:hAnsi="宋体" w:cs="宋体"/>
                <w:b/>
                <w:sz w:val="18"/>
                <w:szCs w:val="18"/>
                <w:lang w:val="en-US" w:eastAsia="zh-CN"/>
              </w:rPr>
              <w:t>伍</w:t>
            </w:r>
            <w:r>
              <w:rPr>
                <w:rFonts w:hint="eastAsia" w:ascii="宋体" w:hAnsi="宋体" w:cs="宋体"/>
                <w:b/>
                <w:sz w:val="18"/>
                <w:szCs w:val="18"/>
              </w:rPr>
              <w:t>仟元整（¥</w:t>
            </w:r>
            <w:r>
              <w:rPr>
                <w:rFonts w:hint="eastAsia" w:ascii="宋体" w:hAnsi="宋体" w:cs="宋体"/>
                <w:b/>
                <w:sz w:val="18"/>
                <w:szCs w:val="18"/>
                <w:lang w:val="en-US" w:eastAsia="zh-CN"/>
              </w:rPr>
              <w:t>50</w:t>
            </w:r>
            <w:r>
              <w:rPr>
                <w:rFonts w:hint="eastAsia" w:ascii="宋体" w:hAnsi="宋体" w:cs="宋体"/>
                <w:b/>
                <w:sz w:val="18"/>
                <w:szCs w:val="18"/>
              </w:rPr>
              <w:t>00.00）</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交费时间：领取成交通知书时交纳</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交费方式：现金或转账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10.2</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需要补充的其他内容</w:t>
            </w:r>
          </w:p>
        </w:tc>
        <w:tc>
          <w:tcPr>
            <w:tcW w:w="4428" w:type="dxa"/>
            <w:noWrap/>
          </w:tcPr>
          <w:p>
            <w:pPr>
              <w:keepNext w:val="0"/>
              <w:keepLines w:val="0"/>
              <w:suppressLineNumbers w:val="0"/>
              <w:spacing w:before="0" w:beforeAutospacing="0" w:after="0" w:afterAutospacing="0" w:line="408" w:lineRule="auto"/>
              <w:ind w:left="0" w:right="0"/>
              <w:rPr>
                <w:rFonts w:hint="default" w:ascii="宋体" w:hAnsi="宋体" w:cs="宋体"/>
                <w:sz w:val="18"/>
                <w:szCs w:val="18"/>
              </w:rPr>
            </w:pPr>
            <w:r>
              <w:rPr>
                <w:rFonts w:hint="eastAsia" w:ascii="宋体" w:hAnsi="宋体" w:cs="宋体"/>
                <w:sz w:val="18"/>
                <w:szCs w:val="18"/>
              </w:rPr>
              <w:t>/</w:t>
            </w:r>
          </w:p>
        </w:tc>
      </w:tr>
    </w:tbl>
    <w:p>
      <w:pPr>
        <w:spacing w:line="360" w:lineRule="auto"/>
        <w:jc w:val="left"/>
        <w:rPr>
          <w:rFonts w:ascii="宋体" w:hAnsi="宋体" w:cs="宋体"/>
          <w:b/>
          <w:bCs/>
          <w:sz w:val="36"/>
          <w:szCs w:val="36"/>
        </w:rPr>
      </w:pPr>
    </w:p>
    <w:p>
      <w:pPr>
        <w:spacing w:line="360" w:lineRule="auto"/>
        <w:jc w:val="left"/>
        <w:rPr>
          <w:rFonts w:ascii="宋体" w:hAnsi="宋体" w:cs="宋体"/>
          <w:b/>
          <w:bCs/>
          <w:sz w:val="36"/>
          <w:szCs w:val="36"/>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ascii="宋体" w:hAnsi="宋体" w:cs="宋体"/>
          <w:b/>
          <w:bCs/>
          <w:sz w:val="30"/>
          <w:szCs w:val="30"/>
        </w:rPr>
      </w:pPr>
      <w:r>
        <w:rPr>
          <w:rFonts w:hint="eastAsia" w:ascii="宋体" w:hAnsi="宋体" w:cs="宋体"/>
          <w:b/>
          <w:bCs/>
          <w:sz w:val="30"/>
          <w:szCs w:val="30"/>
        </w:rPr>
        <w:t>1.总则</w:t>
      </w:r>
    </w:p>
    <w:p>
      <w:pPr>
        <w:spacing w:line="560" w:lineRule="exact"/>
        <w:jc w:val="left"/>
        <w:rPr>
          <w:rFonts w:ascii="宋体" w:hAnsi="宋体" w:cs="宋体"/>
          <w:b/>
          <w:bCs/>
          <w:sz w:val="30"/>
          <w:szCs w:val="30"/>
        </w:rPr>
      </w:pPr>
      <w:r>
        <w:rPr>
          <w:rFonts w:hint="eastAsia" w:ascii="宋体" w:hAnsi="宋体" w:cs="宋体"/>
          <w:b/>
          <w:bCs/>
          <w:sz w:val="30"/>
          <w:szCs w:val="30"/>
        </w:rPr>
        <w:t>1.1采购方式</w:t>
      </w:r>
    </w:p>
    <w:p>
      <w:pPr>
        <w:spacing w:line="56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56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56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56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1.3费用承担</w:t>
      </w:r>
    </w:p>
    <w:p>
      <w:pPr>
        <w:spacing w:line="56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560" w:lineRule="exact"/>
        <w:jc w:val="left"/>
        <w:rPr>
          <w:rFonts w:ascii="宋体" w:hAnsi="宋体" w:cs="宋体"/>
          <w:b/>
          <w:bCs/>
          <w:sz w:val="30"/>
          <w:szCs w:val="30"/>
        </w:rPr>
      </w:pPr>
      <w:r>
        <w:rPr>
          <w:rFonts w:hint="eastAsia" w:ascii="宋体" w:hAnsi="宋体" w:cs="宋体"/>
          <w:b/>
          <w:bCs/>
          <w:sz w:val="30"/>
          <w:szCs w:val="30"/>
        </w:rPr>
        <w:t>1.4保密</w:t>
      </w:r>
    </w:p>
    <w:p>
      <w:pPr>
        <w:spacing w:line="56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560" w:lineRule="exact"/>
        <w:jc w:val="left"/>
        <w:rPr>
          <w:rFonts w:ascii="宋体" w:hAnsi="宋体" w:cs="宋体"/>
          <w:b/>
          <w:bCs/>
          <w:sz w:val="30"/>
          <w:szCs w:val="30"/>
        </w:rPr>
      </w:pPr>
      <w:r>
        <w:rPr>
          <w:rFonts w:hint="eastAsia" w:ascii="宋体" w:hAnsi="宋体" w:cs="宋体"/>
          <w:b/>
          <w:bCs/>
          <w:sz w:val="30"/>
          <w:szCs w:val="30"/>
        </w:rPr>
        <w:t>1.5语言文字</w:t>
      </w:r>
    </w:p>
    <w:p>
      <w:pPr>
        <w:spacing w:line="56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560" w:lineRule="exact"/>
        <w:jc w:val="left"/>
        <w:rPr>
          <w:rFonts w:ascii="宋体" w:hAnsi="宋体" w:cs="宋体"/>
          <w:b/>
          <w:bCs/>
          <w:sz w:val="30"/>
          <w:szCs w:val="30"/>
        </w:rPr>
      </w:pPr>
      <w:r>
        <w:rPr>
          <w:rFonts w:hint="eastAsia" w:ascii="宋体" w:hAnsi="宋体" w:cs="宋体"/>
          <w:b/>
          <w:bCs/>
          <w:sz w:val="30"/>
          <w:szCs w:val="30"/>
        </w:rPr>
        <w:t>1.6计量单位</w:t>
      </w:r>
    </w:p>
    <w:p>
      <w:pPr>
        <w:spacing w:line="56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1.7踏勘现场</w:t>
      </w:r>
    </w:p>
    <w:p>
      <w:pPr>
        <w:spacing w:line="560" w:lineRule="exact"/>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560" w:lineRule="exact"/>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56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56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56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560" w:lineRule="exact"/>
        <w:jc w:val="left"/>
        <w:rPr>
          <w:rFonts w:ascii="宋体" w:hAnsi="宋体" w:cs="宋体"/>
          <w:b/>
          <w:bCs/>
          <w:sz w:val="30"/>
          <w:szCs w:val="30"/>
        </w:rPr>
      </w:pPr>
      <w:r>
        <w:rPr>
          <w:rFonts w:hint="eastAsia" w:ascii="宋体" w:hAnsi="宋体" w:cs="宋体"/>
          <w:b/>
          <w:bCs/>
          <w:sz w:val="30"/>
          <w:szCs w:val="30"/>
        </w:rPr>
        <w:t>1.9分包</w:t>
      </w:r>
    </w:p>
    <w:p>
      <w:pPr>
        <w:spacing w:line="56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56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560" w:lineRule="exact"/>
        <w:jc w:val="left"/>
        <w:rPr>
          <w:rFonts w:ascii="宋体" w:hAnsi="宋体" w:cs="宋体"/>
          <w:b/>
          <w:bCs/>
          <w:sz w:val="30"/>
          <w:szCs w:val="30"/>
        </w:rPr>
      </w:pPr>
      <w:r>
        <w:rPr>
          <w:rFonts w:hint="eastAsia" w:ascii="宋体" w:hAnsi="宋体" w:cs="宋体"/>
          <w:b/>
          <w:bCs/>
          <w:sz w:val="30"/>
          <w:szCs w:val="30"/>
        </w:rPr>
        <w:t>1.10响应和偏差</w:t>
      </w:r>
    </w:p>
    <w:p>
      <w:pPr>
        <w:spacing w:line="56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56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560" w:lineRule="exact"/>
        <w:jc w:val="left"/>
        <w:rPr>
          <w:rFonts w:ascii="宋体" w:hAnsi="宋体" w:cs="宋体"/>
          <w:b/>
          <w:bCs/>
          <w:sz w:val="30"/>
          <w:szCs w:val="30"/>
        </w:rPr>
      </w:pPr>
      <w:r>
        <w:rPr>
          <w:rFonts w:hint="eastAsia" w:ascii="宋体" w:hAnsi="宋体" w:cs="宋体"/>
          <w:b/>
          <w:bCs/>
          <w:sz w:val="36"/>
          <w:szCs w:val="36"/>
        </w:rPr>
        <w:br w:type="column"/>
      </w:r>
      <w:r>
        <w:rPr>
          <w:rFonts w:hint="eastAsia" w:ascii="宋体" w:hAnsi="宋体" w:cs="宋体"/>
          <w:b/>
          <w:bCs/>
          <w:sz w:val="30"/>
          <w:szCs w:val="30"/>
        </w:rPr>
        <w:t>2.采购文件</w:t>
      </w:r>
    </w:p>
    <w:p>
      <w:pPr>
        <w:spacing w:line="56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560" w:lineRule="exact"/>
        <w:ind w:firstLine="480" w:firstLineChars="200"/>
        <w:jc w:val="left"/>
        <w:rPr>
          <w:rFonts w:ascii="宋体" w:hAnsi="宋体" w:cs="宋体"/>
          <w:sz w:val="24"/>
        </w:rPr>
      </w:pPr>
      <w:r>
        <w:rPr>
          <w:rFonts w:hint="eastAsia" w:ascii="宋体" w:hAnsi="宋体" w:cs="宋体"/>
          <w:sz w:val="24"/>
        </w:rPr>
        <w:t>本采购文件包括：</w:t>
      </w:r>
    </w:p>
    <w:p>
      <w:pPr>
        <w:spacing w:line="560" w:lineRule="exact"/>
        <w:ind w:firstLine="480" w:firstLineChars="200"/>
        <w:jc w:val="left"/>
        <w:rPr>
          <w:rFonts w:ascii="宋体" w:hAnsi="宋体" w:cs="宋体"/>
          <w:sz w:val="24"/>
        </w:rPr>
      </w:pPr>
      <w:r>
        <w:rPr>
          <w:rFonts w:hint="eastAsia" w:ascii="宋体" w:hAnsi="宋体" w:cs="宋体"/>
          <w:sz w:val="24"/>
        </w:rPr>
        <w:t>（1）询比采购邀请书；</w:t>
      </w:r>
    </w:p>
    <w:p>
      <w:pPr>
        <w:spacing w:line="560" w:lineRule="exact"/>
        <w:ind w:firstLine="480" w:firstLineChars="200"/>
        <w:jc w:val="left"/>
        <w:rPr>
          <w:rFonts w:ascii="宋体" w:hAnsi="宋体" w:cs="宋体"/>
          <w:sz w:val="24"/>
        </w:rPr>
      </w:pPr>
      <w:r>
        <w:rPr>
          <w:rFonts w:hint="eastAsia" w:ascii="宋体" w:hAnsi="宋体" w:cs="宋体"/>
          <w:sz w:val="24"/>
        </w:rPr>
        <w:t>（2）供应商须知；</w:t>
      </w:r>
    </w:p>
    <w:p>
      <w:pPr>
        <w:spacing w:line="560" w:lineRule="exact"/>
        <w:ind w:firstLine="480" w:firstLineChars="200"/>
        <w:jc w:val="left"/>
        <w:rPr>
          <w:rFonts w:ascii="宋体" w:hAnsi="宋体" w:cs="宋体"/>
          <w:sz w:val="24"/>
        </w:rPr>
      </w:pPr>
      <w:r>
        <w:rPr>
          <w:rFonts w:hint="eastAsia" w:ascii="宋体" w:hAnsi="宋体" w:cs="宋体"/>
          <w:sz w:val="24"/>
        </w:rPr>
        <w:t>（3）评审办法；</w:t>
      </w:r>
    </w:p>
    <w:p>
      <w:pPr>
        <w:spacing w:line="560" w:lineRule="exact"/>
        <w:ind w:firstLine="480" w:firstLineChars="200"/>
        <w:jc w:val="left"/>
        <w:rPr>
          <w:rFonts w:ascii="宋体" w:hAnsi="宋体" w:cs="宋体"/>
          <w:sz w:val="24"/>
        </w:rPr>
      </w:pPr>
      <w:r>
        <w:rPr>
          <w:rFonts w:hint="eastAsia" w:ascii="宋体" w:hAnsi="宋体" w:cs="宋体"/>
          <w:sz w:val="24"/>
        </w:rPr>
        <w:t>（4）合同条款及格式；</w:t>
      </w:r>
    </w:p>
    <w:p>
      <w:pPr>
        <w:spacing w:line="560" w:lineRule="exact"/>
        <w:ind w:firstLine="480" w:firstLineChars="200"/>
        <w:jc w:val="left"/>
        <w:rPr>
          <w:rFonts w:ascii="宋体" w:hAnsi="宋体" w:cs="宋体"/>
          <w:sz w:val="24"/>
        </w:rPr>
      </w:pPr>
      <w:r>
        <w:rPr>
          <w:rFonts w:hint="eastAsia" w:ascii="宋体" w:hAnsi="宋体" w:cs="宋体"/>
          <w:sz w:val="24"/>
        </w:rPr>
        <w:t>（5）采购需求；</w:t>
      </w:r>
    </w:p>
    <w:p>
      <w:pPr>
        <w:spacing w:line="560" w:lineRule="exact"/>
        <w:ind w:firstLine="480" w:firstLineChars="200"/>
        <w:jc w:val="left"/>
        <w:rPr>
          <w:rFonts w:ascii="宋体" w:hAnsi="宋体" w:cs="宋体"/>
          <w:sz w:val="24"/>
        </w:rPr>
      </w:pPr>
      <w:r>
        <w:rPr>
          <w:rFonts w:hint="eastAsia" w:ascii="宋体" w:hAnsi="宋体" w:cs="宋体"/>
          <w:sz w:val="24"/>
        </w:rPr>
        <w:t>（6）响应文件格式；</w:t>
      </w:r>
    </w:p>
    <w:p>
      <w:pPr>
        <w:spacing w:line="56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56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56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56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56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56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56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560" w:lineRule="exact"/>
        <w:jc w:val="left"/>
        <w:rPr>
          <w:rFonts w:ascii="宋体" w:hAnsi="宋体" w:cs="宋体"/>
          <w:b/>
          <w:bCs/>
          <w:sz w:val="36"/>
          <w:szCs w:val="36"/>
        </w:rPr>
      </w:pPr>
      <w:r>
        <w:rPr>
          <w:rFonts w:hint="eastAsia" w:ascii="宋体" w:hAnsi="宋体" w:cs="宋体"/>
          <w:b/>
          <w:bCs/>
          <w:sz w:val="36"/>
          <w:szCs w:val="36"/>
        </w:rPr>
        <w:t>3.响应文件</w:t>
      </w:r>
    </w:p>
    <w:p>
      <w:pPr>
        <w:spacing w:line="56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56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560" w:lineRule="exact"/>
        <w:ind w:firstLine="480" w:firstLineChars="200"/>
        <w:jc w:val="left"/>
        <w:rPr>
          <w:rFonts w:ascii="宋体" w:hAnsi="宋体" w:cs="宋体"/>
          <w:sz w:val="24"/>
        </w:rPr>
      </w:pPr>
      <w:r>
        <w:rPr>
          <w:rFonts w:hint="eastAsia" w:ascii="宋体" w:hAnsi="宋体" w:cs="宋体"/>
          <w:sz w:val="24"/>
        </w:rPr>
        <w:t>（1）响应函；</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56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56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560" w:lineRule="exact"/>
        <w:jc w:val="left"/>
        <w:rPr>
          <w:rFonts w:ascii="宋体" w:hAnsi="宋体" w:cs="宋体"/>
          <w:b/>
          <w:bCs/>
          <w:sz w:val="30"/>
          <w:szCs w:val="30"/>
        </w:rPr>
      </w:pPr>
      <w:r>
        <w:rPr>
          <w:rFonts w:hint="eastAsia" w:ascii="宋体" w:hAnsi="宋体" w:cs="宋体"/>
          <w:b/>
          <w:bCs/>
          <w:sz w:val="30"/>
          <w:szCs w:val="30"/>
        </w:rPr>
        <w:t>3.2报价</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56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56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56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560" w:lineRule="exact"/>
        <w:ind w:firstLine="480" w:firstLineChars="200"/>
        <w:jc w:val="left"/>
        <w:rPr>
          <w:rFonts w:ascii="宋体" w:hAnsi="宋体" w:cs="宋体"/>
          <w:sz w:val="24"/>
        </w:rPr>
      </w:pPr>
      <w:r>
        <w:rPr>
          <w:rFonts w:ascii="宋体" w:hAnsi="宋体" w:cs="宋体"/>
          <w:sz w:val="24"/>
        </w:rPr>
        <w:t>3.3.1响应文件有效期应为</w:t>
      </w:r>
      <w:r>
        <w:rPr>
          <w:rFonts w:hint="eastAsia" w:ascii="宋体" w:hAnsi="宋体" w:cs="宋体"/>
          <w:sz w:val="24"/>
          <w:lang w:val="en-US" w:eastAsia="zh-CN"/>
        </w:rPr>
        <w:t>60</w:t>
      </w:r>
      <w:r>
        <w:rPr>
          <w:rFonts w:ascii="宋体" w:hAnsi="宋体" w:cs="宋体"/>
          <w:sz w:val="24"/>
        </w:rPr>
        <w:t>日，从采购文件规定的递交响应文件的截止时间开始计算。</w:t>
      </w:r>
    </w:p>
    <w:p>
      <w:pPr>
        <w:spacing w:line="56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560" w:lineRule="exact"/>
        <w:jc w:val="left"/>
        <w:rPr>
          <w:rFonts w:ascii="宋体" w:hAnsi="宋体" w:cs="宋体"/>
          <w:b/>
          <w:bCs/>
          <w:sz w:val="30"/>
          <w:szCs w:val="30"/>
        </w:rPr>
      </w:pPr>
      <w:r>
        <w:rPr>
          <w:rFonts w:hint="eastAsia" w:ascii="宋体" w:hAnsi="宋体" w:cs="宋体"/>
          <w:b/>
          <w:bCs/>
          <w:sz w:val="30"/>
          <w:szCs w:val="30"/>
        </w:rPr>
        <w:t>3.4响应保证金</w:t>
      </w:r>
    </w:p>
    <w:p>
      <w:pPr>
        <w:spacing w:line="56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56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56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560" w:lineRule="exact"/>
        <w:jc w:val="left"/>
        <w:rPr>
          <w:rFonts w:ascii="宋体" w:hAnsi="宋体" w:cs="宋体"/>
          <w:b/>
          <w:bCs/>
          <w:sz w:val="30"/>
          <w:szCs w:val="30"/>
        </w:rPr>
      </w:pPr>
      <w:r>
        <w:rPr>
          <w:rFonts w:hint="eastAsia" w:ascii="宋体" w:hAnsi="宋体" w:cs="宋体"/>
          <w:b/>
          <w:bCs/>
          <w:sz w:val="30"/>
          <w:szCs w:val="30"/>
        </w:rPr>
        <w:t>3.5资格审查资料</w:t>
      </w:r>
    </w:p>
    <w:p>
      <w:pPr>
        <w:spacing w:line="56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3.6响应方案</w:t>
      </w:r>
    </w:p>
    <w:p>
      <w:pPr>
        <w:spacing w:line="56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56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56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56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56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56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56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56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560" w:lineRule="exact"/>
        <w:jc w:val="left"/>
        <w:rPr>
          <w:rFonts w:ascii="宋体" w:hAnsi="宋体" w:cs="宋体"/>
          <w:b/>
          <w:bCs/>
          <w:sz w:val="30"/>
          <w:szCs w:val="30"/>
        </w:rPr>
      </w:pPr>
      <w:r>
        <w:rPr>
          <w:rFonts w:hint="eastAsia" w:ascii="宋体" w:hAnsi="宋体" w:cs="宋体"/>
          <w:b/>
          <w:bCs/>
          <w:sz w:val="30"/>
          <w:szCs w:val="30"/>
        </w:rPr>
        <w:t>4.响应文件的递交</w:t>
      </w:r>
    </w:p>
    <w:p>
      <w:pPr>
        <w:spacing w:line="56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56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56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4.2提交响应文件</w:t>
      </w:r>
    </w:p>
    <w:p>
      <w:pPr>
        <w:spacing w:line="56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56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56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56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56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56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56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560" w:lineRule="exact"/>
        <w:jc w:val="left"/>
        <w:rPr>
          <w:rFonts w:ascii="宋体" w:hAnsi="宋体" w:cs="宋体"/>
          <w:b/>
          <w:bCs/>
          <w:sz w:val="30"/>
          <w:szCs w:val="30"/>
        </w:rPr>
      </w:pPr>
      <w:r>
        <w:rPr>
          <w:rFonts w:hint="eastAsia" w:ascii="宋体" w:hAnsi="宋体" w:cs="宋体"/>
          <w:b/>
          <w:bCs/>
          <w:sz w:val="30"/>
          <w:szCs w:val="30"/>
        </w:rPr>
        <w:t>5.开启响应文件</w:t>
      </w:r>
    </w:p>
    <w:p>
      <w:pPr>
        <w:spacing w:line="56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56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560" w:lineRule="exact"/>
        <w:jc w:val="left"/>
        <w:rPr>
          <w:rFonts w:ascii="宋体" w:hAnsi="宋体" w:cs="宋体"/>
          <w:b/>
          <w:bCs/>
          <w:sz w:val="30"/>
          <w:szCs w:val="30"/>
        </w:rPr>
      </w:pPr>
      <w:r>
        <w:rPr>
          <w:rFonts w:hint="eastAsia" w:ascii="宋体" w:hAnsi="宋体" w:cs="宋体"/>
          <w:b/>
          <w:bCs/>
          <w:sz w:val="30"/>
          <w:szCs w:val="30"/>
        </w:rPr>
        <w:t>5.2开启程序</w:t>
      </w:r>
    </w:p>
    <w:p>
      <w:pPr>
        <w:spacing w:line="56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56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560" w:lineRule="exact"/>
        <w:jc w:val="left"/>
        <w:rPr>
          <w:rFonts w:ascii="宋体" w:hAnsi="宋体" w:cs="宋体"/>
          <w:b/>
          <w:bCs/>
          <w:sz w:val="30"/>
          <w:szCs w:val="30"/>
        </w:rPr>
      </w:pPr>
      <w:r>
        <w:rPr>
          <w:rFonts w:hint="eastAsia" w:ascii="宋体" w:hAnsi="宋体" w:cs="宋体"/>
          <w:b/>
          <w:bCs/>
          <w:sz w:val="30"/>
          <w:szCs w:val="30"/>
        </w:rPr>
        <w:t>6.评审</w:t>
      </w:r>
    </w:p>
    <w:p>
      <w:pPr>
        <w:spacing w:line="560" w:lineRule="exact"/>
        <w:jc w:val="left"/>
        <w:rPr>
          <w:rFonts w:ascii="宋体" w:hAnsi="宋体" w:cs="宋体"/>
          <w:b/>
          <w:bCs/>
          <w:sz w:val="30"/>
          <w:szCs w:val="30"/>
        </w:rPr>
      </w:pPr>
      <w:r>
        <w:rPr>
          <w:rFonts w:hint="eastAsia" w:ascii="宋体" w:hAnsi="宋体" w:cs="宋体"/>
          <w:b/>
          <w:bCs/>
          <w:sz w:val="30"/>
          <w:szCs w:val="30"/>
        </w:rPr>
        <w:t>6.1评审小组</w:t>
      </w:r>
    </w:p>
    <w:p>
      <w:pPr>
        <w:spacing w:line="56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56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56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560" w:lineRule="exact"/>
        <w:jc w:val="left"/>
        <w:rPr>
          <w:rFonts w:ascii="宋体" w:hAnsi="宋体" w:cs="宋体"/>
          <w:b/>
          <w:bCs/>
          <w:sz w:val="30"/>
          <w:szCs w:val="30"/>
        </w:rPr>
      </w:pPr>
      <w:r>
        <w:rPr>
          <w:rFonts w:hint="eastAsia" w:ascii="宋体" w:hAnsi="宋体" w:cs="宋体"/>
          <w:b/>
          <w:bCs/>
          <w:sz w:val="30"/>
          <w:szCs w:val="30"/>
        </w:rPr>
        <w:t>6.2评审</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7.合同授予</w:t>
      </w:r>
    </w:p>
    <w:p>
      <w:pPr>
        <w:spacing w:line="56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56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56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56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56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56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56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56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560" w:lineRule="exact"/>
        <w:jc w:val="left"/>
        <w:rPr>
          <w:rFonts w:ascii="宋体" w:hAnsi="宋体" w:cs="宋体"/>
          <w:b/>
          <w:bCs/>
          <w:sz w:val="30"/>
          <w:szCs w:val="30"/>
        </w:rPr>
      </w:pPr>
      <w:r>
        <w:rPr>
          <w:rFonts w:hint="eastAsia" w:ascii="宋体" w:hAnsi="宋体" w:cs="宋体"/>
          <w:b/>
          <w:bCs/>
          <w:sz w:val="30"/>
          <w:szCs w:val="30"/>
        </w:rPr>
        <w:t>7.5发布成交公告</w:t>
      </w:r>
    </w:p>
    <w:p>
      <w:pPr>
        <w:spacing w:line="56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560" w:lineRule="exact"/>
        <w:jc w:val="left"/>
        <w:rPr>
          <w:rFonts w:ascii="宋体" w:hAnsi="宋体" w:cs="宋体"/>
          <w:b/>
          <w:bCs/>
          <w:sz w:val="30"/>
          <w:szCs w:val="30"/>
        </w:rPr>
      </w:pPr>
      <w:r>
        <w:rPr>
          <w:rFonts w:hint="eastAsia" w:ascii="宋体" w:hAnsi="宋体" w:cs="宋体"/>
          <w:b/>
          <w:bCs/>
          <w:sz w:val="30"/>
          <w:szCs w:val="30"/>
        </w:rPr>
        <w:t>7.6履约保证金</w:t>
      </w:r>
    </w:p>
    <w:p>
      <w:pPr>
        <w:spacing w:line="56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560" w:lineRule="exact"/>
        <w:jc w:val="left"/>
        <w:rPr>
          <w:rFonts w:ascii="宋体" w:hAnsi="宋体" w:cs="宋体"/>
          <w:b/>
          <w:bCs/>
          <w:sz w:val="30"/>
          <w:szCs w:val="30"/>
        </w:rPr>
      </w:pPr>
      <w:r>
        <w:rPr>
          <w:rFonts w:hint="eastAsia" w:ascii="宋体" w:hAnsi="宋体" w:cs="宋体"/>
          <w:b/>
          <w:bCs/>
          <w:sz w:val="30"/>
          <w:szCs w:val="30"/>
        </w:rPr>
        <w:t>7.7签订合同</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560" w:lineRule="exact"/>
        <w:jc w:val="left"/>
        <w:rPr>
          <w:rFonts w:ascii="宋体" w:hAnsi="宋体" w:cs="宋体"/>
          <w:b/>
          <w:bCs/>
          <w:sz w:val="30"/>
          <w:szCs w:val="30"/>
        </w:rPr>
      </w:pPr>
      <w:r>
        <w:rPr>
          <w:rFonts w:hint="eastAsia" w:ascii="宋体" w:hAnsi="宋体" w:cs="宋体"/>
          <w:b/>
          <w:bCs/>
          <w:sz w:val="30"/>
          <w:szCs w:val="30"/>
        </w:rPr>
        <w:t>7.8特殊情况处理</w:t>
      </w:r>
    </w:p>
    <w:p>
      <w:pPr>
        <w:spacing w:line="56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560" w:lineRule="exact"/>
        <w:jc w:val="left"/>
        <w:rPr>
          <w:rFonts w:ascii="宋体" w:hAnsi="宋体" w:cs="宋体"/>
          <w:b/>
          <w:bCs/>
          <w:sz w:val="30"/>
          <w:szCs w:val="30"/>
        </w:rPr>
      </w:pPr>
      <w:r>
        <w:rPr>
          <w:rFonts w:hint="eastAsia" w:ascii="宋体" w:hAnsi="宋体" w:cs="宋体"/>
          <w:b/>
          <w:bCs/>
          <w:sz w:val="30"/>
          <w:szCs w:val="30"/>
        </w:rPr>
        <w:t>8.异议</w:t>
      </w:r>
    </w:p>
    <w:p>
      <w:pPr>
        <w:spacing w:line="560" w:lineRule="exact"/>
        <w:jc w:val="left"/>
        <w:rPr>
          <w:rFonts w:ascii="宋体" w:hAnsi="宋体" w:cs="宋体"/>
          <w:b/>
          <w:bCs/>
          <w:sz w:val="30"/>
          <w:szCs w:val="30"/>
        </w:rPr>
      </w:pPr>
      <w:r>
        <w:rPr>
          <w:rFonts w:hint="eastAsia" w:ascii="宋体" w:hAnsi="宋体" w:cs="宋体"/>
          <w:b/>
          <w:bCs/>
          <w:sz w:val="30"/>
          <w:szCs w:val="30"/>
        </w:rPr>
        <w:t>8.1提出异议</w:t>
      </w:r>
    </w:p>
    <w:p>
      <w:pPr>
        <w:spacing w:line="56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56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56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56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560" w:lineRule="exact"/>
        <w:jc w:val="left"/>
        <w:rPr>
          <w:rFonts w:ascii="宋体" w:hAnsi="宋体" w:cs="宋体"/>
          <w:b/>
          <w:bCs/>
          <w:sz w:val="30"/>
          <w:szCs w:val="30"/>
        </w:rPr>
      </w:pPr>
      <w:r>
        <w:rPr>
          <w:rFonts w:hint="eastAsia" w:ascii="宋体" w:hAnsi="宋体" w:cs="宋体"/>
          <w:b/>
          <w:bCs/>
          <w:sz w:val="30"/>
          <w:szCs w:val="30"/>
        </w:rPr>
        <w:t>8.2异议处理</w:t>
      </w:r>
    </w:p>
    <w:p>
      <w:pPr>
        <w:spacing w:line="56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56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56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560" w:lineRule="exact"/>
        <w:jc w:val="left"/>
        <w:rPr>
          <w:rFonts w:ascii="宋体" w:hAnsi="宋体" w:cs="宋体"/>
          <w:b/>
          <w:bCs/>
          <w:sz w:val="30"/>
          <w:szCs w:val="30"/>
        </w:rPr>
      </w:pPr>
      <w:r>
        <w:rPr>
          <w:rFonts w:hint="eastAsia" w:ascii="宋体" w:hAnsi="宋体" w:cs="宋体"/>
          <w:b/>
          <w:bCs/>
          <w:sz w:val="30"/>
          <w:szCs w:val="30"/>
        </w:rPr>
        <w:t>9.纪律要求</w:t>
      </w:r>
    </w:p>
    <w:p>
      <w:pPr>
        <w:spacing w:line="56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56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56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56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56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56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56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56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spacing w:line="560" w:lineRule="exact"/>
        <w:jc w:val="left"/>
        <w:rPr>
          <w:rFonts w:hint="eastAsia" w:ascii="宋体" w:hAnsi="宋体" w:cs="宋体"/>
          <w:b/>
          <w:bCs/>
          <w:sz w:val="30"/>
          <w:szCs w:val="30"/>
        </w:rPr>
      </w:pPr>
      <w:r>
        <w:rPr>
          <w:rFonts w:hint="eastAsia" w:ascii="宋体" w:hAnsi="宋体" w:cs="宋体"/>
          <w:b/>
          <w:bCs/>
          <w:sz w:val="30"/>
          <w:szCs w:val="30"/>
          <w:lang w:val="en-US" w:eastAsia="zh-CN"/>
        </w:rPr>
        <w:t>10.</w:t>
      </w:r>
      <w:r>
        <w:rPr>
          <w:rFonts w:hint="eastAsia" w:ascii="宋体" w:hAnsi="宋体" w:cs="宋体"/>
          <w:b/>
          <w:bCs/>
          <w:sz w:val="30"/>
          <w:szCs w:val="30"/>
        </w:rPr>
        <w:t>需要补充的其他内容</w:t>
      </w:r>
    </w:p>
    <w:p>
      <w:pPr>
        <w:spacing w:line="56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560" w:lineRule="exact"/>
        <w:ind w:firstLine="480" w:firstLineChars="200"/>
        <w:jc w:val="left"/>
        <w:rPr>
          <w:rFonts w:ascii="宋体" w:hAnsi="宋体" w:cs="宋体"/>
          <w:sz w:val="24"/>
        </w:rPr>
      </w:pPr>
      <w:r>
        <w:rPr>
          <w:rFonts w:hint="eastAsia" w:ascii="宋体" w:hAnsi="宋体" w:cs="宋体"/>
          <w:sz w:val="24"/>
        </w:rPr>
        <w:t>供应商须知前附表规定由成交人承担采购代理服务费的，成交人应按照供应商须知前附表规定的费用标准或金额、交费时间和方式向采购代理机构支付代理服务费。</w:t>
      </w:r>
    </w:p>
    <w:p>
      <w:pPr>
        <w:spacing w:line="560" w:lineRule="exact"/>
        <w:jc w:val="left"/>
        <w:rPr>
          <w:rFonts w:ascii="宋体" w:hAnsi="宋体" w:cs="宋体"/>
          <w:sz w:val="24"/>
        </w:rPr>
      </w:pPr>
      <w:r>
        <w:rPr>
          <w:rFonts w:hint="eastAsia" w:ascii="宋体" w:hAnsi="宋体" w:cs="宋体"/>
          <w:b/>
          <w:bCs/>
          <w:sz w:val="30"/>
          <w:szCs w:val="30"/>
        </w:rPr>
        <w:t>10.2其他</w:t>
      </w:r>
    </w:p>
    <w:p>
      <w:pPr>
        <w:spacing w:line="56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p>
    <w:p>
      <w:pPr>
        <w:spacing w:line="360" w:lineRule="auto"/>
        <w:ind w:firstLine="240" w:firstLineChars="100"/>
        <w:jc w:val="left"/>
        <w:rPr>
          <w:rFonts w:ascii="宋体" w:hAnsi="宋体" w:cs="宋体"/>
          <w:sz w:val="24"/>
        </w:rPr>
      </w:pP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2640" w:firstLineChars="1100"/>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附件二：问题的澄清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附件四：确认通知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你方于年月日发出的（项目名称）</w:t>
      </w:r>
      <w:r>
        <w:rPr>
          <w:rFonts w:hint="eastAsia" w:ascii="宋体" w:hAnsi="宋体" w:cs="宋体"/>
          <w:sz w:val="24"/>
          <w:u w:val="single"/>
        </w:rPr>
        <w:t>采购文件的澄清/修改</w:t>
      </w:r>
      <w:r>
        <w:rPr>
          <w:rFonts w:hint="eastAsia" w:ascii="宋体" w:hAnsi="宋体" w:cs="宋体"/>
          <w:sz w:val="24"/>
        </w:rPr>
        <w:t>的通知，我方已于年月日收到。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right="480" w:firstLine="4560" w:firstLineChars="19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5640" w:firstLineChars="2350"/>
        <w:rPr>
          <w:rFonts w:ascii="宋体" w:hAnsi="宋体" w:cs="宋体"/>
          <w:sz w:val="24"/>
        </w:rPr>
      </w:pPr>
      <w:r>
        <w:rPr>
          <w:rFonts w:hint="eastAsia" w:ascii="宋体" w:hAnsi="宋体" w:cs="宋体"/>
          <w:sz w:val="24"/>
        </w:rPr>
        <w:t>年   月   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2"/>
        <w:jc w:val="center"/>
      </w:pPr>
      <w:bookmarkStart w:id="2" w:name="_Toc36021875"/>
    </w:p>
    <w:p>
      <w:pPr>
        <w:pStyle w:val="2"/>
        <w:jc w:val="center"/>
      </w:pPr>
    </w:p>
    <w:p>
      <w:pPr>
        <w:pStyle w:val="2"/>
        <w:jc w:val="center"/>
      </w:pPr>
    </w:p>
    <w:p>
      <w:pPr>
        <w:pStyle w:val="2"/>
        <w:jc w:val="center"/>
      </w:pPr>
    </w:p>
    <w:p>
      <w:pPr>
        <w:pStyle w:val="2"/>
        <w:jc w:val="center"/>
      </w:pPr>
      <w:r>
        <w:rPr>
          <w:rFonts w:hint="eastAsia"/>
        </w:rPr>
        <w:t>第三章 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left"/>
        <w:rPr>
          <w:rFonts w:ascii="宋体" w:hAnsi="宋体" w:cs="宋体"/>
          <w:b/>
          <w:bCs/>
          <w:sz w:val="30"/>
          <w:szCs w:val="30"/>
        </w:rPr>
      </w:pPr>
      <w:r>
        <w:rPr>
          <w:rFonts w:hint="eastAsia" w:ascii="宋体" w:hAnsi="宋体" w:cs="宋体"/>
          <w:b/>
          <w:bCs/>
          <w:sz w:val="30"/>
          <w:szCs w:val="30"/>
        </w:rPr>
        <w:t>评审办法前附表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17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1</w:t>
            </w:r>
          </w:p>
        </w:tc>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sz w:val="18"/>
                <w:szCs w:val="18"/>
              </w:rPr>
              <w:t xml:space="preserve"> 最低价法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2.1.1</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形式评审标准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供应商名称</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hint="default"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响应文件签字盖章</w:t>
            </w:r>
          </w:p>
        </w:tc>
        <w:tc>
          <w:tcPr>
            <w:tcW w:w="4305" w:type="dxa"/>
            <w:noWrap/>
          </w:tcPr>
          <w:p>
            <w:pPr>
              <w:keepNext w:val="0"/>
              <w:keepLines w:val="0"/>
              <w:suppressLineNumbers w:val="0"/>
              <w:spacing w:before="0" w:beforeAutospacing="0" w:after="0" w:afterAutospacing="0" w:line="600" w:lineRule="auto"/>
              <w:ind w:left="0" w:right="0"/>
              <w:jc w:val="left"/>
              <w:rPr>
                <w:rFonts w:hint="default"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联合体协议书</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响应函中实质性内容</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2.1.2</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依法设立</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资质要求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财务要求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信誉要求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其他要求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不存在第一章第3.2款情形</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联合体供应商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2.1.3</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响应性评审标准</w:t>
            </w: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报价</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响应方案</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质量标准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完成期限</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合同条款</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3.1.1</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评审价格</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条款内容</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3.2.1</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分值构成</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（总分100分）</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履约能力</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技术水平</w:t>
            </w:r>
            <w:r>
              <w:rPr>
                <w:rFonts w:hint="eastAsia" w:ascii="宋体" w:hAnsi="宋体" w:cs="宋体"/>
                <w:sz w:val="18"/>
                <w:szCs w:val="18"/>
              </w:rPr>
              <w:t>：</w:t>
            </w:r>
            <w:r>
              <w:rPr>
                <w:rFonts w:hint="eastAsia" w:ascii="宋体" w:hAnsi="宋体" w:cs="宋体"/>
                <w:sz w:val="18"/>
                <w:szCs w:val="18"/>
                <w:lang w:val="en-US" w:eastAsia="zh-CN"/>
              </w:rPr>
              <w:t>50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售后服务</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分</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投标报价：</w:t>
            </w:r>
            <w:r>
              <w:rPr>
                <w:rFonts w:hint="eastAsia" w:ascii="宋体" w:hAnsi="宋体" w:cs="宋体"/>
                <w:sz w:val="18"/>
                <w:szCs w:val="18"/>
                <w:lang w:val="en-US" w:eastAsia="zh-CN"/>
              </w:rPr>
              <w:t>30</w:t>
            </w:r>
            <w:r>
              <w:rPr>
                <w:rFonts w:hint="eastAsia" w:ascii="宋体" w:hAnsi="宋体" w:cs="宋体"/>
                <w:sz w:val="18"/>
                <w:szCs w:val="1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3.2.2（2）</w:t>
            </w:r>
          </w:p>
        </w:tc>
        <w:tc>
          <w:tcPr>
            <w:tcW w:w="2175" w:type="dxa"/>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评审基准价计算方法</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方法二：评审基准价系数=。</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方法三</w:t>
            </w:r>
          </w:p>
          <w:p>
            <w:pPr>
              <w:keepNext w:val="0"/>
              <w:keepLines w:val="0"/>
              <w:suppressLineNumbers w:val="0"/>
              <w:spacing w:before="0" w:beforeAutospacing="0" w:after="0" w:afterAutospacing="0" w:line="480" w:lineRule="exact"/>
              <w:ind w:left="0" w:right="0"/>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方法四，具体方法为：当有效报价多于5个（含5个）时，去掉一个最高报价和去掉一个最低报价，剩余报价的算术平均值为评标基准价；当有效报价少于4个（含4个），所有有效报价的算术平均值为评标基准价。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3.2.3（1）</w:t>
            </w:r>
          </w:p>
        </w:tc>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履约能力</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企业业绩</w:t>
            </w:r>
            <w:r>
              <w:rPr>
                <w:rFonts w:hint="eastAsia" w:ascii="宋体" w:hAnsi="宋体" w:cs="宋体"/>
                <w:sz w:val="18"/>
                <w:szCs w:val="18"/>
              </w:rPr>
              <w:t>（10分）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近三年（20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04</w:t>
            </w:r>
            <w:r>
              <w:rPr>
                <w:rFonts w:hint="eastAsia" w:ascii="宋体" w:hAnsi="宋体" w:cs="宋体"/>
                <w:sz w:val="18"/>
                <w:szCs w:val="18"/>
              </w:rPr>
              <w:t>月至今）</w:t>
            </w:r>
            <w:r>
              <w:rPr>
                <w:rFonts w:hint="eastAsia" w:ascii="宋体" w:hAnsi="宋体" w:cs="宋体"/>
                <w:sz w:val="18"/>
                <w:szCs w:val="18"/>
                <w:lang w:val="en-US" w:eastAsia="zh-CN"/>
              </w:rPr>
              <w:t>供应商</w:t>
            </w:r>
            <w:r>
              <w:rPr>
                <w:rFonts w:hint="eastAsia" w:ascii="宋体" w:hAnsi="宋体" w:cs="宋体"/>
                <w:sz w:val="18"/>
                <w:szCs w:val="18"/>
              </w:rPr>
              <w:t>有类似项目业绩的，每提供一项业绩的得2分，最多得10分（以中标通知书</w:t>
            </w:r>
            <w:r>
              <w:rPr>
                <w:rFonts w:hint="eastAsia" w:ascii="宋体" w:hAnsi="宋体" w:cs="宋体"/>
                <w:sz w:val="18"/>
                <w:szCs w:val="18"/>
                <w:lang w:val="en-US" w:eastAsia="zh-CN"/>
              </w:rPr>
              <w:t>或</w:t>
            </w:r>
            <w:r>
              <w:rPr>
                <w:rFonts w:hint="eastAsia" w:ascii="宋体" w:hAnsi="宋体" w:cs="宋体"/>
                <w:sz w:val="18"/>
                <w:szCs w:val="18"/>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技术评分标准</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技术参数（30分）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投标产品技术参数和配置完全满足或高于询比文件要求的得30分，每有1项负偏离扣0.5分，直到扣完为止。（评分以生产厂商出具的证明文件或产品彩页或检测报告等为依据）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zh-CN" w:eastAsia="zh-CN"/>
              </w:rPr>
              <w:t>项目管理方案（</w:t>
            </w:r>
            <w:r>
              <w:rPr>
                <w:rFonts w:hint="eastAsia" w:ascii="宋体" w:hAnsi="宋体" w:eastAsia="宋体" w:cs="宋体"/>
                <w:sz w:val="18"/>
                <w:szCs w:val="18"/>
                <w:lang w:val="en-US" w:eastAsia="zh-CN"/>
              </w:rPr>
              <w:t>20</w:t>
            </w:r>
            <w:r>
              <w:rPr>
                <w:rFonts w:hint="eastAsia" w:ascii="宋体" w:hAnsi="宋体" w:eastAsia="宋体" w:cs="宋体"/>
                <w:sz w:val="18"/>
                <w:szCs w:val="18"/>
                <w:lang w:val="zh-CN" w:eastAsia="zh-CN"/>
              </w:rPr>
              <w:t>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针对本项目的实施方案包含：</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（1）实施计划：包含项目规划、产品制造、运输、验收阶段，每提供1项得1分，满分4分，未提供不得分。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（2）实施团队：包含机构设置、人员配置、人员技术水平方面、人员联系方式，每提供1项得0.5分，满分2分，未提供不得分。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（3）实施进度：包含产品准备、运输、安装调试、培训、验收环节，每提供1项得1分，满分5分，未提供不得分。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（4）质量控制措施：包含规章制度、各阶段质量保障措施和方法，每提供1项得1.5分，满分4.5分，未提供不得分。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（5）安全保障措施：包含规章制度、各阶段安全保障措施和方法，每提供1项得1.5分，满分4.5分，未提供不得分。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售后服务（10分）</w:t>
            </w:r>
          </w:p>
        </w:tc>
        <w:tc>
          <w:tcPr>
            <w:tcW w:w="4305" w:type="dxa"/>
            <w:noWrap/>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cs="宋体"/>
                <w:sz w:val="18"/>
                <w:szCs w:val="18"/>
              </w:rPr>
            </w:pPr>
            <w:r>
              <w:rPr>
                <w:rFonts w:hint="eastAsia" w:ascii="宋体" w:hAnsi="宋体" w:cs="宋体"/>
                <w:sz w:val="18"/>
                <w:szCs w:val="18"/>
              </w:rPr>
              <w:t>售后服务计划、措施及服务承诺</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供应商</w:t>
            </w:r>
            <w:r>
              <w:rPr>
                <w:rFonts w:hint="eastAsia" w:ascii="宋体" w:hAnsi="宋体" w:cs="宋体"/>
                <w:sz w:val="18"/>
                <w:szCs w:val="18"/>
              </w:rPr>
              <w:t>根据所投产品提供</w:t>
            </w:r>
            <w:r>
              <w:rPr>
                <w:rFonts w:hint="eastAsia" w:ascii="宋体" w:hAnsi="宋体" w:cs="宋体"/>
                <w:sz w:val="18"/>
                <w:szCs w:val="18"/>
                <w:lang w:val="en-US" w:eastAsia="zh-CN"/>
              </w:rPr>
              <w:t>的</w:t>
            </w:r>
            <w:r>
              <w:rPr>
                <w:rFonts w:hint="eastAsia" w:ascii="宋体" w:hAnsi="宋体" w:cs="宋体"/>
                <w:sz w:val="18"/>
                <w:szCs w:val="18"/>
              </w:rPr>
              <w:t>售后服务方案、培训计划（技术实战操作培训）明确的得</w:t>
            </w:r>
            <w:r>
              <w:rPr>
                <w:rFonts w:hint="eastAsia" w:ascii="宋体" w:hAnsi="宋体" w:cs="宋体"/>
                <w:sz w:val="18"/>
                <w:szCs w:val="18"/>
                <w:lang w:val="en-US" w:eastAsia="zh-CN"/>
              </w:rPr>
              <w:t>5</w:t>
            </w:r>
            <w:r>
              <w:rPr>
                <w:rFonts w:hint="eastAsia" w:ascii="宋体" w:hAnsi="宋体" w:cs="宋体"/>
                <w:sz w:val="18"/>
                <w:szCs w:val="18"/>
              </w:rPr>
              <w:t>分；</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sz w:val="18"/>
                <w:szCs w:val="18"/>
                <w:lang w:val="en-US" w:eastAsia="zh-CN"/>
              </w:rPr>
            </w:pPr>
            <w:r>
              <w:rPr>
                <w:rFonts w:hint="eastAsia" w:ascii="宋体" w:hAnsi="宋体" w:cs="宋体"/>
                <w:sz w:val="18"/>
                <w:szCs w:val="18"/>
              </w:rPr>
              <w:t>（2）故障处理响应时间、现场服务到位时间比较，时间最短得</w:t>
            </w:r>
            <w:r>
              <w:rPr>
                <w:rFonts w:hint="eastAsia" w:ascii="宋体" w:hAnsi="宋体" w:cs="宋体"/>
                <w:sz w:val="18"/>
                <w:szCs w:val="18"/>
                <w:lang w:val="en-US" w:eastAsia="zh-CN"/>
              </w:rPr>
              <w:t>5</w:t>
            </w:r>
            <w:r>
              <w:rPr>
                <w:rFonts w:hint="eastAsia" w:ascii="宋体" w:hAnsi="宋体" w:cs="宋体"/>
                <w:sz w:val="18"/>
                <w:szCs w:val="18"/>
              </w:rPr>
              <w:t>分,按时间长短排序递减1分，时间最长得1分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1" w:type="dxa"/>
            <w:noWrap/>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noWrap/>
            <w:vAlign w:val="center"/>
          </w:tcPr>
          <w:p>
            <w:pPr>
              <w:keepNext w:val="0"/>
              <w:keepLines w:val="0"/>
              <w:suppressLineNumbers w:val="0"/>
              <w:tabs>
                <w:tab w:val="left" w:pos="3584"/>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报价评分标准</w:t>
            </w:r>
          </w:p>
        </w:tc>
        <w:tc>
          <w:tcPr>
            <w:tcW w:w="2175" w:type="dxa"/>
            <w:noWrap/>
            <w:vAlign w:val="center"/>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计算方法</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方法一：E</w:t>
            </w:r>
            <w:r>
              <w:rPr>
                <w:rFonts w:hint="eastAsia" w:ascii="宋体" w:hAnsi="宋体" w:cs="宋体"/>
                <w:sz w:val="18"/>
                <w:szCs w:val="18"/>
                <w:vertAlign w:val="subscript"/>
              </w:rPr>
              <w:t>1</w:t>
            </w:r>
            <w:r>
              <w:rPr>
                <w:rFonts w:hint="eastAsia" w:ascii="宋体" w:hAnsi="宋体" w:cs="宋体"/>
                <w:sz w:val="18"/>
                <w:szCs w:val="18"/>
              </w:rPr>
              <w:t>=，E</w:t>
            </w:r>
            <w:r>
              <w:rPr>
                <w:rFonts w:hint="eastAsia" w:ascii="宋体" w:hAnsi="宋体" w:cs="宋体"/>
                <w:sz w:val="18"/>
                <w:szCs w:val="18"/>
                <w:vertAlign w:val="subscript"/>
              </w:rPr>
              <w:t>2</w:t>
            </w:r>
            <w:r>
              <w:rPr>
                <w:rFonts w:hint="eastAsia" w:ascii="宋体" w:hAnsi="宋体" w:cs="宋体"/>
                <w:sz w:val="18"/>
                <w:szCs w:val="18"/>
              </w:rPr>
              <w:t>=。</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方法三，具体方法为：有效响应报价与评标基准价相同的得 </w:t>
            </w:r>
            <w:r>
              <w:rPr>
                <w:rFonts w:hint="eastAsia" w:ascii="宋体" w:hAnsi="宋体" w:cs="宋体"/>
                <w:sz w:val="18"/>
                <w:szCs w:val="18"/>
                <w:lang w:val="en-US" w:eastAsia="zh-CN"/>
              </w:rPr>
              <w:t>30</w:t>
            </w:r>
            <w:r>
              <w:rPr>
                <w:rFonts w:hint="eastAsia" w:ascii="宋体" w:hAnsi="宋体" w:cs="宋体"/>
                <w:sz w:val="18"/>
                <w:szCs w:val="18"/>
              </w:rPr>
              <w:t xml:space="preserve"> 分，每高出评标基准价 1%，从 </w:t>
            </w:r>
            <w:r>
              <w:rPr>
                <w:rFonts w:hint="eastAsia" w:ascii="宋体" w:hAnsi="宋体" w:cs="宋体"/>
                <w:sz w:val="18"/>
                <w:szCs w:val="18"/>
                <w:lang w:val="en-US" w:eastAsia="zh-CN"/>
              </w:rPr>
              <w:t>30</w:t>
            </w:r>
            <w:r>
              <w:rPr>
                <w:rFonts w:hint="eastAsia" w:ascii="宋体" w:hAnsi="宋体" w:cs="宋体"/>
                <w:sz w:val="18"/>
                <w:szCs w:val="18"/>
              </w:rPr>
              <w:t xml:space="preserve"> 分的基础上减 1 分，直至减完为止；每低于评标基准价 1%,从</w:t>
            </w:r>
            <w:r>
              <w:rPr>
                <w:rFonts w:hint="eastAsia" w:ascii="宋体" w:hAnsi="宋体" w:cs="宋体"/>
                <w:sz w:val="18"/>
                <w:szCs w:val="18"/>
                <w:lang w:val="en-US" w:eastAsia="zh-CN"/>
              </w:rPr>
              <w:t>30</w:t>
            </w:r>
            <w:r>
              <w:rPr>
                <w:rFonts w:hint="eastAsia" w:ascii="宋体" w:hAnsi="宋体" w:cs="宋体"/>
                <w:sz w:val="18"/>
                <w:szCs w:val="18"/>
              </w:rPr>
              <w:t>分的基础上减 0.5分，直至减完为止。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3.2.3（3）</w:t>
            </w:r>
          </w:p>
        </w:tc>
        <w:tc>
          <w:tcPr>
            <w:tcW w:w="1021"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其他因素评分标准</w:t>
            </w:r>
          </w:p>
        </w:tc>
        <w:tc>
          <w:tcPr>
            <w:tcW w:w="217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c>
          <w:tcPr>
            <w:tcW w:w="430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3.2.6</w:t>
            </w:r>
          </w:p>
        </w:tc>
        <w:tc>
          <w:tcPr>
            <w:tcW w:w="2175" w:type="dxa"/>
            <w:noWrap/>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供应商并列时确定供应商优先顺序的规则</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bCs/>
                <w:sz w:val="18"/>
                <w:szCs w:val="18"/>
              </w:rPr>
              <w:t>其他方法：以价格低的优先</w:t>
            </w:r>
          </w:p>
        </w:tc>
      </w:tr>
    </w:tbl>
    <w:p>
      <w:pPr>
        <w:spacing w:line="480" w:lineRule="exact"/>
        <w:jc w:val="left"/>
        <w:rPr>
          <w:rFonts w:hint="eastAsia" w:ascii="宋体" w:hAnsi="宋体" w:cs="宋体"/>
          <w:b/>
          <w:bCs/>
          <w:sz w:val="32"/>
          <w:szCs w:val="32"/>
        </w:rPr>
      </w:pPr>
    </w:p>
    <w:p>
      <w:pPr>
        <w:spacing w:line="480" w:lineRule="exact"/>
        <w:jc w:val="left"/>
        <w:rPr>
          <w:rFonts w:ascii="宋体" w:hAnsi="宋体" w:cs="宋体"/>
          <w:sz w:val="32"/>
          <w:szCs w:val="32"/>
        </w:rPr>
      </w:pPr>
      <w:r>
        <w:rPr>
          <w:rFonts w:hint="eastAsia" w:ascii="宋体" w:hAnsi="宋体" w:cs="宋体"/>
          <w:b/>
          <w:bCs/>
          <w:sz w:val="32"/>
          <w:szCs w:val="32"/>
        </w:rPr>
        <w:t>1.评审方法（最低价法）</w:t>
      </w:r>
    </w:p>
    <w:p>
      <w:pPr>
        <w:spacing w:line="480" w:lineRule="exact"/>
        <w:ind w:firstLine="480" w:firstLineChars="200"/>
        <w:jc w:val="left"/>
        <w:rPr>
          <w:rFonts w:ascii="宋体" w:hAnsi="宋体" w:cs="宋体"/>
          <w:sz w:val="24"/>
        </w:rPr>
      </w:pPr>
      <w:r>
        <w:rPr>
          <w:rFonts w:hint="eastAsia" w:ascii="宋体" w:hAnsi="宋体" w:cs="宋体"/>
          <w:sz w:val="24"/>
        </w:rPr>
        <w:t>本次评审采用</w:t>
      </w:r>
      <w:r>
        <w:rPr>
          <w:rFonts w:hint="eastAsia" w:ascii="宋体" w:hAnsi="宋体" w:cs="宋体"/>
          <w:sz w:val="24"/>
          <w:lang w:val="en-US" w:eastAsia="zh-CN"/>
        </w:rPr>
        <w:t>综合评分法</w:t>
      </w:r>
      <w:r>
        <w:rPr>
          <w:rFonts w:hint="eastAsia" w:ascii="宋体" w:hAnsi="宋体" w:cs="宋体"/>
          <w:sz w:val="24"/>
        </w:rPr>
        <w:t>。询比小组对满足采购文件实质性要求的响应文件，根据</w:t>
      </w:r>
      <w:r>
        <w:rPr>
          <w:rFonts w:hint="eastAsia" w:ascii="宋体" w:hAnsi="宋体" w:cs="宋体"/>
          <w:sz w:val="24"/>
          <w:lang w:val="en-US" w:eastAsia="zh-CN"/>
        </w:rPr>
        <w:t>评审办法前附表</w:t>
      </w:r>
      <w:r>
        <w:rPr>
          <w:rFonts w:hint="eastAsia" w:ascii="宋体" w:hAnsi="宋体" w:cs="宋体"/>
          <w:sz w:val="24"/>
        </w:rPr>
        <w:t>规定的方法</w:t>
      </w:r>
      <w:r>
        <w:rPr>
          <w:rFonts w:hint="eastAsia" w:ascii="宋体" w:hAnsi="宋体" w:cs="宋体"/>
          <w:sz w:val="24"/>
          <w:lang w:val="en-US" w:eastAsia="zh-CN"/>
        </w:rPr>
        <w:t>进行</w:t>
      </w:r>
      <w:r>
        <w:rPr>
          <w:rFonts w:hint="eastAsia" w:ascii="宋体" w:hAnsi="宋体" w:cs="宋体"/>
          <w:sz w:val="24"/>
        </w:rPr>
        <w:t>评审，并按照评审</w:t>
      </w:r>
      <w:r>
        <w:rPr>
          <w:rFonts w:hint="eastAsia" w:ascii="宋体" w:hAnsi="宋体" w:cs="宋体"/>
          <w:sz w:val="24"/>
          <w:lang w:val="en-US" w:eastAsia="zh-CN"/>
        </w:rPr>
        <w:t>得分</w:t>
      </w:r>
      <w:r>
        <w:rPr>
          <w:rFonts w:hint="eastAsia" w:ascii="宋体" w:hAnsi="宋体" w:cs="宋体"/>
          <w:sz w:val="24"/>
        </w:rPr>
        <w:t>由</w:t>
      </w:r>
      <w:r>
        <w:rPr>
          <w:rFonts w:hint="eastAsia" w:ascii="宋体" w:hAnsi="宋体" w:cs="宋体"/>
          <w:sz w:val="24"/>
          <w:lang w:val="en-US" w:eastAsia="zh-CN"/>
        </w:rPr>
        <w:t>高</w:t>
      </w:r>
      <w:r>
        <w:rPr>
          <w:rFonts w:hint="eastAsia" w:ascii="宋体" w:hAnsi="宋体" w:cs="宋体"/>
          <w:sz w:val="24"/>
        </w:rPr>
        <w:t>到</w:t>
      </w:r>
      <w:r>
        <w:rPr>
          <w:rFonts w:hint="eastAsia" w:ascii="宋体" w:hAnsi="宋体" w:cs="宋体"/>
          <w:sz w:val="24"/>
          <w:lang w:val="en-US" w:eastAsia="zh-CN"/>
        </w:rPr>
        <w:t>低</w:t>
      </w:r>
      <w:r>
        <w:rPr>
          <w:rFonts w:hint="eastAsia" w:ascii="宋体" w:hAnsi="宋体" w:cs="宋体"/>
          <w:sz w:val="24"/>
        </w:rPr>
        <w:t>的顺序推荐候选成交供应商。</w:t>
      </w:r>
    </w:p>
    <w:p>
      <w:pPr>
        <w:spacing w:line="560" w:lineRule="exact"/>
        <w:jc w:val="left"/>
        <w:rPr>
          <w:rFonts w:ascii="宋体" w:hAnsi="宋体" w:cs="宋体"/>
          <w:b/>
          <w:bCs/>
          <w:sz w:val="30"/>
          <w:szCs w:val="30"/>
        </w:rPr>
      </w:pPr>
      <w:r>
        <w:rPr>
          <w:rFonts w:hint="eastAsia" w:ascii="宋体" w:hAnsi="宋体" w:cs="宋体"/>
          <w:b/>
          <w:bCs/>
          <w:sz w:val="30"/>
          <w:szCs w:val="30"/>
        </w:rPr>
        <w:t>2.初步评审标准和程序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2.1初步评审标准</w:t>
      </w:r>
    </w:p>
    <w:p>
      <w:pPr>
        <w:spacing w:line="56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560" w:lineRule="exact"/>
        <w:jc w:val="left"/>
        <w:rPr>
          <w:rFonts w:ascii="宋体" w:hAnsi="宋体" w:cs="宋体"/>
          <w:b/>
          <w:bCs/>
          <w:sz w:val="30"/>
          <w:szCs w:val="30"/>
        </w:rPr>
      </w:pPr>
      <w:r>
        <w:rPr>
          <w:rFonts w:hint="eastAsia" w:ascii="宋体" w:hAnsi="宋体" w:cs="宋体"/>
          <w:b/>
          <w:bCs/>
          <w:sz w:val="30"/>
          <w:szCs w:val="30"/>
        </w:rPr>
        <w:t>2.2初步评审程序</w:t>
      </w:r>
    </w:p>
    <w:p>
      <w:pPr>
        <w:spacing w:line="56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56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继续评审</w:t>
      </w:r>
    </w:p>
    <w:p>
      <w:pPr>
        <w:spacing w:line="56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56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终止采购</w:t>
      </w:r>
    </w:p>
    <w:p>
      <w:pPr>
        <w:spacing w:line="56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560" w:lineRule="exact"/>
        <w:jc w:val="left"/>
        <w:rPr>
          <w:rFonts w:ascii="宋体" w:hAnsi="宋体" w:cs="宋体"/>
          <w:b/>
          <w:bCs/>
          <w:sz w:val="30"/>
          <w:szCs w:val="30"/>
        </w:rPr>
      </w:pPr>
      <w:r>
        <w:rPr>
          <w:rFonts w:hint="eastAsia" w:ascii="宋体" w:hAnsi="宋体" w:cs="宋体"/>
          <w:b/>
          <w:bCs/>
          <w:sz w:val="30"/>
          <w:szCs w:val="30"/>
        </w:rPr>
        <w:t>3.详细评审标准和程序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3.1评审价格计算</w:t>
      </w:r>
    </w:p>
    <w:p>
      <w:pPr>
        <w:spacing w:line="56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56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560" w:lineRule="exact"/>
        <w:jc w:val="left"/>
        <w:rPr>
          <w:rFonts w:ascii="宋体" w:hAnsi="宋体" w:cs="宋体"/>
          <w:b/>
          <w:bCs/>
          <w:sz w:val="30"/>
          <w:szCs w:val="30"/>
        </w:rPr>
      </w:pPr>
      <w:r>
        <w:rPr>
          <w:rFonts w:hint="eastAsia" w:ascii="宋体" w:hAnsi="宋体" w:cs="宋体"/>
          <w:b/>
          <w:bCs/>
          <w:sz w:val="30"/>
          <w:szCs w:val="30"/>
        </w:rPr>
        <w:t>3.2综合评分和排序（最低价法）</w:t>
      </w:r>
    </w:p>
    <w:p>
      <w:pPr>
        <w:tabs>
          <w:tab w:val="left" w:pos="505"/>
          <w:tab w:val="left" w:pos="5084"/>
        </w:tabs>
        <w:spacing w:line="360" w:lineRule="auto"/>
        <w:ind w:firstLine="480" w:firstLineChars="200"/>
        <w:jc w:val="left"/>
        <w:rPr>
          <w:rFonts w:ascii="宋体" w:hAnsi="宋体" w:cs="宋体"/>
          <w:sz w:val="24"/>
        </w:rPr>
      </w:pPr>
      <w:r>
        <w:rPr>
          <w:rFonts w:hint="eastAsia" w:ascii="宋体" w:hAnsi="宋体" w:cs="宋体"/>
          <w:sz w:val="24"/>
        </w:rPr>
        <w:t>询比小组对评审价格进行比较后，按照评审价格由低到高的顺序对供应商排序。供应商评审的报价相等时，按照评审办法前附表的规定确定供应商优先顺序。</w:t>
      </w:r>
    </w:p>
    <w:p>
      <w:pPr>
        <w:spacing w:line="560" w:lineRule="exact"/>
        <w:jc w:val="left"/>
        <w:rPr>
          <w:rFonts w:ascii="宋体" w:hAnsi="宋体" w:cs="宋体"/>
          <w:b/>
          <w:bCs/>
          <w:sz w:val="30"/>
          <w:szCs w:val="30"/>
        </w:rPr>
      </w:pPr>
      <w:r>
        <w:rPr>
          <w:rFonts w:hint="eastAsia" w:ascii="宋体" w:hAnsi="宋体" w:cs="宋体"/>
          <w:b/>
          <w:bCs/>
          <w:sz w:val="30"/>
          <w:szCs w:val="30"/>
        </w:rPr>
        <w:t>4.评审结果</w:t>
      </w:r>
    </w:p>
    <w:p>
      <w:pPr>
        <w:spacing w:line="56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5.直接改变采购方式的特殊评审程序</w:t>
      </w:r>
    </w:p>
    <w:p>
      <w:pPr>
        <w:spacing w:line="56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56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56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56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560" w:lineRule="exact"/>
        <w:ind w:firstLine="480" w:firstLineChars="200"/>
        <w:jc w:val="left"/>
        <w:rPr>
          <w:rFonts w:ascii="宋体" w:hAnsi="宋体" w:cs="宋体"/>
          <w:sz w:val="24"/>
        </w:rPr>
      </w:pPr>
      <w:r>
        <w:rPr>
          <w:rFonts w:hint="eastAsia" w:ascii="宋体" w:hAnsi="宋体" w:cs="宋体"/>
          <w:sz w:val="24"/>
        </w:rPr>
        <w:t>5.2.1.1谈判</w:t>
      </w:r>
    </w:p>
    <w:p>
      <w:pPr>
        <w:spacing w:line="56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56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56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560" w:lineRule="exact"/>
        <w:ind w:firstLine="480" w:firstLineChars="200"/>
        <w:jc w:val="left"/>
        <w:rPr>
          <w:rFonts w:ascii="宋体" w:hAnsi="宋体" w:cs="宋体"/>
          <w:sz w:val="24"/>
        </w:rPr>
      </w:pPr>
      <w:r>
        <w:rPr>
          <w:rFonts w:hint="eastAsia" w:ascii="宋体" w:hAnsi="宋体" w:cs="宋体"/>
          <w:sz w:val="24"/>
        </w:rPr>
        <w:t>5.2.1.3详细评审</w:t>
      </w:r>
    </w:p>
    <w:p>
      <w:pPr>
        <w:spacing w:line="56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56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560" w:lineRule="exact"/>
        <w:ind w:firstLine="480" w:firstLineChars="200"/>
        <w:jc w:val="left"/>
        <w:rPr>
          <w:rFonts w:ascii="宋体" w:hAnsi="宋体" w:cs="宋体"/>
          <w:sz w:val="24"/>
        </w:rPr>
      </w:pPr>
      <w:r>
        <w:rPr>
          <w:rFonts w:hint="eastAsia" w:ascii="宋体" w:hAnsi="宋体" w:cs="宋体"/>
          <w:sz w:val="24"/>
        </w:rPr>
        <w:t>5.2.1.4编写评审报告</w:t>
      </w:r>
    </w:p>
    <w:p>
      <w:pPr>
        <w:spacing w:line="56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560" w:lineRule="exact"/>
        <w:ind w:firstLine="480" w:firstLineChars="200"/>
        <w:jc w:val="left"/>
        <w:rPr>
          <w:rFonts w:ascii="宋体" w:hAnsi="宋体" w:cs="宋体"/>
          <w:sz w:val="24"/>
        </w:rPr>
      </w:pPr>
      <w:r>
        <w:rPr>
          <w:rFonts w:hint="eastAsia" w:ascii="宋体" w:hAnsi="宋体" w:cs="宋体"/>
          <w:sz w:val="24"/>
        </w:rPr>
        <w:t>5.2.2.1谈判</w:t>
      </w:r>
    </w:p>
    <w:p>
      <w:pPr>
        <w:spacing w:line="56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560" w:lineRule="exact"/>
        <w:ind w:firstLine="480" w:firstLineChars="200"/>
        <w:jc w:val="left"/>
        <w:rPr>
          <w:rFonts w:ascii="宋体" w:hAnsi="宋体" w:cs="宋体"/>
          <w:sz w:val="24"/>
        </w:rPr>
      </w:pPr>
      <w:r>
        <w:rPr>
          <w:rFonts w:hint="eastAsia" w:ascii="宋体" w:hAnsi="宋体" w:cs="宋体"/>
          <w:sz w:val="24"/>
        </w:rPr>
        <w:t>5.2.2.2详细评审</w:t>
      </w:r>
    </w:p>
    <w:p>
      <w:pPr>
        <w:spacing w:line="56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560" w:lineRule="exact"/>
        <w:ind w:firstLine="480" w:firstLineChars="200"/>
        <w:jc w:val="left"/>
        <w:rPr>
          <w:rFonts w:ascii="宋体" w:hAnsi="宋体" w:cs="宋体"/>
          <w:sz w:val="24"/>
        </w:rPr>
      </w:pPr>
      <w:r>
        <w:rPr>
          <w:rFonts w:hint="eastAsia" w:ascii="宋体" w:hAnsi="宋体" w:cs="宋体"/>
          <w:sz w:val="24"/>
        </w:rPr>
        <w:t>5.2.2.3编写评审报告</w:t>
      </w:r>
    </w:p>
    <w:p>
      <w:pPr>
        <w:spacing w:line="56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spacing w:line="560" w:lineRule="exact"/>
        <w:ind w:firstLine="480" w:firstLineChars="200"/>
        <w:jc w:val="left"/>
        <w:rPr>
          <w:rFonts w:ascii="宋体" w:hAnsi="宋体" w:cs="宋体"/>
          <w:sz w:val="24"/>
        </w:rPr>
      </w:pPr>
    </w:p>
    <w:p>
      <w:pPr>
        <w:spacing w:line="56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pStyle w:val="2"/>
        <w:jc w:val="center"/>
      </w:pPr>
      <w:bookmarkStart w:id="3" w:name="_Toc36021876"/>
      <w:r>
        <w:rPr>
          <w:rFonts w:hint="eastAsia"/>
        </w:rPr>
        <w:t>第四章  合同条款及格式</w:t>
      </w:r>
      <w:bookmarkEnd w:id="3"/>
    </w:p>
    <w:p>
      <w:pPr>
        <w:autoSpaceDE w:val="0"/>
        <w:autoSpaceDN w:val="0"/>
        <w:adjustRightInd w:val="0"/>
        <w:spacing w:line="360" w:lineRule="auto"/>
        <w:ind w:right="60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发包人：（以下简称甲方）：</w:t>
      </w:r>
    </w:p>
    <w:p>
      <w:pPr>
        <w:autoSpaceDE w:val="0"/>
        <w:autoSpaceDN w:val="0"/>
        <w:adjustRightInd w:val="0"/>
        <w:spacing w:line="360" w:lineRule="auto"/>
        <w:rPr>
          <w:rFonts w:ascii="宋体" w:hAnsi="宋体" w:cs="宋体"/>
          <w:color w:val="000000"/>
          <w:kern w:val="0"/>
          <w:sz w:val="24"/>
          <w:szCs w:val="24"/>
        </w:rPr>
      </w:pPr>
      <w:r>
        <w:rPr>
          <w:rFonts w:hint="eastAsia" w:ascii="宋体" w:hAnsi="宋体" w:cs="宋体"/>
          <w:b/>
          <w:bCs/>
          <w:color w:val="000000"/>
          <w:kern w:val="0"/>
          <w:sz w:val="24"/>
          <w:szCs w:val="24"/>
          <w:lang w:val="zh-CN"/>
        </w:rPr>
        <w:t>承接方：（以下简称乙方）：</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年</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月</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日</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项目</w:t>
      </w:r>
      <w:r>
        <w:rPr>
          <w:rFonts w:hint="eastAsia" w:ascii="宋体" w:hAnsi="宋体" w:cs="宋体"/>
          <w:color w:val="000000"/>
          <w:kern w:val="0"/>
          <w:sz w:val="24"/>
          <w:lang w:val="zh-CN"/>
        </w:rPr>
        <w:t>（标段）的询比文件要求和代理机构出具的《成交通知书》，并经双方协商一致，签订本合同协议书。</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一、签订本合同的依据</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本合同所附下列文件是构成本合同不可分割的部分：</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1.询比文件；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2.询比文件的澄清、变更公告；</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3.成交应商提交的响应文件；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4.询比文件中规定的合同通用条款；</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5.成交通知书；</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6.履约保证金缴费证明（如有）。</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二、合同标的及金额                                       单位：元</w:t>
      </w:r>
    </w:p>
    <w:tbl>
      <w:tblPr>
        <w:tblStyle w:val="4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产品名称</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bl>
    <w:p>
      <w:pPr>
        <w:autoSpaceDE w:val="0"/>
        <w:autoSpaceDN w:val="0"/>
        <w:spacing w:line="360" w:lineRule="auto"/>
        <w:jc w:val="left"/>
        <w:rPr>
          <w:rFonts w:ascii="宋体" w:hAnsi="宋体" w:cs="宋体"/>
          <w:color w:val="000000"/>
          <w:kern w:val="0"/>
          <w:sz w:val="24"/>
          <w:u w:val="single"/>
        </w:rPr>
      </w:pPr>
      <w:r>
        <w:rPr>
          <w:rFonts w:hint="eastAsia" w:ascii="宋体" w:hAnsi="宋体" w:cs="宋体"/>
          <w:color w:val="000000"/>
          <w:kern w:val="0"/>
          <w:sz w:val="24"/>
          <w:lang w:val="zh-CN"/>
        </w:rPr>
        <w:t>根据上述合同文件要求，本合同的总金额为人民币（大写）元。</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本合同以人民币进行结算，合同总价包括：产品费、验收费、手续费、包装费、运输费、保险费、安装费、调试费、售前、售中、采购代理费、税金及不可预见费等全部费用。</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三、交付时间、地点和要求</w:t>
      </w:r>
    </w:p>
    <w:p>
      <w:pPr>
        <w:autoSpaceDE w:val="0"/>
        <w:autoSpaceDN w:val="0"/>
        <w:spacing w:line="360" w:lineRule="auto"/>
        <w:ind w:firstLine="36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交货时间：；交货地点：。</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乙方提供不符合招响应文件和本合同规定的产品，甲方有权拒绝接受。</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甲方应当在到货（安装、调试完）后个工作日内进行验收，逾期不验收的，乙方可视为验收合格。验收合格后，由甲乙双方签署产品验收单并加盖发包人公章，甲乙双方各执一份。</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甲方在验收过程中发现乙方有违约问题，可按招、响应文件的规定要求乙方及时予以解决。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乙方向甲方提供产品相关完税销售发票。</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四、付款方式</w:t>
      </w:r>
    </w:p>
    <w:p>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合同签订时约定</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五、合同的变更、终止与转让</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本合同一经签订，甲乙双方不得擅自变更、中止或终止。</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六、违约责任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hint="eastAsia"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hint="eastAsia"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乙方未按本合同和响应文件中规定的服务承诺提供售后服务的，乙方应按本合同合计金额的</w:t>
      </w:r>
      <w:r>
        <w:rPr>
          <w:rFonts w:hint="eastAsia" w:ascii="宋体" w:hAnsi="宋体" w:cs="宋体"/>
          <w:color w:val="000000"/>
          <w:kern w:val="0"/>
          <w:sz w:val="24"/>
        </w:rPr>
        <w:t>5%</w:t>
      </w:r>
      <w:r>
        <w:rPr>
          <w:rFonts w:hint="eastAsia" w:ascii="宋体" w:hAnsi="宋体" w:cs="宋体"/>
          <w:color w:val="000000"/>
          <w:kern w:val="0"/>
          <w:sz w:val="24"/>
          <w:lang w:val="zh-CN"/>
        </w:rPr>
        <w:t>向甲方支付违约金。</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hint="eastAsia" w:ascii="宋体" w:hAnsi="宋体" w:cs="宋体"/>
          <w:color w:val="000000"/>
          <w:kern w:val="0"/>
          <w:sz w:val="24"/>
        </w:rPr>
        <w:t>5%</w:t>
      </w:r>
      <w:r>
        <w:rPr>
          <w:rFonts w:hint="eastAsia" w:ascii="宋体" w:hAnsi="宋体" w:cs="宋体"/>
          <w:color w:val="000000"/>
          <w:kern w:val="0"/>
          <w:sz w:val="24"/>
          <w:lang w:val="zh-CN"/>
        </w:rPr>
        <w:t>收取违约金并赔偿经济损失。</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七、不可抗力</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八、知识产权：详见合同通用条款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九、其他约定：</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十、合同争议解决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诉讼期间，本合同继续履行。</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本合同一式份，经双方签字，并加盖公章即为生效。</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本合同未尽事宜，按经济合同法有关规定处理。</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本合同的组成包含《合同通用条款》。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甲方（盖章）：                          乙方（盖章）：</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开户银行：                              开户银行：</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账号：                                  账号：</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地址：                                  地址：</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联系电话：                              联系电话：</w:t>
      </w:r>
    </w:p>
    <w:p>
      <w:pPr>
        <w:spacing w:line="360" w:lineRule="auto"/>
        <w:ind w:firstLine="480" w:firstLineChars="200"/>
        <w:jc w:val="center"/>
        <w:rPr>
          <w:rFonts w:ascii="宋体" w:hAnsi="宋体" w:cs="宋体"/>
          <w:color w:val="000000"/>
          <w:kern w:val="0"/>
          <w:sz w:val="24"/>
          <w:lang w:val="zh-CN"/>
        </w:rPr>
      </w:pPr>
    </w:p>
    <w:p>
      <w:pPr>
        <w:spacing w:line="360" w:lineRule="auto"/>
        <w:ind w:firstLine="480" w:firstLineChars="200"/>
        <w:rPr>
          <w:rFonts w:ascii="宋体" w:hAnsi="宋体" w:cs="宋体"/>
          <w:color w:val="000000"/>
          <w:kern w:val="0"/>
          <w:sz w:val="24"/>
          <w:lang w:val="zh-CN"/>
        </w:rPr>
      </w:pPr>
    </w:p>
    <w:p>
      <w:pPr>
        <w:spacing w:line="360" w:lineRule="auto"/>
        <w:ind w:firstLine="480" w:firstLineChars="200"/>
        <w:jc w:val="center"/>
        <w:rPr>
          <w:rFonts w:ascii="宋体" w:hAnsi="宋体" w:cs="宋体"/>
          <w:b/>
          <w:bCs/>
          <w:sz w:val="48"/>
          <w:szCs w:val="48"/>
        </w:rPr>
      </w:pPr>
      <w:r>
        <w:rPr>
          <w:rFonts w:hint="eastAsia" w:ascii="宋体" w:hAnsi="宋体" w:cs="宋体"/>
          <w:color w:val="000000"/>
          <w:kern w:val="0"/>
          <w:sz w:val="24"/>
          <w:lang w:val="zh-CN"/>
        </w:rPr>
        <w:t xml:space="preserve">签约时间：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年  月  日</w:t>
      </w:r>
    </w:p>
    <w:p>
      <w:pPr>
        <w:spacing w:line="480" w:lineRule="exact"/>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pStyle w:val="2"/>
        <w:jc w:val="center"/>
      </w:pPr>
      <w:bookmarkStart w:id="4" w:name="_Toc36021877"/>
      <w:r>
        <w:rPr>
          <w:rFonts w:hint="eastAsia"/>
        </w:rPr>
        <w:t>第五章  采购需求</w:t>
      </w:r>
      <w:bookmarkEnd w:id="4"/>
    </w:p>
    <w:p>
      <w:pPr>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采购需求编制说明</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1、采购项目概况：采购办公桌、办公椅、沙发、茶几等</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rPr>
        <w:t>2、交货期：合同签订后30天内。</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3、质保期：出具验收报告之日起1年</w:t>
      </w:r>
    </w:p>
    <w:p>
      <w:pPr>
        <w:spacing w:line="360" w:lineRule="auto"/>
        <w:ind w:firstLine="480" w:firstLineChars="200"/>
        <w:jc w:val="left"/>
        <w:rPr>
          <w:rFonts w:ascii="宋体" w:hAnsi="宋体" w:cs="宋体"/>
          <w:sz w:val="24"/>
        </w:rPr>
      </w:pPr>
      <w:r>
        <w:rPr>
          <w:rFonts w:hint="eastAsia" w:ascii="宋体" w:hAnsi="宋体" w:cs="宋体"/>
          <w:sz w:val="24"/>
        </w:rPr>
        <w:t>3、货物明细表</w:t>
      </w:r>
    </w:p>
    <w:tbl>
      <w:tblPr>
        <w:tblStyle w:val="4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04"/>
        <w:gridCol w:w="1189"/>
        <w:gridCol w:w="4707"/>
        <w:gridCol w:w="693"/>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1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尺寸规格</w:t>
            </w:r>
          </w:p>
        </w:tc>
        <w:tc>
          <w:tcPr>
            <w:tcW w:w="47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参数</w:t>
            </w:r>
          </w:p>
        </w:tc>
        <w:tc>
          <w:tcPr>
            <w:tcW w:w="6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计量单位</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办公屏风桌</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1500*1200*1100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位</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办公椅</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常规</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1、面料:采用优质布绒，色泽亮丽、多样、阻燃、防污、耐磨性强，皮面更加柔软舒适,光泽持久；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2、辅料:采用高密度裁切海绵,表面有一层保护面,可防氧化,防碎,经过 HD 测试永不变形；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3、框架：Φ25管2.0mm厚黑色烤漆弓形架；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4、脚架：Φ25管2.0mm厚黑色烤漆弓形架；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三位办公沙发</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1820*890*850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1、规格：四脚/饰面：采用优质超纤皮，软硬适中压膜量达到国家现行检测标准。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 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大茶几</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1500*600*490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两门文件柜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800*400*2000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茶水柜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800*400*850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办公桌2</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1600*1850*750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优质中纤板，环保要求达到E1级标准，板材密度≥0.79g/cm³，板材含水率＜6，吸水厚度膨胀率≤11.4%，内部结合强度≥0.61MPa，表面结合强度≥0.74MPa，静曲强度≥36.1MPa，弹性模量≥3490MPa，甲醛释放量≤0.056mg/m³；须符合GB/T 11718-2009《中密度纤维板》检验标准，须提供有效期内中密度纤维板检验报告原件；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2.饰面：采用一级胡桃木文理，厚度为0.3MM；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3.油漆：采用优质环保净味漆，甲醛释放量≤0.7mg/L；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4.结构：台面、侧板厚度为40mm，其他部件板材厚度不低于16mm；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5.五金件：采用优质五金配件，连接件及锁具，液压式门铰，无碰撞、噪音，</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办公椅2</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常规</w:t>
            </w:r>
          </w:p>
        </w:tc>
        <w:tc>
          <w:tcPr>
            <w:tcW w:w="4707" w:type="dxa"/>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规格：四脚/饰面：采用优质进口皮，软硬适中压膜量达到国家现行检测标准。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文件柜1</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800*400*1985</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单人沙发</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860*890*850</w:t>
            </w:r>
          </w:p>
        </w:tc>
        <w:tc>
          <w:tcPr>
            <w:tcW w:w="4707" w:type="dxa"/>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规格：四脚/饰面：采用优质超纤皮，软硬适中压膜量达到国家现行检测标准。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 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方茶几</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450*680*490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优质中纤板，环保要求达到E1级标准，板材密度≥0.79g/cm³，板材含水率＜6，吸水厚度膨胀率≤11.4%，内部结合强度≥0.61MPa，表面结合强度≥0.74MPa，静曲强度≥36.1MPa，弹性模量≥3490MPa，甲醛释放量≤0.056mg/m³；须符合GB/T 11718-2009《中密度纤维板》检验标准，须提供有效期内中密度纤维板检验报告原件；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2.饰面：采用一级胡桃木文理，厚度为0.3MM；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3.油漆：采用优质环保净味漆，甲醛释放量≤0.7mg/L；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4.结构：台面、侧板厚度为40mm，其他部件板材厚度不低于16mm；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5.五金件：采用优质五金配件，连接件及锁具，液压式门铰，无碰撞、噪音</w:t>
            </w:r>
            <w:r>
              <w:rPr>
                <w:rFonts w:hint="eastAsia" w:ascii="宋体" w:hAnsi="宋体" w:cs="宋体"/>
                <w:i w:val="0"/>
                <w:iCs w:val="0"/>
                <w:color w:val="000000"/>
                <w:kern w:val="0"/>
                <w:sz w:val="21"/>
                <w:szCs w:val="21"/>
                <w:u w:val="none"/>
                <w:lang w:val="en-US" w:eastAsia="zh-CN" w:bidi="ar"/>
              </w:rPr>
              <w:t>。</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六层双面手摇密集架</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900*540*2300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热轧钢板冷轧，符合GB／T711-88标准；轨条采用20×20mm冷拉方钢，符合GB／T905-94标准。整体镀锌钝化处理。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底盘：采用冷轧钢板，符合GB／T711-88，采用框架式结构，整体焊接。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架体：立柱采用12mm冷轧钢板, 搁板采用8mm冷轧钢板, 挂板采用8mm冷轧钢板,符合GB／T5213-85，门框采用8mm冷轧钢板, 面板采用8mm冷轧钢板, 侧板采用8mm冷轧钢板, 防尘板采用8mm冷轧钢板,防水板采用8mm冷轧钢板, 防倾倒装置采用30mm冷轧钢板，防鼠板采用8mm冷轧钢板表面静电喷塑，粉末涂料选用热固性聚酯与环氧型混合涂料。</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单人实木床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（含床垫、一个床头柜）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2000*1200*1100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材质：采用硬杂木实木框架，结合部位牢固无松动，木制构件全部经过烘干处理，木构件四面刨光，木材含水率 8%-10%，E1型环保中密度板纤维板，经过烘干、防虫、防腐等化学处理，符合国家GB 18580-2017《室内装饰装修材料人造板及其制品中甲醛释放限量》标准和GB/T 11718-2009标准要求,密度在0.65-0.80g/cm³,静曲强度≥ 23.0MPa,吸水厚度膨胀率≤10%，符合国家E1级环保标准。</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铁质高低床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（含棕垫）</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2000*900*2000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1、整体尺寸：长2000mm*宽900mm*高1800mm;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2、床头：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(1）立柱：50mm×50mm优质钢管，壁厚≥1.5mm。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(2）横撑：25mm*25mm钢管，壁厚≥1.0mm;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(3）竖撑20mm*20mm方管，壁厚≥1.0 mm ,  3根。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3、床屉：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(1）床杠：两侧25mm*50mm优质钢管，壁厚≥1.5mm。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(2）横撑：25mm*25mm方管，壁厚≥1.0mm,  5根。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(3）床板：采用普通床板。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4、护栏：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栏长1000mm，栏高240mm，采用壁厚≥1.0mm的25mm*25mm优质方管，经数控一体模压成型。扶梯采用25mm*25mm方型钢管、壁厚1.2mm。踏板一次冲压成型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5、床腿底脚采用优质 ABS 塑料内地脚。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6、整体效果：床体颜色：半亚青光灰，工艺：加工程序经过抛丸机除锈处理、静电喷塑等工艺流程，钢质部件喷塑部位无漏喷、起泡、流挂、桂皮、剥落、裂纹等现象。</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铁质床柜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850*350*400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1.钢板：采用优质冷轧钢板，厚度≥4mm，主要承重部位加强筋处理，并经过脱脂、酸洗、去锈、磷化等十道全工序处理，无磷环保静电喷粉表面涂层，涂层外观质量优异，耐磨性和防锈性能优异。外观完好，无损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2.拉手：符合 GB/T 32487-2016、GB/T3325-2017、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GB28481-2012 标准，其中耐老化性 500h，外观颜色变色评级≥3 级，重金属未检出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3.铰链：采用优质品牌铰链，符合 QB/T 2189-2013 标准，其中操作力、垂直静载荷、水平静载荷、耐久性（80000次）、下沉量、耐腐性均检测合格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4.成品：无剥落、裂纹、皱纹，焊接处：无脱焊、虚焊、焊穿、错位，结构安全，柜体稳定性：无倾翻。各项性能完全达到国标 GB/T 3325-2017 金属家具通用技术条件、GB/T13668-2015 符合《钢制书柜、资料柜通用技术条件》。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铁质两门更衣柜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800*420*1800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钢板：采用优质冷轧钢板，厚度≥0.4mm，主要承重部位加强筋处理，并经过脱脂、酸洗、去锈、磷化等十道全工序处理，无磷环保静电喷粉表面涂层，涂层外观质量优异，耐磨性和防锈性能优异。外观完好，无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2.拉手：符合 GB/T 32487-2016、GB/T3325-2017、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GB28481-2012 标准，其中耐老化性 500h，外观颜色变色评级≥3 级，重金属未检出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3.铰链：采用优质品牌铰链，符合 QB/T 2189-2013 标准，其中操作力、垂直静载荷、水平静载荷、耐久性（80000次）、下沉量、耐腐性均检测合格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4.成品：无剥落、裂纹、皱纹，焊接处：无脱焊、虚焊、焊穿、错位，结构安全，柜体稳定性：无倾翻。各项性能完全达到国标 GB/T 3325-2017 金属家具通用技术条件、GB/T13668-2015 符合《钢制书柜、资料柜通用技术条件》。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r>
    </w:tbl>
    <w:p>
      <w:pPr>
        <w:rPr>
          <w:rFonts w:ascii="宋体" w:hAnsi="宋体" w:cs="宋体"/>
          <w:b/>
          <w:bCs/>
          <w:sz w:val="48"/>
          <w:szCs w:val="48"/>
        </w:rPr>
      </w:pPr>
    </w:p>
    <w:p>
      <w:pPr>
        <w:rPr>
          <w:rFonts w:hint="eastAsia"/>
        </w:rPr>
      </w:pPr>
      <w:bookmarkStart w:id="5" w:name="_Toc36021878"/>
    </w:p>
    <w:p>
      <w:pPr>
        <w:rPr>
          <w:rFonts w:hint="eastAsia"/>
        </w:rPr>
      </w:pPr>
    </w:p>
    <w:p>
      <w:pPr>
        <w:rPr>
          <w:rFonts w:hint="eastAsia"/>
        </w:rPr>
      </w:pPr>
    </w:p>
    <w:p>
      <w:pPr>
        <w:rPr>
          <w:rFonts w:hint="eastAsia"/>
        </w:rPr>
      </w:pPr>
    </w:p>
    <w:p>
      <w:pPr>
        <w:pStyle w:val="2"/>
        <w:jc w:val="center"/>
        <w:rPr>
          <w:rFonts w:hint="eastAsia"/>
        </w:rPr>
      </w:pPr>
    </w:p>
    <w:p>
      <w:pPr>
        <w:pStyle w:val="2"/>
        <w:jc w:val="center"/>
      </w:pPr>
      <w:r>
        <w:rPr>
          <w:rFonts w:hint="eastAsia"/>
        </w:rPr>
        <w:t>第六章 响应文件格式</w:t>
      </w:r>
      <w:bookmarkEnd w:id="5"/>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6"/>
          <w:szCs w:val="36"/>
          <w:u w:val="single"/>
        </w:rPr>
      </w:pPr>
    </w:p>
    <w:p>
      <w:pPr>
        <w:spacing w:line="360" w:lineRule="auto"/>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both"/>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w:t>
      </w:r>
      <w:r>
        <w:rPr>
          <w:rFonts w:hint="eastAsia" w:ascii="宋体" w:hAnsi="宋体" w:cs="宋体"/>
          <w:sz w:val="24"/>
        </w:rPr>
        <w:t>法定代表人证明书及</w:t>
      </w:r>
      <w:r>
        <w:rPr>
          <w:rFonts w:ascii="宋体" w:hAnsi="宋体" w:cs="宋体"/>
          <w:sz w:val="24"/>
        </w:rPr>
        <w:t>授权委托书</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numPr>
          <w:ilvl w:val="0"/>
          <w:numId w:val="7"/>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8"/>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ascii="宋体" w:hAnsi="宋体" w:cs="宋体"/>
          <w:sz w:val="24"/>
        </w:rPr>
        <w:t>增值税税率为</w:t>
      </w:r>
      <w:r>
        <w:rPr>
          <w:rFonts w:hint="eastAsia" w:ascii="宋体" w:hAnsi="宋体" w:cs="宋体"/>
          <w:sz w:val="24"/>
        </w:rPr>
        <w:t>：）</w:t>
      </w:r>
      <w:r>
        <w:rPr>
          <w:rFonts w:ascii="宋体" w:hAnsi="宋体" w:cs="宋体"/>
          <w:sz w:val="24"/>
        </w:rPr>
        <w:t>完成/提供</w:t>
      </w:r>
      <w:r>
        <w:rPr>
          <w:rFonts w:hint="eastAsia" w:ascii="宋体" w:hAnsi="宋体" w:cs="宋体"/>
          <w:sz w:val="24"/>
        </w:rPr>
        <w:t>本项目</w:t>
      </w:r>
      <w:r>
        <w:rPr>
          <w:rFonts w:ascii="宋体" w:hAnsi="宋体" w:cs="宋体"/>
          <w:sz w:val="24"/>
        </w:rPr>
        <w:t>工程，并按合同约定履行义务。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4560" w:firstLineChars="1900"/>
        <w:jc w:val="lef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400" w:lineRule="exact"/>
        <w:rPr>
          <w:rFonts w:ascii="宋体" w:hAnsi="宋体" w:cs="宋体"/>
          <w:b/>
          <w:bCs/>
          <w:sz w:val="32"/>
          <w:szCs w:val="32"/>
        </w:rPr>
      </w:pPr>
      <w:r>
        <w:rPr>
          <w:rFonts w:ascii="宋体" w:hAnsi="宋体" w:cs="宋体"/>
          <w:b/>
          <w:bCs/>
          <w:sz w:val="36"/>
          <w:szCs w:val="36"/>
        </w:rPr>
        <w:br w:type="page"/>
      </w:r>
      <w:r>
        <w:rPr>
          <w:rFonts w:hint="eastAsia" w:ascii="宋体" w:hAnsi="宋体" w:cs="宋体"/>
          <w:b/>
          <w:bCs/>
          <w:sz w:val="32"/>
          <w:szCs w:val="32"/>
        </w:rPr>
        <w:t>二、法定代表人证明书及授权委托书</w:t>
      </w:r>
    </w:p>
    <w:p>
      <w:pPr>
        <w:autoSpaceDE w:val="0"/>
        <w:autoSpaceDN w:val="0"/>
        <w:adjustRightInd w:val="0"/>
        <w:spacing w:line="400" w:lineRule="exact"/>
        <w:jc w:val="center"/>
        <w:rPr>
          <w:rFonts w:ascii="宋体" w:hAnsi="宋体" w:cs="宋体"/>
          <w:b/>
          <w:bCs/>
          <w:sz w:val="36"/>
          <w:szCs w:val="36"/>
        </w:rPr>
      </w:pPr>
    </w:p>
    <w:p>
      <w:pPr>
        <w:autoSpaceDE w:val="0"/>
        <w:autoSpaceDN w:val="0"/>
        <w:adjustRightInd w:val="0"/>
        <w:spacing w:line="400" w:lineRule="exact"/>
        <w:jc w:val="center"/>
        <w:rPr>
          <w:rFonts w:ascii="仿宋" w:hAnsi="仿宋" w:eastAsia="仿宋" w:cs="宋体"/>
          <w:b/>
          <w:bCs/>
          <w:kern w:val="0"/>
          <w:sz w:val="32"/>
          <w:szCs w:val="32"/>
          <w:lang w:val="zh-CN"/>
        </w:rPr>
      </w:pPr>
      <w:r>
        <w:rPr>
          <w:rFonts w:hint="eastAsia" w:ascii="宋体" w:hAnsi="宋体" w:cs="宋体"/>
          <w:b/>
          <w:bCs/>
          <w:sz w:val="36"/>
          <w:szCs w:val="36"/>
        </w:rPr>
        <w:t>（1）法定代表人证明书</w:t>
      </w: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sz w:val="24"/>
          <w:u w:val="single"/>
        </w:rPr>
        <w:t>青海聚鑫工程管理有限公司</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性别：年龄： 民族：</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附法定代表人第二代身份证复印件</w:t>
      </w: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360" w:lineRule="auto"/>
        <w:ind w:firstLine="4670" w:firstLineChars="1946"/>
        <w:rPr>
          <w:rFonts w:ascii="宋体" w:hAnsi="宋体" w:cs="宋体"/>
          <w:kern w:val="0"/>
          <w:sz w:val="24"/>
          <w:lang w:val="zh-CN"/>
        </w:rPr>
      </w:pPr>
      <w:r>
        <w:rPr>
          <w:rFonts w:hint="eastAsia" w:ascii="宋体" w:hAnsi="宋体" w:cs="宋体"/>
          <w:kern w:val="0"/>
          <w:sz w:val="24"/>
          <w:lang w:val="zh-CN"/>
        </w:rPr>
        <w:t>供应商：</w:t>
      </w:r>
      <w:r>
        <w:rPr>
          <w:rFonts w:hint="eastAsia" w:ascii="宋体" w:hAnsi="宋体" w:cs="宋体"/>
          <w:kern w:val="0"/>
          <w:sz w:val="24"/>
          <w:lang w:val="en-US" w:eastAsia="zh-CN"/>
        </w:rPr>
        <w:t xml:space="preserve">    </w:t>
      </w:r>
      <w:r>
        <w:rPr>
          <w:rFonts w:hint="eastAsia" w:ascii="宋体" w:hAnsi="宋体" w:cs="宋体"/>
          <w:kern w:val="0"/>
          <w:sz w:val="24"/>
          <w:lang w:val="zh-CN"/>
        </w:rPr>
        <w:t>（公章）</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kern w:val="0"/>
          <w:sz w:val="24"/>
          <w:lang w:val="en-US" w:eastAsia="zh-CN"/>
        </w:rPr>
        <w:t xml:space="preserve">       </w:t>
      </w:r>
      <w:r>
        <w:rPr>
          <w:rFonts w:hint="eastAsia" w:ascii="宋体" w:hAnsi="宋体" w:cs="宋体"/>
          <w:kern w:val="0"/>
          <w:sz w:val="24"/>
          <w:lang w:val="zh-CN"/>
        </w:rPr>
        <w:t>（签字或盖章）</w:t>
      </w:r>
    </w:p>
    <w:p>
      <w:pPr>
        <w:autoSpaceDE w:val="0"/>
        <w:autoSpaceDN w:val="0"/>
        <w:adjustRightIn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年  月  日</w:t>
      </w:r>
    </w:p>
    <w:p>
      <w:pPr>
        <w:widowControl/>
        <w:jc w:val="left"/>
        <w:rPr>
          <w:rFonts w:ascii="宋体" w:hAnsi="宋体" w:cs="宋体"/>
          <w:b/>
          <w:bCs/>
          <w:sz w:val="36"/>
          <w:szCs w:val="36"/>
        </w:rPr>
      </w:pPr>
    </w:p>
    <w:p>
      <w:pPr>
        <w:widowControl/>
        <w:jc w:val="left"/>
        <w:rPr>
          <w:rFonts w:ascii="宋体" w:hAnsi="宋体" w:cs="宋体"/>
          <w:b/>
          <w:bCs/>
          <w:sz w:val="36"/>
          <w:szCs w:val="36"/>
        </w:rPr>
      </w:pPr>
      <w:r>
        <w:rPr>
          <w:rFonts w:ascii="宋体" w:hAnsi="宋体" w:cs="宋体"/>
          <w:b/>
          <w:bCs/>
          <w:sz w:val="36"/>
          <w:szCs w:val="36"/>
        </w:rPr>
        <w:br w:type="page"/>
      </w:r>
    </w:p>
    <w:p>
      <w:pPr>
        <w:spacing w:line="360" w:lineRule="auto"/>
        <w:jc w:val="center"/>
        <w:rPr>
          <w:rFonts w:ascii="宋体" w:hAnsi="宋体" w:cs="宋体"/>
          <w:b/>
          <w:bCs/>
          <w:sz w:val="36"/>
          <w:szCs w:val="36"/>
        </w:rPr>
      </w:pPr>
      <w:r>
        <w:rPr>
          <w:rFonts w:hint="eastAsia" w:ascii="宋体" w:hAnsi="宋体" w:cs="宋体"/>
          <w:b/>
          <w:bCs/>
          <w:sz w:val="36"/>
          <w:szCs w:val="36"/>
        </w:rPr>
        <w:t>（2）授权委托书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u w:val="single"/>
        </w:rPr>
      </w:pPr>
      <w:r>
        <w:rPr>
          <w:rFonts w:ascii="宋体" w:hAnsi="宋体" w:cs="宋体"/>
          <w:sz w:val="24"/>
        </w:rPr>
        <w:t>委托期限</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hint="eastAsia" w:ascii="宋体" w:hAnsi="宋体" w:cs="宋体"/>
          <w:sz w:val="24"/>
        </w:rPr>
      </w:pPr>
      <w:r>
        <w:rPr>
          <w:rFonts w:hint="eastAsia" w:ascii="宋体" w:hAnsi="宋体" w:cs="宋体"/>
          <w:sz w:val="24"/>
        </w:rPr>
        <w:t>身份证号码：</w:t>
      </w:r>
    </w:p>
    <w:p>
      <w:pPr>
        <w:spacing w:line="600" w:lineRule="auto"/>
        <w:ind w:firstLine="2880" w:firstLineChars="1200"/>
        <w:jc w:val="left"/>
        <w:rPr>
          <w:rFonts w:hint="eastAsia" w:ascii="宋体" w:hAnsi="宋体" w:cs="宋体"/>
          <w:sz w:val="24"/>
        </w:rPr>
      </w:pPr>
    </w:p>
    <w:p>
      <w:pPr>
        <w:spacing w:line="600" w:lineRule="auto"/>
        <w:ind w:right="12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pStyle w:val="129"/>
        <w:numPr>
          <w:ilvl w:val="0"/>
          <w:numId w:val="9"/>
        </w:numPr>
        <w:spacing w:line="360" w:lineRule="auto"/>
        <w:ind w:firstLineChars="0"/>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鉴于（供应商名称）（以下称“供应商”）于年月日参加（项目名称）询比采购活动，（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序号</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1</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2</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3</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4</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5</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                             询比日期：  年　月　日</w:t>
      </w:r>
    </w:p>
    <w:tbl>
      <w:tblPr>
        <w:tblStyle w:val="4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225"/>
        <w:gridCol w:w="1496"/>
        <w:gridCol w:w="1484"/>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序号</w:t>
            </w:r>
          </w:p>
        </w:tc>
        <w:tc>
          <w:tcPr>
            <w:tcW w:w="32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项目名称</w:t>
            </w:r>
          </w:p>
        </w:tc>
        <w:tc>
          <w:tcPr>
            <w:tcW w:w="1496"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货物名称</w:t>
            </w:r>
          </w:p>
        </w:tc>
        <w:tc>
          <w:tcPr>
            <w:tcW w:w="1484"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响应总价</w:t>
            </w:r>
          </w:p>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（元）</w:t>
            </w:r>
          </w:p>
        </w:tc>
        <w:tc>
          <w:tcPr>
            <w:tcW w:w="2654"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1</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4</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52" w:type="dxa"/>
            <w:gridSpan w:val="2"/>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合计</w:t>
            </w: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86" w:type="dxa"/>
            <w:gridSpan w:val="5"/>
            <w:vAlign w:val="center"/>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响应总价大写（人民币）：</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10"/>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720" w:lineRule="auto"/>
        <w:jc w:val="left"/>
        <w:rPr>
          <w:rFonts w:ascii="宋体" w:hAnsi="宋体" w:cs="宋体"/>
          <w:b/>
          <w:bCs/>
          <w:sz w:val="30"/>
          <w:szCs w:val="30"/>
        </w:rPr>
      </w:pPr>
      <w:r>
        <w:rPr>
          <w:rFonts w:hint="eastAsia" w:ascii="宋体" w:hAnsi="宋体" w:cs="宋体"/>
          <w:b/>
          <w:bCs/>
          <w:sz w:val="30"/>
          <w:szCs w:val="30"/>
        </w:rPr>
        <w:t>（三）拟委任的主要人员汇总表</w:t>
      </w:r>
    </w:p>
    <w:tbl>
      <w:tblPr>
        <w:tblStyle w:val="4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81"/>
        <w:gridCol w:w="1417"/>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6"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2281"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本项目职称</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姓名</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职</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称</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专</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业</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bl>
    <w:p>
      <w:pPr>
        <w:widowControl/>
        <w:jc w:val="left"/>
        <w:rPr>
          <w:rFonts w:ascii="宋体" w:hAnsi="宋体" w:cs="宋体"/>
          <w:b/>
          <w:bCs/>
          <w:sz w:val="30"/>
          <w:szCs w:val="30"/>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货物质量标准或技术性能指标的详细描述</w:t>
      </w:r>
      <w:r>
        <w:rPr>
          <w:rFonts w:hint="eastAsia" w:ascii="宋体" w:hAnsi="宋体" w:cs="宋体"/>
          <w:b/>
          <w:bCs/>
          <w:sz w:val="28"/>
          <w:szCs w:val="28"/>
          <w:lang w:eastAsia="zh-CN"/>
        </w:rPr>
        <w:t>（</w:t>
      </w:r>
      <w:r>
        <w:rPr>
          <w:rFonts w:hint="eastAsia" w:ascii="宋体" w:hAnsi="宋体" w:cs="宋体"/>
          <w:b/>
          <w:bCs/>
          <w:sz w:val="28"/>
          <w:szCs w:val="28"/>
          <w:lang w:val="en-US" w:eastAsia="zh-CN"/>
        </w:rPr>
        <w:t>提供技术参数证明材料</w:t>
      </w:r>
      <w:r>
        <w:rPr>
          <w:rFonts w:hint="eastAsia" w:ascii="宋体" w:hAnsi="宋体" w:cs="宋体"/>
          <w:b/>
          <w:bCs/>
          <w:sz w:val="28"/>
          <w:szCs w:val="28"/>
          <w:lang w:eastAsia="zh-CN"/>
        </w:rPr>
        <w:t>）</w:t>
      </w: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项目管理方案</w:t>
      </w: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售后服务</w:t>
      </w: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分包供应商名称</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地址</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法定代表人</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电话</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营业执照号码</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资质等级</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拟分包的工程项目</w:t>
            </w: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主要内容</w:t>
            </w: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预计造价（万元）</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restart"/>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056"/>
    </w:sdtPr>
    <w:sdtContent>
      <w:p>
        <w:pPr>
          <w:pStyle w:val="29"/>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6FA1"/>
    <w:multiLevelType w:val="singleLevel"/>
    <w:tmpl w:val="8EB36FA1"/>
    <w:lvl w:ilvl="0" w:tentative="0">
      <w:start w:val="1"/>
      <w:numFmt w:val="decimal"/>
      <w:suff w:val="nothing"/>
      <w:lvlText w:val="%1、"/>
      <w:lvlJc w:val="left"/>
    </w:lvl>
  </w:abstractNum>
  <w:abstractNum w:abstractNumId="1">
    <w:nsid w:val="9ED5AC3B"/>
    <w:multiLevelType w:val="singleLevel"/>
    <w:tmpl w:val="9ED5AC3B"/>
    <w:lvl w:ilvl="0" w:tentative="0">
      <w:start w:val="2"/>
      <w:numFmt w:val="chineseCounting"/>
      <w:suff w:val="nothing"/>
      <w:lvlText w:val="（%1）"/>
      <w:lvlJc w:val="left"/>
      <w:rPr>
        <w:rFonts w:hint="eastAsia"/>
      </w:rPr>
    </w:lvl>
  </w:abstractNum>
  <w:abstractNum w:abstractNumId="2">
    <w:nsid w:val="A716B068"/>
    <w:multiLevelType w:val="multilevel"/>
    <w:tmpl w:val="A716B06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3">
    <w:nsid w:val="D211EDC3"/>
    <w:multiLevelType w:val="singleLevel"/>
    <w:tmpl w:val="D211EDC3"/>
    <w:lvl w:ilvl="0" w:tentative="0">
      <w:start w:val="1"/>
      <w:numFmt w:val="chineseCounting"/>
      <w:suff w:val="nothing"/>
      <w:lvlText w:val="（%1）"/>
      <w:lvlJc w:val="left"/>
      <w:rPr>
        <w:rFonts w:hint="eastAsia"/>
      </w:rPr>
    </w:lvl>
  </w:abstractNum>
  <w:abstractNum w:abstractNumId="4">
    <w:nsid w:val="D38B0AC4"/>
    <w:multiLevelType w:val="singleLevel"/>
    <w:tmpl w:val="D38B0AC4"/>
    <w:lvl w:ilvl="0" w:tentative="0">
      <w:start w:val="1"/>
      <w:numFmt w:val="decimal"/>
      <w:lvlText w:val="%1."/>
      <w:lvlJc w:val="left"/>
      <w:pPr>
        <w:tabs>
          <w:tab w:val="left" w:pos="312"/>
        </w:tabs>
      </w:pPr>
    </w:lvl>
  </w:abstractNum>
  <w:abstractNum w:abstractNumId="5">
    <w:nsid w:val="202E94F5"/>
    <w:multiLevelType w:val="singleLevel"/>
    <w:tmpl w:val="202E94F5"/>
    <w:lvl w:ilvl="0" w:tentative="0">
      <w:start w:val="1"/>
      <w:numFmt w:val="decimal"/>
      <w:suff w:val="nothing"/>
      <w:lvlText w:val="（%1）"/>
      <w:lvlJc w:val="left"/>
    </w:lvl>
  </w:abstractNum>
  <w:abstractNum w:abstractNumId="6">
    <w:nsid w:val="22E5231B"/>
    <w:multiLevelType w:val="singleLevel"/>
    <w:tmpl w:val="22E5231B"/>
    <w:lvl w:ilvl="0" w:tentative="0">
      <w:start w:val="1"/>
      <w:numFmt w:val="decimal"/>
      <w:suff w:val="nothing"/>
      <w:lvlText w:val="%1、"/>
      <w:lvlJc w:val="left"/>
    </w:lvl>
  </w:abstractNum>
  <w:abstractNum w:abstractNumId="7">
    <w:nsid w:val="3E5E5085"/>
    <w:multiLevelType w:val="multilevel"/>
    <w:tmpl w:val="3E5E5085"/>
    <w:lvl w:ilvl="0" w:tentative="0">
      <w:start w:val="3"/>
      <w:numFmt w:val="japaneseCounting"/>
      <w:lvlText w:val="%1、"/>
      <w:lvlJc w:val="left"/>
      <w:pPr>
        <w:ind w:left="744" w:hanging="7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0F25C6"/>
    <w:multiLevelType w:val="singleLevel"/>
    <w:tmpl w:val="620F25C6"/>
    <w:lvl w:ilvl="0" w:tentative="0">
      <w:start w:val="1"/>
      <w:numFmt w:val="decimal"/>
      <w:suff w:val="nothing"/>
      <w:lvlText w:val="（%1）"/>
      <w:lvlJc w:val="left"/>
    </w:lvl>
  </w:abstractNum>
  <w:abstractNum w:abstractNumId="9">
    <w:nsid w:val="6D014F3C"/>
    <w:multiLevelType w:val="singleLevel"/>
    <w:tmpl w:val="6D014F3C"/>
    <w:lvl w:ilvl="0" w:tentative="0">
      <w:start w:val="1"/>
      <w:numFmt w:val="chineseCounting"/>
      <w:suff w:val="nothing"/>
      <w:lvlText w:val="%1、"/>
      <w:lvlJc w:val="left"/>
      <w:rPr>
        <w:rFonts w:hint="eastAsia"/>
      </w:rPr>
    </w:lvl>
  </w:abstractNum>
  <w:abstractNum w:abstractNumId="10">
    <w:nsid w:val="7AE4764B"/>
    <w:multiLevelType w:val="multilevel"/>
    <w:tmpl w:val="7AE4764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10"/>
  </w:num>
  <w:num w:numId="3">
    <w:abstractNumId w:val="8"/>
  </w:num>
  <w:num w:numId="4">
    <w:abstractNumId w:val="5"/>
  </w:num>
  <w:num w:numId="5">
    <w:abstractNumId w:val="6"/>
  </w:num>
  <w:num w:numId="6">
    <w:abstractNumId w:val="0"/>
  </w:num>
  <w:num w:numId="7">
    <w:abstractNumId w:val="9"/>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hiZTVmYjg4ZjU4MDM1NDExMTJhODNiZDIxZDNjZTYifQ=="/>
  </w:docVars>
  <w:rsids>
    <w:rsidRoot w:val="55372953"/>
    <w:rsid w:val="00001865"/>
    <w:rsid w:val="000024FE"/>
    <w:rsid w:val="00006B98"/>
    <w:rsid w:val="00020FA6"/>
    <w:rsid w:val="000244CE"/>
    <w:rsid w:val="00026E57"/>
    <w:rsid w:val="000345E1"/>
    <w:rsid w:val="000373C8"/>
    <w:rsid w:val="00043F41"/>
    <w:rsid w:val="00045D34"/>
    <w:rsid w:val="00046DDF"/>
    <w:rsid w:val="00047221"/>
    <w:rsid w:val="000552D8"/>
    <w:rsid w:val="00063656"/>
    <w:rsid w:val="00065DA2"/>
    <w:rsid w:val="00073BCC"/>
    <w:rsid w:val="0008136E"/>
    <w:rsid w:val="0008216B"/>
    <w:rsid w:val="00086AC7"/>
    <w:rsid w:val="00091A9F"/>
    <w:rsid w:val="000955AE"/>
    <w:rsid w:val="000A02D0"/>
    <w:rsid w:val="000A1FE3"/>
    <w:rsid w:val="000A360E"/>
    <w:rsid w:val="000A3796"/>
    <w:rsid w:val="000B21A3"/>
    <w:rsid w:val="000C237D"/>
    <w:rsid w:val="000C51C2"/>
    <w:rsid w:val="000D1D5C"/>
    <w:rsid w:val="000D4673"/>
    <w:rsid w:val="000D7114"/>
    <w:rsid w:val="000D75E9"/>
    <w:rsid w:val="000D76F4"/>
    <w:rsid w:val="000E3B80"/>
    <w:rsid w:val="000E4151"/>
    <w:rsid w:val="000E4A00"/>
    <w:rsid w:val="000E6D57"/>
    <w:rsid w:val="00101E2F"/>
    <w:rsid w:val="001046E4"/>
    <w:rsid w:val="00105905"/>
    <w:rsid w:val="00105B40"/>
    <w:rsid w:val="00106352"/>
    <w:rsid w:val="00110387"/>
    <w:rsid w:val="001143CA"/>
    <w:rsid w:val="00114A27"/>
    <w:rsid w:val="00115720"/>
    <w:rsid w:val="001169B4"/>
    <w:rsid w:val="001202F4"/>
    <w:rsid w:val="0012157D"/>
    <w:rsid w:val="00124764"/>
    <w:rsid w:val="001332E9"/>
    <w:rsid w:val="00133D89"/>
    <w:rsid w:val="001363C9"/>
    <w:rsid w:val="001375A4"/>
    <w:rsid w:val="00143041"/>
    <w:rsid w:val="00151BCE"/>
    <w:rsid w:val="00153CC2"/>
    <w:rsid w:val="001556B8"/>
    <w:rsid w:val="001636AD"/>
    <w:rsid w:val="00163ACB"/>
    <w:rsid w:val="0016478D"/>
    <w:rsid w:val="0017389B"/>
    <w:rsid w:val="00184D4F"/>
    <w:rsid w:val="001872C6"/>
    <w:rsid w:val="00187AC8"/>
    <w:rsid w:val="00195A0C"/>
    <w:rsid w:val="0019660E"/>
    <w:rsid w:val="00196B4A"/>
    <w:rsid w:val="001A7502"/>
    <w:rsid w:val="001B10F9"/>
    <w:rsid w:val="001B115C"/>
    <w:rsid w:val="001B2EC6"/>
    <w:rsid w:val="001B4A05"/>
    <w:rsid w:val="001B5BED"/>
    <w:rsid w:val="001C108E"/>
    <w:rsid w:val="001C2948"/>
    <w:rsid w:val="001C2B3F"/>
    <w:rsid w:val="001C314C"/>
    <w:rsid w:val="001C6022"/>
    <w:rsid w:val="001D1B80"/>
    <w:rsid w:val="001D4B9F"/>
    <w:rsid w:val="001E0657"/>
    <w:rsid w:val="001E2F44"/>
    <w:rsid w:val="001E7A63"/>
    <w:rsid w:val="001F0DAD"/>
    <w:rsid w:val="0020200B"/>
    <w:rsid w:val="00211D58"/>
    <w:rsid w:val="00214836"/>
    <w:rsid w:val="00215633"/>
    <w:rsid w:val="00217523"/>
    <w:rsid w:val="00220F4B"/>
    <w:rsid w:val="002227C3"/>
    <w:rsid w:val="00224C27"/>
    <w:rsid w:val="00226819"/>
    <w:rsid w:val="0023210D"/>
    <w:rsid w:val="00232435"/>
    <w:rsid w:val="0023294E"/>
    <w:rsid w:val="00233D1E"/>
    <w:rsid w:val="00235191"/>
    <w:rsid w:val="00247239"/>
    <w:rsid w:val="00251A17"/>
    <w:rsid w:val="00252148"/>
    <w:rsid w:val="00262D8B"/>
    <w:rsid w:val="00270BBA"/>
    <w:rsid w:val="00273C4E"/>
    <w:rsid w:val="00281049"/>
    <w:rsid w:val="00283479"/>
    <w:rsid w:val="0028381B"/>
    <w:rsid w:val="002937E6"/>
    <w:rsid w:val="002977EE"/>
    <w:rsid w:val="002A034A"/>
    <w:rsid w:val="002A0DF0"/>
    <w:rsid w:val="002A37BD"/>
    <w:rsid w:val="002A3B07"/>
    <w:rsid w:val="002A63A1"/>
    <w:rsid w:val="002A7B99"/>
    <w:rsid w:val="002B0D9F"/>
    <w:rsid w:val="002B195D"/>
    <w:rsid w:val="002B5333"/>
    <w:rsid w:val="002B6EA2"/>
    <w:rsid w:val="002C41B6"/>
    <w:rsid w:val="002C679B"/>
    <w:rsid w:val="002D1D77"/>
    <w:rsid w:val="002D4CF7"/>
    <w:rsid w:val="002E0EAC"/>
    <w:rsid w:val="002E3172"/>
    <w:rsid w:val="002E49B0"/>
    <w:rsid w:val="002E6BE2"/>
    <w:rsid w:val="002F6676"/>
    <w:rsid w:val="002F6799"/>
    <w:rsid w:val="00302582"/>
    <w:rsid w:val="00314154"/>
    <w:rsid w:val="00320784"/>
    <w:rsid w:val="003217FD"/>
    <w:rsid w:val="00322244"/>
    <w:rsid w:val="00337FDE"/>
    <w:rsid w:val="00340A9C"/>
    <w:rsid w:val="00352ABF"/>
    <w:rsid w:val="00355C66"/>
    <w:rsid w:val="00356E5F"/>
    <w:rsid w:val="0036119A"/>
    <w:rsid w:val="003656B1"/>
    <w:rsid w:val="00366149"/>
    <w:rsid w:val="00375B57"/>
    <w:rsid w:val="00382E0D"/>
    <w:rsid w:val="003965F8"/>
    <w:rsid w:val="003A36B1"/>
    <w:rsid w:val="003A4041"/>
    <w:rsid w:val="003B10A3"/>
    <w:rsid w:val="003B3ACB"/>
    <w:rsid w:val="003B576A"/>
    <w:rsid w:val="003C0493"/>
    <w:rsid w:val="003C1398"/>
    <w:rsid w:val="003C706D"/>
    <w:rsid w:val="003C7DAF"/>
    <w:rsid w:val="003D3535"/>
    <w:rsid w:val="003D4497"/>
    <w:rsid w:val="003D7D91"/>
    <w:rsid w:val="003E6BBE"/>
    <w:rsid w:val="003E71F7"/>
    <w:rsid w:val="003F79F6"/>
    <w:rsid w:val="00400BBD"/>
    <w:rsid w:val="00404768"/>
    <w:rsid w:val="00405B05"/>
    <w:rsid w:val="00410238"/>
    <w:rsid w:val="0041527E"/>
    <w:rsid w:val="00420AD0"/>
    <w:rsid w:val="004248C3"/>
    <w:rsid w:val="00434511"/>
    <w:rsid w:val="0044450E"/>
    <w:rsid w:val="00444861"/>
    <w:rsid w:val="00446B3A"/>
    <w:rsid w:val="00450E06"/>
    <w:rsid w:val="00452F83"/>
    <w:rsid w:val="004557DA"/>
    <w:rsid w:val="00470934"/>
    <w:rsid w:val="004723B6"/>
    <w:rsid w:val="00475DE4"/>
    <w:rsid w:val="004770AE"/>
    <w:rsid w:val="00477E90"/>
    <w:rsid w:val="00480AD0"/>
    <w:rsid w:val="00483FE3"/>
    <w:rsid w:val="0049655B"/>
    <w:rsid w:val="0049787E"/>
    <w:rsid w:val="004A1CC8"/>
    <w:rsid w:val="004B00DB"/>
    <w:rsid w:val="004B14AD"/>
    <w:rsid w:val="004B546F"/>
    <w:rsid w:val="004C5170"/>
    <w:rsid w:val="004E4657"/>
    <w:rsid w:val="004E56FD"/>
    <w:rsid w:val="004F64D7"/>
    <w:rsid w:val="00500341"/>
    <w:rsid w:val="00503417"/>
    <w:rsid w:val="005047E1"/>
    <w:rsid w:val="00510BB7"/>
    <w:rsid w:val="00516233"/>
    <w:rsid w:val="00516D9F"/>
    <w:rsid w:val="00517114"/>
    <w:rsid w:val="0052186B"/>
    <w:rsid w:val="005243BF"/>
    <w:rsid w:val="00525B83"/>
    <w:rsid w:val="00525D87"/>
    <w:rsid w:val="00530E72"/>
    <w:rsid w:val="00533379"/>
    <w:rsid w:val="005409AD"/>
    <w:rsid w:val="00541F14"/>
    <w:rsid w:val="00547180"/>
    <w:rsid w:val="0055547E"/>
    <w:rsid w:val="00561925"/>
    <w:rsid w:val="00565252"/>
    <w:rsid w:val="00587CF0"/>
    <w:rsid w:val="005970D0"/>
    <w:rsid w:val="005A1C97"/>
    <w:rsid w:val="005B7D1E"/>
    <w:rsid w:val="005C0A2A"/>
    <w:rsid w:val="005C20D6"/>
    <w:rsid w:val="005D2B68"/>
    <w:rsid w:val="005D2DF0"/>
    <w:rsid w:val="005D42B6"/>
    <w:rsid w:val="005D4527"/>
    <w:rsid w:val="005D453B"/>
    <w:rsid w:val="005D6645"/>
    <w:rsid w:val="005E243B"/>
    <w:rsid w:val="005E58C2"/>
    <w:rsid w:val="005E6AA8"/>
    <w:rsid w:val="005F24E3"/>
    <w:rsid w:val="005F290F"/>
    <w:rsid w:val="005F3F05"/>
    <w:rsid w:val="005F4BCF"/>
    <w:rsid w:val="00600C83"/>
    <w:rsid w:val="0060291F"/>
    <w:rsid w:val="00604849"/>
    <w:rsid w:val="00606F34"/>
    <w:rsid w:val="00610FF8"/>
    <w:rsid w:val="00616198"/>
    <w:rsid w:val="0062398E"/>
    <w:rsid w:val="00633AEC"/>
    <w:rsid w:val="00640446"/>
    <w:rsid w:val="006411CC"/>
    <w:rsid w:val="006416EB"/>
    <w:rsid w:val="00641AD2"/>
    <w:rsid w:val="00641E3B"/>
    <w:rsid w:val="00646CE2"/>
    <w:rsid w:val="00650ABC"/>
    <w:rsid w:val="0065234E"/>
    <w:rsid w:val="00654A89"/>
    <w:rsid w:val="00656CF7"/>
    <w:rsid w:val="00677F3F"/>
    <w:rsid w:val="00682193"/>
    <w:rsid w:val="006929A7"/>
    <w:rsid w:val="00693E6A"/>
    <w:rsid w:val="00697DDE"/>
    <w:rsid w:val="006A317D"/>
    <w:rsid w:val="006B09DD"/>
    <w:rsid w:val="006B40CD"/>
    <w:rsid w:val="006B4D79"/>
    <w:rsid w:val="006C365F"/>
    <w:rsid w:val="006D0A54"/>
    <w:rsid w:val="006D7FB3"/>
    <w:rsid w:val="006E0E02"/>
    <w:rsid w:val="006E1144"/>
    <w:rsid w:val="006E280A"/>
    <w:rsid w:val="006F239C"/>
    <w:rsid w:val="006F423C"/>
    <w:rsid w:val="006F4E79"/>
    <w:rsid w:val="006F726B"/>
    <w:rsid w:val="007102E2"/>
    <w:rsid w:val="00715729"/>
    <w:rsid w:val="0072355C"/>
    <w:rsid w:val="00726F57"/>
    <w:rsid w:val="00727E73"/>
    <w:rsid w:val="00730BAC"/>
    <w:rsid w:val="00732B26"/>
    <w:rsid w:val="00734137"/>
    <w:rsid w:val="007341FC"/>
    <w:rsid w:val="0073641B"/>
    <w:rsid w:val="00740CF7"/>
    <w:rsid w:val="00740D92"/>
    <w:rsid w:val="0074252E"/>
    <w:rsid w:val="00744CEE"/>
    <w:rsid w:val="00744E90"/>
    <w:rsid w:val="00755118"/>
    <w:rsid w:val="00763B6D"/>
    <w:rsid w:val="007655A1"/>
    <w:rsid w:val="0077377A"/>
    <w:rsid w:val="00774903"/>
    <w:rsid w:val="00776892"/>
    <w:rsid w:val="00777902"/>
    <w:rsid w:val="00781BDD"/>
    <w:rsid w:val="00795AB3"/>
    <w:rsid w:val="007A11EC"/>
    <w:rsid w:val="007A3103"/>
    <w:rsid w:val="007B6354"/>
    <w:rsid w:val="007B6EF7"/>
    <w:rsid w:val="007E23BA"/>
    <w:rsid w:val="007E3FB3"/>
    <w:rsid w:val="007F70F8"/>
    <w:rsid w:val="00801BD1"/>
    <w:rsid w:val="00805A47"/>
    <w:rsid w:val="008110BB"/>
    <w:rsid w:val="00811E81"/>
    <w:rsid w:val="0081211F"/>
    <w:rsid w:val="0081340B"/>
    <w:rsid w:val="00816616"/>
    <w:rsid w:val="00817715"/>
    <w:rsid w:val="00820055"/>
    <w:rsid w:val="00822BDC"/>
    <w:rsid w:val="008261EB"/>
    <w:rsid w:val="00826BB7"/>
    <w:rsid w:val="00830C83"/>
    <w:rsid w:val="008321C5"/>
    <w:rsid w:val="00834476"/>
    <w:rsid w:val="0084734D"/>
    <w:rsid w:val="008505AC"/>
    <w:rsid w:val="008528A1"/>
    <w:rsid w:val="00852BC9"/>
    <w:rsid w:val="00862171"/>
    <w:rsid w:val="00863C39"/>
    <w:rsid w:val="00865CBE"/>
    <w:rsid w:val="00867101"/>
    <w:rsid w:val="008676F2"/>
    <w:rsid w:val="00873854"/>
    <w:rsid w:val="00873AE4"/>
    <w:rsid w:val="00877DD7"/>
    <w:rsid w:val="0089490A"/>
    <w:rsid w:val="00895244"/>
    <w:rsid w:val="0089756C"/>
    <w:rsid w:val="00897D5E"/>
    <w:rsid w:val="008A13B4"/>
    <w:rsid w:val="008A14E6"/>
    <w:rsid w:val="008A2021"/>
    <w:rsid w:val="008A2CB9"/>
    <w:rsid w:val="008A59B1"/>
    <w:rsid w:val="008A682D"/>
    <w:rsid w:val="008B3480"/>
    <w:rsid w:val="008D07E4"/>
    <w:rsid w:val="008D3128"/>
    <w:rsid w:val="008D7B7E"/>
    <w:rsid w:val="008F1014"/>
    <w:rsid w:val="008F19B7"/>
    <w:rsid w:val="008F2047"/>
    <w:rsid w:val="008F6129"/>
    <w:rsid w:val="0091092D"/>
    <w:rsid w:val="00912258"/>
    <w:rsid w:val="009137EF"/>
    <w:rsid w:val="00914816"/>
    <w:rsid w:val="009157C5"/>
    <w:rsid w:val="00917114"/>
    <w:rsid w:val="00917707"/>
    <w:rsid w:val="00920E3C"/>
    <w:rsid w:val="0092688A"/>
    <w:rsid w:val="00932BBC"/>
    <w:rsid w:val="00937121"/>
    <w:rsid w:val="00940F70"/>
    <w:rsid w:val="00946B2B"/>
    <w:rsid w:val="00946CC1"/>
    <w:rsid w:val="009527F6"/>
    <w:rsid w:val="00952A7C"/>
    <w:rsid w:val="00954B8E"/>
    <w:rsid w:val="009551AA"/>
    <w:rsid w:val="009617F5"/>
    <w:rsid w:val="00967415"/>
    <w:rsid w:val="00970E41"/>
    <w:rsid w:val="00972136"/>
    <w:rsid w:val="00972B0E"/>
    <w:rsid w:val="009752E8"/>
    <w:rsid w:val="009754CA"/>
    <w:rsid w:val="00976D59"/>
    <w:rsid w:val="00981D32"/>
    <w:rsid w:val="009835F2"/>
    <w:rsid w:val="00986C33"/>
    <w:rsid w:val="00994736"/>
    <w:rsid w:val="00995E1B"/>
    <w:rsid w:val="009B654A"/>
    <w:rsid w:val="009C0F7C"/>
    <w:rsid w:val="009C295A"/>
    <w:rsid w:val="009C3394"/>
    <w:rsid w:val="009C5D6E"/>
    <w:rsid w:val="009C754E"/>
    <w:rsid w:val="009D02E2"/>
    <w:rsid w:val="009E3813"/>
    <w:rsid w:val="009E4BF4"/>
    <w:rsid w:val="009E4C47"/>
    <w:rsid w:val="009E5139"/>
    <w:rsid w:val="009F0C51"/>
    <w:rsid w:val="009F3D8A"/>
    <w:rsid w:val="009F4494"/>
    <w:rsid w:val="009F71D4"/>
    <w:rsid w:val="009F72B9"/>
    <w:rsid w:val="00A01036"/>
    <w:rsid w:val="00A044B1"/>
    <w:rsid w:val="00A062B3"/>
    <w:rsid w:val="00A134C4"/>
    <w:rsid w:val="00A235EE"/>
    <w:rsid w:val="00A2574F"/>
    <w:rsid w:val="00A26B6D"/>
    <w:rsid w:val="00A37E36"/>
    <w:rsid w:val="00A45D07"/>
    <w:rsid w:val="00A55BFA"/>
    <w:rsid w:val="00A64788"/>
    <w:rsid w:val="00A752FB"/>
    <w:rsid w:val="00A76E04"/>
    <w:rsid w:val="00A80738"/>
    <w:rsid w:val="00A861A6"/>
    <w:rsid w:val="00A92080"/>
    <w:rsid w:val="00A92A22"/>
    <w:rsid w:val="00A95076"/>
    <w:rsid w:val="00A95AA6"/>
    <w:rsid w:val="00A964F9"/>
    <w:rsid w:val="00AA1ED1"/>
    <w:rsid w:val="00AA33F4"/>
    <w:rsid w:val="00AA4D00"/>
    <w:rsid w:val="00AA636C"/>
    <w:rsid w:val="00AB2BC6"/>
    <w:rsid w:val="00AB6880"/>
    <w:rsid w:val="00AB6E17"/>
    <w:rsid w:val="00AC2E0B"/>
    <w:rsid w:val="00AD2E2F"/>
    <w:rsid w:val="00AD300C"/>
    <w:rsid w:val="00AD64F9"/>
    <w:rsid w:val="00AE0112"/>
    <w:rsid w:val="00AE0C9C"/>
    <w:rsid w:val="00AE6954"/>
    <w:rsid w:val="00AF1C01"/>
    <w:rsid w:val="00AF4C09"/>
    <w:rsid w:val="00B10DCC"/>
    <w:rsid w:val="00B17FF6"/>
    <w:rsid w:val="00B21D55"/>
    <w:rsid w:val="00B26981"/>
    <w:rsid w:val="00B2794A"/>
    <w:rsid w:val="00B315CE"/>
    <w:rsid w:val="00B32EDD"/>
    <w:rsid w:val="00B33A99"/>
    <w:rsid w:val="00B47CE2"/>
    <w:rsid w:val="00B5043A"/>
    <w:rsid w:val="00B522B5"/>
    <w:rsid w:val="00B541B3"/>
    <w:rsid w:val="00B62536"/>
    <w:rsid w:val="00B62A6E"/>
    <w:rsid w:val="00B64D2D"/>
    <w:rsid w:val="00B7059A"/>
    <w:rsid w:val="00B71355"/>
    <w:rsid w:val="00B71FFA"/>
    <w:rsid w:val="00B7306D"/>
    <w:rsid w:val="00B75136"/>
    <w:rsid w:val="00B80E42"/>
    <w:rsid w:val="00B8653C"/>
    <w:rsid w:val="00B901CE"/>
    <w:rsid w:val="00B92B14"/>
    <w:rsid w:val="00B96225"/>
    <w:rsid w:val="00B9745A"/>
    <w:rsid w:val="00BA1BCF"/>
    <w:rsid w:val="00BA648C"/>
    <w:rsid w:val="00BA65F8"/>
    <w:rsid w:val="00BC07AC"/>
    <w:rsid w:val="00BC18F1"/>
    <w:rsid w:val="00BC21C9"/>
    <w:rsid w:val="00BC3833"/>
    <w:rsid w:val="00BC58D5"/>
    <w:rsid w:val="00BE3049"/>
    <w:rsid w:val="00BE3F90"/>
    <w:rsid w:val="00BE7C5A"/>
    <w:rsid w:val="00BF0AFB"/>
    <w:rsid w:val="00C0687A"/>
    <w:rsid w:val="00C07D76"/>
    <w:rsid w:val="00C10019"/>
    <w:rsid w:val="00C13A3F"/>
    <w:rsid w:val="00C169CB"/>
    <w:rsid w:val="00C222C3"/>
    <w:rsid w:val="00C24E6A"/>
    <w:rsid w:val="00C37A51"/>
    <w:rsid w:val="00C4376C"/>
    <w:rsid w:val="00C54066"/>
    <w:rsid w:val="00C646AD"/>
    <w:rsid w:val="00C65553"/>
    <w:rsid w:val="00C67552"/>
    <w:rsid w:val="00C767CE"/>
    <w:rsid w:val="00C768EC"/>
    <w:rsid w:val="00C80066"/>
    <w:rsid w:val="00C8522D"/>
    <w:rsid w:val="00C932DE"/>
    <w:rsid w:val="00CA0A86"/>
    <w:rsid w:val="00CA0C85"/>
    <w:rsid w:val="00CA52A7"/>
    <w:rsid w:val="00CA5AC4"/>
    <w:rsid w:val="00CB14DF"/>
    <w:rsid w:val="00CC4B58"/>
    <w:rsid w:val="00CD31C8"/>
    <w:rsid w:val="00CE21FD"/>
    <w:rsid w:val="00CE4451"/>
    <w:rsid w:val="00CE476B"/>
    <w:rsid w:val="00CE4C8D"/>
    <w:rsid w:val="00CF0B4C"/>
    <w:rsid w:val="00CF3E2C"/>
    <w:rsid w:val="00D06821"/>
    <w:rsid w:val="00D07BCA"/>
    <w:rsid w:val="00D15C37"/>
    <w:rsid w:val="00D163AD"/>
    <w:rsid w:val="00D163D4"/>
    <w:rsid w:val="00D23D32"/>
    <w:rsid w:val="00D32CEF"/>
    <w:rsid w:val="00D32F04"/>
    <w:rsid w:val="00D35E24"/>
    <w:rsid w:val="00D360A0"/>
    <w:rsid w:val="00D42BFB"/>
    <w:rsid w:val="00D43522"/>
    <w:rsid w:val="00D444FC"/>
    <w:rsid w:val="00D44B6E"/>
    <w:rsid w:val="00D45012"/>
    <w:rsid w:val="00D66BA5"/>
    <w:rsid w:val="00D719B1"/>
    <w:rsid w:val="00D74078"/>
    <w:rsid w:val="00D747DC"/>
    <w:rsid w:val="00D779CB"/>
    <w:rsid w:val="00D824E5"/>
    <w:rsid w:val="00D82AF9"/>
    <w:rsid w:val="00D86398"/>
    <w:rsid w:val="00D91928"/>
    <w:rsid w:val="00DB0EBC"/>
    <w:rsid w:val="00DC320F"/>
    <w:rsid w:val="00DC37E2"/>
    <w:rsid w:val="00DD7ECB"/>
    <w:rsid w:val="00DE1B4E"/>
    <w:rsid w:val="00DE29CD"/>
    <w:rsid w:val="00DF0077"/>
    <w:rsid w:val="00DF067E"/>
    <w:rsid w:val="00DF12AB"/>
    <w:rsid w:val="00DF1F06"/>
    <w:rsid w:val="00DF2718"/>
    <w:rsid w:val="00DF287B"/>
    <w:rsid w:val="00DF34AA"/>
    <w:rsid w:val="00DF3B50"/>
    <w:rsid w:val="00DF4F82"/>
    <w:rsid w:val="00DF5442"/>
    <w:rsid w:val="00DF6259"/>
    <w:rsid w:val="00E0606C"/>
    <w:rsid w:val="00E07A2A"/>
    <w:rsid w:val="00E13949"/>
    <w:rsid w:val="00E13D4D"/>
    <w:rsid w:val="00E22FB6"/>
    <w:rsid w:val="00E24685"/>
    <w:rsid w:val="00E30546"/>
    <w:rsid w:val="00E37574"/>
    <w:rsid w:val="00E37C11"/>
    <w:rsid w:val="00E43C65"/>
    <w:rsid w:val="00E4747F"/>
    <w:rsid w:val="00E51AC4"/>
    <w:rsid w:val="00E54321"/>
    <w:rsid w:val="00E546DC"/>
    <w:rsid w:val="00E5507B"/>
    <w:rsid w:val="00E60C20"/>
    <w:rsid w:val="00E638F3"/>
    <w:rsid w:val="00E63A18"/>
    <w:rsid w:val="00E65BD5"/>
    <w:rsid w:val="00E81575"/>
    <w:rsid w:val="00E82F3E"/>
    <w:rsid w:val="00EA0B04"/>
    <w:rsid w:val="00EA779D"/>
    <w:rsid w:val="00EB298D"/>
    <w:rsid w:val="00EB7237"/>
    <w:rsid w:val="00EB77A3"/>
    <w:rsid w:val="00EC2022"/>
    <w:rsid w:val="00EC2A97"/>
    <w:rsid w:val="00ED7E4D"/>
    <w:rsid w:val="00EE07D8"/>
    <w:rsid w:val="00EE2842"/>
    <w:rsid w:val="00EE52C0"/>
    <w:rsid w:val="00EF090A"/>
    <w:rsid w:val="00F07C61"/>
    <w:rsid w:val="00F14B84"/>
    <w:rsid w:val="00F1558D"/>
    <w:rsid w:val="00F17C6D"/>
    <w:rsid w:val="00F17DF2"/>
    <w:rsid w:val="00F2092F"/>
    <w:rsid w:val="00F27507"/>
    <w:rsid w:val="00F304E3"/>
    <w:rsid w:val="00F34FFB"/>
    <w:rsid w:val="00F350D8"/>
    <w:rsid w:val="00F5249C"/>
    <w:rsid w:val="00F56CCB"/>
    <w:rsid w:val="00F64AE8"/>
    <w:rsid w:val="00F724CD"/>
    <w:rsid w:val="00F7728D"/>
    <w:rsid w:val="00F903EC"/>
    <w:rsid w:val="00F92AF0"/>
    <w:rsid w:val="00F94C80"/>
    <w:rsid w:val="00FB1102"/>
    <w:rsid w:val="00FB144E"/>
    <w:rsid w:val="00FC1973"/>
    <w:rsid w:val="00FC3452"/>
    <w:rsid w:val="00FC3685"/>
    <w:rsid w:val="00FC3701"/>
    <w:rsid w:val="00FD0AE3"/>
    <w:rsid w:val="00FD365D"/>
    <w:rsid w:val="00FE08EF"/>
    <w:rsid w:val="00FE20CD"/>
    <w:rsid w:val="00FE324E"/>
    <w:rsid w:val="00FE71D0"/>
    <w:rsid w:val="00FF1CF4"/>
    <w:rsid w:val="00FF21AD"/>
    <w:rsid w:val="00FF2D07"/>
    <w:rsid w:val="00FF7E42"/>
    <w:rsid w:val="01350503"/>
    <w:rsid w:val="016B5D5F"/>
    <w:rsid w:val="02651C7B"/>
    <w:rsid w:val="02DE573B"/>
    <w:rsid w:val="02F71CD9"/>
    <w:rsid w:val="03A70D7B"/>
    <w:rsid w:val="03D046BB"/>
    <w:rsid w:val="054E4428"/>
    <w:rsid w:val="05697891"/>
    <w:rsid w:val="05CE01C7"/>
    <w:rsid w:val="06896151"/>
    <w:rsid w:val="068C13A5"/>
    <w:rsid w:val="06B25E5A"/>
    <w:rsid w:val="06B50893"/>
    <w:rsid w:val="07CD326B"/>
    <w:rsid w:val="07F33D4C"/>
    <w:rsid w:val="082E5202"/>
    <w:rsid w:val="08656033"/>
    <w:rsid w:val="09187C60"/>
    <w:rsid w:val="0AB87005"/>
    <w:rsid w:val="0DBC6E0C"/>
    <w:rsid w:val="0E6F20D1"/>
    <w:rsid w:val="0EDA4D25"/>
    <w:rsid w:val="0EEC1700"/>
    <w:rsid w:val="0FB707BF"/>
    <w:rsid w:val="0FF05C82"/>
    <w:rsid w:val="102B4527"/>
    <w:rsid w:val="106B768D"/>
    <w:rsid w:val="10CB7366"/>
    <w:rsid w:val="11042816"/>
    <w:rsid w:val="11052DEC"/>
    <w:rsid w:val="116152CD"/>
    <w:rsid w:val="12420C22"/>
    <w:rsid w:val="125C6E10"/>
    <w:rsid w:val="12D76496"/>
    <w:rsid w:val="139E260E"/>
    <w:rsid w:val="13DC2DD3"/>
    <w:rsid w:val="147725D9"/>
    <w:rsid w:val="152A386D"/>
    <w:rsid w:val="156B5FCA"/>
    <w:rsid w:val="15764F10"/>
    <w:rsid w:val="157E0842"/>
    <w:rsid w:val="15A161D6"/>
    <w:rsid w:val="15FA3CD9"/>
    <w:rsid w:val="16D76A65"/>
    <w:rsid w:val="172F649D"/>
    <w:rsid w:val="176A0554"/>
    <w:rsid w:val="176D755C"/>
    <w:rsid w:val="177D6ADB"/>
    <w:rsid w:val="183F48C2"/>
    <w:rsid w:val="18477C1A"/>
    <w:rsid w:val="186C0EB0"/>
    <w:rsid w:val="18910E95"/>
    <w:rsid w:val="18D768FC"/>
    <w:rsid w:val="19481E9C"/>
    <w:rsid w:val="196A5E3B"/>
    <w:rsid w:val="1A974E89"/>
    <w:rsid w:val="1B312ED5"/>
    <w:rsid w:val="1BCD3DCD"/>
    <w:rsid w:val="1C6E1195"/>
    <w:rsid w:val="1CB83DC1"/>
    <w:rsid w:val="1E9538B1"/>
    <w:rsid w:val="1EF54773"/>
    <w:rsid w:val="1FB85390"/>
    <w:rsid w:val="1FBB575A"/>
    <w:rsid w:val="1FD42047"/>
    <w:rsid w:val="21DB0CC6"/>
    <w:rsid w:val="21FA5C5A"/>
    <w:rsid w:val="22356D36"/>
    <w:rsid w:val="23263462"/>
    <w:rsid w:val="235233EA"/>
    <w:rsid w:val="244440D8"/>
    <w:rsid w:val="24AC73D5"/>
    <w:rsid w:val="24AD7057"/>
    <w:rsid w:val="24E848E0"/>
    <w:rsid w:val="25742D1E"/>
    <w:rsid w:val="25F47996"/>
    <w:rsid w:val="279977EF"/>
    <w:rsid w:val="279B58C3"/>
    <w:rsid w:val="27B34099"/>
    <w:rsid w:val="286F6576"/>
    <w:rsid w:val="28934329"/>
    <w:rsid w:val="28E55846"/>
    <w:rsid w:val="296D0D16"/>
    <w:rsid w:val="2A94333C"/>
    <w:rsid w:val="2B40570A"/>
    <w:rsid w:val="2B6173DF"/>
    <w:rsid w:val="2B6301D5"/>
    <w:rsid w:val="2BA0614F"/>
    <w:rsid w:val="2D483DC1"/>
    <w:rsid w:val="2D833283"/>
    <w:rsid w:val="2DA21723"/>
    <w:rsid w:val="2FA8323D"/>
    <w:rsid w:val="2FE266F4"/>
    <w:rsid w:val="300D6488"/>
    <w:rsid w:val="30577275"/>
    <w:rsid w:val="31852D8D"/>
    <w:rsid w:val="31DC26FE"/>
    <w:rsid w:val="31E12CCD"/>
    <w:rsid w:val="322D7933"/>
    <w:rsid w:val="327D450D"/>
    <w:rsid w:val="328D2FE0"/>
    <w:rsid w:val="32AD0A52"/>
    <w:rsid w:val="3377008F"/>
    <w:rsid w:val="343632E4"/>
    <w:rsid w:val="37775E7F"/>
    <w:rsid w:val="385C3941"/>
    <w:rsid w:val="39205BF2"/>
    <w:rsid w:val="39A405D1"/>
    <w:rsid w:val="39FA225E"/>
    <w:rsid w:val="3A750538"/>
    <w:rsid w:val="3A8521B0"/>
    <w:rsid w:val="3AAC5806"/>
    <w:rsid w:val="3AD13648"/>
    <w:rsid w:val="3C6745CD"/>
    <w:rsid w:val="3CBE5407"/>
    <w:rsid w:val="3CD32EB0"/>
    <w:rsid w:val="3D6D0A0C"/>
    <w:rsid w:val="3D9A7BDA"/>
    <w:rsid w:val="3E574B6E"/>
    <w:rsid w:val="40D6784F"/>
    <w:rsid w:val="40EC6B12"/>
    <w:rsid w:val="41370819"/>
    <w:rsid w:val="41A95B48"/>
    <w:rsid w:val="424709B6"/>
    <w:rsid w:val="44A9124B"/>
    <w:rsid w:val="44DC3FD2"/>
    <w:rsid w:val="4550254B"/>
    <w:rsid w:val="45C459D7"/>
    <w:rsid w:val="46A26519"/>
    <w:rsid w:val="480037BE"/>
    <w:rsid w:val="48076954"/>
    <w:rsid w:val="486843B4"/>
    <w:rsid w:val="48945CB4"/>
    <w:rsid w:val="49AE04EF"/>
    <w:rsid w:val="4AEB1772"/>
    <w:rsid w:val="4C087EB5"/>
    <w:rsid w:val="4C3D4B9C"/>
    <w:rsid w:val="4D441599"/>
    <w:rsid w:val="4D9C519D"/>
    <w:rsid w:val="4DFE1BA4"/>
    <w:rsid w:val="4E511282"/>
    <w:rsid w:val="4E631A52"/>
    <w:rsid w:val="4FA0628E"/>
    <w:rsid w:val="504D3F74"/>
    <w:rsid w:val="50712206"/>
    <w:rsid w:val="511F2F07"/>
    <w:rsid w:val="52344A39"/>
    <w:rsid w:val="53000B16"/>
    <w:rsid w:val="53053C64"/>
    <w:rsid w:val="53F84476"/>
    <w:rsid w:val="54345E4D"/>
    <w:rsid w:val="54A230DD"/>
    <w:rsid w:val="55372953"/>
    <w:rsid w:val="562A487D"/>
    <w:rsid w:val="56363CF1"/>
    <w:rsid w:val="56BC43B4"/>
    <w:rsid w:val="56D51DED"/>
    <w:rsid w:val="571B4D54"/>
    <w:rsid w:val="5720296D"/>
    <w:rsid w:val="574424E8"/>
    <w:rsid w:val="57EE008E"/>
    <w:rsid w:val="587F2F50"/>
    <w:rsid w:val="58AE1F5E"/>
    <w:rsid w:val="59B83EF9"/>
    <w:rsid w:val="59C447B9"/>
    <w:rsid w:val="5A2470E9"/>
    <w:rsid w:val="5A4B2D7B"/>
    <w:rsid w:val="5A7204BD"/>
    <w:rsid w:val="5B623E0F"/>
    <w:rsid w:val="5BF84B0A"/>
    <w:rsid w:val="5C585452"/>
    <w:rsid w:val="5D745D8D"/>
    <w:rsid w:val="5E677832"/>
    <w:rsid w:val="5EF6616A"/>
    <w:rsid w:val="5F6D529B"/>
    <w:rsid w:val="602034E5"/>
    <w:rsid w:val="605B20DC"/>
    <w:rsid w:val="60987864"/>
    <w:rsid w:val="60AF5ECE"/>
    <w:rsid w:val="61542A48"/>
    <w:rsid w:val="62B41C0A"/>
    <w:rsid w:val="63197120"/>
    <w:rsid w:val="638C4A0C"/>
    <w:rsid w:val="63C07164"/>
    <w:rsid w:val="64D67929"/>
    <w:rsid w:val="66E32D73"/>
    <w:rsid w:val="671D35ED"/>
    <w:rsid w:val="67BD26DA"/>
    <w:rsid w:val="67E572DB"/>
    <w:rsid w:val="68E764D1"/>
    <w:rsid w:val="6985191D"/>
    <w:rsid w:val="69F126F5"/>
    <w:rsid w:val="6A2C2D9A"/>
    <w:rsid w:val="6B780D80"/>
    <w:rsid w:val="6C0D2F8C"/>
    <w:rsid w:val="6C74510B"/>
    <w:rsid w:val="6CFA1C2F"/>
    <w:rsid w:val="6D601157"/>
    <w:rsid w:val="6D7F214A"/>
    <w:rsid w:val="6D925DDE"/>
    <w:rsid w:val="6DB23FE9"/>
    <w:rsid w:val="6E2C2FAA"/>
    <w:rsid w:val="6E7D31EC"/>
    <w:rsid w:val="6EC304C9"/>
    <w:rsid w:val="6F3837E2"/>
    <w:rsid w:val="6F675D4D"/>
    <w:rsid w:val="705935AA"/>
    <w:rsid w:val="710234E6"/>
    <w:rsid w:val="72052FE6"/>
    <w:rsid w:val="728178DF"/>
    <w:rsid w:val="73EB2487"/>
    <w:rsid w:val="74B71324"/>
    <w:rsid w:val="74F50902"/>
    <w:rsid w:val="773F21A3"/>
    <w:rsid w:val="77410964"/>
    <w:rsid w:val="77660E3F"/>
    <w:rsid w:val="785919B3"/>
    <w:rsid w:val="78AE5AA8"/>
    <w:rsid w:val="78FC013B"/>
    <w:rsid w:val="791B5F03"/>
    <w:rsid w:val="7A7430CC"/>
    <w:rsid w:val="7E6E5D05"/>
    <w:rsid w:val="7EDC62E3"/>
    <w:rsid w:val="7FFC6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8"/>
    <w:qFormat/>
    <w:uiPriority w:val="0"/>
    <w:pPr>
      <w:keepNext/>
      <w:keepLines/>
      <w:spacing w:before="260" w:after="260" w:line="413" w:lineRule="auto"/>
      <w:outlineLvl w:val="2"/>
    </w:pPr>
    <w:rPr>
      <w:rFonts w:ascii="Times New Roman" w:hAnsi="Times New Roman"/>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table of authorities"/>
    <w:basedOn w:val="1"/>
    <w:next w:val="1"/>
    <w:qFormat/>
    <w:uiPriority w:val="0"/>
    <w:pPr>
      <w:ind w:left="420" w:leftChars="200"/>
    </w:pPr>
    <w:rPr>
      <w:rFonts w:ascii="Times New Roman" w:hAnsi="Times New Roman"/>
      <w:sz w:val="28"/>
      <w:szCs w:val="20"/>
    </w:rPr>
  </w:style>
  <w:style w:type="paragraph" w:styleId="13">
    <w:name w:val="Normal Indent"/>
    <w:basedOn w:val="1"/>
    <w:link w:val="71"/>
    <w:qFormat/>
    <w:uiPriority w:val="0"/>
    <w:pPr>
      <w:spacing w:line="400" w:lineRule="exact"/>
      <w:ind w:firstLine="420" w:firstLineChars="200"/>
    </w:pPr>
    <w:rPr>
      <w:rFonts w:ascii="Times New Roman" w:hAnsi="Times New Roman"/>
      <w:kern w:val="0"/>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pPr>
      <w:shd w:val="clear" w:color="auto" w:fill="000080"/>
    </w:pPr>
    <w:rPr>
      <w:rFonts w:ascii="Times New Roman" w:hAnsi="Times New Roman"/>
      <w:sz w:val="28"/>
      <w:szCs w:val="20"/>
    </w:rPr>
  </w:style>
  <w:style w:type="paragraph" w:styleId="16">
    <w:name w:val="annotation text"/>
    <w:basedOn w:val="1"/>
    <w:link w:val="67"/>
    <w:unhideWhenUsed/>
    <w:qFormat/>
    <w:uiPriority w:val="0"/>
    <w:pPr>
      <w:jc w:val="left"/>
    </w:pPr>
    <w:rPr>
      <w:rFonts w:ascii="Times New Roman" w:hAnsi="Times New Roman"/>
      <w:szCs w:val="21"/>
    </w:rPr>
  </w:style>
  <w:style w:type="paragraph" w:styleId="17">
    <w:name w:val="Body Text 3"/>
    <w:basedOn w:val="1"/>
    <w:link w:val="73"/>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rPr>
      <w:rFonts w:ascii="Times New Roman" w:hAnsi="Times New Roman"/>
      <w:szCs w:val="21"/>
    </w:rPr>
  </w:style>
  <w:style w:type="paragraph" w:styleId="19">
    <w:name w:val="Body Text Indent"/>
    <w:basedOn w:val="1"/>
    <w:link w:val="74"/>
    <w:qFormat/>
    <w:uiPriority w:val="0"/>
    <w:pPr>
      <w:ind w:firstLine="480"/>
    </w:pPr>
    <w:rPr>
      <w:rFonts w:ascii="宋体" w:hAnsi="宋体" w:cs="宋体"/>
      <w:szCs w:val="21"/>
    </w:rPr>
  </w:style>
  <w:style w:type="paragraph" w:styleId="20">
    <w:name w:val="Block Text"/>
    <w:basedOn w:val="1"/>
    <w:qFormat/>
    <w:uiPriority w:val="0"/>
    <w:pPr>
      <w:spacing w:after="120"/>
      <w:ind w:left="1440" w:leftChars="700" w:right="1440" w:rightChars="700"/>
    </w:pPr>
    <w:rPr>
      <w:rFonts w:ascii="Times New Roman" w:hAnsi="Times New Roman"/>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unhideWhenUsed/>
    <w:qFormat/>
    <w:uiPriority w:val="39"/>
    <w:pPr>
      <w:ind w:left="1680" w:leftChars="800"/>
    </w:pPr>
    <w:rPr>
      <w:szCs w:val="22"/>
    </w:rPr>
  </w:style>
  <w:style w:type="paragraph" w:styleId="23">
    <w:name w:val="toc 3"/>
    <w:basedOn w:val="1"/>
    <w:next w:val="1"/>
    <w:qFormat/>
    <w:uiPriority w:val="39"/>
    <w:pPr>
      <w:ind w:left="840" w:leftChars="400"/>
    </w:pPr>
    <w:rPr>
      <w:rFonts w:ascii="Times New Roman" w:hAnsi="Times New Roman"/>
      <w:szCs w:val="21"/>
    </w:rPr>
  </w:style>
  <w:style w:type="paragraph" w:styleId="24">
    <w:name w:val="Plain Text"/>
    <w:basedOn w:val="1"/>
    <w:link w:val="75"/>
    <w:qFormat/>
    <w:uiPriority w:val="0"/>
    <w:rPr>
      <w:rFonts w:ascii="宋体" w:hAnsi="Courier New" w:cs="宋体"/>
      <w:kern w:val="0"/>
      <w:sz w:val="20"/>
      <w:szCs w:val="20"/>
    </w:rPr>
  </w:style>
  <w:style w:type="paragraph" w:styleId="25">
    <w:name w:val="toc 8"/>
    <w:basedOn w:val="1"/>
    <w:next w:val="1"/>
    <w:unhideWhenUsed/>
    <w:qFormat/>
    <w:uiPriority w:val="39"/>
    <w:pPr>
      <w:ind w:left="2940" w:leftChars="1400"/>
    </w:pPr>
    <w:rPr>
      <w:szCs w:val="22"/>
    </w:rPr>
  </w:style>
  <w:style w:type="paragraph" w:styleId="26">
    <w:name w:val="Date"/>
    <w:basedOn w:val="1"/>
    <w:next w:val="1"/>
    <w:link w:val="76"/>
    <w:unhideWhenUsed/>
    <w:qFormat/>
    <w:uiPriority w:val="0"/>
    <w:pPr>
      <w:ind w:left="100" w:leftChars="2500"/>
    </w:pPr>
    <w:rPr>
      <w:rFonts w:ascii="Times New Roman" w:hAnsi="Times New Roman"/>
      <w:szCs w:val="21"/>
    </w:rPr>
  </w:style>
  <w:style w:type="paragraph" w:styleId="27">
    <w:name w:val="Body Text Indent 2"/>
    <w:basedOn w:val="1"/>
    <w:link w:val="77"/>
    <w:qFormat/>
    <w:uiPriority w:val="0"/>
    <w:pPr>
      <w:spacing w:after="120" w:line="480" w:lineRule="auto"/>
      <w:ind w:left="420" w:leftChars="200"/>
    </w:pPr>
    <w:rPr>
      <w:rFonts w:ascii="Times New Roman" w:hAnsi="Times New Roman"/>
      <w:szCs w:val="21"/>
    </w:rPr>
  </w:style>
  <w:style w:type="paragraph" w:styleId="28">
    <w:name w:val="Balloon Text"/>
    <w:basedOn w:val="1"/>
    <w:link w:val="78"/>
    <w:qFormat/>
    <w:uiPriority w:val="0"/>
    <w:rPr>
      <w:rFonts w:ascii="Times New Roman" w:hAnsi="Times New Roman"/>
      <w:sz w:val="18"/>
      <w:szCs w:val="18"/>
    </w:rPr>
  </w:style>
  <w:style w:type="paragraph" w:styleId="29">
    <w:name w:val="footer"/>
    <w:basedOn w:val="1"/>
    <w:link w:val="66"/>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2">
    <w:name w:val="toc 4"/>
    <w:basedOn w:val="1"/>
    <w:next w:val="1"/>
    <w:unhideWhenUsed/>
    <w:qFormat/>
    <w:uiPriority w:val="39"/>
    <w:pPr>
      <w:ind w:left="1260" w:leftChars="600"/>
    </w:pPr>
    <w:rPr>
      <w:szCs w:val="22"/>
    </w:rPr>
  </w:style>
  <w:style w:type="paragraph" w:styleId="33">
    <w:name w:val="index heading"/>
    <w:basedOn w:val="1"/>
    <w:next w:val="34"/>
    <w:qFormat/>
    <w:uiPriority w:val="0"/>
    <w:rPr>
      <w:rFonts w:ascii="Times New Roman" w:hAnsi="Times New Roman"/>
      <w:sz w:val="28"/>
      <w:szCs w:val="20"/>
    </w:rPr>
  </w:style>
  <w:style w:type="paragraph" w:styleId="34">
    <w:name w:val="index 1"/>
    <w:basedOn w:val="1"/>
    <w:next w:val="1"/>
    <w:unhideWhenUsed/>
    <w:qFormat/>
    <w:uiPriority w:val="0"/>
    <w:rPr>
      <w:rFonts w:ascii="Times New Roman" w:hAnsi="Times New Roman"/>
      <w:szCs w:val="21"/>
    </w:rPr>
  </w:style>
  <w:style w:type="paragraph" w:styleId="35">
    <w:name w:val="Subtitle"/>
    <w:basedOn w:val="1"/>
    <w:next w:val="1"/>
    <w:link w:val="19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7">
    <w:name w:val="toc 6"/>
    <w:basedOn w:val="1"/>
    <w:next w:val="1"/>
    <w:unhideWhenUsed/>
    <w:qFormat/>
    <w:uiPriority w:val="39"/>
    <w:pPr>
      <w:ind w:left="2100" w:leftChars="1000"/>
    </w:pPr>
    <w:rPr>
      <w:szCs w:val="22"/>
    </w:rPr>
  </w:style>
  <w:style w:type="paragraph" w:styleId="38">
    <w:name w:val="Body Text Indent 3"/>
    <w:basedOn w:val="1"/>
    <w:link w:val="79"/>
    <w:qFormat/>
    <w:uiPriority w:val="0"/>
    <w:pPr>
      <w:spacing w:after="120"/>
      <w:ind w:left="420" w:leftChars="200"/>
    </w:pPr>
    <w:rPr>
      <w:rFonts w:ascii="Times New Roman" w:hAnsi="Times New Roman"/>
      <w:sz w:val="16"/>
      <w:szCs w:val="16"/>
    </w:rPr>
  </w:style>
  <w:style w:type="paragraph" w:styleId="39">
    <w:name w:val="toc 2"/>
    <w:basedOn w:val="1"/>
    <w:next w:val="1"/>
    <w:qFormat/>
    <w:uiPriority w:val="39"/>
    <w:pPr>
      <w:ind w:left="420" w:leftChars="200"/>
    </w:pPr>
    <w:rPr>
      <w:rFonts w:ascii="Times New Roman" w:hAnsi="Times New Roman"/>
      <w:szCs w:val="21"/>
    </w:rPr>
  </w:style>
  <w:style w:type="paragraph" w:styleId="40">
    <w:name w:val="toc 9"/>
    <w:basedOn w:val="1"/>
    <w:next w:val="1"/>
    <w:unhideWhenUsed/>
    <w:qFormat/>
    <w:uiPriority w:val="39"/>
    <w:pPr>
      <w:ind w:left="3360" w:leftChars="1600"/>
    </w:pPr>
    <w:rPr>
      <w:szCs w:val="22"/>
    </w:rPr>
  </w:style>
  <w:style w:type="paragraph" w:styleId="41">
    <w:name w:val="Body Text 2"/>
    <w:basedOn w:val="1"/>
    <w:link w:val="80"/>
    <w:qFormat/>
    <w:uiPriority w:val="0"/>
    <w:pPr>
      <w:jc w:val="center"/>
    </w:pPr>
    <w:rPr>
      <w:rFonts w:ascii="Times New Roman" w:hAnsi="Times New Roman" w:eastAsia="黑体"/>
      <w:bCs/>
      <w:sz w:val="72"/>
    </w:rPr>
  </w:style>
  <w:style w:type="paragraph" w:styleId="42">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2"/>
    <w:qFormat/>
    <w:uiPriority w:val="0"/>
    <w:pPr>
      <w:spacing w:before="240" w:after="60"/>
      <w:jc w:val="center"/>
      <w:outlineLvl w:val="0"/>
    </w:pPr>
    <w:rPr>
      <w:rFonts w:ascii="Cambria" w:hAnsi="Cambria" w:cs="Cambria"/>
      <w:b/>
      <w:bCs/>
      <w:sz w:val="36"/>
      <w:szCs w:val="36"/>
    </w:rPr>
  </w:style>
  <w:style w:type="paragraph" w:styleId="45">
    <w:name w:val="annotation subject"/>
    <w:basedOn w:val="16"/>
    <w:next w:val="16"/>
    <w:link w:val="68"/>
    <w:qFormat/>
    <w:uiPriority w:val="0"/>
    <w:rPr>
      <w:b/>
      <w:bCs/>
    </w:rPr>
  </w:style>
  <w:style w:type="paragraph" w:styleId="46">
    <w:name w:val="Body Text First Indent"/>
    <w:basedOn w:val="18"/>
    <w:link w:val="70"/>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bCs/>
    </w:rPr>
  </w:style>
  <w:style w:type="character" w:styleId="51">
    <w:name w:val="page number"/>
    <w:qFormat/>
    <w:uiPriority w:val="0"/>
    <w:rPr>
      <w:rFonts w:cs="Times New Roman"/>
    </w:rPr>
  </w:style>
  <w:style w:type="character" w:styleId="52">
    <w:name w:val="FollowedHyperlink"/>
    <w:qFormat/>
    <w:uiPriority w:val="0"/>
    <w:rPr>
      <w:rFonts w:cs="Times New Roman"/>
      <w:color w:val="3250A0"/>
      <w:u w:val="none"/>
    </w:rPr>
  </w:style>
  <w:style w:type="character" w:styleId="53">
    <w:name w:val="Emphasis"/>
    <w:qFormat/>
    <w:uiPriority w:val="0"/>
    <w:rPr>
      <w:rFonts w:cs="Times New Roman"/>
      <w:i/>
      <w:iCs/>
    </w:rPr>
  </w:style>
  <w:style w:type="character" w:styleId="54">
    <w:name w:val="Hyperlink"/>
    <w:unhideWhenUsed/>
    <w:qFormat/>
    <w:uiPriority w:val="99"/>
    <w:rPr>
      <w:color w:val="333333"/>
      <w:u w:val="none"/>
    </w:rPr>
  </w:style>
  <w:style w:type="character" w:styleId="55">
    <w:name w:val="annotation reference"/>
    <w:qFormat/>
    <w:uiPriority w:val="0"/>
    <w:rPr>
      <w:rFonts w:cs="Times New Roman"/>
      <w:sz w:val="21"/>
      <w:szCs w:val="21"/>
    </w:rPr>
  </w:style>
  <w:style w:type="character" w:customStyle="1" w:styleId="56">
    <w:name w:val="标题 1 Char"/>
    <w:basedOn w:val="49"/>
    <w:link w:val="2"/>
    <w:qFormat/>
    <w:uiPriority w:val="0"/>
    <w:rPr>
      <w:rFonts w:ascii="Times New Roman" w:hAnsi="Times New Roman"/>
      <w:b/>
      <w:bCs/>
      <w:kern w:val="44"/>
      <w:sz w:val="44"/>
      <w:szCs w:val="44"/>
    </w:rPr>
  </w:style>
  <w:style w:type="character" w:customStyle="1" w:styleId="57">
    <w:name w:val="标题 2 Char"/>
    <w:basedOn w:val="49"/>
    <w:link w:val="3"/>
    <w:qFormat/>
    <w:uiPriority w:val="0"/>
    <w:rPr>
      <w:rFonts w:ascii="Arial" w:hAnsi="Arial" w:eastAsia="黑体" w:cs="Arial"/>
      <w:b/>
      <w:bCs/>
      <w:sz w:val="32"/>
      <w:szCs w:val="32"/>
    </w:rPr>
  </w:style>
  <w:style w:type="character" w:customStyle="1" w:styleId="58">
    <w:name w:val="标题 3 Char"/>
    <w:basedOn w:val="49"/>
    <w:link w:val="4"/>
    <w:qFormat/>
    <w:uiPriority w:val="0"/>
    <w:rPr>
      <w:rFonts w:ascii="Times New Roman" w:hAnsi="Times New Roman"/>
      <w:b/>
      <w:bCs/>
      <w:sz w:val="32"/>
      <w:szCs w:val="32"/>
    </w:rPr>
  </w:style>
  <w:style w:type="character" w:customStyle="1" w:styleId="59">
    <w:name w:val="标题 4 Char"/>
    <w:basedOn w:val="49"/>
    <w:link w:val="5"/>
    <w:qFormat/>
    <w:uiPriority w:val="0"/>
    <w:rPr>
      <w:rFonts w:ascii="Cambria" w:hAnsi="Cambria"/>
      <w:b/>
      <w:bCs/>
      <w:kern w:val="2"/>
      <w:sz w:val="28"/>
      <w:szCs w:val="28"/>
    </w:rPr>
  </w:style>
  <w:style w:type="character" w:customStyle="1" w:styleId="60">
    <w:name w:val="标题 5 Char"/>
    <w:basedOn w:val="49"/>
    <w:link w:val="6"/>
    <w:qFormat/>
    <w:uiPriority w:val="0"/>
    <w:rPr>
      <w:rFonts w:ascii="Times New Roman" w:hAnsi="Times New Roman"/>
      <w:b/>
      <w:bCs/>
      <w:kern w:val="2"/>
      <w:sz w:val="28"/>
      <w:szCs w:val="28"/>
    </w:rPr>
  </w:style>
  <w:style w:type="character" w:customStyle="1" w:styleId="61">
    <w:name w:val="标题 6 Char"/>
    <w:basedOn w:val="49"/>
    <w:link w:val="7"/>
    <w:qFormat/>
    <w:uiPriority w:val="0"/>
    <w:rPr>
      <w:rFonts w:ascii="Cambria" w:hAnsi="Cambria"/>
      <w:b/>
      <w:bCs/>
      <w:kern w:val="2"/>
      <w:sz w:val="24"/>
      <w:szCs w:val="24"/>
    </w:rPr>
  </w:style>
  <w:style w:type="character" w:customStyle="1" w:styleId="62">
    <w:name w:val="标题 7 Char"/>
    <w:basedOn w:val="49"/>
    <w:link w:val="8"/>
    <w:qFormat/>
    <w:uiPriority w:val="0"/>
    <w:rPr>
      <w:rFonts w:ascii="Times New Roman" w:hAnsi="Times New Roman"/>
      <w:b/>
      <w:sz w:val="24"/>
    </w:rPr>
  </w:style>
  <w:style w:type="character" w:customStyle="1" w:styleId="63">
    <w:name w:val="标题 8 Char"/>
    <w:basedOn w:val="49"/>
    <w:link w:val="9"/>
    <w:qFormat/>
    <w:uiPriority w:val="0"/>
    <w:rPr>
      <w:rFonts w:ascii="Arial" w:hAnsi="Arial" w:eastAsia="黑体"/>
      <w:sz w:val="24"/>
    </w:rPr>
  </w:style>
  <w:style w:type="character" w:customStyle="1" w:styleId="64">
    <w:name w:val="标题 9 Char"/>
    <w:basedOn w:val="49"/>
    <w:link w:val="10"/>
    <w:qFormat/>
    <w:uiPriority w:val="0"/>
    <w:rPr>
      <w:rFonts w:ascii="Arial" w:hAnsi="Arial" w:eastAsia="黑体"/>
      <w:sz w:val="21"/>
    </w:rPr>
  </w:style>
  <w:style w:type="character" w:customStyle="1" w:styleId="65">
    <w:name w:val="页眉 Char"/>
    <w:basedOn w:val="49"/>
    <w:link w:val="30"/>
    <w:qFormat/>
    <w:uiPriority w:val="99"/>
    <w:rPr>
      <w:kern w:val="2"/>
      <w:sz w:val="18"/>
      <w:szCs w:val="18"/>
    </w:rPr>
  </w:style>
  <w:style w:type="character" w:customStyle="1" w:styleId="66">
    <w:name w:val="页脚 Char"/>
    <w:basedOn w:val="49"/>
    <w:link w:val="29"/>
    <w:qFormat/>
    <w:uiPriority w:val="99"/>
    <w:rPr>
      <w:kern w:val="2"/>
      <w:sz w:val="18"/>
      <w:szCs w:val="18"/>
    </w:rPr>
  </w:style>
  <w:style w:type="character" w:customStyle="1" w:styleId="67">
    <w:name w:val="批注文字 Char"/>
    <w:basedOn w:val="49"/>
    <w:link w:val="16"/>
    <w:qFormat/>
    <w:uiPriority w:val="0"/>
    <w:rPr>
      <w:rFonts w:ascii="Times New Roman" w:hAnsi="Times New Roman"/>
      <w:kern w:val="2"/>
      <w:sz w:val="21"/>
      <w:szCs w:val="21"/>
    </w:rPr>
  </w:style>
  <w:style w:type="character" w:customStyle="1" w:styleId="68">
    <w:name w:val="批注主题 Char"/>
    <w:basedOn w:val="67"/>
    <w:link w:val="45"/>
    <w:qFormat/>
    <w:uiPriority w:val="0"/>
    <w:rPr>
      <w:b/>
      <w:bCs/>
    </w:rPr>
  </w:style>
  <w:style w:type="character" w:customStyle="1" w:styleId="69">
    <w:name w:val="正文文本 Char"/>
    <w:basedOn w:val="49"/>
    <w:link w:val="18"/>
    <w:qFormat/>
    <w:uiPriority w:val="0"/>
    <w:rPr>
      <w:rFonts w:ascii="Times New Roman" w:hAnsi="Times New Roman"/>
      <w:kern w:val="2"/>
      <w:sz w:val="21"/>
      <w:szCs w:val="21"/>
    </w:rPr>
  </w:style>
  <w:style w:type="character" w:customStyle="1" w:styleId="70">
    <w:name w:val="正文首行缩进 Char"/>
    <w:basedOn w:val="69"/>
    <w:link w:val="46"/>
    <w:qFormat/>
    <w:uiPriority w:val="99"/>
  </w:style>
  <w:style w:type="character" w:customStyle="1" w:styleId="71">
    <w:name w:val="正文缩进 Char"/>
    <w:link w:val="13"/>
    <w:qFormat/>
    <w:locked/>
    <w:uiPriority w:val="0"/>
    <w:rPr>
      <w:rFonts w:ascii="Times New Roman" w:hAnsi="Times New Roman"/>
      <w:sz w:val="24"/>
      <w:szCs w:val="24"/>
    </w:rPr>
  </w:style>
  <w:style w:type="character" w:customStyle="1" w:styleId="72">
    <w:name w:val="文档结构图 Char"/>
    <w:basedOn w:val="49"/>
    <w:link w:val="15"/>
    <w:qFormat/>
    <w:uiPriority w:val="0"/>
    <w:rPr>
      <w:rFonts w:ascii="Times New Roman" w:hAnsi="Times New Roman"/>
      <w:kern w:val="2"/>
      <w:sz w:val="28"/>
      <w:shd w:val="clear" w:color="auto" w:fill="000080"/>
    </w:rPr>
  </w:style>
  <w:style w:type="character" w:customStyle="1" w:styleId="73">
    <w:name w:val="正文文本 3 Char"/>
    <w:basedOn w:val="49"/>
    <w:link w:val="17"/>
    <w:qFormat/>
    <w:uiPriority w:val="0"/>
    <w:rPr>
      <w:rFonts w:ascii="Times New Roman" w:hAnsi="Times New Roman"/>
      <w:kern w:val="2"/>
      <w:sz w:val="16"/>
      <w:szCs w:val="16"/>
    </w:rPr>
  </w:style>
  <w:style w:type="character" w:customStyle="1" w:styleId="74">
    <w:name w:val="正文文本缩进 Char"/>
    <w:basedOn w:val="49"/>
    <w:link w:val="19"/>
    <w:qFormat/>
    <w:uiPriority w:val="0"/>
    <w:rPr>
      <w:rFonts w:ascii="宋体" w:hAnsi="宋体" w:cs="宋体"/>
      <w:kern w:val="2"/>
      <w:sz w:val="21"/>
      <w:szCs w:val="21"/>
    </w:rPr>
  </w:style>
  <w:style w:type="character" w:customStyle="1" w:styleId="75">
    <w:name w:val="纯文本 Char"/>
    <w:basedOn w:val="49"/>
    <w:link w:val="24"/>
    <w:qFormat/>
    <w:uiPriority w:val="0"/>
    <w:rPr>
      <w:rFonts w:ascii="宋体" w:hAnsi="Courier New" w:cs="宋体"/>
    </w:rPr>
  </w:style>
  <w:style w:type="character" w:customStyle="1" w:styleId="76">
    <w:name w:val="日期 Char"/>
    <w:basedOn w:val="49"/>
    <w:link w:val="26"/>
    <w:qFormat/>
    <w:uiPriority w:val="0"/>
    <w:rPr>
      <w:rFonts w:ascii="Times New Roman" w:hAnsi="Times New Roman"/>
      <w:kern w:val="2"/>
      <w:sz w:val="21"/>
      <w:szCs w:val="21"/>
    </w:rPr>
  </w:style>
  <w:style w:type="character" w:customStyle="1" w:styleId="77">
    <w:name w:val="正文文本缩进 2 Char"/>
    <w:basedOn w:val="49"/>
    <w:link w:val="27"/>
    <w:qFormat/>
    <w:uiPriority w:val="0"/>
    <w:rPr>
      <w:rFonts w:ascii="Times New Roman" w:hAnsi="Times New Roman"/>
      <w:kern w:val="2"/>
      <w:sz w:val="21"/>
      <w:szCs w:val="21"/>
    </w:rPr>
  </w:style>
  <w:style w:type="character" w:customStyle="1" w:styleId="78">
    <w:name w:val="批注框文本 Char"/>
    <w:basedOn w:val="49"/>
    <w:link w:val="28"/>
    <w:qFormat/>
    <w:uiPriority w:val="0"/>
    <w:rPr>
      <w:rFonts w:ascii="Times New Roman" w:hAnsi="Times New Roman"/>
      <w:kern w:val="2"/>
      <w:sz w:val="18"/>
      <w:szCs w:val="18"/>
    </w:rPr>
  </w:style>
  <w:style w:type="character" w:customStyle="1" w:styleId="79">
    <w:name w:val="正文文本缩进 3 Char"/>
    <w:basedOn w:val="49"/>
    <w:link w:val="38"/>
    <w:qFormat/>
    <w:uiPriority w:val="0"/>
    <w:rPr>
      <w:rFonts w:ascii="Times New Roman" w:hAnsi="Times New Roman"/>
      <w:kern w:val="2"/>
      <w:sz w:val="16"/>
      <w:szCs w:val="16"/>
    </w:rPr>
  </w:style>
  <w:style w:type="character" w:customStyle="1" w:styleId="80">
    <w:name w:val="正文文本 2 Char"/>
    <w:basedOn w:val="49"/>
    <w:link w:val="41"/>
    <w:qFormat/>
    <w:uiPriority w:val="0"/>
    <w:rPr>
      <w:rFonts w:ascii="Times New Roman" w:hAnsi="Times New Roman" w:eastAsia="黑体"/>
      <w:bCs/>
      <w:kern w:val="2"/>
      <w:sz w:val="72"/>
      <w:szCs w:val="24"/>
    </w:rPr>
  </w:style>
  <w:style w:type="character" w:customStyle="1" w:styleId="81">
    <w:name w:val="HTML 预设格式 Char"/>
    <w:basedOn w:val="49"/>
    <w:link w:val="42"/>
    <w:qFormat/>
    <w:uiPriority w:val="0"/>
    <w:rPr>
      <w:rFonts w:ascii="Arial" w:hAnsi="Arial" w:cs="Arial"/>
      <w:sz w:val="11"/>
      <w:szCs w:val="11"/>
    </w:rPr>
  </w:style>
  <w:style w:type="character" w:customStyle="1" w:styleId="82">
    <w:name w:val="标题 Char"/>
    <w:basedOn w:val="49"/>
    <w:link w:val="44"/>
    <w:qFormat/>
    <w:uiPriority w:val="0"/>
    <w:rPr>
      <w:rFonts w:ascii="Cambria" w:hAnsi="Cambria" w:cs="Cambria"/>
      <w:b/>
      <w:bCs/>
      <w:kern w:val="2"/>
      <w:sz w:val="36"/>
      <w:szCs w:val="36"/>
    </w:rPr>
  </w:style>
  <w:style w:type="character" w:customStyle="1" w:styleId="83">
    <w:name w:val="font11"/>
    <w:qFormat/>
    <w:uiPriority w:val="99"/>
    <w:rPr>
      <w:rFonts w:ascii="宋体" w:hAnsi="宋体" w:eastAsia="宋体"/>
      <w:color w:val="000000"/>
      <w:sz w:val="24"/>
      <w:u w:val="none"/>
      <w:vertAlign w:val="subscript"/>
    </w:rPr>
  </w:style>
  <w:style w:type="character" w:customStyle="1" w:styleId="84">
    <w:name w:val="font01"/>
    <w:qFormat/>
    <w:uiPriority w:val="99"/>
    <w:rPr>
      <w:rFonts w:ascii="宋体" w:hAnsi="宋体" w:eastAsia="宋体"/>
      <w:color w:val="FF0000"/>
      <w:sz w:val="18"/>
      <w:u w:val="none"/>
    </w:rPr>
  </w:style>
  <w:style w:type="character" w:customStyle="1" w:styleId="85">
    <w:name w:val="纯文本 Char3"/>
    <w:qFormat/>
    <w:uiPriority w:val="99"/>
    <w:rPr>
      <w:rFonts w:ascii="宋体" w:hAnsi="Courier New"/>
      <w:kern w:val="2"/>
      <w:sz w:val="24"/>
    </w:rPr>
  </w:style>
  <w:style w:type="character" w:customStyle="1" w:styleId="86">
    <w:name w:val="font21"/>
    <w:qFormat/>
    <w:uiPriority w:val="99"/>
    <w:rPr>
      <w:rFonts w:ascii="宋体" w:hAnsi="宋体" w:eastAsia="宋体"/>
      <w:color w:val="000000"/>
      <w:sz w:val="18"/>
      <w:u w:val="none"/>
    </w:rPr>
  </w:style>
  <w:style w:type="character" w:customStyle="1" w:styleId="87">
    <w:name w:val="Char Char29"/>
    <w:qFormat/>
    <w:uiPriority w:val="99"/>
    <w:rPr>
      <w:rFonts w:ascii="宋体"/>
      <w:b/>
      <w:kern w:val="2"/>
      <w:sz w:val="24"/>
      <w:lang w:val="en-US" w:eastAsia="zh-CN"/>
    </w:rPr>
  </w:style>
  <w:style w:type="character" w:customStyle="1" w:styleId="88">
    <w:name w:val="font41"/>
    <w:qFormat/>
    <w:uiPriority w:val="99"/>
    <w:rPr>
      <w:rFonts w:ascii="Tahoma" w:hAnsi="Tahoma"/>
      <w:color w:val="000000"/>
      <w:sz w:val="18"/>
      <w:u w:val="none"/>
    </w:rPr>
  </w:style>
  <w:style w:type="character" w:customStyle="1" w:styleId="89">
    <w:name w:val="param-name"/>
    <w:qFormat/>
    <w:uiPriority w:val="99"/>
  </w:style>
  <w:style w:type="character" w:customStyle="1" w:styleId="90">
    <w:name w:val="apple-converted-space"/>
    <w:qFormat/>
    <w:uiPriority w:val="99"/>
    <w:rPr>
      <w:rFonts w:cs="Times New Roman"/>
    </w:rPr>
  </w:style>
  <w:style w:type="paragraph" w:customStyle="1" w:styleId="91">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2">
    <w:name w:val="默认段落字体 Para Char Char Char Char"/>
    <w:basedOn w:val="1"/>
    <w:qFormat/>
    <w:uiPriority w:val="99"/>
    <w:rPr>
      <w:rFonts w:ascii="Times New Roman" w:hAnsi="Times New Roman"/>
      <w:szCs w:val="21"/>
    </w:rPr>
  </w:style>
  <w:style w:type="paragraph" w:customStyle="1" w:styleId="93">
    <w:name w:val="Char"/>
    <w:basedOn w:val="1"/>
    <w:qFormat/>
    <w:uiPriority w:val="0"/>
    <w:pPr>
      <w:jc w:val="left"/>
    </w:pPr>
    <w:rPr>
      <w:rFonts w:ascii="Tahoma" w:hAnsi="Tahoma" w:cs="Tahoma"/>
      <w:sz w:val="24"/>
    </w:rPr>
  </w:style>
  <w:style w:type="paragraph" w:customStyle="1" w:styleId="94">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9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正文1"/>
    <w:basedOn w:val="1"/>
    <w:qFormat/>
    <w:uiPriority w:val="99"/>
    <w:pPr>
      <w:spacing w:line="400" w:lineRule="atLeast"/>
      <w:ind w:firstLine="420" w:firstLineChars="200"/>
    </w:pPr>
    <w:rPr>
      <w:rFonts w:ascii="宋体" w:hAnsi="宋体" w:cs="宋体"/>
      <w:szCs w:val="21"/>
    </w:rPr>
  </w:style>
  <w:style w:type="paragraph" w:customStyle="1" w:styleId="98">
    <w:name w:val="列出段落2"/>
    <w:qFormat/>
    <w:uiPriority w:val="99"/>
    <w:pPr>
      <w:ind w:left="720"/>
    </w:pPr>
    <w:rPr>
      <w:rFonts w:ascii="Times New Roman" w:hAnsi="Times New Roman" w:eastAsia="宋体" w:cs="Times New Roman"/>
      <w:lang w:val="en-US" w:eastAsia="zh-CN" w:bidi="ar-SA"/>
    </w:rPr>
  </w:style>
  <w:style w:type="paragraph" w:customStyle="1" w:styleId="99">
    <w:name w:val="Char Char Char Char Char Char Char Char Char Char Char Char Char Char"/>
    <w:basedOn w:val="1"/>
    <w:qFormat/>
    <w:uiPriority w:val="99"/>
    <w:rPr>
      <w:rFonts w:ascii="Tahoma" w:hAnsi="Tahoma" w:cs="Tahoma"/>
      <w:sz w:val="24"/>
    </w:rPr>
  </w:style>
  <w:style w:type="paragraph" w:customStyle="1" w:styleId="100">
    <w:name w:val="List Paragraph1"/>
    <w:basedOn w:val="1"/>
    <w:qFormat/>
    <w:uiPriority w:val="99"/>
    <w:pPr>
      <w:ind w:firstLine="420" w:firstLineChars="200"/>
    </w:pPr>
    <w:rPr>
      <w:rFonts w:ascii="Times New Roman" w:hAnsi="Times New Roman"/>
      <w:szCs w:val="21"/>
    </w:rPr>
  </w:style>
  <w:style w:type="paragraph" w:customStyle="1" w:styleId="101">
    <w:name w:val="p0"/>
    <w:qFormat/>
    <w:uiPriority w:val="99"/>
    <w:rPr>
      <w:rFonts w:ascii="Times New Roman" w:hAnsi="Times New Roman" w:eastAsia="宋体" w:cs="Times New Roman"/>
      <w:lang w:val="en-US" w:eastAsia="zh-CN" w:bidi="ar-SA"/>
    </w:rPr>
  </w:style>
  <w:style w:type="paragraph" w:customStyle="1" w:styleId="102">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3">
    <w:name w:val="hot"/>
    <w:qFormat/>
    <w:uiPriority w:val="99"/>
    <w:rPr>
      <w:rFonts w:cs="Times New Roman"/>
    </w:rPr>
  </w:style>
  <w:style w:type="character" w:customStyle="1" w:styleId="104">
    <w:name w:val="bds_more"/>
    <w:qFormat/>
    <w:uiPriority w:val="99"/>
    <w:rPr>
      <w:rFonts w:ascii="arial ! important" w:hAnsi="arial ! important" w:cs="arial ! important"/>
    </w:rPr>
  </w:style>
  <w:style w:type="character" w:customStyle="1" w:styleId="105">
    <w:name w:val="online2"/>
    <w:qFormat/>
    <w:uiPriority w:val="99"/>
    <w:rPr>
      <w:rFonts w:cs="Times New Roman"/>
      <w:b/>
      <w:bCs/>
      <w:sz w:val="21"/>
      <w:szCs w:val="21"/>
    </w:rPr>
  </w:style>
  <w:style w:type="character" w:customStyle="1" w:styleId="106">
    <w:name w:val="current6"/>
    <w:qFormat/>
    <w:uiPriority w:val="99"/>
    <w:rPr>
      <w:rFonts w:cs="Times New Roman"/>
      <w:color w:val="FFFFFF"/>
      <w:u w:val="none"/>
    </w:rPr>
  </w:style>
  <w:style w:type="character" w:customStyle="1" w:styleId="107">
    <w:name w:val="times4"/>
    <w:qFormat/>
    <w:uiPriority w:val="99"/>
    <w:rPr>
      <w:rFonts w:cs="Times New Roman"/>
      <w:color w:val="auto"/>
      <w:sz w:val="18"/>
      <w:szCs w:val="18"/>
    </w:rPr>
  </w:style>
  <w:style w:type="character" w:customStyle="1" w:styleId="108">
    <w:name w:val="times"/>
    <w:qFormat/>
    <w:uiPriority w:val="99"/>
    <w:rPr>
      <w:rFonts w:cs="Times New Roman"/>
      <w:color w:val="auto"/>
      <w:sz w:val="18"/>
      <w:szCs w:val="18"/>
    </w:rPr>
  </w:style>
  <w:style w:type="character" w:customStyle="1" w:styleId="109">
    <w:name w:val="bds_more4"/>
    <w:qFormat/>
    <w:uiPriority w:val="99"/>
    <w:rPr>
      <w:rFonts w:ascii="arial ! important" w:hAnsi="arial ! important" w:cs="arial ! important"/>
    </w:rPr>
  </w:style>
  <w:style w:type="character" w:customStyle="1" w:styleId="110">
    <w:name w:val="i2"/>
    <w:qFormat/>
    <w:uiPriority w:val="99"/>
    <w:rPr>
      <w:rFonts w:cs="Times New Roman"/>
    </w:rPr>
  </w:style>
  <w:style w:type="character" w:customStyle="1" w:styleId="111">
    <w:name w:val="i3"/>
    <w:qFormat/>
    <w:uiPriority w:val="99"/>
    <w:rPr>
      <w:rFonts w:cs="Times New Roman"/>
    </w:rPr>
  </w:style>
  <w:style w:type="character" w:customStyle="1" w:styleId="112">
    <w:name w:val="i4"/>
    <w:qFormat/>
    <w:uiPriority w:val="99"/>
    <w:rPr>
      <w:rFonts w:cs="Times New Roman"/>
    </w:rPr>
  </w:style>
  <w:style w:type="character" w:customStyle="1" w:styleId="113">
    <w:name w:val="i5"/>
    <w:qFormat/>
    <w:uiPriority w:val="99"/>
    <w:rPr>
      <w:rFonts w:cs="Times New Roman"/>
    </w:rPr>
  </w:style>
  <w:style w:type="character" w:customStyle="1" w:styleId="114">
    <w:name w:val="i12"/>
    <w:qFormat/>
    <w:uiPriority w:val="99"/>
    <w:rPr>
      <w:rFonts w:cs="Times New Roman"/>
    </w:rPr>
  </w:style>
  <w:style w:type="character" w:customStyle="1" w:styleId="115">
    <w:name w:val="bds_more1"/>
    <w:qFormat/>
    <w:uiPriority w:val="99"/>
    <w:rPr>
      <w:rFonts w:ascii="宋体" w:hAnsi="宋体" w:eastAsia="宋体" w:cs="宋体"/>
    </w:rPr>
  </w:style>
  <w:style w:type="character" w:customStyle="1" w:styleId="116">
    <w:name w:val="bds_more2"/>
    <w:qFormat/>
    <w:uiPriority w:val="99"/>
    <w:rPr>
      <w:rFonts w:cs="Times New Roman"/>
    </w:rPr>
  </w:style>
  <w:style w:type="character" w:customStyle="1" w:styleId="117">
    <w:name w:val="bds_nopic"/>
    <w:qFormat/>
    <w:uiPriority w:val="99"/>
    <w:rPr>
      <w:rFonts w:cs="Times New Roman"/>
    </w:rPr>
  </w:style>
  <w:style w:type="character" w:customStyle="1" w:styleId="118">
    <w:name w:val="bds_nopic1"/>
    <w:qFormat/>
    <w:uiPriority w:val="99"/>
    <w:rPr>
      <w:rFonts w:cs="Times New Roman"/>
    </w:rPr>
  </w:style>
  <w:style w:type="character" w:customStyle="1" w:styleId="119">
    <w:name w:val="bds_nopic2"/>
    <w:qFormat/>
    <w:uiPriority w:val="99"/>
    <w:rPr>
      <w:rFonts w:cs="Times New Roman"/>
    </w:rPr>
  </w:style>
  <w:style w:type="character" w:customStyle="1" w:styleId="120">
    <w:name w:val="cai"/>
    <w:qFormat/>
    <w:uiPriority w:val="99"/>
    <w:rPr>
      <w:rFonts w:cs="Times New Roman"/>
    </w:rPr>
  </w:style>
  <w:style w:type="character" w:customStyle="1" w:styleId="121">
    <w:name w:val="zxpp"/>
    <w:qFormat/>
    <w:uiPriority w:val="99"/>
    <w:rPr>
      <w:rFonts w:ascii="微软雅黑" w:hAnsi="微软雅黑" w:eastAsia="微软雅黑" w:cs="微软雅黑"/>
      <w:b/>
      <w:bCs/>
      <w:color w:val="auto"/>
      <w:sz w:val="24"/>
      <w:szCs w:val="24"/>
    </w:rPr>
  </w:style>
  <w:style w:type="character" w:customStyle="1" w:styleId="122">
    <w:name w:val="ding"/>
    <w:qFormat/>
    <w:uiPriority w:val="99"/>
    <w:rPr>
      <w:rFonts w:cs="Times New Roman"/>
    </w:rPr>
  </w:style>
  <w:style w:type="character" w:customStyle="1" w:styleId="123">
    <w:name w:val="zxot"/>
    <w:qFormat/>
    <w:uiPriority w:val="99"/>
    <w:rPr>
      <w:rFonts w:cs="Times New Roman"/>
    </w:rPr>
  </w:style>
  <w:style w:type="paragraph" w:customStyle="1" w:styleId="124">
    <w:name w:val="Char Char Char Char Char Char Char Char Char Char Char Char Char Char1"/>
    <w:basedOn w:val="1"/>
    <w:qFormat/>
    <w:uiPriority w:val="99"/>
    <w:rPr>
      <w:rFonts w:ascii="Tahoma" w:hAnsi="Tahoma" w:cs="Tahoma"/>
      <w:sz w:val="24"/>
    </w:rPr>
  </w:style>
  <w:style w:type="paragraph" w:customStyle="1" w:styleId="125">
    <w:name w:val="Char Char Char Char Char Char Char Char Char Char Char Char Char Char2"/>
    <w:basedOn w:val="1"/>
    <w:qFormat/>
    <w:uiPriority w:val="99"/>
    <w:rPr>
      <w:rFonts w:ascii="Tahoma" w:hAnsi="Tahoma" w:cs="Tahoma"/>
      <w:sz w:val="24"/>
    </w:rPr>
  </w:style>
  <w:style w:type="paragraph" w:customStyle="1" w:styleId="126">
    <w:name w:val="Char Char Char Char Char Char Char Char Char Char Char Char Char Char3"/>
    <w:basedOn w:val="1"/>
    <w:qFormat/>
    <w:uiPriority w:val="99"/>
    <w:rPr>
      <w:rFonts w:ascii="Tahoma" w:hAnsi="Tahoma" w:cs="Tahoma"/>
      <w:sz w:val="24"/>
    </w:rPr>
  </w:style>
  <w:style w:type="paragraph" w:customStyle="1" w:styleId="127">
    <w:name w:val="Char Char Char Char Char Char Char Char Char Char Char Char Char Char4"/>
    <w:basedOn w:val="1"/>
    <w:qFormat/>
    <w:uiPriority w:val="99"/>
    <w:rPr>
      <w:rFonts w:ascii="Tahoma" w:hAnsi="Tahoma" w:cs="Tahoma"/>
      <w:sz w:val="24"/>
    </w:rPr>
  </w:style>
  <w:style w:type="paragraph" w:customStyle="1" w:styleId="128">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29">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0">
    <w:name w:val="Char Char Char"/>
    <w:qFormat/>
    <w:uiPriority w:val="0"/>
    <w:rPr>
      <w:rFonts w:ascii="Arial" w:hAnsi="Arial" w:eastAsia="黑体"/>
      <w:b/>
      <w:bCs/>
      <w:kern w:val="2"/>
      <w:sz w:val="32"/>
      <w:szCs w:val="32"/>
      <w:lang w:val="en-US" w:eastAsia="zh-CN" w:bidi="ar-SA"/>
    </w:rPr>
  </w:style>
  <w:style w:type="character" w:customStyle="1" w:styleId="131">
    <w:name w:val="标题 2 Char Char"/>
    <w:qFormat/>
    <w:uiPriority w:val="0"/>
    <w:rPr>
      <w:rFonts w:ascii="Arial" w:hAnsi="Arial" w:eastAsia="黑体"/>
      <w:b/>
      <w:bCs/>
      <w:kern w:val="2"/>
      <w:sz w:val="32"/>
      <w:szCs w:val="32"/>
      <w:lang w:val="en-US" w:eastAsia="zh-CN" w:bidi="ar-SA"/>
    </w:rPr>
  </w:style>
  <w:style w:type="character" w:customStyle="1" w:styleId="132">
    <w:name w:val="font161"/>
    <w:qFormat/>
    <w:uiPriority w:val="0"/>
    <w:rPr>
      <w:b/>
      <w:bCs/>
      <w:sz w:val="32"/>
      <w:szCs w:val="32"/>
    </w:rPr>
  </w:style>
  <w:style w:type="character" w:customStyle="1" w:styleId="133">
    <w:name w:val="标题 3 Char Char"/>
    <w:qFormat/>
    <w:uiPriority w:val="0"/>
    <w:rPr>
      <w:rFonts w:eastAsia="宋体"/>
      <w:b/>
      <w:bCs/>
      <w:kern w:val="2"/>
      <w:sz w:val="32"/>
      <w:szCs w:val="32"/>
      <w:lang w:val="en-US" w:eastAsia="zh-CN" w:bidi="ar-SA"/>
    </w:rPr>
  </w:style>
  <w:style w:type="character" w:customStyle="1" w:styleId="134">
    <w:name w:val="Char Char1"/>
    <w:qFormat/>
    <w:uiPriority w:val="0"/>
    <w:rPr>
      <w:rFonts w:eastAsia="宋体"/>
      <w:kern w:val="2"/>
      <w:sz w:val="24"/>
      <w:lang w:val="en-US" w:eastAsia="zh-CN" w:bidi="ar-SA"/>
    </w:rPr>
  </w:style>
  <w:style w:type="character" w:customStyle="1" w:styleId="135">
    <w:name w:val="样式 粉红"/>
    <w:qFormat/>
    <w:uiPriority w:val="0"/>
    <w:rPr>
      <w:color w:val="auto"/>
      <w:u w:val="none"/>
    </w:rPr>
  </w:style>
  <w:style w:type="paragraph" w:customStyle="1" w:styleId="136">
    <w:name w:val="Char2"/>
    <w:basedOn w:val="1"/>
    <w:qFormat/>
    <w:uiPriority w:val="0"/>
    <w:pPr>
      <w:adjustRightInd w:val="0"/>
      <w:spacing w:line="360" w:lineRule="auto"/>
    </w:pPr>
    <w:rPr>
      <w:rFonts w:ascii="Times New Roman" w:hAnsi="Times New Roman"/>
      <w:sz w:val="28"/>
      <w:szCs w:val="20"/>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1"/>
    <w:basedOn w:val="1"/>
    <w:qFormat/>
    <w:uiPriority w:val="0"/>
    <w:rPr>
      <w:rFonts w:ascii="Times New Roman" w:hAnsi="Times New Roman"/>
      <w:sz w:val="28"/>
      <w:szCs w:val="20"/>
    </w:rPr>
  </w:style>
  <w:style w:type="paragraph" w:customStyle="1" w:styleId="139">
    <w:name w:val="_Style 39"/>
    <w:basedOn w:val="1"/>
    <w:qFormat/>
    <w:uiPriority w:val="0"/>
    <w:rPr>
      <w:rFonts w:ascii="Times New Roman" w:hAnsi="Times New Roman"/>
      <w:sz w:val="28"/>
      <w:szCs w:val="20"/>
    </w:rPr>
  </w:style>
  <w:style w:type="paragraph" w:customStyle="1" w:styleId="140">
    <w:name w:val="Char1"/>
    <w:basedOn w:val="1"/>
    <w:qFormat/>
    <w:uiPriority w:val="0"/>
    <w:rPr>
      <w:rFonts w:ascii="Tahoma" w:hAnsi="Tahoma"/>
      <w:sz w:val="24"/>
      <w:szCs w:val="20"/>
    </w:rPr>
  </w:style>
  <w:style w:type="paragraph" w:customStyle="1" w:styleId="141">
    <w:name w:val="XW正文"/>
    <w:basedOn w:val="19"/>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2">
    <w:name w:val="_Style 7"/>
    <w:basedOn w:val="2"/>
    <w:next w:val="1"/>
    <w:qFormat/>
    <w:uiPriority w:val="0"/>
    <w:pPr>
      <w:outlineLvl w:val="9"/>
    </w:pPr>
    <w:rPr>
      <w:rFonts w:ascii="Calibri" w:hAnsi="Calibri"/>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Char3"/>
    <w:basedOn w:val="1"/>
    <w:qFormat/>
    <w:uiPriority w:val="0"/>
    <w:pPr>
      <w:adjustRightInd w:val="0"/>
      <w:spacing w:line="312" w:lineRule="auto"/>
      <w:textAlignment w:val="baseline"/>
    </w:pPr>
    <w:rPr>
      <w:rFonts w:ascii="Times New Roman" w:hAnsi="Times New Roman"/>
      <w:szCs w:val="20"/>
    </w:rPr>
  </w:style>
  <w:style w:type="paragraph" w:customStyle="1" w:styleId="145">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148">
    <w:name w:val="Char11"/>
    <w:basedOn w:val="1"/>
    <w:qFormat/>
    <w:uiPriority w:val="0"/>
    <w:rPr>
      <w:rFonts w:ascii="Tahoma" w:hAnsi="Tahoma"/>
      <w:sz w:val="24"/>
      <w:szCs w:val="20"/>
    </w:rPr>
  </w:style>
  <w:style w:type="paragraph" w:customStyle="1" w:styleId="149">
    <w:name w:val="1"/>
    <w:basedOn w:val="1"/>
    <w:next w:val="1"/>
    <w:qFormat/>
    <w:uiPriority w:val="0"/>
    <w:rPr>
      <w:rFonts w:ascii="Times New Roman" w:hAnsi="Times New Roman"/>
    </w:rPr>
  </w:style>
  <w:style w:type="paragraph" w:customStyle="1" w:styleId="15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1">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3">
    <w:name w:val="金安桥正文"/>
    <w:basedOn w:val="19"/>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4">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5">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6">
    <w:name w:val="样式5 Char"/>
    <w:link w:val="157"/>
    <w:qFormat/>
    <w:locked/>
    <w:uiPriority w:val="0"/>
    <w:rPr>
      <w:rFonts w:ascii="宋体" w:hAnsi="宋体" w:cs="楷体_GB2312"/>
      <w:b/>
      <w:color w:val="000000"/>
      <w:sz w:val="28"/>
      <w:szCs w:val="72"/>
      <w:lang w:val="zh-CN"/>
    </w:rPr>
  </w:style>
  <w:style w:type="paragraph" w:customStyle="1" w:styleId="157">
    <w:name w:val="样式5"/>
    <w:basedOn w:val="1"/>
    <w:link w:val="156"/>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8">
    <w:name w:val="样式 标题 3 + 行距: 1.5 倍行距 Char"/>
    <w:link w:val="159"/>
    <w:qFormat/>
    <w:locked/>
    <w:uiPriority w:val="0"/>
    <w:rPr>
      <w:rFonts w:ascii="黑体" w:hAnsi="宋体" w:eastAsia="黑体" w:cs="宋体"/>
      <w:b/>
      <w:bCs/>
      <w:sz w:val="28"/>
      <w:szCs w:val="28"/>
    </w:rPr>
  </w:style>
  <w:style w:type="paragraph" w:customStyle="1" w:styleId="159">
    <w:name w:val="样式 标题 3 + 行距: 1.5 倍行距"/>
    <w:basedOn w:val="4"/>
    <w:link w:val="158"/>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0">
    <w:name w:val="样式 标题 1 + 小初 居中"/>
    <w:basedOn w:val="2"/>
    <w:qFormat/>
    <w:uiPriority w:val="0"/>
    <w:pPr>
      <w:jc w:val="center"/>
    </w:pPr>
    <w:rPr>
      <w:rFonts w:eastAsia="黑体" w:cs="宋体"/>
      <w:b w:val="0"/>
      <w:sz w:val="72"/>
      <w:szCs w:val="20"/>
    </w:rPr>
  </w:style>
  <w:style w:type="paragraph" w:customStyle="1" w:styleId="161">
    <w:name w:val="样式 标题 4 + 宋体 小四"/>
    <w:basedOn w:val="5"/>
    <w:qFormat/>
    <w:uiPriority w:val="0"/>
    <w:pPr>
      <w:spacing w:before="0" w:after="0" w:line="240" w:lineRule="auto"/>
    </w:pPr>
    <w:rPr>
      <w:rFonts w:ascii="宋体" w:hAnsi="宋体"/>
      <w:b w:val="0"/>
      <w:sz w:val="24"/>
    </w:rPr>
  </w:style>
  <w:style w:type="paragraph" w:customStyle="1" w:styleId="162">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3">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封面2"/>
    <w:basedOn w:val="1"/>
    <w:qFormat/>
    <w:uiPriority w:val="0"/>
    <w:pPr>
      <w:spacing w:beforeLines="50" w:afterLines="50" w:line="240" w:lineRule="atLeast"/>
      <w:jc w:val="center"/>
    </w:pPr>
    <w:rPr>
      <w:rFonts w:ascii="宋体" w:hAnsi="宋体" w:cs="宋体"/>
      <w:b/>
      <w:snapToGrid w:val="0"/>
      <w:sz w:val="36"/>
    </w:rPr>
  </w:style>
  <w:style w:type="paragraph" w:styleId="165">
    <w:name w:val="No Spacing"/>
    <w:link w:val="166"/>
    <w:qFormat/>
    <w:uiPriority w:val="0"/>
    <w:rPr>
      <w:rFonts w:ascii="Calibri" w:hAnsi="Calibri" w:eastAsia="宋体" w:cs="Times New Roman"/>
      <w:sz w:val="22"/>
      <w:szCs w:val="22"/>
      <w:lang w:val="en-US" w:eastAsia="zh-CN" w:bidi="ar-SA"/>
    </w:rPr>
  </w:style>
  <w:style w:type="character" w:customStyle="1" w:styleId="166">
    <w:name w:val="无间隔 Char"/>
    <w:basedOn w:val="49"/>
    <w:link w:val="165"/>
    <w:qFormat/>
    <w:uiPriority w:val="0"/>
    <w:rPr>
      <w:sz w:val="22"/>
      <w:szCs w:val="22"/>
    </w:rPr>
  </w:style>
  <w:style w:type="character" w:customStyle="1" w:styleId="167">
    <w:name w:val="Char Char Char1"/>
    <w:qFormat/>
    <w:uiPriority w:val="0"/>
    <w:rPr>
      <w:rFonts w:ascii="Arial" w:hAnsi="Arial" w:eastAsia="黑体"/>
      <w:b/>
      <w:bCs/>
      <w:kern w:val="2"/>
      <w:sz w:val="32"/>
      <w:szCs w:val="32"/>
      <w:lang w:val="en-US" w:eastAsia="zh-CN" w:bidi="ar-SA"/>
    </w:rPr>
  </w:style>
  <w:style w:type="character" w:customStyle="1" w:styleId="168">
    <w:name w:val="标题一"/>
    <w:basedOn w:val="49"/>
    <w:qFormat/>
    <w:uiPriority w:val="0"/>
    <w:rPr>
      <w:sz w:val="48"/>
    </w:rPr>
  </w:style>
  <w:style w:type="paragraph" w:customStyle="1" w:styleId="169">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0">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1">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2">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3">
    <w:name w:val="不明显强调1"/>
    <w:qFormat/>
    <w:uiPriority w:val="0"/>
    <w:rPr>
      <w:i/>
      <w:iCs/>
      <w:color w:val="808080"/>
    </w:rPr>
  </w:style>
  <w:style w:type="character" w:customStyle="1" w:styleId="174">
    <w:name w:val="明显引用 Char"/>
    <w:qFormat/>
    <w:uiPriority w:val="0"/>
    <w:rPr>
      <w:b/>
      <w:bCs/>
      <w:i/>
      <w:iCs/>
      <w:color w:val="4F81BD"/>
    </w:rPr>
  </w:style>
  <w:style w:type="paragraph" w:styleId="175">
    <w:name w:val="Intense Quote"/>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副标题 Char"/>
    <w:link w:val="35"/>
    <w:qFormat/>
    <w:uiPriority w:val="0"/>
    <w:rPr>
      <w:rFonts w:ascii="Cambria" w:hAnsi="Cambria"/>
      <w:b/>
      <w:bCs/>
      <w:kern w:val="28"/>
      <w:sz w:val="32"/>
      <w:szCs w:val="32"/>
    </w:rPr>
  </w:style>
  <w:style w:type="character" w:customStyle="1" w:styleId="177">
    <w:name w:val="明显引用 Char1"/>
    <w:qFormat/>
    <w:uiPriority w:val="99"/>
    <w:rPr>
      <w:b/>
      <w:bCs/>
      <w:i/>
      <w:iCs/>
      <w:color w:val="4F81BD"/>
      <w:kern w:val="2"/>
      <w:sz w:val="28"/>
    </w:rPr>
  </w:style>
  <w:style w:type="character" w:customStyle="1" w:styleId="178">
    <w:name w:val="不明显参考1"/>
    <w:qFormat/>
    <w:uiPriority w:val="0"/>
    <w:rPr>
      <w:smallCaps/>
      <w:color w:val="C0504D"/>
      <w:u w:val="single"/>
    </w:rPr>
  </w:style>
  <w:style w:type="character" w:customStyle="1" w:styleId="179">
    <w:name w:val="批注主题 Char1"/>
    <w:qFormat/>
    <w:uiPriority w:val="0"/>
    <w:rPr>
      <w:b/>
      <w:bCs/>
      <w:kern w:val="2"/>
      <w:sz w:val="21"/>
      <w:szCs w:val="22"/>
    </w:rPr>
  </w:style>
  <w:style w:type="character" w:customStyle="1" w:styleId="180">
    <w:name w:val="批注框文本 Char1"/>
    <w:qFormat/>
    <w:uiPriority w:val="0"/>
    <w:rPr>
      <w:kern w:val="2"/>
      <w:sz w:val="18"/>
      <w:szCs w:val="18"/>
    </w:rPr>
  </w:style>
  <w:style w:type="character" w:customStyle="1" w:styleId="181">
    <w:name w:val="标题5 Char Char"/>
    <w:link w:val="182"/>
    <w:qFormat/>
    <w:uiPriority w:val="0"/>
    <w:rPr>
      <w:rFonts w:ascii="Arial" w:hAnsi="Arial"/>
      <w:b/>
      <w:bCs/>
      <w:sz w:val="24"/>
      <w:szCs w:val="32"/>
    </w:rPr>
  </w:style>
  <w:style w:type="paragraph" w:customStyle="1" w:styleId="182">
    <w:name w:val="标题5"/>
    <w:basedOn w:val="4"/>
    <w:link w:val="181"/>
    <w:qFormat/>
    <w:uiPriority w:val="0"/>
    <w:rPr>
      <w:rFonts w:ascii="Arial" w:hAnsi="Arial"/>
      <w:sz w:val="24"/>
    </w:rPr>
  </w:style>
  <w:style w:type="character" w:customStyle="1" w:styleId="183">
    <w:name w:val="明显强调1"/>
    <w:qFormat/>
    <w:uiPriority w:val="0"/>
    <w:rPr>
      <w:b/>
      <w:bCs/>
      <w:i/>
      <w:iCs/>
      <w:color w:val="4F81BD"/>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3"/>
    <w:next w:val="21"/>
    <w:link w:val="184"/>
    <w:qFormat/>
    <w:uiPriority w:val="0"/>
    <w:rPr>
      <w:rFonts w:eastAsia="宋体" w:cs="Times New Roman"/>
      <w:sz w:val="24"/>
    </w:rPr>
  </w:style>
  <w:style w:type="character" w:customStyle="1" w:styleId="186">
    <w:name w:val="引用 Char"/>
    <w:qFormat/>
    <w:uiPriority w:val="0"/>
    <w:rPr>
      <w:i/>
      <w:iCs/>
      <w:color w:val="000000"/>
    </w:rPr>
  </w:style>
  <w:style w:type="paragraph" w:styleId="187">
    <w:name w:val="Quote"/>
    <w:basedOn w:val="1"/>
    <w:next w:val="1"/>
    <w:link w:val="199"/>
    <w:qFormat/>
    <w:uiPriority w:val="0"/>
    <w:rPr>
      <w:i/>
      <w:iCs/>
      <w:color w:val="000000"/>
      <w:kern w:val="0"/>
      <w:sz w:val="20"/>
      <w:szCs w:val="20"/>
    </w:rPr>
  </w:style>
  <w:style w:type="character" w:customStyle="1" w:styleId="188">
    <w:name w:val="副标题 Char1"/>
    <w:qFormat/>
    <w:uiPriority w:val="11"/>
    <w:rPr>
      <w:rFonts w:ascii="Cambria" w:hAnsi="Cambria" w:cs="Times New Roman"/>
      <w:b/>
      <w:bCs/>
      <w:kern w:val="28"/>
      <w:sz w:val="32"/>
      <w:szCs w:val="32"/>
    </w:rPr>
  </w:style>
  <w:style w:type="character" w:customStyle="1" w:styleId="189">
    <w:name w:val="明显参考1"/>
    <w:qFormat/>
    <w:uiPriority w:val="0"/>
    <w:rPr>
      <w:b/>
      <w:bCs/>
      <w:smallCaps/>
      <w:color w:val="C0504D"/>
      <w:spacing w:val="5"/>
      <w:u w:val="single"/>
    </w:rPr>
  </w:style>
  <w:style w:type="character" w:customStyle="1" w:styleId="190">
    <w:name w:val="书籍标题1"/>
    <w:qFormat/>
    <w:uiPriority w:val="0"/>
    <w:rPr>
      <w:b/>
      <w:bCs/>
      <w:smallCaps/>
      <w:spacing w:val="5"/>
    </w:rPr>
  </w:style>
  <w:style w:type="character" w:customStyle="1" w:styleId="191">
    <w:name w:val="正文文本 Char1"/>
    <w:qFormat/>
    <w:uiPriority w:val="0"/>
    <w:rPr>
      <w:kern w:val="2"/>
      <w:sz w:val="21"/>
      <w:szCs w:val="22"/>
    </w:rPr>
  </w:style>
  <w:style w:type="character" w:customStyle="1" w:styleId="192">
    <w:name w:val="文档结构图 Char1"/>
    <w:qFormat/>
    <w:uiPriority w:val="0"/>
    <w:rPr>
      <w:rFonts w:ascii="宋体"/>
      <w:kern w:val="2"/>
      <w:sz w:val="18"/>
      <w:szCs w:val="18"/>
    </w:rPr>
  </w:style>
  <w:style w:type="character" w:customStyle="1" w:styleId="193">
    <w:name w:val="textcontents"/>
    <w:qFormat/>
    <w:uiPriority w:val="0"/>
    <w:rPr>
      <w:rFonts w:cs="Times New Roman"/>
    </w:rPr>
  </w:style>
  <w:style w:type="character" w:customStyle="1" w:styleId="194">
    <w:name w:val="日期 Char1"/>
    <w:qFormat/>
    <w:uiPriority w:val="0"/>
    <w:rPr>
      <w:kern w:val="2"/>
      <w:sz w:val="21"/>
      <w:szCs w:val="22"/>
    </w:rPr>
  </w:style>
  <w:style w:type="character" w:customStyle="1" w:styleId="195">
    <w:name w:val="引用 Char1"/>
    <w:qFormat/>
    <w:uiPriority w:val="99"/>
    <w:rPr>
      <w:i/>
      <w:iCs/>
      <w:color w:val="000000"/>
      <w:kern w:val="2"/>
      <w:sz w:val="28"/>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副标题 Char2"/>
    <w:basedOn w:val="49"/>
    <w:link w:val="35"/>
    <w:qFormat/>
    <w:uiPriority w:val="11"/>
    <w:rPr>
      <w:rFonts w:asciiTheme="majorHAnsi" w:hAnsiTheme="majorHAnsi" w:cstheme="majorBidi"/>
      <w:b/>
      <w:bCs/>
      <w:kern w:val="28"/>
      <w:sz w:val="32"/>
      <w:szCs w:val="32"/>
    </w:rPr>
  </w:style>
  <w:style w:type="paragraph" w:customStyle="1" w:styleId="198">
    <w:name w:val="TOC 标题1"/>
    <w:basedOn w:val="2"/>
    <w:next w:val="1"/>
    <w:qFormat/>
    <w:uiPriority w:val="39"/>
    <w:pPr>
      <w:spacing w:line="578" w:lineRule="auto"/>
      <w:outlineLvl w:val="9"/>
    </w:pPr>
  </w:style>
  <w:style w:type="character" w:customStyle="1" w:styleId="199">
    <w:name w:val="引用 Char2"/>
    <w:basedOn w:val="49"/>
    <w:link w:val="187"/>
    <w:qFormat/>
    <w:uiPriority w:val="99"/>
    <w:rPr>
      <w:i/>
      <w:iCs/>
      <w:color w:val="000000" w:themeColor="text1"/>
      <w:kern w:val="2"/>
      <w:sz w:val="21"/>
      <w:szCs w:val="24"/>
    </w:rPr>
  </w:style>
  <w:style w:type="character" w:customStyle="1" w:styleId="200">
    <w:name w:val="明显引用 Char2"/>
    <w:basedOn w:val="49"/>
    <w:link w:val="175"/>
    <w:qFormat/>
    <w:uiPriority w:val="99"/>
    <w:rPr>
      <w:b/>
      <w:bCs/>
      <w:i/>
      <w:iCs/>
      <w:color w:val="5B9BD5" w:themeColor="accent1"/>
      <w:kern w:val="2"/>
      <w:sz w:val="21"/>
      <w:szCs w:val="24"/>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pPr>
      <w:spacing w:before="65"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BEC8-59A0-4003-8312-ED6E8D13D85F}">
  <ds:schemaRefs/>
</ds:datastoreItem>
</file>

<file path=docProps/app.xml><?xml version="1.0" encoding="utf-8"?>
<Properties xmlns="http://schemas.openxmlformats.org/officeDocument/2006/extended-properties" xmlns:vt="http://schemas.openxmlformats.org/officeDocument/2006/docPropsVTypes">
  <Template>Normal</Template>
  <Pages>59</Pages>
  <Words>22351</Words>
  <Characters>24668</Characters>
  <Lines>1</Lines>
  <Paragraphs>1</Paragraphs>
  <TotalTime>22</TotalTime>
  <ScaleCrop>false</ScaleCrop>
  <LinksUpToDate>false</LinksUpToDate>
  <CharactersWithSpaces>25822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WPS_1663482911</cp:lastModifiedBy>
  <cp:lastPrinted>2020-03-13T02:20:00Z</cp:lastPrinted>
  <dcterms:modified xsi:type="dcterms:W3CDTF">2023-04-13T05:54:23Z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D6AC292EF3444261BD2ECB70899AE37E</vt:lpwstr>
  </property>
</Properties>
</file>