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附件1</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2023年黄河公司“揭榜挂帅”</w:t>
      </w:r>
    </w:p>
    <w:p>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科研项目攻关榜单（二次）</w:t>
      </w:r>
    </w:p>
    <w:p>
      <w:pPr>
        <w:ind w:firstLine="640" w:firstLineChars="200"/>
        <w:rPr>
          <w:rFonts w:hint="eastAsia" w:ascii="仿宋_GB2312" w:hAnsi="仿宋_GB2312" w:eastAsia="仿宋_GB2312" w:cs="仿宋_GB2312"/>
          <w:sz w:val="32"/>
          <w:szCs w:val="32"/>
          <w:highlight w:val="none"/>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为贯彻落实“十四五”发展规划，以开放创新的形式，积极探索</w:t>
      </w:r>
      <w:r>
        <w:rPr>
          <w:rFonts w:hint="eastAsia" w:ascii="仿宋_GB2312" w:hAnsi="仿宋_GB2312" w:eastAsia="仿宋_GB2312" w:cs="仿宋_GB2312"/>
          <w:sz w:val="32"/>
          <w:szCs w:val="32"/>
          <w:highlight w:val="none"/>
          <w:lang w:val="en-US" w:eastAsia="zh-CN"/>
        </w:rPr>
        <w:t>科技创新，</w:t>
      </w:r>
      <w:r>
        <w:rPr>
          <w:rFonts w:hint="eastAsia" w:ascii="仿宋_GB2312" w:hAnsi="仿宋_GB2312" w:eastAsia="仿宋_GB2312" w:cs="仿宋_GB2312"/>
          <w:sz w:val="32"/>
          <w:szCs w:val="32"/>
          <w:highlight w:val="none"/>
        </w:rPr>
        <w:t>最大程度地调动社会各界智力潜能，</w:t>
      </w:r>
      <w:r>
        <w:rPr>
          <w:rFonts w:hint="eastAsia" w:ascii="仿宋_GB2312" w:hAnsi="仿宋_GB2312" w:eastAsia="仿宋_GB2312" w:cs="仿宋_GB2312"/>
          <w:sz w:val="32"/>
          <w:szCs w:val="32"/>
          <w:highlight w:val="none"/>
          <w:lang w:val="en-US" w:eastAsia="zh-CN"/>
        </w:rPr>
        <w:t>突破制约各领域关键核心技术，以</w:t>
      </w:r>
      <w:r>
        <w:rPr>
          <w:rFonts w:hint="eastAsia" w:ascii="仿宋_GB2312" w:hAnsi="仿宋_GB2312" w:eastAsia="仿宋_GB2312" w:cs="仿宋_GB2312"/>
          <w:sz w:val="32"/>
          <w:szCs w:val="32"/>
          <w:highlight w:val="none"/>
        </w:rPr>
        <w:t>最快的速度找到切实可行的解决方案。</w:t>
      </w:r>
      <w:r>
        <w:rPr>
          <w:rFonts w:hint="eastAsia" w:ascii="仿宋_GB2312" w:hAnsi="仿宋_GB2312" w:eastAsia="仿宋_GB2312" w:cs="仿宋_GB2312"/>
          <w:sz w:val="32"/>
          <w:szCs w:val="32"/>
          <w:highlight w:val="none"/>
          <w:lang w:val="en-US" w:eastAsia="zh-CN"/>
        </w:rPr>
        <w:t>青海</w:t>
      </w:r>
      <w:bookmarkStart w:id="20" w:name="_GoBack"/>
      <w:bookmarkEnd w:id="20"/>
      <w:r>
        <w:rPr>
          <w:rFonts w:hint="eastAsia" w:ascii="仿宋_GB2312" w:hAnsi="仿宋_GB2312" w:eastAsia="仿宋_GB2312" w:cs="仿宋_GB2312"/>
          <w:sz w:val="32"/>
          <w:szCs w:val="32"/>
          <w:highlight w:val="none"/>
          <w:lang w:val="en-US" w:eastAsia="zh-CN"/>
        </w:rPr>
        <w:t>黄河上游水电开发有限责任公司拟采用</w:t>
      </w:r>
      <w:r>
        <w:rPr>
          <w:rFonts w:hint="eastAsia" w:ascii="仿宋_GB2312" w:hAnsi="仿宋_GB2312" w:eastAsia="仿宋_GB2312" w:cs="仿宋_GB2312"/>
          <w:sz w:val="32"/>
          <w:szCs w:val="32"/>
          <w:highlight w:val="none"/>
        </w:rPr>
        <w:t>“揭榜挂帅”机制开展</w:t>
      </w:r>
      <w:r>
        <w:rPr>
          <w:rFonts w:hint="eastAsia" w:ascii="仿宋_GB2312" w:hAnsi="仿宋_GB2312" w:eastAsia="仿宋_GB2312" w:cs="仿宋_GB2312"/>
          <w:sz w:val="32"/>
          <w:szCs w:val="32"/>
          <w:highlight w:val="none"/>
          <w:lang w:val="en-US" w:eastAsia="zh-CN"/>
        </w:rPr>
        <w:t>相关课题的研究</w:t>
      </w:r>
      <w:r>
        <w:rPr>
          <w:rFonts w:hint="eastAsia" w:ascii="仿宋_GB2312" w:hAnsi="仿宋_GB2312" w:eastAsia="仿宋_GB2312" w:cs="仿宋_GB2312"/>
          <w:sz w:val="32"/>
          <w:szCs w:val="32"/>
          <w:highlight w:val="none"/>
        </w:rPr>
        <w:t>，现将攻关项目榜单予以发布</w:t>
      </w:r>
      <w:r>
        <w:rPr>
          <w:rFonts w:hint="eastAsia" w:ascii="仿宋_GB2312" w:hAnsi="仿宋_GB2312" w:eastAsia="仿宋_GB2312" w:cs="仿宋_GB2312"/>
          <w:sz w:val="32"/>
          <w:szCs w:val="32"/>
        </w:rPr>
        <w:t>。</w:t>
      </w:r>
    </w:p>
    <w:p>
      <w:pPr>
        <w:jc w:val="cente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榜单清单</w:t>
      </w:r>
    </w:p>
    <w:tbl>
      <w:tblPr>
        <w:tblStyle w:val="13"/>
        <w:tblW w:w="98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3762"/>
        <w:gridCol w:w="1338"/>
        <w:gridCol w:w="305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auto"/>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项目编号</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榜单名称</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经费预算（万元）</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攻关期限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5G+数字孪生流域关键技术研究及应用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567</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36个月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基于集控系统的机组状态评价及故障诊断技术研究与应用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465.4</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24个月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高海拔超超临界锅炉新疆煤掺烧防结焦技术研究及应用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686.1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签订合同后-202</w:t>
            </w:r>
            <w:r>
              <w:rPr>
                <w:rFonts w:hint="eastAsia" w:ascii="宋体" w:hAnsi="宋体" w:eastAsia="宋体" w:cs="宋体"/>
                <w:i w:val="0"/>
                <w:iCs w:val="0"/>
                <w:color w:val="auto"/>
                <w:sz w:val="21"/>
                <w:szCs w:val="21"/>
                <w:u w:val="none"/>
                <w:lang w:val="en-US" w:eastAsia="zh-CN"/>
              </w:rPr>
              <w:t>4</w:t>
            </w:r>
            <w:r>
              <w:rPr>
                <w:rFonts w:hint="eastAsia" w:ascii="宋体" w:hAnsi="宋体" w:eastAsia="宋体" w:cs="宋体"/>
                <w:i w:val="0"/>
                <w:iCs w:val="0"/>
                <w:color w:val="auto"/>
                <w:sz w:val="21"/>
                <w:szCs w:val="21"/>
                <w:u w:val="none"/>
              </w:rPr>
              <w:t>年1</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冷喷涂银层技术在电子级多晶硅CVD还原炉中的应用研究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330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rPr>
              <w:t>签订合同后-2023年1</w:t>
            </w:r>
            <w:r>
              <w:rPr>
                <w:rFonts w:hint="eastAsia" w:ascii="宋体" w:hAnsi="宋体" w:eastAsia="宋体" w:cs="宋体"/>
                <w:i w:val="0"/>
                <w:iCs w:val="0"/>
                <w:color w:val="auto"/>
                <w:sz w:val="21"/>
                <w:szCs w:val="21"/>
                <w:u w:val="none"/>
                <w:lang w:val="en-US" w:eastAsia="zh-CN"/>
              </w:rPr>
              <w:t>2</w:t>
            </w:r>
            <w:r>
              <w:rPr>
                <w:rFonts w:hint="eastAsia" w:ascii="宋体" w:hAnsi="宋体" w:eastAsia="宋体" w:cs="宋体"/>
                <w:i w:val="0"/>
                <w:iCs w:val="0"/>
                <w:color w:val="auto"/>
                <w:sz w:val="21"/>
                <w:szCs w:val="21"/>
                <w:u w:val="none"/>
              </w:rPr>
              <w:t>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大型光伏电站特殊环境条件下阵列区电缆敷设技术优化及应用研究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121</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lang w:val="en-US" w:eastAsia="zh-CN"/>
              </w:rPr>
            </w:pPr>
            <w:r>
              <w:rPr>
                <w:rFonts w:hint="eastAsia" w:ascii="宋体" w:hAnsi="宋体" w:eastAsia="宋体" w:cs="宋体"/>
                <w:i w:val="0"/>
                <w:iCs w:val="0"/>
                <w:color w:val="auto"/>
                <w:sz w:val="21"/>
                <w:szCs w:val="21"/>
                <w:u w:val="none"/>
              </w:rPr>
              <w:t>签订合同后</w:t>
            </w:r>
            <w:r>
              <w:rPr>
                <w:rFonts w:hint="eastAsia" w:ascii="宋体" w:hAnsi="宋体" w:eastAsia="宋体" w:cs="宋体"/>
                <w:i w:val="0"/>
                <w:iCs w:val="0"/>
                <w:color w:val="auto"/>
                <w:sz w:val="21"/>
                <w:szCs w:val="21"/>
                <w:u w:val="none"/>
                <w:lang w:val="en-US" w:eastAsia="zh-CN"/>
              </w:rPr>
              <w:t>-2024年6月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高寒高海拔盐渍土地区风光储设施混凝土基础侵蚀防治关键技术研究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350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highlight w:val="none"/>
                <w:u w:val="none"/>
              </w:rPr>
              <w:t>签订合同后-202</w:t>
            </w:r>
            <w:r>
              <w:rPr>
                <w:rFonts w:hint="eastAsia" w:ascii="宋体" w:hAnsi="宋体" w:eastAsia="宋体" w:cs="宋体"/>
                <w:i w:val="0"/>
                <w:iCs w:val="0"/>
                <w:color w:val="auto"/>
                <w:sz w:val="21"/>
                <w:szCs w:val="21"/>
                <w:highlight w:val="none"/>
                <w:u w:val="none"/>
                <w:lang w:val="en-US" w:eastAsia="zh-CN"/>
              </w:rPr>
              <w:t>4</w:t>
            </w:r>
            <w:r>
              <w:rPr>
                <w:rFonts w:hint="eastAsia" w:ascii="宋体" w:hAnsi="宋体" w:eastAsia="宋体" w:cs="宋体"/>
                <w:i w:val="0"/>
                <w:iCs w:val="0"/>
                <w:color w:val="auto"/>
                <w:sz w:val="21"/>
                <w:szCs w:val="21"/>
                <w:highlight w:val="none"/>
                <w:u w:val="none"/>
              </w:rPr>
              <w:t>年1</w:t>
            </w:r>
            <w:r>
              <w:rPr>
                <w:rFonts w:hint="eastAsia" w:ascii="宋体" w:hAnsi="宋体" w:eastAsia="宋体" w:cs="宋体"/>
                <w:i w:val="0"/>
                <w:iCs w:val="0"/>
                <w:color w:val="auto"/>
                <w:sz w:val="21"/>
                <w:szCs w:val="21"/>
                <w:highlight w:val="none"/>
                <w:u w:val="none"/>
                <w:lang w:val="en-US" w:eastAsia="zh-CN"/>
              </w:rPr>
              <w:t>2</w:t>
            </w:r>
            <w:r>
              <w:rPr>
                <w:rFonts w:hint="eastAsia" w:ascii="宋体" w:hAnsi="宋体" w:eastAsia="宋体" w:cs="宋体"/>
                <w:i w:val="0"/>
                <w:iCs w:val="0"/>
                <w:color w:val="auto"/>
                <w:sz w:val="21"/>
                <w:szCs w:val="21"/>
                <w:highlight w:val="none"/>
                <w:u w:val="none"/>
              </w:rPr>
              <w:t>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光伏支架结构型式优化及组件滑动安装技术研究与应用</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160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签订合同后-2023年10月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基于逆变器IV感知与支架控制系统联动的应用研究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签订合同后-2023年12月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组件回收新型破碎玻璃组件回收工艺设备研制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300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签订合同后-2023年12月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光伏电站增配储能经济分析和最佳定容研究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45</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签订合同后-2024年10月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18</w:t>
            </w:r>
          </w:p>
        </w:tc>
        <w:tc>
          <w:tcPr>
            <w:tcW w:w="3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新能源多场景制氢技术研究</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60</w:t>
            </w:r>
          </w:p>
        </w:tc>
        <w:tc>
          <w:tcPr>
            <w:tcW w:w="3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签订合同后-2024年3月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53</w:t>
            </w:r>
          </w:p>
        </w:tc>
      </w:tr>
    </w:tbl>
    <w:p>
      <w:pPr>
        <w:pStyle w:val="2"/>
        <w:numPr>
          <w:ilvl w:val="1"/>
          <w:numId w:val="0"/>
        </w:numPr>
        <w:rPr>
          <w:rFonts w:hint="eastAsia" w:ascii="仿宋_GB2312" w:hAnsi="仿宋_GB2312" w:eastAsia="仿宋_GB2312" w:cs="仿宋_GB2312"/>
          <w:sz w:val="32"/>
          <w:szCs w:val="32"/>
        </w:rPr>
      </w:pPr>
    </w:p>
    <w:p>
      <w:pPr>
        <w:pStyle w:val="5"/>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napToGrid w:val="0"/>
        <w:spacing w:after="0" w:line="560" w:lineRule="exact"/>
        <w:jc w:val="left"/>
        <w:rPr>
          <w:rFonts w:hint="default"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项目4：5G+数字孪生流域关键技术研究及应用</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一、攻关难题和攻关内容：</w:t>
      </w:r>
    </w:p>
    <w:p>
      <w:pPr>
        <w:widowControl w:val="0"/>
        <w:autoSpaceDE w:val="0"/>
        <w:autoSpaceDN w:val="0"/>
        <w:adjustRightInd w:val="0"/>
        <w:spacing w:after="0" w:line="360" w:lineRule="auto"/>
        <w:ind w:firstLine="640" w:firstLineChars="200"/>
        <w:jc w:val="both"/>
        <w:textAlignment w:val="baseline"/>
        <w:outlineLvl w:val="1"/>
        <w:rPr>
          <w:rFonts w:hint="default" w:ascii="仿宋_GB2312" w:hAnsi="Calibri" w:eastAsia="仿宋_GB2312" w:cs="Times New Roman"/>
          <w:kern w:val="0"/>
          <w:sz w:val="32"/>
          <w:szCs w:val="24"/>
          <w:lang w:val="en-US" w:eastAsia="zh-CN" w:bidi="ar-SA"/>
        </w:rPr>
      </w:pPr>
      <w:bookmarkStart w:id="0" w:name="_Hlk127132085"/>
      <w:r>
        <w:rPr>
          <w:rFonts w:hint="eastAsia" w:ascii="仿宋_GB2312" w:hAnsi="Calibri" w:eastAsia="仿宋_GB2312" w:cs="Times New Roman"/>
          <w:kern w:val="0"/>
          <w:sz w:val="32"/>
          <w:szCs w:val="24"/>
          <w:lang w:val="en-US" w:eastAsia="zh-CN" w:bidi="ar-SA"/>
        </w:rPr>
        <w:t>1.攻关难题：</w:t>
      </w:r>
    </w:p>
    <w:p>
      <w:pPr>
        <w:widowControl w:val="0"/>
        <w:numPr>
          <w:ilvl w:val="0"/>
          <w:numId w:val="4"/>
        </w:numPr>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bookmarkStart w:id="1" w:name="_Hlk124407996"/>
      <w:bookmarkStart w:id="2" w:name="_Hlk127120172"/>
      <w:r>
        <w:rPr>
          <w:rFonts w:hint="eastAsia" w:ascii="仿宋_GB2312" w:hAnsi="Calibri" w:eastAsia="仿宋_GB2312" w:cs="Times New Roman"/>
          <w:kern w:val="0"/>
          <w:sz w:val="32"/>
          <w:szCs w:val="24"/>
          <w:lang w:val="en-US" w:eastAsia="zh-CN" w:bidi="ar-SA"/>
        </w:rPr>
        <w:t>目前公司流域各电站水情、水文、大坝监测等系统多为“烟囱式”建设，各系统数据分散，数据量大、格式不统一、传输方式各异，缺乏统一的数据规范和标准，数据管理共享难度大，难以发挥流域数据资产在生产管理中的价值。</w:t>
      </w:r>
    </w:p>
    <w:p>
      <w:pPr>
        <w:widowControl w:val="0"/>
        <w:numPr>
          <w:ilvl w:val="0"/>
          <w:numId w:val="4"/>
        </w:numPr>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各电站设备运行、大坝安全以及气象、水文、海温等数据采集不完整、传输不及时，不能满足流域多源信息的快速感知，无法实现快速预警、预报。</w:t>
      </w:r>
    </w:p>
    <w:p>
      <w:pPr>
        <w:widowControl w:val="0"/>
        <w:numPr>
          <w:ilvl w:val="0"/>
          <w:numId w:val="4"/>
        </w:numPr>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 xml:space="preserve">黄河流域及各个电站、库区、边坡等的观测、监测数据专业性强，数据跨专业、跨业务的互通共享困难，缺乏对数据的统筹管理和可视化展示载体。 </w:t>
      </w:r>
    </w:p>
    <w:p>
      <w:pPr>
        <w:widowControl w:val="0"/>
        <w:numPr>
          <w:ilvl w:val="0"/>
          <w:numId w:val="4"/>
        </w:numPr>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梯级电站缺乏流域级联合管控措施和手段，缺乏全流域仿真预演的数字化平台，黄河上游梯级电站联合调度、流域防洪等数字化支撑手段不足，无法实现预警、预报和预演。</w:t>
      </w:r>
    </w:p>
    <w:bookmarkEnd w:id="1"/>
    <w:p>
      <w:pPr>
        <w:widowControl w:val="0"/>
        <w:autoSpaceDE w:val="0"/>
        <w:autoSpaceDN w:val="0"/>
        <w:adjustRightInd w:val="0"/>
        <w:spacing w:after="0" w:line="360" w:lineRule="auto"/>
        <w:ind w:firstLine="640" w:firstLineChars="200"/>
        <w:jc w:val="both"/>
        <w:textAlignment w:val="baseline"/>
        <w:outlineLvl w:val="1"/>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2.攻关内容：</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bCs/>
          <w:kern w:val="0"/>
          <w:sz w:val="32"/>
          <w:szCs w:val="24"/>
          <w:lang w:val="en-US" w:eastAsia="zh-CN" w:bidi="ar-SA"/>
        </w:rPr>
      </w:pPr>
      <w:r>
        <w:rPr>
          <w:rFonts w:hint="eastAsia" w:ascii="仿宋_GB2312" w:hAnsi="Calibri" w:eastAsia="仿宋_GB2312" w:cs="Times New Roman"/>
          <w:bCs/>
          <w:kern w:val="0"/>
          <w:sz w:val="32"/>
          <w:szCs w:val="24"/>
          <w:lang w:val="en-US" w:eastAsia="zh-CN" w:bidi="ar-SA"/>
        </w:rPr>
        <w:t>（1）编制数据采集、数据传输和数据共享的企业级数据规范。</w:t>
      </w:r>
    </w:p>
    <w:p>
      <w:pPr>
        <w:widowControl w:val="0"/>
        <w:autoSpaceDE w:val="0"/>
        <w:autoSpaceDN w:val="0"/>
        <w:adjustRightInd w:val="0"/>
        <w:spacing w:after="0" w:line="360" w:lineRule="auto"/>
        <w:ind w:firstLine="640" w:firstLineChars="200"/>
        <w:jc w:val="both"/>
        <w:textAlignment w:val="baseline"/>
        <w:rPr>
          <w:rFonts w:hint="eastAsia" w:ascii="仿宋_GB2312" w:hAnsi="Calibri" w:eastAsia="仿宋_GB2312" w:cs="Times New Roman"/>
          <w:kern w:val="0"/>
          <w:sz w:val="32"/>
          <w:szCs w:val="24"/>
          <w:lang w:val="en-US" w:eastAsia="zh-CN" w:bidi="ar-SA"/>
        </w:rPr>
      </w:pPr>
      <w:r>
        <w:rPr>
          <w:rFonts w:hint="eastAsia" w:ascii="仿宋_GB2312" w:hAnsi="Calibri" w:eastAsia="仿宋_GB2312" w:cs="Times New Roman"/>
          <w:bCs/>
          <w:kern w:val="0"/>
          <w:sz w:val="32"/>
          <w:szCs w:val="24"/>
          <w:lang w:val="en-US" w:eastAsia="zh-CN" w:bidi="ar-SA"/>
        </w:rPr>
        <w:t>（2）研究利用基于5G的物联网智能感知设备，实现</w:t>
      </w:r>
      <w:r>
        <w:rPr>
          <w:rFonts w:hint="eastAsia" w:ascii="仿宋_GB2312" w:hAnsi="Calibri" w:eastAsia="仿宋_GB2312" w:cs="Times New Roman"/>
          <w:kern w:val="0"/>
          <w:sz w:val="32"/>
          <w:szCs w:val="24"/>
          <w:lang w:val="en-US" w:eastAsia="zh-CN" w:bidi="ar-SA"/>
        </w:rPr>
        <w:t>气象、水文、监测等实时数据的</w:t>
      </w:r>
      <w:r>
        <w:rPr>
          <w:rFonts w:hint="eastAsia" w:ascii="仿宋_GB2312" w:hAnsi="Calibri" w:eastAsia="仿宋_GB2312" w:cs="Times New Roman"/>
          <w:bCs/>
          <w:kern w:val="0"/>
          <w:sz w:val="32"/>
          <w:szCs w:val="24"/>
          <w:lang w:val="en-US" w:eastAsia="zh-CN" w:bidi="ar-SA"/>
        </w:rPr>
        <w:t>高速率、低时延传输，从而满足</w:t>
      </w:r>
      <w:r>
        <w:rPr>
          <w:rFonts w:hint="eastAsia" w:ascii="仿宋_GB2312" w:hAnsi="Calibri" w:eastAsia="仿宋_GB2312" w:cs="Times New Roman"/>
          <w:kern w:val="0"/>
          <w:sz w:val="32"/>
          <w:szCs w:val="24"/>
          <w:lang w:val="en-US" w:eastAsia="zh-CN" w:bidi="ar-SA"/>
        </w:rPr>
        <w:t>流域多源信息的快速感知和传输。</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bCs/>
          <w:kern w:val="0"/>
          <w:sz w:val="32"/>
          <w:szCs w:val="24"/>
          <w:lang w:val="en-US" w:eastAsia="zh-CN" w:bidi="ar-SA"/>
        </w:rPr>
        <w:t>（3）开展黄河上游“</w:t>
      </w:r>
      <w:r>
        <w:rPr>
          <w:rFonts w:hint="eastAsia" w:ascii="仿宋_GB2312" w:hAnsi="Calibri" w:eastAsia="仿宋_GB2312" w:cs="Times New Roman"/>
          <w:kern w:val="0"/>
          <w:sz w:val="32"/>
          <w:szCs w:val="24"/>
          <w:lang w:val="en-US" w:eastAsia="zh-CN" w:bidi="ar-SA"/>
        </w:rPr>
        <w:t>班多-青铜峡河段</w:t>
      </w:r>
      <w:r>
        <w:rPr>
          <w:rFonts w:hint="eastAsia" w:ascii="仿宋_GB2312" w:hAnsi="Calibri" w:eastAsia="仿宋_GB2312" w:cs="Times New Roman"/>
          <w:bCs/>
          <w:kern w:val="0"/>
          <w:sz w:val="32"/>
          <w:szCs w:val="24"/>
          <w:lang w:val="en-US" w:eastAsia="zh-CN" w:bidi="ar-SA"/>
        </w:rPr>
        <w:t>”数字化模型建设，基于数字化模型联动集控、流域水文、气象监测、大坝监测等相关数据，</w:t>
      </w:r>
      <w:r>
        <w:rPr>
          <w:rFonts w:hint="eastAsia" w:ascii="仿宋_GB2312" w:hAnsi="Calibri" w:eastAsia="仿宋_GB2312" w:cs="Times New Roman"/>
          <w:kern w:val="0"/>
          <w:sz w:val="32"/>
          <w:szCs w:val="24"/>
          <w:lang w:val="en-US" w:eastAsia="zh-CN" w:bidi="ar-SA"/>
        </w:rPr>
        <w:t>形成基础数据统一、监测数据汇集、二三维一体化、三级贯通的数字流域孪生底板，统筹管理各类结构化、非结构化数据，实现多源数据的三维可视化集成和交互。</w:t>
      </w:r>
    </w:p>
    <w:p>
      <w:pPr>
        <w:widowControl w:val="0"/>
        <w:autoSpaceDE w:val="0"/>
        <w:autoSpaceDN w:val="0"/>
        <w:adjustRightInd w:val="0"/>
        <w:spacing w:after="0" w:line="360" w:lineRule="auto"/>
        <w:ind w:firstLine="640" w:firstLineChars="200"/>
        <w:jc w:val="both"/>
        <w:textAlignment w:val="baseline"/>
        <w:rPr>
          <w:rFonts w:hint="eastAsia" w:ascii="仿宋_GB2312" w:hAnsi="Calibri" w:eastAsia="仿宋_GB2312" w:cs="Times New Roman"/>
          <w:bCs/>
          <w:kern w:val="0"/>
          <w:sz w:val="32"/>
          <w:szCs w:val="24"/>
          <w:highlight w:val="none"/>
          <w:lang w:val="en-US" w:eastAsia="zh-CN" w:bidi="ar-SA"/>
        </w:rPr>
      </w:pPr>
      <w:r>
        <w:rPr>
          <w:rFonts w:hint="eastAsia" w:ascii="仿宋_GB2312" w:hAnsi="Calibri" w:eastAsia="仿宋_GB2312" w:cs="Times New Roman"/>
          <w:bCs/>
          <w:kern w:val="0"/>
          <w:sz w:val="32"/>
          <w:szCs w:val="24"/>
          <w:highlight w:val="none"/>
          <w:lang w:val="en-US" w:eastAsia="zh-CN" w:bidi="ar-SA"/>
        </w:rPr>
        <w:t>（4）构建流域数字孪生平台，建立洪水防御、工程安全预警等仿真预演模型，通过数字孪生场景对物理场景进行预演、预报，实现智能模拟、前瞻预演。</w:t>
      </w:r>
    </w:p>
    <w:bookmarkEnd w:id="0"/>
    <w:bookmarkEnd w:id="2"/>
    <w:p>
      <w:pPr>
        <w:widowControl/>
        <w:numPr>
          <w:ilvl w:val="0"/>
          <w:numId w:val="0"/>
        </w:numPr>
        <w:tabs>
          <w:tab w:val="left" w:pos="360"/>
          <w:tab w:val="left" w:pos="1814"/>
        </w:tabs>
        <w:spacing w:line="360" w:lineRule="auto"/>
        <w:ind w:firstLine="643" w:firstLineChars="200"/>
        <w:jc w:val="both"/>
        <w:outlineLvl w:val="0"/>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二、攻关后希望达到的预期目标、技术指标、预期成果：</w:t>
      </w:r>
    </w:p>
    <w:p>
      <w:pPr>
        <w:widowControl/>
        <w:numPr>
          <w:ilvl w:val="0"/>
          <w:numId w:val="0"/>
        </w:numPr>
        <w:tabs>
          <w:tab w:val="left" w:pos="360"/>
          <w:tab w:val="left" w:pos="1814"/>
        </w:tabs>
        <w:spacing w:line="360" w:lineRule="auto"/>
        <w:ind w:firstLine="640" w:firstLineChars="200"/>
        <w:jc w:val="both"/>
        <w:outlineLvl w:val="1"/>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（一）预期目标：</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1.建设企业级水电流域数据采集及应用标准，形成孪生流域数据标准体系，进而推动流域主要数据信息数字化、集成化及高效融合应用，最终实现流域水电业务数据资产价值最大化。</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2、研究基于5G技术的多源数据采集及传输应用，</w:t>
      </w:r>
      <w:r>
        <w:rPr>
          <w:rFonts w:hint="eastAsia" w:ascii="仿宋_GB2312" w:hAnsi="Calibri" w:eastAsia="仿宋_GB2312" w:cs="Times New Roman"/>
          <w:bCs/>
          <w:kern w:val="0"/>
          <w:sz w:val="32"/>
          <w:szCs w:val="24"/>
          <w:lang w:val="en-US" w:eastAsia="zh-CN" w:bidi="ar-SA"/>
        </w:rPr>
        <w:t>实现黄河上游各厂站流域各类监测数据和业务数据的立体感知和全面互联。</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3.建设流域数据孪生平台，通过多源数据的三维可视化集成和交互，实现可视化环境下水电流域数据的互联互通和相关业务的协同共享。</w:t>
      </w:r>
    </w:p>
    <w:p>
      <w:pPr>
        <w:widowControl w:val="0"/>
        <w:autoSpaceDE w:val="0"/>
        <w:autoSpaceDN w:val="0"/>
        <w:adjustRightInd w:val="0"/>
        <w:spacing w:after="0" w:line="360" w:lineRule="auto"/>
        <w:ind w:firstLine="640" w:firstLineChars="200"/>
        <w:jc w:val="both"/>
        <w:textAlignment w:val="baseline"/>
        <w:rPr>
          <w:rFonts w:hint="eastAsia" w:ascii="仿宋_GB2312" w:hAnsi="Calibri" w:eastAsia="仿宋_GB2312" w:cs="Times New Roman"/>
          <w:bCs/>
          <w:kern w:val="0"/>
          <w:sz w:val="32"/>
          <w:szCs w:val="24"/>
          <w:lang w:val="en-US" w:eastAsia="zh-CN" w:bidi="ar-SA"/>
        </w:rPr>
      </w:pPr>
      <w:r>
        <w:rPr>
          <w:rFonts w:hint="eastAsia" w:ascii="仿宋_GB2312" w:hAnsi="Calibri" w:eastAsia="仿宋_GB2312" w:cs="Times New Roman"/>
          <w:bCs/>
          <w:kern w:val="0"/>
          <w:sz w:val="32"/>
          <w:szCs w:val="24"/>
          <w:lang w:val="en-US" w:eastAsia="zh-CN" w:bidi="ar-SA"/>
        </w:rPr>
        <w:t>4.构建流域数字孪生平台，通过流域仿真预演模型，对水情、洪水等进行仿真预演、预报，实现数字孪生流域与物理流域全要素、全过程、全生命周同步仿真运行、虚实交互、迭代优化。</w:t>
      </w:r>
    </w:p>
    <w:p>
      <w:pPr>
        <w:widowControl/>
        <w:numPr>
          <w:ilvl w:val="0"/>
          <w:numId w:val="0"/>
        </w:numPr>
        <w:tabs>
          <w:tab w:val="left" w:pos="360"/>
          <w:tab w:val="left" w:pos="1814"/>
        </w:tabs>
        <w:spacing w:line="360" w:lineRule="auto"/>
        <w:ind w:firstLine="640" w:firstLineChars="200"/>
        <w:jc w:val="both"/>
        <w:outlineLvl w:val="1"/>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（二）技术指标：</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1.建立涵盖黄河上游梯级流域电站企业级数据标准1套。</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bCs/>
          <w:kern w:val="0"/>
          <w:sz w:val="32"/>
          <w:szCs w:val="24"/>
          <w:lang w:val="en-US" w:eastAsia="zh-CN" w:bidi="ar-SA"/>
        </w:rPr>
        <w:t>2.研究</w:t>
      </w:r>
      <w:r>
        <w:rPr>
          <w:rFonts w:hint="eastAsia" w:ascii="仿宋_GB2312" w:hAnsi="Calibri" w:eastAsia="仿宋_GB2312" w:cs="Times New Roman"/>
          <w:kern w:val="0"/>
          <w:sz w:val="32"/>
          <w:szCs w:val="24"/>
          <w:lang w:val="en-US" w:eastAsia="zh-CN" w:bidi="ar-SA"/>
        </w:rPr>
        <w:t>实现不少于</w:t>
      </w:r>
      <w:r>
        <w:rPr>
          <w:rFonts w:hint="default" w:ascii="仿宋_GB2312" w:hAnsi="Calibri" w:eastAsia="仿宋_GB2312" w:cs="Times New Roman"/>
          <w:kern w:val="0"/>
          <w:sz w:val="32"/>
          <w:szCs w:val="24"/>
          <w:lang w:val="en-US" w:eastAsia="zh-CN" w:bidi="ar-SA"/>
        </w:rPr>
        <w:t>3</w:t>
      </w:r>
      <w:r>
        <w:rPr>
          <w:rFonts w:hint="eastAsia" w:ascii="仿宋_GB2312" w:hAnsi="Calibri" w:eastAsia="仿宋_GB2312" w:cs="Times New Roman"/>
          <w:kern w:val="0"/>
          <w:sz w:val="32"/>
          <w:szCs w:val="24"/>
          <w:lang w:val="en-US" w:eastAsia="zh-CN" w:bidi="ar-SA"/>
        </w:rPr>
        <w:t>类物联网感知设备在5</w:t>
      </w:r>
      <w:r>
        <w:rPr>
          <w:rFonts w:hint="default" w:ascii="仿宋_GB2312" w:hAnsi="Calibri" w:eastAsia="仿宋_GB2312" w:cs="Times New Roman"/>
          <w:kern w:val="0"/>
          <w:sz w:val="32"/>
          <w:szCs w:val="24"/>
          <w:lang w:val="en-US" w:eastAsia="zh-CN" w:bidi="ar-SA"/>
        </w:rPr>
        <w:t>G</w:t>
      </w:r>
      <w:r>
        <w:rPr>
          <w:rFonts w:hint="eastAsia" w:ascii="仿宋_GB2312" w:hAnsi="Calibri" w:eastAsia="仿宋_GB2312" w:cs="Times New Roman"/>
          <w:kern w:val="0"/>
          <w:sz w:val="32"/>
          <w:szCs w:val="24"/>
          <w:lang w:val="en-US" w:eastAsia="zh-CN" w:bidi="ar-SA"/>
        </w:rPr>
        <w:t>网络环境下的数据传输和交互场景。</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3.建设黄河流域“班多-青铜峡河段”数字孪生数据底板，建立龙羊峡、拉西瓦、李家峡、公伯峡、苏只、积石峡6个水电站水库、枢纽、边坡、河道等数字孪生模型，分辨率≤5cm。</w:t>
      </w:r>
    </w:p>
    <w:p>
      <w:pPr>
        <w:widowControl w:val="0"/>
        <w:autoSpaceDE w:val="0"/>
        <w:autoSpaceDN w:val="0"/>
        <w:adjustRightInd w:val="0"/>
        <w:spacing w:after="0" w:line="360" w:lineRule="auto"/>
        <w:ind w:firstLine="640" w:firstLineChars="200"/>
        <w:jc w:val="both"/>
        <w:textAlignment w:val="baseline"/>
        <w:rPr>
          <w:rFonts w:hint="default" w:ascii="仿宋_GB2312" w:hAnsi="Calibri" w:eastAsia="仿宋_GB2312" w:cs="Times New Roman"/>
          <w:kern w:val="0"/>
          <w:sz w:val="32"/>
          <w:szCs w:val="24"/>
          <w:lang w:val="en-US" w:eastAsia="zh-CN" w:bidi="ar-SA"/>
        </w:rPr>
      </w:pPr>
      <w:r>
        <w:rPr>
          <w:rFonts w:hint="default" w:ascii="宋体" w:hAnsi="Calibri" w:eastAsia="仿宋" w:cs="Times New Roman"/>
          <w:kern w:val="0"/>
          <w:sz w:val="32"/>
          <w:szCs w:val="24"/>
          <w:lang w:val="en-US" w:eastAsia="zh-CN" w:bidi="ar-SA"/>
        </w:rPr>
        <w:t>4</w:t>
      </w:r>
      <w:r>
        <w:rPr>
          <w:rFonts w:hint="eastAsia" w:ascii="宋体" w:hAnsi="Calibri" w:eastAsia="仿宋" w:cs="Times New Roman"/>
          <w:kern w:val="0"/>
          <w:sz w:val="32"/>
          <w:szCs w:val="24"/>
          <w:lang w:val="en-US" w:eastAsia="zh-CN" w:bidi="ar-SA"/>
        </w:rPr>
        <w:t>.</w:t>
      </w:r>
      <w:r>
        <w:rPr>
          <w:rFonts w:hint="eastAsia" w:ascii="仿宋_GB2312" w:hAnsi="Calibri" w:eastAsia="仿宋_GB2312" w:cs="Times New Roman"/>
          <w:kern w:val="0"/>
          <w:sz w:val="32"/>
          <w:szCs w:val="24"/>
          <w:lang w:val="en-US" w:eastAsia="zh-CN" w:bidi="ar-SA"/>
        </w:rPr>
        <w:t>构建黄河流域“班多-青铜峡河段”数字孪生平台，本期依托公伯峡水电站建立流域仿真预演模型不少于2个。</w:t>
      </w:r>
    </w:p>
    <w:p>
      <w:pPr>
        <w:widowControl/>
        <w:numPr>
          <w:ilvl w:val="0"/>
          <w:numId w:val="0"/>
        </w:numPr>
        <w:tabs>
          <w:tab w:val="left" w:pos="360"/>
          <w:tab w:val="left" w:pos="1814"/>
        </w:tabs>
        <w:spacing w:line="360" w:lineRule="auto"/>
        <w:ind w:firstLine="640" w:firstLineChars="200"/>
        <w:jc w:val="both"/>
        <w:outlineLvl w:val="1"/>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（三）预期成果：</w:t>
      </w:r>
    </w:p>
    <w:p>
      <w:pPr>
        <w:widowControl w:val="0"/>
        <w:autoSpaceDE w:val="0"/>
        <w:autoSpaceDN w:val="0"/>
        <w:adjustRightInd w:val="0"/>
        <w:spacing w:after="0" w:line="360" w:lineRule="auto"/>
        <w:ind w:firstLine="640" w:firstLineChars="200"/>
        <w:jc w:val="both"/>
        <w:textAlignment w:val="baseline"/>
        <w:rPr>
          <w:rFonts w:hint="eastAsia" w:ascii="仿宋_GB2312" w:hAnsi="Calibri" w:eastAsia="仿宋_GB2312"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本项目通过对数字孪生流域数据标准编制、数据底板建设、基于5G技术的流域数据传输方式以及流域数字孪生平台建设技术的研究，实现流域多元异构数据德的数字化、集成化及高效融合应用，研究5G技术在数字孪生流域的应用机理，形成5G+数字孪生流域新型技术成果，支撑流域梯级水电站联合调度、防洪调度等业务，有效提高电站水资源利用率和发电效益，降低地质、洪涝灾害损失等。</w:t>
      </w:r>
    </w:p>
    <w:p>
      <w:pPr>
        <w:widowControl w:val="0"/>
        <w:autoSpaceDE w:val="0"/>
        <w:autoSpaceDN w:val="0"/>
        <w:adjustRightInd w:val="0"/>
        <w:spacing w:after="0" w:line="360" w:lineRule="auto"/>
        <w:ind w:firstLine="643" w:firstLineChars="200"/>
        <w:jc w:val="both"/>
        <w:textAlignment w:val="baseline"/>
        <w:outlineLvl w:val="0"/>
        <w:rPr>
          <w:rFonts w:hint="eastAsia"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三、对揭榜方要求：</w:t>
      </w:r>
    </w:p>
    <w:p>
      <w:pPr>
        <w:widowControl w:val="0"/>
        <w:autoSpaceDE w:val="0"/>
        <w:autoSpaceDN w:val="0"/>
        <w:adjustRightInd w:val="0"/>
        <w:spacing w:after="0" w:line="360" w:lineRule="auto"/>
        <w:ind w:firstLine="640" w:firstLineChars="200"/>
        <w:jc w:val="both"/>
        <w:textAlignment w:val="baseline"/>
        <w:outlineLvl w:val="1"/>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1.揭榜方基本条件:</w:t>
      </w:r>
    </w:p>
    <w:p>
      <w:pPr>
        <w:topLinePunct/>
        <w:autoSpaceDE w:val="0"/>
        <w:spacing w:after="200" w:line="360" w:lineRule="auto"/>
        <w:ind w:firstLine="640" w:firstLineChars="200"/>
        <w:contextualSpacing/>
        <w:rPr>
          <w:rFonts w:hint="default" w:ascii="Calibri" w:hAnsi="Calibri" w:eastAsia="宋体" w:cs="Times New Roman"/>
        </w:rPr>
      </w:pPr>
      <w:r>
        <w:rPr>
          <w:rFonts w:hint="eastAsia" w:ascii="仿宋_GB2312" w:hAnsi="仿宋_GB2312" w:eastAsia="仿宋_GB2312" w:cs="仿宋_GB2312"/>
          <w:bCs/>
          <w:color w:val="000000"/>
          <w:sz w:val="32"/>
          <w:szCs w:val="32"/>
          <w:lang w:val="en-US" w:eastAsia="zh-CN"/>
        </w:rPr>
        <w:t>揭榜方</w:t>
      </w:r>
      <w:r>
        <w:rPr>
          <w:rFonts w:hint="eastAsia" w:ascii="仿宋_GB2312" w:hAnsi="仿宋_GB2312" w:eastAsia="仿宋_GB2312" w:cs="仿宋_GB2312"/>
          <w:bCs/>
          <w:color w:val="000000"/>
          <w:sz w:val="32"/>
          <w:szCs w:val="32"/>
        </w:rPr>
        <w:t>必须是在中华人民共和国市场监督管理部门注册的，</w:t>
      </w:r>
      <w:r>
        <w:rPr>
          <w:rFonts w:hint="eastAsia" w:ascii="仿宋_GB2312" w:hAnsi="仿宋_GB2312" w:eastAsia="仿宋_GB2312" w:cs="仿宋_GB2312"/>
          <w:sz w:val="32"/>
          <w:szCs w:val="32"/>
        </w:rPr>
        <w:t>具有独立法人和一般纳税人资格的，</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highlight w:val="none"/>
          <w:u w:val="none"/>
          <w:lang w:val="en-US" w:eastAsia="zh-CN"/>
        </w:rPr>
        <w:t>电子与智能化专业承包一级、CMMI5</w:t>
      </w:r>
      <w:r>
        <w:rPr>
          <w:rFonts w:hint="eastAsia" w:ascii="仿宋_GB2312" w:hAnsi="仿宋_GB2312" w:eastAsia="仿宋_GB2312" w:cs="仿宋_GB2312"/>
          <w:sz w:val="32"/>
          <w:szCs w:val="32"/>
          <w:u w:val="none"/>
          <w:lang w:val="en-US" w:eastAsia="zh-CN"/>
        </w:rPr>
        <w:t>及以上资质的企业（高校、科研院所）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应具有良好的企业信用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不存在被列为失信被执行人的情形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近三年财务和资信状况良好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没有财产被接管、冻结或处于亏损、破产状态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应提</w:t>
      </w:r>
      <w:r>
        <w:rPr>
          <w:rFonts w:hint="eastAsia" w:ascii="仿宋_GB2312" w:hAnsi="仿宋_GB2312" w:eastAsia="仿宋_GB2312" w:cs="仿宋_GB2312"/>
          <w:color w:val="000000"/>
          <w:sz w:val="32"/>
          <w:szCs w:val="32"/>
          <w:highlight w:val="none"/>
          <w:lang w:val="en-US" w:eastAsia="zh-CN"/>
        </w:rPr>
        <w:t>相关证明（如财务</w:t>
      </w:r>
      <w:r>
        <w:rPr>
          <w:rFonts w:hint="eastAsia" w:ascii="仿宋_GB2312" w:hAnsi="仿宋_GB2312" w:eastAsia="仿宋_GB2312" w:cs="仿宋_GB2312"/>
          <w:color w:val="000000"/>
          <w:sz w:val="32"/>
          <w:szCs w:val="32"/>
          <w:highlight w:val="none"/>
        </w:rPr>
        <w:t>审计报告</w:t>
      </w:r>
      <w:r>
        <w:rPr>
          <w:rFonts w:hint="eastAsia" w:ascii="仿宋_GB2312" w:hAnsi="仿宋_GB2312" w:eastAsia="仿宋_GB2312" w:cs="仿宋_GB2312"/>
          <w:color w:val="000000"/>
          <w:sz w:val="32"/>
          <w:szCs w:val="32"/>
          <w:highlight w:val="none"/>
          <w:lang w:val="en-US" w:eastAsia="zh-CN"/>
        </w:rPr>
        <w:t>或</w:t>
      </w:r>
      <w:r>
        <w:rPr>
          <w:rFonts w:hint="eastAsia" w:ascii="仿宋_GB2312" w:hAnsi="仿宋_GB2312" w:eastAsia="仿宋_GB2312" w:cs="仿宋_GB2312"/>
          <w:color w:val="000000"/>
          <w:sz w:val="32"/>
          <w:szCs w:val="32"/>
          <w:highlight w:val="none"/>
        </w:rPr>
        <w:t>报表、资信证明</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sz w:val="32"/>
          <w:szCs w:val="32"/>
          <w:highlight w:val="none"/>
        </w:rPr>
        <w:t>。</w:t>
      </w:r>
    </w:p>
    <w:p>
      <w:pPr>
        <w:widowControl w:val="0"/>
        <w:numPr>
          <w:ilvl w:val="-1"/>
          <w:numId w:val="0"/>
        </w:numPr>
        <w:autoSpaceDE w:val="0"/>
        <w:autoSpaceDN w:val="0"/>
        <w:adjustRightInd w:val="0"/>
        <w:spacing w:after="0" w:line="360" w:lineRule="auto"/>
        <w:ind w:firstLine="640" w:firstLineChars="200"/>
        <w:jc w:val="both"/>
        <w:textAlignment w:val="baseline"/>
        <w:outlineLvl w:val="1"/>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2.揭榜方技术条件:</w:t>
      </w:r>
    </w:p>
    <w:p>
      <w:pPr>
        <w:widowControl w:val="0"/>
        <w:autoSpaceDE w:val="0"/>
        <w:autoSpaceDN w:val="0"/>
        <w:adjustRightInd w:val="0"/>
        <w:spacing w:after="0" w:line="360" w:lineRule="auto"/>
        <w:ind w:firstLine="640" w:firstLineChars="200"/>
        <w:jc w:val="both"/>
        <w:textAlignment w:val="baseline"/>
        <w:rPr>
          <w:rFonts w:hint="default" w:ascii="宋体" w:hAnsi="Calibri" w:eastAsia="仿宋" w:cs="Times New Roman"/>
          <w:kern w:val="0"/>
          <w:sz w:val="32"/>
          <w:szCs w:val="24"/>
          <w:lang w:val="en-US" w:eastAsia="zh-CN" w:bidi="ar-SA"/>
        </w:rPr>
      </w:pPr>
      <w:r>
        <w:rPr>
          <w:rFonts w:hint="eastAsia" w:ascii="仿宋_GB2312" w:hAnsi="Calibri" w:eastAsia="仿宋_GB2312" w:cs="Times New Roman"/>
          <w:kern w:val="0"/>
          <w:sz w:val="32"/>
          <w:szCs w:val="24"/>
          <w:lang w:val="en-US" w:eastAsia="zh-CN" w:bidi="ar-SA"/>
        </w:rPr>
        <w:t>（1）揭榜方应具有较强的研发实力、科研条件和稳定的人员队伍等，参与过黄河流域相关数字化科研或工程项目，获得过省部级以上科技奖项，有能力完成发榜单位提出的任务。</w:t>
      </w:r>
    </w:p>
    <w:p>
      <w:pPr>
        <w:widowControl w:val="0"/>
        <w:autoSpaceDE w:val="0"/>
        <w:autoSpaceDN w:val="0"/>
        <w:adjustRightInd w:val="0"/>
        <w:spacing w:after="0" w:line="360" w:lineRule="auto"/>
        <w:ind w:firstLine="640" w:firstLineChars="200"/>
        <w:jc w:val="both"/>
        <w:textAlignment w:val="baseline"/>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（2）揭榜方应具备黄河流域水电站、大型水利枢纽设计或技术服务等工作经验，熟悉流域基本情况；拥有专业的数字化研究应用团队。</w:t>
      </w:r>
    </w:p>
    <w:p>
      <w:pPr>
        <w:widowControl w:val="0"/>
        <w:autoSpaceDE w:val="0"/>
        <w:autoSpaceDN w:val="0"/>
        <w:adjustRightInd w:val="0"/>
        <w:spacing w:after="0" w:line="360" w:lineRule="auto"/>
        <w:ind w:firstLine="640" w:firstLineChars="200"/>
        <w:jc w:val="both"/>
        <w:textAlignment w:val="baseline"/>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（3）揭榜方应具备数字孪生平台应用及开发能力，拥有自主知识产权的相关软件产品及应用案例。</w:t>
      </w:r>
    </w:p>
    <w:p>
      <w:pPr>
        <w:widowControl w:val="0"/>
        <w:autoSpaceDE w:val="0"/>
        <w:autoSpaceDN w:val="0"/>
        <w:adjustRightInd w:val="0"/>
        <w:spacing w:after="0" w:line="360" w:lineRule="auto"/>
        <w:ind w:firstLine="640" w:firstLineChars="200"/>
        <w:jc w:val="both"/>
        <w:textAlignment w:val="baseline"/>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（4）揭榜方同时应拥有水文、地质等专业团队，熟悉黄河上游水文气象演变规律、地质构造原理及地形、地貌。</w:t>
      </w:r>
    </w:p>
    <w:p>
      <w:pPr>
        <w:widowControl/>
        <w:numPr>
          <w:ilvl w:val="0"/>
          <w:numId w:val="0"/>
        </w:numPr>
        <w:tabs>
          <w:tab w:val="left" w:pos="360"/>
          <w:tab w:val="left" w:pos="1814"/>
        </w:tabs>
        <w:spacing w:line="360" w:lineRule="auto"/>
        <w:ind w:firstLine="643" w:firstLineChars="200"/>
        <w:jc w:val="both"/>
        <w:outlineLvl w:val="0"/>
        <w:rPr>
          <w:rFonts w:ascii="仿宋_GB2312" w:hAnsi="仿宋_GB2312" w:eastAsia="仿宋_GB2312" w:cs="仿宋_GB2312"/>
          <w:b/>
          <w:bCs/>
          <w:color w:val="FF00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四、产权归属：</w:t>
      </w:r>
    </w:p>
    <w:p>
      <w:pPr>
        <w:widowControl w:val="0"/>
        <w:autoSpaceDE w:val="0"/>
        <w:autoSpaceDN w:val="0"/>
        <w:adjustRightInd w:val="0"/>
        <w:spacing w:after="0" w:line="360" w:lineRule="auto"/>
        <w:ind w:firstLine="640" w:firstLineChars="200"/>
        <w:jc w:val="both"/>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本项目采用联合研究方式，知识产权及科技成果归属权为发榜方和揭榜方双方共有。</w:t>
      </w:r>
      <w:r>
        <w:rPr>
          <w:rFonts w:hint="eastAsia" w:ascii="仿宋_GB2312" w:hAnsi="Calibri" w:eastAsia="仿宋_GB2312" w:cs="Times New Roman"/>
          <w:kern w:val="0"/>
          <w:sz w:val="32"/>
          <w:szCs w:val="24"/>
          <w:lang w:val="en-US" w:eastAsia="zh-CN" w:bidi="ar-SA"/>
        </w:rPr>
        <w:t>发表5篇科技论文，申请发明专利2项，软件著作权1项。</w:t>
      </w:r>
    </w:p>
    <w:p>
      <w:pPr>
        <w:widowControl/>
        <w:numPr>
          <w:ilvl w:val="0"/>
          <w:numId w:val="0"/>
        </w:numPr>
        <w:tabs>
          <w:tab w:val="left" w:pos="360"/>
          <w:tab w:val="left" w:pos="1814"/>
        </w:tabs>
        <w:spacing w:line="360" w:lineRule="auto"/>
        <w:ind w:firstLine="643" w:firstLineChars="200"/>
        <w:jc w:val="both"/>
        <w:outlineLvl w:val="0"/>
        <w:rPr>
          <w:rFonts w:hint="default" w:ascii="仿宋_GB2312" w:hAnsi="Calibri" w:eastAsia="仿宋_GB2312" w:cs="Times New Roman"/>
          <w:kern w:val="0"/>
          <w:sz w:val="32"/>
          <w:szCs w:val="24"/>
          <w:lang w:val="en-US" w:eastAsia="zh-CN" w:bidi="ar-SA"/>
        </w:rPr>
      </w:pPr>
      <w:r>
        <w:rPr>
          <w:rFonts w:hint="eastAsia" w:ascii="仿宋_GB2312" w:hAnsi="仿宋_GB2312" w:eastAsia="仿宋_GB2312" w:cs="仿宋_GB2312"/>
          <w:b/>
          <w:bCs/>
          <w:kern w:val="2"/>
          <w:sz w:val="32"/>
          <w:szCs w:val="32"/>
          <w:lang w:val="en-US" w:eastAsia="zh-CN" w:bidi="ar-SA"/>
        </w:rPr>
        <w:t>五、经费预算：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Calibri" w:eastAsia="仿宋_GB2312" w:cs="Times New Roman"/>
          <w:kern w:val="0"/>
          <w:sz w:val="32"/>
          <w:szCs w:val="24"/>
          <w:lang w:val="en-US" w:eastAsia="zh-CN" w:bidi="ar-SA"/>
        </w:rPr>
        <w:t>567万元以内。</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六、研究周期：</w:t>
      </w:r>
      <w:r>
        <w:rPr>
          <w:rFonts w:hint="eastAsia" w:ascii="仿宋_GB2312" w:hAnsi="Calibri" w:eastAsia="仿宋_GB2312" w:cs="Times New Roman"/>
          <w:kern w:val="0"/>
          <w:sz w:val="32"/>
          <w:szCs w:val="24"/>
          <w:lang w:val="en-US" w:eastAsia="zh-CN" w:bidi="ar-SA"/>
        </w:rPr>
        <w:t>36个月</w:t>
      </w:r>
    </w:p>
    <w:p>
      <w:pPr>
        <w:widowControl w:val="0"/>
        <w:autoSpaceDE w:val="0"/>
        <w:autoSpaceDN w:val="0"/>
        <w:adjustRightInd w:val="0"/>
        <w:spacing w:after="0" w:line="360" w:lineRule="auto"/>
        <w:ind w:firstLine="643" w:firstLineChars="200"/>
        <w:jc w:val="both"/>
        <w:textAlignment w:val="baseline"/>
        <w:outlineLvl w:val="0"/>
        <w:rPr>
          <w:rFonts w:hint="default" w:ascii="仿宋_GB2312" w:hAnsi="Calibri" w:eastAsia="仿宋_GB2312" w:cs="Times New Roman"/>
          <w:b/>
          <w:bCs/>
          <w:kern w:val="0"/>
          <w:sz w:val="32"/>
          <w:szCs w:val="24"/>
          <w:lang w:val="en-US" w:eastAsia="zh-CN" w:bidi="ar-SA"/>
        </w:rPr>
      </w:pPr>
      <w:r>
        <w:rPr>
          <w:rFonts w:hint="eastAsia" w:ascii="仿宋_GB2312" w:hAnsi="Calibri" w:eastAsia="仿宋_GB2312" w:cs="Times New Roman"/>
          <w:b/>
          <w:bCs/>
          <w:kern w:val="0"/>
          <w:sz w:val="32"/>
          <w:szCs w:val="24"/>
          <w:lang w:val="en-US" w:eastAsia="zh-CN" w:bidi="ar-SA"/>
        </w:rPr>
        <w:t>七、项目联系人及电话：</w:t>
      </w:r>
    </w:p>
    <w:p>
      <w:pPr>
        <w:widowControl/>
        <w:numPr>
          <w:ilvl w:val="1"/>
          <w:numId w:val="0"/>
        </w:numPr>
        <w:tabs>
          <w:tab w:val="left" w:pos="360"/>
          <w:tab w:val="left" w:pos="1814"/>
        </w:tabs>
        <w:spacing w:line="360" w:lineRule="auto"/>
        <w:ind w:left="640"/>
        <w:jc w:val="both"/>
        <w:rPr>
          <w:rFonts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项目联系人：三梅英</w:t>
      </w: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联系电话：15897088075</w:t>
      </w: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widowControl/>
        <w:numPr>
          <w:ilvl w:val="1"/>
          <w:numId w:val="0"/>
        </w:numPr>
        <w:tabs>
          <w:tab w:val="left" w:pos="360"/>
          <w:tab w:val="left" w:pos="1814"/>
        </w:tabs>
        <w:spacing w:line="360" w:lineRule="auto"/>
        <w:ind w:left="640"/>
        <w:jc w:val="both"/>
        <w:rPr>
          <w:rFonts w:hint="eastAsia" w:ascii="仿宋_GB2312" w:hAnsi="仿宋_GB2312" w:eastAsia="仿宋_GB2312" w:cs="仿宋_GB2312"/>
          <w:b w:val="0"/>
          <w:bCs/>
          <w:kern w:val="2"/>
          <w:sz w:val="32"/>
          <w:szCs w:val="32"/>
          <w:lang w:val="en-US" w:eastAsia="zh-CN" w:bidi="ar-SA"/>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项目5：基于集控系统的机组状态评价及故障诊断技术研究与应用</w:t>
      </w:r>
    </w:p>
    <w:p>
      <w:pPr>
        <w:pStyle w:val="2"/>
        <w:numPr>
          <w:ilvl w:val="1"/>
          <w:numId w:val="0"/>
        </w:numPr>
        <w:ind w:left="1838" w:leftChars="0"/>
        <w:rPr>
          <w:rFonts w:hint="eastAsia"/>
          <w:lang w:val="en-US" w:eastAsia="zh-CN"/>
        </w:rPr>
      </w:pPr>
    </w:p>
    <w:p>
      <w:pPr>
        <w:widowControl/>
        <w:numPr>
          <w:ilvl w:val="0"/>
          <w:numId w:val="5"/>
        </w:numPr>
        <w:spacing w:line="360" w:lineRule="auto"/>
        <w:ind w:left="1302" w:leftChars="0" w:hanging="672" w:firstLineChars="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攻关难题和攻关内容：</w:t>
      </w:r>
      <w:r>
        <w:rPr>
          <w:rFonts w:hint="eastAsia" w:ascii="仿宋_GB2312" w:hAnsi="仿宋_GB2312" w:eastAsia="仿宋_GB2312" w:cs="仿宋_GB2312"/>
          <w:b w:val="0"/>
          <w:kern w:val="2"/>
          <w:sz w:val="32"/>
          <w:szCs w:val="32"/>
          <w:lang w:val="en-US" w:eastAsia="zh-CN" w:bidi="ar-SA"/>
        </w:rPr>
        <w:t xml:space="preserve"> </w:t>
      </w:r>
    </w:p>
    <w:p>
      <w:pPr>
        <w:widowControl/>
        <w:autoSpaceDE w:val="0"/>
        <w:autoSpaceDN w:val="0"/>
        <w:adjustRightInd/>
        <w:spacing w:after="200" w:line="276" w:lineRule="auto"/>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ab/>
      </w:r>
      <w:r>
        <w:rPr>
          <w:rFonts w:hint="eastAsia" w:ascii="仿宋_GB2312" w:hAnsi="仿宋_GB2312" w:eastAsia="仿宋_GB2312" w:cs="仿宋_GB2312"/>
          <w:b w:val="0"/>
          <w:bCs w:val="0"/>
          <w:kern w:val="0"/>
          <w:sz w:val="32"/>
          <w:szCs w:val="32"/>
          <w:lang w:val="en-US" w:eastAsia="zh-CN" w:bidi="ar-SA"/>
        </w:rPr>
        <w:t>1.攻关难题：</w:t>
      </w:r>
    </w:p>
    <w:p>
      <w:pPr>
        <w:numPr>
          <w:ilvl w:val="0"/>
          <w:numId w:val="0"/>
        </w:numPr>
        <w:spacing w:after="200" w:line="360" w:lineRule="auto"/>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（1）</w:t>
      </w:r>
      <w:r>
        <w:rPr>
          <w:rFonts w:hint="eastAsia" w:ascii="仿宋_GB2312" w:hAnsi="仿宋_GB2312" w:eastAsia="仿宋_GB2312" w:cs="仿宋_GB2312"/>
          <w:kern w:val="0"/>
          <w:sz w:val="32"/>
          <w:szCs w:val="32"/>
        </w:rPr>
        <w:t>各电站机组状态监测系统都部署在现地，集控中心无法实时掌握设备状态。机组状态数据，尤其是各种高频原始数据量大，远程传输存在困难；</w:t>
      </w:r>
    </w:p>
    <w:p>
      <w:pPr>
        <w:numPr>
          <w:ilvl w:val="0"/>
          <w:numId w:val="0"/>
        </w:numPr>
        <w:spacing w:after="200" w:line="360" w:lineRule="auto"/>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（2）</w:t>
      </w:r>
      <w:r>
        <w:rPr>
          <w:rFonts w:hint="eastAsia" w:ascii="仿宋_GB2312" w:hAnsi="仿宋_GB2312" w:eastAsia="仿宋_GB2312" w:cs="仿宋_GB2312"/>
          <w:kern w:val="0"/>
          <w:sz w:val="32"/>
          <w:szCs w:val="32"/>
        </w:rPr>
        <w:t>状态监测系统与监控系统彼此独立，数据没有穿透融合，</w:t>
      </w:r>
      <w:r>
        <w:rPr>
          <w:rFonts w:hint="eastAsia" w:ascii="仿宋_GB2312" w:hAnsi="仿宋_GB2312" w:eastAsia="仿宋_GB2312" w:cs="仿宋_GB2312"/>
          <w:kern w:val="0"/>
          <w:sz w:val="32"/>
          <w:szCs w:val="32"/>
          <w:lang w:eastAsia="zh-CN"/>
        </w:rPr>
        <w:t>集控运行</w:t>
      </w:r>
      <w:r>
        <w:rPr>
          <w:rFonts w:hint="eastAsia" w:ascii="仿宋_GB2312" w:hAnsi="仿宋_GB2312" w:eastAsia="仿宋_GB2312" w:cs="仿宋_GB2312"/>
          <w:kern w:val="0"/>
          <w:sz w:val="32"/>
          <w:szCs w:val="32"/>
        </w:rPr>
        <w:t>数据</w:t>
      </w:r>
      <w:r>
        <w:rPr>
          <w:rFonts w:hint="eastAsia" w:ascii="仿宋_GB2312" w:hAnsi="仿宋_GB2312" w:eastAsia="仿宋_GB2312" w:cs="仿宋_GB2312"/>
          <w:kern w:val="0"/>
          <w:sz w:val="32"/>
          <w:szCs w:val="32"/>
          <w:lang w:eastAsia="zh-CN"/>
        </w:rPr>
        <w:t>、在线监测数据等</w:t>
      </w:r>
      <w:r>
        <w:rPr>
          <w:rFonts w:hint="eastAsia" w:ascii="仿宋_GB2312" w:hAnsi="仿宋_GB2312" w:eastAsia="仿宋_GB2312" w:cs="仿宋_GB2312"/>
          <w:kern w:val="0"/>
          <w:sz w:val="32"/>
          <w:szCs w:val="32"/>
        </w:rPr>
        <w:t>价值没有得到充分挖掘；</w:t>
      </w:r>
    </w:p>
    <w:p>
      <w:pPr>
        <w:numPr>
          <w:ilvl w:val="0"/>
          <w:numId w:val="0"/>
        </w:numPr>
        <w:spacing w:after="200" w:line="360" w:lineRule="auto"/>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（3）</w:t>
      </w:r>
      <w:r>
        <w:rPr>
          <w:rFonts w:hint="eastAsia" w:ascii="仿宋_GB2312" w:hAnsi="仿宋_GB2312" w:eastAsia="仿宋_GB2312" w:cs="仿宋_GB2312"/>
          <w:kern w:val="0"/>
          <w:sz w:val="32"/>
          <w:szCs w:val="32"/>
        </w:rPr>
        <w:t>水轮发电机组结构和运行复杂，当前的状态监测系统可视化程度低，状态评价和故障诊断模型少，准确度低</w:t>
      </w:r>
      <w:r>
        <w:rPr>
          <w:rFonts w:hint="eastAsia" w:ascii="仿宋_GB2312" w:hAnsi="仿宋_GB2312" w:eastAsia="仿宋_GB2312" w:cs="仿宋_GB2312"/>
          <w:kern w:val="0"/>
          <w:sz w:val="32"/>
          <w:szCs w:val="32"/>
          <w:lang w:eastAsia="zh-CN"/>
        </w:rPr>
        <w:t>，智能化程度低，</w:t>
      </w:r>
      <w:r>
        <w:rPr>
          <w:rFonts w:hint="eastAsia" w:ascii="仿宋_GB2312" w:hAnsi="仿宋_GB2312" w:eastAsia="仿宋_GB2312" w:cs="仿宋_GB2312"/>
          <w:kern w:val="0"/>
          <w:sz w:val="32"/>
          <w:szCs w:val="32"/>
        </w:rPr>
        <w:t>不利于</w:t>
      </w:r>
      <w:r>
        <w:rPr>
          <w:rFonts w:hint="eastAsia" w:ascii="仿宋_GB2312" w:hAnsi="仿宋_GB2312" w:eastAsia="仿宋_GB2312" w:cs="仿宋_GB2312"/>
          <w:kern w:val="0"/>
          <w:sz w:val="32"/>
          <w:szCs w:val="32"/>
          <w:lang w:eastAsia="zh-CN"/>
        </w:rPr>
        <w:t>水电站集控运行</w:t>
      </w:r>
      <w:r>
        <w:rPr>
          <w:rFonts w:hint="eastAsia" w:ascii="仿宋_GB2312" w:hAnsi="仿宋_GB2312" w:eastAsia="仿宋_GB2312" w:cs="仿宋_GB2312"/>
          <w:kern w:val="0"/>
          <w:sz w:val="32"/>
          <w:szCs w:val="32"/>
        </w:rPr>
        <w:t>。</w:t>
      </w:r>
    </w:p>
    <w:p>
      <w:pPr>
        <w:widowControl/>
        <w:autoSpaceDE w:val="0"/>
        <w:autoSpaceDN w:val="0"/>
        <w:adjustRightInd/>
        <w:spacing w:after="200" w:line="276" w:lineRule="auto"/>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2.攻关内容：</w:t>
      </w:r>
    </w:p>
    <w:p>
      <w:pPr>
        <w:widowControl/>
        <w:numPr>
          <w:ilvl w:val="0"/>
          <w:numId w:val="0"/>
        </w:numPr>
        <w:spacing w:line="360" w:lineRule="auto"/>
        <w:ind w:firstLine="640" w:firstLineChars="200"/>
        <w:jc w:val="both"/>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本项目开发一套基于集控中心的</w:t>
      </w:r>
      <w:r>
        <w:rPr>
          <w:rFonts w:ascii="仿宋_GB2312" w:hAnsi="仿宋_GB2312" w:eastAsia="仿宋_GB2312" w:cs="仿宋_GB2312"/>
          <w:b w:val="0"/>
          <w:kern w:val="0"/>
          <w:sz w:val="32"/>
          <w:szCs w:val="32"/>
          <w:lang w:val="en-US" w:eastAsia="zh-CN" w:bidi="ar-SA"/>
        </w:rPr>
        <w:t>机组状态评价及故障诊断系统</w:t>
      </w:r>
      <w:r>
        <w:rPr>
          <w:rFonts w:hint="eastAsia" w:ascii="仿宋_GB2312" w:hAnsi="仿宋_GB2312" w:eastAsia="仿宋_GB2312" w:cs="仿宋_GB2312"/>
          <w:b w:val="0"/>
          <w:kern w:val="0"/>
          <w:sz w:val="32"/>
          <w:szCs w:val="32"/>
          <w:lang w:val="en-US" w:eastAsia="zh-CN" w:bidi="ar-SA"/>
        </w:rPr>
        <w:t>，攻关研究内容主要包括：</w:t>
      </w:r>
    </w:p>
    <w:p>
      <w:pPr>
        <w:spacing w:after="200" w:line="276" w:lineRule="auto"/>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研究高频数据远程传输技术，开发</w:t>
      </w:r>
      <w:r>
        <w:rPr>
          <w:rFonts w:ascii="仿宋_GB2312" w:hAnsi="仿宋_GB2312" w:eastAsia="仿宋_GB2312" w:cs="仿宋_GB2312"/>
          <w:kern w:val="0"/>
          <w:sz w:val="32"/>
          <w:szCs w:val="32"/>
        </w:rPr>
        <w:t>数据传输软件，实现高频数据的实时、完整、稳定、可靠的远程传输；</w:t>
      </w:r>
    </w:p>
    <w:p>
      <w:pPr>
        <w:spacing w:after="200" w:line="276" w:lineRule="auto"/>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ascii="仿宋_GB2312" w:hAnsi="仿宋_GB2312" w:eastAsia="仿宋_GB2312" w:cs="仿宋_GB2312"/>
          <w:kern w:val="0"/>
          <w:sz w:val="32"/>
          <w:szCs w:val="32"/>
        </w:rPr>
        <w:t>在集控</w:t>
      </w:r>
      <w:r>
        <w:rPr>
          <w:rFonts w:hint="eastAsia" w:ascii="仿宋_GB2312" w:hAnsi="仿宋_GB2312" w:eastAsia="仿宋_GB2312" w:cs="仿宋_GB2312"/>
          <w:kern w:val="0"/>
          <w:sz w:val="32"/>
          <w:szCs w:val="32"/>
          <w:lang w:val="en-US" w:eastAsia="zh-CN"/>
        </w:rPr>
        <w:t>侧</w:t>
      </w:r>
      <w:r>
        <w:rPr>
          <w:rFonts w:ascii="仿宋_GB2312" w:hAnsi="仿宋_GB2312" w:eastAsia="仿宋_GB2312" w:cs="仿宋_GB2312"/>
          <w:kern w:val="0"/>
          <w:sz w:val="32"/>
          <w:szCs w:val="32"/>
        </w:rPr>
        <w:t>建立机组状态数据平台，接入</w:t>
      </w:r>
      <w:r>
        <w:rPr>
          <w:rFonts w:hint="eastAsia" w:ascii="仿宋_GB2312" w:hAnsi="仿宋_GB2312" w:eastAsia="仿宋_GB2312" w:cs="仿宋_GB2312"/>
          <w:kern w:val="0"/>
          <w:sz w:val="32"/>
          <w:szCs w:val="32"/>
          <w:lang w:val="en-US" w:eastAsia="zh-CN"/>
        </w:rPr>
        <w:t>公司</w:t>
      </w:r>
      <w:r>
        <w:rPr>
          <w:rFonts w:ascii="仿宋_GB2312" w:hAnsi="仿宋_GB2312" w:eastAsia="仿宋_GB2312" w:cs="仿宋_GB2312"/>
          <w:kern w:val="0"/>
          <w:sz w:val="32"/>
          <w:szCs w:val="32"/>
        </w:rPr>
        <w:t>属</w:t>
      </w:r>
      <w:r>
        <w:rPr>
          <w:rFonts w:hint="eastAsia" w:ascii="仿宋_GB2312" w:hAnsi="仿宋_GB2312" w:eastAsia="仿宋_GB2312" w:cs="仿宋_GB2312"/>
          <w:kern w:val="0"/>
          <w:sz w:val="32"/>
          <w:szCs w:val="32"/>
          <w:lang w:val="en-US" w:eastAsia="zh-CN"/>
        </w:rPr>
        <w:t>水</w:t>
      </w:r>
      <w:r>
        <w:rPr>
          <w:rFonts w:hint="eastAsia" w:ascii="仿宋_GB2312" w:hAnsi="仿宋_GB2312" w:eastAsia="仿宋_GB2312" w:cs="仿宋_GB2312"/>
          <w:kern w:val="0"/>
          <w:sz w:val="32"/>
          <w:szCs w:val="32"/>
        </w:rPr>
        <w:t>电站机组状态监测系统数据，</w:t>
      </w:r>
      <w:r>
        <w:rPr>
          <w:rFonts w:ascii="仿宋_GB2312" w:hAnsi="仿宋_GB2312" w:eastAsia="仿宋_GB2312" w:cs="仿宋_GB2312"/>
          <w:kern w:val="0"/>
          <w:sz w:val="32"/>
          <w:szCs w:val="32"/>
        </w:rPr>
        <w:t>实现数据的统一管理、存储以及状态监测系统和集控系统数据穿透融合；</w:t>
      </w:r>
    </w:p>
    <w:p>
      <w:pPr>
        <w:spacing w:after="200" w:line="276" w:lineRule="auto"/>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（3）</w:t>
      </w:r>
      <w:r>
        <w:rPr>
          <w:rFonts w:ascii="仿宋_GB2312" w:hAnsi="仿宋_GB2312" w:eastAsia="仿宋_GB2312" w:cs="仿宋_GB2312"/>
          <w:kern w:val="0"/>
          <w:sz w:val="32"/>
          <w:szCs w:val="32"/>
        </w:rPr>
        <w:t>研究基于数据孪生的机组状态监测技术，开发机组三维模型及可视化监测软件，实现机组状态的三维可视化监测；</w:t>
      </w:r>
    </w:p>
    <w:p>
      <w:pPr>
        <w:spacing w:after="200" w:line="276" w:lineRule="auto"/>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研究机组</w:t>
      </w:r>
      <w:r>
        <w:rPr>
          <w:rFonts w:hint="eastAsia" w:ascii="仿宋_GB2312" w:hAnsi="仿宋_GB2312" w:eastAsia="仿宋_GB2312" w:cs="仿宋_GB2312"/>
          <w:kern w:val="0"/>
          <w:sz w:val="32"/>
          <w:szCs w:val="32"/>
          <w:lang w:val="en-US" w:eastAsia="zh-CN"/>
        </w:rPr>
        <w:t>分析、预警诊断及状态评价</w:t>
      </w:r>
      <w:r>
        <w:rPr>
          <w:rFonts w:hint="eastAsia" w:ascii="仿宋_GB2312" w:hAnsi="仿宋_GB2312" w:eastAsia="仿宋_GB2312" w:cs="仿宋_GB2312"/>
          <w:kern w:val="0"/>
          <w:sz w:val="32"/>
          <w:szCs w:val="32"/>
        </w:rPr>
        <w:t>技术，开发机组</w:t>
      </w:r>
      <w:r>
        <w:rPr>
          <w:rFonts w:hint="eastAsia" w:ascii="仿宋_GB2312" w:hAnsi="仿宋_GB2312" w:eastAsia="仿宋_GB2312" w:cs="仿宋_GB2312"/>
          <w:kern w:val="0"/>
          <w:sz w:val="32"/>
          <w:szCs w:val="32"/>
          <w:lang w:val="en-US" w:eastAsia="zh-CN"/>
        </w:rPr>
        <w:t>分析、预警诊断及评价</w:t>
      </w:r>
      <w:r>
        <w:rPr>
          <w:rFonts w:hint="eastAsia" w:ascii="仿宋_GB2312" w:hAnsi="仿宋_GB2312" w:eastAsia="仿宋_GB2312" w:cs="仿宋_GB2312"/>
          <w:kern w:val="0"/>
          <w:sz w:val="32"/>
          <w:szCs w:val="32"/>
        </w:rPr>
        <w:t>软件,联合状态监测系统及监控系统数据，实现机组状态的实时、全面、准确的状态评价及诊断。</w:t>
      </w:r>
    </w:p>
    <w:p>
      <w:pPr>
        <w:widowControl/>
        <w:numPr>
          <w:ilvl w:val="0"/>
          <w:numId w:val="5"/>
        </w:numPr>
        <w:spacing w:line="360" w:lineRule="auto"/>
        <w:ind w:left="1302" w:leftChars="0" w:hanging="672" w:firstLine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攻关后希望达到的预期目标、技术指标、预期成果：</w:t>
      </w:r>
    </w:p>
    <w:p>
      <w:pPr>
        <w:widowControl/>
        <w:numPr>
          <w:ilvl w:val="0"/>
          <w:numId w:val="0"/>
        </w:numPr>
        <w:spacing w:line="360" w:lineRule="auto"/>
        <w:ind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（一）预期目标：</w:t>
      </w:r>
    </w:p>
    <w:p>
      <w:pPr>
        <w:widowControl w:val="0"/>
        <w:spacing w:before="156" w:beforeLines="50"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（1）开发出高频数据远程传输软件1套，具有数据压缩传输功能，支持断点续传。软件支持的最高传输速率不小于50M/s，高频数据压缩率小于50%，支持7天内数据的断点续传；</w:t>
      </w:r>
    </w:p>
    <w:p>
      <w:pPr>
        <w:widowControl w:val="0"/>
        <w:spacing w:before="156" w:beforeLines="50"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（2）开发出机组状态数据管理平台软件1套，具有机组状态监测系统数据压缩存储和管理功能，数据库测点空间不小于10万个，读写速度高于50万点/秒；</w:t>
      </w:r>
    </w:p>
    <w:p>
      <w:pPr>
        <w:widowControl w:val="0"/>
        <w:spacing w:before="156" w:beforeLines="50"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（3）开发出三维可视化监测软件1套，能将机组状态数据和三维模型结合展示。软件支持不少于10个电站机组的三维模型。三维模型支持360°旋转，支持局部拆解和缩放。</w:t>
      </w:r>
    </w:p>
    <w:p>
      <w:pPr>
        <w:widowControl w:val="0"/>
        <w:spacing w:before="156" w:beforeLines="50" w:after="0" w:line="360" w:lineRule="auto"/>
        <w:ind w:firstLine="640" w:firstLineChars="200"/>
        <w:jc w:val="both"/>
        <w:rPr>
          <w:rFonts w:hint="eastAsia"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highlight w:val="none"/>
          <w:lang w:val="en-US" w:eastAsia="zh-CN" w:bidi="ar-SA"/>
        </w:rPr>
        <w:t>开发出机组分析、预警诊断及状态评价软件1套，包含设备诊断和状态评价两个模块。设备诊断模块能够对水电设备进行远程分析、预警和诊断，其中分析功能模块不少于3</w:t>
      </w:r>
      <w:r>
        <w:rPr>
          <w:rFonts w:ascii="仿宋_GB2312" w:hAnsi="仿宋_GB2312" w:eastAsia="仿宋_GB2312" w:cs="仿宋_GB2312"/>
          <w:kern w:val="0"/>
          <w:sz w:val="32"/>
          <w:szCs w:val="32"/>
          <w:highlight w:val="none"/>
          <w:lang w:val="en-US" w:eastAsia="zh-CN" w:bidi="ar-SA"/>
        </w:rPr>
        <w:t>0</w:t>
      </w:r>
      <w:r>
        <w:rPr>
          <w:rFonts w:hint="eastAsia" w:ascii="仿宋_GB2312" w:hAnsi="仿宋_GB2312" w:eastAsia="仿宋_GB2312" w:cs="仿宋_GB2312"/>
          <w:kern w:val="0"/>
          <w:sz w:val="32"/>
          <w:szCs w:val="32"/>
          <w:highlight w:val="none"/>
          <w:lang w:val="en-US" w:eastAsia="zh-CN" w:bidi="ar-SA"/>
        </w:rPr>
        <w:t>项，预警指标不少于</w:t>
      </w:r>
      <w:r>
        <w:rPr>
          <w:rFonts w:ascii="仿宋_GB2312" w:hAnsi="仿宋_GB2312" w:eastAsia="仿宋_GB2312" w:cs="仿宋_GB2312"/>
          <w:kern w:val="0"/>
          <w:sz w:val="32"/>
          <w:szCs w:val="32"/>
          <w:highlight w:val="none"/>
          <w:lang w:val="en-US" w:eastAsia="zh-CN" w:bidi="ar-SA"/>
        </w:rPr>
        <w:t>50</w:t>
      </w:r>
      <w:r>
        <w:rPr>
          <w:rFonts w:hint="eastAsia" w:ascii="仿宋_GB2312" w:hAnsi="仿宋_GB2312" w:eastAsia="仿宋_GB2312" w:cs="仿宋_GB2312"/>
          <w:kern w:val="0"/>
          <w:sz w:val="32"/>
          <w:szCs w:val="32"/>
          <w:highlight w:val="none"/>
          <w:lang w:val="en-US" w:eastAsia="zh-CN" w:bidi="ar-SA"/>
        </w:rPr>
        <w:t>个，故障诊断模型不少于2</w:t>
      </w:r>
      <w:r>
        <w:rPr>
          <w:rFonts w:ascii="仿宋_GB2312" w:hAnsi="仿宋_GB2312" w:eastAsia="仿宋_GB2312" w:cs="仿宋_GB2312"/>
          <w:kern w:val="0"/>
          <w:sz w:val="32"/>
          <w:szCs w:val="32"/>
          <w:highlight w:val="none"/>
          <w:lang w:val="en-US" w:eastAsia="zh-CN" w:bidi="ar-SA"/>
        </w:rPr>
        <w:t>0</w:t>
      </w:r>
      <w:r>
        <w:rPr>
          <w:rFonts w:hint="eastAsia" w:ascii="仿宋_GB2312" w:hAnsi="仿宋_GB2312" w:eastAsia="仿宋_GB2312" w:cs="仿宋_GB2312"/>
          <w:kern w:val="0"/>
          <w:sz w:val="32"/>
          <w:szCs w:val="32"/>
          <w:highlight w:val="none"/>
          <w:lang w:val="en-US" w:eastAsia="zh-CN" w:bidi="ar-SA"/>
        </w:rPr>
        <w:t>个。状态评价模块能够对机组状态进行自动评价，并生成状态报告，其中机组状态自动评价报告1项，设备异常专项分析报告不少于</w:t>
      </w:r>
      <w:r>
        <w:rPr>
          <w:rFonts w:ascii="仿宋_GB2312" w:hAnsi="仿宋_GB2312" w:eastAsia="仿宋_GB2312" w:cs="仿宋_GB2312"/>
          <w:kern w:val="0"/>
          <w:sz w:val="32"/>
          <w:szCs w:val="32"/>
          <w:highlight w:val="none"/>
          <w:lang w:val="en-US" w:eastAsia="zh-CN" w:bidi="ar-SA"/>
        </w:rPr>
        <w:t>5</w:t>
      </w:r>
      <w:r>
        <w:rPr>
          <w:rFonts w:hint="eastAsia" w:ascii="仿宋_GB2312" w:hAnsi="仿宋_GB2312" w:eastAsia="仿宋_GB2312" w:cs="仿宋_GB2312"/>
          <w:kern w:val="0"/>
          <w:sz w:val="32"/>
          <w:szCs w:val="32"/>
          <w:highlight w:val="none"/>
          <w:lang w:val="en-US" w:eastAsia="zh-CN" w:bidi="ar-SA"/>
        </w:rPr>
        <w:t>项。所有报告均支持自定义时间选取及一键导出功能。</w:t>
      </w:r>
    </w:p>
    <w:p>
      <w:pPr>
        <w:widowControl w:val="0"/>
        <w:spacing w:before="156" w:beforeLines="50" w:after="0" w:line="360" w:lineRule="auto"/>
        <w:ind w:firstLine="640" w:firstLineChars="20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（5）形成技术方案1份，功能验证测试报告1份，安全测试报告1份；</w:t>
      </w:r>
    </w:p>
    <w:p>
      <w:pPr>
        <w:widowControl/>
        <w:numPr>
          <w:ilvl w:val="0"/>
          <w:numId w:val="0"/>
        </w:numPr>
        <w:spacing w:line="360" w:lineRule="auto"/>
        <w:ind w:firstLine="640"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（二）技术指标：</w:t>
      </w:r>
    </w:p>
    <w:p>
      <w:pPr>
        <w:widowControl w:val="0"/>
        <w:spacing w:before="156" w:beforeLines="50"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可靠性指标：</w:t>
      </w:r>
    </w:p>
    <w:p>
      <w:pPr>
        <w:widowControl w:val="0"/>
        <w:numPr>
          <w:ilvl w:val="0"/>
          <w:numId w:val="6"/>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高频数据远程传输的丢失率&lt;0.01%；</w:t>
      </w:r>
    </w:p>
    <w:p>
      <w:pPr>
        <w:widowControl w:val="0"/>
        <w:numPr>
          <w:ilvl w:val="0"/>
          <w:numId w:val="6"/>
        </w:numPr>
        <w:spacing w:before="156" w:beforeLines="50" w:after="0" w:line="360" w:lineRule="auto"/>
        <w:ind w:left="1560" w:hanging="360" w:firstLineChars="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系统平均无故障时间</w:t>
      </w:r>
      <w:r>
        <w:rPr>
          <w:rFonts w:ascii="仿宋_GB2312" w:hAnsi="仿宋_GB2312" w:eastAsia="仿宋_GB2312" w:cs="仿宋_GB2312"/>
          <w:kern w:val="0"/>
          <w:sz w:val="32"/>
          <w:szCs w:val="32"/>
          <w:lang w:val="en-US" w:eastAsia="zh-CN" w:bidi="ar-SA"/>
        </w:rPr>
        <w:t>(MTBF)</w:t>
      </w:r>
      <w:r>
        <w:rPr>
          <w:rFonts w:hint="eastAsia" w:ascii="仿宋_GB2312" w:hAnsi="仿宋_GB2312" w:eastAsia="仿宋_GB2312" w:cs="仿宋_GB2312"/>
          <w:kern w:val="0"/>
          <w:sz w:val="32"/>
          <w:szCs w:val="32"/>
          <w:lang w:val="en-US" w:eastAsia="zh-CN" w:bidi="ar-SA"/>
        </w:rPr>
        <w:t>&gt;</w:t>
      </w:r>
      <w:r>
        <w:rPr>
          <w:rFonts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lang w:val="en-US" w:eastAsia="zh-CN" w:bidi="ar-SA"/>
        </w:rPr>
        <w:t>2</w:t>
      </w:r>
      <w:r>
        <w:rPr>
          <w:rFonts w:ascii="仿宋_GB2312" w:hAnsi="仿宋_GB2312" w:eastAsia="仿宋_GB2312" w:cs="仿宋_GB2312"/>
          <w:kern w:val="0"/>
          <w:sz w:val="32"/>
          <w:szCs w:val="32"/>
          <w:lang w:val="en-US" w:eastAsia="zh-CN" w:bidi="ar-SA"/>
        </w:rPr>
        <w:t>0000</w:t>
      </w:r>
      <w:r>
        <w:rPr>
          <w:rFonts w:hint="eastAsia" w:ascii="仿宋_GB2312" w:hAnsi="仿宋_GB2312" w:eastAsia="仿宋_GB2312" w:cs="仿宋_GB2312"/>
          <w:kern w:val="0"/>
          <w:sz w:val="32"/>
          <w:szCs w:val="32"/>
          <w:lang w:val="en-US" w:eastAsia="zh-CN" w:bidi="ar-SA"/>
        </w:rPr>
        <w:t>h；</w:t>
      </w:r>
    </w:p>
    <w:p>
      <w:pPr>
        <w:widowControl w:val="0"/>
        <w:numPr>
          <w:ilvl w:val="0"/>
          <w:numId w:val="6"/>
        </w:numPr>
        <w:spacing w:before="156" w:beforeLines="50" w:after="0" w:line="360" w:lineRule="auto"/>
        <w:ind w:left="1560" w:hanging="360" w:firstLineChars="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系统平均故障修复时间</w:t>
      </w:r>
      <w:r>
        <w:rPr>
          <w:rFonts w:ascii="仿宋_GB2312" w:hAnsi="仿宋_GB2312" w:eastAsia="仿宋_GB2312" w:cs="仿宋_GB2312"/>
          <w:kern w:val="0"/>
          <w:sz w:val="32"/>
          <w:szCs w:val="32"/>
          <w:lang w:val="en-US" w:eastAsia="zh-CN" w:bidi="ar-SA"/>
        </w:rPr>
        <w:t>(MTTR)</w:t>
      </w:r>
      <w:r>
        <w:rPr>
          <w:rFonts w:hint="eastAsia" w:ascii="仿宋_GB2312" w:hAnsi="仿宋_GB2312" w:eastAsia="仿宋_GB2312" w:cs="仿宋_GB2312"/>
          <w:kern w:val="0"/>
          <w:sz w:val="32"/>
          <w:szCs w:val="32"/>
          <w:lang w:val="en-US" w:eastAsia="zh-CN" w:bidi="ar-SA"/>
        </w:rPr>
        <w:t>&lt;0.5h；</w:t>
      </w:r>
    </w:p>
    <w:p>
      <w:pPr>
        <w:widowControl w:val="0"/>
        <w:spacing w:before="156" w:beforeLines="50" w:after="0" w:line="360" w:lineRule="auto"/>
        <w:ind w:left="640" w:firstLine="0" w:firstLineChars="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实时性指标：</w:t>
      </w:r>
    </w:p>
    <w:p>
      <w:pPr>
        <w:widowControl w:val="0"/>
        <w:numPr>
          <w:ilvl w:val="0"/>
          <w:numId w:val="7"/>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数据库读写速度&gt;50万点/s；</w:t>
      </w:r>
    </w:p>
    <w:p>
      <w:pPr>
        <w:widowControl w:val="0"/>
        <w:numPr>
          <w:ilvl w:val="0"/>
          <w:numId w:val="7"/>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系统实时数据刷新间隔&lt;5s；</w:t>
      </w:r>
    </w:p>
    <w:p>
      <w:pPr>
        <w:widowControl w:val="0"/>
        <w:numPr>
          <w:ilvl w:val="0"/>
          <w:numId w:val="7"/>
        </w:numPr>
        <w:spacing w:before="156" w:beforeLines="50" w:after="0" w:line="360" w:lineRule="auto"/>
        <w:ind w:left="1560" w:hanging="360" w:firstLineChars="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系统调用新画面的响应时间&lt;2s；</w:t>
      </w:r>
    </w:p>
    <w:p>
      <w:pPr>
        <w:widowControl w:val="0"/>
        <w:spacing w:before="156" w:beforeLines="50" w:after="0" w:line="360" w:lineRule="auto"/>
        <w:ind w:left="640" w:firstLine="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容量指标：</w:t>
      </w:r>
    </w:p>
    <w:p>
      <w:pPr>
        <w:widowControl w:val="0"/>
        <w:numPr>
          <w:ilvl w:val="0"/>
          <w:numId w:val="8"/>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高频数据远程传输软件支持的最高传输速率&gt;50M/s；</w:t>
      </w:r>
    </w:p>
    <w:p>
      <w:pPr>
        <w:widowControl w:val="0"/>
        <w:numPr>
          <w:ilvl w:val="0"/>
          <w:numId w:val="8"/>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数据库可用测点空间&gt;10万点；</w:t>
      </w:r>
    </w:p>
    <w:p>
      <w:pPr>
        <w:widowControl w:val="0"/>
        <w:numPr>
          <w:ilvl w:val="0"/>
          <w:numId w:val="8"/>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数据存储压缩率小于50%,在100000个测点、20T存储容量的条件下数据存储年限&gt;10年；</w:t>
      </w:r>
    </w:p>
    <w:p>
      <w:pPr>
        <w:widowControl w:val="0"/>
        <w:spacing w:before="156" w:beforeLines="50" w:after="0" w:line="360" w:lineRule="auto"/>
        <w:ind w:left="640" w:firstLine="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功能性指标：</w:t>
      </w:r>
    </w:p>
    <w:p>
      <w:pPr>
        <w:widowControl w:val="0"/>
        <w:numPr>
          <w:ilvl w:val="0"/>
          <w:numId w:val="9"/>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b/>
      </w:r>
      <w:r>
        <w:rPr>
          <w:rFonts w:hint="eastAsia" w:ascii="仿宋_GB2312" w:hAnsi="仿宋_GB2312" w:eastAsia="仿宋_GB2312" w:cs="仿宋_GB2312"/>
          <w:kern w:val="0"/>
          <w:sz w:val="32"/>
          <w:szCs w:val="32"/>
          <w:lang w:val="en-US" w:eastAsia="zh-CN" w:bidi="ar-SA"/>
        </w:rPr>
        <w:t>可视化软件支持的三维模型≥10种；</w:t>
      </w:r>
    </w:p>
    <w:p>
      <w:pPr>
        <w:widowControl w:val="0"/>
        <w:numPr>
          <w:ilvl w:val="0"/>
          <w:numId w:val="9"/>
        </w:numPr>
        <w:spacing w:before="156" w:beforeLines="50" w:after="0" w:line="360" w:lineRule="auto"/>
        <w:ind w:left="1560" w:hanging="360" w:firstLineChars="0"/>
        <w:jc w:val="both"/>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ab/>
      </w:r>
      <w:r>
        <w:rPr>
          <w:rFonts w:hint="eastAsia" w:ascii="仿宋_GB2312" w:hAnsi="仿宋_GB2312" w:eastAsia="仿宋_GB2312" w:cs="仿宋_GB2312"/>
          <w:kern w:val="0"/>
          <w:sz w:val="32"/>
          <w:szCs w:val="32"/>
          <w:highlight w:val="none"/>
          <w:lang w:val="en-US" w:eastAsia="zh-CN" w:bidi="ar-SA"/>
        </w:rPr>
        <w:t>分析功能模块&gt;30项，预警指标&gt;50个，故障诊断模型&gt;20个；</w:t>
      </w:r>
    </w:p>
    <w:p>
      <w:pPr>
        <w:widowControl w:val="0"/>
        <w:numPr>
          <w:ilvl w:val="0"/>
          <w:numId w:val="9"/>
        </w:numPr>
        <w:spacing w:before="156" w:beforeLines="50" w:after="0" w:line="360" w:lineRule="auto"/>
        <w:ind w:left="1560" w:hanging="36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b/>
      </w:r>
      <w:r>
        <w:rPr>
          <w:rFonts w:hint="eastAsia" w:ascii="仿宋_GB2312" w:hAnsi="仿宋_GB2312" w:eastAsia="仿宋_GB2312" w:cs="仿宋_GB2312"/>
          <w:kern w:val="0"/>
          <w:sz w:val="32"/>
          <w:szCs w:val="32"/>
          <w:lang w:val="en-US" w:eastAsia="zh-CN" w:bidi="ar-SA"/>
        </w:rPr>
        <w:t>状态评价报告&gt;6项，支持自定义时间选取和一键导出功能;</w:t>
      </w:r>
    </w:p>
    <w:p>
      <w:pPr>
        <w:widowControl/>
        <w:numPr>
          <w:ilvl w:val="0"/>
          <w:numId w:val="0"/>
        </w:numPr>
        <w:spacing w:line="360" w:lineRule="auto"/>
        <w:ind w:firstLine="640" w:firstLineChars="200"/>
        <w:jc w:val="both"/>
        <w:rPr>
          <w:rFonts w:hint="eastAsia"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val="0"/>
          <w:kern w:val="2"/>
          <w:sz w:val="32"/>
          <w:szCs w:val="32"/>
          <w:lang w:val="en-US" w:eastAsia="zh-CN" w:bidi="ar-SA"/>
        </w:rPr>
        <w:t>（三）预期成果：</w:t>
      </w:r>
    </w:p>
    <w:p>
      <w:pPr>
        <w:spacing w:after="20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本项目以</w:t>
      </w:r>
      <w:r>
        <w:rPr>
          <w:rFonts w:hint="eastAsia" w:ascii="仿宋_GB2312" w:hAnsi="仿宋_GB2312" w:eastAsia="仿宋_GB2312" w:cs="仿宋_GB2312"/>
          <w:kern w:val="0"/>
          <w:sz w:val="32"/>
          <w:szCs w:val="32"/>
          <w:lang w:eastAsia="zh-CN"/>
        </w:rPr>
        <w:t>水电</w:t>
      </w:r>
      <w:r>
        <w:rPr>
          <w:rFonts w:hint="eastAsia" w:ascii="仿宋_GB2312" w:hAnsi="仿宋_GB2312" w:eastAsia="仿宋_GB2312" w:cs="仿宋_GB2312"/>
          <w:kern w:val="0"/>
          <w:sz w:val="32"/>
          <w:szCs w:val="32"/>
        </w:rPr>
        <w:t>集控系统为依托，以专业模型、大数据技术、智能算法等技术手段和机组状态评价、故障诊断业务深度融合为主线，从高频数据远程可靠传输、大数据存储及管理、可视化监视、状态评价及故障诊断建模四个方面展开研究，全面汇集各站机组状态监测系统数据，在集控中心建设机组状态数据平台，开发状态评价及故障诊断数学模型，实现机组状态的远程可视化监视，提升机组状态评价及故障诊断的广度、深度和智能化水平，充分挖掘数据价值，全面、准确掌握机组状态，为保证机组的长期安全稳定运行提供技术支持。</w:t>
      </w:r>
      <w:r>
        <w:rPr>
          <w:rFonts w:hint="eastAsia" w:ascii="仿宋_GB2312" w:hAnsi="仿宋_GB2312" w:eastAsia="仿宋_GB2312" w:cs="仿宋_GB2312"/>
          <w:kern w:val="0"/>
          <w:sz w:val="32"/>
          <w:szCs w:val="32"/>
          <w:lang w:eastAsia="zh-CN"/>
        </w:rPr>
        <w:t>实现降低</w:t>
      </w:r>
      <w:r>
        <w:rPr>
          <w:rFonts w:hint="eastAsia" w:ascii="仿宋_GB2312" w:hAnsi="仿宋_GB2312" w:eastAsia="仿宋_GB2312" w:cs="仿宋_GB2312"/>
          <w:kern w:val="0"/>
          <w:sz w:val="32"/>
          <w:szCs w:val="32"/>
        </w:rPr>
        <w:t>运维成本、缩短停机时间，提高发电设备运行经济性</w:t>
      </w:r>
      <w:r>
        <w:rPr>
          <w:rFonts w:hint="eastAsia" w:ascii="仿宋_GB2312" w:hAnsi="仿宋_GB2312" w:eastAsia="仿宋_GB2312" w:cs="仿宋_GB2312"/>
          <w:kern w:val="0"/>
          <w:sz w:val="32"/>
          <w:szCs w:val="32"/>
          <w:lang w:eastAsia="zh-CN"/>
        </w:rPr>
        <w:t>目标，为</w:t>
      </w:r>
      <w:r>
        <w:rPr>
          <w:rFonts w:hint="eastAsia" w:ascii="仿宋_GB2312" w:hAnsi="仿宋_GB2312" w:eastAsia="仿宋_GB2312" w:cs="仿宋_GB2312"/>
          <w:kern w:val="0"/>
          <w:sz w:val="32"/>
          <w:szCs w:val="32"/>
        </w:rPr>
        <w:t>机组的状态检修提供有力的技术支撑</w:t>
      </w:r>
      <w:r>
        <w:rPr>
          <w:rFonts w:hint="eastAsia" w:ascii="仿宋_GB2312" w:hAnsi="仿宋_GB2312" w:eastAsia="仿宋_GB2312" w:cs="仿宋_GB2312"/>
          <w:kern w:val="0"/>
          <w:sz w:val="32"/>
          <w:szCs w:val="32"/>
          <w:lang w:eastAsia="zh-CN"/>
        </w:rPr>
        <w:t>，大幅</w:t>
      </w:r>
      <w:r>
        <w:rPr>
          <w:rFonts w:hint="eastAsia" w:ascii="仿宋_GB2312" w:hAnsi="仿宋_GB2312" w:eastAsia="仿宋_GB2312" w:cs="仿宋_GB2312"/>
          <w:kern w:val="0"/>
          <w:sz w:val="32"/>
          <w:szCs w:val="32"/>
        </w:rPr>
        <w:t>提升公司的数字化、智能化水平。</w:t>
      </w:r>
    </w:p>
    <w:p>
      <w:pPr>
        <w:widowControl/>
        <w:numPr>
          <w:ilvl w:val="0"/>
          <w:numId w:val="5"/>
        </w:numPr>
        <w:spacing w:line="360" w:lineRule="auto"/>
        <w:ind w:left="1302" w:leftChars="0" w:hanging="672" w:firstLine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对揭榜方要求：</w:t>
      </w:r>
    </w:p>
    <w:p>
      <w:pPr>
        <w:numPr>
          <w:ilvl w:val="0"/>
          <w:numId w:val="10"/>
        </w:numPr>
        <w:spacing w:after="200" w:line="276" w:lineRule="auto"/>
        <w:ind w:left="220" w:firstLine="4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揭榜方基本条件:</w:t>
      </w:r>
    </w:p>
    <w:p>
      <w:pPr>
        <w:topLinePunct/>
        <w:autoSpaceDE w:val="0"/>
        <w:spacing w:after="200" w:line="360" w:lineRule="auto"/>
        <w:ind w:firstLine="640" w:firstLineChars="200"/>
        <w:contextualSpacing/>
        <w:rPr>
          <w:rFonts w:hint="eastAsia" w:ascii="仿宋_GB2312" w:hAnsi="仿宋_GB2312" w:eastAsia="仿宋_GB2312" w:cs="仿宋_GB2312"/>
          <w:kern w:val="0"/>
          <w:sz w:val="32"/>
          <w:szCs w:val="32"/>
        </w:rPr>
      </w:pPr>
      <w:r>
        <w:rPr>
          <w:rFonts w:hint="eastAsia" w:ascii="仿宋_GB2312" w:hAnsi="仿宋_GB2312" w:eastAsia="仿宋_GB2312" w:cs="仿宋_GB2312"/>
          <w:bCs/>
          <w:color w:val="000000"/>
          <w:sz w:val="32"/>
          <w:szCs w:val="32"/>
          <w:lang w:val="en-US" w:eastAsia="zh-CN"/>
        </w:rPr>
        <w:t>揭榜方</w:t>
      </w:r>
      <w:r>
        <w:rPr>
          <w:rFonts w:hint="eastAsia" w:ascii="仿宋_GB2312" w:hAnsi="仿宋_GB2312" w:eastAsia="仿宋_GB2312" w:cs="仿宋_GB2312"/>
          <w:bCs/>
          <w:color w:val="000000"/>
          <w:sz w:val="32"/>
          <w:szCs w:val="32"/>
        </w:rPr>
        <w:t>必须是在中华人民共和国市场监督管理部门注册的，</w:t>
      </w:r>
      <w:r>
        <w:rPr>
          <w:rFonts w:hint="eastAsia" w:ascii="仿宋_GB2312" w:hAnsi="仿宋_GB2312" w:eastAsia="仿宋_GB2312" w:cs="仿宋_GB2312"/>
          <w:sz w:val="32"/>
          <w:szCs w:val="32"/>
        </w:rPr>
        <w:t>具有独立法人和一般纳税人资格的</w:t>
      </w:r>
      <w:r>
        <w:rPr>
          <w:rFonts w:hint="eastAsia" w:ascii="仿宋_GB2312" w:hAnsi="仿宋_GB2312" w:eastAsia="仿宋_GB2312" w:cs="仿宋_GB2312"/>
          <w:sz w:val="32"/>
          <w:szCs w:val="32"/>
          <w:lang w:eastAsia="zh-CN"/>
        </w:rPr>
        <w:t>电力科技研发</w:t>
      </w:r>
      <w:r>
        <w:rPr>
          <w:rFonts w:hint="eastAsia" w:ascii="仿宋_GB2312" w:hAnsi="仿宋_GB2312" w:eastAsia="仿宋_GB2312" w:cs="仿宋_GB2312"/>
          <w:sz w:val="32"/>
          <w:szCs w:val="32"/>
          <w:u w:val="none"/>
          <w:lang w:val="en-US" w:eastAsia="zh-CN"/>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应具有良好的企业信用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不存在被列为失信被执行人的情形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近三年财务和资信状况良好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没有财产被接管、冻结或处于亏损、破产状态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应提</w:t>
      </w:r>
      <w:r>
        <w:rPr>
          <w:rFonts w:hint="eastAsia" w:ascii="仿宋_GB2312" w:hAnsi="仿宋_GB2312" w:eastAsia="仿宋_GB2312" w:cs="仿宋_GB2312"/>
          <w:color w:val="000000"/>
          <w:sz w:val="32"/>
          <w:szCs w:val="32"/>
          <w:highlight w:val="none"/>
          <w:lang w:val="en-US" w:eastAsia="zh-CN"/>
        </w:rPr>
        <w:t>相关证明（如财务</w:t>
      </w:r>
      <w:r>
        <w:rPr>
          <w:rFonts w:hint="eastAsia" w:ascii="仿宋_GB2312" w:hAnsi="仿宋_GB2312" w:eastAsia="仿宋_GB2312" w:cs="仿宋_GB2312"/>
          <w:color w:val="000000"/>
          <w:sz w:val="32"/>
          <w:szCs w:val="32"/>
          <w:highlight w:val="none"/>
        </w:rPr>
        <w:t>审计报告</w:t>
      </w:r>
      <w:r>
        <w:rPr>
          <w:rFonts w:hint="eastAsia" w:ascii="仿宋_GB2312" w:hAnsi="仿宋_GB2312" w:eastAsia="仿宋_GB2312" w:cs="仿宋_GB2312"/>
          <w:color w:val="000000"/>
          <w:sz w:val="32"/>
          <w:szCs w:val="32"/>
          <w:highlight w:val="none"/>
          <w:lang w:val="en-US" w:eastAsia="zh-CN"/>
        </w:rPr>
        <w:t>或</w:t>
      </w:r>
      <w:r>
        <w:rPr>
          <w:rFonts w:hint="eastAsia" w:ascii="仿宋_GB2312" w:hAnsi="仿宋_GB2312" w:eastAsia="仿宋_GB2312" w:cs="仿宋_GB2312"/>
          <w:color w:val="000000"/>
          <w:sz w:val="32"/>
          <w:szCs w:val="32"/>
          <w:highlight w:val="none"/>
        </w:rPr>
        <w:t>报表、资信证明</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sz w:val="32"/>
          <w:szCs w:val="32"/>
          <w:highlight w:val="none"/>
        </w:rPr>
        <w:t>。</w:t>
      </w:r>
    </w:p>
    <w:p>
      <w:pPr>
        <w:numPr>
          <w:ilvl w:val="0"/>
          <w:numId w:val="11"/>
        </w:numPr>
        <w:spacing w:after="200" w:line="276" w:lineRule="auto"/>
        <w:ind w:left="220" w:firstLine="42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揭榜方技术条件:</w:t>
      </w:r>
    </w:p>
    <w:p>
      <w:pPr>
        <w:widowControl w:val="0"/>
        <w:numPr>
          <w:ilvl w:val="0"/>
          <w:numId w:val="0"/>
        </w:numPr>
        <w:spacing w:before="156" w:beforeLines="50" w:after="0" w:line="360" w:lineRule="auto"/>
        <w:ind w:left="0" w:firstLine="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（1）揭榜方应为高新技术企业，拥有软件开发、数据集成等经验，有能力完成数据集成及软件开发等任务。</w:t>
      </w:r>
    </w:p>
    <w:p>
      <w:pPr>
        <w:widowControl w:val="0"/>
        <w:numPr>
          <w:ilvl w:val="0"/>
          <w:numId w:val="0"/>
        </w:numPr>
        <w:spacing w:before="156" w:beforeLines="50" w:after="0" w:line="360" w:lineRule="auto"/>
        <w:ind w:left="0" w:firstLine="64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（2）揭榜方应具有较强的研发实力、科研条件和稳定的人员队伍等，获得过省部级以上科技奖项，有能力完成发榜单位提出的任务。</w:t>
      </w:r>
    </w:p>
    <w:p>
      <w:pPr>
        <w:widowControl w:val="0"/>
        <w:numPr>
          <w:ilvl w:val="0"/>
          <w:numId w:val="0"/>
        </w:numPr>
        <w:spacing w:before="156" w:beforeLines="50" w:after="0" w:line="360" w:lineRule="auto"/>
        <w:ind w:left="0" w:firstLine="64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（3）揭榜方应具备大型水电站机组状态监测系统设计或技术服务等工作经验，拥有机组状态评价及故障诊断专业团队。</w:t>
      </w:r>
    </w:p>
    <w:p>
      <w:pPr>
        <w:widowControl w:val="0"/>
        <w:numPr>
          <w:ilvl w:val="0"/>
          <w:numId w:val="0"/>
        </w:numPr>
        <w:spacing w:before="156" w:beforeLines="50" w:after="0" w:line="360" w:lineRule="auto"/>
        <w:ind w:left="0" w:firstLine="640" w:firstLine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（4）揭榜方应具备机组状态评价及故障诊断系统软件开发及应用能力，拥有自主知识产权的相关软件产品及应用案例。</w:t>
      </w:r>
    </w:p>
    <w:p>
      <w:pPr>
        <w:widowControl w:val="0"/>
        <w:numPr>
          <w:ilvl w:val="0"/>
          <w:numId w:val="0"/>
        </w:numPr>
        <w:spacing w:before="156" w:beforeLines="50" w:after="0" w:line="360" w:lineRule="auto"/>
        <w:ind w:left="0" w:firstLine="0" w:firstLineChars="0"/>
        <w:jc w:val="both"/>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（5）揭榜方应熟悉黄河上游公司水电站机组的结构特点及运行特性。</w:t>
      </w:r>
    </w:p>
    <w:p>
      <w:pPr>
        <w:widowControl/>
        <w:numPr>
          <w:ilvl w:val="0"/>
          <w:numId w:val="5"/>
        </w:numPr>
        <w:spacing w:line="360" w:lineRule="auto"/>
        <w:ind w:left="1302" w:leftChars="0" w:hanging="672" w:firstLineChars="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产权归属：</w:t>
      </w:r>
    </w:p>
    <w:p>
      <w:pPr>
        <w:widowControl w:val="0"/>
        <w:spacing w:before="156" w:beforeLines="50" w:after="0" w:line="360" w:lineRule="auto"/>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本项目采用联合研究方式，知识产权归甲方所有。形成的知识产权包括</w:t>
      </w:r>
      <w:r>
        <w:rPr>
          <w:rFonts w:hint="eastAsia" w:ascii="仿宋_GB2312" w:hAnsi="仿宋_GB2312" w:eastAsia="仿宋_GB2312" w:cs="仿宋_GB2312"/>
          <w:kern w:val="0"/>
          <w:sz w:val="32"/>
          <w:szCs w:val="32"/>
          <w:highlight w:val="none"/>
          <w:lang w:val="en-US" w:eastAsia="zh-CN" w:bidi="ar-SA"/>
        </w:rPr>
        <w:t>论文5篇，</w:t>
      </w:r>
      <w:r>
        <w:rPr>
          <w:rFonts w:hint="eastAsia" w:ascii="仿宋_GB2312" w:hAnsi="仿宋_GB2312" w:eastAsia="仿宋_GB2312" w:cs="仿宋_GB2312"/>
          <w:kern w:val="0"/>
          <w:sz w:val="32"/>
          <w:szCs w:val="32"/>
          <w:lang w:val="en-US" w:eastAsia="zh-CN" w:bidi="ar-SA"/>
        </w:rPr>
        <w:t>发明专利2项、软著4项。</w:t>
      </w:r>
    </w:p>
    <w:p>
      <w:pPr>
        <w:widowControl/>
        <w:numPr>
          <w:ilvl w:val="0"/>
          <w:numId w:val="5"/>
        </w:numPr>
        <w:spacing w:line="360" w:lineRule="auto"/>
        <w:ind w:left="1302" w:leftChars="0" w:hanging="672" w:firstLineChars="0"/>
        <w:jc w:val="both"/>
        <w:rPr>
          <w:rFonts w:hint="eastAsia" w:ascii="仿宋_GB2312" w:hAnsi="仿宋_GB2312" w:eastAsia="仿宋_GB2312" w:cs="仿宋_GB2312"/>
          <w:b/>
          <w:bCs/>
          <w:kern w:val="2"/>
          <w:sz w:val="21"/>
          <w:szCs w:val="21"/>
          <w:lang w:val="en-US" w:eastAsia="zh-CN" w:bidi="ar-SA"/>
        </w:rPr>
      </w:pPr>
      <w:r>
        <w:rPr>
          <w:rFonts w:hint="eastAsia" w:ascii="仿宋_GB2312" w:hAnsi="仿宋_GB2312" w:eastAsia="仿宋_GB2312" w:cs="仿宋_GB2312"/>
          <w:b/>
          <w:bCs/>
          <w:kern w:val="2"/>
          <w:sz w:val="32"/>
          <w:szCs w:val="32"/>
          <w:lang w:val="en-US" w:eastAsia="zh-CN" w:bidi="ar-SA"/>
        </w:rPr>
        <w:t>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bCs w:val="0"/>
          <w:kern w:val="2"/>
          <w:sz w:val="32"/>
          <w:szCs w:val="32"/>
          <w:lang w:val="en-US" w:eastAsia="zh-CN" w:bidi="ar-SA"/>
        </w:rPr>
        <w:t>465.4万元以内。</w:t>
      </w:r>
    </w:p>
    <w:p>
      <w:pPr>
        <w:widowControl/>
        <w:numPr>
          <w:ilvl w:val="0"/>
          <w:numId w:val="0"/>
        </w:numPr>
        <w:spacing w:line="360" w:lineRule="auto"/>
        <w:ind w:firstLine="643" w:firstLineChars="20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六、研究周期：</w:t>
      </w:r>
      <w:r>
        <w:rPr>
          <w:rFonts w:hint="eastAsia" w:ascii="仿宋_GB2312" w:hAnsi="仿宋_GB2312" w:eastAsia="仿宋_GB2312" w:cs="仿宋_GB2312"/>
          <w:b w:val="0"/>
          <w:kern w:val="2"/>
          <w:sz w:val="32"/>
          <w:szCs w:val="32"/>
          <w:lang w:val="en-US" w:eastAsia="zh-CN" w:bidi="ar-SA"/>
        </w:rPr>
        <w:t>24个月</w:t>
      </w:r>
    </w:p>
    <w:p>
      <w:pPr>
        <w:widowControl/>
        <w:numPr>
          <w:ilvl w:val="0"/>
          <w:numId w:val="0"/>
        </w:numPr>
        <w:ind w:firstLine="643" w:firstLineChars="20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七、项目联系人及电话：</w:t>
      </w:r>
    </w:p>
    <w:p>
      <w:pPr>
        <w:widowControl/>
        <w:numPr>
          <w:ilvl w:val="0"/>
          <w:numId w:val="0"/>
        </w:numPr>
        <w:spacing w:line="360" w:lineRule="auto"/>
        <w:ind w:left="640"/>
        <w:jc w:val="both"/>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项目联系人：三梅英</w:t>
      </w:r>
    </w:p>
    <w:p>
      <w:pPr>
        <w:widowControl/>
        <w:numPr>
          <w:ilvl w:val="0"/>
          <w:numId w:val="0"/>
        </w:numPr>
        <w:spacing w:line="360" w:lineRule="auto"/>
        <w:ind w:left="640"/>
        <w:jc w:val="both"/>
        <w:rPr>
          <w:rFonts w:hint="eastAsia" w:ascii="Times New Roman" w:hAnsi="Times New Roman" w:eastAsia="黑体" w:cs="Times New Roman"/>
          <w:b/>
          <w:kern w:val="2"/>
          <w:sz w:val="21"/>
          <w:szCs w:val="22"/>
          <w:lang w:val="en-US" w:eastAsia="zh-CN" w:bidi="ar-SA"/>
        </w:rPr>
      </w:pPr>
      <w:r>
        <w:rPr>
          <w:rFonts w:hint="eastAsia" w:ascii="仿宋_GB2312" w:hAnsi="仿宋_GB2312" w:eastAsia="仿宋_GB2312" w:cs="仿宋_GB2312"/>
          <w:b w:val="0"/>
          <w:bCs/>
          <w:kern w:val="2"/>
          <w:sz w:val="32"/>
          <w:szCs w:val="32"/>
          <w:lang w:val="en-US" w:eastAsia="zh-CN" w:bidi="ar-SA"/>
        </w:rPr>
        <w:t>联系电话：15897088075</w:t>
      </w:r>
    </w:p>
    <w:p>
      <w:pPr>
        <w:widowControl/>
        <w:numPr>
          <w:ilvl w:val="0"/>
          <w:numId w:val="0"/>
        </w:numPr>
        <w:spacing w:line="360" w:lineRule="auto"/>
        <w:ind w:left="640"/>
        <w:jc w:val="both"/>
        <w:rPr>
          <w:rFonts w:hint="eastAsia" w:ascii="仿宋_GB2312" w:hAnsi="仿宋_GB2312" w:eastAsia="仿宋_GB2312" w:cs="仿宋_GB2312"/>
          <w:b w:val="0"/>
          <w:bCs/>
          <w:kern w:val="2"/>
          <w:sz w:val="32"/>
          <w:szCs w:val="32"/>
          <w:lang w:val="en-US" w:eastAsia="zh-CN" w:bidi="ar-SA"/>
        </w:rPr>
      </w:pPr>
    </w:p>
    <w:p>
      <w:pPr>
        <w:pStyle w:val="5"/>
        <w:rPr>
          <w:rFonts w:hint="eastAsia" w:eastAsia="黑体"/>
          <w:lang w:eastAsia="zh-CN"/>
        </w:rPr>
      </w:pPr>
    </w:p>
    <w:p>
      <w:pPr>
        <w:rPr>
          <w:rFonts w:hint="default" w:eastAsia="黑体"/>
          <w:lang w:val="en-US" w:eastAsia="zh-CN"/>
        </w:rPr>
      </w:pPr>
      <w:r>
        <w:rPr>
          <w:rFonts w:hint="default" w:eastAsia="黑体"/>
          <w:lang w:val="en-US" w:eastAsia="zh-CN"/>
        </w:rPr>
        <w:br w:type="page"/>
      </w: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项目6：高海拔超超临界锅炉新疆煤掺烧防结焦技术研究及应用</w:t>
      </w:r>
    </w:p>
    <w:p>
      <w:pPr>
        <w:pStyle w:val="2"/>
        <w:numPr>
          <w:ilvl w:val="1"/>
          <w:numId w:val="0"/>
        </w:numPr>
        <w:ind w:left="1838" w:leftChars="0"/>
        <w:rPr>
          <w:rFonts w:hint="eastAsia"/>
          <w:lang w:val="en-US" w:eastAsia="zh-CN"/>
        </w:rPr>
      </w:pPr>
    </w:p>
    <w:p>
      <w:pPr>
        <w:widowControl/>
        <w:numPr>
          <w:ilvl w:val="0"/>
          <w:numId w:val="0"/>
        </w:numPr>
        <w:spacing w:line="360" w:lineRule="auto"/>
        <w:ind w:left="640"/>
        <w:jc w:val="both"/>
        <w:rPr>
          <w:rFonts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bCs/>
          <w:kern w:val="2"/>
          <w:sz w:val="32"/>
          <w:szCs w:val="32"/>
          <w:lang w:val="en-US" w:eastAsia="zh-CN" w:bidi="ar-SA"/>
        </w:rPr>
        <w:t>一、攻关难题和攻关内容：</w:t>
      </w:r>
      <w:r>
        <w:rPr>
          <w:rFonts w:ascii="仿宋_GB2312" w:hAnsi="仿宋_GB2312" w:eastAsia="仿宋_GB2312" w:cs="仿宋_GB2312"/>
          <w:b w:val="0"/>
          <w:kern w:val="2"/>
          <w:sz w:val="21"/>
          <w:szCs w:val="21"/>
          <w:lang w:val="en-US" w:eastAsia="zh-CN" w:bidi="ar-SA"/>
        </w:rPr>
        <w:t xml:space="preserve"> </w:t>
      </w:r>
    </w:p>
    <w:p>
      <w:pPr>
        <w:pStyle w:val="19"/>
        <w:ind w:firstLine="64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近年来，随着煤电机组承担的能源保供兜底保障作用凸显，青海省内煤炭产能缺口巨大、供需严重不平衡，为了确保能源保供燃煤需求，并有效压控发电燃煤成本，黄河公司所属煤电企业自2020年秋季开始大比例采购并掺烧新疆准东煤（以下简称“疆煤”），我厂根据来煤结构，煤场严格实行划区域管理，按照热值、硫份、挥发份,灰熔点等指标特性分区域堆放。锅炉侧采取分仓错层配煤的方式，利用高灰、低钠煤燃烧的灰，将疆</w:t>
      </w:r>
      <w:r>
        <w:rPr>
          <w:rFonts w:hint="eastAsia" w:ascii="仿宋_GB2312" w:hAnsi="仿宋_GB2312" w:eastAsia="仿宋_GB2312" w:cs="仿宋_GB2312"/>
          <w:color w:val="auto"/>
          <w:sz w:val="32"/>
          <w:szCs w:val="32"/>
          <w:lang w:eastAsia="zh-CN"/>
        </w:rPr>
        <w:t>煤</w:t>
      </w:r>
      <w:r>
        <w:rPr>
          <w:rFonts w:hint="eastAsia" w:ascii="仿宋_GB2312" w:hAnsi="仿宋_GB2312" w:eastAsia="仿宋_GB2312" w:cs="仿宋_GB2312"/>
          <w:color w:val="auto"/>
          <w:sz w:val="32"/>
          <w:szCs w:val="32"/>
        </w:rPr>
        <w:t>进行稀释，有利于保证配煤燃烧后的充分混合，也能较早的抑制疆煤结焦影响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同时为防止高负荷尾部烟道产生严重的结渣沾污，顶层磨</w:t>
      </w:r>
      <w:r>
        <w:rPr>
          <w:rFonts w:hint="eastAsia" w:ascii="仿宋_GB2312" w:hAnsi="仿宋_GB2312" w:eastAsia="仿宋_GB2312" w:cs="仿宋_GB2312"/>
          <w:color w:val="auto"/>
          <w:sz w:val="32"/>
          <w:szCs w:val="32"/>
          <w:lang w:eastAsia="zh-CN"/>
        </w:rPr>
        <w:t>尽量不</w:t>
      </w:r>
      <w:r>
        <w:rPr>
          <w:rFonts w:hint="eastAsia" w:ascii="仿宋_GB2312" w:hAnsi="仿宋_GB2312" w:eastAsia="仿宋_GB2312" w:cs="仿宋_GB2312"/>
          <w:color w:val="auto"/>
          <w:sz w:val="32"/>
          <w:szCs w:val="32"/>
        </w:rPr>
        <w:t>燃烧疆煤或控制投入量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但在燃用疆煤初期，遇到了严重的锅炉受热面沾污、结渣、结焦问题，锅炉安全稳定运行存在一定风险。</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基于疆煤掺烧遇到的问题，提出以西宁发电分公司2×660MW超超临界机组为主要研究对象，开展超超临界机组高比例掺烧疆煤的运行调整优化方案和设备改造技术措施研究，应用先进成熟的受热面沾污监控措施，有效防止锅炉受热面结焦、沾污，提供必要的监控预警技术手段，确保各负荷工况下高比例掺烧疆煤时的安全稳定运行。同时西宁热电公司2×350MW超临界机组和大通发电公司2×300MW亚临界机组开展关联研究，提出合理有效的高比例掺烧疆煤的运行调整优化和设备改造技术方案。</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ascii="仿宋_GB2312" w:hAnsi="仿宋_GB2312" w:eastAsia="仿宋_GB2312" w:cs="仿宋_GB2312"/>
          <w:sz w:val="32"/>
          <w:szCs w:val="32"/>
        </w:rPr>
        <w:t>课题</w:t>
      </w:r>
      <w:r>
        <w:rPr>
          <w:rFonts w:hint="eastAsia" w:ascii="仿宋_GB2312" w:hAnsi="仿宋_GB2312" w:eastAsia="仿宋_GB2312" w:cs="仿宋_GB2312"/>
          <w:sz w:val="32"/>
          <w:szCs w:val="32"/>
        </w:rPr>
        <w:t>攻关的主要技术难点如下：</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（1）结焦沾污区域的监测和预警；</w:t>
      </w:r>
    </w:p>
    <w:p>
      <w:pPr>
        <w:pStyle w:val="19"/>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各温度区间受热面的传热特性和结渣沾污特性存在很大的差异，如何有效地对结焦沾污区域进行及时、精准的监测和预警是个难题，目前在役机组锅炉缺乏有效的监控和预警。</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（2）解决机组满负荷长时间大比例燃烧疆煤锅炉水冷壁及高温受热面严重结焦的问题；</w:t>
      </w:r>
    </w:p>
    <w:p>
      <w:pPr>
        <w:pStyle w:val="19"/>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疆煤的结渣沾污是一个多因素共同作用的结果，各因素之间相互制约，如何综合性的考虑，通过静态/动态燃烧优化，使得锅炉得到精细化燃烧控制的前提还能自适应深度学习，达到运行长期处于较佳的水平。</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（3）缓解在700～1000℃烟温范围，受热面强沾污的问题。</w:t>
      </w:r>
    </w:p>
    <w:p>
      <w:pPr>
        <w:pStyle w:val="19"/>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烟气温度是影响新疆煤沾污、结渣程度的最关键影响因素，当掺烧比例进一步提高到</w:t>
      </w:r>
      <w:r>
        <w:rPr>
          <w:rFonts w:hint="eastAsia" w:ascii="仿宋_GB2312" w:hAnsi="仿宋_GB2312" w:eastAsia="仿宋_GB2312" w:cs="仿宋_GB2312"/>
          <w:sz w:val="32"/>
          <w:szCs w:val="32"/>
        </w:rPr>
        <w:t>高比例掺烧</w:t>
      </w:r>
      <w:r>
        <w:rPr>
          <w:rFonts w:ascii="仿宋_GB2312" w:hAnsi="仿宋_GB2312" w:eastAsia="仿宋_GB2312" w:cs="仿宋_GB2312"/>
          <w:sz w:val="32"/>
          <w:szCs w:val="32"/>
        </w:rPr>
        <w:t>疆煤时，煤粉颗粒的表面温度相对更高，煤灰部分熔融的阶段提前，进一步强化了结渣和沾污。</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本课题主要攻关内容如下：</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（1）精确的在线实时受热面受污染情况监控；</w:t>
      </w:r>
    </w:p>
    <w:p>
      <w:pPr>
        <w:pStyle w:val="19"/>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通过加装测点，基于烟温、受热面壁温、汽水参数等对各级受热面的吸热、烟气放热比例进行监测，计算各级受热面的沾污系数，对受热面受污染情况进行实时的监测和预警。</w:t>
      </w:r>
    </w:p>
    <w:p>
      <w:pPr>
        <w:pStyle w:val="19"/>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（2）静态/动态燃烧优化控制技术。</w:t>
      </w:r>
    </w:p>
    <w:p>
      <w:pPr>
        <w:pStyle w:val="19"/>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大比例燃烧疆煤的核心技术在于提高锅炉的燃烧自动控制水平，降低火焰中心，强化煤粉的燃尽特性。基于疆煤沾污结焦特性、锅炉设计，开展静态/动态的精细燃烧优化，得到静态/动态过程中的相关函数关系式，以此对制粉系统、二次风系统、一次风系统、燃尽风、协调控制系统等控制逻辑进行优化，提高锅炉燃烧的自动化控制水平，并通过关键受热面出口烟温高低，判断炉膛内燃烧过程的控制效果。</w:t>
      </w:r>
    </w:p>
    <w:p>
      <w:pPr>
        <w:widowControl/>
        <w:numPr>
          <w:ilvl w:val="0"/>
          <w:numId w:val="0"/>
        </w:numPr>
        <w:spacing w:line="360" w:lineRule="auto"/>
        <w:ind w:left="64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二、攻关后希望达到的预期目标、技术指标、预期成果：</w:t>
      </w:r>
    </w:p>
    <w:p>
      <w:pPr>
        <w:widowControl/>
        <w:numPr>
          <w:ilvl w:val="0"/>
          <w:numId w:val="0"/>
        </w:numPr>
        <w:spacing w:line="360" w:lineRule="auto"/>
        <w:ind w:left="640"/>
        <w:jc w:val="both"/>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（一）预期目标：</w:t>
      </w:r>
    </w:p>
    <w:p>
      <w:pPr>
        <w:pStyle w:val="19"/>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开发出锅炉受热面沾污结焦预警的软件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套，锅炉</w:t>
      </w:r>
      <w:r>
        <w:rPr>
          <w:rFonts w:ascii="仿宋_GB2312" w:hAnsi="仿宋_GB2312" w:eastAsia="仿宋_GB2312" w:cs="仿宋_GB2312"/>
          <w:sz w:val="32"/>
          <w:szCs w:val="32"/>
        </w:rPr>
        <w:t>关键受热面增加红外监测装置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锅炉结焦情况、积灰程度、结焦位置等信息的间接监视和数字可视化展示</w:t>
      </w:r>
      <w:r>
        <w:rPr>
          <w:rFonts w:hint="eastAsia" w:ascii="仿宋_GB2312" w:hAnsi="仿宋_GB2312" w:eastAsia="仿宋_GB2312" w:cs="仿宋_GB2312"/>
          <w:sz w:val="32"/>
          <w:szCs w:val="32"/>
        </w:rPr>
        <w:t>；同步开展锅炉燃烧优化调整，对制粉系统、二次风系统、一次风系统、燃尽风、协调控制系统等控制逻辑进行优化，提高锅炉燃烧的自动化控制水平，控制关键受热面烟气温度，实现高海拔超超临界锅炉75%大比例掺烧疆煤，确保各负荷工况下不发生锅炉大面积结焦、沾污、超温等安全稳定运行风险。</w:t>
      </w:r>
    </w:p>
    <w:p>
      <w:pPr>
        <w:widowControl/>
        <w:numPr>
          <w:ilvl w:val="0"/>
          <w:numId w:val="0"/>
        </w:numPr>
        <w:spacing w:line="360" w:lineRule="auto"/>
        <w:ind w:left="640"/>
        <w:jc w:val="both"/>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（二）技术指标：</w:t>
      </w:r>
    </w:p>
    <w:p>
      <w:pPr>
        <w:adjustRightInd w:val="0"/>
        <w:spacing w:after="0" w:line="360" w:lineRule="auto"/>
        <w:ind w:firstLine="640" w:firstLineChars="200"/>
        <w:textAlignment w:val="baseline"/>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.开发出锅炉受热面沾污结焦预警的软件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w:t>
      </w:r>
      <w:r>
        <w:rPr>
          <w:rFonts w:ascii="仿宋_GB2312" w:hAnsi="仿宋_GB2312" w:eastAsia="仿宋_GB2312" w:cs="仿宋_GB2312"/>
          <w:sz w:val="32"/>
          <w:szCs w:val="32"/>
        </w:rPr>
        <w:t>通过在</w:t>
      </w:r>
      <w:r>
        <w:rPr>
          <w:rFonts w:hint="eastAsia" w:ascii="仿宋_GB2312" w:hAnsi="仿宋_GB2312" w:eastAsia="仿宋_GB2312" w:cs="仿宋_GB2312"/>
          <w:sz w:val="32"/>
          <w:szCs w:val="32"/>
        </w:rPr>
        <w:t>锅炉</w:t>
      </w:r>
      <w:r>
        <w:rPr>
          <w:rFonts w:ascii="仿宋_GB2312" w:hAnsi="仿宋_GB2312" w:eastAsia="仿宋_GB2312" w:cs="仿宋_GB2312"/>
          <w:sz w:val="32"/>
          <w:szCs w:val="32"/>
        </w:rPr>
        <w:t>关键受热面增加红外监测装置，基于</w:t>
      </w:r>
      <w:r>
        <w:rPr>
          <w:rFonts w:hint="eastAsia" w:ascii="仿宋_GB2312" w:hAnsi="仿宋_GB2312" w:eastAsia="仿宋_GB2312" w:cs="仿宋_GB2312"/>
          <w:sz w:val="32"/>
          <w:szCs w:val="32"/>
        </w:rPr>
        <w:t>大</w:t>
      </w:r>
      <w:r>
        <w:rPr>
          <w:rFonts w:ascii="仿宋_GB2312" w:hAnsi="仿宋_GB2312" w:eastAsia="仿宋_GB2312" w:cs="仿宋_GB2312"/>
          <w:sz w:val="32"/>
          <w:szCs w:val="32"/>
        </w:rPr>
        <w:t>量的烟温、壁温数据以及飞灰颗粒沉积分布特性进行计算，得到锅炉受热面的沾污系数，并在此基础上进行锅炉结焦情况、积灰程度、结焦位置等信息的间接监视和数字可视化展示</w:t>
      </w:r>
      <w:r>
        <w:rPr>
          <w:rFonts w:hint="eastAsia" w:ascii="仿宋_GB2312" w:hAnsi="仿宋_GB2312" w:eastAsia="仿宋_GB2312" w:cs="仿宋_GB2312"/>
          <w:sz w:val="32"/>
          <w:szCs w:val="32"/>
        </w:rPr>
        <w:t>。软件具备锅炉</w:t>
      </w:r>
      <w:r>
        <w:rPr>
          <w:rFonts w:ascii="仿宋_GB2312" w:hAnsi="仿宋_GB2312" w:eastAsia="仿宋_GB2312" w:cs="仿宋_GB2312"/>
          <w:sz w:val="32"/>
          <w:szCs w:val="32"/>
        </w:rPr>
        <w:t>受热面</w:t>
      </w:r>
      <w:r>
        <w:rPr>
          <w:rFonts w:hint="eastAsia" w:ascii="仿宋_GB2312" w:hAnsi="仿宋_GB2312" w:eastAsia="仿宋_GB2312" w:cs="仿宋_GB2312"/>
          <w:sz w:val="32"/>
          <w:szCs w:val="32"/>
        </w:rPr>
        <w:t>壁温</w:t>
      </w:r>
      <w:r>
        <w:rPr>
          <w:rFonts w:ascii="仿宋_GB2312" w:hAnsi="仿宋_GB2312" w:eastAsia="仿宋_GB2312" w:cs="仿宋_GB2312"/>
          <w:sz w:val="32"/>
          <w:szCs w:val="32"/>
        </w:rPr>
        <w:t>管理、积灰结焦</w:t>
      </w:r>
      <w:r>
        <w:rPr>
          <w:rFonts w:hint="eastAsia" w:ascii="仿宋_GB2312" w:hAnsi="仿宋_GB2312" w:eastAsia="仿宋_GB2312" w:cs="仿宋_GB2312"/>
          <w:sz w:val="32"/>
          <w:szCs w:val="32"/>
        </w:rPr>
        <w:t>监测和</w:t>
      </w:r>
      <w:r>
        <w:rPr>
          <w:rFonts w:ascii="仿宋_GB2312" w:hAnsi="仿宋_GB2312" w:eastAsia="仿宋_GB2312" w:cs="仿宋_GB2312"/>
          <w:sz w:val="32"/>
          <w:szCs w:val="32"/>
        </w:rPr>
        <w:t>预警</w:t>
      </w:r>
      <w:r>
        <w:rPr>
          <w:rFonts w:hint="eastAsia" w:ascii="仿宋_GB2312" w:hAnsi="仿宋_GB2312" w:eastAsia="仿宋_GB2312" w:cs="仿宋_GB2312"/>
          <w:sz w:val="32"/>
          <w:szCs w:val="32"/>
        </w:rPr>
        <w:t>板块，能实现锅炉受热面积灰结焦监测可视化展示及预警功能，</w:t>
      </w:r>
      <w:r>
        <w:rPr>
          <w:rFonts w:hint="eastAsia" w:ascii="仿宋_GB2312" w:hAnsi="仿宋_GB2312" w:eastAsia="仿宋_GB2312" w:cs="仿宋_GB2312"/>
          <w:color w:val="auto"/>
          <w:sz w:val="32"/>
          <w:szCs w:val="32"/>
        </w:rPr>
        <w:t>软件系统积灰结焦监测实时展示、</w:t>
      </w:r>
      <w:r>
        <w:rPr>
          <w:rFonts w:hint="eastAsia" w:ascii="仿宋_GB2312" w:hAnsi="仿宋_GB2312" w:eastAsia="仿宋_GB2312" w:cs="仿宋_GB2312"/>
          <w:color w:val="auto"/>
          <w:sz w:val="32"/>
          <w:szCs w:val="32"/>
          <w:lang w:eastAsia="zh-CN"/>
        </w:rPr>
        <w:t>指定</w:t>
      </w:r>
      <w:r>
        <w:rPr>
          <w:rFonts w:hint="eastAsia" w:ascii="仿宋_GB2312" w:hAnsi="仿宋_GB2312" w:eastAsia="仿宋_GB2312" w:cs="仿宋_GB2312"/>
          <w:color w:val="auto"/>
          <w:sz w:val="32"/>
          <w:szCs w:val="32"/>
        </w:rPr>
        <w:t>识别区域</w:t>
      </w:r>
      <w:r>
        <w:rPr>
          <w:rFonts w:hint="eastAsia" w:ascii="仿宋_GB2312" w:hAnsi="仿宋_GB2312" w:eastAsia="仿宋_GB2312" w:cs="仿宋_GB2312"/>
          <w:color w:val="auto"/>
          <w:sz w:val="32"/>
          <w:szCs w:val="32"/>
          <w:lang w:eastAsia="zh-CN"/>
        </w:rPr>
        <w:t>（锅炉水冷壁、屏过、过热器、再热器）</w:t>
      </w:r>
      <w:r>
        <w:rPr>
          <w:rFonts w:hint="eastAsia" w:ascii="仿宋_GB2312" w:hAnsi="仿宋_GB2312" w:eastAsia="仿宋_GB2312" w:cs="仿宋_GB2312"/>
          <w:color w:val="auto"/>
          <w:sz w:val="32"/>
          <w:szCs w:val="32"/>
        </w:rPr>
        <w:t>精准度达到100%，预警有效性达到100%；</w:t>
      </w:r>
    </w:p>
    <w:p>
      <w:pPr>
        <w:adjustRightInd w:val="0"/>
        <w:spacing w:after="0"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锅炉受热面沾污结焦预警的软件的基础上，以锅炉温度梯度控制为原则，开展全程静态/动态的精细燃烧优化。结合锅炉防结焦低温燃烧技术研究成果，对制粉系统、二次风系统、一次风系统、燃尽风、协调控制系统等控制逻辑进行优化，提高锅炉燃烧的自动化控制水平，控制关键受热面烟气温度，实现高海拔超超临界锅炉75%大比例掺烧疆煤。</w:t>
      </w:r>
    </w:p>
    <w:p>
      <w:pPr>
        <w:adjustRightInd w:val="0"/>
        <w:spacing w:after="0" w:line="360" w:lineRule="auto"/>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（1）在100%负荷即660MW运行时，不低于连续15天75%大比例掺烧新疆煤，锅炉安全稳定运行；</w:t>
      </w:r>
    </w:p>
    <w:p>
      <w:pPr>
        <w:adjustRightInd w:val="0"/>
        <w:spacing w:after="0" w:line="360" w:lineRule="auto"/>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（2）在90%及以上负荷运行时，不低于连续1个月75%大比例掺烧新疆煤，锅炉安全稳定运行；</w:t>
      </w:r>
    </w:p>
    <w:p>
      <w:pPr>
        <w:adjustRightInd w:val="0"/>
        <w:spacing w:after="0" w:line="360" w:lineRule="auto"/>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（3）若无连续运行的高负荷，则综合高、中、低负荷运行下，不低于2个月75%大比例掺烧新疆煤，锅炉安全稳定运行。</w:t>
      </w:r>
    </w:p>
    <w:p>
      <w:pPr>
        <w:widowControl/>
        <w:numPr>
          <w:ilvl w:val="0"/>
          <w:numId w:val="0"/>
        </w:numPr>
        <w:spacing w:line="360" w:lineRule="auto"/>
        <w:ind w:left="640"/>
        <w:jc w:val="both"/>
        <w:rPr>
          <w:rFonts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val="0"/>
          <w:kern w:val="2"/>
          <w:sz w:val="32"/>
          <w:szCs w:val="32"/>
          <w:lang w:val="en-US" w:eastAsia="zh-CN" w:bidi="ar-SA"/>
        </w:rPr>
        <w:t>（三）预期成果：</w:t>
      </w:r>
      <w:r>
        <w:rPr>
          <w:rFonts w:hint="eastAsia" w:ascii="仿宋_GB2312" w:hAnsi="仿宋_GB2312" w:eastAsia="仿宋_GB2312" w:cs="仿宋_GB2312"/>
          <w:b w:val="0"/>
          <w:kern w:val="2"/>
          <w:sz w:val="21"/>
          <w:szCs w:val="21"/>
          <w:lang w:val="en-US" w:eastAsia="zh-CN" w:bidi="ar-SA"/>
        </w:rPr>
        <w:t xml:space="preserve"> </w:t>
      </w:r>
    </w:p>
    <w:p>
      <w:pPr>
        <w:adjustRightInd w:val="0"/>
        <w:spacing w:after="0"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申请受理发明专利1项，实用新型专利2项，发表3篇核心期刊论文，</w:t>
      </w:r>
      <w:r>
        <w:rPr>
          <w:rFonts w:hint="eastAsia" w:ascii="仿宋_GB2312" w:hAnsi="仿宋_GB2312" w:eastAsia="仿宋_GB2312" w:cs="仿宋_GB2312"/>
          <w:color w:val="auto"/>
          <w:sz w:val="32"/>
          <w:szCs w:val="32"/>
          <w:lang w:eastAsia="zh-CN"/>
        </w:rPr>
        <w:t>申请软件著作权</w:t>
      </w:r>
      <w:r>
        <w:rPr>
          <w:rFonts w:hint="eastAsia" w:ascii="仿宋_GB2312" w:hAnsi="仿宋_GB2312" w:eastAsia="仿宋_GB2312" w:cs="仿宋_GB2312"/>
          <w:color w:val="auto"/>
          <w:sz w:val="32"/>
          <w:szCs w:val="32"/>
        </w:rPr>
        <w:t>2项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形成技术研究报告1篇。</w:t>
      </w:r>
    </w:p>
    <w:p>
      <w:pPr>
        <w:widowControl/>
        <w:numPr>
          <w:ilvl w:val="0"/>
          <w:numId w:val="0"/>
        </w:numPr>
        <w:spacing w:line="360" w:lineRule="auto"/>
        <w:ind w:left="64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三、对揭榜方要求：</w:t>
      </w:r>
    </w:p>
    <w:p>
      <w:pPr>
        <w:adjustRightInd w:val="0"/>
        <w:spacing w:after="0" w:line="360" w:lineRule="auto"/>
        <w:ind w:firstLine="640" w:firstLineChars="200"/>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．揭榜方基本条件</w:t>
      </w:r>
    </w:p>
    <w:p>
      <w:pPr>
        <w:adjustRightInd w:val="0"/>
        <w:spacing w:after="0"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揭榜方必须是在中华人民共和国市场监督管理部门注册的，</w:t>
      </w:r>
      <w:r>
        <w:rPr>
          <w:rFonts w:hint="eastAsia" w:ascii="仿宋_GB2312" w:hAnsi="仿宋_GB2312" w:eastAsia="仿宋_GB2312" w:cs="仿宋_GB2312"/>
          <w:sz w:val="32"/>
          <w:szCs w:val="32"/>
        </w:rPr>
        <w:t>具有独立法人和一般纳税人资格的，具备</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火力发电工程设计</w:t>
      </w:r>
      <w:r>
        <w:rPr>
          <w:rFonts w:hint="eastAsia" w:ascii="仿宋_GB2312" w:hAnsi="仿宋_GB2312" w:eastAsia="仿宋_GB2312" w:cs="仿宋_GB2312"/>
          <w:sz w:val="32"/>
          <w:szCs w:val="32"/>
        </w:rPr>
        <w:t>或调试的资质</w:t>
      </w:r>
      <w:r>
        <w:rPr>
          <w:rFonts w:ascii="仿宋_GB2312" w:hAnsi="仿宋_GB2312" w:eastAsia="仿宋_GB2312" w:cs="仿宋_GB2312"/>
          <w:sz w:val="32"/>
          <w:szCs w:val="32"/>
        </w:rPr>
        <w:t>乙级及以上</w:t>
      </w:r>
      <w:r>
        <w:rPr>
          <w:rFonts w:hint="eastAsia" w:ascii="仿宋_GB2312" w:hAnsi="仿宋_GB2312" w:eastAsia="仿宋_GB2312" w:cs="仿宋_GB2312"/>
          <w:sz w:val="32"/>
          <w:szCs w:val="32"/>
        </w:rPr>
        <w:t>的企业；应具有良好的企业信用，不存在被列为失信被执行人的情形；近三年财务和资信状况良好，没有财产被接管、冻结或处于亏损、破产状态，应提相关证明（如财务审计报告或报表、资信证明等）。</w:t>
      </w:r>
    </w:p>
    <w:p>
      <w:pPr>
        <w:adjustRightInd w:val="0"/>
        <w:spacing w:after="0" w:line="360" w:lineRule="auto"/>
        <w:ind w:firstLine="640" w:firstLineChars="200"/>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．揭榜方技术条件</w:t>
      </w:r>
    </w:p>
    <w:p>
      <w:pPr>
        <w:adjustRightInd w:val="0"/>
        <w:spacing w:after="0"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1）揭榜方</w:t>
      </w:r>
      <w:r>
        <w:rPr>
          <w:rFonts w:ascii="仿宋_GB2312" w:hAnsi="仿宋_GB2312" w:eastAsia="仿宋_GB2312" w:cs="仿宋_GB2312"/>
          <w:sz w:val="32"/>
          <w:szCs w:val="32"/>
        </w:rPr>
        <w:t>人员，须具有专业技术人才团队，熟悉</w:t>
      </w:r>
      <w:r>
        <w:rPr>
          <w:rFonts w:hint="eastAsia" w:ascii="仿宋_GB2312" w:hAnsi="仿宋_GB2312" w:eastAsia="仿宋_GB2312" w:cs="仿宋_GB2312"/>
          <w:sz w:val="32"/>
          <w:szCs w:val="32"/>
        </w:rPr>
        <w:t>锅炉燃烧优化</w:t>
      </w:r>
      <w:r>
        <w:rPr>
          <w:rFonts w:ascii="仿宋_GB2312" w:hAnsi="仿宋_GB2312" w:eastAsia="仿宋_GB2312" w:cs="仿宋_GB2312"/>
          <w:sz w:val="32"/>
          <w:szCs w:val="32"/>
        </w:rPr>
        <w:t>调整。</w:t>
      </w:r>
    </w:p>
    <w:p>
      <w:pPr>
        <w:spacing w:after="20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揭榜方应具有履行合同的能力，需为我国电力行业专业从事热能动力科学技术研究与热力发电技术开发的高等院校、研究院所和相关机构等研究单位，拥有技术雄厚的研发队伍，近年来承担至少1项类似研究应用业绩，并经过实际工程验证达到预计水平并处于行业领先的综合效果。提供揭榜方拟定的技术力量、人员结构等满足本项目技术要求的文件。</w:t>
      </w:r>
    </w:p>
    <w:p>
      <w:pPr>
        <w:snapToGrid w:val="0"/>
        <w:spacing w:after="20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）揭榜方项目负责人应具有相关专业研究生及以上学历和高级及以上技术职称，从事火力发电行业的相关研究工作10年以上，对火力发电厂锅炉燃烧</w:t>
      </w:r>
      <w:r>
        <w:rPr>
          <w:rFonts w:ascii="仿宋_GB2312" w:hAnsi="仿宋_GB2312" w:eastAsia="仿宋_GB2312" w:cs="仿宋_GB2312"/>
          <w:sz w:val="32"/>
          <w:szCs w:val="32"/>
        </w:rPr>
        <w:t>专业</w:t>
      </w:r>
      <w:r>
        <w:rPr>
          <w:rFonts w:hint="eastAsia" w:ascii="仿宋_GB2312" w:hAnsi="仿宋_GB2312" w:eastAsia="仿宋_GB2312" w:cs="仿宋_GB2312"/>
          <w:sz w:val="32"/>
          <w:szCs w:val="32"/>
        </w:rPr>
        <w:t>领域有充分的了解，主持或参与过相关专业省部级或集团公司级及以上的研究课题，并作为课题主要工作人员。</w:t>
      </w:r>
    </w:p>
    <w:p>
      <w:pPr>
        <w:snapToGrid w:val="0"/>
        <w:spacing w:after="20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）揭榜方在揭榜基准日期的近五年内，具有至少1台</w:t>
      </w:r>
      <w:r>
        <w:rPr>
          <w:rFonts w:hint="eastAsia" w:ascii="仿宋_GB2312" w:hAnsi="仿宋_GB2312" w:eastAsia="仿宋_GB2312" w:cs="仿宋_GB2312"/>
          <w:color w:val="auto"/>
          <w:sz w:val="32"/>
          <w:szCs w:val="32"/>
        </w:rPr>
        <w:t>300MW等及以上火电机组疆煤大比例掺烧或防结焦燃烧优化</w:t>
      </w:r>
      <w:r>
        <w:rPr>
          <w:rFonts w:hint="eastAsia" w:ascii="仿宋_GB2312" w:hAnsi="仿宋_GB2312" w:eastAsia="仿宋_GB2312" w:cs="仿宋_GB2312"/>
          <w:sz w:val="32"/>
          <w:szCs w:val="32"/>
        </w:rPr>
        <w:t>的合同业绩（附合同复印件，含合同首页、签章页、主要工作内容等）。</w:t>
      </w:r>
    </w:p>
    <w:p>
      <w:pPr>
        <w:widowControl/>
        <w:numPr>
          <w:ilvl w:val="0"/>
          <w:numId w:val="0"/>
        </w:numPr>
        <w:spacing w:line="360" w:lineRule="auto"/>
        <w:ind w:left="64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四、产权归属：</w:t>
      </w:r>
    </w:p>
    <w:p>
      <w:pPr>
        <w:adjustRightInd w:val="0"/>
        <w:spacing w:after="0" w:line="360" w:lineRule="auto"/>
        <w:ind w:firstLine="640" w:firstLineChars="200"/>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揭榜方负责</w:t>
      </w:r>
      <w:r>
        <w:rPr>
          <w:rFonts w:hint="eastAsia" w:ascii="仿宋_GB2312" w:hAnsi="仿宋_GB2312" w:eastAsia="仿宋_GB2312" w:cs="仿宋_GB2312"/>
          <w:sz w:val="32"/>
          <w:szCs w:val="32"/>
        </w:rPr>
        <w:t>研究</w:t>
      </w:r>
      <w:r>
        <w:rPr>
          <w:rFonts w:ascii="仿宋_GB2312" w:hAnsi="仿宋_GB2312" w:eastAsia="仿宋_GB2312" w:cs="仿宋_GB2312"/>
          <w:sz w:val="32"/>
          <w:szCs w:val="32"/>
        </w:rPr>
        <w:t>流程</w:t>
      </w:r>
      <w:r>
        <w:rPr>
          <w:rFonts w:hint="eastAsia" w:ascii="仿宋_GB2312" w:hAnsi="仿宋_GB2312" w:eastAsia="仿宋_GB2312" w:cs="仿宋_GB2312"/>
          <w:sz w:val="32"/>
          <w:szCs w:val="32"/>
        </w:rPr>
        <w:t>，基于新疆煤沾污结焦特性、锅炉掺烧结合运行优化、技术改造等手段，协助我厂进行技术研究及应用。</w:t>
      </w:r>
    </w:p>
    <w:p>
      <w:pPr>
        <w:adjustRightInd w:val="0"/>
        <w:spacing w:after="0"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电厂配合揭榜方提供必要的工作条件，负责研究过程所需的负荷申请，监督揭榜方现场的安全工作。</w:t>
      </w:r>
    </w:p>
    <w:p>
      <w:pPr>
        <w:widowControl/>
        <w:numPr>
          <w:ilvl w:val="0"/>
          <w:numId w:val="0"/>
        </w:numPr>
        <w:spacing w:line="360" w:lineRule="auto"/>
        <w:ind w:left="640"/>
        <w:jc w:val="both"/>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kern w:val="2"/>
          <w:sz w:val="32"/>
          <w:szCs w:val="32"/>
          <w:lang w:val="en-US" w:eastAsia="zh-CN" w:bidi="ar-SA"/>
        </w:rPr>
        <w:t>686.1万元以内。</w:t>
      </w:r>
    </w:p>
    <w:p>
      <w:pPr>
        <w:widowControl/>
        <w:numPr>
          <w:ilvl w:val="0"/>
          <w:numId w:val="0"/>
        </w:numPr>
        <w:spacing w:line="360" w:lineRule="auto"/>
        <w:ind w:left="64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六、研究周期：</w:t>
      </w:r>
      <w:r>
        <w:rPr>
          <w:rFonts w:hint="eastAsia" w:ascii="仿宋_GB2312" w:hAnsi="仿宋_GB2312" w:eastAsia="仿宋_GB2312" w:cs="仿宋_GB2312"/>
          <w:b w:val="0"/>
          <w:kern w:val="2"/>
          <w:sz w:val="32"/>
          <w:szCs w:val="32"/>
          <w:lang w:val="en-US" w:eastAsia="zh-CN" w:bidi="ar-SA"/>
        </w:rPr>
        <w:t>签订合同后-2024年12月</w:t>
      </w:r>
    </w:p>
    <w:p>
      <w:pPr>
        <w:widowControl/>
        <w:numPr>
          <w:ilvl w:val="0"/>
          <w:numId w:val="0"/>
        </w:numPr>
        <w:ind w:left="640"/>
        <w:jc w:val="both"/>
        <w:rPr>
          <w:rFonts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七、项目联系人及电话：</w:t>
      </w:r>
      <w:r>
        <w:rPr>
          <w:rFonts w:hint="eastAsia" w:ascii="仿宋_GB2312" w:hAnsi="仿宋_GB2312" w:eastAsia="仿宋_GB2312" w:cs="仿宋_GB2312"/>
          <w:b w:val="0"/>
          <w:kern w:val="2"/>
          <w:sz w:val="32"/>
          <w:szCs w:val="32"/>
          <w:lang w:val="en-US" w:eastAsia="zh-CN" w:bidi="ar-SA"/>
        </w:rPr>
        <w:t>李鹏，17794732226</w:t>
      </w:r>
    </w:p>
    <w:p>
      <w:pPr>
        <w:snapToGrid w:val="0"/>
        <w:spacing w:after="0" w:line="560" w:lineRule="exact"/>
        <w:ind w:firstLine="640" w:firstLineChars="200"/>
        <w:jc w:val="left"/>
        <w:rPr>
          <w:rFonts w:hint="eastAsia" w:ascii="黑体" w:hAnsi="黑体" w:eastAsia="黑体" w:cs="黑体"/>
          <w:bCs/>
          <w:kern w:val="0"/>
          <w:sz w:val="32"/>
          <w:szCs w:val="32"/>
          <w:highlight w:val="none"/>
          <w:lang w:val="en-US" w:eastAsia="zh-CN" w:bidi="ar"/>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项目8：冷喷涂银层技术在电子级多晶硅CVD还原炉中的应用研究</w:t>
      </w:r>
    </w:p>
    <w:p>
      <w:pPr>
        <w:pStyle w:val="7"/>
        <w:rPr>
          <w:rFonts w:hint="eastAsia"/>
          <w:lang w:val="en-US" w:eastAsia="zh-CN"/>
        </w:rPr>
      </w:pPr>
    </w:p>
    <w:p>
      <w:pPr>
        <w:widowControl/>
        <w:numPr>
          <w:ilvl w:val="0"/>
          <w:numId w:val="0"/>
        </w:numPr>
        <w:spacing w:line="360" w:lineRule="auto"/>
        <w:ind w:firstLine="643" w:firstLineChars="200"/>
        <w:jc w:val="both"/>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一、攻关难题和攻关内容：</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bCs w:val="0"/>
          <w:sz w:val="32"/>
          <w:szCs w:val="32"/>
          <w:highlight w:val="none"/>
          <w:lang w:bidi="ar"/>
        </w:rPr>
      </w:pPr>
      <w:r>
        <w:rPr>
          <w:rFonts w:hint="eastAsia" w:ascii="仿宋_GB2312" w:hAnsi="仿宋_GB2312" w:eastAsia="仿宋_GB2312" w:cs="仿宋_GB2312"/>
          <w:b w:val="0"/>
          <w:bCs w:val="0"/>
          <w:sz w:val="32"/>
          <w:szCs w:val="32"/>
          <w:highlight w:val="none"/>
          <w:lang w:bidi="ar"/>
        </w:rPr>
        <w:t>（一）</w:t>
      </w:r>
      <w:r>
        <w:rPr>
          <w:rFonts w:hint="eastAsia" w:ascii="仿宋_GB2312" w:hAnsi="仿宋_GB2312" w:eastAsia="仿宋_GB2312" w:cs="仿宋_GB2312"/>
          <w:b w:val="0"/>
          <w:bCs w:val="0"/>
          <w:sz w:val="32"/>
          <w:szCs w:val="32"/>
          <w:highlight w:val="none"/>
        </w:rPr>
        <w:t>攻</w:t>
      </w:r>
      <w:r>
        <w:rPr>
          <w:rFonts w:hint="eastAsia" w:ascii="仿宋_GB2312" w:hAnsi="仿宋_GB2312" w:eastAsia="仿宋_GB2312" w:cs="仿宋_GB2312"/>
          <w:b w:val="0"/>
          <w:bCs w:val="0"/>
          <w:sz w:val="32"/>
          <w:szCs w:val="32"/>
          <w:highlight w:val="none"/>
          <w:lang w:bidi="ar"/>
        </w:rPr>
        <w:t>关</w:t>
      </w:r>
      <w:r>
        <w:rPr>
          <w:rFonts w:hint="eastAsia" w:ascii="仿宋_GB2312" w:hAnsi="仿宋_GB2312" w:eastAsia="仿宋_GB2312" w:cs="仿宋_GB2312"/>
          <w:b w:val="0"/>
          <w:bCs w:val="0"/>
          <w:sz w:val="32"/>
          <w:szCs w:val="32"/>
          <w:highlight w:val="none"/>
        </w:rPr>
        <w:t>难题</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多晶硅</w:t>
      </w:r>
      <w:r>
        <w:rPr>
          <w:rFonts w:hint="eastAsia" w:ascii="仿宋_GB2312" w:hAnsi="仿宋_GB2312" w:eastAsia="仿宋_GB2312" w:cs="仿宋_GB2312"/>
          <w:b w:val="0"/>
          <w:sz w:val="32"/>
          <w:szCs w:val="32"/>
        </w:rPr>
        <w:t>还原</w:t>
      </w:r>
      <w:r>
        <w:rPr>
          <w:rFonts w:hint="eastAsia" w:ascii="仿宋_GB2312" w:hAnsi="仿宋_GB2312" w:eastAsia="仿宋_GB2312" w:cs="仿宋_GB2312"/>
          <w:b w:val="0"/>
          <w:sz w:val="32"/>
          <w:szCs w:val="32"/>
          <w:lang w:val="en-US" w:eastAsia="zh-CN"/>
        </w:rPr>
        <w:t>炉运行时炉内处于</w:t>
      </w:r>
      <w:r>
        <w:rPr>
          <w:rFonts w:hint="eastAsia" w:ascii="仿宋_GB2312" w:hAnsi="仿宋_GB2312" w:eastAsia="仿宋_GB2312" w:cs="仿宋_GB2312"/>
          <w:b w:val="0"/>
          <w:sz w:val="32"/>
          <w:szCs w:val="32"/>
        </w:rPr>
        <w:t>高温</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highlight w:val="none"/>
          <w:lang w:eastAsia="zh-CN"/>
        </w:rPr>
        <w:t>腐蚀</w:t>
      </w:r>
      <w:r>
        <w:rPr>
          <w:rFonts w:hint="eastAsia" w:ascii="仿宋_GB2312" w:hAnsi="仿宋_GB2312" w:eastAsia="仿宋_GB2312" w:cs="仿宋_GB2312"/>
          <w:b w:val="0"/>
          <w:sz w:val="32"/>
          <w:szCs w:val="32"/>
          <w:highlight w:val="none"/>
          <w:lang w:val="en-US" w:eastAsia="zh-CN"/>
        </w:rPr>
        <w:t>环境</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lang w:val="en-US" w:eastAsia="zh-CN"/>
        </w:rPr>
        <w:t>易</w:t>
      </w:r>
      <w:r>
        <w:rPr>
          <w:rFonts w:hint="eastAsia" w:ascii="仿宋_GB2312" w:hAnsi="仿宋_GB2312" w:eastAsia="仿宋_GB2312" w:cs="仿宋_GB2312"/>
          <w:b w:val="0"/>
          <w:sz w:val="32"/>
          <w:szCs w:val="32"/>
        </w:rPr>
        <w:t>导致还原炉钟罩本体不锈钢</w:t>
      </w:r>
      <w:r>
        <w:rPr>
          <w:rFonts w:hint="eastAsia" w:ascii="仿宋_GB2312" w:hAnsi="仿宋_GB2312" w:eastAsia="仿宋_GB2312" w:cs="仿宋_GB2312"/>
          <w:b w:val="0"/>
          <w:sz w:val="32"/>
          <w:szCs w:val="32"/>
          <w:lang w:val="en-US" w:eastAsia="zh-CN"/>
        </w:rPr>
        <w:t>腐蚀及</w:t>
      </w:r>
      <w:r>
        <w:rPr>
          <w:rFonts w:hint="eastAsia" w:ascii="仿宋_GB2312" w:hAnsi="仿宋_GB2312" w:eastAsia="仿宋_GB2312" w:cs="仿宋_GB2312"/>
          <w:b w:val="0"/>
          <w:sz w:val="32"/>
          <w:szCs w:val="32"/>
        </w:rPr>
        <w:t>合金元素逸出</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影响产品质量</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同时钟罩内壁热反射率较差，导致电耗较高</w:t>
      </w:r>
      <w:r>
        <w:rPr>
          <w:rFonts w:hint="eastAsia" w:ascii="仿宋_GB2312" w:hAnsi="仿宋_GB2312" w:eastAsia="仿宋_GB2312" w:cs="仿宋_GB2312"/>
          <w:b w:val="0"/>
          <w:sz w:val="32"/>
          <w:szCs w:val="32"/>
        </w:rPr>
        <w:t>。若利用爆炸焊金、银、铂/不锈钢复合板制备，</w:t>
      </w:r>
      <w:r>
        <w:rPr>
          <w:rFonts w:hint="eastAsia" w:ascii="仿宋_GB2312" w:hAnsi="仿宋_GB2312" w:eastAsia="仿宋_GB2312" w:cs="仿宋_GB2312"/>
          <w:b w:val="0"/>
          <w:sz w:val="32"/>
          <w:szCs w:val="32"/>
          <w:lang w:val="en-US" w:eastAsia="zh-CN"/>
        </w:rPr>
        <w:t>可提高还原炉内壁</w:t>
      </w:r>
      <w:r>
        <w:rPr>
          <w:rFonts w:hint="eastAsia" w:ascii="仿宋_GB2312" w:hAnsi="仿宋_GB2312" w:eastAsia="仿宋_GB2312" w:cs="仿宋_GB2312"/>
          <w:b w:val="0"/>
          <w:sz w:val="32"/>
          <w:szCs w:val="32"/>
        </w:rPr>
        <w:t>热反射率</w:t>
      </w:r>
      <w:r>
        <w:rPr>
          <w:rFonts w:hint="eastAsia" w:ascii="仿宋_GB2312" w:hAnsi="仿宋_GB2312" w:eastAsia="仿宋_GB2312" w:cs="仿宋_GB2312"/>
          <w:b w:val="0"/>
          <w:sz w:val="32"/>
          <w:szCs w:val="32"/>
          <w:lang w:val="en-US" w:eastAsia="zh-CN"/>
        </w:rPr>
        <w:t>和光洁度，从而</w:t>
      </w:r>
      <w:r>
        <w:rPr>
          <w:rFonts w:hint="eastAsia" w:ascii="仿宋_GB2312" w:hAnsi="仿宋_GB2312" w:eastAsia="仿宋_GB2312" w:cs="仿宋_GB2312"/>
          <w:b w:val="0"/>
          <w:sz w:val="32"/>
          <w:szCs w:val="32"/>
        </w:rPr>
        <w:t>降低</w:t>
      </w:r>
      <w:r>
        <w:rPr>
          <w:rFonts w:hint="eastAsia" w:ascii="仿宋_GB2312" w:hAnsi="仿宋_GB2312" w:eastAsia="仿宋_GB2312" w:cs="仿宋_GB2312"/>
          <w:b w:val="0"/>
          <w:sz w:val="32"/>
          <w:szCs w:val="32"/>
          <w:lang w:val="en-US" w:eastAsia="zh-CN"/>
        </w:rPr>
        <w:t>电耗，减少杂质污染。从发榜方现有</w:t>
      </w:r>
      <w:r>
        <w:rPr>
          <w:rFonts w:hint="eastAsia" w:ascii="仿宋_GB2312" w:hAnsi="仿宋_GB2312" w:eastAsia="仿宋_GB2312" w:cs="仿宋_GB2312"/>
          <w:b w:val="0"/>
          <w:sz w:val="32"/>
          <w:szCs w:val="32"/>
          <w:highlight w:val="none"/>
          <w:lang w:val="en-US" w:eastAsia="zh-CN"/>
        </w:rPr>
        <w:t>新型爆炸焊</w:t>
      </w:r>
      <w:r>
        <w:rPr>
          <w:rFonts w:hint="eastAsia" w:ascii="仿宋_GB2312" w:hAnsi="仿宋_GB2312" w:eastAsia="仿宋_GB2312" w:cs="仿宋_GB2312"/>
          <w:b w:val="0"/>
          <w:sz w:val="32"/>
          <w:szCs w:val="32"/>
          <w:highlight w:val="none"/>
        </w:rPr>
        <w:t>银钢复合板还原炉</w:t>
      </w:r>
      <w:r>
        <w:rPr>
          <w:rFonts w:hint="eastAsia" w:ascii="仿宋_GB2312" w:hAnsi="仿宋_GB2312" w:eastAsia="仿宋_GB2312" w:cs="仿宋_GB2312"/>
          <w:b w:val="0"/>
          <w:sz w:val="32"/>
          <w:szCs w:val="32"/>
          <w:lang w:val="en-US" w:eastAsia="zh-CN"/>
        </w:rPr>
        <w:t>运行效果看</w:t>
      </w:r>
      <w:r>
        <w:rPr>
          <w:rFonts w:hint="eastAsia" w:ascii="仿宋_GB2312" w:hAnsi="仿宋_GB2312" w:eastAsia="仿宋_GB2312" w:cs="仿宋_GB2312"/>
          <w:b w:val="0"/>
          <w:sz w:val="32"/>
          <w:szCs w:val="32"/>
        </w:rPr>
        <w:t>，其产品质量和能耗</w:t>
      </w:r>
      <w:r>
        <w:rPr>
          <w:rFonts w:hint="eastAsia" w:ascii="仿宋_GB2312" w:hAnsi="仿宋_GB2312" w:eastAsia="仿宋_GB2312" w:cs="仿宋_GB2312"/>
          <w:b w:val="0"/>
          <w:sz w:val="32"/>
          <w:szCs w:val="32"/>
          <w:lang w:val="en-US" w:eastAsia="zh-CN"/>
        </w:rPr>
        <w:t>有</w:t>
      </w:r>
      <w:r>
        <w:rPr>
          <w:rFonts w:hint="eastAsia" w:ascii="仿宋_GB2312" w:hAnsi="仿宋_GB2312" w:eastAsia="仿宋_GB2312" w:cs="仿宋_GB2312"/>
          <w:b w:val="0"/>
          <w:sz w:val="32"/>
          <w:szCs w:val="32"/>
        </w:rPr>
        <w:t>显著优势，</w:t>
      </w:r>
      <w:r>
        <w:rPr>
          <w:rFonts w:hint="eastAsia" w:ascii="仿宋_GB2312" w:hAnsi="仿宋_GB2312" w:eastAsia="仿宋_GB2312" w:cs="仿宋_GB2312"/>
          <w:b w:val="0"/>
          <w:sz w:val="32"/>
          <w:szCs w:val="32"/>
          <w:lang w:val="en-US" w:eastAsia="zh-CN"/>
        </w:rPr>
        <w:t>但</w:t>
      </w:r>
      <w:r>
        <w:rPr>
          <w:rFonts w:hint="eastAsia" w:ascii="仿宋_GB2312" w:hAnsi="仿宋_GB2312" w:eastAsia="仿宋_GB2312" w:cs="仿宋_GB2312"/>
          <w:b w:val="0"/>
          <w:sz w:val="32"/>
          <w:szCs w:val="32"/>
        </w:rPr>
        <w:t>存在成本过高，工艺复杂</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拼接板件焊缝缺陷</w:t>
      </w:r>
      <w:r>
        <w:rPr>
          <w:rFonts w:hint="eastAsia" w:ascii="仿宋_GB2312" w:hAnsi="仿宋_GB2312" w:eastAsia="仿宋_GB2312" w:cs="仿宋_GB2312"/>
          <w:b w:val="0"/>
          <w:sz w:val="32"/>
          <w:szCs w:val="32"/>
          <w:lang w:val="en-US" w:eastAsia="zh-CN"/>
        </w:rPr>
        <w:t>等</w:t>
      </w:r>
      <w:r>
        <w:rPr>
          <w:rFonts w:hint="eastAsia" w:ascii="仿宋_GB2312" w:hAnsi="仿宋_GB2312" w:eastAsia="仿宋_GB2312" w:cs="仿宋_GB2312"/>
          <w:b w:val="0"/>
          <w:sz w:val="32"/>
          <w:szCs w:val="32"/>
        </w:rPr>
        <w:t>问题</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若利用电刷镀、热喷涂等方法制备，</w:t>
      </w:r>
      <w:r>
        <w:rPr>
          <w:rFonts w:hint="eastAsia" w:ascii="仿宋_GB2312" w:hAnsi="仿宋_GB2312" w:eastAsia="仿宋_GB2312" w:cs="仿宋_GB2312"/>
          <w:b w:val="0"/>
          <w:sz w:val="32"/>
          <w:szCs w:val="32"/>
          <w:lang w:val="en-US" w:eastAsia="zh-CN"/>
        </w:rPr>
        <w:t>存在</w:t>
      </w:r>
      <w:r>
        <w:rPr>
          <w:rFonts w:hint="eastAsia" w:ascii="仿宋_GB2312" w:hAnsi="仿宋_GB2312" w:eastAsia="仿宋_GB2312" w:cs="仿宋_GB2312"/>
          <w:b w:val="0"/>
          <w:sz w:val="32"/>
          <w:szCs w:val="32"/>
        </w:rPr>
        <w:t>结合强度较低、热震性能差</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使用寿命过短问题。</w:t>
      </w:r>
      <w:r>
        <w:rPr>
          <w:rFonts w:hint="eastAsia" w:ascii="仿宋_GB2312" w:hAnsi="仿宋_GB2312" w:eastAsia="仿宋_GB2312" w:cs="仿宋_GB2312"/>
          <w:b w:val="0"/>
          <w:sz w:val="32"/>
          <w:szCs w:val="32"/>
          <w:lang w:val="en-US" w:eastAsia="zh-CN"/>
        </w:rPr>
        <w:t>为此</w:t>
      </w:r>
      <w:r>
        <w:rPr>
          <w:rFonts w:hint="eastAsia" w:ascii="仿宋_GB2312" w:hAnsi="仿宋_GB2312" w:eastAsia="仿宋_GB2312" w:cs="仿宋_GB2312"/>
          <w:b w:val="0"/>
          <w:sz w:val="32"/>
          <w:szCs w:val="32"/>
        </w:rPr>
        <w:t>，开发一种结构稳定的还原炉内壁复合涂层来隔绝炉壁本体材料</w:t>
      </w:r>
      <w:r>
        <w:rPr>
          <w:rFonts w:hint="eastAsia" w:ascii="仿宋_GB2312" w:hAnsi="仿宋_GB2312" w:eastAsia="仿宋_GB2312" w:cs="仿宋_GB2312"/>
          <w:b w:val="0"/>
          <w:sz w:val="32"/>
          <w:szCs w:val="32"/>
          <w:lang w:val="en-US" w:eastAsia="zh-CN"/>
        </w:rPr>
        <w:t>逸出</w:t>
      </w:r>
      <w:r>
        <w:rPr>
          <w:rFonts w:hint="eastAsia" w:ascii="仿宋_GB2312" w:hAnsi="仿宋_GB2312" w:eastAsia="仿宋_GB2312" w:cs="仿宋_GB2312"/>
          <w:b w:val="0"/>
          <w:sz w:val="32"/>
          <w:szCs w:val="32"/>
        </w:rPr>
        <w:t>污染，从而提高多晶硅产品纯度和降低还原电耗，是当前急需</w:t>
      </w:r>
      <w:r>
        <w:rPr>
          <w:rFonts w:hint="eastAsia" w:ascii="仿宋_GB2312" w:hAnsi="仿宋_GB2312" w:eastAsia="仿宋_GB2312" w:cs="仿宋_GB2312"/>
          <w:b w:val="0"/>
          <w:sz w:val="32"/>
          <w:szCs w:val="32"/>
          <w:lang w:val="en-US" w:eastAsia="zh-CN"/>
        </w:rPr>
        <w:t>攻关的关键技术难题</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val="en-US" w:eastAsia="zh-CN"/>
        </w:rPr>
        <w:t>根据国内外技术调研结果表明，在不锈钢表面高速冷喷涂银层工艺能较好地解决该难题。</w:t>
      </w:r>
    </w:p>
    <w:p>
      <w:pPr>
        <w:pStyle w:val="5"/>
        <w:keepNext w:val="0"/>
        <w:keepLines w:val="0"/>
        <w:pageBreakBefore w:val="0"/>
        <w:kinsoku/>
        <w:wordWrap/>
        <w:overflowPunct/>
        <w:topLinePunct w:val="0"/>
        <w:bidi w:val="0"/>
        <w:adjustRightInd w:val="0"/>
        <w:snapToGrid w:val="0"/>
        <w:spacing w:after="0" w:line="360" w:lineRule="auto"/>
        <w:ind w:left="0" w:right="0" w:firstLine="640"/>
        <w:rPr>
          <w:rFonts w:hint="eastAsia"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（二）攻关内容</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开展多晶硅还原炉不锈钢内壁银涂层</w:t>
      </w:r>
      <w:r>
        <w:rPr>
          <w:rFonts w:hint="eastAsia" w:ascii="仿宋_GB2312" w:hAnsi="仿宋_GB2312" w:eastAsia="仿宋_GB2312" w:cs="仿宋_GB2312"/>
          <w:b w:val="0"/>
          <w:sz w:val="32"/>
          <w:szCs w:val="32"/>
        </w:rPr>
        <w:t>结合强度、热震性能</w:t>
      </w:r>
      <w:r>
        <w:rPr>
          <w:rFonts w:hint="eastAsia" w:ascii="仿宋_GB2312" w:hAnsi="仿宋_GB2312" w:eastAsia="仿宋_GB2312" w:cs="仿宋_GB2312"/>
          <w:b w:val="0"/>
          <w:sz w:val="32"/>
          <w:szCs w:val="32"/>
          <w:lang w:val="en-US" w:eastAsia="zh-CN"/>
        </w:rPr>
        <w:t>等</w:t>
      </w:r>
      <w:r>
        <w:rPr>
          <w:rFonts w:hint="eastAsia" w:ascii="仿宋_GB2312" w:hAnsi="仿宋_GB2312" w:eastAsia="仿宋_GB2312" w:cs="仿宋_GB2312"/>
          <w:color w:val="000000"/>
          <w:kern w:val="0"/>
          <w:sz w:val="32"/>
          <w:szCs w:val="32"/>
        </w:rPr>
        <w:t>关键</w:t>
      </w:r>
      <w:r>
        <w:rPr>
          <w:rFonts w:hint="eastAsia" w:ascii="仿宋_GB2312" w:hAnsi="仿宋_GB2312" w:eastAsia="仿宋_GB2312" w:cs="仿宋_GB2312"/>
          <w:color w:val="000000"/>
          <w:kern w:val="0"/>
          <w:sz w:val="32"/>
          <w:szCs w:val="32"/>
          <w:lang w:val="en-US" w:eastAsia="zh-CN"/>
        </w:rPr>
        <w:t>工艺技术研究</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bidi w:val="0"/>
        <w:spacing w:after="0" w:line="360" w:lineRule="auto"/>
        <w:ind w:left="0"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完成发榜方一台9对棒、两台24对棒不锈钢还原炉钟罩内壁银材料喷涂，满足技术指标和使用性能的要求</w:t>
      </w:r>
      <w:r>
        <w:rPr>
          <w:rFonts w:hint="eastAsia" w:ascii="仿宋_GB2312" w:hAnsi="仿宋_GB2312" w:eastAsia="仿宋_GB2312" w:cs="仿宋_GB2312"/>
          <w:b w:val="0"/>
          <w:sz w:val="32"/>
          <w:szCs w:val="32"/>
          <w:lang w:val="en-US" w:eastAsia="zh-CN"/>
        </w:rPr>
        <w:t>。</w:t>
      </w:r>
    </w:p>
    <w:p>
      <w:pPr>
        <w:keepNext w:val="0"/>
        <w:keepLines w:val="0"/>
        <w:pageBreakBefore w:val="0"/>
        <w:kinsoku/>
        <w:wordWrap/>
        <w:overflowPunct/>
        <w:topLinePunct w:val="0"/>
        <w:bidi w:val="0"/>
        <w:spacing w:after="0" w:line="360" w:lineRule="auto"/>
        <w:ind w:left="0"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3.配合发榜方开展3台不锈钢还原炉喷涂银层后的生产试验，验证其效果。</w:t>
      </w:r>
    </w:p>
    <w:p>
      <w:pPr>
        <w:keepNext w:val="0"/>
        <w:keepLines w:val="0"/>
        <w:pageBreakBefore w:val="0"/>
        <w:kinsoku/>
        <w:wordWrap/>
        <w:overflowPunct/>
        <w:topLinePunct w:val="0"/>
        <w:bidi w:val="0"/>
        <w:spacing w:after="0" w:line="360" w:lineRule="auto"/>
        <w:ind w:left="0" w:firstLine="643" w:firstLineChars="200"/>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sz w:val="32"/>
          <w:szCs w:val="32"/>
        </w:rPr>
        <w:t>二、攻关后希望达到的预期目标</w:t>
      </w:r>
      <w:r>
        <w:rPr>
          <w:rFonts w:hint="eastAsia" w:ascii="仿宋_GB2312" w:hAnsi="仿宋_GB2312" w:eastAsia="仿宋_GB2312" w:cs="仿宋_GB2312"/>
          <w:b/>
          <w:bCs/>
          <w:color w:val="000000"/>
          <w:kern w:val="0"/>
          <w:sz w:val="32"/>
          <w:szCs w:val="32"/>
          <w:lang w:val="en-US" w:eastAsia="zh-CN"/>
        </w:rPr>
        <w:t>、技术指标、预期成果：</w:t>
      </w:r>
    </w:p>
    <w:p>
      <w:pPr>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（一）预期目标：</w:t>
      </w:r>
    </w:p>
    <w:p>
      <w:pPr>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1.研究开发出一种多晶硅还原炉不锈钢内壁银涂层工艺技术，形成技术研究报告。</w:t>
      </w:r>
    </w:p>
    <w:p>
      <w:pPr>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完成一台9对棒不锈钢还原炉钟罩（φ1300×2700mm）内壁银材料喷涂和24对棒不锈钢还原炉钟罩（尺寸分别为φ2200×3800mm、φ2424×4200mm）内壁银材料的喷涂，银涂层纯度&gt;99.99%（不会因银涂层引入新的杂质污染多晶硅产品），形成银涂层的性能检测报告。</w:t>
      </w:r>
    </w:p>
    <w:p>
      <w:pPr>
        <w:keepNext w:val="0"/>
        <w:keepLines w:val="0"/>
        <w:pageBreakBefore w:val="0"/>
        <w:kinsoku/>
        <w:wordWrap/>
        <w:overflowPunct/>
        <w:topLinePunct w:val="0"/>
        <w:autoSpaceDE/>
        <w:autoSpaceDN/>
        <w:bidi w:val="0"/>
        <w:adjustRightInd/>
        <w:snapToGrid/>
        <w:spacing w:after="0" w:line="360" w:lineRule="auto"/>
        <w:ind w:left="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3.三台不锈钢还原炉钟罩内壁喷涂银层后正常生产运行，降低钟罩内壁杂质对多晶硅产品的污染，降低还原炉电耗。</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right="0" w:firstLine="640"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（二）技术指标</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right="0" w:firstLine="640" w:firstLineChars="200"/>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1.</w:t>
      </w:r>
      <w:r>
        <w:rPr>
          <w:rFonts w:hint="eastAsia" w:ascii="仿宋_GB2312" w:hAnsi="仿宋_GB2312" w:eastAsia="仿宋_GB2312" w:cs="仿宋_GB2312"/>
          <w:b w:val="0"/>
          <w:sz w:val="32"/>
          <w:szCs w:val="32"/>
          <w:lang w:val="en-US" w:eastAsia="zh-CN"/>
        </w:rPr>
        <w:t>不锈钢还原炉内表面喷涂的银涂层厚度&gt;200μm，表面粗糙度Ra&lt;10μm，结合强度&gt;50MPa，孔隙率&lt;0.5％，致密度99.9％以上，耐温&gt;500℃。</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2.三台不锈钢还原炉钟罩的银涂层使用寿命&gt;1年，期间不发生脱落、鼓包、开裂等异常问题。</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3.新开发形成的银涂层还原炉较发榜方现有不锈钢还原炉还原电单耗降低10%以上，生产的产品施主杂质降低20%以上。</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（三）预期成果：</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1.</w:t>
      </w:r>
      <w:r>
        <w:rPr>
          <w:rFonts w:hint="eastAsia" w:ascii="仿宋_GB2312" w:hAnsi="仿宋_GB2312" w:eastAsia="仿宋_GB2312" w:cs="仿宋_GB2312"/>
          <w:b w:val="0"/>
          <w:sz w:val="32"/>
          <w:szCs w:val="32"/>
          <w:lang w:val="en-US" w:eastAsia="zh-CN"/>
        </w:rPr>
        <w:t>形成一种多晶硅还原炉不锈钢内壁银涂层工艺技术研究报告。</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2.完成一台9对棒不锈钢还原炉钟罩和两台24对棒不锈钢还原炉钟罩内壁银材料的喷涂，并实现正常生产运行，实现提升产品质量和降低还原电耗的目标。</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申请发明专利1件，</w:t>
      </w:r>
      <w:r>
        <w:rPr>
          <w:rFonts w:hint="eastAsia" w:ascii="仿宋_GB2312" w:hAnsi="仿宋_GB2312" w:eastAsia="仿宋_GB2312" w:cs="仿宋_GB2312"/>
          <w:b w:val="0"/>
          <w:sz w:val="32"/>
          <w:szCs w:val="32"/>
          <w:lang w:val="en-US" w:eastAsia="zh-CN"/>
        </w:rPr>
        <w:t>获得</w:t>
      </w:r>
      <w:r>
        <w:rPr>
          <w:rFonts w:hint="eastAsia" w:ascii="仿宋_GB2312" w:hAnsi="仿宋_GB2312" w:eastAsia="仿宋_GB2312" w:cs="仿宋_GB2312"/>
          <w:b w:val="0"/>
          <w:sz w:val="32"/>
          <w:szCs w:val="32"/>
        </w:rPr>
        <w:t>实用新型专利</w:t>
      </w:r>
      <w:r>
        <w:rPr>
          <w:rFonts w:hint="eastAsia" w:ascii="仿宋_GB2312" w:hAnsi="仿宋_GB2312" w:eastAsia="仿宋_GB2312" w:cs="仿宋_GB2312"/>
          <w:b w:val="0"/>
          <w:sz w:val="32"/>
          <w:szCs w:val="32"/>
          <w:lang w:val="en-US" w:eastAsia="zh-CN"/>
        </w:rPr>
        <w:t>授权</w:t>
      </w:r>
      <w:r>
        <w:rPr>
          <w:rFonts w:hint="eastAsia" w:ascii="仿宋_GB2312" w:hAnsi="仿宋_GB2312" w:eastAsia="仿宋_GB2312" w:cs="仿宋_GB2312"/>
          <w:b w:val="0"/>
          <w:sz w:val="32"/>
          <w:szCs w:val="32"/>
        </w:rPr>
        <w:t>1件。</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4</w:t>
      </w:r>
      <w:r>
        <w:rPr>
          <w:rFonts w:hint="eastAsia" w:ascii="仿宋_GB2312" w:hAnsi="仿宋_GB2312" w:eastAsia="仿宋_GB2312" w:cs="仿宋_GB2312"/>
          <w:b w:val="0"/>
          <w:sz w:val="32"/>
          <w:szCs w:val="32"/>
        </w:rPr>
        <w:t>.国家级（核心）期刊发表论文1篇</w:t>
      </w:r>
      <w:r>
        <w:rPr>
          <w:rFonts w:hint="eastAsia" w:ascii="仿宋_GB2312" w:hAnsi="仿宋_GB2312" w:eastAsia="仿宋_GB2312" w:cs="仿宋_GB2312"/>
          <w:b w:val="0"/>
          <w:sz w:val="32"/>
          <w:szCs w:val="32"/>
          <w:lang w:val="en-US" w:eastAsia="zh-CN"/>
        </w:rPr>
        <w:t>。</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三、对揭榜方要求：</w:t>
      </w:r>
    </w:p>
    <w:p>
      <w:pPr>
        <w:pStyle w:val="5"/>
        <w:rPr>
          <w:rFonts w:hint="eastAsia"/>
          <w:highlight w:val="none"/>
        </w:rPr>
      </w:pPr>
      <w:r>
        <w:rPr>
          <w:rFonts w:hint="eastAsia" w:ascii="仿宋_GB2312" w:hAnsi="仿宋_GB2312" w:eastAsia="仿宋_GB2312" w:cs="仿宋_GB2312"/>
          <w:bCs/>
          <w:kern w:val="0"/>
          <w:sz w:val="32"/>
          <w:szCs w:val="32"/>
          <w:highlight w:val="none"/>
          <w:lang w:val="en-US" w:eastAsia="zh-CN" w:bidi="ar"/>
        </w:rPr>
        <w:t>1.揭榜方基础条件：</w:t>
      </w:r>
    </w:p>
    <w:p>
      <w:pPr>
        <w:topLinePunct/>
        <w:autoSpaceDE w:val="0"/>
        <w:spacing w:line="360" w:lineRule="auto"/>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bCs/>
          <w:color w:val="000000"/>
          <w:sz w:val="32"/>
          <w:szCs w:val="32"/>
          <w:lang w:val="en-US" w:eastAsia="zh-CN"/>
        </w:rPr>
        <w:t>揭榜方</w:t>
      </w:r>
      <w:r>
        <w:rPr>
          <w:rFonts w:hint="eastAsia" w:ascii="仿宋_GB2312" w:hAnsi="仿宋_GB2312" w:eastAsia="仿宋_GB2312" w:cs="仿宋_GB2312"/>
          <w:bCs/>
          <w:color w:val="000000"/>
          <w:sz w:val="32"/>
          <w:szCs w:val="32"/>
        </w:rPr>
        <w:t>必须是在中华人民共和国市场监督管理部门注册的，</w:t>
      </w:r>
      <w:r>
        <w:rPr>
          <w:rFonts w:hint="eastAsia" w:ascii="仿宋_GB2312" w:hAnsi="仿宋_GB2312" w:eastAsia="仿宋_GB2312" w:cs="仿宋_GB2312"/>
          <w:sz w:val="32"/>
          <w:szCs w:val="32"/>
        </w:rPr>
        <w:t>具有独立法人和一般纳税人资格</w:t>
      </w:r>
      <w:r>
        <w:rPr>
          <w:rFonts w:hint="eastAsia" w:ascii="仿宋_GB2312" w:hAnsi="仿宋_GB2312" w:eastAsia="仿宋_GB2312" w:cs="仿宋_GB2312"/>
          <w:sz w:val="32"/>
          <w:szCs w:val="32"/>
          <w:u w:val="none"/>
          <w:lang w:val="en-US" w:eastAsia="zh-CN"/>
        </w:rPr>
        <w:t>的企业（高校、科研院所、</w:t>
      </w:r>
      <w:r>
        <w:rPr>
          <w:rFonts w:hint="eastAsia" w:ascii="仿宋_GB2312" w:hAnsi="仿宋_GB2312" w:eastAsia="仿宋_GB2312" w:cs="仿宋_GB2312"/>
          <w:b w:val="0"/>
          <w:sz w:val="32"/>
          <w:szCs w:val="32"/>
          <w:highlight w:val="none"/>
        </w:rPr>
        <w:t>企业等独立法人实体或独立法人联合体</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应具有良好的企业信用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不存在被列为失信被执行人的情形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近三年财务和资信状况良好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没有财产被接管、冻结或处于亏损、破产状态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应提</w:t>
      </w:r>
      <w:r>
        <w:rPr>
          <w:rFonts w:hint="eastAsia" w:ascii="仿宋_GB2312" w:hAnsi="仿宋_GB2312" w:eastAsia="仿宋_GB2312" w:cs="仿宋_GB2312"/>
          <w:color w:val="000000"/>
          <w:sz w:val="32"/>
          <w:szCs w:val="32"/>
          <w:highlight w:val="none"/>
          <w:lang w:val="en-US" w:eastAsia="zh-CN"/>
        </w:rPr>
        <w:t>相关证明（如财务</w:t>
      </w:r>
      <w:r>
        <w:rPr>
          <w:rFonts w:hint="eastAsia" w:ascii="仿宋_GB2312" w:hAnsi="仿宋_GB2312" w:eastAsia="仿宋_GB2312" w:cs="仿宋_GB2312"/>
          <w:color w:val="000000"/>
          <w:sz w:val="32"/>
          <w:szCs w:val="32"/>
          <w:highlight w:val="none"/>
        </w:rPr>
        <w:t>审计报告</w:t>
      </w:r>
      <w:r>
        <w:rPr>
          <w:rFonts w:hint="eastAsia" w:ascii="仿宋_GB2312" w:hAnsi="仿宋_GB2312" w:eastAsia="仿宋_GB2312" w:cs="仿宋_GB2312"/>
          <w:color w:val="000000"/>
          <w:sz w:val="32"/>
          <w:szCs w:val="32"/>
          <w:highlight w:val="none"/>
          <w:lang w:val="en-US" w:eastAsia="zh-CN"/>
        </w:rPr>
        <w:t>或</w:t>
      </w:r>
      <w:r>
        <w:rPr>
          <w:rFonts w:hint="eastAsia" w:ascii="仿宋_GB2312" w:hAnsi="仿宋_GB2312" w:eastAsia="仿宋_GB2312" w:cs="仿宋_GB2312"/>
          <w:color w:val="000000"/>
          <w:sz w:val="32"/>
          <w:szCs w:val="32"/>
          <w:highlight w:val="none"/>
        </w:rPr>
        <w:t>报表、资信证明</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sz w:val="32"/>
          <w:szCs w:val="32"/>
          <w:highlight w:val="none"/>
        </w:rPr>
        <w:t>。</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
        </w:rPr>
        <w:t>2.揭榜方技术条件：</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揭榜方在</w:t>
      </w:r>
      <w:r>
        <w:rPr>
          <w:rFonts w:hint="eastAsia" w:ascii="仿宋_GB2312" w:hAnsi="仿宋_GB2312" w:eastAsia="仿宋_GB2312" w:cs="仿宋_GB2312"/>
          <w:b w:val="0"/>
          <w:sz w:val="32"/>
          <w:szCs w:val="32"/>
          <w:lang w:val="en-US" w:eastAsia="zh-CN"/>
        </w:rPr>
        <w:t>多晶硅不锈钢钟罩本体喷涂银材料的</w:t>
      </w:r>
      <w:r>
        <w:rPr>
          <w:rFonts w:hint="eastAsia" w:ascii="仿宋_GB2312" w:hAnsi="仿宋_GB2312" w:eastAsia="仿宋_GB2312" w:cs="仿宋_GB2312"/>
          <w:b w:val="0"/>
          <w:sz w:val="32"/>
          <w:szCs w:val="32"/>
        </w:rPr>
        <w:t>项目领域已开展了较深入研究并取得了一定的突破性进展，</w:t>
      </w:r>
      <w:r>
        <w:rPr>
          <w:rFonts w:hint="eastAsia" w:ascii="仿宋_GB2312" w:hAnsi="仿宋_GB2312" w:eastAsia="仿宋_GB2312" w:cs="仿宋_GB2312"/>
          <w:b w:val="0"/>
          <w:sz w:val="32"/>
          <w:szCs w:val="32"/>
          <w:lang w:val="en-US" w:eastAsia="zh-CN"/>
        </w:rPr>
        <w:t>具</w:t>
      </w:r>
      <w:r>
        <w:rPr>
          <w:rFonts w:hint="eastAsia" w:ascii="仿宋_GB2312" w:hAnsi="仿宋_GB2312" w:eastAsia="仿宋_GB2312" w:cs="仿宋_GB2312"/>
          <w:b w:val="0"/>
          <w:sz w:val="32"/>
          <w:szCs w:val="32"/>
          <w:highlight w:val="none"/>
          <w:lang w:val="en-US" w:eastAsia="zh-CN"/>
        </w:rPr>
        <w:t>有一项及以上应用业绩，</w:t>
      </w:r>
      <w:r>
        <w:rPr>
          <w:rFonts w:hint="eastAsia" w:ascii="仿宋_GB2312" w:hAnsi="仿宋_GB2312" w:eastAsia="仿宋_GB2312" w:cs="仿宋_GB2312"/>
          <w:b w:val="0"/>
          <w:sz w:val="32"/>
          <w:szCs w:val="32"/>
        </w:rPr>
        <w:t>具有较强的技术储备，掌握项目领域相关核心自主知识产权。</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lang w:val="en-US" w:eastAsia="zh-CN"/>
        </w:rPr>
        <w:t>2</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揭榜方具备能够满足项目实施的相应规模和水平的研发实力、科研条件和科研队伍，揭榜的企业须注册成立三年以</w:t>
      </w:r>
      <w:r>
        <w:rPr>
          <w:rFonts w:hint="eastAsia" w:ascii="仿宋_GB2312" w:hAnsi="仿宋_GB2312" w:eastAsia="仿宋_GB2312" w:cs="仿宋_GB2312"/>
          <w:b w:val="0"/>
          <w:bCs w:val="0"/>
          <w:sz w:val="32"/>
          <w:szCs w:val="32"/>
          <w:highlight w:val="none"/>
        </w:rPr>
        <w:t>上。</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b/>
          <w:bCs/>
          <w:sz w:val="32"/>
          <w:szCs w:val="32"/>
          <w:lang w:val="en-US" w:eastAsia="zh-CN"/>
        </w:rPr>
        <w:t>产权归属</w:t>
      </w:r>
      <w:r>
        <w:rPr>
          <w:rFonts w:hint="eastAsia" w:ascii="仿宋_GB2312" w:hAnsi="仿宋_GB2312" w:eastAsia="仿宋_GB2312" w:cs="仿宋_GB2312"/>
          <w:b/>
          <w:bCs/>
          <w:sz w:val="32"/>
          <w:szCs w:val="32"/>
        </w:rPr>
        <w:t>：</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r>
        <w:rPr>
          <w:rFonts w:hint="eastAsia" w:ascii="仿宋_GB2312" w:hAnsi="仿宋_GB2312" w:eastAsia="仿宋_GB2312" w:cs="仿宋_GB2312"/>
          <w:b w:val="0"/>
          <w:sz w:val="32"/>
          <w:szCs w:val="32"/>
          <w:lang w:val="en-US" w:eastAsia="zh-CN"/>
        </w:rPr>
        <w:t>发榜方</w:t>
      </w:r>
      <w:r>
        <w:rPr>
          <w:rFonts w:hint="eastAsia" w:ascii="仿宋_GB2312" w:hAnsi="仿宋_GB2312" w:eastAsia="仿宋_GB2312" w:cs="仿宋_GB2312"/>
          <w:b w:val="0"/>
          <w:sz w:val="32"/>
          <w:szCs w:val="32"/>
        </w:rPr>
        <w:t>总体负责项目管理、审核研究技术路线、定期组织召开项目实施进度专题会</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提供现有不锈钢还原炉</w:t>
      </w:r>
      <w:r>
        <w:rPr>
          <w:rFonts w:hint="eastAsia" w:ascii="仿宋_GB2312" w:hAnsi="仿宋_GB2312" w:eastAsia="仿宋_GB2312" w:cs="仿宋_GB2312"/>
          <w:b w:val="0"/>
          <w:sz w:val="32"/>
          <w:szCs w:val="32"/>
          <w:lang w:val="en-US" w:eastAsia="zh-CN"/>
        </w:rPr>
        <w:t>钟罩及</w:t>
      </w:r>
      <w:r>
        <w:rPr>
          <w:rFonts w:hint="eastAsia" w:ascii="仿宋_GB2312" w:hAnsi="仿宋_GB2312" w:eastAsia="仿宋_GB2312" w:cs="仿宋_GB2312"/>
          <w:b w:val="0"/>
          <w:sz w:val="32"/>
          <w:szCs w:val="32"/>
        </w:rPr>
        <w:t>相关资料</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钟罩喷涂后组织</w:t>
      </w:r>
      <w:r>
        <w:rPr>
          <w:rFonts w:hint="eastAsia" w:ascii="仿宋_GB2312" w:hAnsi="仿宋_GB2312" w:eastAsia="仿宋_GB2312" w:cs="仿宋_GB2312"/>
          <w:b w:val="0"/>
          <w:sz w:val="32"/>
          <w:szCs w:val="32"/>
        </w:rPr>
        <w:t>揭榜单位完成现场测试</w:t>
      </w:r>
      <w:r>
        <w:rPr>
          <w:rFonts w:hint="eastAsia" w:ascii="仿宋_GB2312" w:hAnsi="仿宋_GB2312" w:eastAsia="仿宋_GB2312" w:cs="仿宋_GB2312"/>
          <w:b w:val="0"/>
          <w:sz w:val="32"/>
          <w:szCs w:val="32"/>
          <w:lang w:val="en-US" w:eastAsia="zh-CN"/>
        </w:rPr>
        <w:t>及试验</w:t>
      </w:r>
      <w:r>
        <w:rPr>
          <w:rFonts w:hint="eastAsia" w:ascii="仿宋_GB2312" w:hAnsi="仿宋_GB2312" w:eastAsia="仿宋_GB2312" w:cs="仿宋_GB2312"/>
          <w:b w:val="0"/>
          <w:sz w:val="32"/>
          <w:szCs w:val="32"/>
        </w:rPr>
        <w:t>工作。</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2.揭榜</w:t>
      </w:r>
      <w:r>
        <w:rPr>
          <w:rFonts w:hint="eastAsia" w:ascii="仿宋_GB2312" w:hAnsi="仿宋_GB2312" w:eastAsia="仿宋_GB2312" w:cs="仿宋_GB2312"/>
          <w:b w:val="0"/>
          <w:sz w:val="32"/>
          <w:szCs w:val="32"/>
          <w:lang w:val="en-US" w:eastAsia="zh-CN"/>
        </w:rPr>
        <w:t>方</w:t>
      </w:r>
      <w:r>
        <w:rPr>
          <w:rFonts w:hint="eastAsia" w:ascii="仿宋_GB2312" w:hAnsi="仿宋_GB2312" w:eastAsia="仿宋_GB2312" w:cs="仿宋_GB2312"/>
          <w:b w:val="0"/>
          <w:sz w:val="32"/>
          <w:szCs w:val="32"/>
        </w:rPr>
        <w:t>负责制定还原炉内壁银涂层新材料</w:t>
      </w:r>
      <w:r>
        <w:rPr>
          <w:rFonts w:hint="eastAsia" w:ascii="仿宋_GB2312" w:hAnsi="仿宋_GB2312" w:eastAsia="仿宋_GB2312" w:cs="仿宋_GB2312"/>
          <w:b w:val="0"/>
          <w:sz w:val="32"/>
          <w:szCs w:val="32"/>
          <w:lang w:val="en-US" w:eastAsia="zh-CN"/>
        </w:rPr>
        <w:t>研究</w:t>
      </w:r>
      <w:r>
        <w:rPr>
          <w:rFonts w:hint="eastAsia" w:ascii="仿宋_GB2312" w:hAnsi="仿宋_GB2312" w:eastAsia="仿宋_GB2312" w:cs="仿宋_GB2312"/>
          <w:b w:val="0"/>
          <w:sz w:val="32"/>
          <w:szCs w:val="32"/>
        </w:rPr>
        <w:t>方案，经发榜方审核通过后组</w:t>
      </w:r>
      <w:r>
        <w:rPr>
          <w:rFonts w:hint="eastAsia" w:ascii="仿宋_GB2312" w:hAnsi="仿宋_GB2312" w:eastAsia="仿宋_GB2312" w:cs="仿宋_GB2312"/>
          <w:b w:val="0"/>
          <w:sz w:val="32"/>
          <w:szCs w:val="32"/>
          <w:lang w:val="en-US" w:eastAsia="zh-CN"/>
        </w:rPr>
        <w:t>织实施，完成还原炉内壁银涂层工艺开发。</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3.发榜方支付本项目开发费用，项目所形成的工艺技术、参数、专利、论文等技术成果及知识产权归属发榜方所有。</w:t>
      </w:r>
    </w:p>
    <w:p>
      <w:pPr>
        <w:keepNext w:val="0"/>
        <w:keepLines w:val="0"/>
        <w:pageBreakBefore w:val="0"/>
        <w:kinsoku/>
        <w:wordWrap/>
        <w:overflowPunct/>
        <w:topLinePunct w:val="0"/>
        <w:bidi w:val="0"/>
        <w:adjustRightInd w:val="0"/>
        <w:snapToGrid w:val="0"/>
        <w:spacing w:after="0" w:line="360" w:lineRule="auto"/>
        <w:ind w:left="0" w:right="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sz w:val="32"/>
          <w:szCs w:val="32"/>
          <w:lang w:val="en-US" w:eastAsia="zh-CN"/>
        </w:rPr>
        <w:t>4.揭榜方负责</w:t>
      </w:r>
      <w:r>
        <w:rPr>
          <w:rFonts w:hint="eastAsia" w:ascii="仿宋_GB2312" w:hAnsi="仿宋_GB2312" w:eastAsia="仿宋_GB2312" w:cs="仿宋_GB2312"/>
          <w:b w:val="0"/>
          <w:sz w:val="32"/>
          <w:szCs w:val="32"/>
        </w:rPr>
        <w:t>完成</w:t>
      </w:r>
      <w:r>
        <w:rPr>
          <w:rFonts w:hint="eastAsia" w:ascii="仿宋_GB2312" w:hAnsi="仿宋_GB2312" w:eastAsia="仿宋_GB2312" w:cs="仿宋_GB2312"/>
          <w:b w:val="0"/>
          <w:sz w:val="32"/>
          <w:szCs w:val="32"/>
          <w:lang w:val="en-US" w:eastAsia="zh-CN"/>
        </w:rPr>
        <w:t>项目专利、论文编撰</w:t>
      </w:r>
      <w:r>
        <w:rPr>
          <w:rFonts w:hint="eastAsia" w:ascii="仿宋_GB2312" w:hAnsi="仿宋_GB2312" w:eastAsia="仿宋_GB2312" w:cs="仿宋_GB2312"/>
          <w:b w:val="0"/>
          <w:sz w:val="32"/>
          <w:szCs w:val="32"/>
          <w:lang w:eastAsia="zh-CN"/>
        </w:rPr>
        <w:t>及</w:t>
      </w:r>
      <w:r>
        <w:rPr>
          <w:rFonts w:hint="eastAsia" w:ascii="仿宋_GB2312" w:hAnsi="仿宋_GB2312" w:eastAsia="仿宋_GB2312" w:cs="仿宋_GB2312"/>
          <w:b w:val="0"/>
          <w:sz w:val="32"/>
          <w:szCs w:val="32"/>
          <w:highlight w:val="none"/>
          <w:lang w:val="en-US" w:eastAsia="zh-CN"/>
        </w:rPr>
        <w:t>专利申请、论文的发表和</w:t>
      </w:r>
      <w:r>
        <w:rPr>
          <w:rFonts w:hint="eastAsia" w:ascii="仿宋_GB2312" w:hAnsi="仿宋_GB2312" w:eastAsia="仿宋_GB2312" w:cs="仿宋_GB2312"/>
          <w:b w:val="0"/>
          <w:sz w:val="32"/>
          <w:szCs w:val="32"/>
          <w:highlight w:val="none"/>
        </w:rPr>
        <w:t>项目验收。</w:t>
      </w:r>
    </w:p>
    <w:p>
      <w:pPr>
        <w:pStyle w:val="5"/>
        <w:keepNext w:val="0"/>
        <w:keepLines w:val="0"/>
        <w:pageBreakBefore w:val="0"/>
        <w:kinsoku/>
        <w:wordWrap/>
        <w:overflowPunct/>
        <w:topLinePunct w:val="0"/>
        <w:bidi w:val="0"/>
        <w:adjustRightInd w:val="0"/>
        <w:snapToGrid w:val="0"/>
        <w:spacing w:after="0" w:line="360" w:lineRule="auto"/>
        <w:ind w:left="0" w:right="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5.双方需就项目研究过程中所涉及的所有技术资料签订专项保密协议并履行保密义务。</w:t>
      </w:r>
    </w:p>
    <w:p>
      <w:pPr>
        <w:pStyle w:val="5"/>
        <w:keepNext w:val="0"/>
        <w:keepLines w:val="0"/>
        <w:pageBreakBefore w:val="0"/>
        <w:kinsoku/>
        <w:wordWrap/>
        <w:overflowPunct/>
        <w:topLinePunct w:val="0"/>
        <w:bidi w:val="0"/>
        <w:adjustRightInd w:val="0"/>
        <w:snapToGrid w:val="0"/>
        <w:spacing w:after="0" w:line="360" w:lineRule="auto"/>
        <w:ind w:left="0" w:right="0"/>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 w:val="32"/>
          <w:szCs w:val="32"/>
        </w:rPr>
        <w:t>五、经费预算：</w:t>
      </w:r>
    </w:p>
    <w:p>
      <w:pPr>
        <w:pStyle w:val="2"/>
        <w:keepNext w:val="0"/>
        <w:keepLines w:val="0"/>
        <w:pageBreakBefore w:val="0"/>
        <w:numPr>
          <w:ilvl w:val="0"/>
          <w:numId w:val="0"/>
        </w:numPr>
        <w:kinsoku/>
        <w:wordWrap/>
        <w:overflowPunct/>
        <w:topLinePunct w:val="0"/>
        <w:bidi w:val="0"/>
        <w:adjustRightInd w:val="0"/>
        <w:snapToGrid w:val="0"/>
        <w:spacing w:line="360" w:lineRule="auto"/>
        <w:ind w:left="0" w:right="0"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总研究经费</w:t>
      </w:r>
      <w:r>
        <w:rPr>
          <w:rFonts w:hint="eastAsia" w:ascii="仿宋_GB2312" w:hAnsi="仿宋_GB2312" w:eastAsia="仿宋_GB2312" w:cs="仿宋_GB2312"/>
          <w:b w:val="0"/>
          <w:sz w:val="32"/>
          <w:szCs w:val="32"/>
        </w:rPr>
        <w:t>控制在</w:t>
      </w:r>
      <w:r>
        <w:rPr>
          <w:rFonts w:hint="eastAsia" w:ascii="仿宋_GB2312" w:hAnsi="仿宋_GB2312" w:eastAsia="仿宋_GB2312" w:cs="仿宋_GB2312"/>
          <w:b w:val="0"/>
          <w:sz w:val="32"/>
          <w:szCs w:val="32"/>
          <w:lang w:val="en-US" w:eastAsia="zh-CN"/>
        </w:rPr>
        <w:t>330</w:t>
      </w:r>
      <w:r>
        <w:rPr>
          <w:rFonts w:hint="eastAsia" w:ascii="仿宋_GB2312" w:hAnsi="仿宋_GB2312" w:eastAsia="仿宋_GB2312" w:cs="仿宋_GB2312"/>
          <w:b w:val="0"/>
          <w:sz w:val="32"/>
          <w:szCs w:val="32"/>
        </w:rPr>
        <w:t>万元以内</w:t>
      </w:r>
    </w:p>
    <w:p>
      <w:pPr>
        <w:pStyle w:val="5"/>
        <w:keepNext w:val="0"/>
        <w:keepLines w:val="0"/>
        <w:pageBreakBefore w:val="0"/>
        <w:kinsoku/>
        <w:wordWrap/>
        <w:overflowPunct/>
        <w:topLinePunct w:val="0"/>
        <w:bidi w:val="0"/>
        <w:adjustRightInd w:val="0"/>
        <w:snapToGrid w:val="0"/>
        <w:spacing w:after="0" w:line="360" w:lineRule="auto"/>
        <w:ind w:left="0" w:righ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六、研究周期：</w:t>
      </w:r>
    </w:p>
    <w:p>
      <w:pPr>
        <w:pStyle w:val="2"/>
        <w:keepNext w:val="0"/>
        <w:keepLines w:val="0"/>
        <w:pageBreakBefore w:val="0"/>
        <w:numPr>
          <w:ilvl w:val="0"/>
          <w:numId w:val="0"/>
        </w:numPr>
        <w:kinsoku/>
        <w:wordWrap/>
        <w:overflowPunct/>
        <w:topLinePunct w:val="0"/>
        <w:bidi w:val="0"/>
        <w:snapToGrid w:val="0"/>
        <w:spacing w:line="360" w:lineRule="auto"/>
        <w:ind w:left="0" w:right="0"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2023年6月前完成一种多晶硅还原炉不锈钢内壁银涂层工艺技术研究开发；</w:t>
      </w:r>
    </w:p>
    <w:p>
      <w:pPr>
        <w:pStyle w:val="2"/>
        <w:keepNext w:val="0"/>
        <w:keepLines w:val="0"/>
        <w:pageBreakBefore w:val="0"/>
        <w:numPr>
          <w:ilvl w:val="0"/>
          <w:numId w:val="0"/>
        </w:numPr>
        <w:kinsoku/>
        <w:wordWrap/>
        <w:overflowPunct/>
        <w:topLinePunct w:val="0"/>
        <w:bidi w:val="0"/>
        <w:snapToGrid w:val="0"/>
        <w:spacing w:line="360" w:lineRule="auto"/>
        <w:ind w:left="0" w:right="0"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2023年7月前完成一台多晶硅不锈钢还原炉内壁银材料喷涂成套设备研制和一台9对棒不锈钢还原炉钟罩、两台24对棒不锈钢还原炉钟罩银材料的喷涂，并实现正常生产运行。</w:t>
      </w:r>
    </w:p>
    <w:p>
      <w:pPr>
        <w:pStyle w:val="2"/>
        <w:keepNext w:val="0"/>
        <w:keepLines w:val="0"/>
        <w:pageBreakBefore w:val="0"/>
        <w:numPr>
          <w:ilvl w:val="0"/>
          <w:numId w:val="0"/>
        </w:numPr>
        <w:kinsoku/>
        <w:wordWrap/>
        <w:overflowPunct/>
        <w:topLinePunct w:val="0"/>
        <w:bidi w:val="0"/>
        <w:snapToGrid w:val="0"/>
        <w:spacing w:line="360" w:lineRule="auto"/>
        <w:ind w:left="0" w:right="0"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2023年10月前完成生产运行及效果试验验证。</w:t>
      </w:r>
    </w:p>
    <w:p>
      <w:pPr>
        <w:pStyle w:val="2"/>
        <w:keepNext w:val="0"/>
        <w:keepLines w:val="0"/>
        <w:pageBreakBefore w:val="0"/>
        <w:numPr>
          <w:ilvl w:val="0"/>
          <w:numId w:val="0"/>
        </w:numPr>
        <w:kinsoku/>
        <w:wordWrap/>
        <w:overflowPunct/>
        <w:topLinePunct w:val="0"/>
        <w:bidi w:val="0"/>
        <w:snapToGrid w:val="0"/>
        <w:spacing w:line="360" w:lineRule="auto"/>
        <w:ind w:left="0" w:right="0" w:firstLine="640" w:firstLineChars="200"/>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sz w:val="32"/>
          <w:szCs w:val="32"/>
        </w:rPr>
        <w:t>2023年12月前完成项目研究及验收。</w:t>
      </w:r>
    </w:p>
    <w:p>
      <w:pPr>
        <w:pStyle w:val="5"/>
        <w:keepNext w:val="0"/>
        <w:keepLines w:val="0"/>
        <w:pageBreakBefore w:val="0"/>
        <w:kinsoku/>
        <w:wordWrap/>
        <w:overflowPunct/>
        <w:topLinePunct w:val="0"/>
        <w:bidi w:val="0"/>
        <w:adjustRightInd w:val="0"/>
        <w:snapToGrid w:val="0"/>
        <w:spacing w:after="0" w:line="360" w:lineRule="auto"/>
        <w:ind w:left="0" w:right="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、项目联系人及电话：</w:t>
      </w:r>
    </w:p>
    <w:p>
      <w:pPr>
        <w:pStyle w:val="2"/>
        <w:keepNext w:val="0"/>
        <w:keepLines w:val="0"/>
        <w:pageBreakBefore w:val="0"/>
        <w:numPr>
          <w:ilvl w:val="0"/>
          <w:numId w:val="0"/>
        </w:numPr>
        <w:kinsoku/>
        <w:wordWrap/>
        <w:overflowPunct/>
        <w:topLinePunct w:val="0"/>
        <w:bidi w:val="0"/>
        <w:snapToGrid w:val="0"/>
        <w:spacing w:line="360" w:lineRule="auto"/>
        <w:ind w:left="0" w:right="0"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联系人：</w:t>
      </w:r>
      <w:r>
        <w:rPr>
          <w:rFonts w:hint="eastAsia" w:ascii="仿宋_GB2312" w:hAnsi="仿宋_GB2312" w:eastAsia="仿宋_GB2312" w:cs="仿宋_GB2312"/>
          <w:b w:val="0"/>
          <w:sz w:val="32"/>
          <w:szCs w:val="32"/>
          <w:lang w:val="en-US" w:eastAsia="zh-CN"/>
        </w:rPr>
        <w:t>危  胜</w:t>
      </w:r>
      <w:r>
        <w:rPr>
          <w:rFonts w:hint="eastAsia" w:ascii="仿宋_GB2312" w:hAnsi="仿宋_GB2312" w:eastAsia="仿宋_GB2312" w:cs="仿宋_GB2312"/>
          <w:b w:val="0"/>
          <w:sz w:val="32"/>
          <w:szCs w:val="32"/>
        </w:rPr>
        <w:t xml:space="preserve">   电话：1</w:t>
      </w:r>
      <w:r>
        <w:rPr>
          <w:rFonts w:hint="eastAsia" w:ascii="仿宋_GB2312" w:hAnsi="仿宋_GB2312" w:eastAsia="仿宋_GB2312" w:cs="仿宋_GB2312"/>
          <w:b w:val="0"/>
          <w:sz w:val="32"/>
          <w:szCs w:val="32"/>
          <w:lang w:val="en-US" w:eastAsia="zh-CN"/>
        </w:rPr>
        <w:t>8697236833</w:t>
      </w:r>
    </w:p>
    <w:p>
      <w:pPr>
        <w:keepNext w:val="0"/>
        <w:keepLines w:val="0"/>
        <w:pageBreakBefore w:val="0"/>
        <w:kinsoku/>
        <w:wordWrap/>
        <w:overflowPunct/>
        <w:topLinePunct w:val="0"/>
        <w:bidi w:val="0"/>
        <w:snapToGrid w:val="0"/>
        <w:spacing w:after="0" w:line="360" w:lineRule="auto"/>
        <w:ind w:left="0" w:right="0"/>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项目9：大型光伏电站特殊环境条件下阵列区电缆敷设技术优化及应用研究</w:t>
      </w:r>
    </w:p>
    <w:p>
      <w:pPr>
        <w:pStyle w:val="7"/>
        <w:rPr>
          <w:rFonts w:hint="eastAsia" w:ascii="黑体" w:hAnsi="黑体" w:eastAsia="黑体" w:cs="黑体"/>
          <w:bCs/>
          <w:kern w:val="0"/>
          <w:sz w:val="32"/>
          <w:szCs w:val="32"/>
          <w:highlight w:val="none"/>
          <w:lang w:val="en-US" w:eastAsia="zh-CN" w:bidi="ar"/>
        </w:rPr>
      </w:pPr>
    </w:p>
    <w:p>
      <w:pPr>
        <w:pStyle w:val="2"/>
        <w:numPr>
          <w:ilvl w:val="0"/>
          <w:numId w:val="0"/>
        </w:numPr>
        <w:tabs>
          <w:tab w:val="left" w:pos="1814"/>
        </w:tabs>
        <w:spacing w:line="360" w:lineRule="auto"/>
        <w:ind w:firstLine="643" w:firstLineChars="200"/>
        <w:rPr>
          <w:rFonts w:ascii="仿宋_GB2312" w:hAnsi="仿宋_GB2312" w:eastAsia="仿宋_GB2312" w:cs="仿宋_GB2312"/>
          <w:b/>
          <w:bCs/>
          <w:szCs w:val="21"/>
        </w:rPr>
      </w:pPr>
      <w:r>
        <w:rPr>
          <w:rFonts w:hint="eastAsia" w:ascii="仿宋_GB2312" w:hAnsi="仿宋_GB2312" w:eastAsia="仿宋_GB2312" w:cs="仿宋_GB2312"/>
          <w:b/>
          <w:bCs/>
          <w:sz w:val="32"/>
          <w:szCs w:val="32"/>
        </w:rPr>
        <w:t>一、攻关难题和攻关内容：</w:t>
      </w:r>
    </w:p>
    <w:p>
      <w:pPr>
        <w:pStyle w:val="21"/>
        <w:tabs>
          <w:tab w:val="left" w:pos="1276"/>
          <w:tab w:val="left" w:pos="3544"/>
        </w:tabs>
        <w:snapToGrid w:val="0"/>
        <w:spacing w:line="360" w:lineRule="auto"/>
        <w:ind w:firstLine="640"/>
        <w:rPr>
          <w:rFonts w:ascii="仿宋_GB2312" w:eastAsia="仿宋_GB2312"/>
          <w:sz w:val="32"/>
        </w:rPr>
      </w:pPr>
      <w:r>
        <w:rPr>
          <w:rFonts w:hint="eastAsia" w:ascii="仿宋_GB2312" w:eastAsia="仿宋_GB2312"/>
          <w:sz w:val="32"/>
        </w:rPr>
        <w:t>（一）攻关难题</w:t>
      </w:r>
    </w:p>
    <w:p>
      <w:pPr>
        <w:pStyle w:val="21"/>
        <w:tabs>
          <w:tab w:val="left" w:pos="1276"/>
          <w:tab w:val="left" w:pos="3544"/>
        </w:tabs>
        <w:snapToGrid w:val="0"/>
        <w:spacing w:line="360" w:lineRule="auto"/>
        <w:ind w:firstLine="640"/>
        <w:rPr>
          <w:rFonts w:ascii="仿宋_GB2312" w:eastAsia="仿宋_GB2312"/>
          <w:sz w:val="32"/>
        </w:rPr>
      </w:pPr>
      <w:r>
        <w:rPr>
          <w:rFonts w:hint="eastAsia" w:ascii="仿宋_GB2312" w:eastAsia="仿宋_GB2312"/>
          <w:sz w:val="32"/>
        </w:rPr>
        <w:t>解决大型光伏电站特殊环境条件下（荒漠、沼泽地等）阵列区电缆敷设方式及施工关键技术难题，并对后期特殊环境条件下电缆敷设施工技术工法的编制奠定技术基础。</w:t>
      </w:r>
    </w:p>
    <w:p>
      <w:pPr>
        <w:pStyle w:val="21"/>
        <w:tabs>
          <w:tab w:val="left" w:pos="1276"/>
          <w:tab w:val="left" w:pos="3544"/>
        </w:tabs>
        <w:snapToGrid w:val="0"/>
        <w:spacing w:line="360" w:lineRule="auto"/>
        <w:ind w:firstLine="640"/>
        <w:rPr>
          <w:rFonts w:ascii="仿宋_GB2312" w:eastAsia="仿宋_GB2312"/>
          <w:sz w:val="32"/>
        </w:rPr>
      </w:pPr>
      <w:r>
        <w:rPr>
          <w:rFonts w:hint="eastAsia" w:ascii="仿宋_GB2312" w:eastAsia="仿宋_GB2312"/>
          <w:sz w:val="32"/>
        </w:rPr>
        <w:t>（二）攻关内容</w:t>
      </w:r>
    </w:p>
    <w:p>
      <w:pPr>
        <w:pStyle w:val="21"/>
        <w:tabs>
          <w:tab w:val="left" w:pos="1276"/>
          <w:tab w:val="left" w:pos="3544"/>
        </w:tabs>
        <w:snapToGrid w:val="0"/>
        <w:spacing w:line="360" w:lineRule="auto"/>
        <w:ind w:firstLine="640"/>
        <w:rPr>
          <w:rFonts w:ascii="仿宋_GB2312" w:eastAsia="仿宋_GB2312"/>
          <w:sz w:val="32"/>
        </w:rPr>
      </w:pPr>
      <w:r>
        <w:rPr>
          <w:rFonts w:hint="eastAsia" w:ascii="仿宋_GB2312" w:eastAsia="仿宋_GB2312"/>
          <w:sz w:val="32"/>
        </w:rPr>
        <w:t>1.</w:t>
      </w:r>
      <w:r>
        <w:rPr>
          <w:rFonts w:hint="eastAsia"/>
        </w:rPr>
        <w:t xml:space="preserve"> </w:t>
      </w:r>
      <w:r>
        <w:rPr>
          <w:rFonts w:hint="eastAsia" w:ascii="仿宋_GB2312" w:eastAsia="仿宋_GB2312"/>
          <w:sz w:val="32"/>
        </w:rPr>
        <w:t>开展特殊环境新能源项目的地质调研，依据调研资料通过</w:t>
      </w:r>
      <w:bookmarkStart w:id="3" w:name="_Hlk127191269"/>
      <w:r>
        <w:rPr>
          <w:rFonts w:hint="eastAsia" w:ascii="仿宋_GB2312" w:eastAsia="仿宋_GB2312"/>
          <w:sz w:val="32"/>
        </w:rPr>
        <w:t>BIM</w:t>
      </w:r>
      <w:bookmarkEnd w:id="3"/>
      <w:r>
        <w:rPr>
          <w:rFonts w:hint="eastAsia" w:ascii="仿宋_GB2312" w:eastAsia="仿宋_GB2312"/>
          <w:sz w:val="32"/>
        </w:rPr>
        <w:t>建模辅助工具对不同形式的电缆敷设方式、路径等进行</w:t>
      </w:r>
      <w:bookmarkStart w:id="4" w:name="_Hlk127191280"/>
      <w:r>
        <w:rPr>
          <w:rFonts w:hint="eastAsia" w:ascii="仿宋_GB2312" w:eastAsia="仿宋_GB2312"/>
          <w:sz w:val="32"/>
        </w:rPr>
        <w:t>三维建模</w:t>
      </w:r>
      <w:bookmarkEnd w:id="4"/>
      <w:r>
        <w:rPr>
          <w:rFonts w:hint="eastAsia" w:ascii="仿宋_GB2312" w:eastAsia="仿宋_GB2312"/>
          <w:sz w:val="32"/>
        </w:rPr>
        <w:t>。</w:t>
      </w:r>
    </w:p>
    <w:p>
      <w:pPr>
        <w:pStyle w:val="21"/>
        <w:tabs>
          <w:tab w:val="left" w:pos="1276"/>
          <w:tab w:val="left" w:pos="3544"/>
        </w:tabs>
        <w:snapToGrid w:val="0"/>
        <w:spacing w:line="360" w:lineRule="auto"/>
        <w:ind w:firstLine="640"/>
        <w:rPr>
          <w:rFonts w:ascii="仿宋_GB2312" w:eastAsia="仿宋_GB2312"/>
          <w:sz w:val="32"/>
        </w:rPr>
      </w:pPr>
      <w:r>
        <w:rPr>
          <w:rFonts w:hint="eastAsia" w:ascii="仿宋_GB2312" w:eastAsia="仿宋_GB2312"/>
          <w:sz w:val="32"/>
        </w:rPr>
        <w:t>2.</w:t>
      </w:r>
      <w:r>
        <w:rPr>
          <w:rFonts w:hint="eastAsia"/>
        </w:rPr>
        <w:t xml:space="preserve"> </w:t>
      </w:r>
      <w:r>
        <w:rPr>
          <w:rFonts w:hint="eastAsia" w:ascii="仿宋_GB2312" w:eastAsia="仿宋_GB2312"/>
          <w:sz w:val="32"/>
        </w:rPr>
        <w:t>对不同形式的电缆敷设方式（直埋、桥架、槽盒等）进行实地实验及应用，并开展电缆应用效果评价和电缆性能指标检测，进行经济技术评价、方案比选</w:t>
      </w:r>
      <w:r>
        <w:rPr>
          <w:rFonts w:ascii="仿宋_GB2312" w:eastAsia="仿宋_GB2312"/>
          <w:sz w:val="32"/>
        </w:rPr>
        <w:t>。</w:t>
      </w:r>
    </w:p>
    <w:p>
      <w:pPr>
        <w:pStyle w:val="21"/>
        <w:tabs>
          <w:tab w:val="left" w:pos="1276"/>
          <w:tab w:val="left" w:pos="3544"/>
        </w:tabs>
        <w:snapToGrid w:val="0"/>
        <w:spacing w:line="360" w:lineRule="auto"/>
        <w:ind w:firstLine="640"/>
        <w:rPr>
          <w:rFonts w:ascii="仿宋_GB2312" w:eastAsia="仿宋_GB2312"/>
          <w:sz w:val="32"/>
        </w:rPr>
      </w:pPr>
      <w:r>
        <w:rPr>
          <w:rFonts w:hint="eastAsia" w:ascii="仿宋_GB2312" w:eastAsia="仿宋_GB2312"/>
          <w:sz w:val="32"/>
        </w:rPr>
        <w:t>3.</w:t>
      </w:r>
      <w:r>
        <w:rPr>
          <w:rFonts w:hint="eastAsia"/>
        </w:rPr>
        <w:t xml:space="preserve"> </w:t>
      </w:r>
      <w:r>
        <w:rPr>
          <w:rFonts w:hint="eastAsia" w:ascii="仿宋_GB2312" w:eastAsia="仿宋_GB2312"/>
          <w:sz w:val="32"/>
        </w:rPr>
        <w:t>研究不同形式的电缆敷设</w:t>
      </w:r>
      <w:bookmarkStart w:id="5" w:name="_Hlk127191188"/>
      <w:r>
        <w:rPr>
          <w:rFonts w:hint="eastAsia" w:ascii="仿宋_GB2312" w:eastAsia="仿宋_GB2312"/>
          <w:sz w:val="32"/>
        </w:rPr>
        <w:t>施工关键技术及工艺</w:t>
      </w:r>
      <w:bookmarkEnd w:id="5"/>
      <w:r>
        <w:rPr>
          <w:rFonts w:hint="eastAsia" w:ascii="仿宋_GB2312" w:eastAsia="仿宋_GB2312"/>
          <w:sz w:val="32"/>
        </w:rPr>
        <w:t>。</w:t>
      </w:r>
    </w:p>
    <w:p>
      <w:pPr>
        <w:pStyle w:val="2"/>
        <w:numPr>
          <w:ilvl w:val="0"/>
          <w:numId w:val="0"/>
        </w:numPr>
        <w:tabs>
          <w:tab w:val="left" w:pos="1814"/>
        </w:tabs>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二、攻关后希望达到的预期目标、技术指标、预期成果：</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（一）预期目标：</w:t>
      </w:r>
    </w:p>
    <w:p>
      <w:pPr>
        <w:tabs>
          <w:tab w:val="left" w:pos="1276"/>
          <w:tab w:val="left" w:pos="3544"/>
        </w:tabs>
        <w:spacing w:after="0" w:line="360" w:lineRule="auto"/>
        <w:ind w:firstLine="640" w:firstLineChars="200"/>
        <w:jc w:val="left"/>
        <w:rPr>
          <w:rFonts w:ascii="仿宋_GB2312" w:eastAsia="仿宋_GB2312"/>
          <w:sz w:val="32"/>
        </w:rPr>
      </w:pPr>
      <w:r>
        <w:rPr>
          <w:rFonts w:ascii="仿宋_GB2312" w:eastAsia="仿宋_GB2312"/>
          <w:sz w:val="32"/>
        </w:rPr>
        <w:t>1.</w:t>
      </w:r>
      <w:r>
        <w:rPr>
          <w:rFonts w:hint="eastAsia" w:ascii="仿宋_GB2312" w:eastAsia="仿宋_GB2312"/>
          <w:sz w:val="32"/>
        </w:rPr>
        <w:t>通过</w:t>
      </w:r>
      <w:r>
        <w:rPr>
          <w:rFonts w:ascii="仿宋_GB2312" w:eastAsia="仿宋_GB2312"/>
          <w:sz w:val="32"/>
        </w:rPr>
        <w:t>BIM三维建模分析，</w:t>
      </w:r>
      <w:r>
        <w:rPr>
          <w:rFonts w:hint="eastAsia" w:ascii="仿宋_GB2312" w:eastAsia="仿宋_GB2312"/>
          <w:sz w:val="32"/>
        </w:rPr>
        <w:t>得出</w:t>
      </w:r>
      <w:r>
        <w:rPr>
          <w:rFonts w:ascii="仿宋_GB2312" w:eastAsia="仿宋_GB2312"/>
          <w:sz w:val="32"/>
        </w:rPr>
        <w:t>不同特殊环境条件下</w:t>
      </w:r>
      <w:r>
        <w:rPr>
          <w:rFonts w:hint="eastAsia" w:ascii="仿宋_GB2312" w:eastAsia="仿宋_GB2312"/>
          <w:sz w:val="32"/>
        </w:rPr>
        <w:t>B</w:t>
      </w:r>
      <w:r>
        <w:rPr>
          <w:rFonts w:ascii="仿宋_GB2312" w:eastAsia="仿宋_GB2312"/>
          <w:sz w:val="32"/>
        </w:rPr>
        <w:t>IM</w:t>
      </w:r>
      <w:r>
        <w:rPr>
          <w:rFonts w:hint="eastAsia" w:ascii="仿宋_GB2312" w:eastAsia="仿宋_GB2312"/>
          <w:sz w:val="32"/>
        </w:rPr>
        <w:t>三维模型。</w:t>
      </w:r>
    </w:p>
    <w:p>
      <w:pPr>
        <w:tabs>
          <w:tab w:val="left" w:pos="1276"/>
          <w:tab w:val="left" w:pos="3544"/>
        </w:tabs>
        <w:spacing w:after="0" w:line="360" w:lineRule="auto"/>
        <w:ind w:firstLine="640" w:firstLineChars="200"/>
        <w:jc w:val="left"/>
        <w:rPr>
          <w:rFonts w:ascii="仿宋_GB2312" w:eastAsia="仿宋_GB2312"/>
          <w:sz w:val="32"/>
        </w:rPr>
      </w:pPr>
      <w:r>
        <w:rPr>
          <w:rFonts w:ascii="仿宋_GB2312" w:eastAsia="仿宋_GB2312"/>
          <w:sz w:val="32"/>
        </w:rPr>
        <w:t>2.分析研究</w:t>
      </w:r>
      <w:bookmarkStart w:id="6" w:name="_Hlk127216807"/>
      <w:r>
        <w:rPr>
          <w:rFonts w:ascii="仿宋_GB2312" w:eastAsia="仿宋_GB2312"/>
          <w:sz w:val="32"/>
        </w:rPr>
        <w:t>取得</w:t>
      </w:r>
      <w:r>
        <w:rPr>
          <w:rFonts w:hint="eastAsia" w:ascii="仿宋_GB2312" w:eastAsia="仿宋_GB2312"/>
          <w:sz w:val="32"/>
        </w:rPr>
        <w:t>1套</w:t>
      </w:r>
      <w:bookmarkEnd w:id="6"/>
      <w:r>
        <w:rPr>
          <w:rFonts w:ascii="仿宋_GB2312" w:eastAsia="仿宋_GB2312"/>
          <w:sz w:val="32"/>
        </w:rPr>
        <w:t>不同</w:t>
      </w:r>
      <w:r>
        <w:rPr>
          <w:rFonts w:hint="eastAsia" w:ascii="仿宋_GB2312" w:eastAsia="仿宋_GB2312"/>
          <w:sz w:val="32"/>
        </w:rPr>
        <w:t>型式</w:t>
      </w:r>
      <w:r>
        <w:rPr>
          <w:rFonts w:ascii="仿宋_GB2312" w:eastAsia="仿宋_GB2312"/>
          <w:sz w:val="32"/>
        </w:rPr>
        <w:t>的电缆敷设方式施工关键技术</w:t>
      </w:r>
      <w:r>
        <w:rPr>
          <w:rFonts w:hint="eastAsia" w:ascii="仿宋_GB2312" w:eastAsia="仿宋_GB2312"/>
          <w:sz w:val="32"/>
        </w:rPr>
        <w:t>。</w:t>
      </w:r>
    </w:p>
    <w:p>
      <w:pPr>
        <w:tabs>
          <w:tab w:val="left" w:pos="1276"/>
          <w:tab w:val="left" w:pos="3544"/>
        </w:tabs>
        <w:spacing w:after="0" w:line="360" w:lineRule="auto"/>
        <w:ind w:firstLine="640" w:firstLineChars="200"/>
        <w:jc w:val="left"/>
        <w:rPr>
          <w:rFonts w:ascii="仿宋_GB2312" w:eastAsia="仿宋_GB2312"/>
          <w:sz w:val="32"/>
        </w:rPr>
      </w:pPr>
      <w:r>
        <w:rPr>
          <w:rFonts w:ascii="仿宋_GB2312" w:eastAsia="仿宋_GB2312"/>
          <w:sz w:val="32"/>
        </w:rPr>
        <w:t>3.</w:t>
      </w:r>
      <w:bookmarkStart w:id="7" w:name="_Hlk127216788"/>
      <w:r>
        <w:rPr>
          <w:rFonts w:ascii="仿宋_GB2312" w:eastAsia="仿宋_GB2312"/>
          <w:sz w:val="32"/>
        </w:rPr>
        <w:t>得出</w:t>
      </w:r>
      <w:r>
        <w:rPr>
          <w:rFonts w:hint="eastAsia" w:ascii="仿宋_GB2312" w:eastAsia="仿宋_GB2312"/>
          <w:sz w:val="32"/>
        </w:rPr>
        <w:t>1套</w:t>
      </w:r>
      <w:r>
        <w:rPr>
          <w:rFonts w:ascii="仿宋_GB2312" w:eastAsia="仿宋_GB2312"/>
          <w:sz w:val="32"/>
        </w:rPr>
        <w:t>不同特殊环境条件下最佳电缆敷设方案</w:t>
      </w:r>
      <w:r>
        <w:rPr>
          <w:rFonts w:hint="eastAsia" w:ascii="仿宋_GB2312" w:eastAsia="仿宋_GB2312"/>
          <w:sz w:val="32"/>
        </w:rPr>
        <w:t>。</w:t>
      </w:r>
    </w:p>
    <w:bookmarkEnd w:id="7"/>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（二）技术指标：</w:t>
      </w:r>
    </w:p>
    <w:p>
      <w:pPr>
        <w:tabs>
          <w:tab w:val="left" w:pos="1276"/>
          <w:tab w:val="left" w:pos="3544"/>
        </w:tabs>
        <w:spacing w:after="0" w:line="360" w:lineRule="auto"/>
        <w:ind w:firstLine="640" w:firstLineChars="200"/>
        <w:jc w:val="left"/>
        <w:rPr>
          <w:rFonts w:ascii="仿宋_GB2312" w:eastAsia="仿宋_GB2312"/>
          <w:sz w:val="32"/>
        </w:rPr>
      </w:pPr>
      <w:r>
        <w:rPr>
          <w:rFonts w:ascii="仿宋_GB2312" w:eastAsia="仿宋_GB2312"/>
          <w:sz w:val="32"/>
        </w:rPr>
        <w:t>1.</w:t>
      </w:r>
      <w:bookmarkStart w:id="8" w:name="_Hlk127261255"/>
      <w:r>
        <w:rPr>
          <w:rFonts w:hint="eastAsia" w:ascii="仿宋_GB2312" w:eastAsia="仿宋_GB2312"/>
          <w:sz w:val="32"/>
        </w:rPr>
        <w:t>电缆敷设优化后</w:t>
      </w:r>
      <w:bookmarkEnd w:id="8"/>
      <w:r>
        <w:rPr>
          <w:rFonts w:hint="eastAsia" w:ascii="仿宋_GB2312" w:eastAsia="仿宋_GB2312"/>
          <w:sz w:val="32"/>
        </w:rPr>
        <w:t>，</w:t>
      </w:r>
      <w:bookmarkStart w:id="9" w:name="_Hlk127261263"/>
      <w:r>
        <w:rPr>
          <w:rFonts w:hint="eastAsia" w:ascii="仿宋_GB2312" w:eastAsia="仿宋_GB2312"/>
          <w:sz w:val="32"/>
        </w:rPr>
        <w:t>相较于同期建设的光伏电站减少</w:t>
      </w:r>
      <w:bookmarkEnd w:id="9"/>
      <w:r>
        <w:rPr>
          <w:rFonts w:hint="eastAsia" w:ascii="仿宋_GB2312" w:eastAsia="仿宋_GB2312"/>
          <w:sz w:val="32"/>
        </w:rPr>
        <w:t>土地开挖量</w:t>
      </w:r>
      <w:r>
        <w:rPr>
          <w:rFonts w:ascii="仿宋_GB2312" w:eastAsia="仿宋_GB2312"/>
          <w:sz w:val="32"/>
        </w:rPr>
        <w:t>10</w:t>
      </w:r>
      <w:r>
        <w:rPr>
          <w:rFonts w:hint="eastAsia" w:ascii="仿宋_GB2312" w:eastAsia="仿宋_GB2312"/>
          <w:sz w:val="32"/>
        </w:rPr>
        <w:t>%；</w:t>
      </w:r>
    </w:p>
    <w:p>
      <w:pPr>
        <w:tabs>
          <w:tab w:val="left" w:pos="1276"/>
          <w:tab w:val="left" w:pos="3544"/>
        </w:tabs>
        <w:spacing w:after="0" w:line="360" w:lineRule="auto"/>
        <w:ind w:firstLine="640" w:firstLineChars="200"/>
        <w:jc w:val="left"/>
        <w:rPr>
          <w:rFonts w:ascii="仿宋_GB2312" w:eastAsia="仿宋_GB2312"/>
          <w:sz w:val="32"/>
        </w:rPr>
      </w:pPr>
      <w:r>
        <w:rPr>
          <w:rFonts w:hint="eastAsia" w:ascii="仿宋_GB2312" w:eastAsia="仿宋_GB2312"/>
          <w:sz w:val="32"/>
        </w:rPr>
        <w:t>2</w:t>
      </w:r>
      <w:r>
        <w:rPr>
          <w:rFonts w:ascii="仿宋_GB2312" w:eastAsia="仿宋_GB2312"/>
          <w:sz w:val="32"/>
        </w:rPr>
        <w:t>.</w:t>
      </w:r>
      <w:r>
        <w:rPr>
          <w:rFonts w:hint="eastAsia"/>
        </w:rPr>
        <w:t xml:space="preserve"> </w:t>
      </w:r>
      <w:r>
        <w:rPr>
          <w:rFonts w:hint="eastAsia" w:ascii="仿宋_GB2312" w:eastAsia="仿宋_GB2312"/>
          <w:sz w:val="32"/>
        </w:rPr>
        <w:t>电缆敷设优化后，相较于同期建设的光伏电站,节约材料用量</w:t>
      </w:r>
      <w:r>
        <w:rPr>
          <w:rFonts w:ascii="仿宋_GB2312" w:eastAsia="仿宋_GB2312"/>
          <w:sz w:val="32"/>
        </w:rPr>
        <w:t>5</w:t>
      </w:r>
      <w:r>
        <w:rPr>
          <w:rFonts w:hint="eastAsia" w:ascii="仿宋_GB2312" w:eastAsia="仿宋_GB2312"/>
          <w:sz w:val="32"/>
        </w:rPr>
        <w:t>%。</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（三）预期成果：</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hAnsi="仿宋_GB2312" w:eastAsia="仿宋_GB2312" w:cs="仿宋_GB2312"/>
          <w:b w:val="0"/>
          <w:sz w:val="32"/>
          <w:szCs w:val="32"/>
        </w:rPr>
        <w:t>取得</w:t>
      </w:r>
      <w:r>
        <w:rPr>
          <w:rFonts w:ascii="仿宋_GB2312" w:hAnsi="仿宋_GB2312" w:eastAsia="仿宋_GB2312" w:cs="仿宋_GB2312"/>
          <w:b w:val="0"/>
          <w:sz w:val="32"/>
          <w:szCs w:val="32"/>
        </w:rPr>
        <w:t>1</w:t>
      </w:r>
      <w:r>
        <w:rPr>
          <w:rFonts w:hint="eastAsia" w:ascii="仿宋_GB2312" w:hAnsi="仿宋_GB2312" w:eastAsia="仿宋_GB2312" w:cs="仿宋_GB2312"/>
          <w:b w:val="0"/>
          <w:sz w:val="32"/>
          <w:szCs w:val="32"/>
        </w:rPr>
        <w:t>套不同特殊环境条件下最佳的电缆敷设方案。</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取得1套不同形式的电缆敷设方式施工关键技术。</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3.</w:t>
      </w:r>
      <w:r>
        <w:rPr>
          <w:rFonts w:hint="eastAsia"/>
        </w:rPr>
        <w:t xml:space="preserve"> </w:t>
      </w:r>
      <w:r>
        <w:rPr>
          <w:rFonts w:hint="eastAsia" w:ascii="仿宋_GB2312" w:hAnsi="仿宋_GB2312" w:eastAsia="仿宋_GB2312" w:cs="仿宋_GB2312"/>
          <w:b w:val="0"/>
          <w:sz w:val="32"/>
          <w:szCs w:val="32"/>
        </w:rPr>
        <w:t>发表论文2篇（国家级期刊）。</w:t>
      </w:r>
    </w:p>
    <w:p>
      <w:pPr>
        <w:numPr>
          <w:ilvl w:val="0"/>
          <w:numId w:val="1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对揭榜方要求：</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揭榜方基本条件：揭榜方必须是在中华人民共和国市场监督管理部门注册的，具有独立法人和一般纳税人资格的，具备电线电缆研发、制造、工程设计、施工（二级）、检测（类型、级别）（及以上）资质的企业（高校、科研院所）；应具有良好的企业信用，不存在被列为失信被执行人的情形；近三年财务和资信状况良好，没有财产被接管、冻结或处于亏损、破产状态，应提相关证明（如财务审计报告或报表、资信证明等）。</w:t>
      </w:r>
    </w:p>
    <w:p>
      <w:pPr>
        <w:pStyle w:val="2"/>
        <w:numPr>
          <w:ilvl w:val="0"/>
          <w:numId w:val="0"/>
        </w:numPr>
        <w:tabs>
          <w:tab w:val="left" w:pos="1814"/>
        </w:tabs>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揭榜方技术条件：熟悉光伏电缆敷设及B</w:t>
      </w:r>
      <w:r>
        <w:rPr>
          <w:rFonts w:ascii="仿宋_GB2312" w:hAnsi="仿宋_GB2312" w:eastAsia="仿宋_GB2312" w:cs="仿宋_GB2312"/>
          <w:b w:val="0"/>
          <w:sz w:val="32"/>
          <w:szCs w:val="32"/>
        </w:rPr>
        <w:t>IM</w:t>
      </w:r>
      <w:r>
        <w:rPr>
          <w:rFonts w:hint="eastAsia" w:ascii="仿宋_GB2312" w:hAnsi="仿宋_GB2312" w:eastAsia="仿宋_GB2312" w:cs="仿宋_GB2312"/>
          <w:b w:val="0"/>
          <w:sz w:val="32"/>
          <w:szCs w:val="32"/>
        </w:rPr>
        <w:t>三维建模的高等院校科研团队（实验室）、科研机构或具有科研能力的设计、施工或在光伏行业有类似经验的研发团队。</w:t>
      </w:r>
    </w:p>
    <w:p>
      <w:pPr>
        <w:pStyle w:val="2"/>
        <w:numPr>
          <w:ilvl w:val="0"/>
          <w:numId w:val="0"/>
        </w:numPr>
        <w:tabs>
          <w:tab w:val="left" w:pos="1814"/>
        </w:tabs>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四、揭榜方产权归属：</w:t>
      </w:r>
    </w:p>
    <w:p>
      <w:pPr>
        <w:pStyle w:val="2"/>
        <w:numPr>
          <w:ilvl w:val="0"/>
          <w:numId w:val="0"/>
        </w:numPr>
        <w:tabs>
          <w:tab w:val="left" w:pos="1814"/>
        </w:tabs>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本课题研究形成的成果及知识产权归发榜单位及揭榜单位共有，共有比例由发榜单位和揭榜单位协商确定，其中发榜单位占比大于50%。发榜单位牵头负责知识产权申请，并拥有研究成果及知识产权在所属单位和关联公司无偿推广使用的权利。</w:t>
      </w:r>
    </w:p>
    <w:p>
      <w:pPr>
        <w:pStyle w:val="2"/>
        <w:numPr>
          <w:ilvl w:val="0"/>
          <w:numId w:val="0"/>
        </w:numPr>
        <w:tabs>
          <w:tab w:val="left" w:pos="1814"/>
        </w:tabs>
        <w:spacing w:line="560" w:lineRule="exact"/>
        <w:ind w:firstLine="643" w:firstLineChars="200"/>
        <w:rPr>
          <w:rFonts w:ascii="仿宋_GB2312" w:hAnsi="仿宋_GB2312" w:eastAsia="仿宋_GB2312" w:cs="仿宋_GB2312"/>
          <w:b w:val="0"/>
          <w:color w:val="000000"/>
          <w:kern w:val="0"/>
          <w:sz w:val="32"/>
          <w:szCs w:val="32"/>
        </w:rPr>
      </w:pPr>
      <w:r>
        <w:rPr>
          <w:rFonts w:hint="eastAsia" w:ascii="仿宋_GB2312" w:hAnsi="仿宋_GB2312" w:eastAsia="仿宋_GB2312" w:cs="仿宋_GB2312"/>
          <w:b/>
          <w:bCs/>
          <w:sz w:val="32"/>
          <w:szCs w:val="32"/>
        </w:rPr>
        <w:t>五、经费预算：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ascii="仿宋_GB2312" w:hAnsi="仿宋_GB2312" w:eastAsia="仿宋_GB2312"/>
          <w:b w:val="0"/>
          <w:sz w:val="32"/>
          <w:szCs w:val="32"/>
        </w:rPr>
        <w:t>121万元以内。</w:t>
      </w:r>
    </w:p>
    <w:p>
      <w:pPr>
        <w:pStyle w:val="2"/>
        <w:numPr>
          <w:ilvl w:val="0"/>
          <w:numId w:val="0"/>
        </w:numPr>
        <w:tabs>
          <w:tab w:val="left" w:pos="1814"/>
        </w:tabs>
        <w:spacing w:line="360" w:lineRule="auto"/>
        <w:ind w:firstLine="643"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bCs/>
          <w:sz w:val="32"/>
          <w:szCs w:val="32"/>
        </w:rPr>
        <w:t>六、研究周期：</w:t>
      </w:r>
      <w:r>
        <w:rPr>
          <w:rFonts w:hint="eastAsia" w:ascii="仿宋_GB2312" w:hAnsi="仿宋_GB2312" w:eastAsia="仿宋_GB2312" w:cs="仿宋_GB2312"/>
          <w:b w:val="0"/>
          <w:sz w:val="32"/>
          <w:szCs w:val="32"/>
        </w:rPr>
        <w:t>签订合同后-2024年6月</w:t>
      </w:r>
    </w:p>
    <w:p>
      <w:pPr>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七、发榜单位：</w:t>
      </w:r>
      <w:r>
        <w:rPr>
          <w:rFonts w:hint="eastAsia" w:ascii="仿宋_GB2312" w:hAnsi="仿宋_GB2312" w:eastAsia="仿宋_GB2312" w:cs="仿宋_GB2312"/>
          <w:color w:val="000000"/>
          <w:kern w:val="0"/>
          <w:sz w:val="32"/>
          <w:szCs w:val="32"/>
        </w:rPr>
        <w:t>青海黄河上游水电开发有限责任公司新能源工程建设分公司</w:t>
      </w:r>
    </w:p>
    <w:p>
      <w:pPr>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八、联系方式：</w:t>
      </w:r>
    </w:p>
    <w:p>
      <w:pPr>
        <w:ind w:firstLine="640" w:firstLineChars="200"/>
        <w:rPr>
          <w:rFonts w:ascii="仿宋_GB2312" w:hAnsi="仿宋_GB2312" w:eastAsia="仿宋_GB2312" w:cs="仿宋_GB2312"/>
          <w:color w:val="000000"/>
          <w:kern w:val="0"/>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000000"/>
          <w:kern w:val="0"/>
          <w:sz w:val="32"/>
          <w:szCs w:val="32"/>
        </w:rPr>
        <w:t>联系人：张海超  电话：</w:t>
      </w:r>
      <w:r>
        <w:rPr>
          <w:rFonts w:ascii="仿宋_GB2312" w:hAnsi="仿宋_GB2312" w:eastAsia="仿宋_GB2312" w:cs="仿宋_GB2312"/>
          <w:color w:val="000000"/>
          <w:kern w:val="0"/>
          <w:sz w:val="32"/>
          <w:szCs w:val="32"/>
        </w:rPr>
        <w:t>1511097704</w:t>
      </w:r>
    </w:p>
    <w:p>
      <w:pPr>
        <w:spacing w:line="480" w:lineRule="auto"/>
        <w:jc w:val="both"/>
      </w:pPr>
      <w:r>
        <w:rPr>
          <w:rFonts w:hint="eastAsia" w:ascii="黑体" w:hAnsi="黑体" w:eastAsia="黑体" w:cs="黑体"/>
          <w:bCs/>
          <w:kern w:val="0"/>
          <w:sz w:val="32"/>
          <w:szCs w:val="32"/>
          <w:highlight w:val="none"/>
          <w:lang w:val="en-US" w:eastAsia="zh-CN" w:bidi="ar"/>
        </w:rPr>
        <w:t>项目10：高寒高海拔盐渍土地区风光储设施混凝土基础侵蚀防治关键技术研究</w:t>
      </w:r>
    </w:p>
    <w:p>
      <w:pPr>
        <w:pStyle w:val="2"/>
        <w:numPr>
          <w:ilvl w:val="1"/>
          <w:numId w:val="0"/>
        </w:numPr>
        <w:tabs>
          <w:tab w:val="left" w:pos="1814"/>
        </w:tabs>
        <w:spacing w:line="360" w:lineRule="auto"/>
        <w:ind w:left="640"/>
        <w:rPr>
          <w:rFonts w:hint="eastAsia" w:ascii="仿宋_GB2312" w:hAnsi="仿宋_GB2312" w:eastAsia="仿宋_GB2312"/>
          <w:b w:val="0"/>
          <w:sz w:val="32"/>
          <w:szCs w:val="32"/>
        </w:rPr>
      </w:pPr>
    </w:p>
    <w:p>
      <w:pPr>
        <w:pStyle w:val="2"/>
        <w:numPr>
          <w:ilvl w:val="1"/>
          <w:numId w:val="0"/>
        </w:numPr>
        <w:tabs>
          <w:tab w:val="left" w:pos="1814"/>
        </w:tabs>
        <w:spacing w:line="360" w:lineRule="auto"/>
        <w:ind w:left="640"/>
        <w:rPr>
          <w:rFonts w:ascii="仿宋_GB2312" w:hAnsi="仿宋_GB2312" w:eastAsia="仿宋_GB2312"/>
          <w:b/>
          <w:bCs/>
          <w:sz w:val="32"/>
          <w:szCs w:val="32"/>
        </w:rPr>
      </w:pPr>
      <w:r>
        <w:rPr>
          <w:rFonts w:hint="eastAsia" w:ascii="仿宋_GB2312" w:hAnsi="仿宋_GB2312" w:eastAsia="仿宋_GB2312"/>
          <w:b/>
          <w:bCs/>
          <w:sz w:val="32"/>
          <w:szCs w:val="32"/>
        </w:rPr>
        <w:t>一、攻关难题和攻关内容：</w:t>
      </w:r>
    </w:p>
    <w:p>
      <w:pPr>
        <w:pStyle w:val="2"/>
        <w:numPr>
          <w:ilvl w:val="0"/>
          <w:numId w:val="13"/>
        </w:numPr>
        <w:spacing w:line="560" w:lineRule="exact"/>
        <w:rPr>
          <w:rFonts w:ascii="仿宋_GB2312" w:hAnsi="仿宋_GB2312" w:eastAsia="仿宋_GB2312"/>
          <w:b w:val="0"/>
          <w:sz w:val="32"/>
          <w:szCs w:val="32"/>
        </w:rPr>
      </w:pPr>
      <w:r>
        <w:rPr>
          <w:rFonts w:hint="eastAsia" w:ascii="仿宋_GB2312" w:hAnsi="仿宋_GB2312" w:eastAsia="仿宋_GB2312"/>
          <w:b w:val="0"/>
          <w:sz w:val="32"/>
          <w:szCs w:val="32"/>
        </w:rPr>
        <w:t>攻关难点：</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1.风光储设施基础抗寒耐盐混凝土关键配比的调控研究</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本课题中风光储设施基础混凝土在低温季节易受到冻融破坏的影响，且所处环境为盐渍土环境，这一环境下风光储设施基础混凝土耐久性破坏机理研究尚不成熟，因此开发高耐久性、低水胶比、低成本风光储设施基础混凝土制备技术，为本项目难点之一。</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2.风光储设施基础抗寒耐盐混凝土与耐腐蚀涂层及外层砂浆间的粘结性能研究</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高性能混凝土与耐腐蚀涂层及外层砂浆间的粘结性能将决定其防护效果的优劣，其在冻融与盐蚀双因素作用下脱粘机理的研究尚不成熟，需将影响耐腐蚀涂层和高性能混凝土外层砂浆粘结性能的关键因素作为优化的技术指标。因此，高耐久性风光储设施基础高性能混凝土与耐腐蚀涂层及外层砂浆间的粘结性能研究为本项目难点之二。</w:t>
      </w:r>
    </w:p>
    <w:p>
      <w:pPr>
        <w:pStyle w:val="2"/>
        <w:numPr>
          <w:ilvl w:val="0"/>
          <w:numId w:val="13"/>
        </w:numPr>
        <w:spacing w:line="560" w:lineRule="exact"/>
        <w:rPr>
          <w:rFonts w:ascii="仿宋_GB2312" w:hAnsi="仿宋_GB2312" w:eastAsia="仿宋_GB2312"/>
          <w:b w:val="0"/>
          <w:sz w:val="32"/>
          <w:szCs w:val="32"/>
        </w:rPr>
      </w:pPr>
      <w:r>
        <w:rPr>
          <w:rFonts w:hint="eastAsia" w:ascii="仿宋_GB2312" w:hAnsi="仿宋_GB2312" w:eastAsia="仿宋_GB2312"/>
          <w:b w:val="0"/>
          <w:sz w:val="32"/>
          <w:szCs w:val="32"/>
        </w:rPr>
        <w:t>攻关内容：</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针对高寒高海拔盐渍土环境下风光储设施基础混凝土腐蚀这一基础科学问题：</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1.掌握盐渍土环境下风光储设施基础混凝土宏观离子侵蚀特性及其微结构演变规律；</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2.研发盐渍土环境下风光储设施基础混凝土长寿命化配比关键技术；</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3.耐腐蚀涂层关键技术及其高耐久性结构型式。</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4.研发高寒高海拔盐渍土地区风光储设施基础混凝土新型结构。</w:t>
      </w:r>
    </w:p>
    <w:p>
      <w:pPr>
        <w:pStyle w:val="2"/>
        <w:numPr>
          <w:ilvl w:val="1"/>
          <w:numId w:val="0"/>
        </w:numPr>
        <w:tabs>
          <w:tab w:val="left" w:pos="1814"/>
        </w:tabs>
        <w:spacing w:line="360" w:lineRule="auto"/>
        <w:ind w:firstLine="643" w:firstLineChars="200"/>
        <w:rPr>
          <w:rFonts w:ascii="仿宋_GB2312" w:hAnsi="仿宋_GB2312" w:eastAsia="仿宋_GB2312"/>
          <w:b w:val="0"/>
          <w:sz w:val="32"/>
          <w:szCs w:val="32"/>
        </w:rPr>
      </w:pPr>
      <w:r>
        <w:rPr>
          <w:rFonts w:hint="eastAsia" w:ascii="仿宋_GB2312" w:hAnsi="仿宋_GB2312" w:eastAsia="仿宋_GB2312"/>
          <w:b/>
          <w:bCs/>
          <w:sz w:val="32"/>
          <w:szCs w:val="32"/>
        </w:rPr>
        <w:t>二、攻关后希望达到的预期目标、技术指标、预期成果：</w:t>
      </w:r>
    </w:p>
    <w:p>
      <w:pPr>
        <w:pStyle w:val="2"/>
        <w:numPr>
          <w:ilvl w:val="1"/>
          <w:numId w:val="0"/>
        </w:numPr>
        <w:tabs>
          <w:tab w:val="left" w:pos="1814"/>
        </w:tabs>
        <w:spacing w:line="360" w:lineRule="auto"/>
        <w:ind w:firstLine="640" w:firstLineChars="200"/>
        <w:rPr>
          <w:rFonts w:ascii="仿宋_GB2312" w:hAnsi="仿宋_GB2312" w:eastAsia="仿宋_GB2312"/>
          <w:b w:val="0"/>
          <w:sz w:val="32"/>
          <w:szCs w:val="32"/>
        </w:rPr>
      </w:pPr>
      <w:bookmarkStart w:id="10" w:name="_Hlk123896470"/>
      <w:r>
        <w:rPr>
          <w:rFonts w:hint="eastAsia" w:ascii="仿宋_GB2312" w:hAnsi="仿宋_GB2312" w:eastAsia="仿宋_GB2312"/>
          <w:b w:val="0"/>
          <w:sz w:val="32"/>
          <w:szCs w:val="32"/>
        </w:rPr>
        <w:t>（一）预期目标：</w:t>
      </w:r>
    </w:p>
    <w:p>
      <w:pPr>
        <w:pStyle w:val="2"/>
        <w:numPr>
          <w:ilvl w:val="0"/>
          <w:numId w:val="0"/>
        </w:numPr>
        <w:spacing w:line="560" w:lineRule="exact"/>
        <w:ind w:firstLine="640" w:firstLineChars="200"/>
        <w:rPr>
          <w:rFonts w:hint="eastAsia" w:ascii="仿宋_GB2312" w:hAnsi="仿宋_GB2312" w:eastAsia="仿宋_GB2312"/>
          <w:b w:val="0"/>
          <w:sz w:val="32"/>
          <w:szCs w:val="32"/>
        </w:rPr>
      </w:pPr>
      <w:r>
        <w:rPr>
          <w:rFonts w:hint="eastAsia" w:ascii="仿宋_GB2312" w:hAnsi="仿宋_GB2312" w:eastAsia="仿宋_GB2312"/>
          <w:b w:val="0"/>
          <w:sz w:val="32"/>
          <w:szCs w:val="32"/>
        </w:rPr>
        <w:t>1.探究出盐渍土环境下风光储设施基础混凝土宏观离子侵蚀特性及其微结构演变规律，研究高耐久性风光储设施基础混凝土和耐腐蚀涂层最佳配合比，提出设施基础混凝土配合比设计方案及修复建议。</w:t>
      </w:r>
    </w:p>
    <w:p>
      <w:pPr>
        <w:pStyle w:val="2"/>
        <w:numPr>
          <w:ilvl w:val="0"/>
          <w:numId w:val="0"/>
        </w:numPr>
        <w:spacing w:line="560" w:lineRule="exact"/>
        <w:ind w:firstLine="640" w:firstLineChars="200"/>
        <w:rPr>
          <w:rFonts w:hint="eastAsia" w:ascii="仿宋_GB2312" w:hAnsi="仿宋_GB2312" w:eastAsia="仿宋_GB2312"/>
          <w:b w:val="0"/>
          <w:sz w:val="32"/>
          <w:szCs w:val="32"/>
        </w:rPr>
      </w:pPr>
      <w:r>
        <w:rPr>
          <w:rFonts w:hint="eastAsia" w:ascii="仿宋_GB2312" w:hAnsi="仿宋_GB2312" w:eastAsia="仿宋_GB2312"/>
          <w:b w:val="0"/>
          <w:sz w:val="32"/>
          <w:szCs w:val="32"/>
        </w:rPr>
        <w:t>2.研发适用于高寒高海拔盐渍土地区的风光储设施耐腐蚀涂层1种，提高风光储设施基础混凝土的使用寿命</w:t>
      </w:r>
      <w:r>
        <w:rPr>
          <w:rFonts w:hint="eastAsia" w:ascii="仿宋_GB2312" w:hAnsi="仿宋_GB2312" w:eastAsia="仿宋_GB2312"/>
          <w:b w:val="0"/>
          <w:sz w:val="32"/>
          <w:szCs w:val="32"/>
          <w:lang w:val="en-US" w:eastAsia="zh-CN"/>
        </w:rPr>
        <w:t>20年以上</w:t>
      </w:r>
      <w:r>
        <w:rPr>
          <w:rFonts w:hint="eastAsia" w:ascii="仿宋_GB2312" w:hAnsi="仿宋_GB2312" w:eastAsia="仿宋_GB2312"/>
          <w:b w:val="0"/>
          <w:sz w:val="32"/>
          <w:szCs w:val="32"/>
        </w:rPr>
        <w:t>。</w:t>
      </w:r>
    </w:p>
    <w:p>
      <w:pPr>
        <w:pStyle w:val="2"/>
        <w:numPr>
          <w:ilvl w:val="0"/>
          <w:numId w:val="0"/>
        </w:numPr>
        <w:spacing w:line="560" w:lineRule="exact"/>
        <w:ind w:firstLine="640" w:firstLineChars="200"/>
        <w:rPr>
          <w:rFonts w:hint="eastAsia" w:ascii="仿宋_GB2312" w:hAnsi="仿宋_GB2312" w:eastAsia="仿宋_GB2312"/>
          <w:b w:val="0"/>
          <w:sz w:val="32"/>
          <w:szCs w:val="32"/>
        </w:rPr>
      </w:pPr>
      <w:r>
        <w:rPr>
          <w:rFonts w:hint="eastAsia" w:ascii="仿宋_GB2312" w:hAnsi="仿宋_GB2312" w:eastAsia="仿宋_GB2312"/>
          <w:b w:val="0"/>
          <w:sz w:val="32"/>
          <w:szCs w:val="32"/>
        </w:rPr>
        <w:t>3.提出高寒高海拔盐渍土地区风光储设施基础混凝土抗寒耐盐新型</w:t>
      </w:r>
      <w:r>
        <w:rPr>
          <w:rFonts w:hint="eastAsia" w:ascii="仿宋_GB2312" w:hAnsi="仿宋_GB2312" w:eastAsia="仿宋_GB2312"/>
          <w:b w:val="0"/>
          <w:sz w:val="32"/>
          <w:szCs w:val="32"/>
          <w:lang w:eastAsia="zh-CN"/>
        </w:rPr>
        <w:t>内部</w:t>
      </w:r>
      <w:r>
        <w:rPr>
          <w:rFonts w:hint="eastAsia" w:ascii="仿宋_GB2312" w:hAnsi="仿宋_GB2312" w:eastAsia="仿宋_GB2312"/>
          <w:b w:val="0"/>
          <w:sz w:val="32"/>
          <w:szCs w:val="32"/>
        </w:rPr>
        <w:t>结构</w:t>
      </w:r>
      <w:r>
        <w:rPr>
          <w:rFonts w:hint="eastAsia" w:ascii="仿宋_GB2312" w:hAnsi="仿宋_GB2312" w:eastAsia="仿宋_GB2312"/>
          <w:b w:val="0"/>
          <w:sz w:val="32"/>
          <w:szCs w:val="32"/>
          <w:lang w:eastAsia="zh-CN"/>
        </w:rPr>
        <w:t>，相较原有的结构，大幅度提升抗寒耐盐性能，研发出符合要求的新型混凝土结构样品一种</w:t>
      </w:r>
      <w:r>
        <w:rPr>
          <w:rFonts w:hint="eastAsia" w:ascii="仿宋_GB2312" w:hAnsi="仿宋_GB2312" w:eastAsia="仿宋_GB2312"/>
          <w:b w:val="0"/>
          <w:sz w:val="32"/>
          <w:szCs w:val="32"/>
        </w:rPr>
        <w:t>，为青海省内光储项目的设施基础混凝土结构提供设计参考。</w:t>
      </w:r>
    </w:p>
    <w:p>
      <w:pPr>
        <w:pStyle w:val="2"/>
        <w:numPr>
          <w:ilvl w:val="0"/>
          <w:numId w:val="0"/>
        </w:numPr>
        <w:spacing w:line="560" w:lineRule="exact"/>
        <w:ind w:firstLine="640" w:firstLineChars="200"/>
        <w:rPr>
          <w:rFonts w:hint="default" w:ascii="仿宋_GB2312" w:hAnsi="仿宋_GB2312" w:eastAsia="仿宋_GB2312"/>
          <w:b w:val="0"/>
          <w:sz w:val="32"/>
          <w:szCs w:val="32"/>
        </w:rPr>
      </w:pPr>
      <w:r>
        <w:rPr>
          <w:rFonts w:hint="eastAsia" w:ascii="仿宋_GB2312" w:hAnsi="仿宋_GB2312" w:eastAsia="仿宋_GB2312"/>
          <w:b w:val="0"/>
          <w:sz w:val="32"/>
          <w:szCs w:val="32"/>
        </w:rPr>
        <w:t>4.形成高寒高海拔盐渍土环境下风光储设施基础混凝土宏观离子侵蚀特性及其微结构演变规律研究成果报告1份，论文2篇（其中至少一篇为中文核心期刊），</w:t>
      </w:r>
      <w:r>
        <w:rPr>
          <w:rFonts w:hint="eastAsia" w:ascii="仿宋_GB2312" w:hAnsi="仿宋_GB2312" w:eastAsia="仿宋_GB2312"/>
          <w:b w:val="0"/>
          <w:sz w:val="32"/>
          <w:szCs w:val="32"/>
          <w:lang w:eastAsia="zh-CN"/>
        </w:rPr>
        <w:t>受理发明专利</w:t>
      </w:r>
      <w:r>
        <w:rPr>
          <w:rFonts w:hint="eastAsia" w:ascii="仿宋_GB2312" w:hAnsi="仿宋_GB2312" w:eastAsia="仿宋_GB2312"/>
          <w:b w:val="0"/>
          <w:sz w:val="32"/>
          <w:szCs w:val="32"/>
          <w:lang w:val="en-US" w:eastAsia="zh-CN"/>
        </w:rPr>
        <w:t>1项</w:t>
      </w:r>
      <w:r>
        <w:rPr>
          <w:rFonts w:hint="eastAsia" w:ascii="仿宋_GB2312" w:hAnsi="仿宋_GB2312" w:eastAsia="仿宋_GB2312"/>
          <w:b w:val="0"/>
          <w:sz w:val="32"/>
          <w:szCs w:val="32"/>
          <w:lang w:eastAsia="zh-CN"/>
        </w:rPr>
        <w:t>，</w:t>
      </w:r>
      <w:r>
        <w:rPr>
          <w:rFonts w:hint="eastAsia" w:ascii="仿宋_GB2312" w:hAnsi="仿宋_GB2312" w:eastAsia="仿宋_GB2312"/>
          <w:b w:val="0"/>
          <w:sz w:val="32"/>
          <w:szCs w:val="32"/>
        </w:rPr>
        <w:t>授权实用新型专利</w:t>
      </w:r>
      <w:r>
        <w:rPr>
          <w:rFonts w:hint="eastAsia" w:ascii="仿宋_GB2312" w:hAnsi="仿宋_GB2312" w:eastAsia="仿宋_GB2312"/>
          <w:b w:val="0"/>
          <w:sz w:val="32"/>
          <w:szCs w:val="32"/>
          <w:lang w:val="en-US" w:eastAsia="zh-CN"/>
        </w:rPr>
        <w:t>2</w:t>
      </w:r>
      <w:r>
        <w:rPr>
          <w:rFonts w:hint="eastAsia" w:ascii="仿宋_GB2312" w:hAnsi="仿宋_GB2312" w:eastAsia="仿宋_GB2312"/>
          <w:b w:val="0"/>
          <w:sz w:val="32"/>
          <w:szCs w:val="32"/>
        </w:rPr>
        <w:t>项。</w:t>
      </w:r>
    </w:p>
    <w:bookmarkEnd w:id="10"/>
    <w:p>
      <w:pPr>
        <w:pStyle w:val="2"/>
        <w:numPr>
          <w:ilvl w:val="1"/>
          <w:numId w:val="0"/>
        </w:numPr>
        <w:tabs>
          <w:tab w:val="left" w:pos="1814"/>
        </w:tabs>
        <w:spacing w:line="360" w:lineRule="auto"/>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（二）技术指标：</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提出高寒高海拔盐渍土地区风光储设施基础混凝土抗寒耐盐新型结构和混凝土表面涂层，技术指标须同时满足：</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1.污秽等级满足Ⅳ级及以上要求；</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2.光伏、储能、风电基础在原有的设计强度下，抗硫酸盐侵蚀能力≥KS150；</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3.在原</w:t>
      </w:r>
      <w:r>
        <w:rPr>
          <w:rFonts w:hint="eastAsia" w:ascii="仿宋_GB2312" w:hAnsi="仿宋_GB2312" w:eastAsia="仿宋_GB2312"/>
          <w:b w:val="0"/>
          <w:sz w:val="32"/>
          <w:szCs w:val="32"/>
          <w:lang w:eastAsia="zh-CN"/>
        </w:rPr>
        <w:t>强度的混凝土抗冻性能</w:t>
      </w:r>
      <w:r>
        <w:rPr>
          <w:rFonts w:hint="eastAsia" w:ascii="仿宋_GB2312" w:hAnsi="仿宋_GB2312" w:eastAsia="仿宋_GB2312"/>
          <w:b w:val="0"/>
          <w:sz w:val="32"/>
          <w:szCs w:val="32"/>
          <w:lang w:val="en-US" w:eastAsia="zh-CN"/>
        </w:rPr>
        <w:t>F200提升至</w:t>
      </w:r>
      <w:r>
        <w:rPr>
          <w:rFonts w:hint="eastAsia" w:ascii="仿宋_GB2312" w:hAnsi="仿宋_GB2312" w:eastAsia="仿宋_GB2312"/>
          <w:b w:val="0"/>
          <w:sz w:val="32"/>
          <w:szCs w:val="32"/>
        </w:rPr>
        <w:t>抗冻性能</w:t>
      </w:r>
      <w:r>
        <w:rPr>
          <w:rFonts w:hint="eastAsia" w:ascii="仿宋_GB2312" w:hAnsi="仿宋_GB2312" w:eastAsia="仿宋_GB2312"/>
          <w:b w:val="0"/>
          <w:sz w:val="32"/>
          <w:szCs w:val="32"/>
          <w:lang w:eastAsia="zh-CN"/>
        </w:rPr>
        <w:t>达</w:t>
      </w:r>
      <w:r>
        <w:rPr>
          <w:rFonts w:hint="eastAsia" w:ascii="仿宋_GB2312" w:hAnsi="仿宋_GB2312" w:eastAsia="仿宋_GB2312"/>
          <w:b w:val="0"/>
          <w:sz w:val="32"/>
          <w:szCs w:val="32"/>
        </w:rPr>
        <w:t>F300。</w:t>
      </w:r>
    </w:p>
    <w:p>
      <w:pPr>
        <w:pStyle w:val="2"/>
        <w:numPr>
          <w:ilvl w:val="1"/>
          <w:numId w:val="0"/>
        </w:numPr>
        <w:tabs>
          <w:tab w:val="left" w:pos="1814"/>
        </w:tabs>
        <w:spacing w:line="360" w:lineRule="auto"/>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（三）预期成果：</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1.研发适用于高寒高海拔盐渍土地区的风光储设施耐腐蚀涂层1种，以减小风光储设施基础混凝土年运行检修费用；</w:t>
      </w:r>
    </w:p>
    <w:p>
      <w:pPr>
        <w:pStyle w:val="2"/>
        <w:numPr>
          <w:ilvl w:val="0"/>
          <w:numId w:val="0"/>
        </w:numPr>
        <w:spacing w:line="560" w:lineRule="exact"/>
        <w:ind w:firstLine="640" w:firstLineChars="200"/>
        <w:rPr>
          <w:rFonts w:hint="eastAsia" w:ascii="仿宋_GB2312" w:hAnsi="仿宋_GB2312" w:eastAsia="仿宋_GB2312"/>
          <w:b w:val="0"/>
          <w:sz w:val="32"/>
          <w:szCs w:val="32"/>
          <w:lang w:eastAsia="zh-CN"/>
        </w:rPr>
      </w:pPr>
      <w:r>
        <w:rPr>
          <w:rFonts w:hint="eastAsia" w:ascii="仿宋_GB2312" w:hAnsi="仿宋_GB2312" w:eastAsia="仿宋_GB2312"/>
          <w:b w:val="0"/>
          <w:sz w:val="32"/>
          <w:szCs w:val="32"/>
        </w:rPr>
        <w:t>2.研发适用于高寒高海拔盐渍土地区风光储设施基础混凝土内部新型结构1项，优化风光储设施基础混凝土的施工</w:t>
      </w:r>
      <w:r>
        <w:rPr>
          <w:rFonts w:hint="eastAsia" w:ascii="仿宋_GB2312" w:hAnsi="仿宋_GB2312" w:eastAsia="仿宋_GB2312"/>
          <w:b w:val="0"/>
          <w:sz w:val="32"/>
          <w:szCs w:val="32"/>
          <w:lang w:eastAsia="zh-CN"/>
        </w:rPr>
        <w:t>。</w:t>
      </w:r>
    </w:p>
    <w:p>
      <w:pPr>
        <w:pStyle w:val="2"/>
        <w:numPr>
          <w:ilvl w:val="1"/>
          <w:numId w:val="0"/>
        </w:numPr>
        <w:tabs>
          <w:tab w:val="left" w:pos="1814"/>
        </w:tabs>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三、对揭榜方要求：</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1</w:t>
      </w:r>
      <w:r>
        <w:rPr>
          <w:rFonts w:ascii="仿宋_GB2312" w:hAnsi="仿宋_GB2312" w:eastAsia="仿宋_GB2312"/>
          <w:b w:val="0"/>
          <w:sz w:val="32"/>
          <w:szCs w:val="32"/>
        </w:rPr>
        <w:t>.</w:t>
      </w:r>
      <w:r>
        <w:rPr>
          <w:rFonts w:hint="eastAsia" w:ascii="仿宋_GB2312" w:hAnsi="仿宋_GB2312" w:eastAsia="仿宋_GB2312"/>
          <w:b w:val="0"/>
          <w:sz w:val="32"/>
          <w:szCs w:val="32"/>
        </w:rPr>
        <w:t>揭榜方基本条件</w:t>
      </w:r>
    </w:p>
    <w:p>
      <w:pPr>
        <w:pStyle w:val="2"/>
        <w:numPr>
          <w:ilvl w:val="0"/>
          <w:numId w:val="0"/>
        </w:numPr>
        <w:spacing w:line="560" w:lineRule="exact"/>
        <w:ind w:firstLine="640" w:firstLineChars="200"/>
        <w:rPr>
          <w:rFonts w:hint="eastAsia" w:ascii="仿宋_GB2312" w:hAnsi="仿宋_GB2312" w:eastAsia="仿宋_GB2312"/>
          <w:b w:val="0"/>
          <w:sz w:val="32"/>
          <w:szCs w:val="32"/>
        </w:rPr>
      </w:pPr>
      <w:r>
        <w:rPr>
          <w:rFonts w:hint="eastAsia" w:ascii="仿宋_GB2312" w:hAnsi="仿宋_GB2312" w:eastAsia="仿宋_GB2312"/>
          <w:b w:val="0"/>
          <w:sz w:val="32"/>
          <w:szCs w:val="32"/>
        </w:rPr>
        <w:t>揭榜方必须是在中华人民共和国市场监督管理部门注册的，具有独立法人和一般纳税人资格的，具备国家重点实验室（及以上）资质的企业（高校、科研院所）；应具有良好的企业信用，不存在被列为失信被执行人的情形；近三年财务和资信状况良好，没有财产被接管、冻结或处于亏损、破产状态，应提相关证明（如财务审计报告或报表、资信证明等）。</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2</w:t>
      </w:r>
      <w:r>
        <w:rPr>
          <w:rFonts w:ascii="仿宋_GB2312" w:hAnsi="仿宋_GB2312" w:eastAsia="仿宋_GB2312"/>
          <w:b w:val="0"/>
          <w:sz w:val="32"/>
          <w:szCs w:val="32"/>
        </w:rPr>
        <w:t>.</w:t>
      </w:r>
      <w:r>
        <w:rPr>
          <w:rFonts w:hint="eastAsia" w:ascii="仿宋_GB2312" w:hAnsi="仿宋_GB2312" w:eastAsia="仿宋_GB2312"/>
          <w:b w:val="0"/>
          <w:sz w:val="32"/>
          <w:szCs w:val="32"/>
        </w:rPr>
        <w:t>揭榜方技术条件</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揭榜方须具有省部级及以上实验室，</w:t>
      </w:r>
      <w:r>
        <w:rPr>
          <w:rFonts w:hint="eastAsia" w:ascii="仿宋_GB2312" w:hAnsi="仿宋_GB2312" w:eastAsia="仿宋_GB2312"/>
          <w:b w:val="0"/>
          <w:sz w:val="32"/>
          <w:szCs w:val="32"/>
          <w:lang w:eastAsia="zh-CN"/>
        </w:rPr>
        <w:t>应具备</w:t>
      </w:r>
      <w:r>
        <w:rPr>
          <w:rFonts w:hint="eastAsia" w:ascii="仿宋_GB2312" w:hAnsi="仿宋_GB2312" w:eastAsia="仿宋_GB2312"/>
          <w:b w:val="0"/>
          <w:sz w:val="32"/>
          <w:szCs w:val="32"/>
        </w:rPr>
        <w:t>有分析测试、工程力学</w:t>
      </w:r>
      <w:r>
        <w:rPr>
          <w:rFonts w:hint="eastAsia" w:ascii="仿宋_GB2312" w:hAnsi="仿宋_GB2312" w:eastAsia="仿宋_GB2312"/>
          <w:b w:val="0"/>
          <w:sz w:val="32"/>
          <w:szCs w:val="32"/>
          <w:lang w:eastAsia="zh-CN"/>
        </w:rPr>
        <w:t>相关实验条件</w:t>
      </w:r>
      <w:r>
        <w:rPr>
          <w:rFonts w:hint="eastAsia" w:ascii="仿宋_GB2312" w:hAnsi="仿宋_GB2312" w:eastAsia="仿宋_GB2312"/>
          <w:b w:val="0"/>
          <w:sz w:val="32"/>
          <w:szCs w:val="32"/>
        </w:rPr>
        <w:t>、</w:t>
      </w:r>
      <w:r>
        <w:rPr>
          <w:rFonts w:hint="eastAsia" w:ascii="仿宋_GB2312" w:hAnsi="仿宋_GB2312" w:eastAsia="仿宋_GB2312"/>
          <w:b w:val="0"/>
          <w:sz w:val="32"/>
          <w:szCs w:val="32"/>
          <w:lang w:eastAsia="zh-CN"/>
        </w:rPr>
        <w:t>分析</w:t>
      </w:r>
      <w:r>
        <w:rPr>
          <w:rFonts w:hint="eastAsia" w:ascii="仿宋_GB2312" w:hAnsi="仿宋_GB2312" w:eastAsia="仿宋_GB2312"/>
          <w:b w:val="0"/>
          <w:sz w:val="32"/>
          <w:szCs w:val="32"/>
        </w:rPr>
        <w:t>计算</w:t>
      </w:r>
      <w:r>
        <w:rPr>
          <w:rFonts w:hint="eastAsia" w:ascii="仿宋_GB2312" w:hAnsi="仿宋_GB2312" w:eastAsia="仿宋_GB2312"/>
          <w:b w:val="0"/>
          <w:sz w:val="32"/>
          <w:szCs w:val="32"/>
          <w:lang w:eastAsia="zh-CN"/>
        </w:rPr>
        <w:t>等软件、</w:t>
      </w:r>
      <w:r>
        <w:rPr>
          <w:rFonts w:hint="eastAsia" w:ascii="仿宋_GB2312" w:hAnsi="仿宋_GB2312" w:eastAsia="仿宋_GB2312"/>
          <w:b w:val="0"/>
          <w:sz w:val="32"/>
          <w:szCs w:val="32"/>
        </w:rPr>
        <w:t>工程材料</w:t>
      </w:r>
      <w:r>
        <w:rPr>
          <w:rFonts w:hint="eastAsia" w:ascii="仿宋_GB2312" w:hAnsi="仿宋_GB2312" w:eastAsia="仿宋_GB2312"/>
          <w:b w:val="0"/>
          <w:sz w:val="32"/>
          <w:szCs w:val="32"/>
          <w:lang w:eastAsia="zh-CN"/>
        </w:rPr>
        <w:t>实验等功能的</w:t>
      </w:r>
      <w:r>
        <w:rPr>
          <w:rFonts w:hint="eastAsia" w:ascii="仿宋_GB2312" w:hAnsi="仿宋_GB2312" w:eastAsia="仿宋_GB2312"/>
          <w:b w:val="0"/>
          <w:sz w:val="32"/>
          <w:szCs w:val="32"/>
        </w:rPr>
        <w:t>实验室，</w:t>
      </w:r>
      <w:r>
        <w:rPr>
          <w:rFonts w:hint="eastAsia" w:ascii="仿宋_GB2312" w:hAnsi="仿宋_GB2312" w:eastAsia="仿宋_GB2312"/>
          <w:b w:val="0"/>
          <w:sz w:val="32"/>
          <w:szCs w:val="32"/>
          <w:lang w:eastAsia="zh-CN"/>
        </w:rPr>
        <w:t>还应</w:t>
      </w:r>
      <w:r>
        <w:rPr>
          <w:rFonts w:hint="eastAsia" w:ascii="仿宋_GB2312" w:hAnsi="仿宋_GB2312" w:eastAsia="仿宋_GB2312"/>
          <w:b w:val="0"/>
          <w:sz w:val="32"/>
          <w:szCs w:val="32"/>
        </w:rPr>
        <w:t>具备混凝土施工、实验检测、设计等相关经验，具备实施本项目的技术力量、设备及管理能力；揭榜方须具有完整的混凝土成型、养护、试件加工取样以及材料力学性能实验平台；成套的混凝土耐久性试验平台；混凝土外观形貌、组成与结构观察设备；混凝土孔隙结构测定设备；计算模拟软硬件等。</w:t>
      </w:r>
    </w:p>
    <w:p>
      <w:pPr>
        <w:pStyle w:val="2"/>
        <w:numPr>
          <w:ilvl w:val="1"/>
          <w:numId w:val="0"/>
        </w:numPr>
        <w:tabs>
          <w:tab w:val="left" w:pos="1814"/>
        </w:tabs>
        <w:spacing w:line="360" w:lineRule="auto"/>
        <w:ind w:firstLine="643" w:firstLineChars="200"/>
        <w:rPr>
          <w:rFonts w:ascii="仿宋_GB2312" w:hAnsi="仿宋_GB2312" w:eastAsia="仿宋_GB2312"/>
          <w:b/>
          <w:bCs/>
          <w:sz w:val="32"/>
          <w:szCs w:val="32"/>
        </w:rPr>
      </w:pPr>
      <w:r>
        <w:rPr>
          <w:rFonts w:hint="eastAsia" w:ascii="仿宋_GB2312" w:hAnsi="仿宋_GB2312" w:eastAsia="仿宋_GB2312"/>
          <w:b/>
          <w:bCs/>
          <w:sz w:val="32"/>
          <w:szCs w:val="32"/>
        </w:rPr>
        <w:t>四、产权归属：</w:t>
      </w:r>
    </w:p>
    <w:p>
      <w:pPr>
        <w:pStyle w:val="2"/>
        <w:numPr>
          <w:ilvl w:val="0"/>
          <w:numId w:val="0"/>
        </w:numPr>
        <w:spacing w:line="560" w:lineRule="exact"/>
        <w:ind w:firstLine="640" w:firstLineChars="200"/>
        <w:rPr>
          <w:rFonts w:ascii="仿宋_GB2312" w:hAnsi="仿宋_GB2312" w:eastAsia="仿宋_GB2312"/>
          <w:b w:val="0"/>
          <w:sz w:val="32"/>
          <w:szCs w:val="32"/>
        </w:rPr>
      </w:pPr>
      <w:r>
        <w:rPr>
          <w:rFonts w:hint="eastAsia" w:ascii="仿宋_GB2312" w:hAnsi="仿宋_GB2312" w:eastAsia="仿宋_GB2312"/>
          <w:b w:val="0"/>
          <w:sz w:val="32"/>
          <w:szCs w:val="32"/>
        </w:rPr>
        <w:t>本课题研究形成的成果及知识产权归发榜单位及揭榜单位共有，共有比例由发榜单位和揭榜单位协商确定，其中发榜单位占比大于 50%。发榜单位牵头负责知识产权申请，并拥有研究成果及知识产权在所属单位和关联公司无偿推广使用的权利。</w:t>
      </w:r>
    </w:p>
    <w:p>
      <w:pPr>
        <w:pStyle w:val="2"/>
        <w:numPr>
          <w:ilvl w:val="1"/>
          <w:numId w:val="0"/>
        </w:numPr>
        <w:tabs>
          <w:tab w:val="left" w:pos="1814"/>
        </w:tabs>
        <w:spacing w:line="560" w:lineRule="exact"/>
        <w:ind w:firstLine="643" w:firstLineChars="200"/>
        <w:rPr>
          <w:rFonts w:ascii="仿宋_GB2312" w:hAnsi="仿宋_GB2312" w:eastAsia="仿宋_GB2312"/>
          <w:b w:val="0"/>
          <w:sz w:val="32"/>
          <w:szCs w:val="32"/>
        </w:rPr>
      </w:pPr>
      <w:r>
        <w:rPr>
          <w:rFonts w:hint="eastAsia" w:ascii="仿宋_GB2312" w:hAnsi="仿宋_GB2312" w:eastAsia="仿宋_GB2312"/>
          <w:b/>
          <w:bCs/>
          <w:sz w:val="32"/>
          <w:szCs w:val="32"/>
        </w:rPr>
        <w:t>五、经费预算：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b w:val="0"/>
          <w:sz w:val="32"/>
          <w:szCs w:val="32"/>
        </w:rPr>
        <w:t>3</w:t>
      </w:r>
      <w:r>
        <w:rPr>
          <w:rFonts w:hint="eastAsia" w:ascii="仿宋_GB2312" w:hAnsi="仿宋_GB2312" w:eastAsia="仿宋_GB2312"/>
          <w:b w:val="0"/>
          <w:sz w:val="32"/>
          <w:szCs w:val="32"/>
          <w:lang w:val="en-US" w:eastAsia="zh-CN"/>
        </w:rPr>
        <w:t>5</w:t>
      </w:r>
      <w:r>
        <w:rPr>
          <w:rFonts w:hint="eastAsia" w:ascii="仿宋_GB2312" w:hAnsi="仿宋_GB2312" w:eastAsia="仿宋_GB2312"/>
          <w:b w:val="0"/>
          <w:sz w:val="32"/>
          <w:szCs w:val="32"/>
        </w:rPr>
        <w:t>0万元以内</w:t>
      </w:r>
    </w:p>
    <w:p>
      <w:pPr>
        <w:pStyle w:val="2"/>
        <w:numPr>
          <w:ilvl w:val="1"/>
          <w:numId w:val="0"/>
        </w:numPr>
        <w:tabs>
          <w:tab w:val="left" w:pos="1814"/>
        </w:tabs>
        <w:spacing w:line="360" w:lineRule="auto"/>
        <w:ind w:firstLine="643" w:firstLineChars="200"/>
        <w:rPr>
          <w:rFonts w:hint="eastAsia" w:ascii="仿宋_GB2312" w:hAnsi="仿宋_GB2312" w:eastAsia="仿宋_GB2312"/>
          <w:b w:val="0"/>
          <w:sz w:val="32"/>
          <w:szCs w:val="32"/>
        </w:rPr>
      </w:pPr>
      <w:r>
        <w:rPr>
          <w:rFonts w:hint="eastAsia" w:ascii="仿宋_GB2312" w:hAnsi="仿宋_GB2312" w:eastAsia="仿宋_GB2312"/>
          <w:b/>
          <w:bCs/>
          <w:sz w:val="32"/>
          <w:szCs w:val="32"/>
        </w:rPr>
        <w:t>六、研究周期：</w:t>
      </w:r>
      <w:r>
        <w:rPr>
          <w:rFonts w:hint="eastAsia" w:ascii="仿宋_GB2312" w:hAnsi="仿宋_GB2312" w:eastAsia="仿宋_GB2312"/>
          <w:b w:val="0"/>
          <w:sz w:val="32"/>
          <w:szCs w:val="32"/>
        </w:rPr>
        <w:t>签订合同后-202</w:t>
      </w:r>
      <w:r>
        <w:rPr>
          <w:rFonts w:hint="eastAsia" w:ascii="仿宋_GB2312" w:hAnsi="仿宋_GB2312" w:eastAsia="仿宋_GB2312"/>
          <w:b w:val="0"/>
          <w:sz w:val="32"/>
          <w:szCs w:val="32"/>
          <w:lang w:val="en-US" w:eastAsia="zh-CN"/>
        </w:rPr>
        <w:t>4</w:t>
      </w:r>
      <w:r>
        <w:rPr>
          <w:rFonts w:hint="eastAsia" w:ascii="仿宋_GB2312" w:hAnsi="仿宋_GB2312" w:eastAsia="仿宋_GB2312"/>
          <w:b w:val="0"/>
          <w:sz w:val="32"/>
          <w:szCs w:val="32"/>
        </w:rPr>
        <w:t>年12月</w:t>
      </w:r>
    </w:p>
    <w:p>
      <w:pPr>
        <w:pStyle w:val="2"/>
        <w:numPr>
          <w:ilvl w:val="1"/>
          <w:numId w:val="0"/>
        </w:numPr>
        <w:tabs>
          <w:tab w:val="left" w:pos="1814"/>
        </w:tabs>
        <w:spacing w:line="360" w:lineRule="auto"/>
        <w:ind w:firstLine="643" w:firstLineChars="200"/>
        <w:rPr>
          <w:rFonts w:ascii="仿宋_GB2312" w:hAnsi="仿宋_GB2312" w:eastAsia="仿宋_GB2312"/>
          <w:b w:val="0"/>
          <w:sz w:val="32"/>
          <w:szCs w:val="32"/>
        </w:rPr>
      </w:pPr>
      <w:r>
        <w:rPr>
          <w:rFonts w:hint="eastAsia" w:ascii="仿宋_GB2312" w:hAnsi="仿宋_GB2312" w:eastAsia="仿宋_GB2312"/>
          <w:b/>
          <w:bCs/>
          <w:sz w:val="32"/>
          <w:szCs w:val="32"/>
        </w:rPr>
        <w:t>七、发榜单位：</w:t>
      </w:r>
      <w:r>
        <w:rPr>
          <w:rFonts w:hint="eastAsia" w:ascii="仿宋_GB2312" w:hAnsi="仿宋_GB2312" w:eastAsia="仿宋_GB2312"/>
          <w:b w:val="0"/>
          <w:sz w:val="32"/>
          <w:szCs w:val="32"/>
        </w:rPr>
        <w:t>青海黄河上游水电开发有限责任公司新能源建设分公司</w:t>
      </w:r>
    </w:p>
    <w:p>
      <w:pPr>
        <w:pStyle w:val="2"/>
        <w:numPr>
          <w:ilvl w:val="1"/>
          <w:numId w:val="0"/>
        </w:numPr>
        <w:tabs>
          <w:tab w:val="left" w:pos="1814"/>
        </w:tabs>
        <w:ind w:firstLine="643" w:firstLineChars="200"/>
        <w:rPr>
          <w:rFonts w:ascii="仿宋_GB2312" w:hAnsi="仿宋_GB2312" w:eastAsia="仿宋_GB2312"/>
          <w:b w:val="0"/>
          <w:sz w:val="32"/>
          <w:szCs w:val="32"/>
        </w:rPr>
      </w:pPr>
      <w:r>
        <w:rPr>
          <w:rFonts w:hint="eastAsia" w:ascii="仿宋_GB2312" w:hAnsi="仿宋_GB2312" w:eastAsia="仿宋_GB2312"/>
          <w:b/>
          <w:bCs/>
          <w:sz w:val="32"/>
          <w:szCs w:val="32"/>
        </w:rPr>
        <w:t>八、项目联系人及电话：</w:t>
      </w:r>
      <w:r>
        <w:rPr>
          <w:rFonts w:hint="eastAsia" w:ascii="仿宋_GB2312" w:hAnsi="仿宋_GB2312" w:eastAsia="仿宋_GB2312"/>
          <w:b w:val="0"/>
          <w:sz w:val="32"/>
          <w:szCs w:val="32"/>
        </w:rPr>
        <w:t>瞿润学  18608922706</w:t>
      </w: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widowControl w:val="0"/>
        <w:autoSpaceDE w:val="0"/>
        <w:autoSpaceDN w:val="0"/>
        <w:adjustRightInd w:val="0"/>
        <w:spacing w:after="0" w:line="560" w:lineRule="exact"/>
        <w:jc w:val="both"/>
        <w:textAlignment w:val="baseline"/>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项目11：光伏支架结构型式优化及组件滑动安装技术研究与应用</w:t>
      </w:r>
    </w:p>
    <w:p>
      <w:pPr>
        <w:widowControl w:val="0"/>
        <w:autoSpaceDE w:val="0"/>
        <w:autoSpaceDN w:val="0"/>
        <w:adjustRightInd w:val="0"/>
        <w:spacing w:after="0" w:line="560" w:lineRule="exact"/>
        <w:ind w:firstLine="640" w:firstLineChars="200"/>
        <w:jc w:val="both"/>
        <w:textAlignment w:val="baseline"/>
        <w:rPr>
          <w:rFonts w:hint="eastAsia" w:ascii="黑体" w:hAnsi="黑体" w:eastAsia="黑体" w:cs="黑体"/>
          <w:bCs/>
          <w:kern w:val="0"/>
          <w:sz w:val="32"/>
          <w:szCs w:val="32"/>
          <w:highlight w:val="none"/>
          <w:lang w:val="en-US" w:eastAsia="zh-CN" w:bidi="ar"/>
        </w:rPr>
      </w:pPr>
    </w:p>
    <w:p>
      <w:pPr>
        <w:widowControl/>
        <w:numPr>
          <w:ilvl w:val="0"/>
          <w:numId w:val="0"/>
        </w:numPr>
        <w:spacing w:line="560" w:lineRule="exact"/>
        <w:ind w:firstLine="643" w:firstLineChars="200"/>
        <w:jc w:val="both"/>
        <w:rPr>
          <w:rFonts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bCs/>
          <w:kern w:val="2"/>
          <w:sz w:val="32"/>
          <w:szCs w:val="32"/>
          <w:lang w:val="en-US" w:eastAsia="zh-CN" w:bidi="ar-SA"/>
        </w:rPr>
        <w:t>一、攻关难题和攻关内容：</w:t>
      </w:r>
    </w:p>
    <w:p>
      <w:pPr>
        <w:spacing w:after="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（一）攻关难题：</w:t>
      </w:r>
    </w:p>
    <w:p>
      <w:pPr>
        <w:spacing w:after="0" w:line="560" w:lineRule="exact"/>
        <w:ind w:firstLine="640" w:firstLineChars="200"/>
        <w:rPr>
          <w:rFonts w:ascii="仿宋_GB2312" w:hAnsi="仿宋_GB2312" w:eastAsia="仿宋_GB2312" w:cs="仿宋_GB2312"/>
          <w:color w:val="000000"/>
          <w:kern w:val="0"/>
          <w:sz w:val="32"/>
          <w:szCs w:val="32"/>
        </w:rPr>
      </w:pPr>
      <w:bookmarkStart w:id="11" w:name="_Hlk125984942"/>
      <w:r>
        <w:rPr>
          <w:rFonts w:ascii="仿宋_GB2312" w:hAnsi="仿宋_GB2312" w:eastAsia="仿宋_GB2312" w:cs="仿宋_GB2312"/>
          <w:color w:val="000000"/>
          <w:kern w:val="0"/>
          <w:sz w:val="32"/>
          <w:szCs w:val="32"/>
        </w:rPr>
        <w:t>近年来随着光伏产业的不断发展，光伏电站以“水光互补”“牧光互补”“渔光互补”“农光互补”等多种型式开发建设，光伏支架较传统支架结构型式设计高度增加；同时光伏组件安装有多个环节和要求，场内运输搬动过程中存在震动、摇摆等不利因素，易对组件造成应力损伤，随着组件功率及尺寸增大，现场安装难度也相应加大。</w:t>
      </w:r>
    </w:p>
    <w:p>
      <w:pPr>
        <w:spacing w:after="0"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通过研究</w:t>
      </w:r>
      <w:r>
        <w:rPr>
          <w:rFonts w:hint="eastAsia" w:ascii="仿宋_GB2312" w:hAnsi="仿宋_GB2312" w:eastAsia="仿宋_GB2312" w:cs="仿宋_GB2312"/>
          <w:color w:val="000000"/>
          <w:kern w:val="0"/>
          <w:sz w:val="32"/>
          <w:szCs w:val="32"/>
        </w:rPr>
        <w:t>便于安装</w:t>
      </w:r>
      <w:r>
        <w:rPr>
          <w:rFonts w:ascii="仿宋_GB2312" w:hAnsi="仿宋_GB2312" w:eastAsia="仿宋_GB2312" w:cs="仿宋_GB2312"/>
          <w:color w:val="000000"/>
          <w:kern w:val="0"/>
          <w:sz w:val="32"/>
          <w:szCs w:val="32"/>
        </w:rPr>
        <w:t>电池组件安装的滑</w:t>
      </w:r>
      <w:r>
        <w:rPr>
          <w:rFonts w:hint="eastAsia" w:ascii="仿宋_GB2312" w:hAnsi="仿宋_GB2312" w:eastAsia="仿宋_GB2312" w:cs="仿宋_GB2312"/>
          <w:color w:val="000000"/>
          <w:kern w:val="0"/>
          <w:sz w:val="32"/>
          <w:szCs w:val="32"/>
        </w:rPr>
        <w:t>块或</w:t>
      </w:r>
      <w:r>
        <w:rPr>
          <w:rFonts w:ascii="仿宋_GB2312" w:hAnsi="仿宋_GB2312" w:eastAsia="仿宋_GB2312" w:cs="仿宋_GB2312"/>
          <w:color w:val="000000"/>
          <w:kern w:val="0"/>
          <w:sz w:val="32"/>
          <w:szCs w:val="32"/>
        </w:rPr>
        <w:t>滑轨</w:t>
      </w:r>
      <w:r>
        <w:rPr>
          <w:rFonts w:hint="eastAsia" w:ascii="仿宋_GB2312" w:hAnsi="仿宋_GB2312" w:eastAsia="仿宋_GB2312" w:cs="仿宋_GB2312"/>
          <w:color w:val="000000"/>
          <w:kern w:val="0"/>
          <w:sz w:val="32"/>
          <w:szCs w:val="32"/>
        </w:rPr>
        <w:t>、开展</w:t>
      </w:r>
      <w:r>
        <w:rPr>
          <w:rFonts w:ascii="仿宋_GB2312" w:hAnsi="仿宋_GB2312" w:eastAsia="仿宋_GB2312" w:cs="仿宋_GB2312"/>
          <w:color w:val="000000"/>
          <w:kern w:val="0"/>
          <w:sz w:val="32"/>
          <w:szCs w:val="32"/>
        </w:rPr>
        <w:t>优化支架结构</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以解决现场安装工作量大、安装节点繁多、质量控制难度大、安装效率较低、电池组件隐裂等问题</w:t>
      </w:r>
      <w:r>
        <w:rPr>
          <w:rFonts w:hint="eastAsia" w:ascii="仿宋_GB2312" w:hAnsi="仿宋_GB2312" w:eastAsia="仿宋_GB2312" w:cs="仿宋_GB2312"/>
          <w:color w:val="000000"/>
          <w:kern w:val="0"/>
          <w:sz w:val="32"/>
          <w:szCs w:val="32"/>
        </w:rPr>
        <w:t>。</w:t>
      </w:r>
    </w:p>
    <w:bookmarkEnd w:id="11"/>
    <w:p>
      <w:pPr>
        <w:spacing w:after="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（二）攻关内容</w:t>
      </w:r>
    </w:p>
    <w:p>
      <w:pPr>
        <w:spacing w:after="0"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1.研究</w:t>
      </w:r>
      <w:r>
        <w:rPr>
          <w:rFonts w:hint="eastAsia" w:ascii="仿宋_GB2312" w:hAnsi="仿宋_GB2312" w:eastAsia="仿宋_GB2312" w:cs="仿宋_GB2312"/>
          <w:color w:val="000000"/>
          <w:kern w:val="0"/>
          <w:sz w:val="32"/>
          <w:szCs w:val="32"/>
        </w:rPr>
        <w:t>适用于“沙戈荒”地区光伏电站固定式光伏支架的</w:t>
      </w:r>
      <w:r>
        <w:rPr>
          <w:rFonts w:ascii="仿宋_GB2312" w:hAnsi="仿宋_GB2312" w:eastAsia="仿宋_GB2312" w:cs="仿宋_GB2312"/>
          <w:color w:val="000000"/>
          <w:kern w:val="0"/>
          <w:sz w:val="32"/>
          <w:szCs w:val="32"/>
        </w:rPr>
        <w:t>便于</w:t>
      </w:r>
      <w:r>
        <w:rPr>
          <w:rFonts w:hint="eastAsia" w:ascii="仿宋_GB2312" w:hAnsi="仿宋_GB2312" w:eastAsia="仿宋_GB2312" w:cs="仿宋_GB2312"/>
          <w:color w:val="000000"/>
          <w:kern w:val="0"/>
          <w:sz w:val="32"/>
          <w:szCs w:val="32"/>
        </w:rPr>
        <w:t>光伏</w:t>
      </w:r>
      <w:r>
        <w:rPr>
          <w:rFonts w:ascii="仿宋_GB2312" w:hAnsi="仿宋_GB2312" w:eastAsia="仿宋_GB2312" w:cs="仿宋_GB2312"/>
          <w:color w:val="000000"/>
          <w:kern w:val="0"/>
          <w:sz w:val="32"/>
          <w:szCs w:val="32"/>
        </w:rPr>
        <w:t>组件安装的</w:t>
      </w:r>
      <w:r>
        <w:rPr>
          <w:rFonts w:hint="eastAsia" w:ascii="仿宋_GB2312" w:hAnsi="仿宋_GB2312" w:eastAsia="仿宋_GB2312" w:cs="仿宋_GB2312"/>
          <w:color w:val="000000"/>
          <w:kern w:val="0"/>
          <w:sz w:val="32"/>
          <w:szCs w:val="32"/>
        </w:rPr>
        <w:t>机具（由</w:t>
      </w:r>
      <w:r>
        <w:rPr>
          <w:rFonts w:ascii="仿宋_GB2312" w:hAnsi="仿宋_GB2312" w:eastAsia="仿宋_GB2312" w:cs="仿宋_GB2312"/>
          <w:color w:val="000000"/>
          <w:kern w:val="0"/>
          <w:sz w:val="32"/>
          <w:szCs w:val="32"/>
        </w:rPr>
        <w:t>滑</w:t>
      </w:r>
      <w:r>
        <w:rPr>
          <w:rFonts w:hint="eastAsia" w:ascii="仿宋_GB2312" w:hAnsi="仿宋_GB2312" w:eastAsia="仿宋_GB2312" w:cs="仿宋_GB2312"/>
          <w:color w:val="000000"/>
          <w:kern w:val="0"/>
          <w:sz w:val="32"/>
          <w:szCs w:val="32"/>
        </w:rPr>
        <w:t>块、</w:t>
      </w:r>
      <w:r>
        <w:rPr>
          <w:rFonts w:ascii="仿宋_GB2312" w:hAnsi="仿宋_GB2312" w:eastAsia="仿宋_GB2312" w:cs="仿宋_GB2312"/>
          <w:color w:val="000000"/>
          <w:kern w:val="0"/>
          <w:sz w:val="32"/>
          <w:szCs w:val="32"/>
        </w:rPr>
        <w:t>滑轨</w:t>
      </w:r>
      <w:r>
        <w:rPr>
          <w:rFonts w:hint="eastAsia" w:ascii="仿宋_GB2312" w:hAnsi="仿宋_GB2312" w:eastAsia="仿宋_GB2312" w:cs="仿宋_GB2312"/>
          <w:color w:val="000000"/>
          <w:kern w:val="0"/>
          <w:sz w:val="32"/>
          <w:szCs w:val="32"/>
        </w:rPr>
        <w:t>、可移动式传输带组成），以保证组件安装质量，实现光伏组件的快速安装。</w:t>
      </w:r>
    </w:p>
    <w:p>
      <w:pPr>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研究和优化组件横向、纵向两种排布下光伏支架的结构，研究斜梁、横梁、立柱间的连接结构及方式，</w:t>
      </w:r>
      <w:r>
        <w:rPr>
          <w:rFonts w:ascii="仿宋_GB2312" w:hAnsi="仿宋_GB2312" w:eastAsia="仿宋_GB2312" w:cs="仿宋_GB2312"/>
          <w:color w:val="000000"/>
          <w:kern w:val="0"/>
          <w:sz w:val="32"/>
          <w:szCs w:val="32"/>
        </w:rPr>
        <w:t>减少各类金属连接部件，提高支架预制程度</w:t>
      </w:r>
      <w:r>
        <w:rPr>
          <w:rFonts w:hint="eastAsia" w:ascii="仿宋_GB2312" w:hAnsi="仿宋_GB2312" w:eastAsia="仿宋_GB2312" w:cs="仿宋_GB2312"/>
          <w:color w:val="000000"/>
          <w:kern w:val="0"/>
          <w:sz w:val="32"/>
          <w:szCs w:val="32"/>
        </w:rPr>
        <w:t>，在保证结构稳定的前提下减少金属用量，通过理论计算与实验验证的方法，从技术及经济两方面进行综合比选，对预制程度更高的光伏支架开展研究。</w:t>
      </w:r>
    </w:p>
    <w:p>
      <w:pPr>
        <w:widowControl/>
        <w:numPr>
          <w:ilvl w:val="0"/>
          <w:numId w:val="0"/>
        </w:numPr>
        <w:spacing w:line="560" w:lineRule="exact"/>
        <w:ind w:firstLine="643"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二、攻关后希望达到的预期目标、技术指标、预期成果：</w:t>
      </w:r>
    </w:p>
    <w:p>
      <w:pPr>
        <w:widowControl/>
        <w:numPr>
          <w:ilvl w:val="0"/>
          <w:numId w:val="0"/>
        </w:numPr>
        <w:spacing w:line="560" w:lineRule="exact"/>
        <w:ind w:firstLine="640" w:firstLineChars="200"/>
        <w:jc w:val="both"/>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（一）预期目标：</w:t>
      </w:r>
    </w:p>
    <w:p>
      <w:pPr>
        <w:spacing w:after="0" w:line="560" w:lineRule="exact"/>
        <w:ind w:firstLine="640" w:firstLineChars="200"/>
        <w:rPr>
          <w:rFonts w:ascii="仿宋_GB2312" w:hAnsi="仿宋_GB2312" w:eastAsia="仿宋_GB2312" w:cs="仿宋_GB2312"/>
          <w:color w:val="000000"/>
          <w:kern w:val="0"/>
          <w:sz w:val="32"/>
          <w:szCs w:val="32"/>
        </w:rPr>
      </w:pPr>
      <w:bookmarkStart w:id="12" w:name="_Hlk125985023"/>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.研究</w:t>
      </w:r>
      <w:r>
        <w:rPr>
          <w:rFonts w:hint="eastAsia" w:ascii="仿宋_GB2312" w:hAnsi="仿宋_GB2312" w:eastAsia="仿宋_GB2312" w:cs="仿宋_GB2312"/>
          <w:color w:val="000000"/>
          <w:kern w:val="0"/>
          <w:sz w:val="32"/>
          <w:szCs w:val="32"/>
        </w:rPr>
        <w:t>并制备一种适用于“沙戈荒”地区光伏电站固定支架的</w:t>
      </w:r>
      <w:r>
        <w:rPr>
          <w:rFonts w:ascii="仿宋_GB2312" w:hAnsi="仿宋_GB2312" w:eastAsia="仿宋_GB2312" w:cs="仿宋_GB2312"/>
          <w:color w:val="000000"/>
          <w:kern w:val="0"/>
          <w:sz w:val="32"/>
          <w:szCs w:val="32"/>
        </w:rPr>
        <w:t>便于安装电池组件</w:t>
      </w:r>
      <w:r>
        <w:rPr>
          <w:rFonts w:hint="eastAsia" w:ascii="仿宋_GB2312" w:hAnsi="仿宋_GB2312" w:eastAsia="仿宋_GB2312" w:cs="仿宋_GB2312"/>
          <w:color w:val="000000"/>
          <w:kern w:val="0"/>
          <w:sz w:val="32"/>
          <w:szCs w:val="32"/>
        </w:rPr>
        <w:t>的机具，以保证组件安装质量，提高组件</w:t>
      </w:r>
      <w:r>
        <w:rPr>
          <w:rFonts w:ascii="仿宋_GB2312" w:hAnsi="仿宋_GB2312" w:eastAsia="仿宋_GB2312" w:cs="仿宋_GB2312"/>
          <w:color w:val="000000"/>
          <w:kern w:val="0"/>
          <w:sz w:val="32"/>
          <w:szCs w:val="32"/>
        </w:rPr>
        <w:t>安装效率</w:t>
      </w:r>
      <w:r>
        <w:rPr>
          <w:rFonts w:hint="eastAsia" w:ascii="仿宋_GB2312" w:hAnsi="仿宋_GB2312" w:eastAsia="仿宋_GB2312" w:cs="仿宋_GB2312"/>
          <w:color w:val="000000"/>
          <w:kern w:val="0"/>
          <w:sz w:val="32"/>
          <w:szCs w:val="32"/>
        </w:rPr>
        <w:t>，降低人力资源投入。</w:t>
      </w:r>
    </w:p>
    <w:p>
      <w:pPr>
        <w:spacing w:after="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bookmarkEnd w:id="12"/>
      <w:r>
        <w:rPr>
          <w:rFonts w:hint="eastAsia" w:ascii="仿宋_GB2312" w:hAnsi="仿宋_GB2312" w:eastAsia="仿宋_GB2312" w:cs="仿宋_GB2312"/>
          <w:color w:val="000000"/>
          <w:kern w:val="0"/>
          <w:sz w:val="32"/>
          <w:szCs w:val="32"/>
        </w:rPr>
        <w:t>研究并制备一种稳定性更强、预制程度更高的光伏支架。</w:t>
      </w:r>
    </w:p>
    <w:p>
      <w:pPr>
        <w:widowControl/>
        <w:numPr>
          <w:ilvl w:val="0"/>
          <w:numId w:val="0"/>
        </w:numPr>
        <w:spacing w:line="560" w:lineRule="exact"/>
        <w:ind w:firstLine="640" w:firstLineChars="200"/>
        <w:jc w:val="both"/>
        <w:rPr>
          <w:rFonts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（二）技术指标：</w:t>
      </w:r>
    </w:p>
    <w:p>
      <w:pPr>
        <w:spacing w:after="0" w:line="560" w:lineRule="exact"/>
        <w:ind w:firstLine="640" w:firstLineChars="200"/>
        <w:rPr>
          <w:rFonts w:ascii="仿宋_GB2312" w:hAnsi="仿宋_GB2312" w:eastAsia="仿宋_GB2312" w:cs="仿宋_GB2312"/>
          <w:color w:val="000000"/>
          <w:kern w:val="0"/>
          <w:sz w:val="32"/>
          <w:szCs w:val="32"/>
        </w:rPr>
      </w:pPr>
      <w:bookmarkStart w:id="13" w:name="_Hlk125985032"/>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安装电池组件的</w:t>
      </w:r>
      <w:r>
        <w:rPr>
          <w:rFonts w:hint="eastAsia" w:ascii="仿宋_GB2312" w:hAnsi="仿宋_GB2312" w:eastAsia="仿宋_GB2312" w:cs="仿宋_GB2312"/>
          <w:color w:val="000000"/>
          <w:kern w:val="0"/>
          <w:sz w:val="32"/>
          <w:szCs w:val="32"/>
        </w:rPr>
        <w:t>机具</w:t>
      </w:r>
      <w:r>
        <w:rPr>
          <w:rFonts w:ascii="仿宋_GB2312" w:hAnsi="仿宋_GB2312" w:eastAsia="仿宋_GB2312" w:cs="仿宋_GB2312"/>
          <w:color w:val="000000"/>
          <w:kern w:val="0"/>
          <w:sz w:val="32"/>
          <w:szCs w:val="32"/>
        </w:rPr>
        <w:t>使用年限应不小于25年</w:t>
      </w:r>
      <w:r>
        <w:rPr>
          <w:rFonts w:hint="eastAsia" w:ascii="仿宋_GB2312" w:hAnsi="仿宋_GB2312" w:eastAsia="仿宋_GB2312" w:cs="仿宋_GB2312"/>
          <w:color w:val="000000"/>
          <w:kern w:val="0"/>
          <w:sz w:val="32"/>
          <w:szCs w:val="32"/>
        </w:rPr>
        <w:t>，单个滑块、滑轨的水平及竖向承载力不小于</w:t>
      </w:r>
      <w:r>
        <w:rPr>
          <w:rFonts w:ascii="仿宋_GB2312" w:hAnsi="仿宋_GB2312" w:eastAsia="仿宋_GB2312" w:cs="仿宋_GB2312"/>
          <w:color w:val="000000"/>
          <w:kern w:val="0"/>
          <w:sz w:val="32"/>
          <w:szCs w:val="32"/>
        </w:rPr>
        <w:t>200N</w:t>
      </w:r>
      <w:r>
        <w:rPr>
          <w:rFonts w:hint="eastAsia" w:ascii="仿宋_GB2312" w:hAnsi="仿宋_GB2312" w:eastAsia="仿宋_GB2312" w:cs="仿宋_GB2312"/>
          <w:color w:val="000000"/>
          <w:kern w:val="0"/>
          <w:sz w:val="32"/>
          <w:szCs w:val="32"/>
        </w:rPr>
        <w:t>，同时须满足“沙戈荒”地区光伏电站固定支架的风荷载、雪荷载。</w:t>
      </w:r>
    </w:p>
    <w:p>
      <w:pPr>
        <w:spacing w:after="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光伏支架</w:t>
      </w:r>
      <w:r>
        <w:rPr>
          <w:rFonts w:ascii="仿宋_GB2312" w:hAnsi="仿宋_GB2312" w:eastAsia="仿宋_GB2312" w:cs="仿宋_GB2312"/>
          <w:color w:val="000000"/>
          <w:kern w:val="0"/>
          <w:sz w:val="32"/>
          <w:szCs w:val="32"/>
        </w:rPr>
        <w:t>正常使用年限应不小于25年</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不发生影响支架结构稳定的腐蚀现象，支架</w:t>
      </w:r>
      <w:r>
        <w:rPr>
          <w:rFonts w:hint="eastAsia" w:ascii="仿宋_GB2312" w:hAnsi="仿宋_GB2312" w:eastAsia="仿宋_GB2312" w:cs="仿宋_GB2312"/>
          <w:color w:val="000000"/>
          <w:kern w:val="0"/>
          <w:sz w:val="32"/>
          <w:szCs w:val="32"/>
        </w:rPr>
        <w:t>结构安全等级不低于三级；光伏支架的风荷载、雪荷载、支架承载力、拉拔力及防腐等技术指标应符合N</w:t>
      </w:r>
      <w:r>
        <w:rPr>
          <w:rFonts w:ascii="仿宋_GB2312" w:hAnsi="仿宋_GB2312" w:eastAsia="仿宋_GB2312" w:cs="仿宋_GB2312"/>
          <w:color w:val="000000"/>
          <w:kern w:val="0"/>
          <w:sz w:val="32"/>
          <w:szCs w:val="32"/>
        </w:rPr>
        <w:t>B/T 10115-2018《</w:t>
      </w:r>
      <w:r>
        <w:rPr>
          <w:rFonts w:hint="eastAsia" w:ascii="仿宋_GB2312" w:hAnsi="仿宋_GB2312" w:eastAsia="仿宋_GB2312" w:cs="仿宋_GB2312"/>
          <w:color w:val="000000"/>
          <w:kern w:val="0"/>
          <w:sz w:val="32"/>
          <w:szCs w:val="32"/>
        </w:rPr>
        <w:t>光伏支架结构设计规程</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的要求，铝合金型材应按N</w:t>
      </w:r>
      <w:r>
        <w:rPr>
          <w:rFonts w:ascii="仿宋_GB2312" w:hAnsi="仿宋_GB2312" w:eastAsia="仿宋_GB2312" w:cs="仿宋_GB2312"/>
          <w:color w:val="000000"/>
          <w:kern w:val="0"/>
          <w:sz w:val="32"/>
          <w:szCs w:val="32"/>
        </w:rPr>
        <w:t>B/T 10642-2021</w:t>
      </w:r>
      <w:r>
        <w:rPr>
          <w:rFonts w:hint="eastAsia" w:ascii="仿宋_GB2312" w:hAnsi="仿宋_GB2312" w:eastAsia="仿宋_GB2312" w:cs="仿宋_GB2312"/>
          <w:color w:val="000000"/>
          <w:kern w:val="0"/>
          <w:sz w:val="32"/>
          <w:szCs w:val="32"/>
        </w:rPr>
        <w:t>《光伏发电站支架技术要求》完成铝合金型材拉伸试验、断后伸长率试验、维度硬度试验，确保承载力及拉拔力满足要求。</w:t>
      </w:r>
    </w:p>
    <w:bookmarkEnd w:id="13"/>
    <w:p>
      <w:pPr>
        <w:widowControl/>
        <w:numPr>
          <w:ilvl w:val="0"/>
          <w:numId w:val="0"/>
        </w:numPr>
        <w:spacing w:line="560" w:lineRule="exact"/>
        <w:ind w:firstLine="640" w:firstLineChars="200"/>
        <w:jc w:val="both"/>
        <w:rPr>
          <w:rFonts w:ascii="仿宋_GB2312" w:hAnsi="仿宋_GB2312" w:eastAsia="仿宋_GB2312" w:cs="仿宋_GB2312"/>
          <w:b w:val="0"/>
          <w:kern w:val="2"/>
          <w:sz w:val="21"/>
          <w:szCs w:val="21"/>
          <w:lang w:val="en-US" w:eastAsia="zh-CN" w:bidi="ar-SA"/>
        </w:rPr>
      </w:pPr>
      <w:r>
        <w:rPr>
          <w:rFonts w:hint="eastAsia" w:ascii="仿宋_GB2312" w:hAnsi="仿宋_GB2312" w:eastAsia="仿宋_GB2312" w:cs="仿宋_GB2312"/>
          <w:b w:val="0"/>
          <w:kern w:val="2"/>
          <w:sz w:val="32"/>
          <w:szCs w:val="32"/>
          <w:lang w:val="en-US" w:eastAsia="zh-CN" w:bidi="ar-SA"/>
        </w:rPr>
        <w:t>（三）预期成果：</w:t>
      </w:r>
      <w:r>
        <w:rPr>
          <w:rFonts w:hint="eastAsia" w:ascii="仿宋_GB2312" w:hAnsi="仿宋_GB2312" w:eastAsia="仿宋_GB2312" w:cs="仿宋_GB2312"/>
          <w:b w:val="0"/>
          <w:kern w:val="2"/>
          <w:sz w:val="21"/>
          <w:szCs w:val="21"/>
          <w:lang w:val="en-US" w:eastAsia="zh-CN" w:bidi="ar-SA"/>
        </w:rPr>
        <w:t xml:space="preserve"> </w:t>
      </w:r>
    </w:p>
    <w:p>
      <w:pPr>
        <w:spacing w:after="0" w:line="560" w:lineRule="exact"/>
        <w:ind w:firstLine="640" w:firstLineChars="200"/>
        <w:rPr>
          <w:rFonts w:ascii="仿宋_GB2312" w:hAnsi="仿宋_GB2312" w:eastAsia="仿宋_GB2312" w:cs="仿宋_GB2312"/>
          <w:color w:val="000000"/>
          <w:kern w:val="0"/>
          <w:sz w:val="32"/>
          <w:szCs w:val="32"/>
        </w:rPr>
      </w:pPr>
      <w:bookmarkStart w:id="14" w:name="_Hlk125985049"/>
      <w:r>
        <w:rPr>
          <w:rFonts w:hint="eastAsia" w:ascii="仿宋_GB2312" w:hAnsi="仿宋_GB2312" w:eastAsia="仿宋_GB2312" w:cs="仿宋_GB2312"/>
          <w:color w:val="000000"/>
          <w:kern w:val="0"/>
          <w:sz w:val="32"/>
          <w:szCs w:val="32"/>
        </w:rPr>
        <w:t>1. 制备一种适用于“沙戈荒”地区光伏电站固定支架的</w:t>
      </w:r>
      <w:r>
        <w:rPr>
          <w:rFonts w:ascii="仿宋_GB2312" w:hAnsi="仿宋_GB2312" w:eastAsia="仿宋_GB2312" w:cs="仿宋_GB2312"/>
          <w:color w:val="000000"/>
          <w:kern w:val="0"/>
          <w:sz w:val="32"/>
          <w:szCs w:val="32"/>
        </w:rPr>
        <w:t>便于</w:t>
      </w:r>
      <w:r>
        <w:rPr>
          <w:rFonts w:hint="eastAsia" w:ascii="仿宋_GB2312" w:hAnsi="仿宋_GB2312" w:eastAsia="仿宋_GB2312" w:cs="仿宋_GB2312"/>
          <w:color w:val="000000"/>
          <w:kern w:val="0"/>
          <w:sz w:val="32"/>
          <w:szCs w:val="32"/>
        </w:rPr>
        <w:t>光伏</w:t>
      </w:r>
      <w:r>
        <w:rPr>
          <w:rFonts w:ascii="仿宋_GB2312" w:hAnsi="仿宋_GB2312" w:eastAsia="仿宋_GB2312" w:cs="仿宋_GB2312"/>
          <w:color w:val="000000"/>
          <w:kern w:val="0"/>
          <w:sz w:val="32"/>
          <w:szCs w:val="32"/>
        </w:rPr>
        <w:t>组件安装</w:t>
      </w:r>
      <w:r>
        <w:rPr>
          <w:rFonts w:hint="eastAsia" w:ascii="仿宋_GB2312" w:hAnsi="仿宋_GB2312" w:eastAsia="仿宋_GB2312" w:cs="仿宋_GB2312"/>
          <w:color w:val="000000"/>
          <w:kern w:val="0"/>
          <w:sz w:val="32"/>
          <w:szCs w:val="32"/>
        </w:rPr>
        <w:t>的机具，以保证组件安装质量，</w:t>
      </w:r>
      <w:r>
        <w:rPr>
          <w:rFonts w:ascii="仿宋_GB2312" w:hAnsi="仿宋_GB2312" w:eastAsia="仿宋_GB2312" w:cs="仿宋_GB2312"/>
          <w:color w:val="000000"/>
          <w:kern w:val="0"/>
          <w:sz w:val="32"/>
          <w:szCs w:val="32"/>
        </w:rPr>
        <w:t>提高组件安装效率</w:t>
      </w:r>
      <w:r>
        <w:rPr>
          <w:rFonts w:hint="eastAsia" w:ascii="仿宋_GB2312" w:hAnsi="仿宋_GB2312" w:eastAsia="仿宋_GB2312" w:cs="仿宋_GB2312"/>
          <w:color w:val="000000"/>
          <w:kern w:val="0"/>
          <w:sz w:val="32"/>
          <w:szCs w:val="32"/>
        </w:rPr>
        <w:t>，降低人力资源投入，节约人力资源成本。</w:t>
      </w:r>
    </w:p>
    <w:p>
      <w:pPr>
        <w:spacing w:after="0" w:line="56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 xml:space="preserve"> 提出光伏组件横装、纵装下支架的设计技术建议，形成优化后支架的标准设计方案，制备一种稳定性更强、预制程度更高的光伏支架，以</w:t>
      </w:r>
      <w:r>
        <w:rPr>
          <w:rFonts w:ascii="仿宋_GB2312" w:hAnsi="仿宋_GB2312" w:eastAsia="仿宋_GB2312" w:cs="仿宋_GB2312"/>
          <w:color w:val="000000"/>
          <w:kern w:val="0"/>
          <w:sz w:val="32"/>
          <w:szCs w:val="32"/>
        </w:rPr>
        <w:t>加强支架安装标准化水平，</w:t>
      </w:r>
      <w:r>
        <w:rPr>
          <w:rFonts w:hint="eastAsia" w:ascii="仿宋_GB2312" w:hAnsi="仿宋_GB2312" w:eastAsia="仿宋_GB2312" w:cs="仿宋_GB2312"/>
          <w:color w:val="000000"/>
          <w:kern w:val="0"/>
          <w:sz w:val="32"/>
          <w:szCs w:val="32"/>
        </w:rPr>
        <w:t>简化支架安装流程</w:t>
      </w:r>
      <w:r>
        <w:rPr>
          <w:rFonts w:ascii="仿宋_GB2312" w:hAnsi="仿宋_GB2312" w:eastAsia="仿宋_GB2312" w:cs="仿宋_GB2312"/>
          <w:color w:val="000000"/>
          <w:kern w:val="0"/>
          <w:sz w:val="32"/>
          <w:szCs w:val="32"/>
        </w:rPr>
        <w:t>，提高支架安装效率</w:t>
      </w:r>
      <w:r>
        <w:rPr>
          <w:rFonts w:hint="eastAsia" w:ascii="仿宋_GB2312" w:hAnsi="仿宋_GB2312" w:eastAsia="仿宋_GB2312" w:cs="仿宋_GB2312"/>
          <w:color w:val="000000"/>
          <w:kern w:val="0"/>
          <w:sz w:val="32"/>
          <w:szCs w:val="32"/>
        </w:rPr>
        <w:t>，从而降低支架造价和施工劳动力投入，节约支架成本及人力资源成本。</w:t>
      </w:r>
    </w:p>
    <w:p>
      <w:pPr>
        <w:spacing w:after="0" w:line="560" w:lineRule="exact"/>
        <w:ind w:firstLine="640" w:firstLineChars="20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.形成支架综合比选报告1份，根据研究内容</w:t>
      </w:r>
      <w:r>
        <w:rPr>
          <w:rFonts w:ascii="仿宋_GB2312" w:hAnsi="仿宋_GB2312" w:eastAsia="仿宋_GB2312" w:cs="仿宋_GB2312"/>
          <w:color w:val="000000"/>
          <w:kern w:val="0"/>
          <w:sz w:val="32"/>
          <w:szCs w:val="32"/>
        </w:rPr>
        <w:t>发表论文</w:t>
      </w: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篇</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篇中文核心期刊，1篇国家级期刊），申请</w:t>
      </w:r>
      <w:r>
        <w:rPr>
          <w:rFonts w:ascii="仿宋_GB2312" w:hAnsi="仿宋_GB2312" w:eastAsia="仿宋_GB2312" w:cs="仿宋_GB2312"/>
          <w:color w:val="000000"/>
          <w:kern w:val="0"/>
          <w:sz w:val="32"/>
          <w:szCs w:val="32"/>
        </w:rPr>
        <w:t>专利</w:t>
      </w: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项</w:t>
      </w:r>
      <w:r>
        <w:rPr>
          <w:rFonts w:hint="eastAsia" w:ascii="仿宋_GB2312" w:hAnsi="仿宋_GB2312" w:eastAsia="仿宋_GB2312" w:cs="仿宋_GB2312"/>
          <w:color w:val="000000"/>
          <w:kern w:val="0"/>
          <w:sz w:val="32"/>
          <w:szCs w:val="32"/>
        </w:rPr>
        <w:t>（2项发明专利，1项实用新型专利）。</w:t>
      </w:r>
    </w:p>
    <w:bookmarkEnd w:id="14"/>
    <w:p>
      <w:pPr>
        <w:widowControl/>
        <w:numPr>
          <w:ilvl w:val="0"/>
          <w:numId w:val="0"/>
        </w:numPr>
        <w:spacing w:line="560" w:lineRule="exact"/>
        <w:ind w:firstLine="643" w:firstLineChars="20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三、对揭榜方要求：</w:t>
      </w:r>
    </w:p>
    <w:p>
      <w:pPr>
        <w:spacing w:after="0" w:line="560" w:lineRule="exact"/>
        <w:ind w:firstLine="640" w:firstLineChars="200"/>
        <w:rPr>
          <w:rFonts w:hint="eastAsia" w:ascii="仿宋_GB2312" w:hAnsi="仿宋_GB2312" w:eastAsia="仿宋_GB2312" w:cs="仿宋_GB2312"/>
          <w:color w:val="000000"/>
          <w:kern w:val="0"/>
          <w:sz w:val="32"/>
          <w:szCs w:val="32"/>
        </w:rPr>
      </w:pPr>
      <w:bookmarkStart w:id="15" w:name="_Hlk125985056"/>
      <w:r>
        <w:rPr>
          <w:rFonts w:hint="eastAsia" w:ascii="仿宋_GB2312" w:hAnsi="仿宋_GB2312" w:eastAsia="仿宋_GB2312" w:cs="仿宋_GB2312"/>
          <w:color w:val="000000"/>
          <w:kern w:val="0"/>
          <w:sz w:val="32"/>
          <w:szCs w:val="32"/>
        </w:rPr>
        <w:t>（一）揭榜方基本条件</w:t>
      </w:r>
    </w:p>
    <w:p>
      <w:pPr>
        <w:topLinePunct/>
        <w:autoSpaceDE w:val="0"/>
        <w:spacing w:after="200"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揭榜方必须是在中华人民共和国市场监督管理部门注</w:t>
      </w:r>
      <w:r>
        <w:rPr>
          <w:rFonts w:hint="eastAsia" w:ascii="仿宋_GB2312" w:hAnsi="仿宋_GB2312" w:eastAsia="仿宋_GB2312" w:cs="仿宋_GB2312"/>
          <w:color w:val="000000"/>
          <w:sz w:val="32"/>
          <w:szCs w:val="32"/>
        </w:rPr>
        <w:t>册的，具有独立法人和一般纳税人资格的，具备金属加工及机械制造、太阳能发电技术服务的资质的</w:t>
      </w:r>
      <w:r>
        <w:rPr>
          <w:rFonts w:hint="eastAsia" w:ascii="仿宋_GB2312" w:hAnsi="仿宋_GB2312" w:eastAsia="仿宋_GB2312" w:cs="仿宋_GB2312"/>
          <w:sz w:val="32"/>
          <w:szCs w:val="32"/>
        </w:rPr>
        <w:t>企业（高校、科研院所）；应具有良好的企业信用，不存在被列为失信被执行人的情形；</w:t>
      </w:r>
      <w:r>
        <w:rPr>
          <w:rFonts w:hint="eastAsia" w:ascii="仿宋_GB2312" w:hAnsi="仿宋_GB2312" w:eastAsia="仿宋_GB2312" w:cs="仿宋_GB2312"/>
          <w:color w:val="000000"/>
          <w:sz w:val="32"/>
          <w:szCs w:val="32"/>
        </w:rPr>
        <w:t>近三年财务和资信状况良好，没有财产被接管、冻结或处于亏损、破产状态，应提相关证明（如财务审计报告或报表、资信证明等）</w:t>
      </w:r>
      <w:r>
        <w:rPr>
          <w:rFonts w:hint="eastAsia" w:ascii="仿宋_GB2312" w:hAnsi="仿宋_GB2312" w:eastAsia="仿宋_GB2312" w:cs="仿宋_GB2312"/>
          <w:sz w:val="32"/>
          <w:szCs w:val="32"/>
        </w:rPr>
        <w:t>。</w:t>
      </w:r>
    </w:p>
    <w:p>
      <w:pPr>
        <w:spacing w:after="0"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（二）揭榜方技术条件</w:t>
      </w:r>
    </w:p>
    <w:p>
      <w:pPr>
        <w:spacing w:after="0"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揭榜方应熟悉光伏支架和组件安装流程，具备光伏支架及组件的结构与功能研究、金属及机械结构研究、结构力学理论计算及相应试验分析能力的高等院校科研团队（实验室）、科研机构、</w:t>
      </w:r>
      <w:bookmarkEnd w:id="15"/>
      <w:r>
        <w:rPr>
          <w:rFonts w:hint="eastAsia" w:ascii="仿宋_GB2312" w:hAnsi="仿宋_GB2312" w:eastAsia="仿宋_GB2312" w:cs="仿宋_GB2312"/>
          <w:color w:val="000000"/>
          <w:kern w:val="0"/>
          <w:sz w:val="32"/>
          <w:szCs w:val="32"/>
        </w:rPr>
        <w:t>具有科研经验的设计、施工、检测、研发企业或在相关行业有类似经验的研发团队，项目负责人应具有副高及以上职称，并承担过类似项目设计、施工、检测、研发的经验。</w:t>
      </w:r>
    </w:p>
    <w:p>
      <w:pPr>
        <w:widowControl/>
        <w:numPr>
          <w:ilvl w:val="0"/>
          <w:numId w:val="0"/>
        </w:numPr>
        <w:spacing w:line="560" w:lineRule="exact"/>
        <w:ind w:firstLine="643" w:firstLineChars="200"/>
        <w:jc w:val="both"/>
        <w:rPr>
          <w:rFonts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四、产权归属：</w:t>
      </w:r>
    </w:p>
    <w:p>
      <w:pPr>
        <w:widowControl/>
        <w:numPr>
          <w:ilvl w:val="0"/>
          <w:numId w:val="0"/>
        </w:numPr>
        <w:spacing w:line="560" w:lineRule="exact"/>
        <w:ind w:firstLine="640" w:firstLineChars="200"/>
        <w:jc w:val="both"/>
        <w:rPr>
          <w:rFonts w:hint="eastAsia" w:ascii="仿宋_GB2312" w:hAnsi="仿宋_GB2312" w:eastAsia="仿宋_GB2312" w:cs="Times New Roman"/>
          <w:b w:val="0"/>
          <w:kern w:val="2"/>
          <w:sz w:val="32"/>
          <w:szCs w:val="32"/>
          <w:lang w:val="en-US" w:eastAsia="zh-CN" w:bidi="ar-SA"/>
        </w:rPr>
      </w:pPr>
      <w:r>
        <w:rPr>
          <w:rFonts w:hint="eastAsia" w:ascii="仿宋_GB2312" w:hAnsi="仿宋_GB2312" w:eastAsia="仿宋_GB2312" w:cs="Times New Roman"/>
          <w:b w:val="0"/>
          <w:kern w:val="2"/>
          <w:sz w:val="32"/>
          <w:szCs w:val="32"/>
          <w:lang w:val="en-US" w:eastAsia="zh-CN" w:bidi="ar-SA"/>
        </w:rPr>
        <w:t>本课题研究形成的成果及知识产权归发榜单位及揭榜单位共有，共有比例由发榜单位和揭榜单位协商确定，其中发榜单位占比大于50%。发榜单位牵头负责知识产权申请，并拥有研究成果及知识产权在所属单位和关联公司无偿推广使用的权利。</w:t>
      </w:r>
    </w:p>
    <w:p>
      <w:pPr>
        <w:widowControl/>
        <w:numPr>
          <w:ilvl w:val="0"/>
          <w:numId w:val="0"/>
        </w:numPr>
        <w:spacing w:line="560" w:lineRule="exact"/>
        <w:ind w:firstLine="643" w:firstLineChars="200"/>
        <w:jc w:val="both"/>
        <w:rPr>
          <w:rFonts w:ascii="仿宋_GB2312" w:hAnsi="仿宋_GB2312" w:eastAsia="仿宋_GB2312" w:cs="Times New Roman"/>
          <w:b w:val="0"/>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五、经费预算：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ascii="仿宋_GB2312" w:hAnsi="仿宋_GB2312" w:eastAsia="仿宋_GB2312" w:cs="Times New Roman"/>
          <w:b w:val="0"/>
          <w:kern w:val="2"/>
          <w:sz w:val="32"/>
          <w:szCs w:val="32"/>
          <w:lang w:val="en-US" w:eastAsia="zh-CN" w:bidi="ar-SA"/>
        </w:rPr>
        <w:t>160万元以内。</w:t>
      </w:r>
    </w:p>
    <w:p>
      <w:pPr>
        <w:widowControl/>
        <w:numPr>
          <w:ilvl w:val="0"/>
          <w:numId w:val="0"/>
        </w:numPr>
        <w:spacing w:line="560" w:lineRule="exact"/>
        <w:ind w:firstLine="643" w:firstLineChars="200"/>
        <w:jc w:val="both"/>
        <w:rPr>
          <w:rFonts w:ascii="仿宋_GB2312" w:hAnsi="仿宋_GB2312" w:eastAsia="仿宋_GB2312" w:cs="Times New Roman"/>
          <w:b w:val="0"/>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六、研究周期：</w:t>
      </w:r>
      <w:r>
        <w:rPr>
          <w:rFonts w:hint="eastAsia" w:ascii="仿宋_GB2312" w:hAnsi="仿宋_GB2312" w:eastAsia="仿宋_GB2312" w:cs="Times New Roman"/>
          <w:b w:val="0"/>
          <w:kern w:val="2"/>
          <w:sz w:val="32"/>
          <w:szCs w:val="32"/>
          <w:lang w:val="en-US" w:eastAsia="zh-CN" w:bidi="ar-SA"/>
        </w:rPr>
        <w:t>签订合同后-2023年10月。</w:t>
      </w:r>
    </w:p>
    <w:p>
      <w:pPr>
        <w:widowControl/>
        <w:numPr>
          <w:ilvl w:val="0"/>
          <w:numId w:val="0"/>
        </w:numPr>
        <w:spacing w:line="560" w:lineRule="exact"/>
        <w:ind w:firstLine="643" w:firstLineChars="200"/>
        <w:jc w:val="both"/>
        <w:rPr>
          <w:rFonts w:hint="eastAsia" w:ascii="仿宋_GB2312" w:hAnsi="仿宋_GB2312" w:eastAsia="仿宋_GB2312" w:cs="Times New Roman"/>
          <w:b w:val="0"/>
          <w:kern w:val="2"/>
          <w:sz w:val="32"/>
          <w:szCs w:val="32"/>
          <w:lang w:val="en-US" w:eastAsia="zh-CN" w:bidi="ar-SA"/>
        </w:rPr>
      </w:pPr>
      <w:r>
        <w:rPr>
          <w:rFonts w:hint="eastAsia" w:ascii="仿宋_GB2312" w:hAnsi="仿宋_GB2312" w:eastAsia="仿宋_GB2312" w:cs="仿宋_GB2312"/>
          <w:b/>
          <w:bCs/>
          <w:sz w:val="32"/>
          <w:szCs w:val="32"/>
        </w:rPr>
        <w:t>七、发榜单位：</w:t>
      </w:r>
      <w:r>
        <w:rPr>
          <w:rFonts w:hint="eastAsia" w:ascii="仿宋_GB2312" w:hAnsi="仿宋_GB2312" w:eastAsia="仿宋_GB2312" w:cs="仿宋_GB2312"/>
          <w:sz w:val="32"/>
          <w:szCs w:val="32"/>
        </w:rPr>
        <w:t>青海黄河上游水电开发有限责任公司新能</w:t>
      </w:r>
      <w:r>
        <w:rPr>
          <w:rFonts w:hint="eastAsia" w:ascii="仿宋_GB2312" w:hAnsi="仿宋_GB2312" w:eastAsia="仿宋_GB2312" w:cs="Times New Roman"/>
          <w:b w:val="0"/>
          <w:kern w:val="2"/>
          <w:sz w:val="32"/>
          <w:szCs w:val="32"/>
          <w:lang w:val="en-US" w:eastAsia="zh-CN" w:bidi="ar-SA"/>
        </w:rPr>
        <w:t>源工程建设分公司</w:t>
      </w:r>
    </w:p>
    <w:p>
      <w:pPr>
        <w:widowControl/>
        <w:numPr>
          <w:ilvl w:val="0"/>
          <w:numId w:val="0"/>
        </w:numPr>
        <w:spacing w:line="560" w:lineRule="exact"/>
        <w:ind w:firstLine="643" w:firstLineChars="200"/>
        <w:jc w:val="both"/>
        <w:rPr>
          <w:rFonts w:hint="eastAsia" w:ascii="仿宋_GB2312" w:hAnsi="仿宋_GB2312" w:eastAsia="仿宋_GB2312" w:cs="Times New Roman"/>
          <w:b w:val="0"/>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八、</w:t>
      </w:r>
      <w:bookmarkStart w:id="16" w:name="_Hlk126568819"/>
      <w:r>
        <w:rPr>
          <w:rFonts w:hint="eastAsia" w:ascii="仿宋_GB2312" w:hAnsi="仿宋_GB2312" w:eastAsia="仿宋_GB2312" w:cs="Times New Roman"/>
          <w:b/>
          <w:bCs/>
          <w:kern w:val="2"/>
          <w:sz w:val="32"/>
          <w:szCs w:val="32"/>
          <w:lang w:val="en-US" w:eastAsia="zh-CN" w:bidi="ar-SA"/>
        </w:rPr>
        <w:t>项目联系人及电话</w:t>
      </w:r>
      <w:bookmarkEnd w:id="16"/>
      <w:r>
        <w:rPr>
          <w:rFonts w:hint="eastAsia" w:ascii="仿宋_GB2312" w:hAnsi="仿宋_GB2312" w:eastAsia="仿宋_GB2312" w:cs="Times New Roman"/>
          <w:b/>
          <w:bCs/>
          <w:kern w:val="2"/>
          <w:sz w:val="32"/>
          <w:szCs w:val="32"/>
          <w:lang w:val="en-US" w:eastAsia="zh-CN" w:bidi="ar-SA"/>
        </w:rPr>
        <w:t>：</w:t>
      </w:r>
    </w:p>
    <w:p>
      <w:pPr>
        <w:widowControl/>
        <w:numPr>
          <w:ilvl w:val="0"/>
          <w:numId w:val="0"/>
        </w:numPr>
        <w:spacing w:line="560" w:lineRule="exact"/>
        <w:ind w:firstLine="640" w:firstLineChars="200"/>
        <w:jc w:val="both"/>
        <w:rPr>
          <w:rFonts w:hint="eastAsia" w:ascii="仿宋_GB2312" w:hAnsi="仿宋_GB2312" w:eastAsia="仿宋_GB2312" w:cs="Times New Roman"/>
          <w:b w:val="0"/>
          <w:kern w:val="2"/>
          <w:sz w:val="32"/>
          <w:szCs w:val="32"/>
          <w:lang w:val="en-US" w:eastAsia="zh-CN" w:bidi="ar-SA"/>
        </w:rPr>
      </w:pPr>
      <w:r>
        <w:rPr>
          <w:rFonts w:hint="eastAsia" w:ascii="仿宋_GB2312" w:hAnsi="仿宋_GB2312" w:eastAsia="仿宋_GB2312" w:cs="Times New Roman"/>
          <w:b w:val="0"/>
          <w:kern w:val="2"/>
          <w:sz w:val="32"/>
          <w:szCs w:val="32"/>
          <w:lang w:val="en-US" w:eastAsia="zh-CN" w:bidi="ar-SA"/>
        </w:rPr>
        <w:t>联系人：李梦洋  电话：18797177036</w:t>
      </w:r>
    </w:p>
    <w:p>
      <w:pPr>
        <w:pStyle w:val="5"/>
        <w:rPr>
          <w:rFonts w:hint="eastAsia"/>
          <w:lang w:val="en-US" w:eastAsia="zh-CN"/>
        </w:rPr>
      </w:pPr>
    </w:p>
    <w:p>
      <w:pPr>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项目13：基于逆变器IV感知与支架控制系统联动的应用研究</w:t>
      </w:r>
    </w:p>
    <w:p>
      <w:pPr>
        <w:pStyle w:val="7"/>
        <w:rPr>
          <w:rFonts w:hint="eastAsia" w:ascii="黑体" w:hAnsi="黑体" w:eastAsia="黑体" w:cs="黑体"/>
          <w:bCs/>
          <w:kern w:val="0"/>
          <w:sz w:val="32"/>
          <w:szCs w:val="32"/>
          <w:highlight w:val="none"/>
          <w:lang w:val="en-US" w:eastAsia="zh-CN" w:bidi="ar"/>
        </w:rPr>
      </w:pPr>
    </w:p>
    <w:p>
      <w:pPr>
        <w:keepNext w:val="0"/>
        <w:keepLines w:val="0"/>
        <w:pageBreakBefore w:val="0"/>
        <w:numPr>
          <w:ilvl w:val="0"/>
          <w:numId w:val="14"/>
        </w:numPr>
        <w:kinsoku/>
        <w:wordWrap/>
        <w:overflowPunct/>
        <w:topLinePunct w:val="0"/>
        <w:autoSpaceDE/>
        <w:autoSpaceDN/>
        <w:bidi w:val="0"/>
        <w:adjustRightInd/>
        <w:snapToGrid/>
        <w:spacing w:after="0" w:line="240" w:lineRule="auto"/>
        <w:ind w:firstLine="643"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攻关难题和攻关内容：</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一</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攻关难题</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在现有技术的过程中发现：根据天文算法确定的光伏面板组件的朝向或者说光伏面板组件的仰角，并非最佳的光电转换效率状态。</w:t>
      </w:r>
      <w:r>
        <w:rPr>
          <w:rFonts w:hint="eastAsia" w:ascii="仿宋_GB2312" w:hAnsi="仿宋_GB2312" w:eastAsia="仿宋_GB2312" w:cs="仿宋_GB2312"/>
          <w:b w:val="0"/>
          <w:bCs w:val="0"/>
          <w:color w:val="000000"/>
          <w:kern w:val="0"/>
          <w:sz w:val="32"/>
          <w:szCs w:val="32"/>
          <w:lang w:val="en-US" w:eastAsia="zh-CN"/>
        </w:rPr>
        <w:t>光伏</w:t>
      </w:r>
      <w:r>
        <w:rPr>
          <w:rFonts w:hint="eastAsia" w:ascii="仿宋_GB2312" w:hAnsi="仿宋_GB2312" w:eastAsia="仿宋_GB2312" w:cs="仿宋_GB2312"/>
          <w:b w:val="0"/>
          <w:bCs w:val="0"/>
          <w:color w:val="000000"/>
          <w:kern w:val="0"/>
          <w:sz w:val="32"/>
          <w:szCs w:val="32"/>
        </w:rPr>
        <w:t>跟踪支架的跟踪系统多为根据时间、GPS坐标，通过天文算法生成目标角度控制电机运动，基于角度的闭环控制获得了太阳光的直射部分，但是这样的方式并未考虑阴天、云层和光伏自身技术迭代所带来的变化和影响。因此需要</w:t>
      </w:r>
      <w:r>
        <w:rPr>
          <w:rFonts w:hint="eastAsia" w:ascii="仿宋_GB2312" w:hAnsi="仿宋_GB2312" w:eastAsia="仿宋_GB2312" w:cs="仿宋_GB2312"/>
          <w:b w:val="0"/>
          <w:bCs w:val="0"/>
          <w:color w:val="000000"/>
          <w:kern w:val="0"/>
          <w:sz w:val="32"/>
          <w:szCs w:val="32"/>
          <w:lang w:val="en-US" w:eastAsia="zh-CN"/>
        </w:rPr>
        <w:t>利用逆变器最大功率算法控制跟踪支架旋转角度，可</w:t>
      </w:r>
      <w:r>
        <w:rPr>
          <w:rFonts w:hint="eastAsia" w:ascii="仿宋_GB2312" w:hAnsi="仿宋_GB2312" w:eastAsia="仿宋_GB2312" w:cs="仿宋_GB2312"/>
          <w:b w:val="0"/>
          <w:bCs w:val="0"/>
          <w:color w:val="000000"/>
          <w:kern w:val="0"/>
          <w:sz w:val="32"/>
          <w:szCs w:val="32"/>
        </w:rPr>
        <w:t>在阴雨天和云层遮挡的情况下提高</w:t>
      </w:r>
      <w:r>
        <w:rPr>
          <w:rFonts w:hint="eastAsia" w:ascii="仿宋_GB2312" w:hAnsi="仿宋_GB2312" w:eastAsia="仿宋_GB2312" w:cs="仿宋_GB2312"/>
          <w:b w:val="0"/>
          <w:bCs w:val="0"/>
          <w:color w:val="000000"/>
          <w:kern w:val="0"/>
          <w:sz w:val="32"/>
          <w:szCs w:val="32"/>
          <w:lang w:val="en-US" w:eastAsia="zh-CN"/>
        </w:rPr>
        <w:t>发电量。</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rPr>
        <w:t>1.实现逆变器对跟踪支</w:t>
      </w:r>
      <w:r>
        <w:rPr>
          <w:rFonts w:hint="eastAsia" w:ascii="仿宋_GB2312" w:hAnsi="仿宋_GB2312" w:eastAsia="仿宋_GB2312" w:cs="仿宋_GB2312"/>
          <w:b w:val="0"/>
          <w:bCs w:val="0"/>
          <w:color w:val="000000"/>
          <w:kern w:val="0"/>
          <w:sz w:val="32"/>
          <w:szCs w:val="32"/>
          <w:lang w:val="en-US" w:eastAsia="zh-CN" w:bidi="ar-SA"/>
        </w:rPr>
        <w:t>架的控制并实现兼容功能；</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b w:val="0"/>
          <w:bCs w:val="0"/>
          <w:color w:val="000000"/>
          <w:kern w:val="0"/>
          <w:sz w:val="32"/>
          <w:szCs w:val="32"/>
          <w:lang w:val="en-US" w:eastAsia="zh-CN"/>
        </w:rPr>
        <w:t>.解决在大风模式下逆变器对跟踪支架的保护控制。</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二</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攻关内容</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w:t>
      </w:r>
      <w:r>
        <w:rPr>
          <w:rFonts w:hint="default"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rPr>
        <w:t>利用AI</w:t>
      </w:r>
      <w:r>
        <w:rPr>
          <w:rFonts w:hint="eastAsia" w:ascii="仿宋_GB2312" w:hAnsi="仿宋_GB2312" w:eastAsia="仿宋_GB2312" w:cs="仿宋_GB2312"/>
          <w:b w:val="0"/>
          <w:bCs w:val="0"/>
          <w:color w:val="000000"/>
          <w:kern w:val="0"/>
          <w:sz w:val="32"/>
          <w:szCs w:val="32"/>
          <w:lang w:val="en-US" w:eastAsia="zh-CN"/>
        </w:rPr>
        <w:t>深度学习</w:t>
      </w:r>
      <w:r>
        <w:rPr>
          <w:rFonts w:hint="eastAsia" w:ascii="仿宋_GB2312" w:hAnsi="仿宋_GB2312" w:eastAsia="仿宋_GB2312" w:cs="仿宋_GB2312"/>
          <w:b w:val="0"/>
          <w:bCs w:val="0"/>
          <w:color w:val="000000"/>
          <w:kern w:val="0"/>
          <w:sz w:val="32"/>
          <w:szCs w:val="32"/>
        </w:rPr>
        <w:t>技术，通</w:t>
      </w:r>
      <w:r>
        <w:rPr>
          <w:rFonts w:hint="eastAsia" w:ascii="仿宋_GB2312" w:hAnsi="仿宋_GB2312" w:eastAsia="仿宋_GB2312" w:cs="仿宋_GB2312"/>
          <w:b w:val="0"/>
          <w:bCs w:val="0"/>
          <w:color w:val="000000"/>
          <w:sz w:val="32"/>
          <w:szCs w:val="32"/>
        </w:rPr>
        <w:t>过逆变器IV感知及与支架控制单元的联动</w:t>
      </w:r>
      <w:r>
        <w:rPr>
          <w:rFonts w:hint="eastAsia" w:ascii="仿宋_GB2312" w:hAnsi="仿宋_GB2312" w:eastAsia="仿宋_GB2312" w:cs="仿宋_GB2312"/>
          <w:b w:val="0"/>
          <w:bCs w:val="0"/>
          <w:color w:val="000000"/>
          <w:kern w:val="0"/>
          <w:sz w:val="32"/>
          <w:szCs w:val="32"/>
        </w:rPr>
        <w:t>、闭环控制，提升跟踪系统的发电量；</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rPr>
        <w:t>2</w:t>
      </w:r>
      <w:r>
        <w:rPr>
          <w:rFonts w:hint="default"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rPr>
        <w:t>充分发挥逆变器的</w:t>
      </w:r>
      <w:r>
        <w:rPr>
          <w:rFonts w:hint="eastAsia" w:ascii="仿宋_GB2312" w:hAnsi="仿宋_GB2312" w:eastAsia="仿宋_GB2312" w:cs="仿宋_GB2312"/>
          <w:b w:val="0"/>
          <w:bCs w:val="0"/>
          <w:color w:val="000000"/>
          <w:kern w:val="0"/>
          <w:sz w:val="32"/>
          <w:szCs w:val="32"/>
          <w:lang w:val="en-US" w:eastAsia="zh-CN"/>
        </w:rPr>
        <w:t>智能检测</w:t>
      </w:r>
      <w:r>
        <w:rPr>
          <w:rFonts w:hint="eastAsia" w:ascii="仿宋_GB2312" w:hAnsi="仿宋_GB2312" w:eastAsia="仿宋_GB2312" w:cs="仿宋_GB2312"/>
          <w:b w:val="0"/>
          <w:bCs w:val="0"/>
          <w:color w:val="000000"/>
          <w:sz w:val="32"/>
          <w:szCs w:val="32"/>
        </w:rPr>
        <w:t>作用，按照“环境和运行参数全方位监测或感知——跟踪角度最优化——接收辐照最大和均衡化——输出参数最佳化”的逻辑框架进行方案设计，通过与支架控制单元闭环控制，进一步提升跟踪支架的技术效能；</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项目实施后可实现“自动监测或感知、自动寻优和控制”的设计功能，特别在早、晚及特殊天气条件下能够实现良好的控制和运行。</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643" w:firstLineChars="20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二、攻关后希望达到的预期目标、技术指标、预期成果：</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（一）预期目标：</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（1）利用逆变器与跟踪支架控制系统联动、闭环控制，保证系统在组件受光量最大、功率输出最佳的状态下运行；</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（2）无需额外的传感设备，摆脱人工和经验依赖，利用AI</w:t>
      </w:r>
      <w:r>
        <w:rPr>
          <w:rFonts w:hint="eastAsia" w:ascii="仿宋_GB2312" w:hAnsi="仿宋_GB2312" w:eastAsia="仿宋_GB2312" w:cs="仿宋_GB2312"/>
          <w:b w:val="0"/>
          <w:bCs w:val="0"/>
          <w:color w:val="000000"/>
          <w:sz w:val="32"/>
          <w:szCs w:val="32"/>
          <w:lang w:val="en-US" w:eastAsia="zh-CN"/>
        </w:rPr>
        <w:t>深度学习</w:t>
      </w:r>
      <w:r>
        <w:rPr>
          <w:rFonts w:hint="eastAsia" w:ascii="仿宋_GB2312" w:hAnsi="仿宋_GB2312" w:eastAsia="仿宋_GB2312" w:cs="仿宋_GB2312"/>
          <w:b w:val="0"/>
          <w:bCs w:val="0"/>
          <w:color w:val="000000"/>
          <w:sz w:val="32"/>
          <w:szCs w:val="32"/>
        </w:rPr>
        <w:t>技术，自动感知遮挡及天气变化信息，自动进行跟踪角度寻优和控制；</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（3）通过逆变器集成跟踪支架通讯及供电功能，借助MBUS技术，减少跟踪支架供电和通讯线缆的使用。</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（二）技术指标：</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实现相较于</w:t>
      </w:r>
      <w:r>
        <w:rPr>
          <w:rFonts w:hint="eastAsia" w:ascii="仿宋_GB2312" w:hAnsi="仿宋_GB2312" w:eastAsia="仿宋_GB2312" w:cs="仿宋_GB2312"/>
          <w:b w:val="0"/>
          <w:bCs w:val="0"/>
          <w:sz w:val="32"/>
          <w:szCs w:val="32"/>
          <w:lang w:val="en-US" w:eastAsia="zh-CN"/>
        </w:rPr>
        <w:t>同类型的跟踪支架在现有基础上发电量提升1%（现有1GW平单轴跟踪支架年发电量为145000万千瓦时，实施此技术后年发电量可提高1450万千瓦时）。</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（三）预期成果：</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研制一套逆变器IV感知与支架控制系统（含硬件和软件）。</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申请</w:t>
      </w:r>
      <w:r>
        <w:rPr>
          <w:rFonts w:hint="eastAsia" w:ascii="仿宋_GB2312" w:hAnsi="仿宋_GB2312" w:eastAsia="仿宋_GB2312" w:cs="仿宋_GB2312"/>
          <w:b w:val="0"/>
          <w:bCs w:val="0"/>
          <w:sz w:val="32"/>
          <w:szCs w:val="32"/>
          <w:lang w:val="en-US" w:eastAsia="zh-CN"/>
        </w:rPr>
        <w:t>实用新型</w:t>
      </w:r>
      <w:r>
        <w:rPr>
          <w:rFonts w:hint="eastAsia" w:ascii="仿宋_GB2312" w:hAnsi="仿宋_GB2312" w:eastAsia="仿宋_GB2312" w:cs="仿宋_GB2312"/>
          <w:b w:val="0"/>
          <w:bCs w:val="0"/>
          <w:sz w:val="32"/>
          <w:szCs w:val="32"/>
        </w:rPr>
        <w:t>专利</w:t>
      </w:r>
      <w:r>
        <w:rPr>
          <w:rFonts w:hint="eastAsia" w:ascii="仿宋_GB2312" w:hAnsi="仿宋_GB2312" w:eastAsia="仿宋_GB2312" w:cs="仿宋_GB2312"/>
          <w:b w:val="0"/>
          <w:bCs w:val="0"/>
          <w:sz w:val="32"/>
          <w:szCs w:val="32"/>
          <w:lang w:val="en-US" w:eastAsia="zh-CN"/>
        </w:rPr>
        <w:t>1项</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.发表国内</w:t>
      </w:r>
      <w:r>
        <w:rPr>
          <w:rFonts w:hint="eastAsia" w:ascii="仿宋_GB2312" w:hAnsi="仿宋_GB2312" w:eastAsia="仿宋_GB2312" w:cs="仿宋_GB2312"/>
          <w:b w:val="0"/>
          <w:bCs w:val="0"/>
          <w:sz w:val="32"/>
          <w:szCs w:val="32"/>
          <w:lang w:val="en-US" w:eastAsia="zh-CN"/>
        </w:rPr>
        <w:t>一般期刊</w:t>
      </w:r>
      <w:r>
        <w:rPr>
          <w:rFonts w:hint="eastAsia" w:ascii="仿宋_GB2312" w:hAnsi="仿宋_GB2312" w:eastAsia="仿宋_GB2312" w:cs="仿宋_GB2312"/>
          <w:b w:val="0"/>
          <w:bCs w:val="0"/>
          <w:sz w:val="32"/>
          <w:szCs w:val="32"/>
        </w:rPr>
        <w:t>论文</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篇。</w:t>
      </w:r>
    </w:p>
    <w:p>
      <w:pPr>
        <w:widowControl/>
        <w:numPr>
          <w:ilvl w:val="0"/>
          <w:numId w:val="0"/>
        </w:numPr>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4.经济效益</w:t>
      </w:r>
    </w:p>
    <w:p>
      <w:pPr>
        <w:widowControl w:val="0"/>
        <w:autoSpaceDE w:val="0"/>
        <w:autoSpaceDN w:val="0"/>
        <w:adjustRightInd w:val="0"/>
        <w:spacing w:after="200" w:line="276" w:lineRule="auto"/>
        <w:ind w:firstLine="640" w:firstLineChars="200"/>
        <w:jc w:val="both"/>
        <w:textAlignment w:val="baseline"/>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该项技术充分发挥了逆变器</w:t>
      </w:r>
      <w:r>
        <w:rPr>
          <w:rFonts w:hint="eastAsia" w:ascii="仿宋_GB2312" w:hAnsi="仿宋_GB2312" w:eastAsia="仿宋_GB2312" w:cs="仿宋_GB2312"/>
          <w:b w:val="0"/>
          <w:bCs w:val="0"/>
          <w:color w:val="000000"/>
          <w:kern w:val="0"/>
          <w:sz w:val="32"/>
          <w:szCs w:val="32"/>
          <w:lang w:val="en-US" w:eastAsia="zh-CN" w:bidi="ar-SA"/>
        </w:rPr>
        <w:t>智能监测</w:t>
      </w:r>
      <w:r>
        <w:rPr>
          <w:rFonts w:hint="default" w:ascii="仿宋_GB2312" w:hAnsi="仿宋_GB2312" w:eastAsia="仿宋_GB2312" w:cs="仿宋_GB2312"/>
          <w:b w:val="0"/>
          <w:bCs w:val="0"/>
          <w:color w:val="000000"/>
          <w:kern w:val="0"/>
          <w:sz w:val="32"/>
          <w:szCs w:val="32"/>
          <w:lang w:val="en-US" w:eastAsia="zh-CN" w:bidi="ar-SA"/>
        </w:rPr>
        <w:t>作用，按照“环境和运行参数全方位监测或感知—跟踪角度最优化—接收辐照最大和均衡化—输出参数最佳化”的逻辑框架进行方案设计，通过与支架控制单元闭环控制，进一步提升了跟踪支架的技术效能,</w:t>
      </w:r>
      <w:r>
        <w:rPr>
          <w:rFonts w:hint="eastAsia" w:ascii="仿宋_GB2312" w:hAnsi="仿宋_GB2312" w:eastAsia="仿宋_GB2312" w:cs="仿宋_GB2312"/>
          <w:b w:val="0"/>
          <w:bCs w:val="0"/>
          <w:color w:val="000000"/>
          <w:kern w:val="0"/>
          <w:sz w:val="32"/>
          <w:szCs w:val="32"/>
          <w:lang w:val="en-US" w:eastAsia="zh-CN" w:bidi="ar-SA"/>
        </w:rPr>
        <w:t>以</w:t>
      </w:r>
      <w:r>
        <w:rPr>
          <w:rFonts w:hint="default" w:ascii="仿宋_GB2312" w:hAnsi="仿宋_GB2312" w:eastAsia="仿宋_GB2312" w:cs="仿宋_GB2312"/>
          <w:b w:val="0"/>
          <w:bCs w:val="0"/>
          <w:color w:val="000000"/>
          <w:kern w:val="0"/>
          <w:sz w:val="32"/>
          <w:szCs w:val="32"/>
          <w:lang w:val="en-US" w:eastAsia="zh-CN" w:bidi="ar-SA"/>
        </w:rPr>
        <w:t>1</w:t>
      </w:r>
      <w:r>
        <w:rPr>
          <w:rFonts w:hint="eastAsia" w:ascii="仿宋_GB2312" w:hAnsi="仿宋_GB2312" w:eastAsia="仿宋_GB2312" w:cs="仿宋_GB2312"/>
          <w:b w:val="0"/>
          <w:bCs w:val="0"/>
          <w:color w:val="000000"/>
          <w:kern w:val="0"/>
          <w:sz w:val="32"/>
          <w:szCs w:val="32"/>
          <w:lang w:val="en-US" w:eastAsia="zh-CN" w:bidi="ar-SA"/>
        </w:rPr>
        <w:t>G</w:t>
      </w:r>
      <w:r>
        <w:rPr>
          <w:rFonts w:hint="default" w:ascii="仿宋_GB2312" w:hAnsi="仿宋_GB2312" w:eastAsia="仿宋_GB2312" w:cs="仿宋_GB2312"/>
          <w:b w:val="0"/>
          <w:bCs w:val="0"/>
          <w:color w:val="000000"/>
          <w:kern w:val="0"/>
          <w:sz w:val="32"/>
          <w:szCs w:val="32"/>
          <w:lang w:val="en-US" w:eastAsia="zh-CN" w:bidi="ar-SA"/>
        </w:rPr>
        <w:t>W平单轴跟踪支架</w:t>
      </w:r>
      <w:r>
        <w:rPr>
          <w:rFonts w:hint="eastAsia" w:ascii="仿宋_GB2312" w:hAnsi="仿宋_GB2312" w:eastAsia="仿宋_GB2312" w:cs="仿宋_GB2312"/>
          <w:b w:val="0"/>
          <w:bCs w:val="0"/>
          <w:color w:val="000000"/>
          <w:kern w:val="0"/>
          <w:sz w:val="32"/>
          <w:szCs w:val="32"/>
          <w:lang w:val="en-US" w:eastAsia="zh-CN" w:bidi="ar-SA"/>
        </w:rPr>
        <w:t>计算，</w:t>
      </w:r>
      <w:r>
        <w:rPr>
          <w:rFonts w:hint="default" w:ascii="仿宋_GB2312" w:hAnsi="仿宋_GB2312" w:eastAsia="仿宋_GB2312" w:cs="仿宋_GB2312"/>
          <w:b w:val="0"/>
          <w:bCs w:val="0"/>
          <w:color w:val="000000"/>
          <w:kern w:val="0"/>
          <w:sz w:val="32"/>
          <w:szCs w:val="32"/>
          <w:lang w:val="en-US" w:eastAsia="zh-CN" w:bidi="ar-SA"/>
        </w:rPr>
        <w:t>年发电量可提升145</w:t>
      </w:r>
      <w:r>
        <w:rPr>
          <w:rFonts w:hint="eastAsia" w:ascii="仿宋_GB2312" w:hAnsi="仿宋_GB2312" w:eastAsia="仿宋_GB2312" w:cs="仿宋_GB2312"/>
          <w:b w:val="0"/>
          <w:bCs w:val="0"/>
          <w:color w:val="000000"/>
          <w:kern w:val="0"/>
          <w:sz w:val="32"/>
          <w:szCs w:val="32"/>
          <w:lang w:val="en-US" w:eastAsia="zh-CN" w:bidi="ar-SA"/>
        </w:rPr>
        <w:t>0</w:t>
      </w:r>
      <w:r>
        <w:rPr>
          <w:rFonts w:hint="default" w:ascii="仿宋_GB2312" w:hAnsi="仿宋_GB2312" w:eastAsia="仿宋_GB2312" w:cs="仿宋_GB2312"/>
          <w:b w:val="0"/>
          <w:bCs w:val="0"/>
          <w:color w:val="000000"/>
          <w:kern w:val="0"/>
          <w:sz w:val="32"/>
          <w:szCs w:val="32"/>
          <w:lang w:val="en-US" w:eastAsia="zh-CN" w:bidi="ar-SA"/>
        </w:rPr>
        <w:t>万</w:t>
      </w:r>
      <w:r>
        <w:rPr>
          <w:rFonts w:hint="eastAsia" w:ascii="仿宋_GB2312" w:hAnsi="仿宋_GB2312" w:eastAsia="仿宋_GB2312" w:cs="仿宋_GB2312"/>
          <w:b w:val="0"/>
          <w:bCs w:val="0"/>
          <w:color w:val="000000"/>
          <w:kern w:val="0"/>
          <w:sz w:val="32"/>
          <w:szCs w:val="32"/>
          <w:lang w:val="en-US" w:eastAsia="zh-CN" w:bidi="ar-SA"/>
        </w:rPr>
        <w:t>千瓦时，可提高经济效益约1000万元/年</w:t>
      </w:r>
      <w:r>
        <w:rPr>
          <w:rFonts w:hint="default" w:ascii="仿宋_GB2312" w:hAnsi="仿宋_GB2312" w:eastAsia="仿宋_GB2312" w:cs="仿宋_GB2312"/>
          <w:b w:val="0"/>
          <w:bCs w:val="0"/>
          <w:color w:val="000000"/>
          <w:kern w:val="0"/>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630" w:leftChars="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三、</w:t>
      </w:r>
      <w:r>
        <w:rPr>
          <w:rFonts w:hint="eastAsia" w:ascii="仿宋_GB2312" w:hAnsi="仿宋_GB2312" w:eastAsia="仿宋_GB2312" w:cs="仿宋_GB2312"/>
          <w:b/>
          <w:bCs/>
          <w:color w:val="000000"/>
          <w:kern w:val="0"/>
          <w:sz w:val="32"/>
          <w:szCs w:val="32"/>
        </w:rPr>
        <w:t>揭榜方</w:t>
      </w:r>
      <w:r>
        <w:rPr>
          <w:rFonts w:hint="eastAsia" w:ascii="仿宋_GB2312" w:hAnsi="仿宋_GB2312" w:eastAsia="仿宋_GB2312" w:cs="仿宋_GB2312"/>
          <w:b/>
          <w:bCs/>
          <w:color w:val="000000"/>
          <w:kern w:val="0"/>
          <w:sz w:val="32"/>
          <w:szCs w:val="32"/>
          <w:lang w:val="en-US" w:eastAsia="zh-CN"/>
        </w:rPr>
        <w:t>基本条件</w:t>
      </w:r>
      <w:r>
        <w:rPr>
          <w:rFonts w:hint="eastAsia" w:ascii="仿宋_GB2312" w:hAnsi="仿宋_GB2312" w:eastAsia="仿宋_GB2312" w:cs="仿宋_GB2312"/>
          <w:b/>
          <w:bCs/>
          <w:color w:val="000000"/>
          <w:kern w:val="0"/>
          <w:sz w:val="32"/>
          <w:szCs w:val="32"/>
        </w:rPr>
        <w:t>：</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揭榜方必须是在中华人民共和国市场监督管理部门注册的，具有独立法人和一般纳税人资格的，具备（硬件及软件开发）（及以上）资质的企业（科研院所）；应具有良好的企业信用，不存在被列为失信被执行人的情形；近三年财务和资信状况良好，没有财产被接管、冻结或处于亏损、破产状态，应提相关证明（如财务审计报告或报表、资信证明等）。</w:t>
      </w:r>
    </w:p>
    <w:p>
      <w:pPr>
        <w:keepNext w:val="0"/>
        <w:keepLines w:val="0"/>
        <w:pageBreakBefore w:val="0"/>
        <w:numPr>
          <w:ilvl w:val="0"/>
          <w:numId w:val="15"/>
        </w:numPr>
        <w:kinsoku/>
        <w:wordWrap/>
        <w:overflowPunct/>
        <w:topLinePunct w:val="0"/>
        <w:autoSpaceDE/>
        <w:autoSpaceDN/>
        <w:bidi w:val="0"/>
        <w:adjustRightInd/>
        <w:snapToGrid/>
        <w:spacing w:after="0" w:line="240" w:lineRule="auto"/>
        <w:ind w:left="630" w:leftChars="0"/>
        <w:jc w:val="left"/>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技术要求：</w:t>
      </w:r>
    </w:p>
    <w:p>
      <w:pPr>
        <w:widowControl/>
        <w:numPr>
          <w:ilvl w:val="0"/>
          <w:numId w:val="0"/>
        </w:numPr>
        <w:ind w:firstLine="640" w:firstLineChars="200"/>
        <w:jc w:val="both"/>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w:t>
      </w:r>
      <w:r>
        <w:rPr>
          <w:rFonts w:hint="default" w:ascii="仿宋_GB2312" w:hAnsi="仿宋_GB2312" w:eastAsia="仿宋_GB2312" w:cs="仿宋_GB2312"/>
          <w:b w:val="0"/>
          <w:bCs w:val="0"/>
          <w:color w:val="000000"/>
          <w:kern w:val="0"/>
          <w:sz w:val="32"/>
          <w:szCs w:val="32"/>
          <w:lang w:val="en-US" w:eastAsia="zh-CN" w:bidi="ar-SA"/>
        </w:rPr>
        <w:t>月发电量较传统控制模式同比增加1%（平单轴跟踪支架）</w:t>
      </w:r>
      <w:r>
        <w:rPr>
          <w:rFonts w:hint="eastAsia" w:ascii="仿宋_GB2312" w:hAnsi="仿宋_GB2312" w:eastAsia="仿宋_GB2312" w:cs="仿宋_GB2312"/>
          <w:b w:val="0"/>
          <w:bCs w:val="0"/>
          <w:color w:val="000000"/>
          <w:kern w:val="0"/>
          <w:sz w:val="32"/>
          <w:szCs w:val="32"/>
          <w:lang w:val="en-US" w:eastAsia="zh-CN" w:bidi="ar-SA"/>
        </w:rPr>
        <w:t>；</w:t>
      </w:r>
    </w:p>
    <w:p>
      <w:pPr>
        <w:widowControl/>
        <w:numPr>
          <w:ilvl w:val="0"/>
          <w:numId w:val="0"/>
        </w:numPr>
        <w:ind w:firstLine="640" w:firstLineChars="200"/>
        <w:jc w:val="both"/>
        <w:rPr>
          <w:rFonts w:hint="default" w:ascii="Times New Roman" w:hAnsi="Times New Roman" w:eastAsia="黑体" w:cs="Times New Roman"/>
          <w:b/>
          <w:kern w:val="2"/>
          <w:sz w:val="21"/>
          <w:szCs w:val="2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default" w:ascii="仿宋_GB2312" w:hAnsi="仿宋_GB2312" w:eastAsia="仿宋_GB2312" w:cs="仿宋_GB2312"/>
          <w:b w:val="0"/>
          <w:bCs w:val="0"/>
          <w:color w:val="000000"/>
          <w:kern w:val="0"/>
          <w:sz w:val="32"/>
          <w:szCs w:val="32"/>
          <w:lang w:val="en-US" w:eastAsia="zh-CN" w:bidi="ar-SA"/>
        </w:rPr>
        <w:t>可实现单台支架（单台电机）的控制精度，且运行平稳</w:t>
      </w:r>
      <w:r>
        <w:rPr>
          <w:rFonts w:hint="eastAsia" w:ascii="仿宋_GB2312" w:hAnsi="仿宋_GB2312" w:eastAsia="仿宋_GB2312" w:cs="仿宋_GB2312"/>
          <w:b w:val="0"/>
          <w:bCs w:val="0"/>
          <w:color w:val="000000"/>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after="0" w:line="240" w:lineRule="auto"/>
        <w:ind w:firstLine="643" w:firstLineChars="200"/>
        <w:jc w:val="left"/>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五、产权归属：</w:t>
      </w:r>
    </w:p>
    <w:p>
      <w:pPr>
        <w:keepNext w:val="0"/>
        <w:keepLines w:val="0"/>
        <w:pageBreakBefore w:val="0"/>
        <w:kinsoku/>
        <w:wordWrap/>
        <w:overflowPunct/>
        <w:topLinePunct w:val="0"/>
        <w:autoSpaceDE/>
        <w:autoSpaceDN/>
        <w:bidi w:val="0"/>
        <w:adjustRightInd/>
        <w:snapToGrid/>
        <w:spacing w:after="0" w:line="240" w:lineRule="auto"/>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本项目由黄河鑫业有限公司负责实施，提供项目所需场地，为整体项目提供设计思路，协作单位负责项目总体的技术支持，符合国家设计规范的设计计算及方案，知识产权</w:t>
      </w:r>
      <w:r>
        <w:rPr>
          <w:rFonts w:hint="eastAsia" w:ascii="仿宋_GB2312" w:hAnsi="仿宋_GB2312" w:eastAsia="仿宋_GB2312" w:cs="仿宋_GB2312"/>
          <w:color w:val="auto"/>
          <w:kern w:val="2"/>
          <w:sz w:val="32"/>
          <w:szCs w:val="32"/>
          <w:lang w:val="en-US" w:eastAsia="zh-CN" w:bidi="ar-SA"/>
        </w:rPr>
        <w:t>归黄河鑫业有限公司所有，揭榜方提供全套完整的源代码及技术设计方案。</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630" w:leftChars="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lang w:val="en-US" w:eastAsia="zh-CN"/>
        </w:rPr>
        <w:t>六、经费预算：</w:t>
      </w:r>
      <w:r>
        <w:rPr>
          <w:rFonts w:hint="eastAsia" w:ascii="仿宋_GB2312" w:hAnsi="仿宋_GB2312" w:eastAsia="仿宋_GB2312" w:cs="仿宋_GB2312"/>
          <w:b w:val="0"/>
          <w:bCs w:val="0"/>
          <w:color w:val="000000"/>
          <w:kern w:val="0"/>
          <w:sz w:val="32"/>
          <w:szCs w:val="32"/>
          <w:lang w:val="en-US" w:eastAsia="zh-CN"/>
        </w:rPr>
        <w:t>控制在</w:t>
      </w:r>
      <w:r>
        <w:rPr>
          <w:rFonts w:hint="eastAsia" w:ascii="仿宋_GB2312" w:hAnsi="仿宋_GB2312" w:eastAsia="仿宋_GB2312" w:cs="仿宋_GB2312"/>
          <w:b w:val="0"/>
          <w:bCs w:val="0"/>
          <w:color w:val="000000"/>
          <w:kern w:val="0"/>
          <w:sz w:val="32"/>
          <w:szCs w:val="32"/>
          <w:highlight w:val="none"/>
          <w:lang w:val="en-US" w:eastAsia="zh-CN"/>
        </w:rPr>
        <w:t>60</w:t>
      </w:r>
      <w:r>
        <w:rPr>
          <w:rFonts w:hint="eastAsia" w:ascii="仿宋_GB2312" w:hAnsi="仿宋_GB2312" w:eastAsia="仿宋_GB2312" w:cs="仿宋_GB2312"/>
          <w:b w:val="0"/>
          <w:bCs w:val="0"/>
          <w:color w:val="000000"/>
          <w:kern w:val="2"/>
          <w:sz w:val="32"/>
          <w:szCs w:val="32"/>
          <w:highlight w:val="none"/>
          <w:lang w:val="en-US" w:eastAsia="zh-CN" w:bidi="ar-SA"/>
        </w:rPr>
        <w:t>万元以内</w:t>
      </w:r>
      <w:r>
        <w:rPr>
          <w:rFonts w:hint="eastAsia" w:ascii="仿宋_GB2312" w:hAnsi="仿宋_GB2312" w:eastAsia="仿宋_GB2312" w:cs="仿宋_GB2312"/>
          <w:b w:val="0"/>
          <w:bCs w:val="0"/>
          <w:color w:val="000000"/>
          <w:kern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b/>
          <w:bCs/>
          <w:color w:val="000000"/>
          <w:kern w:val="0"/>
          <w:sz w:val="32"/>
          <w:szCs w:val="32"/>
          <w:lang w:val="en-US" w:eastAsia="zh-CN"/>
        </w:rPr>
        <w:t>七</w:t>
      </w:r>
      <w:r>
        <w:rPr>
          <w:rFonts w:hint="eastAsia" w:ascii="仿宋_GB2312" w:hAnsi="仿宋_GB2312" w:eastAsia="仿宋_GB2312" w:cs="仿宋_GB2312"/>
          <w:b/>
          <w:bCs/>
          <w:color w:val="000000"/>
          <w:kern w:val="0"/>
          <w:sz w:val="32"/>
          <w:szCs w:val="32"/>
        </w:rPr>
        <w:t>、研究周期：</w:t>
      </w:r>
      <w:r>
        <w:rPr>
          <w:rFonts w:hint="eastAsia" w:ascii="仿宋_GB2312" w:hAnsi="仿宋_GB2312" w:eastAsia="仿宋_GB2312" w:cs="仿宋_GB2312"/>
          <w:b w:val="0"/>
          <w:bCs w:val="0"/>
          <w:color w:val="000000"/>
          <w:kern w:val="0"/>
          <w:sz w:val="32"/>
          <w:szCs w:val="32"/>
        </w:rPr>
        <w:t>签订合同后-2023年1</w:t>
      </w: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月</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630" w:leftChars="0"/>
        <w:jc w:val="left"/>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八</w:t>
      </w:r>
      <w:r>
        <w:rPr>
          <w:rFonts w:hint="eastAsia" w:ascii="仿宋_GB2312" w:hAnsi="仿宋_GB2312" w:eastAsia="仿宋_GB2312" w:cs="仿宋_GB2312"/>
          <w:b/>
          <w:bCs/>
          <w:color w:val="000000"/>
          <w:kern w:val="0"/>
          <w:sz w:val="32"/>
          <w:szCs w:val="32"/>
        </w:rPr>
        <w:t>、项目联系人及电话：</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孙文虎 电话：17746645602</w:t>
      </w:r>
    </w:p>
    <w:p>
      <w:pPr>
        <w:spacing w:after="200" w:line="276" w:lineRule="auto"/>
        <w:rPr>
          <w:rFonts w:ascii="Calibri" w:hAnsi="Calibri" w:eastAsia="宋体" w:cs="Times New Roman"/>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pStyle w:val="7"/>
        <w:rPr>
          <w:rFonts w:hint="eastAsia" w:ascii="黑体" w:hAnsi="黑体" w:eastAsia="黑体" w:cs="黑体"/>
          <w:bCs/>
          <w:kern w:val="0"/>
          <w:sz w:val="32"/>
          <w:szCs w:val="32"/>
          <w:highlight w:val="none"/>
          <w:lang w:val="en-US" w:eastAsia="zh-CN" w:bidi="ar"/>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项目14：组件回收新型破碎玻璃组件回收工艺设备研制</w:t>
      </w:r>
    </w:p>
    <w:p>
      <w:pPr>
        <w:pStyle w:val="2"/>
        <w:numPr>
          <w:ilvl w:val="1"/>
          <w:numId w:val="0"/>
        </w:numPr>
        <w:ind w:left="1838" w:leftChars="0"/>
        <w:rPr>
          <w:rFonts w:hint="eastAsia"/>
          <w:lang w:val="en-US" w:eastAsia="zh-CN"/>
        </w:rPr>
      </w:pPr>
    </w:p>
    <w:p>
      <w:pPr>
        <w:pStyle w:val="2"/>
        <w:numPr>
          <w:ilvl w:val="0"/>
          <w:numId w:val="0"/>
        </w:numPr>
        <w:spacing w:line="360" w:lineRule="auto"/>
        <w:ind w:firstLine="640"/>
        <w:rPr>
          <w:rFonts w:ascii="仿宋_GB2312" w:hAnsi="仿宋_GB2312" w:eastAsia="仿宋_GB2312" w:cs="仿宋_GB2312"/>
          <w:b w:val="0"/>
          <w:szCs w:val="21"/>
        </w:rPr>
      </w:pPr>
      <w:r>
        <w:rPr>
          <w:rFonts w:hint="eastAsia" w:ascii="仿宋_GB2312" w:hAnsi="仿宋_GB2312" w:eastAsia="仿宋_GB2312" w:cs="仿宋_GB2312"/>
          <w:b/>
          <w:bCs/>
          <w:sz w:val="32"/>
          <w:szCs w:val="32"/>
        </w:rPr>
        <w:t>一、攻关难题和攻关内容：</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（一）攻关难题</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为补全光伏产业链增进可持续发展，国家电投集团布局组件回收线，用于进行退役晶硅光伏组件的无害化回收及处理。其中，组件回收破碎组件回收工艺主要针对玻璃组件进行回收处理，主要包括破碎玻璃分离设备、预破碎设备及筛分分选系统等三个工序。</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其中，破碎玻璃分离设备主要用于分离破碎组件层压件表面的部分玻璃，得到纯净玻璃产品及带有少量玻璃的EVA电池胶层；预破碎设备用于将玻璃分离后的EVA电池胶层进行裁切、撕碎，而后进入下道工序；分选系统用于对焊带、硅电池颗粒及玻璃三种物料的混合物进行分离分选，最终得到焊带、硅电池颗粒及玻璃等三种单独的回收产品。榜单主要攻关难题如下：</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hAnsi="仿宋_GB2312" w:eastAsia="仿宋_GB2312" w:cs="仿宋_GB2312"/>
          <w:b w:val="0"/>
          <w:sz w:val="32"/>
          <w:szCs w:val="32"/>
        </w:rPr>
        <w:t>、现有破碎玻璃分离设备运</w:t>
      </w:r>
      <w:r>
        <w:rPr>
          <w:rFonts w:ascii="仿宋_GB2312" w:hAnsi="仿宋_GB2312" w:eastAsia="仿宋_GB2312" w:cs="仿宋_GB2312"/>
          <w:b w:val="0"/>
          <w:sz w:val="32"/>
          <w:szCs w:val="32"/>
        </w:rPr>
        <w:t>行过程中，</w:t>
      </w:r>
      <w:r>
        <w:rPr>
          <w:rFonts w:hint="eastAsia" w:ascii="仿宋_GB2312" w:hAnsi="仿宋_GB2312" w:eastAsia="仿宋_GB2312" w:cs="仿宋_GB2312"/>
          <w:b w:val="0"/>
          <w:sz w:val="32"/>
          <w:szCs w:val="32"/>
        </w:rPr>
        <w:t>存在玻璃分离率低，分离过程粉尘大、损耗高，玻璃产品粉化率高等问题。现阶段，国内外破碎组件回收技术主要是整体粉碎后，分选粉末混合物，产品均为粉末状物料，分选难度较大、产品纯度低，无法通过直接采购设备的方式解决现存问题；</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现有预破碎设备</w:t>
      </w:r>
      <w:r>
        <w:rPr>
          <w:rFonts w:hint="eastAsia" w:ascii="仿宋_GB2312" w:hAnsi="仿宋_GB2312" w:eastAsia="仿宋_GB2312" w:cs="仿宋_GB2312"/>
          <w:b w:val="0"/>
          <w:sz w:val="32"/>
          <w:szCs w:val="32"/>
        </w:rPr>
        <w:t>在EVA电池胶层的处理过程中</w:t>
      </w:r>
      <w:r>
        <w:rPr>
          <w:rFonts w:ascii="仿宋_GB2312" w:hAnsi="仿宋_GB2312" w:eastAsia="仿宋_GB2312" w:cs="仿宋_GB2312"/>
          <w:b w:val="0"/>
          <w:sz w:val="32"/>
          <w:szCs w:val="32"/>
        </w:rPr>
        <w:t>，存在粉尘大、损耗高等问题。由于预破碎设备需根据</w:t>
      </w:r>
      <w:r>
        <w:rPr>
          <w:rFonts w:hint="eastAsia" w:ascii="仿宋_GB2312" w:hAnsi="仿宋_GB2312" w:eastAsia="仿宋_GB2312" w:cs="仿宋_GB2312"/>
          <w:b w:val="0"/>
          <w:sz w:val="32"/>
          <w:szCs w:val="32"/>
        </w:rPr>
        <w:t>玻璃分离设备出料状态确定最佳破碎方式及工艺参数，需与新型破碎玻璃分离设备共同研制；</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3</w:t>
      </w:r>
      <w:r>
        <w:rPr>
          <w:rFonts w:hint="eastAsia" w:ascii="仿宋_GB2312" w:hAnsi="仿宋_GB2312" w:eastAsia="仿宋_GB2312" w:cs="仿宋_GB2312"/>
          <w:b w:val="0"/>
          <w:sz w:val="32"/>
          <w:szCs w:val="32"/>
        </w:rPr>
        <w:t>、现有分选设备在运行过程中存在产品分选效果差、产能较低与前端工序不匹配等问题，</w:t>
      </w:r>
      <w:r>
        <w:rPr>
          <w:rFonts w:ascii="仿宋_GB2312" w:hAnsi="仿宋_GB2312" w:eastAsia="仿宋_GB2312" w:cs="仿宋_GB2312"/>
          <w:b w:val="0"/>
          <w:sz w:val="32"/>
          <w:szCs w:val="32"/>
        </w:rPr>
        <w:t>需</w:t>
      </w:r>
      <w:r>
        <w:rPr>
          <w:rFonts w:hint="eastAsia" w:ascii="仿宋_GB2312" w:hAnsi="仿宋_GB2312" w:eastAsia="仿宋_GB2312" w:cs="仿宋_GB2312"/>
          <w:b w:val="0"/>
          <w:sz w:val="32"/>
          <w:szCs w:val="32"/>
        </w:rPr>
        <w:t>根据</w:t>
      </w:r>
      <w:r>
        <w:rPr>
          <w:rFonts w:ascii="仿宋_GB2312" w:hAnsi="仿宋_GB2312" w:eastAsia="仿宋_GB2312" w:cs="仿宋_GB2312"/>
          <w:b w:val="0"/>
          <w:sz w:val="32"/>
          <w:szCs w:val="32"/>
        </w:rPr>
        <w:t>前端工序出料</w:t>
      </w:r>
      <w:r>
        <w:rPr>
          <w:rFonts w:hint="eastAsia" w:ascii="仿宋_GB2312" w:hAnsi="仿宋_GB2312" w:eastAsia="仿宋_GB2312" w:cs="仿宋_GB2312"/>
          <w:b w:val="0"/>
          <w:sz w:val="32"/>
          <w:szCs w:val="32"/>
        </w:rPr>
        <w:t>情况进行配套研制。</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（二）攻关内容</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1、新型破碎玻璃分离设备研制，通过开展分离方式的技术调研及玻璃分离实验验证，确定工艺技术及设备方案，并完成设备的设计、制造、安装、调试及试运行，最终实现玻璃分离率达7</w:t>
      </w:r>
      <w:r>
        <w:rPr>
          <w:rFonts w:ascii="仿宋_GB2312" w:hAnsi="仿宋_GB2312" w:eastAsia="仿宋_GB2312" w:cs="仿宋_GB2312"/>
          <w:b w:val="0"/>
          <w:sz w:val="32"/>
          <w:szCs w:val="32"/>
        </w:rPr>
        <w:t>0%</w:t>
      </w:r>
      <w:r>
        <w:rPr>
          <w:rFonts w:hint="eastAsia" w:ascii="仿宋_GB2312" w:hAnsi="仿宋_GB2312" w:eastAsia="仿宋_GB2312" w:cs="仿宋_GB2312"/>
          <w:b w:val="0"/>
          <w:sz w:val="32"/>
          <w:szCs w:val="32"/>
        </w:rPr>
        <w:t>以上；</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w:t>
      </w:r>
      <w:r>
        <w:rPr>
          <w:rFonts w:ascii="仿宋_GB2312" w:hAnsi="仿宋_GB2312" w:eastAsia="仿宋_GB2312" w:cs="仿宋_GB2312"/>
          <w:b w:val="0"/>
          <w:sz w:val="32"/>
          <w:szCs w:val="32"/>
        </w:rPr>
        <w:t>预破碎设备研制</w:t>
      </w:r>
      <w:r>
        <w:rPr>
          <w:rFonts w:hint="eastAsia" w:ascii="仿宋_GB2312" w:hAnsi="仿宋_GB2312" w:eastAsia="仿宋_GB2312" w:cs="仿宋_GB2312"/>
          <w:b w:val="0"/>
          <w:sz w:val="32"/>
          <w:szCs w:val="32"/>
        </w:rPr>
        <w:t>，根据新型破碎玻璃分离设备出料情况，进行EVA胶层撕碎技术调研及撕碎原理实验验证，确定工艺技术及设备方案并完成设备的设计、制造、安装、调试及试运行工作，最终实现EVA胶层的预破碎；</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3</w:t>
      </w:r>
      <w:r>
        <w:rPr>
          <w:rFonts w:hint="eastAsia" w:ascii="仿宋_GB2312" w:hAnsi="仿宋_GB2312" w:eastAsia="仿宋_GB2312" w:cs="仿宋_GB2312"/>
          <w:b w:val="0"/>
          <w:sz w:val="32"/>
          <w:szCs w:val="32"/>
        </w:rPr>
        <w:t>、分选系统研制，根据前序工艺及热分解出料情况，通过开展混合物料分选技术调研及分选工艺实验验证，确定分选系统工艺技术方案并完成设备的设计、制造、安装、调试及试运行工作，最终提升分选系统分选效果，并且实现产能匹配。</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二、攻关后希望达到的预期目标、技术指标、预期成果：</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 xml:space="preserve">（一）预期目标： </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1、完成新型破碎玻璃分离设备、预破碎设备及筛分分选系统等3台</w:t>
      </w:r>
      <w:r>
        <w:rPr>
          <w:rFonts w:ascii="仿宋_GB2312" w:hAnsi="仿宋_GB2312" w:eastAsia="仿宋_GB2312" w:cs="仿宋_GB2312"/>
          <w:b w:val="0"/>
          <w:sz w:val="32"/>
          <w:szCs w:val="32"/>
        </w:rPr>
        <w:t>/</w:t>
      </w:r>
      <w:r>
        <w:rPr>
          <w:rFonts w:hint="eastAsia" w:ascii="仿宋_GB2312" w:hAnsi="仿宋_GB2312" w:eastAsia="仿宋_GB2312" w:cs="仿宋_GB2312"/>
          <w:b w:val="0"/>
          <w:sz w:val="32"/>
          <w:szCs w:val="32"/>
        </w:rPr>
        <w:t>套设备的方案设计、加工制造、安装调试及试运行测试；</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、研制的新型破碎玻璃分离设备可兼容6</w:t>
      </w:r>
      <w:r>
        <w:rPr>
          <w:rFonts w:ascii="仿宋_GB2312" w:hAnsi="仿宋_GB2312" w:eastAsia="仿宋_GB2312" w:cs="仿宋_GB2312"/>
          <w:b w:val="0"/>
          <w:sz w:val="32"/>
          <w:szCs w:val="32"/>
        </w:rPr>
        <w:t>0</w:t>
      </w:r>
      <w:r>
        <w:rPr>
          <w:rFonts w:hint="eastAsia" w:ascii="仿宋_GB2312" w:hAnsi="仿宋_GB2312" w:eastAsia="仿宋_GB2312" w:cs="仿宋_GB2312"/>
          <w:b w:val="0"/>
          <w:sz w:val="32"/>
          <w:szCs w:val="32"/>
        </w:rPr>
        <w:t>片、7</w:t>
      </w:r>
      <w:r>
        <w:rPr>
          <w:rFonts w:ascii="仿宋_GB2312" w:hAnsi="仿宋_GB2312" w:eastAsia="仿宋_GB2312" w:cs="仿宋_GB2312"/>
          <w:b w:val="0"/>
          <w:sz w:val="32"/>
          <w:szCs w:val="32"/>
        </w:rPr>
        <w:t>2</w:t>
      </w:r>
      <w:r>
        <w:rPr>
          <w:rFonts w:hint="eastAsia" w:ascii="仿宋_GB2312" w:hAnsi="仿宋_GB2312" w:eastAsia="仿宋_GB2312" w:cs="仿宋_GB2312"/>
          <w:b w:val="0"/>
          <w:sz w:val="32"/>
          <w:szCs w:val="32"/>
        </w:rPr>
        <w:t>片、7</w:t>
      </w:r>
      <w:r>
        <w:rPr>
          <w:rFonts w:ascii="仿宋_GB2312" w:hAnsi="仿宋_GB2312" w:eastAsia="仿宋_GB2312" w:cs="仿宋_GB2312"/>
          <w:b w:val="0"/>
          <w:sz w:val="32"/>
          <w:szCs w:val="32"/>
        </w:rPr>
        <w:t>8</w:t>
      </w:r>
      <w:r>
        <w:rPr>
          <w:rFonts w:hint="eastAsia" w:ascii="仿宋_GB2312" w:hAnsi="仿宋_GB2312" w:eastAsia="仿宋_GB2312" w:cs="仿宋_GB2312"/>
          <w:b w:val="0"/>
          <w:sz w:val="32"/>
          <w:szCs w:val="32"/>
        </w:rPr>
        <w:t>片电池等不同规格晶硅光伏组件的玻璃分离，能够分离破碎组件层压件中7</w:t>
      </w:r>
      <w:r>
        <w:rPr>
          <w:rFonts w:ascii="仿宋_GB2312" w:hAnsi="仿宋_GB2312" w:eastAsia="仿宋_GB2312" w:cs="仿宋_GB2312"/>
          <w:b w:val="0"/>
          <w:sz w:val="32"/>
          <w:szCs w:val="32"/>
        </w:rPr>
        <w:t>0%</w:t>
      </w:r>
      <w:r>
        <w:rPr>
          <w:rFonts w:hint="eastAsia" w:ascii="仿宋_GB2312" w:hAnsi="仿宋_GB2312" w:eastAsia="仿宋_GB2312" w:cs="仿宋_GB2312"/>
          <w:b w:val="0"/>
          <w:sz w:val="32"/>
          <w:szCs w:val="32"/>
        </w:rPr>
        <w:t>以上的玻璃，得到的纯净玻璃产品，无杂质混合；</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3、研制的预破碎设备能够实现不同规格破碎组件玻璃分离后EVA电池胶层的裁切、破碎，破碎后的物料尺寸在</w:t>
      </w:r>
      <w:r>
        <w:rPr>
          <w:rFonts w:ascii="仿宋_GB2312" w:hAnsi="仿宋_GB2312" w:eastAsia="仿宋_GB2312" w:cs="仿宋_GB2312"/>
          <w:b w:val="0"/>
          <w:sz w:val="32"/>
          <w:szCs w:val="32"/>
        </w:rPr>
        <w:t>50-200mm</w:t>
      </w:r>
      <w:r>
        <w:rPr>
          <w:rFonts w:hint="eastAsia" w:ascii="仿宋_GB2312" w:hAnsi="仿宋_GB2312" w:eastAsia="仿宋_GB2312" w:cs="仿宋_GB2312"/>
          <w:b w:val="0"/>
          <w:sz w:val="32"/>
          <w:szCs w:val="32"/>
        </w:rPr>
        <w:t>范围内可调，满足热分解设备进料要求，且过程损耗（损耗率</w:t>
      </w:r>
      <w:r>
        <w:rPr>
          <w:rFonts w:hint="eastAsia" w:eastAsia="仿宋_GB2312"/>
          <w:b w:val="0"/>
          <w:sz w:val="28"/>
          <w:szCs w:val="36"/>
        </w:rPr>
        <w:t>≤0</w:t>
      </w:r>
      <w:r>
        <w:rPr>
          <w:rFonts w:eastAsia="仿宋_GB2312"/>
          <w:b w:val="0"/>
          <w:sz w:val="28"/>
          <w:szCs w:val="36"/>
        </w:rPr>
        <w:t>.2%</w:t>
      </w:r>
      <w:r>
        <w:rPr>
          <w:rFonts w:hint="eastAsia" w:ascii="仿宋_GB2312" w:hAnsi="仿宋_GB2312" w:eastAsia="仿宋_GB2312" w:cs="仿宋_GB2312"/>
          <w:b w:val="0"/>
          <w:sz w:val="32"/>
          <w:szCs w:val="32"/>
        </w:rPr>
        <w:t>）及玻璃粉化率</w:t>
      </w:r>
      <w:r>
        <w:rPr>
          <w:rFonts w:hint="eastAsia" w:eastAsia="仿宋_GB2312"/>
          <w:b w:val="0"/>
          <w:sz w:val="28"/>
          <w:szCs w:val="36"/>
        </w:rPr>
        <w:t>（1</w:t>
      </w:r>
      <w:r>
        <w:rPr>
          <w:rFonts w:eastAsia="仿宋_GB2312"/>
          <w:b w:val="0"/>
          <w:sz w:val="28"/>
          <w:szCs w:val="36"/>
        </w:rPr>
        <w:t>mm</w:t>
      </w:r>
      <w:r>
        <w:rPr>
          <w:rFonts w:hint="eastAsia" w:eastAsia="仿宋_GB2312"/>
          <w:b w:val="0"/>
          <w:sz w:val="28"/>
          <w:szCs w:val="36"/>
        </w:rPr>
        <w:t>以下）≤</w:t>
      </w:r>
      <w:r>
        <w:rPr>
          <w:rFonts w:eastAsia="仿宋_GB2312"/>
          <w:b w:val="0"/>
          <w:sz w:val="28"/>
          <w:szCs w:val="36"/>
        </w:rPr>
        <w:t>1%</w:t>
      </w:r>
      <w:r>
        <w:rPr>
          <w:rFonts w:hint="eastAsia" w:ascii="仿宋_GB2312" w:hAnsi="仿宋_GB2312" w:eastAsia="仿宋_GB2312" w:cs="仿宋_GB2312"/>
          <w:b w:val="0"/>
          <w:sz w:val="32"/>
          <w:szCs w:val="32"/>
        </w:rPr>
        <w:t>；</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4</w:t>
      </w:r>
      <w:r>
        <w:rPr>
          <w:rFonts w:hint="eastAsia" w:ascii="仿宋_GB2312" w:hAnsi="仿宋_GB2312" w:eastAsia="仿宋_GB2312" w:cs="仿宋_GB2312"/>
          <w:b w:val="0"/>
          <w:sz w:val="32"/>
          <w:szCs w:val="32"/>
        </w:rPr>
        <w:t>、研制的新型分选系统通过配合现有筛分分选系统，能够实现热分解后混合物料中焊带、硅电池颗粒及玻璃的完全分离，得到高纯度的焊带、玻璃及硅电池颗粒产品，产品纯度≥9</w:t>
      </w:r>
      <w:r>
        <w:rPr>
          <w:rFonts w:ascii="仿宋_GB2312" w:hAnsi="仿宋_GB2312" w:eastAsia="仿宋_GB2312" w:cs="仿宋_GB2312"/>
          <w:b w:val="0"/>
          <w:sz w:val="32"/>
          <w:szCs w:val="32"/>
        </w:rPr>
        <w:t>8%</w:t>
      </w:r>
      <w:r>
        <w:rPr>
          <w:rFonts w:hint="eastAsia" w:ascii="仿宋_GB2312" w:hAnsi="仿宋_GB2312" w:eastAsia="仿宋_GB2312" w:cs="仿宋_GB2312"/>
          <w:b w:val="0"/>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5、通过新型破碎玻璃分离设备、预破碎设备及分选系统的研制，完成5项发明专利的申报。</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（二）技术指标：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bookmarkStart w:id="17" w:name="_Hlk124776010"/>
            <w:r>
              <w:rPr>
                <w:rFonts w:ascii="Times New Roman" w:hAnsi="Times New Roman" w:eastAsia="仿宋_GB2312"/>
                <w:sz w:val="28"/>
                <w:szCs w:val="36"/>
              </w:rPr>
              <w:t>序号</w:t>
            </w:r>
          </w:p>
        </w:tc>
        <w:tc>
          <w:tcPr>
            <w:tcW w:w="1164"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工艺/设备名称</w:t>
            </w:r>
          </w:p>
        </w:tc>
        <w:tc>
          <w:tcPr>
            <w:tcW w:w="3273"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1</w:t>
            </w:r>
          </w:p>
        </w:tc>
        <w:tc>
          <w:tcPr>
            <w:tcW w:w="1164"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新型破碎玻璃分离设备</w:t>
            </w:r>
          </w:p>
        </w:tc>
        <w:tc>
          <w:tcPr>
            <w:tcW w:w="3273" w:type="pct"/>
            <w:noWrap w:val="0"/>
            <w:vAlign w:val="center"/>
          </w:tcPr>
          <w:p>
            <w:pPr>
              <w:pStyle w:val="5"/>
              <w:snapToGrid w:val="0"/>
              <w:spacing w:after="0" w:line="240" w:lineRule="auto"/>
              <w:ind w:firstLine="0" w:firstLineChars="0"/>
              <w:rPr>
                <w:rFonts w:ascii="Times New Roman" w:hAnsi="Times New Roman" w:eastAsia="仿宋_GB2312"/>
                <w:sz w:val="28"/>
                <w:szCs w:val="36"/>
              </w:rPr>
            </w:pPr>
            <w:r>
              <w:rPr>
                <w:rFonts w:ascii="Times New Roman" w:hAnsi="Times New Roman" w:eastAsia="仿宋_GB2312"/>
                <w:sz w:val="28"/>
                <w:szCs w:val="36"/>
              </w:rPr>
              <w:t>（1）玻璃分离率≥7</w:t>
            </w:r>
            <w:r>
              <w:rPr>
                <w:rFonts w:hint="default" w:ascii="Times New Roman" w:hAnsi="Times New Roman" w:eastAsia="仿宋_GB2312"/>
                <w:sz w:val="28"/>
                <w:szCs w:val="36"/>
              </w:rPr>
              <w:t>0%</w:t>
            </w:r>
            <w:r>
              <w:rPr>
                <w:rFonts w:ascii="Times New Roman" w:hAnsi="Times New Roman" w:eastAsia="仿宋_GB2312"/>
                <w:sz w:val="28"/>
                <w:szCs w:val="36"/>
              </w:rPr>
              <w:t>；</w:t>
            </w:r>
          </w:p>
          <w:p>
            <w:pPr>
              <w:adjustRightInd w:val="0"/>
              <w:snapToGrid w:val="0"/>
              <w:spacing w:after="0" w:line="240" w:lineRule="auto"/>
              <w:rPr>
                <w:rFonts w:ascii="Times New Roman" w:hAnsi="Times New Roman" w:eastAsia="仿宋_GB2312"/>
                <w:sz w:val="28"/>
                <w:szCs w:val="36"/>
              </w:rPr>
            </w:pPr>
            <w:r>
              <w:rPr>
                <w:rFonts w:hint="eastAsia" w:ascii="Times New Roman" w:hAnsi="Times New Roman" w:eastAsia="仿宋_GB2312"/>
                <w:sz w:val="28"/>
                <w:szCs w:val="36"/>
              </w:rPr>
              <w:t>（2）玻璃粉化率（</w:t>
            </w:r>
            <w:r>
              <w:rPr>
                <w:rFonts w:ascii="Times New Roman" w:hAnsi="Times New Roman" w:eastAsia="仿宋_GB2312"/>
                <w:sz w:val="28"/>
                <w:szCs w:val="36"/>
              </w:rPr>
              <w:t>0.15mm</w:t>
            </w:r>
            <w:r>
              <w:rPr>
                <w:rFonts w:hint="eastAsia" w:ascii="Times New Roman" w:hAnsi="Times New Roman" w:eastAsia="仿宋_GB2312"/>
                <w:sz w:val="28"/>
                <w:szCs w:val="36"/>
              </w:rPr>
              <w:t>以下）≤1</w:t>
            </w:r>
            <w:r>
              <w:rPr>
                <w:rFonts w:ascii="Times New Roman" w:hAnsi="Times New Roman" w:eastAsia="仿宋_GB2312"/>
                <w:sz w:val="28"/>
                <w:szCs w:val="36"/>
              </w:rPr>
              <w:t>%</w:t>
            </w:r>
            <w:r>
              <w:rPr>
                <w:rFonts w:hint="eastAsia" w:ascii="Times New Roman" w:hAnsi="Times New Roman" w:eastAsia="仿宋_GB2312"/>
                <w:sz w:val="28"/>
                <w:szCs w:val="36"/>
              </w:rPr>
              <w:t>；</w:t>
            </w:r>
          </w:p>
          <w:p>
            <w:pPr>
              <w:pStyle w:val="2"/>
              <w:numPr>
                <w:ilvl w:val="0"/>
                <w:numId w:val="0"/>
              </w:numPr>
              <w:adjustRightInd w:val="0"/>
              <w:snapToGrid w:val="0"/>
              <w:rPr>
                <w:rFonts w:eastAsia="仿宋_GB2312"/>
                <w:b w:val="0"/>
                <w:sz w:val="28"/>
                <w:szCs w:val="36"/>
              </w:rPr>
            </w:pPr>
            <w:r>
              <w:rPr>
                <w:rFonts w:hint="eastAsia" w:eastAsia="仿宋_GB2312"/>
                <w:b w:val="0"/>
                <w:sz w:val="28"/>
                <w:szCs w:val="36"/>
              </w:rPr>
              <w:t>（3）工序损耗率≤0</w:t>
            </w:r>
            <w:r>
              <w:rPr>
                <w:rFonts w:eastAsia="仿宋_GB2312"/>
                <w:b w:val="0"/>
                <w:sz w:val="28"/>
                <w:szCs w:val="36"/>
              </w:rPr>
              <w:t>.5%</w:t>
            </w:r>
            <w:r>
              <w:rPr>
                <w:rFonts w:hint="eastAsia" w:eastAsia="仿宋_GB2312"/>
                <w:b w:val="0"/>
                <w:sz w:val="28"/>
                <w:szCs w:val="36"/>
              </w:rPr>
              <w:t>；</w:t>
            </w:r>
          </w:p>
          <w:p>
            <w:pPr>
              <w:pStyle w:val="5"/>
              <w:snapToGrid w:val="0"/>
              <w:spacing w:after="0" w:line="240" w:lineRule="auto"/>
              <w:ind w:firstLine="0" w:firstLineChars="0"/>
              <w:rPr>
                <w:rFonts w:hint="default" w:ascii="Times New Roman" w:hAnsi="Times New Roman" w:eastAsia="仿宋_GB2312"/>
                <w:sz w:val="28"/>
                <w:szCs w:val="36"/>
              </w:rPr>
            </w:pPr>
            <w:r>
              <w:rPr>
                <w:rFonts w:ascii="Times New Roman" w:hAnsi="Times New Roman" w:eastAsia="仿宋_GB2312"/>
                <w:sz w:val="28"/>
                <w:szCs w:val="36"/>
              </w:rPr>
              <w:t>（4）分离后玻璃中无焊带及EVA电池胶层；</w:t>
            </w:r>
          </w:p>
          <w:p>
            <w:pPr>
              <w:pStyle w:val="5"/>
              <w:snapToGrid w:val="0"/>
              <w:spacing w:after="0" w:line="240" w:lineRule="auto"/>
              <w:ind w:firstLine="0" w:firstLineChars="0"/>
              <w:rPr>
                <w:rFonts w:ascii="Times New Roman" w:hAnsi="Times New Roman" w:eastAsia="仿宋_GB2312"/>
                <w:sz w:val="28"/>
                <w:szCs w:val="36"/>
              </w:rPr>
            </w:pPr>
            <w:r>
              <w:rPr>
                <w:rFonts w:ascii="Times New Roman" w:hAnsi="Times New Roman" w:eastAsia="仿宋_GB2312"/>
                <w:sz w:val="28"/>
                <w:szCs w:val="36"/>
              </w:rPr>
              <w:t>（5）设备分离过程中，应避免铁元素进入玻璃产品，玻璃产品含铁量≤0.013%；</w:t>
            </w:r>
          </w:p>
          <w:p>
            <w:pPr>
              <w:pStyle w:val="5"/>
              <w:snapToGrid w:val="0"/>
              <w:spacing w:after="0" w:line="240" w:lineRule="auto"/>
              <w:ind w:firstLine="0" w:firstLineChars="0"/>
              <w:rPr>
                <w:rFonts w:ascii="Times New Roman" w:hAnsi="Times New Roman" w:eastAsia="仿宋_GB2312"/>
                <w:sz w:val="28"/>
                <w:szCs w:val="36"/>
              </w:rPr>
            </w:pPr>
            <w:r>
              <w:rPr>
                <w:rFonts w:ascii="Times New Roman" w:hAnsi="Times New Roman" w:eastAsia="仿宋_GB2312"/>
                <w:sz w:val="28"/>
                <w:szCs w:val="36"/>
              </w:rPr>
              <w:t>（6）设备处理能力≥30块/h；</w:t>
            </w:r>
          </w:p>
          <w:p>
            <w:pPr>
              <w:pStyle w:val="5"/>
              <w:snapToGrid w:val="0"/>
              <w:spacing w:after="0" w:line="240" w:lineRule="auto"/>
              <w:ind w:firstLine="0" w:firstLineChars="0"/>
            </w:pPr>
            <w:r>
              <w:rPr>
                <w:rFonts w:ascii="Times New Roman" w:hAnsi="Times New Roman" w:eastAsia="仿宋_GB2312"/>
                <w:sz w:val="28"/>
                <w:szCs w:val="36"/>
              </w:rPr>
              <w:t>（7）新研发设备尺寸≤3</w:t>
            </w:r>
            <w:r>
              <w:rPr>
                <w:rFonts w:hint="default" w:ascii="Times New Roman" w:hAnsi="Times New Roman" w:eastAsia="仿宋_GB2312"/>
                <w:sz w:val="28"/>
                <w:szCs w:val="36"/>
              </w:rPr>
              <w:t>100mm×2600mm</w:t>
            </w:r>
            <w:r>
              <w:rPr>
                <w:rFonts w:ascii="Times New Roman" w:hAnsi="Times New Roman" w:eastAsia="仿宋_GB2312"/>
                <w:sz w:val="28"/>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2</w:t>
            </w:r>
          </w:p>
        </w:tc>
        <w:tc>
          <w:tcPr>
            <w:tcW w:w="1164"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预破碎设备</w:t>
            </w:r>
          </w:p>
        </w:tc>
        <w:tc>
          <w:tcPr>
            <w:tcW w:w="3273" w:type="pct"/>
            <w:noWrap w:val="0"/>
            <w:vAlign w:val="center"/>
          </w:tcPr>
          <w:p>
            <w:pPr>
              <w:pStyle w:val="5"/>
              <w:snapToGrid w:val="0"/>
              <w:spacing w:after="0" w:line="240" w:lineRule="auto"/>
              <w:ind w:firstLine="0" w:firstLineChars="0"/>
              <w:rPr>
                <w:rFonts w:hint="default" w:ascii="Times New Roman" w:hAnsi="Times New Roman" w:eastAsia="仿宋_GB2312"/>
                <w:sz w:val="28"/>
                <w:szCs w:val="36"/>
              </w:rPr>
            </w:pPr>
            <w:r>
              <w:rPr>
                <w:rFonts w:ascii="Times New Roman" w:hAnsi="Times New Roman" w:eastAsia="仿宋_GB2312"/>
                <w:sz w:val="28"/>
                <w:szCs w:val="36"/>
              </w:rPr>
              <w:t>（1）预破碎物料尺寸5</w:t>
            </w:r>
            <w:r>
              <w:rPr>
                <w:rFonts w:hint="default" w:ascii="Times New Roman" w:hAnsi="Times New Roman" w:eastAsia="仿宋_GB2312"/>
                <w:sz w:val="28"/>
                <w:szCs w:val="36"/>
              </w:rPr>
              <w:t>0~200mm</w:t>
            </w:r>
            <w:r>
              <w:rPr>
                <w:rFonts w:ascii="Times New Roman" w:hAnsi="Times New Roman" w:eastAsia="仿宋_GB2312"/>
                <w:sz w:val="28"/>
                <w:szCs w:val="36"/>
              </w:rPr>
              <w:t>可调；</w:t>
            </w:r>
          </w:p>
          <w:p>
            <w:pPr>
              <w:pStyle w:val="2"/>
              <w:numPr>
                <w:ilvl w:val="0"/>
                <w:numId w:val="0"/>
              </w:numPr>
              <w:adjustRightInd w:val="0"/>
              <w:snapToGrid w:val="0"/>
              <w:rPr>
                <w:rFonts w:eastAsia="仿宋_GB2312"/>
                <w:b w:val="0"/>
                <w:sz w:val="28"/>
                <w:szCs w:val="36"/>
              </w:rPr>
            </w:pPr>
            <w:r>
              <w:rPr>
                <w:rFonts w:hint="eastAsia" w:eastAsia="仿宋_GB2312"/>
                <w:sz w:val="28"/>
                <w:szCs w:val="36"/>
              </w:rPr>
              <w:t>（</w:t>
            </w:r>
            <w:r>
              <w:rPr>
                <w:rFonts w:hint="eastAsia" w:eastAsia="仿宋_GB2312"/>
                <w:b w:val="0"/>
                <w:sz w:val="28"/>
                <w:szCs w:val="36"/>
              </w:rPr>
              <w:t>2）玻璃粉化率（1</w:t>
            </w:r>
            <w:r>
              <w:rPr>
                <w:rFonts w:eastAsia="仿宋_GB2312"/>
                <w:b w:val="0"/>
                <w:sz w:val="28"/>
                <w:szCs w:val="36"/>
              </w:rPr>
              <w:t>mm</w:t>
            </w:r>
            <w:r>
              <w:rPr>
                <w:rFonts w:hint="eastAsia" w:eastAsia="仿宋_GB2312"/>
                <w:b w:val="0"/>
                <w:sz w:val="28"/>
                <w:szCs w:val="36"/>
              </w:rPr>
              <w:t>以下）≤</w:t>
            </w:r>
            <w:r>
              <w:rPr>
                <w:rFonts w:eastAsia="仿宋_GB2312"/>
                <w:b w:val="0"/>
                <w:sz w:val="28"/>
                <w:szCs w:val="36"/>
              </w:rPr>
              <w:t>1%</w:t>
            </w:r>
            <w:r>
              <w:rPr>
                <w:rFonts w:hint="eastAsia" w:eastAsia="仿宋_GB2312"/>
                <w:b w:val="0"/>
                <w:sz w:val="28"/>
                <w:szCs w:val="36"/>
              </w:rPr>
              <w:t>；</w:t>
            </w:r>
          </w:p>
          <w:p>
            <w:pPr>
              <w:pStyle w:val="2"/>
              <w:numPr>
                <w:ilvl w:val="0"/>
                <w:numId w:val="0"/>
              </w:numPr>
              <w:adjustRightInd w:val="0"/>
              <w:snapToGrid w:val="0"/>
              <w:rPr>
                <w:rFonts w:eastAsia="仿宋_GB2312"/>
                <w:b w:val="0"/>
                <w:sz w:val="28"/>
                <w:szCs w:val="36"/>
              </w:rPr>
            </w:pPr>
            <w:r>
              <w:rPr>
                <w:rFonts w:hint="eastAsia" w:eastAsia="仿宋_GB2312"/>
                <w:b w:val="0"/>
                <w:sz w:val="28"/>
                <w:szCs w:val="36"/>
              </w:rPr>
              <w:t>（3）工序损耗率≤0</w:t>
            </w:r>
            <w:r>
              <w:rPr>
                <w:rFonts w:eastAsia="仿宋_GB2312"/>
                <w:b w:val="0"/>
                <w:sz w:val="28"/>
                <w:szCs w:val="36"/>
              </w:rPr>
              <w:t>.2%</w:t>
            </w:r>
            <w:r>
              <w:rPr>
                <w:rFonts w:hint="eastAsia" w:eastAsia="仿宋_GB2312"/>
                <w:b w:val="0"/>
                <w:sz w:val="28"/>
                <w:szCs w:val="36"/>
              </w:rPr>
              <w:t>；</w:t>
            </w:r>
          </w:p>
          <w:p>
            <w:pPr>
              <w:pStyle w:val="2"/>
              <w:numPr>
                <w:ilvl w:val="0"/>
                <w:numId w:val="0"/>
              </w:numPr>
              <w:adjustRightInd w:val="0"/>
              <w:snapToGrid w:val="0"/>
              <w:rPr>
                <w:rFonts w:hint="eastAsia" w:eastAsia="仿宋_GB2312"/>
                <w:b w:val="0"/>
                <w:sz w:val="28"/>
                <w:szCs w:val="36"/>
              </w:rPr>
            </w:pPr>
            <w:r>
              <w:rPr>
                <w:rFonts w:eastAsia="仿宋_GB2312"/>
                <w:b w:val="0"/>
                <w:sz w:val="28"/>
                <w:szCs w:val="36"/>
              </w:rPr>
              <w:t>（4）设备破碎过程中，</w:t>
            </w:r>
            <w:r>
              <w:rPr>
                <w:rFonts w:hint="eastAsia" w:eastAsia="仿宋_GB2312"/>
                <w:b w:val="0"/>
                <w:sz w:val="28"/>
                <w:szCs w:val="36"/>
              </w:rPr>
              <w:t>应避免铁元素进入玻璃产品，玻璃产品含铁量≤0.013%；</w:t>
            </w:r>
          </w:p>
          <w:p>
            <w:pPr>
              <w:pStyle w:val="2"/>
              <w:numPr>
                <w:ilvl w:val="0"/>
                <w:numId w:val="0"/>
              </w:numPr>
              <w:adjustRightInd w:val="0"/>
              <w:snapToGrid w:val="0"/>
              <w:rPr>
                <w:rFonts w:eastAsia="仿宋_GB2312"/>
                <w:b w:val="0"/>
                <w:sz w:val="28"/>
                <w:szCs w:val="36"/>
              </w:rPr>
            </w:pPr>
            <w:r>
              <w:rPr>
                <w:rFonts w:eastAsia="仿宋_GB2312"/>
                <w:b w:val="0"/>
                <w:sz w:val="28"/>
                <w:szCs w:val="36"/>
              </w:rPr>
              <w:t>（5）设备处理能力≥30块/h；</w:t>
            </w:r>
          </w:p>
          <w:p>
            <w:pPr>
              <w:pStyle w:val="2"/>
              <w:numPr>
                <w:ilvl w:val="0"/>
                <w:numId w:val="0"/>
              </w:numPr>
              <w:adjustRightInd w:val="0"/>
              <w:snapToGrid w:val="0"/>
              <w:rPr>
                <w:rFonts w:hint="eastAsia"/>
              </w:rPr>
            </w:pPr>
            <w:r>
              <w:rPr>
                <w:rFonts w:hint="eastAsia" w:eastAsia="仿宋_GB2312"/>
                <w:b w:val="0"/>
                <w:sz w:val="28"/>
                <w:szCs w:val="36"/>
              </w:rPr>
              <w:t>（</w:t>
            </w:r>
            <w:r>
              <w:rPr>
                <w:rFonts w:eastAsia="仿宋_GB2312"/>
                <w:b w:val="0"/>
                <w:sz w:val="28"/>
                <w:szCs w:val="36"/>
              </w:rPr>
              <w:t>6</w:t>
            </w:r>
            <w:r>
              <w:rPr>
                <w:rFonts w:hint="eastAsia" w:eastAsia="仿宋_GB2312"/>
                <w:b w:val="0"/>
                <w:sz w:val="28"/>
                <w:szCs w:val="36"/>
              </w:rPr>
              <w:t>）设备尺寸≤4</w:t>
            </w:r>
            <w:r>
              <w:rPr>
                <w:rFonts w:eastAsia="仿宋_GB2312"/>
                <w:b w:val="0"/>
                <w:sz w:val="28"/>
                <w:szCs w:val="36"/>
              </w:rPr>
              <w:t>000mm×4000mm</w:t>
            </w:r>
            <w:r>
              <w:rPr>
                <w:rFonts w:hint="eastAsia" w:eastAsia="仿宋_GB2312"/>
                <w:b w:val="0"/>
                <w:sz w:val="28"/>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3</w:t>
            </w:r>
          </w:p>
        </w:tc>
        <w:tc>
          <w:tcPr>
            <w:tcW w:w="1164" w:type="pct"/>
            <w:noWrap w:val="0"/>
            <w:vAlign w:val="center"/>
          </w:tcPr>
          <w:p>
            <w:pPr>
              <w:pStyle w:val="5"/>
              <w:snapToGrid w:val="0"/>
              <w:spacing w:after="0" w:line="240" w:lineRule="auto"/>
              <w:ind w:firstLine="0" w:firstLineChars="0"/>
              <w:jc w:val="center"/>
              <w:rPr>
                <w:rFonts w:ascii="Times New Roman" w:hAnsi="Times New Roman" w:eastAsia="仿宋_GB2312"/>
                <w:sz w:val="28"/>
                <w:szCs w:val="36"/>
              </w:rPr>
            </w:pPr>
            <w:r>
              <w:rPr>
                <w:rFonts w:ascii="Times New Roman" w:hAnsi="Times New Roman" w:eastAsia="仿宋_GB2312"/>
                <w:sz w:val="28"/>
                <w:szCs w:val="36"/>
              </w:rPr>
              <w:t>分选系统</w:t>
            </w:r>
          </w:p>
        </w:tc>
        <w:tc>
          <w:tcPr>
            <w:tcW w:w="3273" w:type="pct"/>
            <w:noWrap w:val="0"/>
            <w:vAlign w:val="center"/>
          </w:tcPr>
          <w:p>
            <w:pPr>
              <w:pStyle w:val="5"/>
              <w:snapToGrid w:val="0"/>
              <w:spacing w:after="0" w:line="240" w:lineRule="auto"/>
              <w:ind w:firstLine="0" w:firstLineChars="0"/>
              <w:rPr>
                <w:rFonts w:ascii="Times New Roman" w:hAnsi="Times New Roman" w:eastAsia="仿宋_GB2312"/>
                <w:sz w:val="28"/>
                <w:szCs w:val="36"/>
              </w:rPr>
            </w:pPr>
            <w:bookmarkStart w:id="18" w:name="_Hlk127102884"/>
            <w:r>
              <w:rPr>
                <w:rFonts w:ascii="Times New Roman" w:hAnsi="Times New Roman" w:eastAsia="仿宋_GB2312"/>
                <w:sz w:val="28"/>
                <w:szCs w:val="36"/>
              </w:rPr>
              <w:t>（1）</w:t>
            </w:r>
            <w:bookmarkEnd w:id="18"/>
            <w:r>
              <w:rPr>
                <w:rFonts w:ascii="Times New Roman" w:hAnsi="Times New Roman" w:eastAsia="仿宋_GB2312"/>
                <w:sz w:val="28"/>
                <w:szCs w:val="36"/>
              </w:rPr>
              <w:t>分选后硅电池颗粒、焊带及玻璃产品纯度≥9</w:t>
            </w:r>
            <w:r>
              <w:rPr>
                <w:rFonts w:hint="default" w:ascii="Times New Roman" w:hAnsi="Times New Roman" w:eastAsia="仿宋_GB2312"/>
                <w:sz w:val="28"/>
                <w:szCs w:val="36"/>
              </w:rPr>
              <w:t>8%</w:t>
            </w:r>
            <w:r>
              <w:rPr>
                <w:rFonts w:ascii="Times New Roman" w:hAnsi="Times New Roman" w:eastAsia="仿宋_GB2312"/>
                <w:sz w:val="28"/>
                <w:szCs w:val="36"/>
              </w:rPr>
              <w:t>；</w:t>
            </w:r>
          </w:p>
          <w:p>
            <w:pPr>
              <w:pStyle w:val="5"/>
              <w:snapToGrid w:val="0"/>
              <w:spacing w:after="0" w:line="240" w:lineRule="auto"/>
              <w:ind w:firstLine="0" w:firstLineChars="0"/>
              <w:rPr>
                <w:rFonts w:ascii="Times New Roman" w:hAnsi="Times New Roman" w:eastAsia="仿宋_GB2312"/>
                <w:sz w:val="28"/>
                <w:szCs w:val="36"/>
              </w:rPr>
            </w:pPr>
            <w:r>
              <w:rPr>
                <w:rFonts w:ascii="Times New Roman" w:hAnsi="Times New Roman" w:eastAsia="仿宋_GB2312"/>
                <w:sz w:val="28"/>
                <w:szCs w:val="36"/>
              </w:rPr>
              <w:t>（</w:t>
            </w:r>
            <w:r>
              <w:rPr>
                <w:rFonts w:hint="default" w:ascii="Times New Roman" w:hAnsi="Times New Roman" w:eastAsia="仿宋_GB2312"/>
                <w:sz w:val="28"/>
                <w:szCs w:val="36"/>
              </w:rPr>
              <w:t>2</w:t>
            </w:r>
            <w:r>
              <w:rPr>
                <w:rFonts w:ascii="Times New Roman" w:hAnsi="Times New Roman" w:eastAsia="仿宋_GB2312"/>
                <w:sz w:val="28"/>
                <w:szCs w:val="36"/>
              </w:rPr>
              <w:t>）设备分选过程中，应避免铁元素进入玻璃产品，分选后玻璃产品含铁量≤0.013%；</w:t>
            </w:r>
          </w:p>
          <w:p>
            <w:pPr>
              <w:pStyle w:val="5"/>
              <w:snapToGrid w:val="0"/>
              <w:spacing w:after="0" w:line="240" w:lineRule="auto"/>
              <w:ind w:firstLine="0" w:firstLineChars="0"/>
              <w:rPr>
                <w:rFonts w:ascii="Times New Roman" w:hAnsi="Times New Roman" w:eastAsia="仿宋_GB2312"/>
                <w:sz w:val="28"/>
                <w:szCs w:val="36"/>
              </w:rPr>
            </w:pPr>
            <w:r>
              <w:rPr>
                <w:rFonts w:ascii="Times New Roman" w:hAnsi="Times New Roman" w:eastAsia="仿宋_GB2312"/>
                <w:sz w:val="28"/>
                <w:szCs w:val="36"/>
              </w:rPr>
              <w:t>（</w:t>
            </w:r>
            <w:r>
              <w:rPr>
                <w:rFonts w:hint="default" w:ascii="Times New Roman" w:hAnsi="Times New Roman" w:eastAsia="仿宋_GB2312"/>
                <w:sz w:val="28"/>
                <w:szCs w:val="36"/>
              </w:rPr>
              <w:t>3</w:t>
            </w:r>
            <w:r>
              <w:rPr>
                <w:rFonts w:ascii="Times New Roman" w:hAnsi="Times New Roman" w:eastAsia="仿宋_GB2312"/>
                <w:sz w:val="28"/>
                <w:szCs w:val="36"/>
              </w:rPr>
              <w:t>）工序损耗率≤0</w:t>
            </w:r>
            <w:r>
              <w:rPr>
                <w:rFonts w:hint="default" w:ascii="Times New Roman" w:hAnsi="Times New Roman" w:eastAsia="仿宋_GB2312"/>
                <w:sz w:val="28"/>
                <w:szCs w:val="36"/>
              </w:rPr>
              <w:t>.2%</w:t>
            </w:r>
            <w:r>
              <w:rPr>
                <w:rFonts w:ascii="Times New Roman" w:hAnsi="Times New Roman" w:eastAsia="仿宋_GB2312"/>
                <w:sz w:val="28"/>
                <w:szCs w:val="36"/>
              </w:rPr>
              <w:t>；</w:t>
            </w:r>
          </w:p>
          <w:p>
            <w:pPr>
              <w:pStyle w:val="5"/>
              <w:snapToGrid w:val="0"/>
              <w:spacing w:after="0" w:line="240" w:lineRule="auto"/>
              <w:ind w:firstLine="0" w:firstLineChars="0"/>
              <w:rPr>
                <w:rFonts w:hint="default" w:ascii="Times New Roman" w:hAnsi="Times New Roman" w:eastAsia="仿宋_GB2312"/>
                <w:sz w:val="28"/>
                <w:szCs w:val="36"/>
              </w:rPr>
            </w:pPr>
            <w:r>
              <w:rPr>
                <w:rFonts w:ascii="Times New Roman" w:hAnsi="Times New Roman" w:eastAsia="仿宋_GB2312"/>
                <w:sz w:val="28"/>
                <w:szCs w:val="36"/>
              </w:rPr>
              <w:t>（</w:t>
            </w:r>
            <w:r>
              <w:rPr>
                <w:rFonts w:hint="default" w:ascii="Times New Roman" w:hAnsi="Times New Roman" w:eastAsia="仿宋_GB2312"/>
                <w:sz w:val="28"/>
                <w:szCs w:val="36"/>
              </w:rPr>
              <w:t>4</w:t>
            </w:r>
            <w:r>
              <w:rPr>
                <w:rFonts w:ascii="Times New Roman" w:hAnsi="Times New Roman" w:eastAsia="仿宋_GB2312"/>
                <w:sz w:val="28"/>
                <w:szCs w:val="36"/>
              </w:rPr>
              <w:t>）设备处理能力≥30块/h；</w:t>
            </w:r>
          </w:p>
          <w:p>
            <w:pPr>
              <w:pStyle w:val="5"/>
              <w:snapToGrid w:val="0"/>
              <w:spacing w:after="0" w:line="240" w:lineRule="auto"/>
              <w:ind w:firstLine="0" w:firstLineChars="0"/>
            </w:pPr>
            <w:r>
              <w:rPr>
                <w:rFonts w:ascii="Times New Roman" w:hAnsi="Times New Roman" w:eastAsia="仿宋_GB2312"/>
                <w:sz w:val="28"/>
                <w:szCs w:val="36"/>
              </w:rPr>
              <w:t>（</w:t>
            </w:r>
            <w:r>
              <w:rPr>
                <w:rFonts w:hint="default" w:ascii="Times New Roman" w:hAnsi="Times New Roman" w:eastAsia="仿宋_GB2312"/>
                <w:sz w:val="28"/>
                <w:szCs w:val="36"/>
              </w:rPr>
              <w:t>5</w:t>
            </w:r>
            <w:r>
              <w:rPr>
                <w:rFonts w:ascii="Times New Roman" w:hAnsi="Times New Roman" w:eastAsia="仿宋_GB2312"/>
                <w:sz w:val="28"/>
                <w:szCs w:val="36"/>
              </w:rPr>
              <w:t>）分选系统整体占地面积≤</w:t>
            </w:r>
            <w:r>
              <w:rPr>
                <w:rFonts w:hint="default" w:ascii="Times New Roman" w:hAnsi="Times New Roman" w:eastAsia="仿宋_GB2312"/>
                <w:sz w:val="28"/>
                <w:szCs w:val="36"/>
              </w:rPr>
              <w:t>65</w:t>
            </w:r>
            <w:r>
              <w:rPr>
                <w:rFonts w:ascii="Times New Roman" w:hAnsi="Times New Roman" w:eastAsia="仿宋_GB2312"/>
                <w:sz w:val="28"/>
                <w:szCs w:val="36"/>
              </w:rPr>
              <w:t>00mm×</w:t>
            </w:r>
            <w:r>
              <w:rPr>
                <w:rFonts w:hint="default" w:ascii="Times New Roman" w:hAnsi="Times New Roman" w:eastAsia="仿宋_GB2312"/>
                <w:sz w:val="28"/>
                <w:szCs w:val="36"/>
              </w:rPr>
              <w:t>35</w:t>
            </w:r>
            <w:r>
              <w:rPr>
                <w:rFonts w:ascii="Times New Roman" w:hAnsi="Times New Roman" w:eastAsia="仿宋_GB2312"/>
                <w:sz w:val="28"/>
                <w:szCs w:val="36"/>
              </w:rPr>
              <w:t>00mm。</w:t>
            </w:r>
          </w:p>
        </w:tc>
      </w:tr>
      <w:bookmarkEnd w:id="17"/>
    </w:tbl>
    <w:p>
      <w:pPr>
        <w:pStyle w:val="2"/>
        <w:numPr>
          <w:ilvl w:val="0"/>
          <w:numId w:val="0"/>
        </w:numPr>
        <w:spacing w:line="360" w:lineRule="auto"/>
        <w:ind w:firstLine="640" w:firstLineChars="200"/>
        <w:rPr>
          <w:rFonts w:ascii="仿宋_GB2312" w:hAnsi="仿宋_GB2312" w:eastAsia="仿宋_GB2312" w:cs="仿宋_GB2312"/>
          <w:b w:val="0"/>
          <w:szCs w:val="21"/>
        </w:rPr>
      </w:pPr>
      <w:r>
        <w:rPr>
          <w:rFonts w:hint="eastAsia" w:ascii="仿宋_GB2312" w:hAnsi="仿宋_GB2312" w:eastAsia="仿宋_GB2312" w:cs="仿宋_GB2312"/>
          <w:b w:val="0"/>
          <w:sz w:val="32"/>
          <w:szCs w:val="32"/>
        </w:rPr>
        <w:t>（三）预期成果：</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通过新型破碎玻璃分离设备、预破碎设备及分选系统的研制，</w:t>
      </w:r>
      <w:r>
        <w:rPr>
          <w:rFonts w:hint="eastAsia" w:ascii="仿宋_GB2312" w:hAnsi="仿宋_GB2312" w:eastAsia="仿宋_GB2312" w:cs="仿宋_GB2312"/>
          <w:b w:val="0"/>
          <w:sz w:val="32"/>
          <w:szCs w:val="32"/>
        </w:rPr>
        <w:t>可完成</w:t>
      </w:r>
      <w:r>
        <w:rPr>
          <w:rFonts w:ascii="仿宋_GB2312" w:hAnsi="仿宋_GB2312" w:eastAsia="仿宋_GB2312" w:cs="仿宋_GB2312"/>
          <w:b w:val="0"/>
          <w:sz w:val="32"/>
          <w:szCs w:val="32"/>
        </w:rPr>
        <w:t>5项发明专利的申报</w:t>
      </w:r>
      <w:r>
        <w:rPr>
          <w:rFonts w:hint="eastAsia" w:ascii="仿宋_GB2312" w:hAnsi="仿宋_GB2312" w:eastAsia="仿宋_GB2312" w:cs="仿宋_GB2312"/>
          <w:b w:val="0"/>
          <w:sz w:val="32"/>
          <w:szCs w:val="32"/>
        </w:rPr>
        <w:t>，并形成新型破碎组件玻璃分离、预破碎及分选工艺技术及设备，能够有效的提升破碎组件回收率、处理能力及组件回收产业化水平，有助于组件回收产业化推广方案的制定。同时，可提高组件回收产品质量，拓宽回收产品下游再利用渠道，实现高附加值循环再利用，推动组件回收产业化发展。</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针对破碎组件回收工艺段，完成新型破碎组件回收工艺设备设计制造后，预计单块破碎组件回收量可提升0</w:t>
      </w:r>
      <w:r>
        <w:rPr>
          <w:rFonts w:ascii="仿宋_GB2312" w:hAnsi="仿宋_GB2312" w:eastAsia="仿宋_GB2312" w:cs="仿宋_GB2312"/>
          <w:b w:val="0"/>
          <w:sz w:val="32"/>
          <w:szCs w:val="32"/>
        </w:rPr>
        <w:t>.1Kg</w:t>
      </w:r>
      <w:r>
        <w:rPr>
          <w:rFonts w:hint="eastAsia" w:ascii="仿宋_GB2312" w:hAnsi="仿宋_GB2312" w:eastAsia="仿宋_GB2312" w:cs="仿宋_GB2312"/>
          <w:b w:val="0"/>
          <w:sz w:val="32"/>
          <w:szCs w:val="32"/>
        </w:rPr>
        <w:t>，约可提升玻璃回收量</w:t>
      </w:r>
      <w:r>
        <w:rPr>
          <w:rFonts w:ascii="仿宋_GB2312" w:hAnsi="仿宋_GB2312" w:eastAsia="仿宋_GB2312" w:cs="仿宋_GB2312"/>
          <w:b w:val="0"/>
          <w:sz w:val="32"/>
          <w:szCs w:val="32"/>
        </w:rPr>
        <w:t>0.07Kg</w:t>
      </w:r>
      <w:r>
        <w:rPr>
          <w:rFonts w:hint="eastAsia" w:ascii="仿宋_GB2312" w:hAnsi="仿宋_GB2312" w:eastAsia="仿宋_GB2312" w:cs="仿宋_GB2312"/>
          <w:b w:val="0"/>
          <w:sz w:val="32"/>
          <w:szCs w:val="32"/>
        </w:rPr>
        <w:t>，硅电池颗粒回收量0</w:t>
      </w:r>
      <w:r>
        <w:rPr>
          <w:rFonts w:ascii="仿宋_GB2312" w:hAnsi="仿宋_GB2312" w:eastAsia="仿宋_GB2312" w:cs="仿宋_GB2312"/>
          <w:b w:val="0"/>
          <w:sz w:val="32"/>
          <w:szCs w:val="32"/>
        </w:rPr>
        <w:t>.02Kg</w:t>
      </w:r>
      <w:r>
        <w:rPr>
          <w:rFonts w:hint="eastAsia" w:ascii="仿宋_GB2312" w:hAnsi="仿宋_GB2312" w:eastAsia="仿宋_GB2312" w:cs="仿宋_GB2312"/>
          <w:b w:val="0"/>
          <w:sz w:val="32"/>
          <w:szCs w:val="32"/>
        </w:rPr>
        <w:t>，焊带回收量0</w:t>
      </w:r>
      <w:r>
        <w:rPr>
          <w:rFonts w:ascii="仿宋_GB2312" w:hAnsi="仿宋_GB2312" w:eastAsia="仿宋_GB2312" w:cs="仿宋_GB2312"/>
          <w:b w:val="0"/>
          <w:sz w:val="32"/>
          <w:szCs w:val="32"/>
        </w:rPr>
        <w:t>.01Kg</w:t>
      </w:r>
      <w:r>
        <w:rPr>
          <w:rFonts w:hint="eastAsia" w:ascii="仿宋_GB2312" w:hAnsi="仿宋_GB2312" w:eastAsia="仿宋_GB2312" w:cs="仿宋_GB2312"/>
          <w:b w:val="0"/>
          <w:sz w:val="32"/>
          <w:szCs w:val="32"/>
        </w:rPr>
        <w:t>。按照组件回收线产能3</w:t>
      </w:r>
      <w:r>
        <w:rPr>
          <w:rFonts w:ascii="仿宋_GB2312" w:hAnsi="仿宋_GB2312" w:eastAsia="仿宋_GB2312" w:cs="仿宋_GB2312"/>
          <w:b w:val="0"/>
          <w:sz w:val="32"/>
          <w:szCs w:val="32"/>
        </w:rPr>
        <w:t>0Mw</w:t>
      </w:r>
      <w:r>
        <w:rPr>
          <w:rFonts w:hint="eastAsia" w:ascii="仿宋_GB2312" w:hAnsi="仿宋_GB2312" w:eastAsia="仿宋_GB2312" w:cs="仿宋_GB2312"/>
          <w:b w:val="0"/>
          <w:sz w:val="32"/>
          <w:szCs w:val="32"/>
        </w:rPr>
        <w:t>，回收玻璃单价0</w:t>
      </w:r>
      <w:r>
        <w:rPr>
          <w:rFonts w:ascii="仿宋_GB2312" w:hAnsi="仿宋_GB2312" w:eastAsia="仿宋_GB2312" w:cs="仿宋_GB2312"/>
          <w:b w:val="0"/>
          <w:sz w:val="32"/>
          <w:szCs w:val="32"/>
        </w:rPr>
        <w:t>.04</w:t>
      </w:r>
      <w:r>
        <w:rPr>
          <w:rFonts w:hint="eastAsia" w:ascii="仿宋_GB2312" w:hAnsi="仿宋_GB2312" w:eastAsia="仿宋_GB2312" w:cs="仿宋_GB2312"/>
          <w:b w:val="0"/>
          <w:sz w:val="32"/>
          <w:szCs w:val="32"/>
        </w:rPr>
        <w:t>万元、硅电池颗粒回收单价0</w:t>
      </w:r>
      <w:r>
        <w:rPr>
          <w:rFonts w:ascii="仿宋_GB2312" w:hAnsi="仿宋_GB2312" w:eastAsia="仿宋_GB2312" w:cs="仿宋_GB2312"/>
          <w:b w:val="0"/>
          <w:sz w:val="32"/>
          <w:szCs w:val="32"/>
        </w:rPr>
        <w:t>.8</w:t>
      </w:r>
      <w:r>
        <w:rPr>
          <w:rFonts w:hint="eastAsia" w:ascii="仿宋_GB2312" w:hAnsi="仿宋_GB2312" w:eastAsia="仿宋_GB2312" w:cs="仿宋_GB2312"/>
          <w:b w:val="0"/>
          <w:sz w:val="32"/>
          <w:szCs w:val="32"/>
        </w:rPr>
        <w:t>万元，焊带回收单价2万元计算，可提升经济效益约</w:t>
      </w:r>
      <w:r>
        <w:rPr>
          <w:rFonts w:ascii="仿宋_GB2312" w:hAnsi="仿宋_GB2312" w:eastAsia="仿宋_GB2312" w:cs="仿宋_GB2312"/>
          <w:b w:val="0"/>
          <w:sz w:val="32"/>
          <w:szCs w:val="32"/>
        </w:rPr>
        <w:t>4.27</w:t>
      </w:r>
      <w:r>
        <w:rPr>
          <w:rFonts w:hint="eastAsia" w:ascii="仿宋_GB2312" w:hAnsi="仿宋_GB2312" w:eastAsia="仿宋_GB2312" w:cs="仿宋_GB2312"/>
          <w:b w:val="0"/>
          <w:sz w:val="32"/>
          <w:szCs w:val="32"/>
        </w:rPr>
        <w:t>万元/年。假设5年内推广布局十条百兆瓦组件回收线，预计可提升经济效益约1</w:t>
      </w:r>
      <w:r>
        <w:rPr>
          <w:rFonts w:ascii="仿宋_GB2312" w:hAnsi="仿宋_GB2312" w:eastAsia="仿宋_GB2312" w:cs="仿宋_GB2312"/>
          <w:b w:val="0"/>
          <w:sz w:val="32"/>
          <w:szCs w:val="32"/>
        </w:rPr>
        <w:t>42.33</w:t>
      </w:r>
      <w:r>
        <w:rPr>
          <w:rFonts w:hint="eastAsia" w:ascii="仿宋_GB2312" w:hAnsi="仿宋_GB2312" w:eastAsia="仿宋_GB2312" w:cs="仿宋_GB2312"/>
          <w:b w:val="0"/>
          <w:sz w:val="32"/>
          <w:szCs w:val="32"/>
        </w:rPr>
        <w:t>万元/年。</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完成</w:t>
      </w:r>
      <w:r>
        <w:rPr>
          <w:rFonts w:hint="eastAsia" w:ascii="仿宋_GB2312" w:hAnsi="仿宋_GB2312" w:eastAsia="仿宋_GB2312" w:cs="仿宋_GB2312"/>
          <w:b w:val="0"/>
          <w:sz w:val="32"/>
          <w:szCs w:val="32"/>
        </w:rPr>
        <w:t>新型破碎玻璃组件回收工艺设备的研发后，可对现有破碎组件回收工艺路线进行优化，减少选择性破碎、旋振筛筛分及EVA电池胶层硅玻震荡分选工序，破碎组件回收工艺线整体设备功率降低7</w:t>
      </w:r>
      <w:r>
        <w:rPr>
          <w:rFonts w:ascii="仿宋_GB2312" w:hAnsi="仿宋_GB2312" w:eastAsia="仿宋_GB2312" w:cs="仿宋_GB2312"/>
          <w:b w:val="0"/>
          <w:sz w:val="32"/>
          <w:szCs w:val="32"/>
        </w:rPr>
        <w:t>9.75Kw</w:t>
      </w:r>
      <w:r>
        <w:rPr>
          <w:rFonts w:hint="eastAsia" w:ascii="仿宋_GB2312" w:hAnsi="仿宋_GB2312" w:eastAsia="仿宋_GB2312" w:cs="仿宋_GB2312"/>
          <w:b w:val="0"/>
          <w:sz w:val="32"/>
          <w:szCs w:val="32"/>
        </w:rPr>
        <w:t>。按照回收线每年运行3</w:t>
      </w:r>
      <w:r>
        <w:rPr>
          <w:rFonts w:ascii="仿宋_GB2312" w:hAnsi="仿宋_GB2312" w:eastAsia="仿宋_GB2312" w:cs="仿宋_GB2312"/>
          <w:b w:val="0"/>
          <w:sz w:val="32"/>
          <w:szCs w:val="32"/>
        </w:rPr>
        <w:t>00</w:t>
      </w:r>
      <w:r>
        <w:rPr>
          <w:rFonts w:hint="eastAsia" w:ascii="仿宋_GB2312" w:hAnsi="仿宋_GB2312" w:eastAsia="仿宋_GB2312" w:cs="仿宋_GB2312"/>
          <w:b w:val="0"/>
          <w:sz w:val="32"/>
          <w:szCs w:val="32"/>
        </w:rPr>
        <w:t>天，每天运行</w:t>
      </w:r>
      <w:r>
        <w:rPr>
          <w:rFonts w:ascii="仿宋_GB2312" w:hAnsi="仿宋_GB2312" w:eastAsia="仿宋_GB2312" w:cs="仿宋_GB2312"/>
          <w:b w:val="0"/>
          <w:sz w:val="32"/>
          <w:szCs w:val="32"/>
        </w:rPr>
        <w:t>8h</w:t>
      </w:r>
      <w:r>
        <w:rPr>
          <w:rFonts w:hint="eastAsia" w:ascii="仿宋_GB2312" w:hAnsi="仿宋_GB2312" w:eastAsia="仿宋_GB2312" w:cs="仿宋_GB2312"/>
          <w:b w:val="0"/>
          <w:sz w:val="32"/>
          <w:szCs w:val="32"/>
        </w:rPr>
        <w:t>，工业用电单价</w:t>
      </w:r>
      <w:r>
        <w:rPr>
          <w:rFonts w:ascii="仿宋_GB2312" w:hAnsi="仿宋_GB2312" w:eastAsia="仿宋_GB2312" w:cs="仿宋_GB2312"/>
          <w:b w:val="0"/>
          <w:sz w:val="32"/>
          <w:szCs w:val="32"/>
        </w:rPr>
        <w:t>0.39</w:t>
      </w:r>
      <w:r>
        <w:rPr>
          <w:rFonts w:hint="eastAsia" w:ascii="仿宋_GB2312" w:hAnsi="仿宋_GB2312" w:eastAsia="仿宋_GB2312" w:cs="仿宋_GB2312"/>
          <w:b w:val="0"/>
          <w:sz w:val="32"/>
          <w:szCs w:val="32"/>
        </w:rPr>
        <w:t>元/</w:t>
      </w:r>
      <w:r>
        <w:rPr>
          <w:rFonts w:ascii="仿宋_GB2312" w:hAnsi="仿宋_GB2312" w:eastAsia="仿宋_GB2312" w:cs="仿宋_GB2312"/>
          <w:b w:val="0"/>
          <w:sz w:val="32"/>
          <w:szCs w:val="32"/>
        </w:rPr>
        <w:t>Kw·h</w:t>
      </w:r>
      <w:r>
        <w:rPr>
          <w:rFonts w:hint="eastAsia" w:ascii="仿宋_GB2312" w:hAnsi="仿宋_GB2312" w:eastAsia="仿宋_GB2312" w:cs="仿宋_GB2312"/>
          <w:b w:val="0"/>
          <w:sz w:val="32"/>
          <w:szCs w:val="32"/>
        </w:rPr>
        <w:t>计算，每年可节约用电成本约7</w:t>
      </w:r>
      <w:r>
        <w:rPr>
          <w:rFonts w:ascii="仿宋_GB2312" w:hAnsi="仿宋_GB2312" w:eastAsia="仿宋_GB2312" w:cs="仿宋_GB2312"/>
          <w:b w:val="0"/>
          <w:sz w:val="32"/>
          <w:szCs w:val="32"/>
        </w:rPr>
        <w:t>.45</w:t>
      </w:r>
      <w:r>
        <w:rPr>
          <w:rFonts w:hint="eastAsia" w:ascii="仿宋_GB2312" w:hAnsi="仿宋_GB2312" w:eastAsia="仿宋_GB2312" w:cs="仿宋_GB2312"/>
          <w:b w:val="0"/>
          <w:sz w:val="32"/>
          <w:szCs w:val="32"/>
        </w:rPr>
        <w:t>万元。</w:t>
      </w:r>
      <w:r>
        <w:rPr>
          <w:rFonts w:ascii="仿宋_GB2312" w:hAnsi="仿宋_GB2312" w:eastAsia="仿宋_GB2312" w:cs="仿宋_GB2312"/>
          <w:b w:val="0"/>
          <w:sz w:val="32"/>
          <w:szCs w:val="32"/>
        </w:rPr>
        <w:t>减少的设备按照设备折旧年限10年，折旧残值5%计算，预计每年可减少设备折旧费用约</w:t>
      </w:r>
      <w:r>
        <w:rPr>
          <w:rFonts w:hint="eastAsia" w:ascii="仿宋_GB2312" w:hAnsi="仿宋_GB2312" w:eastAsia="仿宋_GB2312" w:cs="仿宋_GB2312"/>
          <w:b w:val="0"/>
          <w:sz w:val="32"/>
          <w:szCs w:val="32"/>
        </w:rPr>
        <w:t>8</w:t>
      </w:r>
      <w:r>
        <w:rPr>
          <w:rFonts w:ascii="仿宋_GB2312" w:hAnsi="仿宋_GB2312" w:eastAsia="仿宋_GB2312" w:cs="仿宋_GB2312"/>
          <w:b w:val="0"/>
          <w:sz w:val="32"/>
          <w:szCs w:val="32"/>
        </w:rPr>
        <w:t>.52万元，预计每年新增经济效益约20.24万元。</w:t>
      </w:r>
    </w:p>
    <w:p>
      <w:pPr>
        <w:pStyle w:val="2"/>
        <w:numPr>
          <w:ilvl w:val="0"/>
          <w:numId w:val="0"/>
        </w:numPr>
        <w:spacing w:line="360" w:lineRule="auto"/>
        <w:ind w:firstLine="643" w:firstLineChars="200"/>
        <w:rPr>
          <w:rFonts w:ascii="仿宋_GB2312" w:hAnsi="仿宋_GB2312" w:eastAsia="仿宋_GB2312" w:cs="仿宋_GB2312"/>
          <w:b w:val="0"/>
          <w:sz w:val="32"/>
          <w:szCs w:val="32"/>
        </w:rPr>
      </w:pPr>
      <w:r>
        <w:rPr>
          <w:rFonts w:hint="eastAsia" w:ascii="仿宋_GB2312" w:hAnsi="仿宋_GB2312" w:eastAsia="仿宋_GB2312" w:cs="仿宋_GB2312"/>
          <w:b/>
          <w:bCs/>
          <w:sz w:val="32"/>
          <w:szCs w:val="32"/>
        </w:rPr>
        <w:t>三、对揭榜方要求：</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1、揭榜方基础条件</w:t>
      </w:r>
    </w:p>
    <w:p>
      <w:pPr>
        <w:topLinePunct/>
        <w:autoSpaceDE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lang w:val="en-US" w:eastAsia="zh-CN"/>
        </w:rPr>
        <w:t>揭榜方</w:t>
      </w:r>
      <w:r>
        <w:rPr>
          <w:rFonts w:hint="eastAsia" w:ascii="仿宋_GB2312" w:hAnsi="仿宋_GB2312" w:eastAsia="仿宋_GB2312" w:cs="仿宋_GB2312"/>
          <w:bCs/>
          <w:color w:val="000000"/>
          <w:sz w:val="32"/>
          <w:szCs w:val="32"/>
        </w:rPr>
        <w:t>必须是在中华人民共和国市场监督管理部门注册的，</w:t>
      </w:r>
      <w:r>
        <w:rPr>
          <w:rFonts w:hint="eastAsia" w:ascii="仿宋_GB2312" w:hAnsi="仿宋_GB2312" w:eastAsia="仿宋_GB2312" w:cs="仿宋_GB2312"/>
          <w:sz w:val="32"/>
          <w:szCs w:val="32"/>
        </w:rPr>
        <w:t>具有独立法人和一般纳税人资格的，</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设备开发、设备制造小型</w:t>
      </w:r>
      <w:r>
        <w:rPr>
          <w:rFonts w:hint="eastAsia" w:ascii="仿宋_GB2312" w:hAnsi="仿宋_GB2312" w:eastAsia="仿宋_GB2312" w:cs="仿宋_GB2312"/>
          <w:sz w:val="32"/>
          <w:szCs w:val="32"/>
          <w:lang w:val="en-US" w:eastAsia="zh-CN"/>
        </w:rPr>
        <w:t>及以上规模</w:t>
      </w:r>
      <w:r>
        <w:rPr>
          <w:rFonts w:hint="eastAsia" w:ascii="仿宋_GB2312" w:hAnsi="仿宋_GB2312" w:eastAsia="仿宋_GB2312" w:cs="仿宋_GB2312"/>
          <w:sz w:val="32"/>
          <w:szCs w:val="32"/>
        </w:rPr>
        <w:t>的资质的企业；</w:t>
      </w:r>
      <w:r>
        <w:rPr>
          <w:rFonts w:hint="eastAsia" w:ascii="仿宋_GB2312" w:hAnsi="仿宋_GB2312" w:eastAsia="仿宋_GB2312" w:cs="仿宋_GB2312"/>
          <w:sz w:val="32"/>
          <w:szCs w:val="32"/>
          <w:highlight w:val="none"/>
        </w:rPr>
        <w:t>应具有良好的企业信用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不存在被列为失信被执行人的情形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近三年财务和资信状况良好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没有财产被接管、冻结或处于亏损、破产状态，应提相关证明（如财务审计报告或报表、资信证明等）</w:t>
      </w:r>
      <w:r>
        <w:rPr>
          <w:rFonts w:hint="eastAsia" w:ascii="仿宋_GB2312" w:hAnsi="仿宋_GB2312" w:eastAsia="仿宋_GB2312" w:cs="仿宋_GB2312"/>
          <w:sz w:val="32"/>
          <w:szCs w:val="32"/>
        </w:rPr>
        <w:t>。</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2、揭榜方技术条件</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（1）揭榜方应具有设备研发能力、良好的科研条件和稳定的研发团队，在揭榜日期的近三年内，承担过</w:t>
      </w:r>
      <w:r>
        <w:rPr>
          <w:rFonts w:ascii="仿宋_GB2312" w:hAnsi="仿宋_GB2312" w:eastAsia="仿宋_GB2312" w:cs="仿宋_GB2312"/>
          <w:b w:val="0"/>
          <w:sz w:val="32"/>
          <w:szCs w:val="32"/>
        </w:rPr>
        <w:t>5</w:t>
      </w:r>
      <w:r>
        <w:rPr>
          <w:rFonts w:hint="eastAsia" w:ascii="仿宋_GB2312" w:hAnsi="仿宋_GB2312" w:eastAsia="仿宋_GB2312" w:cs="仿宋_GB2312"/>
          <w:b w:val="0"/>
          <w:sz w:val="32"/>
          <w:szCs w:val="32"/>
        </w:rPr>
        <w:t>台及以上机械或自动化设备研制，并提供设备研发相关专利证明。</w:t>
      </w:r>
      <w:r>
        <w:rPr>
          <w:rFonts w:ascii="仿宋_GB2312" w:hAnsi="仿宋_GB2312" w:eastAsia="仿宋_GB2312" w:cs="仿宋_GB2312"/>
          <w:b w:val="0"/>
          <w:sz w:val="32"/>
          <w:szCs w:val="32"/>
        </w:rPr>
        <w:t>能够独立开展前期相关调研</w:t>
      </w:r>
      <w:r>
        <w:rPr>
          <w:rFonts w:hint="eastAsia" w:ascii="仿宋_GB2312" w:hAnsi="仿宋_GB2312" w:eastAsia="仿宋_GB2312" w:cs="仿宋_GB2312"/>
          <w:b w:val="0"/>
          <w:sz w:val="32"/>
          <w:szCs w:val="32"/>
        </w:rPr>
        <w:t>及玻璃分离、物料撕碎、混合物分选相关</w:t>
      </w:r>
      <w:r>
        <w:rPr>
          <w:rFonts w:ascii="仿宋_GB2312" w:hAnsi="仿宋_GB2312" w:eastAsia="仿宋_GB2312" w:cs="仿宋_GB2312"/>
          <w:b w:val="0"/>
          <w:sz w:val="32"/>
          <w:szCs w:val="32"/>
        </w:rPr>
        <w:t>实验</w:t>
      </w:r>
      <w:r>
        <w:rPr>
          <w:rFonts w:hint="eastAsia" w:ascii="仿宋_GB2312" w:hAnsi="仿宋_GB2312" w:eastAsia="仿宋_GB2312" w:cs="仿宋_GB2312"/>
          <w:b w:val="0"/>
          <w:sz w:val="32"/>
          <w:szCs w:val="32"/>
        </w:rPr>
        <w:t>，独立进行</w:t>
      </w:r>
      <w:r>
        <w:rPr>
          <w:rFonts w:ascii="仿宋_GB2312" w:hAnsi="仿宋_GB2312" w:eastAsia="仿宋_GB2312" w:cs="仿宋_GB2312"/>
          <w:b w:val="0"/>
          <w:sz w:val="32"/>
          <w:szCs w:val="32"/>
        </w:rPr>
        <w:t>设备设计研发工作，并可</w:t>
      </w:r>
      <w:r>
        <w:rPr>
          <w:rFonts w:hint="eastAsia" w:ascii="仿宋_GB2312" w:hAnsi="仿宋_GB2312" w:eastAsia="仿宋_GB2312" w:cs="仿宋_GB2312"/>
          <w:b w:val="0"/>
          <w:sz w:val="32"/>
          <w:szCs w:val="32"/>
        </w:rPr>
        <w:t>针对发榜方技术攻关需求提出可行的解决方案。</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（2）揭榜方应有较强的机械设备制造能力及规模，拥有机械设计、电气设计相关专业技术人员及设备加工制造车间。</w:t>
      </w:r>
    </w:p>
    <w:p>
      <w:pPr>
        <w:pStyle w:val="2"/>
        <w:numPr>
          <w:ilvl w:val="0"/>
          <w:numId w:val="0"/>
        </w:num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四、产权归属：</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1、合同范围内产生的所有知识产权由</w:t>
      </w:r>
      <w:r>
        <w:rPr>
          <w:rFonts w:ascii="仿宋_GB2312" w:hAnsi="仿宋_GB2312" w:eastAsia="仿宋_GB2312" w:cs="仿宋_GB2312"/>
          <w:b w:val="0"/>
          <w:sz w:val="32"/>
          <w:szCs w:val="32"/>
        </w:rPr>
        <w:t>发榜方</w:t>
      </w:r>
      <w:r>
        <w:rPr>
          <w:rFonts w:hint="eastAsia" w:ascii="仿宋_GB2312" w:hAnsi="仿宋_GB2312" w:eastAsia="仿宋_GB2312" w:cs="仿宋_GB2312"/>
          <w:b w:val="0"/>
          <w:sz w:val="32"/>
          <w:szCs w:val="32"/>
        </w:rPr>
        <w:t>所有；</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hint="eastAsia" w:ascii="仿宋_GB2312" w:hAnsi="仿宋_GB2312" w:eastAsia="仿宋_GB2312" w:cs="仿宋_GB2312"/>
          <w:b w:val="0"/>
          <w:sz w:val="32"/>
          <w:szCs w:val="32"/>
        </w:rPr>
        <w:t>2</w:t>
      </w:r>
      <w:r>
        <w:rPr>
          <w:rFonts w:ascii="仿宋_GB2312" w:hAnsi="仿宋_GB2312" w:eastAsia="仿宋_GB2312" w:cs="仿宋_GB2312"/>
          <w:b w:val="0"/>
          <w:sz w:val="32"/>
          <w:szCs w:val="32"/>
        </w:rPr>
        <w:t>、项目</w:t>
      </w:r>
      <w:r>
        <w:rPr>
          <w:rFonts w:hint="eastAsia" w:ascii="仿宋_GB2312" w:hAnsi="仿宋_GB2312" w:eastAsia="仿宋_GB2312" w:cs="仿宋_GB2312"/>
          <w:b w:val="0"/>
          <w:sz w:val="32"/>
          <w:szCs w:val="32"/>
        </w:rPr>
        <w:t>研发</w:t>
      </w:r>
      <w:r>
        <w:rPr>
          <w:rFonts w:ascii="仿宋_GB2312" w:hAnsi="仿宋_GB2312" w:eastAsia="仿宋_GB2312" w:cs="仿宋_GB2312"/>
          <w:b w:val="0"/>
          <w:sz w:val="32"/>
          <w:szCs w:val="32"/>
        </w:rPr>
        <w:t>所涉及的设计、工艺、方案、技术资料、商标等无形资产均</w:t>
      </w:r>
      <w:r>
        <w:rPr>
          <w:rFonts w:hint="eastAsia" w:ascii="仿宋_GB2312" w:hAnsi="仿宋_GB2312" w:eastAsia="仿宋_GB2312" w:cs="仿宋_GB2312"/>
          <w:b w:val="0"/>
          <w:sz w:val="32"/>
          <w:szCs w:val="32"/>
        </w:rPr>
        <w:t>由</w:t>
      </w:r>
      <w:r>
        <w:rPr>
          <w:rFonts w:ascii="仿宋_GB2312" w:hAnsi="仿宋_GB2312" w:eastAsia="仿宋_GB2312" w:cs="仿宋_GB2312"/>
          <w:b w:val="0"/>
          <w:sz w:val="32"/>
          <w:szCs w:val="32"/>
        </w:rPr>
        <w:t>发榜方所有；</w:t>
      </w:r>
    </w:p>
    <w:p>
      <w:pPr>
        <w:pStyle w:val="2"/>
        <w:numPr>
          <w:ilvl w:val="0"/>
          <w:numId w:val="0"/>
        </w:numPr>
        <w:spacing w:line="360" w:lineRule="auto"/>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3</w:t>
      </w:r>
      <w:r>
        <w:rPr>
          <w:rFonts w:hint="eastAsia" w:ascii="仿宋_GB2312" w:hAnsi="仿宋_GB2312" w:eastAsia="仿宋_GB2312" w:cs="仿宋_GB2312"/>
          <w:b w:val="0"/>
          <w:sz w:val="32"/>
          <w:szCs w:val="32"/>
        </w:rPr>
        <w:t>、揭榜方在进行相关对外宣传工作时，需经发榜方审批同意；</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4、未经发榜方同意，揭榜方不得擅自在本</w:t>
      </w:r>
      <w:r>
        <w:rPr>
          <w:rFonts w:hint="eastAsia" w:ascii="仿宋_GB2312" w:hAnsi="仿宋_GB2312" w:eastAsia="仿宋_GB2312" w:cs="仿宋_GB2312"/>
          <w:b w:val="0"/>
          <w:sz w:val="32"/>
          <w:szCs w:val="32"/>
        </w:rPr>
        <w:t>项目</w:t>
      </w:r>
      <w:r>
        <w:rPr>
          <w:rFonts w:ascii="仿宋_GB2312" w:hAnsi="仿宋_GB2312" w:eastAsia="仿宋_GB2312" w:cs="仿宋_GB2312"/>
          <w:b w:val="0"/>
          <w:sz w:val="32"/>
          <w:szCs w:val="32"/>
        </w:rPr>
        <w:t>研究</w:t>
      </w:r>
      <w:r>
        <w:rPr>
          <w:rFonts w:hint="eastAsia" w:ascii="仿宋_GB2312" w:hAnsi="仿宋_GB2312" w:eastAsia="仿宋_GB2312" w:cs="仿宋_GB2312"/>
          <w:b w:val="0"/>
          <w:sz w:val="32"/>
          <w:szCs w:val="32"/>
        </w:rPr>
        <w:t>的</w:t>
      </w:r>
      <w:r>
        <w:rPr>
          <w:rFonts w:ascii="仿宋_GB2312" w:hAnsi="仿宋_GB2312" w:eastAsia="仿宋_GB2312" w:cs="仿宋_GB2312"/>
          <w:b w:val="0"/>
          <w:sz w:val="32"/>
          <w:szCs w:val="32"/>
        </w:rPr>
        <w:t>基础上开展后续</w:t>
      </w:r>
      <w:r>
        <w:rPr>
          <w:rFonts w:hint="eastAsia" w:ascii="仿宋_GB2312" w:hAnsi="仿宋_GB2312" w:eastAsia="仿宋_GB2312" w:cs="仿宋_GB2312"/>
          <w:b w:val="0"/>
          <w:sz w:val="32"/>
          <w:szCs w:val="32"/>
        </w:rPr>
        <w:t>技术</w:t>
      </w:r>
      <w:r>
        <w:rPr>
          <w:rFonts w:ascii="仿宋_GB2312" w:hAnsi="仿宋_GB2312" w:eastAsia="仿宋_GB2312" w:cs="仿宋_GB2312"/>
          <w:b w:val="0"/>
          <w:sz w:val="32"/>
          <w:szCs w:val="32"/>
        </w:rPr>
        <w:t>研究；</w:t>
      </w:r>
    </w:p>
    <w:p>
      <w:pPr>
        <w:pStyle w:val="2"/>
        <w:numPr>
          <w:ilvl w:val="0"/>
          <w:numId w:val="0"/>
        </w:numPr>
        <w:spacing w:line="360" w:lineRule="auto"/>
        <w:ind w:firstLine="640" w:firstLineChars="200"/>
        <w:rPr>
          <w:rFonts w:hint="eastAsia" w:ascii="仿宋_GB2312" w:hAnsi="仿宋_GB2312" w:eastAsia="仿宋_GB2312" w:cs="仿宋_GB2312"/>
          <w:b w:val="0"/>
          <w:sz w:val="32"/>
          <w:szCs w:val="32"/>
        </w:rPr>
      </w:pPr>
      <w:r>
        <w:rPr>
          <w:rFonts w:ascii="仿宋_GB2312" w:hAnsi="仿宋_GB2312" w:eastAsia="仿宋_GB2312" w:cs="仿宋_GB2312"/>
          <w:b w:val="0"/>
          <w:sz w:val="32"/>
          <w:szCs w:val="32"/>
        </w:rPr>
        <w:t>5</w:t>
      </w:r>
      <w:r>
        <w:rPr>
          <w:rFonts w:hint="eastAsia" w:ascii="仿宋_GB2312" w:hAnsi="仿宋_GB2312" w:eastAsia="仿宋_GB2312" w:cs="仿宋_GB2312"/>
          <w:b w:val="0"/>
          <w:sz w:val="32"/>
          <w:szCs w:val="32"/>
        </w:rPr>
        <w:t>、合同范围内的新型破碎组件回收工艺设备，包括新型破碎玻璃分离设备、预破碎设备及分选系统所涉及的设计、工艺、方案、结构等应具有独立的知识产权，避免与组件回收线原有设备产生知识产权冲突。</w:t>
      </w:r>
    </w:p>
    <w:p>
      <w:pPr>
        <w:pStyle w:val="2"/>
        <w:numPr>
          <w:ilvl w:val="0"/>
          <w:numId w:val="0"/>
        </w:numPr>
        <w:spacing w:line="360" w:lineRule="auto"/>
        <w:ind w:firstLine="643"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bCs/>
          <w:sz w:val="32"/>
          <w:szCs w:val="32"/>
        </w:rPr>
        <w:t>五、经费预算：</w:t>
      </w:r>
      <w:r>
        <w:rPr>
          <w:rFonts w:hint="eastAsia" w:ascii="仿宋_GB2312" w:hAnsi="仿宋_GB2312" w:eastAsia="仿宋_GB2312" w:cs="仿宋_GB2312"/>
          <w:b w:val="0"/>
          <w:sz w:val="32"/>
          <w:szCs w:val="32"/>
          <w:lang w:val="en-US" w:eastAsia="zh-CN"/>
        </w:rPr>
        <w:t>总费用控制在300万以内。</w:t>
      </w:r>
    </w:p>
    <w:p>
      <w:pPr>
        <w:pStyle w:val="2"/>
        <w:numPr>
          <w:ilvl w:val="0"/>
          <w:numId w:val="0"/>
        </w:numPr>
        <w:spacing w:line="360" w:lineRule="auto"/>
        <w:ind w:firstLine="643"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bCs/>
          <w:sz w:val="32"/>
          <w:szCs w:val="32"/>
        </w:rPr>
        <w:t>六、研究周期：</w:t>
      </w:r>
      <w:r>
        <w:rPr>
          <w:rFonts w:hint="eastAsia" w:ascii="仿宋_GB2312" w:hAnsi="仿宋_GB2312" w:eastAsia="仿宋_GB2312" w:cs="仿宋_GB2312"/>
          <w:b w:val="0"/>
          <w:sz w:val="32"/>
          <w:szCs w:val="32"/>
        </w:rPr>
        <w:t>签订合同后-</w:t>
      </w:r>
      <w:r>
        <w:rPr>
          <w:rFonts w:ascii="仿宋_GB2312" w:hAnsi="仿宋_GB2312" w:eastAsia="仿宋_GB2312" w:cs="仿宋_GB2312"/>
          <w:b w:val="0"/>
          <w:sz w:val="32"/>
          <w:szCs w:val="32"/>
        </w:rPr>
        <w:t>2023年12月</w:t>
      </w:r>
    </w:p>
    <w:p>
      <w:pPr>
        <w:pStyle w:val="2"/>
        <w:numPr>
          <w:ilvl w:val="0"/>
          <w:numId w:val="0"/>
        </w:numPr>
        <w:ind w:firstLine="643" w:firstLineChars="200"/>
        <w:rPr>
          <w:rFonts w:ascii="仿宋_GB2312" w:hAnsi="仿宋_GB2312" w:eastAsia="仿宋_GB2312" w:cs="仿宋_GB2312"/>
          <w:b w:val="0"/>
          <w:sz w:val="32"/>
          <w:szCs w:val="32"/>
        </w:rPr>
      </w:pPr>
      <w:r>
        <w:rPr>
          <w:rFonts w:hint="eastAsia" w:ascii="仿宋_GB2312" w:hAnsi="仿宋_GB2312" w:eastAsia="仿宋_GB2312" w:cs="仿宋_GB2312"/>
          <w:b/>
          <w:bCs/>
          <w:sz w:val="32"/>
          <w:szCs w:val="32"/>
        </w:rPr>
        <w:t>七、项目联系人及电话：</w:t>
      </w:r>
    </w:p>
    <w:p>
      <w:pPr>
        <w:pStyle w:val="2"/>
        <w:numPr>
          <w:ilvl w:val="0"/>
          <w:numId w:val="0"/>
        </w:numPr>
        <w:ind w:firstLine="640" w:firstLineChars="200"/>
        <w:rPr>
          <w:rFonts w:ascii="仿宋_GB2312" w:hAnsi="仿宋_GB2312" w:eastAsia="仿宋_GB2312" w:cs="仿宋_GB2312"/>
          <w:b w:val="0"/>
          <w:sz w:val="32"/>
          <w:szCs w:val="32"/>
        </w:rPr>
      </w:pPr>
      <w:r>
        <w:rPr>
          <w:rFonts w:ascii="仿宋_GB2312" w:hAnsi="仿宋_GB2312" w:eastAsia="仿宋_GB2312" w:cs="仿宋_GB2312"/>
          <w:b w:val="0"/>
          <w:sz w:val="32"/>
          <w:szCs w:val="32"/>
        </w:rPr>
        <w:t>联系人：韩金豆</w:t>
      </w:r>
    </w:p>
    <w:p>
      <w:pPr>
        <w:pStyle w:val="2"/>
        <w:numPr>
          <w:ilvl w:val="0"/>
          <w:numId w:val="0"/>
        </w:numPr>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联系电话：1</w:t>
      </w:r>
      <w:r>
        <w:rPr>
          <w:rFonts w:ascii="仿宋_GB2312" w:hAnsi="仿宋_GB2312" w:eastAsia="仿宋_GB2312" w:cs="仿宋_GB2312"/>
          <w:b w:val="0"/>
          <w:sz w:val="32"/>
          <w:szCs w:val="32"/>
        </w:rPr>
        <w:t>7697217652</w:t>
      </w: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pStyle w:val="5"/>
        <w:rPr>
          <w:rFonts w:hint="eastAsia"/>
          <w:lang w:val="en-US" w:eastAsia="zh-CN"/>
        </w:rPr>
      </w:pPr>
    </w:p>
    <w:p>
      <w:pPr>
        <w:rPr>
          <w:rFonts w:hint="eastAsia"/>
          <w:lang w:val="en-US" w:eastAsia="zh-CN"/>
        </w:rPr>
      </w:pPr>
    </w:p>
    <w:p>
      <w:pPr>
        <w:pStyle w:val="2"/>
        <w:numPr>
          <w:ilvl w:val="1"/>
          <w:numId w:val="0"/>
        </w:numPr>
        <w:ind w:left="1838" w:leftChars="0"/>
        <w:rPr>
          <w:rFonts w:hint="eastAsia"/>
          <w:lang w:val="en-US" w:eastAsia="zh-CN"/>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项目15：光伏电站增配储能经济分析和最佳定容研究</w:t>
      </w:r>
    </w:p>
    <w:p>
      <w:pPr>
        <w:pStyle w:val="2"/>
        <w:numPr>
          <w:ilvl w:val="1"/>
          <w:numId w:val="0"/>
        </w:numPr>
        <w:ind w:left="1838" w:leftChars="0"/>
        <w:rPr>
          <w:rFonts w:hint="eastAsia"/>
          <w:lang w:val="en-US" w:eastAsia="zh-CN"/>
        </w:rPr>
      </w:pPr>
    </w:p>
    <w:p>
      <w:pPr>
        <w:pStyle w:val="2"/>
        <w:numPr>
          <w:ilvl w:val="0"/>
          <w:numId w:val="0"/>
        </w:numPr>
        <w:spacing w:line="360" w:lineRule="auto"/>
        <w:ind w:firstLine="602" w:firstLineChars="200"/>
        <w:rPr>
          <w:rFonts w:eastAsia="仿宋_GB2312"/>
          <w:b/>
          <w:bCs/>
          <w:sz w:val="30"/>
          <w:szCs w:val="30"/>
        </w:rPr>
      </w:pPr>
      <w:r>
        <w:rPr>
          <w:rFonts w:eastAsia="仿宋_GB2312"/>
          <w:b/>
          <w:bCs/>
          <w:sz w:val="30"/>
          <w:szCs w:val="30"/>
        </w:rPr>
        <w:t>一、攻关难题和攻关内容：</w:t>
      </w:r>
    </w:p>
    <w:p>
      <w:pPr>
        <w:pStyle w:val="2"/>
        <w:numPr>
          <w:ilvl w:val="0"/>
          <w:numId w:val="0"/>
        </w:numPr>
        <w:spacing w:line="360" w:lineRule="auto"/>
        <w:ind w:firstLine="600" w:firstLineChars="200"/>
        <w:rPr>
          <w:rFonts w:eastAsia="仿宋_GB2312"/>
          <w:b w:val="0"/>
          <w:sz w:val="30"/>
          <w:szCs w:val="30"/>
        </w:rPr>
      </w:pPr>
      <w:r>
        <w:rPr>
          <w:rFonts w:eastAsia="仿宋_GB2312"/>
          <w:b w:val="0"/>
          <w:sz w:val="30"/>
          <w:szCs w:val="30"/>
        </w:rPr>
        <w:t>（一）攻关难题：</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新能源的波动性等特性会对电力系统的稳定性产生较大影响</w:t>
      </w:r>
      <w:r>
        <w:rPr>
          <w:rFonts w:hint="eastAsia" w:ascii="仿宋_GB2312" w:hAnsi="仿宋_GB2312" w:eastAsia="仿宋_GB2312" w:cs="仿宋_GB2312"/>
          <w:b w:val="0"/>
          <w:sz w:val="32"/>
          <w:szCs w:val="32"/>
        </w:rPr>
        <w:t>，</w:t>
      </w:r>
      <w:r>
        <w:rPr>
          <w:rFonts w:hint="default" w:ascii="仿宋_GB2312" w:hAnsi="仿宋_GB2312" w:eastAsia="仿宋_GB2312" w:cs="仿宋_GB2312"/>
          <w:b w:val="0"/>
          <w:sz w:val="32"/>
          <w:szCs w:val="32"/>
        </w:rPr>
        <w:t>通过配置储能可有效改善电能质量，提升电力系统稳定性。目前</w:t>
      </w:r>
      <w:r>
        <w:rPr>
          <w:rFonts w:hint="eastAsia" w:ascii="仿宋_GB2312" w:hAnsi="仿宋_GB2312" w:eastAsia="仿宋_GB2312" w:cs="仿宋_GB2312"/>
          <w:b w:val="0"/>
          <w:sz w:val="32"/>
          <w:szCs w:val="32"/>
        </w:rPr>
        <w:t>，</w:t>
      </w:r>
      <w:r>
        <w:rPr>
          <w:rFonts w:hint="default" w:ascii="仿宋_GB2312" w:hAnsi="仿宋_GB2312" w:eastAsia="仿宋_GB2312" w:cs="仿宋_GB2312"/>
          <w:b w:val="0"/>
          <w:sz w:val="32"/>
          <w:szCs w:val="32"/>
        </w:rPr>
        <w:t>国内外</w:t>
      </w:r>
      <w:r>
        <w:rPr>
          <w:rFonts w:hint="eastAsia" w:ascii="仿宋_GB2312" w:hAnsi="仿宋_GB2312" w:eastAsia="仿宋_GB2312" w:cs="仿宋_GB2312"/>
          <w:b w:val="0"/>
          <w:sz w:val="32"/>
          <w:szCs w:val="32"/>
        </w:rPr>
        <w:t>关</w:t>
      </w:r>
      <w:r>
        <w:rPr>
          <w:rFonts w:hint="default" w:ascii="仿宋_GB2312" w:hAnsi="仿宋_GB2312" w:eastAsia="仿宋_GB2312" w:cs="仿宋_GB2312"/>
          <w:b w:val="0"/>
          <w:sz w:val="32"/>
          <w:szCs w:val="32"/>
        </w:rPr>
        <w:t>于储能系统优化方面的研究多聚焦于最优系统设计，缺乏对现场实际情况的耦合模拟，使得优化结果的稳健性较差。通过开发基于虚拟模拟的优化一体化系统，结合地理位置、季节变化、</w:t>
      </w:r>
      <w:r>
        <w:rPr>
          <w:rFonts w:hint="eastAsia" w:ascii="仿宋_GB2312" w:hAnsi="仿宋_GB2312" w:eastAsia="仿宋_GB2312" w:cs="仿宋_GB2312"/>
          <w:b w:val="0"/>
          <w:sz w:val="32"/>
          <w:szCs w:val="32"/>
        </w:rPr>
        <w:t>储能技术</w:t>
      </w:r>
      <w:r>
        <w:rPr>
          <w:rFonts w:hint="default" w:ascii="仿宋_GB2312" w:hAnsi="仿宋_GB2312" w:eastAsia="仿宋_GB2312" w:cs="仿宋_GB2312"/>
          <w:b w:val="0"/>
          <w:sz w:val="32"/>
          <w:szCs w:val="32"/>
        </w:rPr>
        <w:t>特性等实际情况对优化结果进行模拟运算，可有效提高优化结果的稳健性，使其更加接近实际情况。在基于虚拟模拟的优化一体化系统开发中，数据驱动的系统不确定性特征数学解析、子数学模型集成联合求解技术及集成模型的软件开发是本研究的难点。由于研究内容前沿、</w:t>
      </w:r>
      <w:r>
        <w:rPr>
          <w:rFonts w:hint="eastAsia" w:ascii="仿宋_GB2312" w:hAnsi="仿宋_GB2312" w:eastAsia="仿宋_GB2312" w:cs="仿宋_GB2312"/>
          <w:b w:val="0"/>
          <w:sz w:val="32"/>
          <w:szCs w:val="32"/>
        </w:rPr>
        <w:t>理论性及</w:t>
      </w:r>
      <w:r>
        <w:rPr>
          <w:rFonts w:hint="default" w:ascii="仿宋_GB2312" w:hAnsi="仿宋_GB2312" w:eastAsia="仿宋_GB2312" w:cs="仿宋_GB2312"/>
          <w:b w:val="0"/>
          <w:sz w:val="32"/>
          <w:szCs w:val="32"/>
        </w:rPr>
        <w:t>交叉性强，故需要联合国内一流高等院校共同开展关键技术难点和创新点的研究。</w:t>
      </w:r>
    </w:p>
    <w:p>
      <w:pPr>
        <w:pStyle w:val="2"/>
        <w:numPr>
          <w:ilvl w:val="0"/>
          <w:numId w:val="0"/>
        </w:numPr>
        <w:spacing w:line="360" w:lineRule="auto"/>
        <w:ind w:firstLine="600" w:firstLineChars="200"/>
        <w:rPr>
          <w:rFonts w:eastAsia="仿宋_GB2312"/>
          <w:b w:val="0"/>
          <w:sz w:val="30"/>
          <w:szCs w:val="30"/>
        </w:rPr>
      </w:pPr>
      <w:r>
        <w:rPr>
          <w:rFonts w:eastAsia="仿宋_GB2312"/>
          <w:b w:val="0"/>
          <w:sz w:val="30"/>
          <w:szCs w:val="30"/>
        </w:rPr>
        <w:t>（二）攻关内容：</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1、建立基于随机优化理论的储能定容优化模型</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eastAsia" w:ascii="仿宋_GB2312" w:hAnsi="仿宋_GB2312" w:eastAsia="仿宋_GB2312" w:cs="仿宋_GB2312"/>
          <w:b w:val="0"/>
          <w:sz w:val="32"/>
          <w:szCs w:val="32"/>
        </w:rPr>
        <w:t>以黄河公司光伏电站为样本，基于当地气象条件、电站配置、光伏出力、弃光量等实际数据刻画运行特性，</w:t>
      </w:r>
      <w:r>
        <w:rPr>
          <w:rFonts w:hint="default" w:ascii="仿宋_GB2312" w:hAnsi="仿宋_GB2312" w:eastAsia="仿宋_GB2312" w:cs="仿宋_GB2312"/>
          <w:b w:val="0"/>
          <w:sz w:val="32"/>
          <w:szCs w:val="32"/>
        </w:rPr>
        <w:t>基于随机优化理论，建立</w:t>
      </w:r>
      <w:r>
        <w:rPr>
          <w:rFonts w:hint="eastAsia" w:ascii="仿宋_GB2312" w:hAnsi="仿宋_GB2312" w:eastAsia="仿宋_GB2312" w:cs="仿宋_GB2312"/>
          <w:b w:val="0"/>
          <w:sz w:val="32"/>
          <w:szCs w:val="32"/>
        </w:rPr>
        <w:t>以随机变量为输入的、以</w:t>
      </w:r>
      <w:r>
        <w:rPr>
          <w:rFonts w:hint="default" w:ascii="仿宋_GB2312" w:hAnsi="仿宋_GB2312" w:eastAsia="仿宋_GB2312" w:cs="仿宋_GB2312"/>
          <w:b w:val="0"/>
          <w:sz w:val="32"/>
          <w:szCs w:val="32"/>
        </w:rPr>
        <w:t>电站利用小时数及成本</w:t>
      </w:r>
      <w:r>
        <w:rPr>
          <w:rFonts w:hint="eastAsia" w:ascii="仿宋_GB2312" w:hAnsi="仿宋_GB2312" w:eastAsia="仿宋_GB2312" w:cs="仿宋_GB2312"/>
          <w:b w:val="0"/>
          <w:sz w:val="32"/>
          <w:szCs w:val="32"/>
        </w:rPr>
        <w:t>最优为目标</w:t>
      </w:r>
      <w:r>
        <w:rPr>
          <w:rFonts w:hint="default" w:ascii="仿宋_GB2312" w:hAnsi="仿宋_GB2312" w:eastAsia="仿宋_GB2312" w:cs="仿宋_GB2312"/>
          <w:b w:val="0"/>
          <w:sz w:val="32"/>
          <w:szCs w:val="32"/>
        </w:rPr>
        <w:t>的储能定容优化模型</w:t>
      </w:r>
      <w:r>
        <w:rPr>
          <w:rFonts w:hint="eastAsia" w:ascii="仿宋_GB2312" w:hAnsi="仿宋_GB2312" w:eastAsia="仿宋_GB2312" w:cs="仿宋_GB2312"/>
          <w:b w:val="0"/>
          <w:sz w:val="32"/>
          <w:szCs w:val="32"/>
        </w:rPr>
        <w:t>，因不同电站气象条件、设备参数及电价等存在不同，优化模型中相关的参数应能根据实际情况灵活调整。</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2、开发光储</w:t>
      </w:r>
      <w:r>
        <w:rPr>
          <w:rFonts w:hint="eastAsia" w:ascii="仿宋_GB2312" w:hAnsi="仿宋_GB2312" w:eastAsia="仿宋_GB2312" w:cs="仿宋_GB2312"/>
          <w:b w:val="0"/>
          <w:sz w:val="32"/>
          <w:szCs w:val="32"/>
        </w:rPr>
        <w:t>虚拟模拟系统</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建立光储</w:t>
      </w:r>
      <w:r>
        <w:rPr>
          <w:rFonts w:hint="eastAsia" w:ascii="仿宋_GB2312" w:hAnsi="仿宋_GB2312" w:eastAsia="仿宋_GB2312" w:cs="仿宋_GB2312"/>
          <w:b w:val="0"/>
          <w:sz w:val="32"/>
          <w:szCs w:val="32"/>
        </w:rPr>
        <w:t>虚拟模拟系统</w:t>
      </w:r>
      <w:r>
        <w:rPr>
          <w:rFonts w:hint="default" w:ascii="仿宋_GB2312" w:hAnsi="仿宋_GB2312" w:eastAsia="仿宋_GB2312" w:cs="仿宋_GB2312"/>
          <w:b w:val="0"/>
          <w:sz w:val="32"/>
          <w:szCs w:val="32"/>
        </w:rPr>
        <w:t>，基于注意力机制深度学习模型对参数进行模拟校正，实现光伏发电和储能调度的实时精确模拟，验证优化结果稳健性。</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3、开发光伏电站增配储能分析软件</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对照实际场景建立最佳定容模型，完成软件架构设计与配套优化并构建模型可视化展示与软件化实现</w:t>
      </w:r>
      <w:r>
        <w:rPr>
          <w:rFonts w:hint="eastAsia" w:ascii="仿宋_GB2312" w:hAnsi="仿宋_GB2312" w:eastAsia="仿宋_GB2312" w:cs="仿宋_GB2312"/>
          <w:b w:val="0"/>
          <w:sz w:val="32"/>
          <w:szCs w:val="32"/>
        </w:rPr>
        <w:t>，基于辐照、设备配置、电价、弃光率等参数，计算光储最优配置</w:t>
      </w:r>
      <w:r>
        <w:rPr>
          <w:rFonts w:hint="default" w:ascii="仿宋_GB2312" w:hAnsi="仿宋_GB2312" w:eastAsia="仿宋_GB2312" w:cs="仿宋_GB2312"/>
          <w:b w:val="0"/>
          <w:sz w:val="32"/>
          <w:szCs w:val="32"/>
        </w:rPr>
        <w:t>。</w:t>
      </w:r>
    </w:p>
    <w:p>
      <w:pPr>
        <w:pStyle w:val="2"/>
        <w:numPr>
          <w:ilvl w:val="0"/>
          <w:numId w:val="0"/>
        </w:numPr>
        <w:spacing w:line="360" w:lineRule="auto"/>
        <w:ind w:firstLine="602" w:firstLineChars="200"/>
        <w:rPr>
          <w:rFonts w:eastAsia="仿宋_GB2312"/>
          <w:b/>
          <w:bCs/>
          <w:sz w:val="30"/>
          <w:szCs w:val="30"/>
        </w:rPr>
      </w:pPr>
      <w:r>
        <w:rPr>
          <w:rFonts w:eastAsia="仿宋_GB2312"/>
          <w:b/>
          <w:bCs/>
          <w:sz w:val="30"/>
          <w:szCs w:val="30"/>
        </w:rPr>
        <w:t>二、攻关后希望达到的预期目标、技术指标、预期成果：</w:t>
      </w:r>
    </w:p>
    <w:p>
      <w:pPr>
        <w:pStyle w:val="2"/>
        <w:numPr>
          <w:ilvl w:val="0"/>
          <w:numId w:val="0"/>
        </w:numPr>
        <w:spacing w:line="360" w:lineRule="auto"/>
        <w:ind w:firstLine="600" w:firstLineChars="200"/>
        <w:rPr>
          <w:rFonts w:eastAsia="仿宋_GB2312"/>
          <w:b w:val="0"/>
          <w:sz w:val="30"/>
          <w:szCs w:val="30"/>
        </w:rPr>
      </w:pPr>
      <w:r>
        <w:rPr>
          <w:rFonts w:eastAsia="仿宋_GB2312"/>
          <w:b w:val="0"/>
          <w:sz w:val="30"/>
          <w:szCs w:val="30"/>
        </w:rPr>
        <w:t>（一）预期目标：</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建立以最优利用小时数及最优成本为目标、计及弃光限电率和储能价格的光伏电站锂电池储能容量配置优化模型1个，在优化模型开发中通过引入随机优化理论，与优化前相比在相同弃光条件下提高系统上网电量5%以上，实现光储系统技术经济性的提高。</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2、利用基于注意力机制的光储发电虚拟模拟系统对优化结果进行百万次仿真模拟，验证优化模型及结果的鲁棒性，模拟光伏发电量与实际发电量相比，精度应达到95%以上，确保优化结果有效可靠。</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开发光伏电站配储定容软件1套，建立任务输入/输出依赖关系，并构建算法配置框架，实现可插拔算法库，支撑标准化定容计算规则模型，支撑体系的高效运行与持续发展，为今后黄河公司存量、增量光伏电站配储提供参考。</w:t>
      </w:r>
    </w:p>
    <w:p>
      <w:pPr>
        <w:pStyle w:val="2"/>
        <w:numPr>
          <w:ilvl w:val="0"/>
          <w:numId w:val="0"/>
        </w:numPr>
        <w:spacing w:line="360" w:lineRule="auto"/>
        <w:ind w:firstLine="600" w:firstLineChars="200"/>
        <w:rPr>
          <w:rFonts w:eastAsia="仿宋_GB2312"/>
          <w:b w:val="0"/>
          <w:sz w:val="30"/>
          <w:szCs w:val="30"/>
        </w:rPr>
      </w:pPr>
      <w:r>
        <w:rPr>
          <w:rFonts w:eastAsia="仿宋_GB2312"/>
          <w:b w:val="0"/>
          <w:sz w:val="30"/>
          <w:szCs w:val="30"/>
        </w:rPr>
        <w:t>（二）技术指标：</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1、建立光伏电站储能容量配置优化模型：</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1）需结合随机优化理论构建优化模型；</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2）基于往年历史数据，与优化前相比在相同弃光条件下提高系统上网电量5%以上；</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3）得出技术经济性最优配置。</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2、验证优化结果稳健性：</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1）利用基于注意力机制的光储发电虚拟模拟系统对优化结果进行仿真模拟；</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2）模拟光伏发电量与实际发电量相比，精度应达到95%以上；</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3）模拟场景达到百万次，在90%的场景中实现技术经济性提升。</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4）至少以2座光伏电站为对象，验证虚拟模拟系统准确性，并对以上电站提出优化技改建议。</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3、开发光伏电站配置储能定容软件：</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1）数据可视化模型能够覆盖典型的样式，在此基础上建立储能分析与定容计算规则；</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2）数据交换接口提供数据输入、输出导出、数据展示、可配置样式，形成灵活配置的数据体系；</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3）模型与算法库支持核心部件模型录入、可配置、可重构，支撑算法库的调用与构建。</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4、发表核心及以上期刊论文2篇，申请受理发明专利3项，软件著作权1项，提供电站配储优化研究报告1份。</w:t>
      </w:r>
    </w:p>
    <w:p>
      <w:pPr>
        <w:pStyle w:val="2"/>
        <w:numPr>
          <w:ilvl w:val="0"/>
          <w:numId w:val="0"/>
        </w:numPr>
        <w:spacing w:line="360" w:lineRule="auto"/>
        <w:ind w:firstLine="600" w:firstLineChars="200"/>
        <w:rPr>
          <w:rFonts w:eastAsia="仿宋_GB2312"/>
          <w:b w:val="0"/>
          <w:sz w:val="30"/>
          <w:szCs w:val="30"/>
        </w:rPr>
      </w:pPr>
      <w:r>
        <w:rPr>
          <w:rFonts w:eastAsia="仿宋_GB2312"/>
          <w:b w:val="0"/>
          <w:sz w:val="30"/>
          <w:szCs w:val="30"/>
        </w:rPr>
        <w:t>（三）预期成果：</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1、学术成果：</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（1）发表核心及以上期刊论文2篇；</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（2）申请受理发明专利3项，软件著作权1项。</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2、技术成果：</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（1）研发光伏电站储能容量配置优化模型及定容软件1套；</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（2）研发基于注意力机制的光储发电虚拟模拟系统，用于对优化结果的仿真模拟；</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（3）基于模型优化结果，提供电站配储优化研究报告1份。</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3、经济成果：</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定容优化模型推荐的储能配置方案可以降低电站弃光电量，提升上网电量5%以上；通过对利用小时数和成本的优化，改善电站收益；定容软件可用于光储电站设计，为设计人员提供参考。</w:t>
      </w:r>
    </w:p>
    <w:p>
      <w:pPr>
        <w:pStyle w:val="2"/>
        <w:numPr>
          <w:ilvl w:val="0"/>
          <w:numId w:val="0"/>
        </w:numPr>
        <w:spacing w:line="360" w:lineRule="auto"/>
        <w:ind w:firstLine="602" w:firstLineChars="200"/>
        <w:rPr>
          <w:rFonts w:eastAsia="仿宋_GB2312"/>
          <w:b/>
          <w:bCs/>
          <w:sz w:val="30"/>
          <w:szCs w:val="30"/>
        </w:rPr>
      </w:pPr>
      <w:r>
        <w:rPr>
          <w:rFonts w:eastAsia="仿宋_GB2312"/>
          <w:b/>
          <w:bCs/>
          <w:sz w:val="30"/>
          <w:szCs w:val="30"/>
        </w:rPr>
        <w:t>三、对揭榜方要求：</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1、揭榜方基本条件：</w:t>
      </w:r>
      <w:r>
        <w:rPr>
          <w:rFonts w:hint="eastAsia" w:ascii="仿宋_GB2312" w:hAnsi="仿宋_GB2312" w:eastAsia="仿宋_GB2312" w:cs="仿宋_GB2312"/>
          <w:b w:val="0"/>
          <w:sz w:val="32"/>
          <w:szCs w:val="32"/>
        </w:rPr>
        <w:t>揭榜方必须是在中华人民共和国市场监督管理部门注册的，</w:t>
      </w:r>
      <w:r>
        <w:rPr>
          <w:rFonts w:hint="default" w:ascii="仿宋_GB2312" w:hAnsi="仿宋_GB2312" w:eastAsia="仿宋_GB2312" w:cs="仿宋_GB2312"/>
          <w:b w:val="0"/>
          <w:sz w:val="32"/>
          <w:szCs w:val="32"/>
        </w:rPr>
        <w:t>具有独立法人和一般纳税人资格的，具备双一流的资质的高校；应具有良好的信用，不存在被列为失信被执行人的情形；近三年财务和资信状况良好，没有财产被接管、冻结或处于亏损、破产状态</w:t>
      </w:r>
      <w:r>
        <w:rPr>
          <w:rFonts w:hint="eastAsia" w:ascii="仿宋_GB2312" w:hAnsi="仿宋_GB2312" w:eastAsia="仿宋_GB2312" w:cs="仿宋_GB2312"/>
          <w:b w:val="0"/>
          <w:sz w:val="32"/>
          <w:szCs w:val="32"/>
        </w:rPr>
        <w:t>，应提相关证明（如财务审计报告或报表、资信证明等）</w:t>
      </w:r>
      <w:r>
        <w:rPr>
          <w:rFonts w:hint="default" w:ascii="仿宋_GB2312" w:hAnsi="仿宋_GB2312" w:eastAsia="仿宋_GB2312" w:cs="仿宋_GB2312"/>
          <w:b w:val="0"/>
          <w:sz w:val="32"/>
          <w:szCs w:val="32"/>
        </w:rPr>
        <w:t>。</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2、揭榜方技术条件：揭榜方应熟悉国际智慧能源系统及软件开发相关领域最新技术，拥有国内外相关领域工业界工作经历及工业软件开发经验优先考虑，软件交接后需继续提供技术支持服务。项目负责人需拥有丰富的理论和扎实的研究基础，近三年承担过国家级课题或人才项目。揭榜方应在该领域拥有突出成果，发表过不少于20篇中科院分区1区SCI论文，完成过不少于一项的省、市级科技研发项目并通过验收，获得过省部级及以上科技奖项的团队优先考虑。</w:t>
      </w:r>
    </w:p>
    <w:p>
      <w:pPr>
        <w:pStyle w:val="2"/>
        <w:numPr>
          <w:ilvl w:val="0"/>
          <w:numId w:val="0"/>
        </w:numPr>
        <w:spacing w:line="360" w:lineRule="auto"/>
        <w:ind w:firstLine="602" w:firstLineChars="200"/>
        <w:rPr>
          <w:rFonts w:eastAsia="仿宋_GB2312"/>
          <w:b/>
          <w:bCs/>
          <w:sz w:val="30"/>
          <w:szCs w:val="30"/>
        </w:rPr>
      </w:pPr>
      <w:r>
        <w:rPr>
          <w:rFonts w:eastAsia="仿宋_GB2312"/>
          <w:b/>
          <w:bCs/>
          <w:sz w:val="30"/>
          <w:szCs w:val="30"/>
        </w:rPr>
        <w:t>四、产权归属：</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eastAsia" w:ascii="仿宋_GB2312" w:hAnsi="仿宋_GB2312" w:eastAsia="仿宋_GB2312" w:cs="仿宋_GB2312"/>
          <w:b w:val="0"/>
          <w:sz w:val="32"/>
          <w:szCs w:val="32"/>
        </w:rPr>
        <w:t>揭榜方在合作协议下为发榜方编制的任何研究、报告或其他资料、图表、软件等及随附其上的相关权利应属于并保持为发榜方的资产，发榜方拥有完全的所有权和使用权，包括但不限于占有、使用、收益、处分的权利。未经发榜方授权或书面同意，揭榜方不得擅自使用或对外公开。因本合同及其实施产生的著作权、专利权等知识产权及所有其它权利可经协商共有。</w:t>
      </w:r>
    </w:p>
    <w:p>
      <w:pPr>
        <w:pStyle w:val="2"/>
        <w:numPr>
          <w:ilvl w:val="0"/>
          <w:numId w:val="0"/>
        </w:numPr>
        <w:spacing w:line="360" w:lineRule="auto"/>
        <w:ind w:firstLine="602" w:firstLineChars="200"/>
        <w:rPr>
          <w:rFonts w:hint="eastAsia" w:ascii="宋体" w:hAnsi="宋体" w:eastAsia="仿宋_GB2312" w:cs="宋体"/>
          <w:sz w:val="30"/>
          <w:szCs w:val="30"/>
          <w:lang w:eastAsia="zh-CN"/>
        </w:rPr>
      </w:pPr>
      <w:r>
        <w:rPr>
          <w:rFonts w:eastAsia="仿宋_GB2312"/>
          <w:b/>
          <w:bCs/>
          <w:sz w:val="30"/>
          <w:szCs w:val="30"/>
        </w:rPr>
        <w:t>五、经费预算：</w:t>
      </w:r>
      <w:r>
        <w:rPr>
          <w:rFonts w:hint="eastAsia" w:ascii="仿宋_GB2312" w:hAnsi="仿宋_GB2312" w:eastAsia="仿宋_GB2312" w:cs="仿宋_GB2312"/>
          <w:b w:val="0"/>
          <w:kern w:val="2"/>
          <w:sz w:val="32"/>
          <w:szCs w:val="32"/>
          <w:highlight w:val="none"/>
          <w:lang w:val="en-US" w:eastAsia="zh-CN" w:bidi="ar-SA"/>
        </w:rPr>
        <w:t>总经费控制在</w:t>
      </w:r>
      <w:r>
        <w:rPr>
          <w:rFonts w:hint="default" w:ascii="仿宋_GB2312" w:hAnsi="仿宋_GB2312" w:eastAsia="仿宋_GB2312" w:cs="仿宋_GB2312"/>
          <w:b w:val="0"/>
          <w:sz w:val="32"/>
          <w:szCs w:val="32"/>
        </w:rPr>
        <w:t>45万元以内</w:t>
      </w:r>
      <w:r>
        <w:rPr>
          <w:rFonts w:hint="eastAsia" w:ascii="仿宋_GB2312" w:hAnsi="仿宋_GB2312" w:eastAsia="仿宋_GB2312" w:cs="仿宋_GB2312"/>
          <w:b w:val="0"/>
          <w:sz w:val="32"/>
          <w:szCs w:val="32"/>
          <w:lang w:eastAsia="zh-CN"/>
        </w:rPr>
        <w:t>。</w:t>
      </w:r>
    </w:p>
    <w:p>
      <w:pPr>
        <w:pStyle w:val="2"/>
        <w:numPr>
          <w:ilvl w:val="0"/>
          <w:numId w:val="0"/>
        </w:numPr>
        <w:spacing w:line="360" w:lineRule="auto"/>
        <w:ind w:firstLine="602" w:firstLineChars="200"/>
        <w:rPr>
          <w:rFonts w:hint="default" w:ascii="仿宋_GB2312" w:hAnsi="仿宋_GB2312" w:eastAsia="仿宋_GB2312" w:cs="仿宋_GB2312"/>
          <w:b w:val="0"/>
          <w:sz w:val="32"/>
          <w:szCs w:val="32"/>
        </w:rPr>
      </w:pPr>
      <w:r>
        <w:rPr>
          <w:rFonts w:eastAsia="仿宋_GB2312"/>
          <w:b/>
          <w:bCs/>
          <w:sz w:val="30"/>
          <w:szCs w:val="30"/>
        </w:rPr>
        <w:t>六、研究周期</w:t>
      </w:r>
      <w:r>
        <w:rPr>
          <w:rFonts w:eastAsia="仿宋_GB2312"/>
          <w:b w:val="0"/>
          <w:sz w:val="30"/>
          <w:szCs w:val="30"/>
        </w:rPr>
        <w:t>：</w:t>
      </w:r>
      <w:r>
        <w:rPr>
          <w:rFonts w:hint="eastAsia" w:ascii="仿宋_GB2312" w:hAnsi="仿宋_GB2312" w:eastAsia="仿宋_GB2312" w:cs="仿宋_GB2312"/>
          <w:b w:val="0"/>
          <w:sz w:val="32"/>
          <w:szCs w:val="32"/>
        </w:rPr>
        <w:t>签订合同后-2024年10月</w:t>
      </w:r>
    </w:p>
    <w:p>
      <w:pPr>
        <w:pStyle w:val="2"/>
        <w:numPr>
          <w:ilvl w:val="0"/>
          <w:numId w:val="0"/>
        </w:numPr>
        <w:ind w:firstLine="602" w:firstLineChars="200"/>
        <w:rPr>
          <w:rFonts w:eastAsia="仿宋_GB2312"/>
          <w:b/>
          <w:bCs/>
          <w:sz w:val="30"/>
          <w:szCs w:val="30"/>
        </w:rPr>
      </w:pPr>
      <w:r>
        <w:rPr>
          <w:rFonts w:eastAsia="仿宋_GB2312"/>
          <w:b/>
          <w:bCs/>
          <w:sz w:val="30"/>
          <w:szCs w:val="30"/>
        </w:rPr>
        <w:t>七、项目联系人及电话：</w:t>
      </w:r>
    </w:p>
    <w:p>
      <w:pPr>
        <w:pStyle w:val="2"/>
        <w:numPr>
          <w:ilvl w:val="0"/>
          <w:numId w:val="0"/>
        </w:numPr>
        <w:spacing w:line="360" w:lineRule="auto"/>
        <w:ind w:firstLine="640" w:firstLineChars="200"/>
        <w:rPr>
          <w:rFonts w:hint="default" w:ascii="仿宋_GB2312" w:hAnsi="仿宋_GB2312" w:eastAsia="仿宋_GB2312" w:cs="仿宋_GB2312"/>
          <w:b w:val="0"/>
          <w:sz w:val="32"/>
          <w:szCs w:val="32"/>
        </w:rPr>
      </w:pPr>
      <w:r>
        <w:rPr>
          <w:rFonts w:hint="default" w:ascii="仿宋_GB2312" w:hAnsi="仿宋_GB2312" w:eastAsia="仿宋_GB2312" w:cs="仿宋_GB2312"/>
          <w:b w:val="0"/>
          <w:sz w:val="32"/>
          <w:szCs w:val="32"/>
        </w:rPr>
        <w:t>联系人：姜铭琨  电话：13052291590</w:t>
      </w:r>
    </w:p>
    <w:p>
      <w:pPr>
        <w:pStyle w:val="5"/>
        <w:rPr>
          <w:rFonts w:hint="eastAsia"/>
          <w:lang w:val="en-US" w:eastAsia="zh-CN"/>
        </w:rPr>
      </w:pPr>
    </w:p>
    <w:p>
      <w:pPr>
        <w:rPr>
          <w:rFonts w:hint="eastAsia"/>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pStyle w:val="2"/>
        <w:numPr>
          <w:ilvl w:val="0"/>
          <w:numId w:val="0"/>
        </w:numPr>
        <w:spacing w:line="360" w:lineRule="auto"/>
        <w:ind w:firstLine="640" w:firstLineChars="200"/>
        <w:rPr>
          <w:rFonts w:hint="eastAsia" w:ascii="仿宋_GB2312" w:hAnsi="仿宋_GB2312" w:eastAsia="仿宋_GB2312" w:cs="仿宋_GB2312"/>
          <w:b w:val="0"/>
          <w:sz w:val="32"/>
          <w:szCs w:val="32"/>
          <w:lang w:val="en-US" w:eastAsia="zh-CN"/>
        </w:rPr>
      </w:pPr>
    </w:p>
    <w:p>
      <w:pPr>
        <w:snapToGrid w:val="0"/>
        <w:spacing w:after="0" w:line="560" w:lineRule="exact"/>
        <w:jc w:val="both"/>
        <w:rPr>
          <w:rFonts w:hint="eastAsia" w:ascii="黑体" w:hAnsi="黑体" w:eastAsia="黑体" w:cs="黑体"/>
          <w:bCs/>
          <w:kern w:val="0"/>
          <w:sz w:val="32"/>
          <w:szCs w:val="32"/>
          <w:highlight w:val="none"/>
          <w:lang w:val="en-US" w:eastAsia="zh-CN" w:bidi="ar"/>
        </w:rPr>
      </w:pPr>
      <w:r>
        <w:rPr>
          <w:rFonts w:hint="eastAsia" w:ascii="黑体" w:hAnsi="黑体" w:eastAsia="黑体" w:cs="黑体"/>
          <w:bCs/>
          <w:kern w:val="0"/>
          <w:sz w:val="32"/>
          <w:szCs w:val="32"/>
          <w:highlight w:val="none"/>
          <w:lang w:val="en-US" w:eastAsia="zh-CN" w:bidi="ar"/>
        </w:rPr>
        <w:t>项目18：新能源多场景制氢技术研究</w:t>
      </w:r>
    </w:p>
    <w:p>
      <w:pPr>
        <w:pStyle w:val="2"/>
        <w:numPr>
          <w:ilvl w:val="1"/>
          <w:numId w:val="0"/>
        </w:numPr>
        <w:ind w:left="1838" w:leftChars="0"/>
        <w:rPr>
          <w:rFonts w:hint="eastAsia"/>
          <w:lang w:val="en-US" w:eastAsia="zh-CN"/>
        </w:rPr>
      </w:pPr>
    </w:p>
    <w:p>
      <w:pPr>
        <w:pStyle w:val="2"/>
        <w:numPr>
          <w:ilvl w:val="0"/>
          <w:numId w:val="0"/>
        </w:numPr>
        <w:spacing w:line="360" w:lineRule="auto"/>
        <w:ind w:firstLine="643" w:firstLineChars="200"/>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 w:val="32"/>
          <w:szCs w:val="32"/>
        </w:rPr>
        <w:t>一、攻关难题和攻关内容</w:t>
      </w:r>
      <w:r>
        <w:rPr>
          <w:rFonts w:hint="eastAsia" w:ascii="仿宋_GB2312" w:hAnsi="仿宋_GB2312" w:eastAsia="仿宋_GB2312" w:cs="仿宋_GB2312"/>
          <w:b/>
          <w:bCs/>
          <w:sz w:val="32"/>
          <w:szCs w:val="32"/>
          <w:lang w:eastAsia="zh-CN"/>
        </w:rPr>
        <w:t>：</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（一）攻关难题</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当前利用风、光等可再生能源制取绿氢，已经成为清洁电力消纳、存储和利用的重要手段。通过优化制氢设备的容量配置及运行方式，可以有效降低可再生能源制氢系统投资成本，提升系统的产氢能力与经济效益。现有国内外在电解水制氢领域的研究，多聚焦于碱性电解水制氢或PEM电解水制氢单独进行，同时考虑碱性</w:t>
      </w:r>
      <w:bookmarkStart w:id="19" w:name="_Hlk128002727"/>
      <w:r>
        <w:rPr>
          <w:rFonts w:ascii="仿宋_GB2312" w:hAnsi="仿宋_GB2312" w:eastAsia="仿宋_GB2312" w:cs="仿宋_GB2312"/>
          <w:sz w:val="32"/>
          <w:szCs w:val="32"/>
        </w:rPr>
        <w:t>电解水</w:t>
      </w:r>
      <w:bookmarkEnd w:id="19"/>
      <w:r>
        <w:rPr>
          <w:rFonts w:ascii="仿宋_GB2312" w:hAnsi="仿宋_GB2312" w:eastAsia="仿宋_GB2312" w:cs="仿宋_GB2312"/>
          <w:sz w:val="32"/>
          <w:szCs w:val="32"/>
        </w:rPr>
        <w:t>制氢、PEM电解水制氢及储能电池的容量配置及运行控制研究较少。</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碱性电解水制氢具有单槽容量大、氢气单位产能的设备相对投资低的优势，PEM电解水制氢具有负荷响应速度快、调节范围宽、抗波动能力强等特性，储能电池则可根据实际需求进行能量调节确保特殊时段电能供应。如何实现三者最优容量配置与协调控制，降低制氢系统整体投资，提升性能及收益，需进行重点攻关。</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（二）攻关内容</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ascii="仿宋_GB2312" w:hAnsi="仿宋_GB2312" w:eastAsia="仿宋_GB2312" w:cs="仿宋_GB2312"/>
          <w:sz w:val="32"/>
          <w:szCs w:val="32"/>
        </w:rPr>
        <w:t>制氢系统优化配置方案研究。考虑风光电力的不稳定性，研究优化配置储能电池容量、制氢设备容量等。满足系统正常运行的前提下，综合考虑各类场景下的系统稳定性、经济性、新能源消纳率等指标，形成多场景储能电池、制氢设备容量优化配置方案。</w:t>
      </w:r>
    </w:p>
    <w:p>
      <w:pPr>
        <w:pStyle w:val="5"/>
        <w:ind w:firstLine="646" w:firstLineChars="202"/>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ascii="仿宋_GB2312" w:hAnsi="仿宋_GB2312" w:eastAsia="仿宋_GB2312" w:cs="仿宋_GB2312"/>
          <w:sz w:val="32"/>
          <w:szCs w:val="32"/>
        </w:rPr>
        <w:t>.制氢系统能量管理与运行控制研究。研究制氢系统的能量管理调度，针对不同场景设置约束条件，保障系统中电能-氢能的高效转化。研究制氢系统的运行控制，并确保系统最低功率运行情况下安全稳定。</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二、攻关后希望达到的预期目标、技术指标、预期成果</w:t>
      </w:r>
      <w:r>
        <w:rPr>
          <w:rFonts w:hint="eastAsia" w:ascii="仿宋_GB2312" w:hAnsi="仿宋_GB2312" w:eastAsia="仿宋_GB2312" w:cs="仿宋_GB2312"/>
          <w:b/>
          <w:bCs/>
          <w:sz w:val="32"/>
          <w:szCs w:val="32"/>
          <w:lang w:eastAsia="zh-CN"/>
        </w:rPr>
        <w:t>：</w:t>
      </w:r>
    </w:p>
    <w:p>
      <w:pPr>
        <w:pStyle w:val="5"/>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（一）预期目标</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ascii="仿宋_GB2312" w:hAnsi="仿宋_GB2312" w:eastAsia="仿宋_GB2312" w:cs="仿宋_GB2312"/>
          <w:sz w:val="32"/>
          <w:szCs w:val="32"/>
        </w:rPr>
        <w:t xml:space="preserve"> 针对制氢系统优化配置方案研究，掌握面向风、光、风光互补、风光储互补等多场景电源，面向加氢站、氢能冶金、氢制甲醇等间断性制氢、持续性制氢的多场景用氢工况，并/离网下新能源制氢系统的架构模型及内部储能电池、碱性制氢设备、PEM制氢设备的最优容量配置方法。</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具体为，面向多电源场景与多用氢工况下，建立PEM电解水制氢、碱性电解水制氢、储能电池的新能源制氢系统架构与数学模型。研究包含清洁能源消纳率、系统经济性、制氢产能等多项指标的储能电池、碱性电解水制氢设备、PEM电解水制氢设备最优容量配置技术。开发面向多电源场景与多用氢工况下，新能源制氢系统容量配置优化的图形界面（例如但不限于基于MATLAB的GUI，基于C++的GUI等）。</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2. 针对制氢系统能量管理与运行控制研究，掌握新能源系统多时间尺度运行调控方法，突破新能源制氢系统多设备耦合运行控制难题。</w:t>
      </w:r>
    </w:p>
    <w:p>
      <w:pPr>
        <w:pStyle w:val="5"/>
        <w:ind w:firstLine="646" w:firstLineChars="202"/>
        <w:rPr>
          <w:rFonts w:ascii="仿宋_GB2312" w:hAnsi="仿宋_GB2312" w:eastAsia="仿宋_GB2312" w:cs="仿宋_GB2312"/>
          <w:sz w:val="32"/>
          <w:szCs w:val="32"/>
        </w:rPr>
      </w:pPr>
      <w:r>
        <w:rPr>
          <w:rFonts w:ascii="仿宋_GB2312" w:hAnsi="仿宋_GB2312" w:eastAsia="仿宋_GB2312" w:cs="仿宋_GB2312"/>
          <w:sz w:val="32"/>
          <w:szCs w:val="32"/>
        </w:rPr>
        <w:t>具体为，建立面向并/离网场景的新能源制氢系统优化调度理论模型。提出多电源场景、多用氢工况、多时间尺度下，符合极限功率安全运行状态约束的，考虑经济性与电氢转化效率的新能源制氢系统优化运行策略。开发面向多电源场景、多用氢工况、多时间尺度的新能源制氢系统运行调度优化的图形界面（例如但不限于基于MATLAB的GUI，基于C++的GUI等）。</w:t>
      </w:r>
    </w:p>
    <w:p>
      <w:pPr>
        <w:pStyle w:val="5"/>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（二）技术指标</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形成制氢系统优化配置方案，方案中的设备容量、设备投资均实现优化。在同等产氢要求下，相比于单渠道制氢设备，双渠道制氢设备采用优化配置方案后，设备容量优化5%以上，设备投资下降2%以上。</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形成制氢系统能量管理方案，实现制氢系统极限功率工况下的安全运行。研究成果运用于《新能源多场景制氢技术研究》科技项目，实现制氢系统启动时间下降5%以上，最低功率范围相比6</w:t>
      </w:r>
      <w:r>
        <w:rPr>
          <w:rFonts w:hint="default" w:ascii="仿宋_GB2312" w:hAnsi="仿宋_GB2312" w:eastAsia="仿宋_GB2312" w:cs="仿宋_GB2312"/>
          <w:sz w:val="32"/>
          <w:szCs w:val="32"/>
        </w:rPr>
        <w:t>0</w:t>
      </w:r>
      <w:r>
        <w:rPr>
          <w:rFonts w:ascii="仿宋_GB2312" w:hAnsi="仿宋_GB2312" w:eastAsia="仿宋_GB2312" w:cs="仿宋_GB2312"/>
          <w:sz w:val="32"/>
          <w:szCs w:val="32"/>
        </w:rPr>
        <w:t>%拓宽3%以上，实现绿氢成本下降2%以上。</w:t>
      </w:r>
    </w:p>
    <w:p>
      <w:pPr>
        <w:pStyle w:val="5"/>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（三）预期成果</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1、技术成果</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基于研究成果，提交多电源场景及多用氢工况下制氢设备容量优化配置方案1份，提交多时间尺度新能源制氢系统运行调控优化方案1份。</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基于研究成果，提交面向多场景新能源制氢系统的架构设计与数学模型报告1份，提交面向并/离网场景的新能源制氢系统优化调度理论模型报告1份。</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开发多场景新能源制氢系统容量优化配置图形界面1套、多时间尺度新能源制氢系统运行调度优化模型图形界面1套。</w:t>
      </w:r>
    </w:p>
    <w:p>
      <w:pPr>
        <w:pStyle w:val="5"/>
        <w:ind w:firstLine="646" w:firstLineChars="202"/>
        <w:rPr>
          <w:rFonts w:ascii="仿宋_GB2312" w:hAnsi="仿宋_GB2312" w:eastAsia="仿宋_GB2312" w:cs="仿宋_GB2312"/>
          <w:sz w:val="32"/>
          <w:szCs w:val="32"/>
        </w:rPr>
      </w:pPr>
      <w:r>
        <w:rPr>
          <w:rFonts w:ascii="仿宋_GB2312" w:hAnsi="仿宋_GB2312" w:eastAsia="仿宋_GB2312" w:cs="仿宋_GB2312"/>
          <w:sz w:val="32"/>
          <w:szCs w:val="32"/>
        </w:rPr>
        <w:t>2、学术成果</w:t>
      </w:r>
    </w:p>
    <w:p>
      <w:pPr>
        <w:pStyle w:val="5"/>
        <w:ind w:firstLine="646" w:firstLineChars="202"/>
        <w:rPr>
          <w:rFonts w:ascii="仿宋_GB2312" w:hAnsi="仿宋_GB2312" w:eastAsia="仿宋_GB2312" w:cs="仿宋_GB2312"/>
          <w:sz w:val="32"/>
          <w:szCs w:val="32"/>
        </w:rPr>
      </w:pPr>
      <w:r>
        <w:rPr>
          <w:rFonts w:ascii="仿宋_GB2312" w:hAnsi="仿宋_GB2312" w:eastAsia="仿宋_GB2312" w:cs="仿宋_GB2312"/>
          <w:sz w:val="32"/>
          <w:szCs w:val="32"/>
        </w:rPr>
        <w:t>发表EI或核心论文1篇以上，申请发明专利</w:t>
      </w:r>
      <w:r>
        <w:rPr>
          <w:rFonts w:hint="default" w:ascii="仿宋_GB2312" w:hAnsi="仿宋_GB2312" w:eastAsia="仿宋_GB2312" w:cs="仿宋_GB2312"/>
          <w:sz w:val="32"/>
          <w:szCs w:val="32"/>
        </w:rPr>
        <w:t>2</w:t>
      </w:r>
      <w:r>
        <w:rPr>
          <w:rFonts w:ascii="仿宋_GB2312" w:hAnsi="仿宋_GB2312" w:eastAsia="仿宋_GB2312" w:cs="仿宋_GB2312"/>
          <w:sz w:val="32"/>
          <w:szCs w:val="32"/>
        </w:rPr>
        <w:t>项以上。</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3、经济效益</w:t>
      </w:r>
    </w:p>
    <w:p>
      <w:pPr>
        <w:pStyle w:val="5"/>
        <w:ind w:firstLine="646" w:firstLineChars="202"/>
        <w:rPr>
          <w:rFonts w:ascii="仿宋_GB2312" w:hAnsi="仿宋_GB2312" w:eastAsia="仿宋_GB2312" w:cs="仿宋_GB2312"/>
          <w:sz w:val="32"/>
          <w:szCs w:val="32"/>
        </w:rPr>
      </w:pPr>
      <w:r>
        <w:rPr>
          <w:rFonts w:ascii="仿宋_GB2312" w:hAnsi="仿宋_GB2312" w:eastAsia="仿宋_GB2312" w:cs="仿宋_GB2312"/>
          <w:sz w:val="32"/>
          <w:szCs w:val="32"/>
        </w:rPr>
        <w:t>揭榜方的研究成果服务于《新能源多场景制氢技术研究》科技项目实验研究。相比科技项目设定的制氢直流电耗指标（额定工况5kWh/Nm3、非额定工况8kWh/Nm3）降低2%以上，在相同单位用电成本下，降低制氢经济成本</w:t>
      </w:r>
      <w:r>
        <w:rPr>
          <w:rFonts w:hint="default" w:ascii="仿宋_GB2312" w:hAnsi="仿宋_GB2312" w:eastAsia="仿宋_GB2312" w:cs="仿宋_GB2312"/>
          <w:sz w:val="32"/>
          <w:szCs w:val="32"/>
        </w:rPr>
        <w:t>2%</w:t>
      </w:r>
      <w:r>
        <w:rPr>
          <w:rFonts w:ascii="仿宋_GB2312" w:hAnsi="仿宋_GB2312" w:eastAsia="仿宋_GB2312" w:cs="仿宋_GB2312"/>
          <w:sz w:val="32"/>
          <w:szCs w:val="32"/>
        </w:rPr>
        <w:t>以上。此外，研究成果可助力解决行业碱性与PEM双渠道制氢的容量配置和优化控制等关键共性问题，为后续相关制氢工程项目提供参考方案。</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三、对揭榜方要求</w:t>
      </w:r>
      <w:r>
        <w:rPr>
          <w:rFonts w:hint="eastAsia" w:ascii="仿宋_GB2312" w:hAnsi="仿宋_GB2312" w:eastAsia="仿宋_GB2312" w:cs="仿宋_GB2312"/>
          <w:b/>
          <w:bCs/>
          <w:sz w:val="32"/>
          <w:szCs w:val="32"/>
          <w:lang w:eastAsia="zh-CN"/>
        </w:rPr>
        <w:t>：</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1</w:t>
      </w:r>
      <w:r>
        <w:rPr>
          <w:rFonts w:hint="default" w:ascii="仿宋_GB2312" w:hAnsi="仿宋_GB2312" w:eastAsia="仿宋_GB2312" w:cs="仿宋_GB2312"/>
          <w:sz w:val="32"/>
          <w:szCs w:val="32"/>
        </w:rPr>
        <w:t>.</w:t>
      </w:r>
      <w:r>
        <w:rPr>
          <w:rFonts w:ascii="仿宋_GB2312" w:hAnsi="仿宋_GB2312" w:eastAsia="仿宋_GB2312" w:cs="仿宋_GB2312"/>
          <w:sz w:val="32"/>
          <w:szCs w:val="32"/>
        </w:rPr>
        <w:t>揭榜方基本条件</w:t>
      </w:r>
    </w:p>
    <w:p>
      <w:pPr>
        <w:pStyle w:val="5"/>
        <w:ind w:firstLine="646" w:firstLineChars="202"/>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揭榜方必须是在中华人民共和国市场监督管理部门注册的，具有独立法人和一般纳税人资格的，</w:t>
      </w:r>
      <w:r>
        <w:rPr>
          <w:rFonts w:ascii="仿宋_GB2312" w:hAnsi="仿宋_GB2312" w:eastAsia="仿宋_GB2312" w:cs="仿宋_GB2312"/>
          <w:sz w:val="32"/>
          <w:szCs w:val="32"/>
        </w:rPr>
        <w:t>具备新能源制氢系统理论研究、建模仿真与实验研究的科研能力与软硬件设施的高校、科研院所；</w:t>
      </w:r>
      <w:r>
        <w:rPr>
          <w:rFonts w:hint="eastAsia" w:ascii="仿宋_GB2312" w:hAnsi="仿宋_GB2312" w:eastAsia="仿宋_GB2312" w:cs="仿宋_GB2312"/>
          <w:sz w:val="32"/>
          <w:szCs w:val="32"/>
        </w:rPr>
        <w:t>应具有良好的企业信用，不存在被列为失信被执行人的情形；近三年财务和资信状况良好，没有财产被接管、冻结或处于亏损、破产状态，应提相关证明（如财务审计报告或报表、资信证明等）</w:t>
      </w:r>
      <w:r>
        <w:rPr>
          <w:rFonts w:ascii="仿宋_GB2312" w:hAnsi="仿宋_GB2312" w:eastAsia="仿宋_GB2312" w:cs="仿宋_GB2312"/>
          <w:sz w:val="32"/>
          <w:szCs w:val="32"/>
        </w:rPr>
        <w:t>。</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2.揭榜方技术条件</w:t>
      </w:r>
    </w:p>
    <w:p>
      <w:pPr>
        <w:pStyle w:val="5"/>
        <w:ind w:firstLine="646" w:firstLineChars="202"/>
        <w:rPr>
          <w:rFonts w:ascii="仿宋_GB2312" w:hAnsi="仿宋_GB2312" w:eastAsia="仿宋_GB2312" w:cs="仿宋_GB2312"/>
          <w:sz w:val="32"/>
          <w:szCs w:val="32"/>
        </w:rPr>
      </w:pPr>
      <w:r>
        <w:rPr>
          <w:rFonts w:ascii="仿宋_GB2312" w:hAnsi="仿宋_GB2312" w:eastAsia="仿宋_GB2312" w:cs="仿宋_GB2312"/>
          <w:sz w:val="32"/>
          <w:szCs w:val="32"/>
        </w:rPr>
        <w:t>揭榜方应具有3年以上的新能源电解水制氢方向的科研经验，并在该领域发表过不少于</w:t>
      </w:r>
      <w:r>
        <w:rPr>
          <w:rFonts w:hint="default" w:ascii="仿宋_GB2312" w:hAnsi="仿宋_GB2312" w:eastAsia="仿宋_GB2312" w:cs="仿宋_GB2312"/>
          <w:sz w:val="32"/>
          <w:szCs w:val="32"/>
        </w:rPr>
        <w:t>2</w:t>
      </w:r>
      <w:r>
        <w:rPr>
          <w:rFonts w:ascii="仿宋_GB2312" w:hAnsi="仿宋_GB2312" w:eastAsia="仿宋_GB2312" w:cs="仿宋_GB2312"/>
          <w:sz w:val="32"/>
          <w:szCs w:val="32"/>
        </w:rPr>
        <w:t>篇SCI论文或EI论文，具有1项及以上的技术成果转化和工程示范应用的业绩。</w:t>
      </w:r>
    </w:p>
    <w:p>
      <w:pPr>
        <w:pStyle w:val="2"/>
        <w:numPr>
          <w:ilvl w:val="0"/>
          <w:numId w:val="0"/>
        </w:num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四、产权归属</w:t>
      </w:r>
      <w:r>
        <w:rPr>
          <w:rFonts w:hint="eastAsia" w:ascii="仿宋_GB2312" w:hAnsi="仿宋_GB2312" w:eastAsia="仿宋_GB2312" w:cs="仿宋_GB2312"/>
          <w:b/>
          <w:bCs/>
          <w:sz w:val="32"/>
          <w:szCs w:val="32"/>
          <w:lang w:eastAsia="zh-CN"/>
        </w:rPr>
        <w:t>：</w:t>
      </w:r>
    </w:p>
    <w:p>
      <w:pPr>
        <w:pStyle w:val="5"/>
        <w:ind w:firstLine="646" w:firstLineChars="202"/>
        <w:rPr>
          <w:rFonts w:hint="default" w:ascii="仿宋_GB2312" w:hAnsi="仿宋_GB2312" w:eastAsia="仿宋_GB2312" w:cs="仿宋_GB2312"/>
          <w:sz w:val="32"/>
          <w:szCs w:val="32"/>
        </w:rPr>
      </w:pPr>
      <w:r>
        <w:rPr>
          <w:rFonts w:ascii="仿宋_GB2312" w:hAnsi="仿宋_GB2312" w:eastAsia="仿宋_GB2312" w:cs="仿宋_GB2312"/>
          <w:sz w:val="32"/>
          <w:szCs w:val="32"/>
        </w:rPr>
        <w:t>揭榜方在合作协议下为发榜方编制的任何研究、报告或其他资料、图表、软件等及随附其上的相关权利应属于并保持为发榜方的资产，发榜方拥有完全的所有权和使用权，包括但不限于占有、使用、收益、处分的权利。未经发榜方授权或书面同意，揭榜方不得擅自使用或对外公开。因本合同及其实施产生的著作权、专利权等知识产权及所有其它权利应归发榜方独家所有，未经发榜方书面同意，揭榜方不得在任何场合以其名义在合同成果中署名。</w:t>
      </w:r>
    </w:p>
    <w:p>
      <w:pPr>
        <w:pStyle w:val="2"/>
        <w:numPr>
          <w:ilvl w:val="0"/>
          <w:numId w:val="0"/>
        </w:numPr>
        <w:spacing w:line="360" w:lineRule="auto"/>
        <w:ind w:firstLine="643"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bCs/>
          <w:sz w:val="32"/>
          <w:szCs w:val="32"/>
        </w:rPr>
        <w:t>五、经费预算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kern w:val="2"/>
          <w:sz w:val="32"/>
          <w:szCs w:val="32"/>
          <w:highlight w:val="none"/>
          <w:lang w:val="en-US" w:eastAsia="zh-CN" w:bidi="ar-SA"/>
        </w:rPr>
        <w:t>总经费控制在</w:t>
      </w:r>
      <w:r>
        <w:rPr>
          <w:rFonts w:hint="eastAsia" w:ascii="仿宋_GB2312" w:hAnsi="仿宋_GB2312" w:eastAsia="仿宋_GB2312" w:cs="仿宋_GB2312"/>
          <w:b w:val="0"/>
          <w:sz w:val="32"/>
          <w:szCs w:val="32"/>
        </w:rPr>
        <w:t>6</w:t>
      </w:r>
      <w:r>
        <w:rPr>
          <w:rFonts w:hint="default" w:ascii="仿宋_GB2312" w:hAnsi="仿宋_GB2312" w:eastAsia="仿宋_GB2312" w:cs="仿宋_GB2312"/>
          <w:b w:val="0"/>
          <w:sz w:val="32"/>
          <w:szCs w:val="32"/>
        </w:rPr>
        <w:t>0</w:t>
      </w:r>
      <w:r>
        <w:rPr>
          <w:rFonts w:hint="eastAsia" w:ascii="仿宋_GB2312" w:hAnsi="仿宋_GB2312" w:eastAsia="仿宋_GB2312" w:cs="仿宋_GB2312"/>
          <w:b w:val="0"/>
          <w:sz w:val="32"/>
          <w:szCs w:val="32"/>
        </w:rPr>
        <w:t>万元</w:t>
      </w:r>
      <w:r>
        <w:rPr>
          <w:rFonts w:hint="eastAsia" w:ascii="仿宋_GB2312" w:hAnsi="仿宋_GB2312" w:eastAsia="仿宋_GB2312" w:cs="仿宋_GB2312"/>
          <w:b w:val="0"/>
          <w:sz w:val="32"/>
          <w:szCs w:val="32"/>
          <w:lang w:val="en-US" w:eastAsia="zh-CN"/>
        </w:rPr>
        <w:t>以内</w:t>
      </w:r>
      <w:r>
        <w:rPr>
          <w:rFonts w:hint="eastAsia" w:ascii="仿宋_GB2312" w:hAnsi="仿宋_GB2312" w:eastAsia="仿宋_GB2312" w:cs="仿宋_GB2312"/>
          <w:b w:val="0"/>
          <w:sz w:val="32"/>
          <w:szCs w:val="32"/>
        </w:rPr>
        <w:t>。</w:t>
      </w:r>
    </w:p>
    <w:p>
      <w:pPr>
        <w:pStyle w:val="5"/>
        <w:ind w:firstLine="649" w:firstLineChars="202"/>
        <w:rPr>
          <w:rFonts w:hint="default" w:ascii="仿宋_GB2312" w:hAnsi="仿宋_GB2312" w:eastAsia="仿宋_GB2312" w:cs="仿宋_GB2312"/>
          <w:sz w:val="32"/>
          <w:szCs w:val="32"/>
        </w:rPr>
      </w:pPr>
      <w:r>
        <w:rPr>
          <w:rFonts w:hint="eastAsia" w:ascii="仿宋_GB2312" w:hAnsi="仿宋_GB2312" w:eastAsia="仿宋_GB2312" w:cs="仿宋_GB2312"/>
          <w:b/>
          <w:bCs/>
          <w:sz w:val="32"/>
          <w:szCs w:val="32"/>
        </w:rPr>
        <w:t>六、研究周期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签订合同后</w:t>
      </w:r>
      <w:r>
        <w:rPr>
          <w:rFonts w:ascii="仿宋_GB2312" w:hAnsi="仿宋_GB2312" w:eastAsia="仿宋_GB2312" w:cs="仿宋_GB2312"/>
          <w:sz w:val="32"/>
          <w:szCs w:val="32"/>
        </w:rPr>
        <w:t>-</w:t>
      </w:r>
      <w:r>
        <w:rPr>
          <w:rFonts w:hint="default" w:ascii="仿宋_GB2312" w:hAnsi="仿宋_GB2312" w:eastAsia="仿宋_GB2312" w:cs="仿宋_GB2312"/>
          <w:sz w:val="32"/>
          <w:szCs w:val="32"/>
        </w:rPr>
        <w:t>2024</w:t>
      </w:r>
      <w:r>
        <w:rPr>
          <w:rFonts w:ascii="仿宋_GB2312" w:hAnsi="仿宋_GB2312" w:eastAsia="仿宋_GB2312" w:cs="仿宋_GB2312"/>
          <w:sz w:val="32"/>
          <w:szCs w:val="32"/>
        </w:rPr>
        <w:t>年</w:t>
      </w:r>
      <w:r>
        <w:rPr>
          <w:rFonts w:hint="default" w:ascii="仿宋_GB2312" w:hAnsi="仿宋_GB2312" w:eastAsia="仿宋_GB2312" w:cs="仿宋_GB2312"/>
          <w:sz w:val="32"/>
          <w:szCs w:val="32"/>
        </w:rPr>
        <w:t>3</w:t>
      </w:r>
      <w:r>
        <w:rPr>
          <w:rFonts w:ascii="仿宋_GB2312" w:hAnsi="仿宋_GB2312" w:eastAsia="仿宋_GB2312" w:cs="仿宋_GB2312"/>
          <w:sz w:val="32"/>
          <w:szCs w:val="32"/>
        </w:rPr>
        <w:t>月。</w:t>
      </w:r>
    </w:p>
    <w:p>
      <w:pPr>
        <w:pStyle w:val="2"/>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七、项目联系人及电话</w:t>
      </w:r>
      <w:r>
        <w:rPr>
          <w:rFonts w:hint="eastAsia" w:ascii="仿宋_GB2312" w:hAnsi="仿宋_GB2312" w:eastAsia="仿宋_GB2312" w:cs="仿宋_GB2312"/>
          <w:b/>
          <w:bCs/>
          <w:sz w:val="32"/>
          <w:szCs w:val="32"/>
          <w:lang w:eastAsia="zh-CN"/>
        </w:rPr>
        <w:t>：</w:t>
      </w:r>
    </w:p>
    <w:p>
      <w:pPr>
        <w:pStyle w:val="5"/>
        <w:ind w:firstLine="646" w:firstLineChars="202"/>
        <w:rPr>
          <w:rFonts w:ascii="仿宋_GB2312" w:hAnsi="仿宋_GB2312" w:eastAsia="仿宋_GB2312" w:cs="仿宋_GB2312"/>
          <w:sz w:val="32"/>
          <w:szCs w:val="32"/>
        </w:rPr>
      </w:pPr>
      <w:r>
        <w:rPr>
          <w:rFonts w:ascii="仿宋_GB2312" w:hAnsi="仿宋_GB2312" w:eastAsia="仿宋_GB2312" w:cs="仿宋_GB2312"/>
          <w:sz w:val="32"/>
          <w:szCs w:val="32"/>
        </w:rPr>
        <w:t>杨倩鹏 18809233380</w:t>
      </w: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pStyle w:val="5"/>
        <w:ind w:firstLine="646" w:firstLineChars="202"/>
        <w:rPr>
          <w:rFonts w:hint="eastAsia" w:ascii="仿宋_GB2312" w:hAnsi="仿宋_GB2312" w:eastAsia="仿宋_GB2312" w:cs="仿宋_GB2312"/>
          <w:sz w:val="32"/>
          <w:szCs w:val="32"/>
          <w:lang w:val="en-US" w:eastAsia="zh-CN"/>
        </w:rPr>
      </w:pPr>
    </w:p>
    <w:p>
      <w:pPr>
        <w:rPr>
          <w:rFonts w:hint="eastAsia"/>
          <w:lang w:val="en-US" w:eastAsia="zh-CN"/>
        </w:rPr>
      </w:pPr>
    </w:p>
    <w:p>
      <w:pPr>
        <w:pStyle w:val="5"/>
        <w:ind w:firstLine="424" w:firstLineChars="202"/>
        <w:rPr>
          <w:rFonts w:hint="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CB8FA-7EFA-4974-BEB3-5B7B364BA4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873329-6080-452E-90A1-474F4063FFA6}"/>
  </w:font>
  <w:font w:name="仿宋_GB2312">
    <w:panose1 w:val="02010609030101010101"/>
    <w:charset w:val="86"/>
    <w:family w:val="auto"/>
    <w:pitch w:val="default"/>
    <w:sig w:usb0="00000001" w:usb1="080E0000" w:usb2="00000000" w:usb3="00000000" w:csb0="00040000" w:csb1="00000000"/>
    <w:embedRegular r:id="rId3" w:fontKey="{1C01FC8F-D991-49BC-8C97-E058FFEC630A}"/>
  </w:font>
  <w:font w:name="方正小标宋简体">
    <w:panose1 w:val="03000509000000000000"/>
    <w:charset w:val="86"/>
    <w:family w:val="auto"/>
    <w:pitch w:val="default"/>
    <w:sig w:usb0="00000001" w:usb1="080E0000" w:usb2="00000000" w:usb3="00000000" w:csb0="00040000" w:csb1="00000000"/>
    <w:embedRegular r:id="rId4" w:fontKey="{498E91BD-05B5-4034-85E6-5239D6ED9DC1}"/>
  </w:font>
  <w:font w:name="仿宋">
    <w:panose1 w:val="02010609060101010101"/>
    <w:charset w:val="86"/>
    <w:family w:val="modern"/>
    <w:pitch w:val="default"/>
    <w:sig w:usb0="800002BF" w:usb1="38CF7CFA" w:usb2="00000016" w:usb3="00000000" w:csb0="00040001" w:csb1="00000000"/>
    <w:embedRegular r:id="rId5" w:fontKey="{94734814-BEB0-4797-8E4E-1CDA8FC54A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CA011"/>
    <w:multiLevelType w:val="singleLevel"/>
    <w:tmpl w:val="ACCCA011"/>
    <w:lvl w:ilvl="0" w:tentative="0">
      <w:start w:val="2"/>
      <w:numFmt w:val="decimal"/>
      <w:lvlText w:val="%1."/>
      <w:lvlJc w:val="left"/>
      <w:pPr>
        <w:tabs>
          <w:tab w:val="left" w:pos="312"/>
        </w:tabs>
      </w:pPr>
    </w:lvl>
  </w:abstractNum>
  <w:abstractNum w:abstractNumId="1">
    <w:nsid w:val="BAD536D4"/>
    <w:multiLevelType w:val="singleLevel"/>
    <w:tmpl w:val="BAD536D4"/>
    <w:lvl w:ilvl="0" w:tentative="0">
      <w:start w:val="1"/>
      <w:numFmt w:val="chineseCounting"/>
      <w:suff w:val="nothing"/>
      <w:lvlText w:val="%1、"/>
      <w:lvlJc w:val="left"/>
      <w:pPr>
        <w:ind w:left="-10"/>
      </w:pPr>
      <w:rPr>
        <w:rFonts w:hint="eastAsia"/>
      </w:rPr>
    </w:lvl>
  </w:abstractNum>
  <w:abstractNum w:abstractNumId="2">
    <w:nsid w:val="E4A7C310"/>
    <w:multiLevelType w:val="singleLevel"/>
    <w:tmpl w:val="E4A7C310"/>
    <w:lvl w:ilvl="0" w:tentative="0">
      <w:start w:val="3"/>
      <w:numFmt w:val="chineseCounting"/>
      <w:suff w:val="nothing"/>
      <w:lvlText w:val="%1、"/>
      <w:lvlJc w:val="left"/>
      <w:rPr>
        <w:rFonts w:hint="eastAsia"/>
      </w:rPr>
    </w:lvl>
  </w:abstractNum>
  <w:abstractNum w:abstractNumId="3">
    <w:nsid w:val="06C85E1D"/>
    <w:multiLevelType w:val="multilevel"/>
    <w:tmpl w:val="06C85E1D"/>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4">
    <w:nsid w:val="1543748F"/>
    <w:multiLevelType w:val="singleLevel"/>
    <w:tmpl w:val="1543748F"/>
    <w:lvl w:ilvl="0" w:tentative="0">
      <w:start w:val="1"/>
      <w:numFmt w:val="decimal"/>
      <w:suff w:val="nothing"/>
      <w:lvlText w:val="（%1）"/>
      <w:lvlJc w:val="left"/>
    </w:lvl>
  </w:abstractNum>
  <w:abstractNum w:abstractNumId="5">
    <w:nsid w:val="1A916C68"/>
    <w:multiLevelType w:val="multilevel"/>
    <w:tmpl w:val="1A916C68"/>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6">
    <w:nsid w:val="31EC58CF"/>
    <w:multiLevelType w:val="multilevel"/>
    <w:tmpl w:val="31EC58CF"/>
    <w:lvl w:ilvl="0" w:tentative="0">
      <w:start w:val="1"/>
      <w:numFmt w:val="decimal"/>
      <w:pStyle w:val="9"/>
      <w:lvlText w:val="2.3.6.%1"/>
      <w:lvlJc w:val="left"/>
      <w:pPr>
        <w:tabs>
          <w:tab w:val="left" w:pos="720"/>
        </w:tabs>
        <w:ind w:left="0" w:firstLine="0"/>
      </w:pPr>
      <w:rPr>
        <w:rFonts w:hint="eastAsia"/>
      </w:rPr>
    </w:lvl>
    <w:lvl w:ilvl="1" w:tentative="0">
      <w:start w:val="1"/>
      <w:numFmt w:val="decimal"/>
      <w:lvlText w:val="%1.%2"/>
      <w:lvlJc w:val="left"/>
      <w:pPr>
        <w:tabs>
          <w:tab w:val="left" w:pos="360"/>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8">
    <w:nsid w:val="3A337F05"/>
    <w:multiLevelType w:val="multilevel"/>
    <w:tmpl w:val="3A337F05"/>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9">
    <w:nsid w:val="3FFA5047"/>
    <w:multiLevelType w:val="singleLevel"/>
    <w:tmpl w:val="3FFA5047"/>
    <w:lvl w:ilvl="0" w:tentative="0">
      <w:start w:val="4"/>
      <w:numFmt w:val="chineseCounting"/>
      <w:suff w:val="nothing"/>
      <w:lvlText w:val="%1、"/>
      <w:lvlJc w:val="left"/>
      <w:rPr>
        <w:rFonts w:hint="eastAsia"/>
      </w:rPr>
    </w:lvl>
  </w:abstractNum>
  <w:abstractNum w:abstractNumId="10">
    <w:nsid w:val="43030B0D"/>
    <w:multiLevelType w:val="multilevel"/>
    <w:tmpl w:val="43030B0D"/>
    <w:lvl w:ilvl="0" w:tentative="0">
      <w:start w:val="1"/>
      <w:numFmt w:val="japaneseCounting"/>
      <w:lvlText w:val="（%1）"/>
      <w:lvlJc w:val="left"/>
      <w:pPr>
        <w:ind w:left="1600" w:hanging="9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46335E6F"/>
    <w:multiLevelType w:val="multilevel"/>
    <w:tmpl w:val="46335E6F"/>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610585D6"/>
    <w:multiLevelType w:val="singleLevel"/>
    <w:tmpl w:val="610585D6"/>
    <w:lvl w:ilvl="0" w:tentative="0">
      <w:start w:val="1"/>
      <w:numFmt w:val="decimal"/>
      <w:lvlText w:val="%1."/>
      <w:lvlJc w:val="left"/>
      <w:pPr>
        <w:tabs>
          <w:tab w:val="left" w:pos="312"/>
        </w:tabs>
      </w:pPr>
    </w:lvl>
  </w:abstractNum>
  <w:abstractNum w:abstractNumId="13">
    <w:nsid w:val="640846E0"/>
    <w:multiLevelType w:val="multilevel"/>
    <w:tmpl w:val="640846E0"/>
    <w:lvl w:ilvl="0" w:tentative="0">
      <w:start w:val="1"/>
      <w:numFmt w:val="japaneseCounting"/>
      <w:lvlText w:val="%1、"/>
      <w:lvlJc w:val="left"/>
      <w:pPr>
        <w:ind w:left="1302" w:hanging="672"/>
      </w:pPr>
      <w:rPr>
        <w:rFonts w:hint="default"/>
        <w:sz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4">
    <w:nsid w:val="76AE3FD5"/>
    <w:multiLevelType w:val="multilevel"/>
    <w:tmpl w:val="76AE3FD5"/>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7"/>
  </w:num>
  <w:num w:numId="2">
    <w:abstractNumId w:val="11"/>
  </w:num>
  <w:num w:numId="3">
    <w:abstractNumId w:val="6"/>
  </w:num>
  <w:num w:numId="4">
    <w:abstractNumId w:val="4"/>
  </w:num>
  <w:num w:numId="5">
    <w:abstractNumId w:val="13"/>
  </w:num>
  <w:num w:numId="6">
    <w:abstractNumId w:val="5"/>
  </w:num>
  <w:num w:numId="7">
    <w:abstractNumId w:val="3"/>
  </w:num>
  <w:num w:numId="8">
    <w:abstractNumId w:val="14"/>
  </w:num>
  <w:num w:numId="9">
    <w:abstractNumId w:val="8"/>
  </w:num>
  <w:num w:numId="10">
    <w:abstractNumId w:val="12"/>
  </w:num>
  <w:num w:numId="11">
    <w:abstractNumId w:val="0"/>
  </w:num>
  <w:num w:numId="12">
    <w:abstractNumId w:val="2"/>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ZThhMTg2MDM3M2EwMzM3ZDIzYzJjNzU2YmEyMDgifQ=="/>
  </w:docVars>
  <w:rsids>
    <w:rsidRoot w:val="00172A27"/>
    <w:rsid w:val="08D73FD6"/>
    <w:rsid w:val="09BF760C"/>
    <w:rsid w:val="0DF04D08"/>
    <w:rsid w:val="0FA41914"/>
    <w:rsid w:val="138A5B68"/>
    <w:rsid w:val="16310B0A"/>
    <w:rsid w:val="171A3E54"/>
    <w:rsid w:val="19270E02"/>
    <w:rsid w:val="1B5407F3"/>
    <w:rsid w:val="262E6E4C"/>
    <w:rsid w:val="29D313B7"/>
    <w:rsid w:val="2B0C0F7B"/>
    <w:rsid w:val="2EB57234"/>
    <w:rsid w:val="2F786BD3"/>
    <w:rsid w:val="33C341A1"/>
    <w:rsid w:val="3E7A5DA4"/>
    <w:rsid w:val="4CC96874"/>
    <w:rsid w:val="5A9118FE"/>
    <w:rsid w:val="5A985DA7"/>
    <w:rsid w:val="5B975D90"/>
    <w:rsid w:val="618E553F"/>
    <w:rsid w:val="641A6866"/>
    <w:rsid w:val="674C6DED"/>
    <w:rsid w:val="70AD7A7D"/>
    <w:rsid w:val="79BB167D"/>
    <w:rsid w:val="7BFE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引言二级条标题"/>
    <w:basedOn w:val="3"/>
    <w:next w:val="5"/>
    <w:qFormat/>
    <w:uiPriority w:val="0"/>
    <w:pPr>
      <w:numPr>
        <w:ilvl w:val="1"/>
        <w:numId w:val="1"/>
      </w:numPr>
      <w:tabs>
        <w:tab w:val="left" w:pos="360"/>
      </w:tabs>
    </w:pPr>
  </w:style>
  <w:style w:type="paragraph" w:customStyle="1" w:styleId="3">
    <w:name w:val="引言一级条标题"/>
    <w:basedOn w:val="4"/>
    <w:next w:val="5"/>
    <w:qFormat/>
    <w:uiPriority w:val="0"/>
    <w:pPr>
      <w:widowControl/>
      <w:numPr>
        <w:ilvl w:val="0"/>
        <w:numId w:val="2"/>
      </w:numPr>
    </w:pPr>
    <w:rPr>
      <w:rFonts w:ascii="Times New Roman" w:hAnsi="Times New Roman" w:eastAsia="黑体"/>
      <w:b/>
    </w:rPr>
  </w:style>
  <w:style w:type="paragraph" w:customStyle="1" w:styleId="4">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段"/>
    <w:basedOn w:val="6"/>
    <w:next w:val="1"/>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styleId="6">
    <w:name w:val="Plain Text"/>
    <w:basedOn w:val="1"/>
    <w:next w:val="1"/>
    <w:qFormat/>
    <w:uiPriority w:val="0"/>
    <w:rPr>
      <w:rFonts w:ascii="宋体" w:hAnsi="Courier New" w:eastAsia="宋体"/>
      <w:sz w:val="21"/>
      <w:szCs w:val="20"/>
    </w:rPr>
  </w:style>
  <w:style w:type="paragraph" w:styleId="7">
    <w:name w:val="Normal Indent"/>
    <w:basedOn w:val="1"/>
    <w:qFormat/>
    <w:uiPriority w:val="99"/>
    <w:pPr>
      <w:widowControl w:val="0"/>
      <w:ind w:firstLine="420"/>
      <w:jc w:val="both"/>
    </w:pPr>
    <w:rPr>
      <w:sz w:val="21"/>
      <w:szCs w:val="21"/>
    </w:rPr>
  </w:style>
  <w:style w:type="paragraph" w:styleId="8">
    <w:name w:val="Body Text"/>
    <w:basedOn w:val="1"/>
    <w:next w:val="9"/>
    <w:qFormat/>
    <w:uiPriority w:val="0"/>
    <w:pPr>
      <w:spacing w:line="252" w:lineRule="auto"/>
      <w:jc w:val="left"/>
    </w:pPr>
    <w:rPr>
      <w:rFonts w:ascii="Arial" w:hAnsi="Arial"/>
      <w:kern w:val="0"/>
      <w:szCs w:val="21"/>
    </w:rPr>
  </w:style>
  <w:style w:type="paragraph" w:styleId="9">
    <w:name w:val="Body Text Indent"/>
    <w:basedOn w:val="1"/>
    <w:next w:val="1"/>
    <w:qFormat/>
    <w:uiPriority w:val="0"/>
    <w:pPr>
      <w:numPr>
        <w:ilvl w:val="0"/>
        <w:numId w:val="3"/>
      </w:numPr>
      <w:spacing w:line="360" w:lineRule="auto"/>
      <w:ind w:left="718" w:leftChars="342" w:firstLine="2"/>
    </w:pPr>
    <w:rPr>
      <w:rFonts w:ascii="宋体" w:hAnsi="宋体"/>
      <w:color w:val="000000"/>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8"/>
    <w:next w:val="1"/>
    <w:qFormat/>
    <w:uiPriority w:val="0"/>
    <w:pPr>
      <w:spacing w:after="120" w:line="360" w:lineRule="auto"/>
      <w:ind w:firstLine="420" w:firstLineChars="100"/>
      <w:jc w:val="both"/>
    </w:pPr>
    <w:rPr>
      <w:rFonts w:ascii="Times New Roman" w:hAnsi="Times New Roman"/>
      <w:kern w:val="2"/>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11"/>
    <w:basedOn w:val="15"/>
    <w:qFormat/>
    <w:uiPriority w:val="0"/>
    <w:rPr>
      <w:rFonts w:hint="eastAsia" w:ascii="宋体" w:hAnsi="宋体" w:eastAsia="宋体" w:cs="宋体"/>
      <w:color w:val="000000"/>
      <w:sz w:val="28"/>
      <w:szCs w:val="28"/>
      <w:u w:val="none"/>
    </w:rPr>
  </w:style>
  <w:style w:type="character" w:customStyle="1" w:styleId="17">
    <w:name w:val="font01"/>
    <w:basedOn w:val="15"/>
    <w:qFormat/>
    <w:uiPriority w:val="0"/>
    <w:rPr>
      <w:rFonts w:hint="eastAsia" w:ascii="宋体" w:hAnsi="宋体" w:eastAsia="宋体" w:cs="宋体"/>
      <w:color w:val="000000"/>
      <w:sz w:val="28"/>
      <w:szCs w:val="28"/>
      <w:u w:val="none"/>
    </w:rPr>
  </w:style>
  <w:style w:type="paragraph" w:customStyle="1" w:styleId="18">
    <w:name w:val="中等深浅网格 1 - 强调文字颜色 21"/>
    <w:basedOn w:val="1"/>
    <w:qFormat/>
    <w:uiPriority w:val="0"/>
    <w:pPr>
      <w:spacing w:after="0" w:line="240" w:lineRule="auto"/>
      <w:ind w:firstLine="420" w:firstLineChars="200"/>
    </w:pPr>
    <w:rPr>
      <w:rFonts w:ascii="Times New Roman" w:hAnsi="Times New Roman"/>
      <w:szCs w:val="20"/>
    </w:rPr>
  </w:style>
  <w:style w:type="paragraph" w:styleId="19">
    <w:name w:val="List Paragraph"/>
    <w:qFormat/>
    <w:uiPriority w:val="34"/>
    <w:pPr>
      <w:widowControl w:val="0"/>
      <w:spacing w:after="0" w:line="240" w:lineRule="auto"/>
      <w:ind w:firstLine="420" w:firstLineChars="200"/>
      <w:jc w:val="both"/>
    </w:pPr>
    <w:rPr>
      <w:rFonts w:ascii="Calibri" w:hAnsi="Calibri" w:eastAsia="宋体" w:cs="Times New Roman"/>
      <w:kern w:val="2"/>
      <w:sz w:val="21"/>
      <w:szCs w:val="22"/>
      <w:lang w:val="en-US" w:eastAsia="zh-CN" w:bidi="ar-SA"/>
    </w:rPr>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_Style 2"/>
    <w:basedOn w:val="1"/>
    <w:qFormat/>
    <w:uiPriority w:val="0"/>
    <w:pPr>
      <w:spacing w:after="0"/>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22102</Words>
  <Characters>23029</Characters>
  <Lines>0</Lines>
  <Paragraphs>0</Paragraphs>
  <TotalTime>42</TotalTime>
  <ScaleCrop>false</ScaleCrop>
  <LinksUpToDate>false</LinksUpToDate>
  <CharactersWithSpaces>23126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2022-06-06T09:32:00Z</dcterms:created>
  <dc:creator>Deli</dc:creator>
  <cp:lastModifiedBy>张涵瑜</cp:lastModifiedBy>
  <dcterms:modified xsi:type="dcterms:W3CDTF">2023-04-26T08:46:39Z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4DDD1A1E757D4DD5B364EA30668B52F9</vt:lpwstr>
  </property>
</Properties>
</file>