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</w:t>
      </w: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AB2B5C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2023-07-25T07:44:46Z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890BB0D4237947CCBD9EC0B7B5CCD043_13</vt:lpwstr>
  </property>
</Properties>
</file>