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40" w:lineRule="auto"/>
        <w:jc w:val="left"/>
        <w:textAlignment w:val="auto"/>
        <w:outlineLvl w:val="0"/>
        <w:rPr>
          <w:rFonts w:hint="eastAsia" w:ascii="黑体" w:eastAsia="黑体"/>
          <w:b/>
          <w:color w:val="auto"/>
          <w:sz w:val="24"/>
          <w:highlight w:val="none"/>
        </w:rPr>
      </w:pPr>
      <w:bookmarkStart w:id="0" w:name="_Toc5466"/>
      <w:bookmarkStart w:id="1" w:name="_Toc9242"/>
      <w:r>
        <w:rPr>
          <w:rFonts w:hint="eastAsia" w:ascii="黑体" w:eastAsia="黑体"/>
          <w:b/>
          <w:color w:val="auto"/>
          <w:sz w:val="24"/>
          <w:highlight w:val="none"/>
          <w:lang w:val="en-US" w:eastAsia="zh-CN"/>
        </w:rPr>
        <w:t>附表5：</w:t>
      </w:r>
      <w:r>
        <w:rPr>
          <w:rFonts w:hint="eastAsia" w:ascii="黑体" w:eastAsia="黑体"/>
          <w:b/>
          <w:color w:val="auto"/>
          <w:sz w:val="24"/>
          <w:highlight w:val="none"/>
        </w:rPr>
        <w:t>招标人、招标代理机构及投标人关于招标代理服务费的三方约定</w:t>
      </w:r>
      <w:bookmarkEnd w:id="0"/>
    </w:p>
    <w:p>
      <w:pPr>
        <w:autoSpaceDE w:val="0"/>
        <w:autoSpaceDN w:val="0"/>
        <w:adjustRightInd w:val="0"/>
        <w:snapToGrid w:val="0"/>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招标人、招标代理机构与投标人三方约定</w:t>
      </w:r>
    </w:p>
    <w:p>
      <w:pPr>
        <w:bidi w:val="0"/>
        <w:jc w:val="center"/>
        <w:rPr>
          <w:lang w:eastAsia="zh-CN"/>
        </w:rPr>
      </w:pPr>
      <w:r>
        <w:rPr>
          <w:rFonts w:hint="eastAsia"/>
        </w:rPr>
        <w:t>▲要求为由</w:t>
      </w:r>
      <w:r>
        <w:rPr>
          <w:rFonts w:hint="eastAsia"/>
          <w:lang w:eastAsia="zh-CN"/>
        </w:rPr>
        <w:t>法定代表人或其委托代理人</w:t>
      </w:r>
      <w:r>
        <w:rPr>
          <w:rFonts w:hint="eastAsia"/>
        </w:rPr>
        <w:t>签字</w:t>
      </w:r>
      <w:r>
        <w:rPr>
          <w:rFonts w:hint="eastAsia"/>
          <w:lang w:eastAsia="zh-CN"/>
        </w:rPr>
        <w:t>、</w:t>
      </w:r>
      <w:r>
        <w:rPr>
          <w:rFonts w:hint="eastAsia"/>
        </w:rPr>
        <w:t>加盖单位公章后，</w:t>
      </w:r>
      <w:r>
        <w:rPr>
          <w:rFonts w:hint="eastAsia"/>
          <w:lang w:val="en-US" w:eastAsia="zh-CN"/>
        </w:rPr>
        <w:t>扫描</w:t>
      </w:r>
      <w:r>
        <w:rPr>
          <w:rFonts w:hint="eastAsia"/>
        </w:rPr>
        <w:t>附在商务投标文件中。</w:t>
      </w:r>
    </w:p>
    <w:tbl>
      <w:tblPr>
        <w:tblStyle w:val="5"/>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2" w:hRule="atLeast"/>
          <w:jc w:val="center"/>
        </w:trPr>
        <w:tc>
          <w:tcPr>
            <w:tcW w:w="8269" w:type="dxa"/>
          </w:tcPr>
          <w:p>
            <w:pPr>
              <w:pStyle w:val="8"/>
              <w:spacing w:line="360" w:lineRule="auto"/>
              <w:jc w:val="left"/>
              <w:rPr>
                <w:rFonts w:ascii="宋体" w:hAnsi="宋体"/>
                <w:b/>
                <w:bCs/>
                <w:sz w:val="28"/>
                <w:szCs w:val="36"/>
              </w:rPr>
            </w:pPr>
          </w:p>
          <w:p>
            <w:pPr>
              <w:pStyle w:val="8"/>
              <w:spacing w:line="360" w:lineRule="auto"/>
              <w:jc w:val="left"/>
              <w:rPr>
                <w:rFonts w:ascii="宋体" w:hAnsi="宋体"/>
                <w:b/>
                <w:sz w:val="20"/>
                <w:szCs w:val="20"/>
              </w:rPr>
            </w:pPr>
            <w:r>
              <w:rPr>
                <w:rFonts w:hint="eastAsia" w:ascii="宋体" w:hAnsi="宋体"/>
                <w:b/>
                <w:bCs/>
                <w:sz w:val="20"/>
                <w:szCs w:val="20"/>
              </w:rPr>
              <w:t>招标人、招标代理机构与投标人三方约定</w:t>
            </w:r>
          </w:p>
          <w:p>
            <w:pPr>
              <w:pStyle w:val="8"/>
              <w:jc w:val="left"/>
              <w:rPr>
                <w:rFonts w:ascii="宋体" w:hAnsi="宋体"/>
                <w:sz w:val="20"/>
                <w:szCs w:val="20"/>
              </w:rPr>
            </w:pPr>
          </w:p>
          <w:p>
            <w:pPr>
              <w:pStyle w:val="8"/>
              <w:jc w:val="left"/>
              <w:rPr>
                <w:rFonts w:ascii="宋体" w:hAnsi="宋体"/>
                <w:sz w:val="20"/>
                <w:szCs w:val="20"/>
              </w:rPr>
            </w:pPr>
          </w:p>
          <w:p>
            <w:pPr>
              <w:pStyle w:val="8"/>
              <w:jc w:val="left"/>
              <w:rPr>
                <w:rFonts w:ascii="宋体" w:hAnsi="宋体"/>
                <w:sz w:val="20"/>
                <w:szCs w:val="20"/>
              </w:rPr>
            </w:pPr>
          </w:p>
          <w:p>
            <w:pPr>
              <w:pStyle w:val="9"/>
              <w:spacing w:line="360" w:lineRule="auto"/>
              <w:ind w:firstLine="400" w:firstLineChars="200"/>
              <w:jc w:val="left"/>
              <w:rPr>
                <w:rFonts w:ascii="宋体" w:hAnsi="宋体"/>
                <w:sz w:val="20"/>
                <w:szCs w:val="20"/>
              </w:rPr>
            </w:pPr>
            <w:r>
              <w:rPr>
                <w:rFonts w:hint="eastAsia" w:ascii="宋体" w:hAnsi="宋体"/>
                <w:sz w:val="20"/>
                <w:szCs w:val="20"/>
              </w:rPr>
              <w:t>根据中国招标投标协会《关于贯彻&lt;国家发展改革委关于进一步放开建设项目专业服务价格的通知（发改价格【2015】299号）的指导意见&gt;》（中招协【2015】026号），本次招标，招标人、招标代理机构与投标人约定如下：招标代理服务费用包含在投标人的投标总报价中，由招标人随合同款支付给中标人。投标人中标后向招标代理机构支付招标代理服务费用。</w:t>
            </w:r>
          </w:p>
          <w:p>
            <w:pPr>
              <w:pStyle w:val="9"/>
              <w:spacing w:line="360" w:lineRule="auto"/>
              <w:jc w:val="left"/>
              <w:rPr>
                <w:rFonts w:ascii="宋体" w:hAnsi="宋体"/>
                <w:kern w:val="2"/>
                <w:sz w:val="20"/>
                <w:szCs w:val="20"/>
              </w:rPr>
            </w:pPr>
            <w:r>
              <w:rPr>
                <w:rFonts w:hint="eastAsia" w:ascii="宋体" w:hAnsi="宋体"/>
                <w:sz w:val="20"/>
                <w:szCs w:val="20"/>
              </w:rPr>
              <w:t>法定代表人或其委托代理人签字</w:t>
            </w:r>
            <w:r>
              <w:rPr>
                <w:rFonts w:hint="eastAsia" w:ascii="宋体" w:hAnsi="宋体"/>
                <w:kern w:val="2"/>
                <w:sz w:val="20"/>
                <w:szCs w:val="20"/>
              </w:rPr>
              <w:t>：</w:t>
            </w:r>
          </w:p>
          <w:p>
            <w:pPr>
              <w:pStyle w:val="9"/>
              <w:spacing w:line="360" w:lineRule="auto"/>
              <w:jc w:val="left"/>
              <w:rPr>
                <w:rFonts w:ascii="宋体" w:hAnsi="宋体"/>
                <w:kern w:val="2"/>
                <w:sz w:val="20"/>
                <w:szCs w:val="20"/>
              </w:rPr>
            </w:pPr>
          </w:p>
          <w:p>
            <w:pPr>
              <w:pStyle w:val="9"/>
              <w:spacing w:line="360" w:lineRule="auto"/>
              <w:jc w:val="left"/>
              <w:rPr>
                <w:rFonts w:ascii="宋体" w:hAnsi="宋体"/>
                <w:kern w:val="2"/>
                <w:sz w:val="20"/>
                <w:szCs w:val="20"/>
              </w:rPr>
            </w:pPr>
          </w:p>
          <w:p>
            <w:pPr>
              <w:pStyle w:val="9"/>
              <w:spacing w:line="360" w:lineRule="auto"/>
              <w:jc w:val="left"/>
              <w:rPr>
                <w:rFonts w:ascii="宋体" w:hAnsi="宋体"/>
                <w:kern w:val="2"/>
                <w:sz w:val="20"/>
                <w:szCs w:val="20"/>
              </w:rPr>
            </w:pPr>
            <w:r>
              <w:rPr>
                <w:rFonts w:hint="eastAsia" w:ascii="宋体" w:hAnsi="宋体"/>
                <w:kern w:val="2"/>
                <w:sz w:val="20"/>
                <w:szCs w:val="20"/>
              </w:rPr>
              <w:t xml:space="preserve">                            投标人（公章）：</w:t>
            </w:r>
          </w:p>
          <w:p>
            <w:pPr>
              <w:pStyle w:val="8"/>
              <w:ind w:firstLine="4600" w:firstLineChars="2300"/>
              <w:jc w:val="left"/>
              <w:rPr>
                <w:rFonts w:ascii="宋体" w:hAnsi="宋体"/>
                <w:b/>
                <w:szCs w:val="28"/>
              </w:rPr>
            </w:pPr>
            <w:r>
              <w:rPr>
                <w:rFonts w:hint="eastAsia" w:ascii="宋体" w:hAnsi="宋体"/>
                <w:sz w:val="20"/>
                <w:szCs w:val="20"/>
              </w:rPr>
              <w:t>年   月   日</w:t>
            </w:r>
          </w:p>
        </w:tc>
      </w:tr>
    </w:tbl>
    <w:p>
      <w:pPr>
        <w:keepNext w:val="0"/>
        <w:keepLines w:val="0"/>
        <w:pageBreakBefore w:val="0"/>
        <w:widowControl w:val="0"/>
        <w:kinsoku/>
        <w:wordWrap/>
        <w:overflowPunct/>
        <w:topLinePunct w:val="0"/>
        <w:autoSpaceDE/>
        <w:autoSpaceDN/>
        <w:bidi w:val="0"/>
        <w:spacing w:line="380" w:lineRule="atLeast"/>
        <w:ind w:firstLine="422" w:firstLineChars="200"/>
        <w:textAlignment w:val="auto"/>
        <w:outlineLvl w:val="1"/>
        <w:rPr>
          <w:rFonts w:hint="eastAsia"/>
          <w:b/>
          <w:bCs/>
          <w:color w:val="auto"/>
          <w:highlight w:val="none"/>
          <w:lang w:val="en-US" w:eastAsia="zh-CN"/>
        </w:rPr>
      </w:pPr>
    </w:p>
    <w:p>
      <w:pPr>
        <w:pStyle w:val="2"/>
        <w:rPr>
          <w:rFonts w:hint="eastAsia"/>
          <w:b/>
          <w:bCs/>
          <w:color w:val="auto"/>
          <w:highlight w:val="none"/>
          <w:lang w:val="en-US" w:eastAsia="zh-CN"/>
        </w:rPr>
      </w:pPr>
    </w:p>
    <w:p>
      <w:pPr>
        <w:pStyle w:val="3"/>
        <w:rPr>
          <w:rFonts w:hint="eastAsia"/>
          <w:b/>
          <w:bCs/>
          <w:color w:val="auto"/>
          <w:highlight w:val="none"/>
          <w:lang w:val="en-US" w:eastAsia="zh-CN"/>
        </w:rPr>
      </w:pPr>
    </w:p>
    <w:p>
      <w:pPr>
        <w:rPr>
          <w:rFonts w:hint="eastAsia"/>
          <w:b/>
          <w:bCs/>
          <w:color w:val="auto"/>
          <w:highlight w:val="none"/>
          <w:lang w:val="en-US" w:eastAsia="zh-CN"/>
        </w:rPr>
      </w:pPr>
    </w:p>
    <w:p>
      <w:pPr>
        <w:pStyle w:val="2"/>
        <w:rPr>
          <w:rFonts w:hint="eastAsia"/>
          <w:b/>
          <w:bCs/>
          <w:color w:val="auto"/>
          <w:highlight w:val="none"/>
          <w:lang w:val="en-US" w:eastAsia="zh-CN"/>
        </w:rPr>
      </w:pPr>
    </w:p>
    <w:p>
      <w:pPr>
        <w:pStyle w:val="3"/>
        <w:rPr>
          <w:rFonts w:hint="eastAsia"/>
          <w:b/>
          <w:bCs/>
          <w:color w:val="auto"/>
          <w:highlight w:val="none"/>
          <w:lang w:val="en-US" w:eastAsia="zh-CN"/>
        </w:rPr>
      </w:pPr>
    </w:p>
    <w:p>
      <w:pPr>
        <w:rPr>
          <w:rFonts w:hint="eastAsia"/>
          <w:b/>
          <w:bCs/>
          <w:color w:val="auto"/>
          <w:highlight w:val="none"/>
          <w:lang w:val="en-US" w:eastAsia="zh-CN"/>
        </w:rPr>
      </w:pPr>
    </w:p>
    <w:p>
      <w:pPr>
        <w:pStyle w:val="2"/>
        <w:rPr>
          <w:rFonts w:hint="eastAsia"/>
          <w:b/>
          <w:bCs/>
          <w:color w:val="auto"/>
          <w:highlight w:val="none"/>
          <w:lang w:val="en-US" w:eastAsia="zh-CN"/>
        </w:rPr>
      </w:pPr>
    </w:p>
    <w:p>
      <w:pPr>
        <w:pStyle w:val="3"/>
        <w:rPr>
          <w:rFonts w:hint="eastAsia"/>
          <w:b/>
          <w:bCs/>
          <w:color w:val="auto"/>
          <w:highlight w:val="none"/>
          <w:lang w:val="en-US" w:eastAsia="zh-CN"/>
        </w:rPr>
      </w:pPr>
    </w:p>
    <w:p>
      <w:pPr>
        <w:rPr>
          <w:rFonts w:hint="eastAsia"/>
          <w:b/>
          <w:bCs/>
          <w:color w:val="auto"/>
          <w:highlight w:val="none"/>
          <w:lang w:val="en-US" w:eastAsia="zh-CN"/>
        </w:rPr>
      </w:pPr>
    </w:p>
    <w:p>
      <w:pPr>
        <w:pStyle w:val="2"/>
        <w:rPr>
          <w:rFonts w:hint="eastAsia"/>
          <w:b/>
          <w:bCs/>
          <w:color w:val="auto"/>
          <w:highlight w:val="none"/>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spacing w:line="380" w:lineRule="atLeast"/>
        <w:ind w:firstLine="422" w:firstLineChars="200"/>
        <w:textAlignment w:val="auto"/>
        <w:outlineLvl w:val="1"/>
        <w:rPr>
          <w:rFonts w:hint="eastAsia"/>
          <w:b/>
          <w:bCs/>
          <w:color w:val="auto"/>
          <w:highlight w:val="none"/>
          <w:lang w:val="en-US" w:eastAsia="zh-CN"/>
        </w:rPr>
      </w:pPr>
      <w:r>
        <w:rPr>
          <w:rFonts w:hint="eastAsia"/>
          <w:b/>
          <w:bCs/>
          <w:color w:val="auto"/>
          <w:highlight w:val="none"/>
          <w:lang w:val="en-US" w:eastAsia="zh-CN"/>
        </w:rPr>
        <w:t>附件：合规约定（业务关联方）</w:t>
      </w:r>
      <w:bookmarkEnd w:id="1"/>
    </w:p>
    <w:p>
      <w:pPr>
        <w:keepNext w:val="0"/>
        <w:keepLines w:val="0"/>
        <w:pageBreakBefore w:val="0"/>
        <w:widowControl w:val="0"/>
        <w:kinsoku/>
        <w:wordWrap/>
        <w:overflowPunct/>
        <w:topLinePunct w:val="0"/>
        <w:autoSpaceDE/>
        <w:autoSpaceDN/>
        <w:bidi w:val="0"/>
        <w:spacing w:line="380" w:lineRule="atLeast"/>
        <w:ind w:firstLine="562" w:firstLineChars="200"/>
        <w:jc w:val="center"/>
        <w:textAlignment w:val="auto"/>
        <w:outlineLvl w:val="1"/>
        <w:rPr>
          <w:rFonts w:hint="eastAsia"/>
          <w:b/>
          <w:bCs/>
          <w:color w:val="auto"/>
          <w:sz w:val="28"/>
          <w:szCs w:val="36"/>
          <w:highlight w:val="none"/>
          <w:lang w:eastAsia="zh-CN"/>
        </w:rPr>
      </w:pPr>
      <w:r>
        <w:rPr>
          <w:rFonts w:hint="eastAsia"/>
          <w:b/>
          <w:bCs/>
          <w:color w:val="auto"/>
          <w:sz w:val="28"/>
          <w:szCs w:val="36"/>
          <w:highlight w:val="none"/>
        </w:rPr>
        <w:t>合规</w:t>
      </w:r>
      <w:r>
        <w:rPr>
          <w:rFonts w:hint="eastAsia"/>
          <w:b/>
          <w:bCs/>
          <w:color w:val="auto"/>
          <w:sz w:val="28"/>
          <w:szCs w:val="36"/>
          <w:highlight w:val="none"/>
          <w:lang w:eastAsia="zh-CN"/>
        </w:rPr>
        <w:t>约定</w:t>
      </w:r>
    </w:p>
    <w:p>
      <w:pPr>
        <w:keepNext w:val="0"/>
        <w:keepLines w:val="0"/>
        <w:pageBreakBefore w:val="0"/>
        <w:widowControl w:val="0"/>
        <w:kinsoku/>
        <w:wordWrap/>
        <w:overflowPunct/>
        <w:topLinePunct w:val="0"/>
        <w:autoSpaceDE/>
        <w:autoSpaceDN/>
        <w:bidi w:val="0"/>
        <w:spacing w:line="380" w:lineRule="atLeast"/>
        <w:ind w:firstLine="422" w:firstLineChars="200"/>
        <w:textAlignment w:val="auto"/>
        <w:outlineLvl w:val="1"/>
        <w:rPr>
          <w:rFonts w:hint="eastAsia"/>
          <w:b/>
          <w:bCs/>
          <w:color w:val="auto"/>
          <w:highlight w:val="none"/>
          <w:lang w:val="en-US" w:eastAsia="zh-CN"/>
        </w:rPr>
      </w:pPr>
      <w:r>
        <w:rPr>
          <w:rFonts w:hint="eastAsia"/>
          <w:b/>
          <w:bCs/>
          <w:color w:val="auto"/>
          <w:highlight w:val="none"/>
          <w:lang w:val="en-US" w:eastAsia="zh-CN"/>
        </w:rPr>
        <w:t>（业务关联方）</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eastAsia="zh-CN"/>
        </w:rPr>
      </w:pPr>
      <w:r>
        <w:rPr>
          <w:rFonts w:hint="eastAsia"/>
          <w:color w:val="auto"/>
          <w:highlight w:val="none"/>
        </w:rPr>
        <w:t>为保障</w:t>
      </w:r>
      <w:r>
        <w:rPr>
          <w:rFonts w:hint="eastAsia"/>
          <w:color w:val="auto"/>
          <w:highlight w:val="none"/>
          <w:lang w:eastAsia="zh-CN"/>
        </w:rPr>
        <w:t>合同</w:t>
      </w:r>
      <w:r>
        <w:rPr>
          <w:rFonts w:hint="eastAsia"/>
          <w:color w:val="auto"/>
          <w:highlight w:val="none"/>
        </w:rPr>
        <w:t>双方依法诚信合规开展</w:t>
      </w:r>
      <w:r>
        <w:rPr>
          <w:rFonts w:hint="eastAsia"/>
          <w:color w:val="auto"/>
          <w:highlight w:val="none"/>
          <w:lang w:eastAsia="zh-CN"/>
        </w:rPr>
        <w:t>业务</w:t>
      </w:r>
      <w:r>
        <w:rPr>
          <w:rFonts w:hint="eastAsia"/>
          <w:color w:val="auto"/>
          <w:highlight w:val="none"/>
        </w:rPr>
        <w:t>合作，明确双方的诚信合规责任，依据国家法律法规的相关规定，在遵循平等、自愿的基础上，经双方友好协商一致，签订合规协议</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eastAsia="zh-CN"/>
        </w:rPr>
        <w:t>一、双方承诺</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GB"/>
        </w:rPr>
      </w:pPr>
      <w:r>
        <w:rPr>
          <w:rFonts w:hint="eastAsia"/>
          <w:color w:val="auto"/>
          <w:highlight w:val="none"/>
          <w:lang w:val="en-US" w:eastAsia="zh-CN"/>
        </w:rPr>
        <w:t>1.</w:t>
      </w:r>
      <w:r>
        <w:rPr>
          <w:rFonts w:hint="eastAsia"/>
          <w:color w:val="auto"/>
          <w:highlight w:val="none"/>
          <w:lang w:val="en-GB"/>
        </w:rPr>
        <w:t>坚持以习近平新时代中国特色社会主义思想为指导，积极培育企业合规管理能力，保障</w:t>
      </w:r>
      <w:r>
        <w:rPr>
          <w:rFonts w:hint="eastAsia"/>
          <w:color w:val="auto"/>
          <w:highlight w:val="none"/>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lang w:val="en-US" w:eastAsia="zh-CN"/>
        </w:rPr>
        <w:t>2.</w:t>
      </w:r>
      <w:r>
        <w:rPr>
          <w:rFonts w:hint="eastAsia"/>
          <w:color w:val="auto"/>
          <w:highlight w:val="none"/>
        </w:rPr>
        <w:t>将合规管理要求全面嵌入</w:t>
      </w:r>
      <w:r>
        <w:rPr>
          <w:rFonts w:hint="eastAsia"/>
          <w:color w:val="auto"/>
          <w:highlight w:val="none"/>
          <w:lang w:eastAsia="zh-CN"/>
        </w:rPr>
        <w:t>合同涉及业务各个方面</w:t>
      </w:r>
      <w:r>
        <w:rPr>
          <w:rFonts w:hint="eastAsia"/>
          <w:color w:val="auto"/>
          <w:highlight w:val="none"/>
        </w:rPr>
        <w:t>，在</w:t>
      </w:r>
      <w:r>
        <w:rPr>
          <w:rFonts w:hint="eastAsia"/>
          <w:color w:val="auto"/>
          <w:highlight w:val="none"/>
          <w:lang w:eastAsia="zh-CN"/>
        </w:rPr>
        <w:t>合同履行中确定</w:t>
      </w:r>
      <w:r>
        <w:rPr>
          <w:rFonts w:hint="eastAsia"/>
          <w:color w:val="auto"/>
          <w:highlight w:val="none"/>
        </w:rPr>
        <w:t>合规管理重点，落实合规人人有责、人人参与，促进</w:t>
      </w:r>
      <w:r>
        <w:rPr>
          <w:rFonts w:hint="eastAsia"/>
          <w:color w:val="auto"/>
          <w:highlight w:val="none"/>
          <w:lang w:eastAsia="zh-CN"/>
        </w:rPr>
        <w:t>合同履行</w:t>
      </w:r>
      <w:r>
        <w:rPr>
          <w:rFonts w:hint="eastAsia"/>
          <w:color w:val="auto"/>
          <w:highlight w:val="none"/>
        </w:rPr>
        <w:t>全面合规。</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lang w:val="en-US" w:eastAsia="zh-CN"/>
        </w:rPr>
        <w:t>3.</w:t>
      </w:r>
      <w:r>
        <w:rPr>
          <w:rFonts w:hint="eastAsia"/>
          <w:color w:val="auto"/>
          <w:highlight w:val="none"/>
        </w:rPr>
        <w:t>立足防范合规风险，强调关口前移、事前防范和过程控制，通过</w:t>
      </w:r>
      <w:r>
        <w:rPr>
          <w:rFonts w:hint="eastAsia"/>
          <w:color w:val="auto"/>
          <w:highlight w:val="none"/>
          <w:lang w:val="en-US" w:eastAsia="zh-CN"/>
        </w:rPr>
        <w:t>积极主动开展合规风险辨识</w:t>
      </w:r>
      <w:r>
        <w:rPr>
          <w:rFonts w:hint="eastAsia"/>
          <w:color w:val="auto"/>
          <w:highlight w:val="none"/>
        </w:rPr>
        <w:t>，达到警示和预防目的。</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eastAsia="zh-CN"/>
        </w:rPr>
      </w:pPr>
      <w:r>
        <w:rPr>
          <w:rFonts w:hint="eastAsia"/>
          <w:color w:val="auto"/>
          <w:highlight w:val="none"/>
          <w:lang w:eastAsia="zh-CN"/>
        </w:rPr>
        <w:t>二、双方参与合同履行人员做到</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eastAsia="zh-CN"/>
        </w:rPr>
      </w:pPr>
      <w:r>
        <w:rPr>
          <w:rFonts w:hint="eastAsia"/>
          <w:color w:val="auto"/>
          <w:highlight w:val="none"/>
          <w:lang w:val="en-US" w:eastAsia="zh-CN"/>
        </w:rPr>
        <w:t>4.</w:t>
      </w:r>
      <w:r>
        <w:rPr>
          <w:rFonts w:hint="eastAsia"/>
          <w:color w:val="auto"/>
          <w:highlight w:val="none"/>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eastAsia="zh-CN"/>
        </w:rPr>
      </w:pPr>
      <w:r>
        <w:rPr>
          <w:rFonts w:hint="eastAsia"/>
          <w:color w:val="auto"/>
          <w:highlight w:val="none"/>
          <w:lang w:eastAsia="zh-CN"/>
        </w:rPr>
        <w:t>三、违规事件即时报告</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乙方因履行主合同发生违规事件，乙方应在24小时以内以书面形式报甲方，其简况至少包含以下内容：</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1.违规事件发生的时间、地点、单位；</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2.违规事件的简要经过及处罚内容；</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3.违规事件发生的原因。</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四、违规事件责任的承担</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乙方在合同履行合同期间因不合规行为，致使甲方受到行政处罚，处罚金由乙方承担；给甲方造成损失的，乙方承担相应赔偿责任。</w:t>
      </w:r>
    </w:p>
    <w:tbl>
      <w:tblPr>
        <w:tblStyle w:val="6"/>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noWrap w:val="0"/>
            <w:vAlign w:val="top"/>
          </w:tcPr>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甲方（发包人、委托人、买方）：</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法定代表人（负责人）或</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授权代表（签字）：</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签订日期：</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tc>
        <w:tc>
          <w:tcPr>
            <w:tcW w:w="4261" w:type="dxa"/>
            <w:noWrap w:val="0"/>
            <w:vAlign w:val="top"/>
          </w:tcPr>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乙方（承包人、受托人、卖方）：</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法定代表人（负责人）或</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授权代表（签字）：</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签订日期：</w:t>
            </w:r>
          </w:p>
        </w:tc>
      </w:tr>
    </w:tbl>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工程廉政合同</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根据国家《反不正当竞争法》、《建筑法》、《招标投标法》等有关法律法规及相关规定，确保工程建设甲乙双方秉公行事、工程质量达到工程建设合同规定标准、干部廉洁，在签订工程建设合同的同时，自愿签订本合同。</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第一条  甲乙双方责任</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（一）应严格遵守国家关于市场准入、项目招标投标、工程建设和市场活动的有关法律法规和相关规定，以及廉政建设的各项规定。</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（二）严格执行工程建设合同文件，自觉按合同办事。</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（三）业务活动必须坚持公开、公平、公正、诚信、透明的原则（除法律法规另有规定者除外），不得为获取不正当利益，损害国家、集体和双方利益，不得违反工程建设管理的规章制度。</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（四）发现对方在业务活动中有违规违纪行为的，应及时提醒对方，情节严重的，应向甲乙双方及其上级主管部门或纪检监察、司法等有关机关举报。</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第二条  甲方责任</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甲方各级领导和从事该建设工程项目的工作人员，在工程建设事前、事中、事后应遵守以下规定：</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（一）不准向乙方和相关单位索要或接受回扣、礼品、礼金和各种有价证券、信用卡及其他支付凭证、好处费、感谢费等。</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（二）不准在乙方和相关单位报销任何由甲方或个人支付的费用等。</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（三）不准借用、租用乙方的交通、通讯工具等物品，不得参加有可能影响公正执行公务的乙方和相关单位的宴请、健身、娱乐、庆典活动等。</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（四）不准要求、暗示或接受乙方和相关单位为个人装修住房、婚丧嫁娶、配偶子女的工作安排以及出国（境）、旅游等提供方便。</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五）不准向乙方和相关单位介绍或为配偶、子女、亲属参与同甲方建设项目有关的材料供应、工程分包、工程监理、工程装修装饰、组织提供劳务等活动;不得以任何理由指定乙方和相关单位使用某种产品、材料和设备。</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第三条  乙方责任</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应与甲方保持正常的业务交往，按照有关法律法规和相关规定开展业务，严格执行工程建设有关方针、政策，并遵守以下规定：</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（一）不准以任何理由向甲方及其工作人员索要、接受或赠送礼品、礼金和各种有价证券、信用卡及其他支付凭证、回扣、好处费、感谢费等。</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（二）不准以任何理由为甲方及其相关人员报销应由对方单位或个人支付的费用。</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（三）不准以任何理由为甲方及其相关人员借用或租用交通、通讯工具等物品，不得为甲方、相关单位或个人组织有可能影响公正执行公务的宴请、健身、娱乐、庆典活动等。</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（四）不准接受和暗示为甲方、相关单位或个人装修住房、婚丧嫁娶、配偶子女的工作安排以及出国（境）、旅游等提供方便。</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第四条  违约责任</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一）甲方工作人员有违反本合同第一、二条责任行为的，按照管理权限，依据有关法律法规和相关规定给予党纪、政纪处分或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二）乙方工作人员有违反本合同第一、三条责任行为的，按照管理权限，依据有关法律法规和相关规定给予党纪、政纪处分或组织处理；涉嫌犯罪的，移交司法机关追究刑事责任；给甲方单位造成经济损失的，应予以赔偿。</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第五条  本合同为工程建设合同的附件，经双方签署后立即生效。</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rPr>
        <w:t>第六条  本合同有效期为双方签署之日起至该工程项目竣工验收达到工程建设合同规定质量标准时止。</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22" w:firstLineChars="200"/>
        <w:textAlignment w:val="auto"/>
        <w:outlineLvl w:val="1"/>
        <w:rPr>
          <w:rFonts w:hint="eastAsia"/>
          <w:b/>
          <w:bCs/>
          <w:color w:val="auto"/>
          <w:highlight w:val="none"/>
          <w:lang w:val="en-US" w:eastAsia="zh-CN"/>
        </w:rPr>
      </w:pPr>
      <w:r>
        <w:rPr>
          <w:rFonts w:hint="eastAsia"/>
          <w:b/>
          <w:bCs/>
          <w:color w:val="auto"/>
          <w:highlight w:val="none"/>
          <w:lang w:val="en-US" w:eastAsia="zh-CN"/>
        </w:rPr>
        <w:t>供应商关于配合开展资质能力信息核实的承诺函</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rPr>
      </w:pPr>
      <w:r>
        <w:rPr>
          <w:rFonts w:hint="eastAsia"/>
          <w:color w:val="auto"/>
          <w:highlight w:val="none"/>
          <w:lang w:val="en-US" w:eastAsia="zh-CN"/>
        </w:rPr>
        <w:t>（</w:t>
      </w:r>
      <w:r>
        <w:rPr>
          <w:rFonts w:hint="eastAsia"/>
          <w:color w:val="auto"/>
          <w:highlight w:val="none"/>
        </w:rPr>
        <w:t>附在商务标书中</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default"/>
          <w:color w:val="auto"/>
          <w:highlight w:val="none"/>
        </w:rPr>
      </w:pPr>
      <w:r>
        <w:rPr>
          <w:rFonts w:hint="eastAsia"/>
          <w:color w:val="auto"/>
          <w:highlight w:val="none"/>
          <w:lang w:val="en-US" w:eastAsia="zh-CN"/>
        </w:rPr>
        <w:t> </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default"/>
          <w:color w:val="auto"/>
          <w:highlight w:val="none"/>
        </w:rPr>
      </w:pPr>
      <w:r>
        <w:rPr>
          <w:rFonts w:hint="eastAsia"/>
          <w:color w:val="auto"/>
          <w:highlight w:val="none"/>
          <w:lang w:val="en-US" w:eastAsia="zh-CN"/>
        </w:rPr>
        <w:t>**招标人/**代理机构： </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default"/>
          <w:color w:val="auto"/>
          <w:highlight w:val="none"/>
        </w:rPr>
      </w:pPr>
      <w:r>
        <w:rPr>
          <w:rFonts w:hint="eastAsia"/>
          <w:color w:val="auto"/>
          <w:highlight w:val="none"/>
          <w:lang w:val="en-US" w:eastAsia="zh-CN"/>
        </w:rPr>
        <w:t>我方（投标人）现郑重承诺如下：</w:t>
      </w: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我方及外购外协供应商（如有）将充分配合国家电网有限公司开展供应商资质能力核实工作，如我方或外购外协供应商（如有）未配合，或投标信息不真实准确，或经核实不具备生产投标产品所需的生产能力，我方同意被取消</w:t>
      </w:r>
      <w:r>
        <w:rPr>
          <w:rFonts w:hint="eastAsia" w:ascii="宋体" w:hAnsi="宋体"/>
          <w:color w:val="auto"/>
          <w:kern w:val="0"/>
          <w:szCs w:val="21"/>
          <w:highlight w:val="none"/>
          <w:lang w:val="en-US" w:eastAsia="zh-CN"/>
        </w:rPr>
        <w:t>成交</w:t>
      </w:r>
      <w:r>
        <w:rPr>
          <w:rFonts w:hint="eastAsia"/>
          <w:color w:val="auto"/>
          <w:highlight w:val="none"/>
          <w:lang w:val="en-US" w:eastAsia="zh-CN"/>
        </w:rPr>
        <w:t>资格。同时如我方或外购外协供应商（如有）提供虚假投标信息，我方同意接受被纳入供应商不良行为处理的后果。</w:t>
      </w:r>
    </w:p>
    <w:p>
      <w:pPr>
        <w:pStyle w:val="2"/>
        <w:rPr>
          <w:rFonts w:hint="eastAsia"/>
          <w:color w:val="auto"/>
          <w:highlight w:val="none"/>
          <w:lang w:val="en-US" w:eastAsia="zh-CN"/>
        </w:rPr>
      </w:pPr>
    </w:p>
    <w:p>
      <w:pPr>
        <w:pStyle w:val="3"/>
        <w:rPr>
          <w:rFonts w:hint="eastAsia"/>
          <w:color w:val="auto"/>
          <w:highlight w:val="none"/>
          <w:lang w:val="en-US" w:eastAsia="zh-CN"/>
        </w:rPr>
      </w:pPr>
    </w:p>
    <w:p>
      <w:pPr>
        <w:rPr>
          <w:rFonts w:hint="eastAsia"/>
          <w:color w:val="auto"/>
          <w:highlight w:val="none"/>
          <w:lang w:val="en-US" w:eastAsia="zh-CN"/>
        </w:rPr>
      </w:pPr>
    </w:p>
    <w:p>
      <w:pPr>
        <w:pStyle w:val="2"/>
        <w:rPr>
          <w:rFonts w:hint="default"/>
        </w:rPr>
      </w:pPr>
    </w:p>
    <w:p>
      <w:pPr>
        <w:keepNext w:val="0"/>
        <w:keepLines w:val="0"/>
        <w:pageBreakBefore w:val="0"/>
        <w:widowControl w:val="0"/>
        <w:kinsoku/>
        <w:wordWrap/>
        <w:overflowPunct/>
        <w:topLinePunct w:val="0"/>
        <w:autoSpaceDE/>
        <w:autoSpaceDN/>
        <w:bidi w:val="0"/>
        <w:spacing w:line="380" w:lineRule="atLeast"/>
        <w:ind w:firstLine="420" w:firstLineChars="200"/>
        <w:textAlignment w:val="auto"/>
        <w:outlineLvl w:val="1"/>
        <w:rPr>
          <w:rFonts w:hint="eastAsia"/>
          <w:color w:val="auto"/>
          <w:highlight w:val="none"/>
          <w:lang w:val="en-US" w:eastAsia="zh-CN"/>
        </w:rPr>
      </w:pPr>
      <w:r>
        <w:rPr>
          <w:rFonts w:hint="eastAsia"/>
          <w:color w:val="auto"/>
          <w:highlight w:val="none"/>
          <w:lang w:val="en-US" w:eastAsia="zh-CN"/>
        </w:rPr>
        <w:t> </w:t>
      </w:r>
    </w:p>
    <w:p>
      <w:pPr>
        <w:keepNext w:val="0"/>
        <w:keepLines w:val="0"/>
        <w:pageBreakBefore w:val="0"/>
        <w:widowControl w:val="0"/>
        <w:kinsoku/>
        <w:wordWrap/>
        <w:overflowPunct/>
        <w:topLinePunct w:val="0"/>
        <w:autoSpaceDE/>
        <w:autoSpaceDN/>
        <w:bidi w:val="0"/>
        <w:spacing w:line="380" w:lineRule="atLeast"/>
        <w:ind w:firstLine="420" w:firstLineChars="200"/>
        <w:jc w:val="right"/>
        <w:textAlignment w:val="auto"/>
        <w:outlineLvl w:val="1"/>
        <w:rPr>
          <w:rFonts w:hint="default"/>
          <w:color w:val="auto"/>
          <w:highlight w:val="none"/>
        </w:rPr>
      </w:pPr>
      <w:r>
        <w:rPr>
          <w:rFonts w:hint="eastAsia"/>
          <w:color w:val="auto"/>
          <w:highlight w:val="none"/>
          <w:lang w:val="en-US" w:eastAsia="zh-CN"/>
        </w:rPr>
        <w:t>投标人：（盖单位章）</w:t>
      </w:r>
    </w:p>
    <w:p>
      <w:pPr>
        <w:keepNext w:val="0"/>
        <w:keepLines w:val="0"/>
        <w:pageBreakBefore w:val="0"/>
        <w:widowControl w:val="0"/>
        <w:kinsoku/>
        <w:wordWrap/>
        <w:overflowPunct/>
        <w:topLinePunct w:val="0"/>
        <w:autoSpaceDE/>
        <w:autoSpaceDN/>
        <w:bidi w:val="0"/>
        <w:spacing w:line="380" w:lineRule="atLeast"/>
        <w:ind w:firstLine="420" w:firstLineChars="200"/>
        <w:jc w:val="right"/>
        <w:textAlignment w:val="auto"/>
        <w:outlineLvl w:val="1"/>
        <w:rPr>
          <w:rFonts w:hint="default"/>
          <w:color w:val="auto"/>
          <w:highlight w:val="none"/>
        </w:rPr>
      </w:pPr>
      <w:r>
        <w:rPr>
          <w:rFonts w:hint="eastAsia"/>
          <w:color w:val="auto"/>
          <w:highlight w:val="none"/>
          <w:lang w:val="en-US" w:eastAsia="zh-CN"/>
        </w:rPr>
        <w:t> </w:t>
      </w:r>
    </w:p>
    <w:p>
      <w:pPr>
        <w:keepNext w:val="0"/>
        <w:keepLines w:val="0"/>
        <w:pageBreakBefore w:val="0"/>
        <w:widowControl w:val="0"/>
        <w:kinsoku/>
        <w:wordWrap/>
        <w:overflowPunct/>
        <w:topLinePunct w:val="0"/>
        <w:autoSpaceDE/>
        <w:autoSpaceDN/>
        <w:bidi w:val="0"/>
        <w:spacing w:line="380" w:lineRule="atLeast"/>
        <w:ind w:firstLine="420" w:firstLineChars="200"/>
        <w:jc w:val="right"/>
        <w:textAlignment w:val="auto"/>
        <w:outlineLvl w:val="1"/>
        <w:rPr>
          <w:rFonts w:hint="eastAsia"/>
          <w:color w:val="auto"/>
          <w:highlight w:val="none"/>
        </w:rPr>
      </w:pPr>
      <w:r>
        <w:rPr>
          <w:rFonts w:hint="eastAsia"/>
          <w:color w:val="auto"/>
          <w:highlight w:val="none"/>
          <w:lang w:val="en-US" w:eastAsia="zh-CN"/>
        </w:rPr>
        <w:t>时间：    年    月    日</w:t>
      </w:r>
    </w:p>
    <w:p>
      <w:bookmarkStart w:id="2" w:name="_GoBack"/>
      <w:bookmarkEnd w:id="2"/>
    </w:p>
    <w:sectPr>
      <w:footerReference r:id="rId3" w:type="default"/>
      <w:pgSz w:w="11905" w:h="16838"/>
      <w:pgMar w:top="1440" w:right="1803" w:bottom="1440" w:left="1803" w:header="850"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M2FmOGJlNWE1OTJiMDMyNmRhMGI3YzFkM2VjODgifQ=="/>
  </w:docVars>
  <w:rsids>
    <w:rsidRoot w:val="4C120C0A"/>
    <w:rsid w:val="4C12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w:basedOn w:val="1"/>
    <w:next w:val="1"/>
    <w:semiHidden/>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p0 New"/>
    <w:basedOn w:val="8"/>
    <w:qFormat/>
    <w:uiPriority w:val="0"/>
    <w:pPr>
      <w:widowControl/>
    </w:pPr>
    <w:rPr>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2023-07-28T08:36:00Z</dcterms:created>
  <dc:creator>Administrator</dc:creator>
  <cp:lastModifiedBy>Administrator</cp:lastModifiedBy>
  <dcterms:modified xsi:type="dcterms:W3CDTF">2023-07-28T08:36:49Z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12E7C4E538AD480AAB8E66E9F3684EB3_11</vt:lpwstr>
  </property>
</Properties>
</file>