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napToGrid/>
        <w:spacing w:line="360" w:lineRule="auto"/>
        <w:jc w:val="center"/>
        <w:rPr>
          <w:rFonts w:hint="eastAsia" w:ascii="宋体" w:hAnsi="宋体" w:eastAsia="宋体" w:cs="宋体"/>
          <w:color w:val="auto"/>
          <w:sz w:val="32"/>
          <w:szCs w:val="32"/>
          <w:highlight w:val="none"/>
        </w:rPr>
      </w:pPr>
      <w:bookmarkStart w:id="21" w:name="_GoBack"/>
      <w:bookmarkEnd w:id="21"/>
      <w:r>
        <w:rPr>
          <w:rFonts w:hint="eastAsia" w:ascii="宋体" w:hAnsi="宋体" w:eastAsia="宋体" w:cs="宋体"/>
          <w:color w:val="auto"/>
          <w:sz w:val="32"/>
          <w:szCs w:val="32"/>
          <w:highlight w:val="none"/>
          <w:u w:val="single"/>
          <w:lang w:eastAsia="zh-CN"/>
        </w:rPr>
        <w:t>刚察县各景区基础设施提升建设项目</w:t>
      </w:r>
      <w:r>
        <w:rPr>
          <w:rFonts w:hint="eastAsia" w:ascii="宋体" w:hAnsi="宋体" w:eastAsia="宋体" w:cs="宋体"/>
          <w:color w:val="auto"/>
          <w:sz w:val="32"/>
          <w:szCs w:val="32"/>
          <w:highlight w:val="none"/>
        </w:rPr>
        <w:t>询比采购公告</w:t>
      </w:r>
    </w:p>
    <w:p>
      <w:pPr>
        <w:pageBreakBefore w:val="0"/>
        <w:widowControl/>
        <w:kinsoku/>
        <w:overflowPunct/>
        <w:topLinePunct w:val="0"/>
        <w:bidi w:val="0"/>
        <w:adjustRightInd/>
        <w:snapToGrid/>
        <w:spacing w:line="360" w:lineRule="auto"/>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u w:val="single"/>
          <w:lang w:eastAsia="zh-CN"/>
        </w:rPr>
        <w:t>刚察县各景区基础设施提升建设项目</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已具备采购条件，现公开邀请</w:t>
      </w:r>
      <w:r>
        <w:rPr>
          <w:rFonts w:hint="eastAsia" w:ascii="宋体" w:hAnsi="宋体" w:eastAsia="宋体" w:cs="宋体"/>
          <w:color w:val="auto"/>
          <w:sz w:val="24"/>
          <w:highlight w:val="none"/>
          <w:lang w:eastAsia="zh-CN"/>
        </w:rPr>
        <w:t>询比响应人</w:t>
      </w:r>
      <w:r>
        <w:rPr>
          <w:rFonts w:hint="eastAsia" w:ascii="宋体" w:hAnsi="宋体" w:eastAsia="宋体" w:cs="宋体"/>
          <w:color w:val="auto"/>
          <w:sz w:val="24"/>
          <w:highlight w:val="none"/>
        </w:rPr>
        <w:t>参加询比采购活动。</w:t>
      </w:r>
    </w:p>
    <w:p>
      <w:pPr>
        <w:pStyle w:val="6"/>
        <w:pageBreakBefore w:val="0"/>
        <w:kinsoku/>
        <w:overflowPunct/>
        <w:topLinePunct w:val="0"/>
        <w:bidi w:val="0"/>
        <w:snapToGrid/>
        <w:spacing w:line="360" w:lineRule="auto"/>
        <w:jc w:val="both"/>
        <w:rPr>
          <w:rFonts w:hint="eastAsia" w:ascii="宋体" w:hAnsi="宋体" w:eastAsia="宋体" w:cs="宋体"/>
          <w:color w:val="auto"/>
          <w:szCs w:val="22"/>
          <w:highlight w:val="none"/>
        </w:rPr>
      </w:pPr>
      <w:bookmarkStart w:id="0" w:name="_Toc2495"/>
      <w:bookmarkStart w:id="1" w:name="_Toc4010"/>
      <w:r>
        <w:rPr>
          <w:rFonts w:hint="eastAsia" w:ascii="宋体" w:hAnsi="宋体" w:eastAsia="宋体" w:cs="宋体"/>
          <w:color w:val="auto"/>
          <w:szCs w:val="22"/>
          <w:highlight w:val="none"/>
        </w:rPr>
        <w:t>1 采购项目简介</w:t>
      </w:r>
      <w:bookmarkEnd w:id="0"/>
      <w:bookmarkEnd w:id="1"/>
    </w:p>
    <w:p>
      <w:pPr>
        <w:pageBreakBefore w:val="0"/>
        <w:widowControl/>
        <w:kinsoku/>
        <w:overflowPunct/>
        <w:topLinePunct w:val="0"/>
        <w:bidi w:val="0"/>
        <w:adjustRightInd/>
        <w:snapToGrid/>
        <w:spacing w:line="360" w:lineRule="auto"/>
        <w:jc w:val="both"/>
        <w:textAlignment w:val="auto"/>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1.1采购项目名称∶</w:t>
      </w:r>
      <w:r>
        <w:rPr>
          <w:rFonts w:hint="eastAsia" w:ascii="宋体" w:hAnsi="宋体" w:eastAsia="宋体" w:cs="宋体"/>
          <w:color w:val="auto"/>
          <w:kern w:val="0"/>
          <w:sz w:val="24"/>
          <w:szCs w:val="24"/>
          <w:highlight w:val="none"/>
          <w:u w:val="single"/>
          <w:lang w:val="en-US" w:eastAsia="zh-CN" w:bidi="ar-SA"/>
        </w:rPr>
        <w:t>刚察县各景区基础设施提升建设项目</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1.2</w:t>
      </w:r>
      <w:r>
        <w:rPr>
          <w:rFonts w:hint="eastAsia" w:ascii="宋体" w:hAnsi="宋体" w:eastAsia="宋体" w:cs="宋体"/>
          <w:color w:val="auto"/>
          <w:highlight w:val="none"/>
          <w:lang w:eastAsia="zh-CN"/>
        </w:rPr>
        <w:t>招标</w:t>
      </w:r>
      <w:r>
        <w:rPr>
          <w:rFonts w:hint="eastAsia" w:ascii="宋体" w:hAnsi="宋体" w:eastAsia="宋体" w:cs="宋体"/>
          <w:color w:val="auto"/>
          <w:highlight w:val="none"/>
        </w:rPr>
        <w:t>人∶</w:t>
      </w:r>
      <w:r>
        <w:rPr>
          <w:rFonts w:hint="eastAsia" w:ascii="宋体" w:hAnsi="宋体" w:eastAsia="宋体" w:cs="宋体"/>
          <w:color w:val="auto"/>
          <w:highlight w:val="none"/>
          <w:u w:val="single"/>
          <w:lang w:eastAsia="zh-CN"/>
        </w:rPr>
        <w:t>刚察县仙湖旅游投资开发经营有限公司</w:t>
      </w:r>
      <w:r>
        <w:rPr>
          <w:rFonts w:hint="eastAsia" w:ascii="宋体" w:hAnsi="宋体" w:eastAsia="宋体" w:cs="宋体"/>
          <w:color w:val="auto"/>
          <w:highlight w:val="none"/>
          <w:u w:val="single"/>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1.3</w:t>
      </w:r>
      <w:r>
        <w:rPr>
          <w:rFonts w:hint="eastAsia" w:ascii="宋体" w:hAnsi="宋体" w:eastAsia="宋体" w:cs="宋体"/>
          <w:color w:val="auto"/>
          <w:highlight w:val="none"/>
          <w:lang w:eastAsia="zh-CN"/>
        </w:rPr>
        <w:t>招标代理机构</w:t>
      </w:r>
      <w:r>
        <w:rPr>
          <w:rFonts w:hint="eastAsia" w:ascii="宋体" w:hAnsi="宋体" w:eastAsia="宋体" w:cs="宋体"/>
          <w:color w:val="auto"/>
          <w:highlight w:val="none"/>
        </w:rPr>
        <w:t>∶</w:t>
      </w:r>
      <w:r>
        <w:rPr>
          <w:rFonts w:hint="eastAsia" w:ascii="宋体" w:hAnsi="宋体" w:eastAsia="宋体" w:cs="宋体"/>
          <w:color w:val="auto"/>
          <w:highlight w:val="none"/>
          <w:u w:val="single"/>
          <w:lang w:eastAsia="zh-CN"/>
        </w:rPr>
        <w:t>青海汇森招标有限公司</w:t>
      </w:r>
      <w:r>
        <w:rPr>
          <w:rFonts w:hint="eastAsia" w:ascii="宋体" w:hAnsi="宋体" w:eastAsia="宋体" w:cs="宋体"/>
          <w:color w:val="auto"/>
          <w:highlight w:val="none"/>
          <w:u w:val="single"/>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1.4 采购项目资金落实情况∶</w:t>
      </w:r>
      <w:r>
        <w:rPr>
          <w:rFonts w:hint="eastAsia" w:ascii="宋体" w:hAnsi="宋体" w:eastAsia="宋体" w:cs="宋体"/>
          <w:color w:val="auto"/>
          <w:highlight w:val="none"/>
          <w:u w:val="single"/>
        </w:rPr>
        <w:t xml:space="preserve">  已落实                       </w:t>
      </w:r>
    </w:p>
    <w:p>
      <w:pPr>
        <w:pStyle w:val="7"/>
        <w:pageBreakBefore w:val="0"/>
        <w:widowControl/>
        <w:kinsoku/>
        <w:overflowPunct/>
        <w:topLinePunct w:val="0"/>
        <w:bidi w:val="0"/>
        <w:snapToGrid/>
        <w:spacing w:beforeAutospacing="0" w:afterAutospacing="0" w:line="360" w:lineRule="auto"/>
        <w:rPr>
          <w:rFonts w:hint="default" w:ascii="宋体" w:hAnsi="宋体" w:eastAsia="宋体" w:cs="宋体"/>
          <w:color w:val="auto"/>
          <w:highlight w:val="none"/>
          <w:u w:val="single"/>
          <w:lang w:val="en-US"/>
        </w:rPr>
      </w:pPr>
      <w:r>
        <w:rPr>
          <w:rFonts w:hint="eastAsia" w:ascii="宋体" w:hAnsi="宋体" w:eastAsia="宋体" w:cs="宋体"/>
          <w:color w:val="auto"/>
          <w:highlight w:val="none"/>
        </w:rPr>
        <w:t>1.5 采购项目概况</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eastAsia="zh-CN"/>
        </w:rPr>
        <w:t>具体内容详见工程量清单</w:t>
      </w:r>
      <w:r>
        <w:rPr>
          <w:rFonts w:hint="eastAsia" w:ascii="宋体" w:hAnsi="宋体" w:eastAsia="宋体" w:cs="宋体"/>
          <w:color w:val="auto"/>
          <w:highlight w:val="none"/>
          <w:u w:val="single"/>
          <w:lang w:val="en-US" w:eastAsia="zh-CN"/>
        </w:rPr>
        <w:t>。</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1.6 成交</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数量及成交份额∶</w:t>
      </w:r>
    </w:p>
    <w:p>
      <w:pPr>
        <w:pStyle w:val="7"/>
        <w:pageBreakBefore w:val="0"/>
        <w:widowControl/>
        <w:kinsoku/>
        <w:overflowPunct/>
        <w:topLinePunct w:val="0"/>
        <w:bidi w:val="0"/>
        <w:snapToGrid/>
        <w:spacing w:beforeAutospacing="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标段一：</w:t>
      </w:r>
      <w:r>
        <w:rPr>
          <w:rFonts w:hint="eastAsia" w:ascii="宋体" w:hAnsi="宋体" w:eastAsia="宋体" w:cs="宋体"/>
          <w:color w:val="auto"/>
          <w:highlight w:val="none"/>
        </w:rPr>
        <w:sym w:font="Wingdings 2" w:char="0052"/>
      </w:r>
      <w:r>
        <w:rPr>
          <w:rFonts w:hint="eastAsia" w:ascii="宋体" w:hAnsi="宋体" w:eastAsia="宋体" w:cs="宋体"/>
          <w:color w:val="auto"/>
          <w:highlight w:val="none"/>
        </w:rPr>
        <w:t>一家</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2" w:name="_Toc1403"/>
      <w:bookmarkStart w:id="3" w:name="_Toc29457"/>
      <w:r>
        <w:rPr>
          <w:rFonts w:hint="eastAsia" w:ascii="宋体" w:hAnsi="宋体" w:eastAsia="宋体" w:cs="宋体"/>
          <w:color w:val="auto"/>
          <w:highlight w:val="none"/>
        </w:rPr>
        <w:t>2采购范围及相关要求（A）</w:t>
      </w:r>
      <w:bookmarkEnd w:id="2"/>
      <w:bookmarkEnd w:id="3"/>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rPr>
        <w:t>2.1 采购范围∶</w:t>
      </w:r>
      <w:r>
        <w:rPr>
          <w:rFonts w:hint="eastAsia" w:ascii="宋体" w:hAnsi="宋体" w:eastAsia="宋体" w:cs="宋体"/>
          <w:color w:val="auto"/>
          <w:highlight w:val="none"/>
          <w:u w:val="single"/>
          <w:lang w:eastAsia="zh-CN"/>
        </w:rPr>
        <w:t>具体内容详见工程量清单；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napToGrid/>
        <w:spacing w:before="75" w:beforeAutospacing="0" w:after="75" w:afterAutospacing="0" w:line="360" w:lineRule="auto"/>
        <w:ind w:right="0"/>
        <w:rPr>
          <w:rFonts w:hint="default" w:ascii="宋体" w:hAnsi="宋体" w:eastAsia="宋体" w:cs="宋体"/>
          <w:color w:val="auto"/>
          <w:highlight w:val="none"/>
          <w:u w:val="single"/>
          <w:lang w:val="en-US" w:eastAsia="zh-CN"/>
        </w:rPr>
      </w:pPr>
      <w:r>
        <w:rPr>
          <w:rFonts w:hint="eastAsia" w:ascii="宋体" w:hAnsi="宋体" w:eastAsia="宋体" w:cs="宋体"/>
          <w:color w:val="auto"/>
          <w:highlight w:val="none"/>
        </w:rPr>
        <w:t>2.2计划工期∶</w:t>
      </w:r>
      <w:r>
        <w:rPr>
          <w:rFonts w:hint="eastAsia" w:ascii="宋体" w:hAnsi="宋体" w:eastAsia="宋体" w:cs="宋体"/>
          <w:color w:val="auto"/>
          <w:highlight w:val="none"/>
          <w:u w:val="single"/>
          <w:lang w:val="en-US" w:eastAsia="zh-CN"/>
        </w:rPr>
        <w:t>120</w:t>
      </w:r>
      <w:r>
        <w:rPr>
          <w:rFonts w:hint="eastAsia" w:ascii="宋体" w:hAnsi="宋体" w:eastAsia="宋体" w:cs="宋体"/>
          <w:color w:val="auto"/>
          <w:highlight w:val="none"/>
          <w:u w:val="single"/>
        </w:rPr>
        <w:t>天</w:t>
      </w:r>
      <w:r>
        <w:rPr>
          <w:rFonts w:hint="eastAsia" w:ascii="宋体" w:hAnsi="宋体" w:eastAsia="宋体" w:cs="宋体"/>
          <w:color w:val="auto"/>
          <w:highlight w:val="none"/>
          <w:u w:val="single"/>
          <w:lang w:val="en-US" w:eastAsia="zh-CN"/>
        </w:rPr>
        <w:t>；计划开工时间：2024年1月；计划竣工时间：2024年5月</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2.3建设地点∶</w:t>
      </w:r>
      <w:r>
        <w:rPr>
          <w:rFonts w:hint="eastAsia" w:ascii="宋体" w:hAnsi="宋体" w:eastAsia="宋体" w:cs="宋体"/>
          <w:color w:val="auto"/>
          <w:highlight w:val="none"/>
          <w:u w:val="single"/>
          <w:lang w:val="en-US" w:eastAsia="zh-CN"/>
        </w:rPr>
        <w:t>刚察县；</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2.4质量要求∶</w:t>
      </w:r>
      <w:r>
        <w:rPr>
          <w:rFonts w:hint="eastAsia" w:ascii="宋体" w:hAnsi="宋体" w:eastAsia="宋体" w:cs="宋体"/>
          <w:color w:val="auto"/>
          <w:highlight w:val="none"/>
          <w:u w:val="single"/>
        </w:rPr>
        <w:t xml:space="preserve">   合格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2.5安全目标∶</w:t>
      </w:r>
      <w:r>
        <w:rPr>
          <w:rFonts w:hint="eastAsia" w:ascii="宋体" w:hAnsi="宋体" w:eastAsia="宋体" w:cs="宋体"/>
          <w:color w:val="auto"/>
          <w:highlight w:val="none"/>
          <w:u w:val="single"/>
        </w:rPr>
        <w:t xml:space="preserve">   合格    </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4" w:name="_Toc6904"/>
      <w:bookmarkStart w:id="5" w:name="_Toc20792"/>
      <w:r>
        <w:rPr>
          <w:rFonts w:hint="eastAsia" w:ascii="宋体" w:hAnsi="宋体" w:eastAsia="宋体" w:cs="宋体"/>
          <w:color w:val="auto"/>
          <w:highlight w:val="none"/>
        </w:rPr>
        <w:t>3</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资格要求</w:t>
      </w:r>
      <w:bookmarkEnd w:id="4"/>
      <w:bookmarkEnd w:id="5"/>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3.1 </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应依法设立且满足如下要求∶</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u w:val="single"/>
        </w:rPr>
      </w:pPr>
      <w:r>
        <w:rPr>
          <w:rFonts w:hint="eastAsia" w:ascii="宋体" w:hAnsi="宋体" w:eastAsia="宋体" w:cs="宋体"/>
          <w:color w:val="auto"/>
          <w:highlight w:val="none"/>
        </w:rPr>
        <w:t>（1）资质要求</w:t>
      </w:r>
      <w:r>
        <w:rPr>
          <w:rFonts w:hint="eastAsia" w:ascii="宋体" w:hAnsi="宋体" w:eastAsia="宋体" w:cs="宋体"/>
          <w:color w:val="auto"/>
          <w:highlight w:val="none"/>
          <w:u w:val="single"/>
        </w:rPr>
        <w:t>∶</w:t>
      </w:r>
      <w:r>
        <w:rPr>
          <w:rFonts w:hint="eastAsia" w:ascii="宋体" w:hAnsi="宋体" w:eastAsia="宋体" w:cs="宋体"/>
          <w:color w:val="000000"/>
          <w:szCs w:val="21"/>
          <w:highlight w:val="white"/>
          <w:u w:val="single"/>
        </w:rPr>
        <w:t>投标人须具备</w:t>
      </w:r>
      <w:bookmarkStart w:id="6" w:name="EB771fecf379214a39b0a58dfa71aadcc8"/>
      <w:r>
        <w:rPr>
          <w:rFonts w:hint="eastAsia" w:ascii="宋体" w:hAnsi="宋体" w:eastAsia="宋体" w:cs="宋体"/>
          <w:color w:val="000000"/>
          <w:szCs w:val="21"/>
          <w:highlight w:val="white"/>
          <w:u w:val="single"/>
        </w:rPr>
        <w:t>建筑工程施工总承包叁级（含）及以上</w:t>
      </w:r>
      <w:bookmarkEnd w:id="6"/>
      <w:r>
        <w:rPr>
          <w:rFonts w:hint="eastAsia" w:ascii="宋体" w:hAnsi="宋体" w:eastAsia="宋体" w:cs="宋体"/>
          <w:color w:val="000000"/>
          <w:szCs w:val="21"/>
          <w:highlight w:val="white"/>
          <w:u w:val="single"/>
        </w:rPr>
        <w:t>资质，并在人员、设备、资金等方面具有相应的施工能力</w:t>
      </w:r>
      <w:r>
        <w:rPr>
          <w:rFonts w:hint="eastAsia" w:ascii="宋体" w:hAnsi="宋体" w:eastAsia="宋体" w:cs="宋体"/>
          <w:color w:val="auto"/>
          <w:highlight w:val="none"/>
          <w:u w:val="single"/>
        </w:rPr>
        <w:t>；</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u w:val="single"/>
        </w:rPr>
      </w:pPr>
      <w:r>
        <w:rPr>
          <w:rFonts w:hint="eastAsia" w:ascii="宋体" w:hAnsi="宋体" w:eastAsia="宋体" w:cs="宋体"/>
          <w:color w:val="auto"/>
          <w:highlight w:val="none"/>
        </w:rPr>
        <w:t>（2）财务要求∶</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zh-CN"/>
        </w:rPr>
        <w:t>提供基本开户银行近三个月内出具的资信证明（同时提供基本存款账户开户许可证</w:t>
      </w:r>
      <w:r>
        <w:rPr>
          <w:rFonts w:hint="eastAsia" w:ascii="宋体" w:hAnsi="宋体" w:eastAsia="宋体" w:cs="宋体"/>
          <w:color w:val="auto"/>
          <w:highlight w:val="none"/>
          <w:u w:val="single"/>
        </w:rPr>
        <w:t>或基本账户开户信息</w:t>
      </w:r>
      <w:r>
        <w:rPr>
          <w:rFonts w:hint="eastAsia" w:ascii="宋体" w:hAnsi="宋体" w:eastAsia="宋体" w:cs="宋体"/>
          <w:color w:val="auto"/>
          <w:highlight w:val="none"/>
          <w:u w:val="single"/>
          <w:lang w:val="zh-CN"/>
        </w:rPr>
        <w:t>）或</w:t>
      </w:r>
      <w:r>
        <w:rPr>
          <w:rFonts w:hint="eastAsia" w:ascii="宋体" w:hAnsi="宋体" w:eastAsia="宋体" w:cs="宋体"/>
          <w:color w:val="auto"/>
          <w:highlight w:val="none"/>
          <w:u w:val="single"/>
        </w:rPr>
        <w:t>202</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rPr>
        <w:t>年度经第三方审计的财务状况报告</w:t>
      </w:r>
      <w:r>
        <w:rPr>
          <w:rFonts w:hint="eastAsia" w:ascii="宋体" w:hAnsi="宋体" w:eastAsia="宋体" w:cs="宋体"/>
          <w:color w:val="auto"/>
          <w:highlight w:val="none"/>
          <w:u w:val="single"/>
          <w:lang w:val="zh-CN"/>
        </w:rPr>
        <w:t>扫描或复印件（扫描或复印件；</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lang w:eastAsia="zh-CN"/>
        </w:rPr>
      </w:pPr>
      <w:r>
        <w:rPr>
          <w:rFonts w:hint="eastAsia" w:ascii="宋体" w:hAnsi="宋体" w:eastAsia="宋体" w:cs="宋体"/>
          <w:color w:val="auto"/>
          <w:highlight w:val="none"/>
        </w:rPr>
        <w:t>（3）业绩要求∶</w:t>
      </w:r>
      <w:r>
        <w:rPr>
          <w:rFonts w:hint="eastAsia" w:ascii="宋体" w:hAnsi="宋体" w:eastAsia="宋体" w:cs="宋体"/>
          <w:color w:val="auto"/>
          <w:highlight w:val="none"/>
          <w:u w:val="single"/>
          <w:lang w:val="en-US" w:eastAsia="zh-CN"/>
        </w:rPr>
        <w:t>无</w:t>
      </w:r>
      <w:r>
        <w:rPr>
          <w:rFonts w:hint="eastAsia" w:ascii="宋体" w:hAnsi="宋体" w:eastAsia="宋体" w:cs="宋体"/>
          <w:color w:val="auto"/>
          <w:highlight w:val="none"/>
          <w:u w:val="single"/>
          <w:lang w:eastAsia="zh-CN"/>
        </w:rPr>
        <w:t>；</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u w:val="single"/>
        </w:rPr>
      </w:pPr>
      <w:r>
        <w:rPr>
          <w:rFonts w:hint="eastAsia" w:ascii="宋体" w:hAnsi="宋体" w:eastAsia="宋体" w:cs="宋体"/>
          <w:color w:val="auto"/>
          <w:highlight w:val="none"/>
        </w:rPr>
        <w:t>（4）信誉要求∶</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u w:val="single"/>
        </w:rPr>
      </w:pPr>
      <w:r>
        <w:rPr>
          <w:rFonts w:hint="eastAsia" w:ascii="宋体" w:hAnsi="宋体" w:eastAsia="宋体" w:cs="宋体"/>
          <w:color w:val="auto"/>
          <w:highlight w:val="none"/>
          <w:u w:val="single"/>
          <w:lang w:val="en-US" w:eastAsia="zh-CN"/>
        </w:rPr>
        <w:t>4.1</w:t>
      </w:r>
      <w:r>
        <w:rPr>
          <w:rFonts w:hint="eastAsia" w:ascii="宋体" w:hAnsi="宋体" w:eastAsia="宋体" w:cs="宋体"/>
          <w:color w:val="auto"/>
          <w:highlight w:val="none"/>
          <w:u w:val="single"/>
        </w:rPr>
        <w:t>投标人需提供青海省工程建设监管和信用管理平台截图，以青海省住房和城乡建设厅推送的《信用评定等级》为准。企业信用被评定为D级一年之内、被评定为C级半年之内的投标无效。</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rPr>
      </w:pPr>
      <w:r>
        <w:rPr>
          <w:rFonts w:hint="eastAsia" w:ascii="宋体" w:hAnsi="宋体" w:eastAsia="宋体" w:cs="宋体"/>
          <w:color w:val="auto"/>
          <w:highlight w:val="none"/>
          <w:u w:val="single"/>
          <w:lang w:val="en-US" w:eastAsia="zh-CN"/>
        </w:rPr>
        <w:t>4.2</w:t>
      </w:r>
      <w:r>
        <w:rPr>
          <w:rFonts w:hint="eastAsia" w:ascii="宋体" w:hAnsi="宋体" w:eastAsia="宋体" w:cs="宋体"/>
          <w:color w:val="auto"/>
          <w:sz w:val="24"/>
          <w:highlight w:val="none"/>
          <w:u w:val="single"/>
        </w:rPr>
        <w:t>经信用中国（www.creditchina.gov.cn）渠道查询后，列入失信被执行人、重大税收违法案件当事人名单、严重违法失信行为记录名单的，取消投标资格。（提供“信用中国”网站的查询截图，时间为投标截止时间前20天内）</w:t>
      </w:r>
    </w:p>
    <w:p>
      <w:pPr>
        <w:pStyle w:val="7"/>
        <w:pageBreakBefore w:val="0"/>
        <w:widowControl/>
        <w:numPr>
          <w:ilvl w:val="0"/>
          <w:numId w:val="1"/>
        </w:numPr>
        <w:kinsoku/>
        <w:overflowPunct/>
        <w:topLinePunct w:val="0"/>
        <w:bidi w:val="0"/>
        <w:snapToGrid/>
        <w:spacing w:beforeAutospacing="0" w:afterAutospacing="0" w:line="360" w:lineRule="auto"/>
        <w:ind w:firstLine="240" w:firstLineChars="100"/>
        <w:rPr>
          <w:rFonts w:hint="eastAsia" w:ascii="宋体" w:hAnsi="宋体" w:eastAsia="宋体" w:cs="宋体"/>
          <w:color w:val="000000"/>
          <w:szCs w:val="21"/>
          <w:highlight w:val="white"/>
          <w:u w:val="single"/>
          <w:lang w:val="en-US" w:eastAsia="zh-CN"/>
        </w:rPr>
      </w:pPr>
      <w:r>
        <w:rPr>
          <w:rFonts w:hint="eastAsia" w:ascii="宋体" w:hAnsi="宋体" w:eastAsia="宋体" w:cs="宋体"/>
          <w:color w:val="auto"/>
          <w:highlight w:val="none"/>
        </w:rPr>
        <w:t>承担本项目的</w:t>
      </w:r>
      <w:r>
        <w:rPr>
          <w:rFonts w:hint="eastAsia" w:ascii="宋体" w:hAnsi="宋体" w:eastAsia="宋体" w:cs="宋体"/>
          <w:color w:val="auto"/>
          <w:kern w:val="0"/>
          <w:sz w:val="24"/>
          <w:szCs w:val="24"/>
          <w:highlight w:val="none"/>
          <w:lang w:val="zh-CN" w:eastAsia="zh-CN" w:bidi="ar-SA"/>
        </w:rPr>
        <w:t>项目负责人</w:t>
      </w:r>
      <w:r>
        <w:rPr>
          <w:rFonts w:hint="eastAsia" w:ascii="宋体" w:hAnsi="宋体" w:eastAsia="宋体" w:cs="宋体"/>
          <w:color w:val="auto"/>
          <w:highlight w:val="none"/>
        </w:rPr>
        <w:t>要求∶</w:t>
      </w:r>
      <w:r>
        <w:rPr>
          <w:rFonts w:hint="eastAsia" w:ascii="宋体" w:hAnsi="宋体" w:eastAsia="宋体" w:cs="宋体"/>
          <w:color w:val="000000"/>
          <w:szCs w:val="21"/>
          <w:highlight w:val="white"/>
          <w:u w:val="single"/>
        </w:rPr>
        <w:t>投标人拟派项目经理须具备</w:t>
      </w:r>
      <w:bookmarkStart w:id="7" w:name="EB141731e79fae422ca8b12282fd6481b4"/>
      <w:r>
        <w:rPr>
          <w:rFonts w:hint="eastAsia" w:ascii="宋体" w:hAnsi="宋体" w:eastAsia="宋体" w:cs="宋体"/>
          <w:color w:val="000000"/>
          <w:szCs w:val="21"/>
          <w:highlight w:val="white"/>
          <w:u w:val="single"/>
        </w:rPr>
        <w:t>建筑工程</w:t>
      </w:r>
      <w:bookmarkEnd w:id="7"/>
      <w:r>
        <w:rPr>
          <w:rFonts w:hint="eastAsia" w:ascii="宋体" w:hAnsi="宋体" w:eastAsia="宋体" w:cs="宋体"/>
          <w:color w:val="000000"/>
          <w:szCs w:val="21"/>
          <w:highlight w:val="white"/>
          <w:u w:val="single"/>
        </w:rPr>
        <w:t>专业</w:t>
      </w:r>
      <w:bookmarkStart w:id="8" w:name="EB015fa6335c53498483c1629bdf749089"/>
      <w:r>
        <w:rPr>
          <w:rFonts w:hint="eastAsia" w:ascii="宋体" w:hAnsi="宋体" w:eastAsia="宋体" w:cs="宋体"/>
          <w:color w:val="000000"/>
          <w:szCs w:val="21"/>
          <w:highlight w:val="white"/>
          <w:u w:val="single"/>
        </w:rPr>
        <w:t>贰级（含贰级以上）</w:t>
      </w:r>
      <w:bookmarkEnd w:id="8"/>
      <w:r>
        <w:rPr>
          <w:rFonts w:hint="eastAsia" w:ascii="宋体" w:hAnsi="宋体" w:eastAsia="宋体" w:cs="宋体"/>
          <w:color w:val="000000"/>
          <w:szCs w:val="21"/>
          <w:highlight w:val="white"/>
          <w:u w:val="single"/>
        </w:rPr>
        <w:t>级注册建造师执业资格</w:t>
      </w:r>
      <w:r>
        <w:rPr>
          <w:rFonts w:hint="eastAsia" w:ascii="宋体" w:hAnsi="宋体" w:eastAsia="宋体" w:cs="宋体"/>
          <w:color w:val="000000"/>
          <w:szCs w:val="21"/>
          <w:highlight w:val="white"/>
          <w:u w:val="single"/>
          <w:lang w:val="zh-CN" w:eastAsia="zh-CN"/>
        </w:rPr>
        <w:t>；</w:t>
      </w:r>
    </w:p>
    <w:p>
      <w:pPr>
        <w:pStyle w:val="7"/>
        <w:pageBreakBefore w:val="0"/>
        <w:widowControl/>
        <w:numPr>
          <w:ilvl w:val="0"/>
          <w:numId w:val="1"/>
        </w:numPr>
        <w:kinsoku/>
        <w:overflowPunct/>
        <w:topLinePunct w:val="0"/>
        <w:bidi w:val="0"/>
        <w:snapToGrid/>
        <w:spacing w:beforeAutospacing="0" w:afterAutospacing="0" w:line="360" w:lineRule="auto"/>
        <w:ind w:firstLine="240" w:firstLineChars="100"/>
        <w:rPr>
          <w:rFonts w:hint="default" w:ascii="宋体" w:hAnsi="宋体" w:eastAsia="宋体" w:cs="宋体"/>
          <w:color w:val="auto"/>
          <w:highlight w:val="none"/>
          <w:lang w:val="en-US"/>
        </w:rPr>
      </w:pPr>
      <w:r>
        <w:rPr>
          <w:rFonts w:hint="eastAsia" w:ascii="宋体" w:hAnsi="宋体" w:eastAsia="宋体" w:cs="宋体"/>
          <w:color w:val="auto"/>
          <w:highlight w:val="none"/>
        </w:rPr>
        <w:t>其他要求∶</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000000"/>
          <w:sz w:val="24"/>
          <w:u w:val="single"/>
          <w:lang w:val="zh-CN"/>
        </w:rPr>
        <w:t>近半年内</w:t>
      </w:r>
      <w:r>
        <w:rPr>
          <w:rFonts w:hint="eastAsia" w:ascii="宋体" w:hAnsi="宋体" w:cs="宋体"/>
          <w:color w:val="000000"/>
          <w:sz w:val="24"/>
          <w:u w:val="single"/>
          <w:lang w:val="en-US" w:eastAsia="zh-CN"/>
        </w:rPr>
        <w:t>任意一个月</w:t>
      </w:r>
      <w:r>
        <w:rPr>
          <w:rFonts w:hint="eastAsia" w:ascii="宋体" w:hAnsi="宋体" w:eastAsia="宋体" w:cs="宋体"/>
          <w:color w:val="000000"/>
          <w:sz w:val="24"/>
          <w:u w:val="single"/>
          <w:lang w:val="zh-CN"/>
        </w:rPr>
        <w:t>的依法缴纳税收和近半年内</w:t>
      </w:r>
      <w:r>
        <w:rPr>
          <w:rFonts w:hint="eastAsia" w:ascii="宋体" w:hAnsi="宋体" w:cs="宋体"/>
          <w:color w:val="000000"/>
          <w:sz w:val="24"/>
          <w:u w:val="single"/>
          <w:lang w:val="en-US" w:eastAsia="zh-CN"/>
        </w:rPr>
        <w:t>任意一个月</w:t>
      </w:r>
      <w:r>
        <w:rPr>
          <w:rFonts w:hint="eastAsia" w:ascii="宋体" w:hAnsi="宋体" w:eastAsia="宋体" w:cs="宋体"/>
          <w:color w:val="000000"/>
          <w:sz w:val="24"/>
          <w:u w:val="single"/>
          <w:lang w:val="zh-CN"/>
        </w:rPr>
        <w:t>社会保障资金记录的证明材料；依法免税或不需要缴纳社会保障资金的投标人须提供相应文件证明其依法免税或不需要缴纳社会保障资金。</w:t>
      </w:r>
      <w:r>
        <w:rPr>
          <w:rFonts w:hint="eastAsia" w:ascii="宋体" w:hAnsi="宋体" w:eastAsia="宋体" w:cs="宋体"/>
          <w:color w:val="auto"/>
          <w:sz w:val="24"/>
          <w:highlight w:val="none"/>
          <w:u w:val="single"/>
          <w:lang w:val="en-US" w:eastAsia="zh-CN"/>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3.2 </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不得存在下列情形之一∶</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rPr>
      </w:pPr>
      <w:r>
        <w:rPr>
          <w:rFonts w:hint="eastAsia" w:ascii="宋体" w:hAnsi="宋体" w:eastAsia="宋体" w:cs="宋体"/>
          <w:color w:val="auto"/>
          <w:highlight w:val="none"/>
        </w:rPr>
        <w:t>（1）处于被责令停产停业、暂扣或者吊销执照、暂扣或者吊销许可证、吊销资质证书状态;</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rPr>
      </w:pPr>
      <w:r>
        <w:rPr>
          <w:rFonts w:hint="eastAsia" w:ascii="宋体" w:hAnsi="宋体" w:eastAsia="宋体" w:cs="宋体"/>
          <w:color w:val="auto"/>
          <w:highlight w:val="none"/>
        </w:rPr>
        <w:t>（2）进入清算程序，或被宣告破产，或其他丧失履约能力的情形;</w:t>
      </w:r>
    </w:p>
    <w:p>
      <w:pPr>
        <w:pStyle w:val="7"/>
        <w:pageBreakBefore w:val="0"/>
        <w:widowControl/>
        <w:kinsoku/>
        <w:overflowPunct/>
        <w:topLinePunct w:val="0"/>
        <w:bidi w:val="0"/>
        <w:snapToGrid/>
        <w:spacing w:beforeAutospacing="0" w:afterAutospacing="0" w:line="360" w:lineRule="auto"/>
        <w:ind w:firstLine="240" w:firstLineChars="100"/>
        <w:rPr>
          <w:rFonts w:hint="eastAsia" w:ascii="宋体" w:hAnsi="宋体" w:eastAsia="宋体" w:cs="宋体"/>
          <w:color w:val="auto"/>
          <w:highlight w:val="none"/>
        </w:rPr>
      </w:pPr>
      <w:r>
        <w:rPr>
          <w:rFonts w:hint="eastAsia" w:ascii="宋体" w:hAnsi="宋体" w:eastAsia="宋体" w:cs="宋体"/>
          <w:color w:val="auto"/>
          <w:highlight w:val="none"/>
        </w:rPr>
        <w:t>（3）其他∶</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3.3本次采购</w:t>
      </w:r>
      <w:r>
        <w:rPr>
          <w:rFonts w:hint="eastAsia" w:ascii="宋体" w:hAnsi="宋体" w:eastAsia="宋体" w:cs="宋体"/>
          <w:color w:val="auto"/>
          <w:highlight w:val="none"/>
          <w:u w:val="single"/>
        </w:rPr>
        <w:t xml:space="preserve">    不接受  （接受或不接受）</w:t>
      </w:r>
      <w:r>
        <w:rPr>
          <w:rFonts w:hint="eastAsia" w:ascii="宋体" w:hAnsi="宋体" w:eastAsia="宋体" w:cs="宋体"/>
          <w:color w:val="auto"/>
          <w:highlight w:val="none"/>
        </w:rPr>
        <w:t>联合体。</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联合体参加询比采购活动的，联合体应满足本条第3.1款规定的要求，且联合体各方均不得存在本条第3.2款规定的情形。此外，联合体各方应分别满足如下条件∶</w:t>
      </w:r>
      <w:r>
        <w:rPr>
          <w:rFonts w:hint="eastAsia" w:ascii="宋体" w:hAnsi="宋体" w:eastAsia="宋体" w:cs="宋体"/>
          <w:color w:val="auto"/>
          <w:highlight w:val="none"/>
          <w:u w:val="single"/>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联合体的资格认定标准如下∶</w:t>
      </w:r>
      <w:r>
        <w:rPr>
          <w:rFonts w:hint="eastAsia" w:ascii="宋体" w:hAnsi="宋体" w:eastAsia="宋体" w:cs="宋体"/>
          <w:color w:val="auto"/>
          <w:highlight w:val="none"/>
          <w:u w:val="single"/>
        </w:rPr>
        <w:t xml:space="preserve">                                      </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（注∶此部分应明确由同一专业或不同专业组成的联合体中各专业的资质、财务、业绩、信誉、主要人员等的认定方法，以最终认定联合体的资格。）</w:t>
      </w:r>
    </w:p>
    <w:p>
      <w:pPr>
        <w:pStyle w:val="7"/>
        <w:pageBreakBefore w:val="0"/>
        <w:widowControl/>
        <w:kinsoku/>
        <w:overflowPunct/>
        <w:topLinePunct w:val="0"/>
        <w:bidi w:val="0"/>
        <w:snapToGrid/>
        <w:spacing w:beforeAutospacing="0" w:afterAutospacing="0" w:line="360" w:lineRule="auto"/>
        <w:ind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highlight w:val="none"/>
        </w:rPr>
        <w:t>联合体应递交联合体协议书，且联合体各方不得再以自己名义单独或参加其他联合体参与本询比采购项目，否则相关响应文件均无效。</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9" w:name="_Toc2463"/>
      <w:bookmarkStart w:id="10" w:name="_Toc3339"/>
      <w:r>
        <w:rPr>
          <w:rFonts w:hint="eastAsia" w:ascii="宋体" w:hAnsi="宋体" w:eastAsia="宋体" w:cs="宋体"/>
          <w:color w:val="auto"/>
          <w:highlight w:val="none"/>
        </w:rPr>
        <w:t>4 采购文件的获取</w:t>
      </w:r>
      <w:bookmarkEnd w:id="9"/>
      <w:bookmarkEnd w:id="10"/>
    </w:p>
    <w:p>
      <w:pPr>
        <w:pageBreakBefore w:val="0"/>
        <w:kinsoku/>
        <w:overflowPunct/>
        <w:topLinePunct w:val="0"/>
        <w:bidi w:val="0"/>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有意参加询比采购活动的单位，请于</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23</w:t>
      </w:r>
      <w:r>
        <w:rPr>
          <w:rFonts w:hint="eastAsia" w:ascii="宋体" w:hAnsi="宋体" w:eastAsia="宋体" w:cs="宋体"/>
          <w:color w:val="auto"/>
          <w:sz w:val="24"/>
          <w:szCs w:val="24"/>
          <w:highlight w:val="none"/>
          <w:u w:val="single"/>
        </w:rPr>
        <w:t>日至202</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日，每日上午 09:00 时至 12：00时，下午14:00 时至 17:30 时（北京时间，下同）</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u w:val="single"/>
          <w:lang w:eastAsia="zh-CN"/>
        </w:rPr>
        <w:t>青海省西宁市东川工业园区民和路 59 号青海汇森招标代理有限公司</w:t>
      </w:r>
      <w:r>
        <w:rPr>
          <w:rFonts w:hint="eastAsia" w:ascii="宋体" w:hAnsi="宋体" w:eastAsia="宋体" w:cs="宋体"/>
          <w:color w:val="auto"/>
          <w:sz w:val="24"/>
          <w:szCs w:val="24"/>
          <w:highlight w:val="none"/>
          <w:u w:val="single"/>
        </w:rPr>
        <w:t>购买采购文件。</w:t>
      </w:r>
      <w:r>
        <w:rPr>
          <w:rFonts w:hint="eastAsia" w:ascii="宋体" w:hAnsi="宋体" w:eastAsia="宋体" w:cs="宋体"/>
          <w:color w:val="auto"/>
          <w:sz w:val="24"/>
          <w:szCs w:val="24"/>
          <w:highlight w:val="none"/>
        </w:rPr>
        <w:t>邮购采购文件的，需另加手续费（含邮费）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人在收到邮购款（含手续费）后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日内寄送。</w:t>
      </w:r>
    </w:p>
    <w:p>
      <w:pPr>
        <w:pageBreakBefore w:val="0"/>
        <w:kinsoku/>
        <w:overflowPunct/>
        <w:topLinePunct w:val="0"/>
        <w:bidi w:val="0"/>
        <w:snapToGrid/>
        <w:spacing w:line="360" w:lineRule="auto"/>
        <w:rPr>
          <w:rFonts w:hint="eastAsia" w:ascii="宋体" w:hAnsi="宋体" w:eastAsia="宋体" w:cs="宋体"/>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线下获取</w:t>
      </w:r>
      <w:r>
        <w:rPr>
          <w:rFonts w:hint="eastAsia" w:ascii="宋体" w:hAnsi="宋体" w:eastAsia="宋体" w:cs="宋体"/>
          <w:color w:val="auto"/>
          <w:sz w:val="24"/>
          <w:szCs w:val="24"/>
          <w:highlight w:val="none"/>
          <w:lang w:val="zh-CN" w:eastAsia="zh-CN"/>
        </w:rPr>
        <w:t>：营业执照副本复印件（加盖单位公章）、法定代表人证明书（含法定代表人身份证复印件）、法定代表人授权书（含委托代理人身份证复印件）以上资料除原件外均需加盖投标单位公章。</w:t>
      </w:r>
    </w:p>
    <w:p>
      <w:pPr>
        <w:pageBreakBefore w:val="0"/>
        <w:kinsoku/>
        <w:overflowPunct/>
        <w:topLinePunct w:val="0"/>
        <w:bidi w:val="0"/>
        <w:snapToGrid/>
        <w:spacing w:line="360" w:lineRule="auto"/>
        <w:rPr>
          <w:rFonts w:hint="eastAsia" w:ascii="宋体" w:hAnsi="宋体" w:eastAsia="宋体" w:cs="宋体"/>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线上获取</w:t>
      </w:r>
      <w:r>
        <w:rPr>
          <w:rFonts w:hint="eastAsia" w:ascii="宋体" w:hAnsi="宋体" w:eastAsia="宋体" w:cs="宋体"/>
          <w:color w:val="auto"/>
          <w:sz w:val="24"/>
          <w:szCs w:val="24"/>
          <w:highlight w:val="none"/>
          <w:lang w:val="zh-CN" w:eastAsia="zh-CN"/>
        </w:rPr>
        <w:t>：营业执照副本电子扫描件；法定代表人证明书及法定代表人身份证电子扫描件；法定代表人授权书（含委托代理人身份证）电子扫描件发送到公司邮箱</w:t>
      </w:r>
      <w:r>
        <w:rPr>
          <w:rFonts w:hint="eastAsia" w:ascii="宋体" w:hAnsi="宋体" w:eastAsia="宋体" w:cs="宋体"/>
          <w:sz w:val="24"/>
          <w:lang w:val="zh-CN"/>
        </w:rPr>
        <w:t>qhhszb@163.com</w:t>
      </w:r>
      <w:r>
        <w:rPr>
          <w:rFonts w:hint="eastAsia" w:ascii="宋体" w:hAnsi="宋体" w:eastAsia="宋体" w:cs="宋体"/>
          <w:color w:val="auto"/>
          <w:sz w:val="24"/>
          <w:szCs w:val="24"/>
          <w:highlight w:val="none"/>
          <w:lang w:val="zh-CN" w:eastAsia="zh-CN"/>
        </w:rPr>
        <w:t>。</w:t>
      </w:r>
    </w:p>
    <w:p>
      <w:pPr>
        <w:pageBreakBefore w:val="0"/>
        <w:kinsoku/>
        <w:overflowPunct/>
        <w:topLinePunct w:val="0"/>
        <w:bidi w:val="0"/>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eastAsia="zh-CN"/>
        </w:rPr>
        <w:t>注：投标询比响应人必须在报名时间截止前向招标代理机构提交报名资料及标书费（标书费以招标代理机构帐户到账时间或开具收据为准），报名时间截止后递交的潜在投标询比响应人均无资格参加此次投标。</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4.2 采购文件每套售价</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500 元</w:t>
      </w:r>
      <w:r>
        <w:rPr>
          <w:rFonts w:hint="eastAsia" w:ascii="宋体" w:hAnsi="宋体" w:eastAsia="宋体" w:cs="宋体"/>
          <w:color w:val="auto"/>
          <w:highlight w:val="none"/>
        </w:rPr>
        <w:t>，售后不退。</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11" w:name="_Toc5317"/>
      <w:bookmarkStart w:id="12" w:name="_Toc1063"/>
      <w:r>
        <w:rPr>
          <w:rFonts w:hint="eastAsia" w:ascii="宋体" w:hAnsi="宋体" w:eastAsia="宋体" w:cs="宋体"/>
          <w:color w:val="auto"/>
          <w:highlight w:val="none"/>
        </w:rPr>
        <w:t>5 响应文件的递交</w:t>
      </w:r>
      <w:bookmarkEnd w:id="11"/>
      <w:bookmarkEnd w:id="12"/>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5.1 响应文件递交的截止时间为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202</w:t>
      </w:r>
      <w:r>
        <w:rPr>
          <w:rFonts w:hint="eastAsia" w:ascii="宋体" w:hAnsi="宋体" w:eastAsia="宋体" w:cs="宋体"/>
          <w:color w:val="auto"/>
          <w:highlight w:val="none"/>
          <w:u w:val="single"/>
          <w:lang w:val="en-US" w:eastAsia="zh-CN"/>
        </w:rPr>
        <w:t>4</w:t>
      </w:r>
      <w:r>
        <w:rPr>
          <w:rFonts w:hint="eastAsia" w:ascii="宋体" w:hAnsi="宋体" w:eastAsia="宋体" w:cs="宋体"/>
          <w:color w:val="auto"/>
          <w:highlight w:val="none"/>
          <w:u w:val="single"/>
          <w:lang w:eastAsia="zh-CN"/>
        </w:rPr>
        <w:t>年0</w:t>
      </w:r>
      <w:r>
        <w:rPr>
          <w:rFonts w:hint="eastAsia" w:ascii="宋体" w:hAnsi="宋体" w:eastAsia="宋体" w:cs="宋体"/>
          <w:color w:val="auto"/>
          <w:highlight w:val="none"/>
          <w:u w:val="single"/>
          <w:lang w:val="en-US" w:eastAsia="zh-CN"/>
        </w:rPr>
        <w:t>1</w:t>
      </w:r>
      <w:r>
        <w:rPr>
          <w:rFonts w:hint="eastAsia" w:ascii="宋体" w:hAnsi="宋体" w:eastAsia="宋体" w:cs="宋体"/>
          <w:color w:val="auto"/>
          <w:highlight w:val="none"/>
          <w:u w:val="single"/>
          <w:lang w:eastAsia="zh-CN"/>
        </w:rPr>
        <w:t>月</w:t>
      </w:r>
      <w:r>
        <w:rPr>
          <w:rFonts w:hint="eastAsia" w:ascii="宋体" w:hAnsi="宋体" w:eastAsia="宋体" w:cs="宋体"/>
          <w:color w:val="auto"/>
          <w:highlight w:val="none"/>
          <w:u w:val="single"/>
          <w:lang w:val="en-US" w:eastAsia="zh-CN"/>
        </w:rPr>
        <w:t>30</w:t>
      </w:r>
      <w:r>
        <w:rPr>
          <w:rFonts w:hint="eastAsia" w:ascii="宋体" w:hAnsi="宋体" w:eastAsia="宋体" w:cs="宋体"/>
          <w:color w:val="auto"/>
          <w:highlight w:val="none"/>
          <w:u w:val="single"/>
          <w:lang w:eastAsia="zh-CN"/>
        </w:rPr>
        <w:t>日1</w:t>
      </w:r>
      <w:r>
        <w:rPr>
          <w:rFonts w:hint="eastAsia" w:ascii="宋体" w:hAnsi="宋体" w:eastAsia="宋体" w:cs="宋体"/>
          <w:color w:val="auto"/>
          <w:highlight w:val="none"/>
          <w:u w:val="single"/>
          <w:lang w:val="en-US" w:eastAsia="zh-CN"/>
        </w:rPr>
        <w:t>0</w:t>
      </w:r>
      <w:r>
        <w:rPr>
          <w:rFonts w:hint="eastAsia" w:ascii="宋体" w:hAnsi="宋体" w:eastAsia="宋体" w:cs="宋体"/>
          <w:color w:val="auto"/>
          <w:highlight w:val="none"/>
          <w:u w:val="single"/>
          <w:lang w:eastAsia="zh-CN"/>
        </w:rPr>
        <w:t>时00分（北京时间）</w:t>
      </w:r>
      <w:r>
        <w:rPr>
          <w:rFonts w:hint="eastAsia" w:ascii="宋体" w:hAnsi="宋体" w:eastAsia="宋体" w:cs="宋体"/>
          <w:color w:val="auto"/>
          <w:highlight w:val="none"/>
          <w:u w:val="single"/>
        </w:rPr>
        <w:t>，</w:t>
      </w:r>
      <w:r>
        <w:rPr>
          <w:rFonts w:hint="eastAsia" w:ascii="宋体" w:hAnsi="宋体" w:eastAsia="宋体" w:cs="宋体"/>
          <w:color w:val="auto"/>
          <w:highlight w:val="none"/>
        </w:rPr>
        <w:t>地点为</w:t>
      </w:r>
      <w:r>
        <w:rPr>
          <w:rFonts w:hint="eastAsia" w:ascii="宋体" w:hAnsi="宋体" w:eastAsia="宋体" w:cs="宋体"/>
          <w:color w:val="auto"/>
          <w:highlight w:val="none"/>
          <w:u w:val="single"/>
          <w:lang w:eastAsia="zh-CN"/>
        </w:rPr>
        <w:t>青海省西宁市东川工业园区民和路 59 号青海汇森招标代理有限公司</w:t>
      </w:r>
      <w:r>
        <w:rPr>
          <w:rFonts w:hint="eastAsia" w:ascii="宋体" w:hAnsi="宋体" w:eastAsia="宋体" w:cs="宋体"/>
          <w:color w:val="auto"/>
          <w:highlight w:val="none"/>
          <w:u w:val="single"/>
        </w:rPr>
        <w:t>。</w:t>
      </w:r>
    </w:p>
    <w:p>
      <w:pPr>
        <w:pStyle w:val="7"/>
        <w:pageBreakBefore w:val="0"/>
        <w:widowControl/>
        <w:kinsoku/>
        <w:overflowPunct/>
        <w:topLinePunct w:val="0"/>
        <w:bidi w:val="0"/>
        <w:snapToGrid/>
        <w:spacing w:beforeAutospacing="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5.2 逾期送达的、未送达指定地点的响应文件，</w:t>
      </w:r>
      <w:r>
        <w:rPr>
          <w:rFonts w:hint="eastAsia" w:ascii="宋体" w:hAnsi="宋体" w:eastAsia="宋体" w:cs="宋体"/>
          <w:color w:val="auto"/>
          <w:highlight w:val="none"/>
          <w:lang w:eastAsia="zh-CN"/>
        </w:rPr>
        <w:t>招标</w:t>
      </w:r>
      <w:r>
        <w:rPr>
          <w:rFonts w:hint="eastAsia" w:ascii="宋体" w:hAnsi="宋体" w:eastAsia="宋体" w:cs="宋体"/>
          <w:color w:val="auto"/>
          <w:highlight w:val="none"/>
        </w:rPr>
        <w:t>人将拒绝接收。</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13" w:name="_Toc20423"/>
      <w:bookmarkStart w:id="14" w:name="_Toc3957"/>
      <w:r>
        <w:rPr>
          <w:rFonts w:hint="eastAsia" w:ascii="宋体" w:hAnsi="宋体" w:eastAsia="宋体" w:cs="宋体"/>
          <w:color w:val="auto"/>
          <w:highlight w:val="none"/>
        </w:rPr>
        <w:t>6 响应文件开启时间和地点</w:t>
      </w:r>
      <w:bookmarkEnd w:id="13"/>
      <w:bookmarkEnd w:id="14"/>
    </w:p>
    <w:p>
      <w:pPr>
        <w:pStyle w:val="7"/>
        <w:pageBreakBefore w:val="0"/>
        <w:widowControl/>
        <w:kinsoku/>
        <w:overflowPunct/>
        <w:topLinePunct w:val="0"/>
        <w:bidi w:val="0"/>
        <w:snapToGrid/>
        <w:spacing w:beforeAutospacing="0" w:afterAutospacing="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响应文件开启在响应文件递交截止时间的同一时间进行，地点为响应文件递交地点。邀请所有</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的法定代表人（单位负责人）或其授权的代理人参加开启会议，</w:t>
      </w:r>
      <w:r>
        <w:rPr>
          <w:rFonts w:hint="eastAsia" w:ascii="宋体" w:hAnsi="宋体" w:eastAsia="宋体" w:cs="宋体"/>
          <w:color w:val="auto"/>
          <w:highlight w:val="none"/>
          <w:lang w:eastAsia="zh-CN"/>
        </w:rPr>
        <w:t>询比响应人</w:t>
      </w:r>
      <w:r>
        <w:rPr>
          <w:rFonts w:hint="eastAsia" w:ascii="宋体" w:hAnsi="宋体" w:eastAsia="宋体" w:cs="宋体"/>
          <w:color w:val="auto"/>
          <w:highlight w:val="none"/>
        </w:rPr>
        <w:t>未派代表参加开启会议的，视为默认开启结果。</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rPr>
      </w:pPr>
      <w:bookmarkStart w:id="15" w:name="_Toc2048"/>
      <w:bookmarkStart w:id="16" w:name="_Toc9900"/>
      <w:r>
        <w:rPr>
          <w:rFonts w:hint="eastAsia" w:ascii="宋体" w:hAnsi="宋体" w:eastAsia="宋体" w:cs="宋体"/>
          <w:color w:val="auto"/>
          <w:highlight w:val="none"/>
        </w:rPr>
        <w:t>7 发布公告的媒介</w:t>
      </w:r>
      <w:bookmarkEnd w:id="15"/>
      <w:bookmarkEnd w:id="16"/>
    </w:p>
    <w:p>
      <w:pPr>
        <w:pStyle w:val="7"/>
        <w:pageBreakBefore w:val="0"/>
        <w:widowControl/>
        <w:kinsoku/>
        <w:overflowPunct/>
        <w:topLinePunct w:val="0"/>
        <w:bidi w:val="0"/>
        <w:snapToGrid/>
        <w:spacing w:beforeAutospacing="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本询比采购公告在</w:t>
      </w:r>
      <w:r>
        <w:rPr>
          <w:rFonts w:hint="eastAsia" w:ascii="宋体" w:hAnsi="宋体" w:eastAsia="宋体" w:cs="宋体"/>
          <w:color w:val="auto"/>
          <w:highlight w:val="none"/>
          <w:u w:val="single"/>
        </w:rPr>
        <w:t>中国采购与招标网</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青海省项目信息网</w:t>
      </w:r>
      <w:r>
        <w:rPr>
          <w:rFonts w:hint="eastAsia" w:ascii="宋体" w:hAnsi="宋体" w:eastAsia="宋体" w:cs="宋体"/>
          <w:color w:val="auto"/>
          <w:highlight w:val="none"/>
        </w:rPr>
        <w:t>上发布。</w:t>
      </w:r>
    </w:p>
    <w:p>
      <w:pPr>
        <w:pStyle w:val="6"/>
        <w:pageBreakBefore w:val="0"/>
        <w:kinsoku/>
        <w:overflowPunct/>
        <w:topLinePunct w:val="0"/>
        <w:bidi w:val="0"/>
        <w:snapToGrid/>
        <w:spacing w:line="360" w:lineRule="auto"/>
        <w:jc w:val="both"/>
        <w:rPr>
          <w:rFonts w:hint="eastAsia" w:ascii="宋体" w:hAnsi="宋体" w:eastAsia="宋体" w:cs="宋体"/>
          <w:color w:val="auto"/>
          <w:sz w:val="28"/>
          <w:szCs w:val="28"/>
          <w:highlight w:val="none"/>
        </w:rPr>
      </w:pPr>
      <w:bookmarkStart w:id="17" w:name="_Toc17468"/>
      <w:bookmarkStart w:id="18" w:name="_Toc30755"/>
      <w:r>
        <w:rPr>
          <w:rFonts w:hint="eastAsia" w:ascii="宋体" w:hAnsi="宋体" w:eastAsia="宋体" w:cs="宋体"/>
          <w:color w:val="auto"/>
          <w:highlight w:val="none"/>
        </w:rPr>
        <w:t>8 其他</w:t>
      </w:r>
      <w:bookmarkEnd w:id="17"/>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w:t>
      </w:r>
      <w:bookmarkEnd w:id="18"/>
      <w:r>
        <w:rPr>
          <w:rFonts w:hint="eastAsia" w:ascii="宋体" w:hAnsi="宋体" w:eastAsia="宋体" w:cs="宋体"/>
          <w:color w:val="auto"/>
          <w:sz w:val="28"/>
          <w:szCs w:val="28"/>
          <w:highlight w:val="none"/>
          <w:u w:val="single"/>
        </w:rPr>
        <w:t xml:space="preserve">  </w:t>
      </w:r>
    </w:p>
    <w:p>
      <w:pPr>
        <w:pStyle w:val="6"/>
        <w:pageBreakBefore w:val="0"/>
        <w:kinsoku/>
        <w:overflowPunct/>
        <w:topLinePunct w:val="0"/>
        <w:bidi w:val="0"/>
        <w:snapToGrid/>
        <w:spacing w:line="360" w:lineRule="auto"/>
        <w:jc w:val="both"/>
        <w:rPr>
          <w:rFonts w:hint="eastAsia" w:ascii="宋体" w:hAnsi="宋体" w:eastAsia="宋体" w:cs="宋体"/>
          <w:color w:val="auto"/>
          <w:highlight w:val="none"/>
          <w:lang w:val="en-US" w:eastAsia="zh-CN"/>
        </w:rPr>
      </w:pPr>
      <w:bookmarkStart w:id="19" w:name="_Toc32318"/>
      <w:bookmarkStart w:id="20" w:name="_Toc30616"/>
      <w:r>
        <w:rPr>
          <w:rFonts w:hint="eastAsia" w:ascii="宋体" w:hAnsi="宋体" w:eastAsia="宋体" w:cs="宋体"/>
          <w:color w:val="auto"/>
          <w:highlight w:val="none"/>
        </w:rPr>
        <w:t>9 联系方式</w:t>
      </w:r>
      <w:bookmarkEnd w:id="19"/>
      <w:bookmarkEnd w:id="20"/>
      <w:r>
        <w:rPr>
          <w:rFonts w:hint="eastAsia" w:ascii="宋体" w:hAnsi="宋体" w:cs="宋体"/>
          <w:color w:val="auto"/>
          <w:highlight w:val="none"/>
          <w:lang w:val="en-US" w:eastAsia="zh-CN"/>
        </w:rPr>
        <w:t xml:space="preserve"> </w:t>
      </w:r>
    </w:p>
    <w:tbl>
      <w:tblPr>
        <w:tblStyle w:val="9"/>
        <w:tblW w:w="99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9"/>
        <w:gridCol w:w="5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4829"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采</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购</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人∶</w:t>
            </w:r>
            <w:r>
              <w:rPr>
                <w:rFonts w:hint="eastAsia" w:ascii="宋体" w:hAnsi="宋体" w:eastAsia="宋体" w:cs="宋体"/>
                <w:color w:val="auto"/>
                <w:sz w:val="24"/>
                <w:szCs w:val="24"/>
                <w:highlight w:val="none"/>
                <w:u w:val="none"/>
                <w:lang w:eastAsia="zh-CN"/>
              </w:rPr>
              <w:t>刚察县仙湖旅游投资开发经营有限公司</w:t>
            </w:r>
            <w:r>
              <w:rPr>
                <w:rFonts w:hint="eastAsia" w:ascii="宋体" w:hAnsi="宋体" w:eastAsia="宋体" w:cs="宋体"/>
                <w:color w:val="auto"/>
                <w:sz w:val="24"/>
                <w:szCs w:val="24"/>
                <w:highlight w:val="none"/>
                <w:u w:val="none"/>
                <w:lang w:val="en-US" w:eastAsia="zh-CN"/>
              </w:rPr>
              <w:t xml:space="preserve">      </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vertAlign w:val="baseline"/>
                <w:lang w:val="en-US" w:eastAsia="zh-CN"/>
              </w:rPr>
              <w:t>招标代理机构</w:t>
            </w:r>
            <w:r>
              <w:rPr>
                <w:rFonts w:hint="eastAsia" w:ascii="宋体" w:hAnsi="宋体" w:eastAsia="宋体" w:cs="宋体"/>
                <w:color w:val="auto"/>
                <w:sz w:val="24"/>
                <w:szCs w:val="24"/>
                <w:highlight w:val="none"/>
                <w:u w:val="none"/>
                <w:vertAlign w:val="baseline"/>
              </w:rPr>
              <w:t>∶</w:t>
            </w:r>
            <w:r>
              <w:rPr>
                <w:rFonts w:hint="eastAsia" w:ascii="宋体" w:hAnsi="宋体" w:eastAsia="宋体" w:cs="宋体"/>
                <w:color w:val="auto"/>
                <w:sz w:val="24"/>
                <w:szCs w:val="24"/>
                <w:highlight w:val="none"/>
                <w:u w:val="none"/>
                <w:vertAlign w:val="baseline"/>
                <w:lang w:eastAsia="zh-CN"/>
              </w:rPr>
              <w:t>青海汇森招标有限公司</w:t>
            </w:r>
            <w:r>
              <w:rPr>
                <w:rFonts w:hint="eastAsia" w:ascii="宋体" w:hAnsi="宋体" w:eastAsia="宋体" w:cs="宋体"/>
                <w:color w:val="auto"/>
                <w:sz w:val="24"/>
                <w:szCs w:val="24"/>
                <w:highlight w:val="none"/>
                <w:u w:val="none"/>
                <w:vertAlign w:val="baseli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29"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ascii="宋体" w:hAnsi="宋体" w:eastAsia="宋体" w:cs="宋体"/>
                <w:color w:val="auto"/>
                <w:sz w:val="24"/>
                <w:szCs w:val="24"/>
                <w:highlight w:val="none"/>
                <w:u w:val="none"/>
                <w:vertAlign w:val="baseline"/>
                <w:lang w:val="en-US" w:eastAsia="zh-CN"/>
              </w:rPr>
            </w:pPr>
            <w:r>
              <w:rPr>
                <w:rFonts w:hint="eastAsia" w:ascii="宋体" w:hAnsi="宋体" w:eastAsia="宋体" w:cs="宋体"/>
                <w:color w:val="auto"/>
                <w:sz w:val="24"/>
                <w:szCs w:val="24"/>
                <w:highlight w:val="none"/>
                <w:u w:val="none"/>
              </w:rPr>
              <w:t>地</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址∶</w:t>
            </w:r>
            <w:r>
              <w:rPr>
                <w:rFonts w:hint="eastAsia" w:ascii="宋体" w:hAnsi="宋体" w:eastAsia="宋体" w:cs="宋体"/>
                <w:color w:val="auto"/>
                <w:sz w:val="24"/>
                <w:szCs w:val="24"/>
                <w:highlight w:val="none"/>
                <w:u w:val="none"/>
                <w:lang w:val="en-US" w:eastAsia="zh-CN"/>
              </w:rPr>
              <w:t>刚察县</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地</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址∶</w:t>
            </w:r>
            <w:r>
              <w:rPr>
                <w:rFonts w:hint="eastAsia" w:ascii="宋体" w:hAnsi="宋体" w:eastAsia="宋体" w:cs="宋体"/>
                <w:color w:val="auto"/>
                <w:sz w:val="24"/>
                <w:szCs w:val="24"/>
                <w:highlight w:val="none"/>
                <w:u w:val="none"/>
                <w:lang w:val="zh-CN"/>
              </w:rPr>
              <w:t>青海省西宁市东川工业园区民和路 59 号青海汇森招标代理有限公司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邮政编码∶</w:t>
            </w:r>
            <w:r>
              <w:rPr>
                <w:rFonts w:hint="eastAsia" w:ascii="宋体" w:hAnsi="宋体" w:eastAsia="宋体" w:cs="宋体"/>
                <w:color w:val="auto"/>
                <w:sz w:val="24"/>
                <w:szCs w:val="24"/>
                <w:highlight w:val="none"/>
                <w:u w:val="none"/>
                <w:lang w:val="en-US" w:eastAsia="zh-CN"/>
              </w:rPr>
              <w:t xml:space="preserve">           </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邮政编码∶</w:t>
            </w:r>
            <w:r>
              <w:rPr>
                <w:rFonts w:hint="eastAsia" w:ascii="宋体" w:hAnsi="宋体" w:eastAsia="宋体" w:cs="宋体"/>
                <w:color w:val="auto"/>
                <w:sz w:val="24"/>
                <w:szCs w:val="24"/>
                <w:highlight w:val="none"/>
                <w:u w:val="none"/>
                <w:lang w:val="en-US" w:eastAsia="zh-CN"/>
              </w:rPr>
              <w:t>810000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ascii="宋体" w:hAnsi="宋体" w:eastAsia="宋体" w:cs="宋体"/>
                <w:color w:val="auto"/>
                <w:sz w:val="24"/>
                <w:szCs w:val="24"/>
                <w:highlight w:val="none"/>
                <w:u w:val="none"/>
                <w:vertAlign w:val="baseline"/>
                <w:lang w:val="en-US"/>
              </w:rPr>
            </w:pPr>
            <w:r>
              <w:rPr>
                <w:rFonts w:hint="eastAsia" w:ascii="宋体" w:hAnsi="宋体" w:eastAsia="宋体" w:cs="宋体"/>
                <w:color w:val="auto"/>
                <w:sz w:val="24"/>
                <w:szCs w:val="24"/>
                <w:highlight w:val="none"/>
                <w:u w:val="none"/>
              </w:rPr>
              <w:t>联</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系</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人∶</w:t>
            </w:r>
            <w:r>
              <w:rPr>
                <w:rFonts w:hint="eastAsia" w:ascii="宋体" w:hAnsi="宋体" w:eastAsia="宋体" w:cs="宋体"/>
                <w:color w:val="auto"/>
                <w:sz w:val="24"/>
                <w:szCs w:val="24"/>
                <w:highlight w:val="none"/>
                <w:u w:val="none"/>
                <w:lang w:val="en-US" w:eastAsia="zh-CN"/>
              </w:rPr>
              <w:t>星女士</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联</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系</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人∶</w:t>
            </w:r>
            <w:r>
              <w:rPr>
                <w:rFonts w:hint="eastAsia" w:ascii="宋体" w:hAnsi="宋体" w:eastAsia="宋体" w:cs="宋体"/>
                <w:color w:val="auto"/>
                <w:sz w:val="24"/>
                <w:szCs w:val="24"/>
                <w:highlight w:val="none"/>
                <w:u w:val="none"/>
                <w:lang w:eastAsia="zh-CN"/>
              </w:rPr>
              <w:t>德先生</w:t>
            </w:r>
            <w:r>
              <w:rPr>
                <w:rFonts w:hint="eastAsia" w:ascii="宋体" w:hAnsi="宋体" w:eastAsia="宋体" w:cs="宋体"/>
                <w:color w:val="auto"/>
                <w:sz w:val="24"/>
                <w:szCs w:val="24"/>
                <w:highlight w:val="none"/>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ascii="宋体" w:hAnsi="宋体" w:eastAsia="宋体" w:cs="宋体"/>
                <w:color w:val="auto"/>
                <w:sz w:val="24"/>
                <w:szCs w:val="24"/>
                <w:highlight w:val="none"/>
                <w:u w:val="none"/>
                <w:vertAlign w:val="baseline"/>
                <w:lang w:val="en-US"/>
              </w:rPr>
            </w:pPr>
            <w:r>
              <w:rPr>
                <w:rFonts w:hint="eastAsia" w:ascii="宋体" w:hAnsi="宋体" w:eastAsia="宋体" w:cs="宋体"/>
                <w:color w:val="auto"/>
                <w:sz w:val="24"/>
                <w:szCs w:val="24"/>
                <w:highlight w:val="none"/>
                <w:u w:val="none"/>
              </w:rPr>
              <w:t>电</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话∶</w:t>
            </w:r>
            <w:r>
              <w:rPr>
                <w:rFonts w:hint="eastAsia" w:ascii="宋体" w:hAnsi="宋体" w:eastAsia="宋体" w:cs="宋体"/>
                <w:color w:val="auto"/>
                <w:sz w:val="24"/>
                <w:szCs w:val="24"/>
                <w:highlight w:val="none"/>
                <w:u w:val="none"/>
                <w:lang w:val="en-US" w:eastAsia="zh-CN"/>
              </w:rPr>
              <w:t>0970-5933500</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电</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话∶</w:t>
            </w:r>
            <w:r>
              <w:rPr>
                <w:rFonts w:hint="eastAsia" w:ascii="宋体" w:hAnsi="宋体" w:eastAsia="宋体" w:cs="宋体"/>
                <w:sz w:val="24"/>
                <w:lang w:val="zh-CN" w:eastAsia="zh-CN"/>
              </w:rPr>
              <w:t>0971-6182918</w:t>
            </w:r>
            <w:r>
              <w:rPr>
                <w:rFonts w:hint="eastAsia" w:ascii="宋体" w:hAnsi="宋体" w:eastAsia="宋体" w:cs="宋体"/>
                <w:color w:val="auto"/>
                <w:sz w:val="24"/>
                <w:szCs w:val="24"/>
                <w:highlight w:val="none"/>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传</w:t>
            </w:r>
            <w:r>
              <w:rPr>
                <w:rFonts w:hint="eastAsia" w:ascii="宋体" w:hAnsi="宋体" w:eastAsia="宋体" w:cs="宋体"/>
                <w:color w:val="auto"/>
                <w:sz w:val="24"/>
                <w:szCs w:val="24"/>
                <w:highlight w:val="none"/>
                <w:u w:val="none"/>
                <w:lang w:val="en-US" w:eastAsia="zh-CN"/>
              </w:rPr>
              <w:t xml:space="preserve">    真</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 xml:space="preserve">                   </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传</w:t>
            </w:r>
            <w:r>
              <w:rPr>
                <w:rFonts w:hint="eastAsia" w:ascii="宋体" w:hAnsi="宋体" w:eastAsia="宋体" w:cs="宋体"/>
                <w:color w:val="auto"/>
                <w:sz w:val="24"/>
                <w:szCs w:val="24"/>
                <w:highlight w:val="none"/>
                <w:u w:val="none"/>
                <w:lang w:val="en-US" w:eastAsia="zh-CN"/>
              </w:rPr>
              <w:t xml:space="preserve">    真</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电子邮箱∶</w:t>
            </w:r>
            <w:r>
              <w:rPr>
                <w:rFonts w:hint="eastAsia" w:ascii="宋体" w:hAnsi="宋体" w:eastAsia="宋体" w:cs="宋体"/>
                <w:color w:val="auto"/>
                <w:sz w:val="24"/>
                <w:szCs w:val="24"/>
                <w:highlight w:val="none"/>
                <w:u w:val="none"/>
                <w:lang w:val="en-US" w:eastAsia="zh-CN"/>
              </w:rPr>
              <w:t xml:space="preserve">                   </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电子邮箱∶</w:t>
            </w:r>
            <w:r>
              <w:rPr>
                <w:rFonts w:hint="eastAsia" w:ascii="宋体" w:hAnsi="宋体" w:eastAsia="宋体" w:cs="宋体"/>
                <w:sz w:val="24"/>
                <w:lang w:val="zh-CN"/>
              </w:rPr>
              <w:fldChar w:fldCharType="begin"/>
            </w:r>
            <w:r>
              <w:rPr>
                <w:rFonts w:hint="eastAsia" w:ascii="宋体" w:hAnsi="宋体" w:eastAsia="宋体" w:cs="宋体"/>
                <w:sz w:val="24"/>
                <w:lang w:val="zh-CN"/>
              </w:rPr>
              <w:instrText xml:space="preserve"> HYPERLINK "mailto: qhlanzhidian@163.com" </w:instrText>
            </w:r>
            <w:r>
              <w:rPr>
                <w:rFonts w:hint="eastAsia" w:ascii="宋体" w:hAnsi="宋体" w:eastAsia="宋体" w:cs="宋体"/>
                <w:sz w:val="24"/>
                <w:lang w:val="zh-CN"/>
              </w:rPr>
              <w:fldChar w:fldCharType="separate"/>
            </w:r>
            <w:r>
              <w:rPr>
                <w:rFonts w:hint="eastAsia" w:ascii="宋体" w:hAnsi="宋体" w:eastAsia="宋体" w:cs="宋体"/>
                <w:sz w:val="24"/>
                <w:lang w:val="zh-CN"/>
              </w:rPr>
              <w:t xml:space="preserve"> qhhszb@163.com</w:t>
            </w:r>
            <w:r>
              <w:rPr>
                <w:rFonts w:hint="eastAsia" w:ascii="宋体" w:hAnsi="宋体" w:eastAsia="宋体" w:cs="宋体"/>
                <w:sz w:val="24"/>
                <w:lang w:val="zh-CN"/>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网</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址∶</w:t>
            </w:r>
            <w:r>
              <w:rPr>
                <w:rFonts w:hint="eastAsia" w:ascii="宋体" w:hAnsi="宋体" w:eastAsia="宋体" w:cs="宋体"/>
                <w:color w:val="auto"/>
                <w:sz w:val="24"/>
                <w:szCs w:val="24"/>
                <w:highlight w:val="none"/>
                <w:u w:val="none"/>
                <w:lang w:val="en-US" w:eastAsia="zh-CN"/>
              </w:rPr>
              <w:t xml:space="preserve">                   </w:t>
            </w:r>
          </w:p>
        </w:tc>
        <w:tc>
          <w:tcPr>
            <w:tcW w:w="5150"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vertAlign w:val="baseline"/>
              </w:rPr>
            </w:pPr>
            <w:r>
              <w:rPr>
                <w:rFonts w:hint="eastAsia" w:ascii="宋体" w:hAnsi="宋体" w:eastAsia="宋体" w:cs="宋体"/>
                <w:color w:val="auto"/>
                <w:sz w:val="24"/>
                <w:szCs w:val="24"/>
                <w:highlight w:val="none"/>
                <w:u w:val="none"/>
              </w:rPr>
              <w:t>网</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址∶</w:t>
            </w:r>
            <w:r>
              <w:rPr>
                <w:rFonts w:hint="eastAsia" w:ascii="宋体" w:hAnsi="宋体" w:eastAsia="宋体" w:cs="宋体"/>
                <w:color w:val="auto"/>
                <w:sz w:val="24"/>
                <w:szCs w:val="24"/>
                <w:highlight w:val="none"/>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29"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开户银行∶</w:t>
            </w:r>
            <w:r>
              <w:rPr>
                <w:rFonts w:hint="eastAsia" w:ascii="宋体" w:hAnsi="宋体" w:eastAsia="宋体" w:cs="宋体"/>
                <w:color w:val="auto"/>
                <w:sz w:val="24"/>
                <w:szCs w:val="24"/>
                <w:highlight w:val="none"/>
                <w:u w:val="none"/>
                <w:lang w:val="en-US" w:eastAsia="zh-CN"/>
              </w:rPr>
              <w:t xml:space="preserve">                    </w:t>
            </w:r>
          </w:p>
        </w:tc>
        <w:tc>
          <w:tcPr>
            <w:tcW w:w="5150"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sz w:val="24"/>
                <w:szCs w:val="24"/>
                <w:highlight w:val="none"/>
                <w:u w:val="none"/>
              </w:rPr>
              <w:t>开户银行∶</w:t>
            </w:r>
            <w:r>
              <w:rPr>
                <w:rFonts w:hint="eastAsia" w:ascii="Arial" w:hAnsi="Arial" w:cs="Arial"/>
                <w:b/>
                <w:bCs/>
                <w:sz w:val="22"/>
                <w:szCs w:val="21"/>
                <w:lang w:eastAsia="zh-CN"/>
              </w:rPr>
              <w:t>中国工商银行股份有限公司西宁西川支行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829" w:type="dxa"/>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账号：</w:t>
            </w:r>
          </w:p>
        </w:tc>
        <w:tc>
          <w:tcPr>
            <w:tcW w:w="5150" w:type="dxa"/>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账号：</w:t>
            </w:r>
            <w:r>
              <w:rPr>
                <w:rFonts w:hint="eastAsia" w:ascii="Arial" w:hAnsi="Arial" w:cs="Arial"/>
                <w:b/>
                <w:bCs/>
                <w:kern w:val="0"/>
                <w:sz w:val="22"/>
                <w:szCs w:val="18"/>
                <w:lang w:eastAsia="zh-CN"/>
              </w:rPr>
              <w:t>2806001909200050709</w:t>
            </w:r>
          </w:p>
        </w:tc>
      </w:tr>
    </w:tbl>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color w:val="auto"/>
          <w:highlight w:val="none"/>
          <w:u w:val="single"/>
          <w:lang w:val="en-US" w:eastAsia="zh-CN"/>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color w:val="auto"/>
          <w:highlight w:val="none"/>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560" w:firstLineChars="1900"/>
        <w:textAlignment w:val="auto"/>
        <w:rPr>
          <w:rFonts w:hint="eastAsia" w:ascii="宋体" w:hAnsi="宋体" w:eastAsia="宋体" w:cs="宋体"/>
          <w:color w:val="auto"/>
          <w:highlight w:val="none"/>
        </w:rPr>
      </w:pPr>
      <w:r>
        <w:rPr>
          <w:rFonts w:hint="eastAsia" w:ascii="宋体" w:hAnsi="宋体" w:eastAsia="宋体" w:cs="宋体"/>
          <w:i w:val="0"/>
          <w:iCs w:val="0"/>
          <w:color w:val="auto"/>
          <w:highlight w:val="none"/>
          <w:u w:val="single"/>
          <w:lang w:val="en-US" w:eastAsia="zh-CN"/>
        </w:rPr>
        <w:t xml:space="preserve"> 2024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1</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22</w:t>
      </w:r>
      <w:r>
        <w:rPr>
          <w:rFonts w:hint="eastAsia" w:ascii="宋体" w:hAnsi="宋体" w:eastAsia="宋体" w:cs="宋体"/>
          <w:color w:val="auto"/>
          <w:highlight w:val="none"/>
        </w:rPr>
        <w:t>日</w:t>
      </w:r>
    </w:p>
    <w:p>
      <w:pPr>
        <w:rPr>
          <w:rFonts w:hint="eastAsia" w:eastAsiaTheme="minorEastAsia"/>
          <w:lang w:eastAsia="zh-CN"/>
        </w:rPr>
      </w:pPr>
      <w:r>
        <w:rPr>
          <w:rFonts w:hint="eastAsia" w:eastAsiaTheme="minorEastAsia"/>
          <w:lang w:eastAsia="zh-CN"/>
        </w:rPr>
        <w:drawing>
          <wp:inline distT="0" distB="0" distL="114300" distR="114300">
            <wp:extent cx="5271135" cy="7440295"/>
            <wp:effectExtent l="0" t="0" r="1905" b="12065"/>
            <wp:docPr id="1" name="图片 1" descr="工程量清单--刚察县各景区基础设施提升建设项目(1)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工程量清单--刚察县各景区基础设施提升建设项目(1)_50"/>
                    <pic:cNvPicPr>
                      <a:picLocks noChangeAspect="1"/>
                    </pic:cNvPicPr>
                  </pic:nvPicPr>
                  <pic:blipFill>
                    <a:blip r:embed="rId4"/>
                    <a:stretch>
                      <a:fillRect/>
                    </a:stretch>
                  </pic:blipFill>
                  <pic:spPr>
                    <a:xfrm>
                      <a:off x="0" y="0"/>
                      <a:ext cx="5271135" cy="744029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07F2F8"/>
    <w:multiLevelType w:val="singleLevel"/>
    <w:tmpl w:val="4107F2F8"/>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3ZGI5ODRmMWRhMWQ1MDhiMTdmZDEzZmUyYTE3YTkifQ=="/>
  </w:docVars>
  <w:rsids>
    <w:rsidRoot w:val="68897E70"/>
    <w:rsid w:val="68897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unhideWhenUsed/>
    <w:qFormat/>
    <w:uiPriority w:val="0"/>
    <w:pPr>
      <w:keepNext/>
      <w:keepLines/>
      <w:spacing w:line="413" w:lineRule="auto"/>
      <w:jc w:val="center"/>
      <w:outlineLvl w:val="1"/>
    </w:pPr>
    <w:rPr>
      <w:rFonts w:ascii="Arial" w:hAnsi="Arial" w:eastAsia="宋体"/>
      <w:b/>
      <w:sz w:val="28"/>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4"/>
    <w:unhideWhenUsed/>
    <w:qFormat/>
    <w:uiPriority w:val="99"/>
    <w:pPr>
      <w:spacing w:after="120"/>
    </w:pPr>
  </w:style>
  <w:style w:type="paragraph" w:styleId="4">
    <w:name w:val="Body Text Indent"/>
    <w:basedOn w:val="1"/>
    <w:next w:val="5"/>
    <w:unhideWhenUsed/>
    <w:qFormat/>
    <w:uiPriority w:val="99"/>
    <w:pPr>
      <w:spacing w:after="120"/>
      <w:ind w:left="420" w:leftChars="200"/>
    </w:pPr>
  </w:style>
  <w:style w:type="paragraph" w:styleId="7">
    <w:name w:val="Normal (Web)"/>
    <w:basedOn w:val="1"/>
    <w:next w:val="3"/>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2024-01-22T07:12:00Z</dcterms:created>
  <dc:creator>just do it </dc:creator>
  <cp:lastModifiedBy>just do it </cp:lastModifiedBy>
  <dcterms:modified xsi:type="dcterms:W3CDTF">2024-01-22T07:12:39Z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1B74C1617E604187A13B6ECA540EEB53_11</vt:lpwstr>
  </property>
</Properties>
</file>