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3"/>
        <w:rPr>
          <w:rFonts w:hint="eastAsia" w:ascii="方正仿宋_GBK" w:hAnsi="方正仿宋_GBK" w:eastAsia="方正仿宋_GBK" w:cs="方正仿宋_GBK"/>
          <w:color w:val="auto"/>
          <w:sz w:val="32"/>
          <w:szCs w:val="32"/>
          <w:highlight w:val="none"/>
          <w:lang w:val="en-US" w:eastAsia="zh-CN"/>
        </w:rPr>
      </w:pPr>
    </w:p>
    <w:p>
      <w:pPr>
        <w:pStyle w:val="2"/>
        <w:rPr>
          <w:rFonts w:hint="eastAsia" w:ascii="方正仿宋_GBK" w:hAnsi="方正仿宋_GBK" w:eastAsia="方正仿宋_GBK" w:cs="方正仿宋_GBK"/>
          <w:color w:val="auto"/>
          <w:sz w:val="32"/>
          <w:szCs w:val="32"/>
          <w:highlight w:val="none"/>
          <w:lang w:val="en-US" w:eastAsia="zh-CN"/>
        </w:rPr>
      </w:pPr>
    </w:p>
    <w:p>
      <w:pPr>
        <w:pStyle w:val="10"/>
        <w:rPr>
          <w:rFonts w:hint="eastAsia" w:ascii="方正仿宋_GBK" w:hAnsi="方正仿宋_GBK" w:eastAsia="方正仿宋_GBK" w:cs="方正仿宋_GBK"/>
          <w:color w:val="auto"/>
          <w:sz w:val="32"/>
          <w:szCs w:val="32"/>
          <w:highlight w:val="none"/>
          <w:lang w:val="en-US" w:eastAsia="zh-CN"/>
        </w:rPr>
      </w:pPr>
    </w:p>
    <w:p>
      <w:pPr>
        <w:pStyle w:val="2"/>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招标人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投标人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ascii="宋体" w:hAnsi="宋体"/>
                <w:b/>
                <w:bCs/>
                <w:color w:val="auto"/>
                <w:sz w:val="28"/>
                <w:szCs w:val="36"/>
                <w:highlight w:val="none"/>
              </w:rPr>
            </w:pPr>
          </w:p>
          <w:p>
            <w:pPr>
              <w:pStyle w:val="11"/>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招标人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投标人</w:t>
            </w:r>
            <w:r>
              <w:rPr>
                <w:rFonts w:hint="eastAsia" w:ascii="宋体" w:hAnsi="宋体"/>
                <w:b/>
                <w:bCs/>
                <w:color w:val="auto"/>
                <w:sz w:val="20"/>
                <w:szCs w:val="20"/>
                <w:highlight w:val="none"/>
              </w:rPr>
              <w:t>三方约定</w:t>
            </w: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2"/>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的投标总报价中，由</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中标后向招标代理机构支付招标代理服务费用。</w:t>
            </w:r>
          </w:p>
          <w:p>
            <w:pPr>
              <w:pStyle w:val="12"/>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投标人</w:t>
            </w:r>
            <w:r>
              <w:rPr>
                <w:rFonts w:hint="eastAsia" w:ascii="宋体" w:hAnsi="宋体"/>
                <w:color w:val="auto"/>
                <w:kern w:val="2"/>
                <w:sz w:val="20"/>
                <w:szCs w:val="20"/>
                <w:highlight w:val="none"/>
              </w:rPr>
              <w:t>（公章）：</w:t>
            </w:r>
          </w:p>
          <w:p>
            <w:pPr>
              <w:pStyle w:val="11"/>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9"/>
        <w:spacing w:beforeLines="0" w:afterLines="0"/>
        <w:rPr>
          <w:rFonts w:hint="eastAsia" w:ascii="黑体" w:hAnsi="黑体" w:eastAsia="黑体" w:cs="黑体"/>
          <w:b/>
          <w:color w:val="auto"/>
          <w:kern w:val="2"/>
          <w:sz w:val="24"/>
          <w:szCs w:val="24"/>
          <w:highlight w:val="none"/>
          <w:lang w:val="en-US"/>
        </w:rPr>
      </w:pPr>
    </w:p>
    <w:p>
      <w:bookmarkStart w:id="0" w:name="_GoBack"/>
      <w:bookmarkEnd w:id="0"/>
    </w:p>
    <w:sectPr>
      <w:headerReference r:id="rId4" w:type="default"/>
      <w:footerReference r:id="rId5" w:type="default"/>
      <w:footnotePr>
        <w:pos w:val="beneathText"/>
      </w:footnotePr>
      <w:pgSz w:w="11906" w:h="16838"/>
      <w:pgMar w:top="1797" w:right="1440" w:bottom="1797" w:left="1440" w:header="851" w:footer="851" w:gutter="0"/>
      <w:pgBorders>
        <w:top w:val="none" w:sz="0" w:space="0"/>
        <w:left w:val="none" w:sz="0" w:space="0"/>
        <w:bottom w:val="none" w:sz="0" w:space="0"/>
        <w:right w:val="none" w:sz="0" w:space="0"/>
      </w:pgBorders>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ind w:firstLine="360"/>
      <w:jc w:val="center"/>
      <w:rPr>
        <w:rFonts w:hint="default"/>
        <w:sz w:val="18"/>
        <w:szCs w:val="18"/>
      </w:rP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p>
    <w:pPr>
      <w:pStyle w:val="2"/>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TYyZWFiZTc0YTRhMDhiMzgyYWZkMzUyYjQyYzkifQ=="/>
  </w:docVars>
  <w:rsids>
    <w:rsidRoot w:val="2D8E7071"/>
    <w:rsid w:val="2D8E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autoSpaceDE w:val="0"/>
      <w:autoSpaceDN w:val="0"/>
      <w:spacing w:beforeLines="0" w:afterLines="0"/>
      <w:jc w:val="left"/>
    </w:pPr>
    <w:rPr>
      <w:rFonts w:hint="eastAsia" w:ascii="宋体" w:hAnsi="宋体" w:eastAsia="宋体" w:cs="宋体"/>
      <w:sz w:val="21"/>
      <w:szCs w:val="21"/>
      <w:lang w:val="zh-CN"/>
    </w:rPr>
  </w:style>
  <w:style w:type="paragraph" w:styleId="3">
    <w:name w:val="Normal Indent"/>
    <w:basedOn w:val="1"/>
    <w:next w:val="2"/>
    <w:unhideWhenUsed/>
    <w:qFormat/>
    <w:uiPriority w:val="0"/>
    <w:pPr>
      <w:spacing w:beforeLines="0" w:afterLines="0"/>
      <w:ind w:firstLine="420"/>
    </w:pPr>
    <w:rPr>
      <w:rFonts w:hint="eastAsia" w:ascii="Times New Roman" w:hAnsi="Times New Roman" w:eastAsia="宋体"/>
      <w:sz w:val="21"/>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2"/>
    <w:basedOn w:val="1"/>
    <w:autoRedefine/>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10">
    <w:name w:val="Default"/>
    <w:autoRedefine/>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2024-01-29T08:38:00Z</dcterms:created>
  <dc:creator>momo</dc:creator>
  <cp:lastModifiedBy>momo</cp:lastModifiedBy>
  <dcterms:modified xsi:type="dcterms:W3CDTF">2024-01-29T08:38:32Z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160A37AAD4A14BF09FDF353A08C3F624_11</vt:lpwstr>
  </property>
</Properties>
</file>