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20" w:beforeLines="50" w:after="120" w:afterLines="50" w:line="400" w:lineRule="exact"/>
        <w:outlineLvl w:val="1"/>
        <w:rPr>
          <w:rFonts w:ascii="黑体" w:hAnsi="黑体" w:eastAsia="黑体" w:cs="黑体"/>
          <w:b/>
          <w:bCs/>
          <w:color w:val="000000" w:themeColor="text1"/>
          <w:kern w:val="2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2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招标公告/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投标邀请书</w:t>
      </w:r>
      <w:r>
        <w:rPr>
          <w:rFonts w:ascii="黑体" w:hAnsi="黑体" w:eastAsia="黑体" w:cs="黑体"/>
          <w:b/>
          <w:bCs/>
          <w:color w:val="000000" w:themeColor="text1"/>
          <w:kern w:val="2"/>
          <w:sz w:val="21"/>
          <w:highlight w:val="none"/>
          <w:lang w:val="en-US"/>
          <w14:textFill>
            <w14:solidFill>
              <w14:schemeClr w14:val="tx1"/>
            </w14:solidFill>
          </w14:textFill>
        </w:rPr>
        <w:t>附件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24"/>
          <w:szCs w:val="24"/>
          <w:lang w:val="en-US" w:eastAsia="zh-CN"/>
        </w:rPr>
        <w:t>附件1：专用资质业绩要求</w:t>
      </w:r>
    </w:p>
    <w:tbl>
      <w:tblPr>
        <w:tblStyle w:val="9"/>
        <w:tblW w:w="13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97"/>
        <w:gridCol w:w="1245"/>
        <w:gridCol w:w="4071"/>
        <w:gridCol w:w="1276"/>
        <w:gridCol w:w="3373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业绩要求（不少于）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关键参数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生产设备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一二次融合成套环网箱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国家电网有限公司2023年配网物资协议库存招标联合资格预审中“配电箱（JP柜）”标段预审合格。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交流穿墙套管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提供国家认可第三方权威检测机构的有效的型式试验报告（须提供直线型复合绝缘横担型式试验报告）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配电终端（TTU）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100套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型式试验报告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专业检测报告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业务功能安全验证报告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线损模块专业检测报告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线路板功能测试设备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总装流水线或装配流水线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老化设备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继电保护测试仪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绝缘耐压仪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高低温箱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防鸟设备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具有同类型完整的制造、工艺装备和试验设备；具有同类型产品的研发、设计、制造和出厂检测能力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国家电网有限公司2023年配网物资协议库存招标联合资格预审中“10kV电力电缆”标段预审合格。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布电线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400公里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12"/>
              <w:spacing w:before="50" w:line="283" w:lineRule="auto"/>
              <w:ind w:left="111" w:leftChars="0" w:right="34" w:rightChars="0" w:firstLine="5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具有完整的制造、工艺装备和试验设备；具有同等电压等级及以上电缆研发、设计、制造和出厂试验的能力；具备例行试验所需的试验设备。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12"/>
              <w:spacing w:before="65" w:line="281" w:lineRule="auto"/>
              <w:ind w:right="42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具有完整的制造、工艺装备和试验设备：绞线机、挤塑机、交联设备；直流电阻测试仪、耐压设备、老化箱、热延伸测试仪；具有同等电压等级及以上电缆研发、设计、制造和出厂试验的能力；具备例行试验所需的试验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国家电网有限公司2023年配网物资协议库存招标联合资格预审中“电缆保护管MPP”标段预审合格。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电缆附件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国家电网有限公司2023年配网物资协议库存招标联合资格预审中“10kV及以下电缆附件冷缩式”标段预审合格。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钢芯耐热铝合金绞线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扩径导线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软铜绞线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接地石墨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金具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国家电网有限公司2023年配网物资协议库存招标联合资格预审中“10kV及以下金具”标段预审合格。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复合横担绝缘子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国家认可的第三方权威检测机构出具的有效的型式试验报告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复合绝缘横担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提供国家认可第三方权威检测机构的有效的型式试验报告（须提供直线型复合绝缘横担型式试验报告）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线路柱式瓷绝缘子</w:t>
            </w:r>
          </w:p>
        </w:tc>
        <w:tc>
          <w:tcPr>
            <w:tcW w:w="1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国家电网有限公司2023年配网物资协议库存招标联合资格预审中“线路柱式瓷绝缘子”标段预审合格。</w:t>
            </w: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</w:footnotePr>
      <w:pgSz w:w="16838" w:h="11906" w:orient="landscape"/>
      <w:pgMar w:top="1803" w:right="1134" w:bottom="1803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firstLine="240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TE3YjFmZjAxOGQ2Y2ZlNDFmMjMwNGMzYzhiMWUifQ=="/>
  </w:docVars>
  <w:rsids>
    <w:rsidRoot w:val="6A0511A4"/>
    <w:rsid w:val="6A0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utoSpaceDE w:val="0"/>
      <w:autoSpaceDN w:val="0"/>
      <w:ind w:leftChars="0" w:firstLine="420"/>
    </w:pPr>
    <w:rPr>
      <w:rFonts w:ascii="Times New Roman" w:hAnsi="Times New Roman" w:cs="Times New Roman"/>
      <w:szCs w:val="24"/>
      <w:lang w:val="zh-CN" w:bidi="zh-C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jc w:val="left"/>
    </w:pPr>
    <w:rPr>
      <w:kern w:val="0"/>
      <w:lang w:val="zh-CN" w:bidi="zh-C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文本2"/>
    <w:basedOn w:val="1"/>
    <w:qFormat/>
    <w:uiPriority w:val="0"/>
    <w:pPr>
      <w:autoSpaceDE w:val="0"/>
      <w:autoSpaceDN w:val="0"/>
      <w:jc w:val="left"/>
    </w:pPr>
    <w:rPr>
      <w:rFonts w:cs="Times New Roman"/>
      <w:kern w:val="0"/>
      <w:sz w:val="20"/>
      <w:lang w:val="zh-C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2024-06-25T09:10:00Z</dcterms:created>
  <dc:creator>Administrator</dc:creator>
  <cp:lastModifiedBy>Administrator</cp:lastModifiedBy>
  <dcterms:modified xsi:type="dcterms:W3CDTF">2024-06-25T09:11:00Z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2D16FC27B73345E58447E7D2FC8B80EB_11</vt:lpwstr>
  </property>
</Properties>
</file>