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FE99B">
      <w:pPr>
        <w:adjustRightInd w:val="0"/>
        <w:spacing w:line="360" w:lineRule="auto"/>
        <w:jc w:val="center"/>
        <w:textAlignment w:val="baseline"/>
        <w:rPr>
          <w:rFonts w:ascii="宋体" w:hAnsi="宋体"/>
          <w:b/>
          <w:sz w:val="24"/>
        </w:rPr>
      </w:pPr>
    </w:p>
    <w:p w14:paraId="24BDA6EC">
      <w:pPr>
        <w:adjustRightInd w:val="0"/>
        <w:spacing w:line="360" w:lineRule="auto"/>
        <w:jc w:val="center"/>
        <w:textAlignment w:val="baseline"/>
        <w:rPr>
          <w:rFonts w:ascii="宋体" w:hAnsi="宋体"/>
          <w:b/>
          <w:sz w:val="24"/>
        </w:rPr>
      </w:pPr>
    </w:p>
    <w:p w14:paraId="7C023D4E">
      <w:pPr>
        <w:adjustRightInd w:val="0"/>
        <w:spacing w:line="360" w:lineRule="auto"/>
        <w:jc w:val="center"/>
        <w:textAlignment w:val="baseline"/>
        <w:rPr>
          <w:rFonts w:ascii="宋体" w:hAnsi="宋体"/>
          <w:b/>
          <w:sz w:val="24"/>
        </w:rPr>
      </w:pPr>
    </w:p>
    <w:p w14:paraId="345B3E0F">
      <w:pPr>
        <w:adjustRightInd w:val="0"/>
        <w:spacing w:line="360" w:lineRule="auto"/>
        <w:jc w:val="center"/>
        <w:textAlignment w:val="baseline"/>
        <w:rPr>
          <w:rFonts w:ascii="宋体" w:hAnsi="宋体"/>
          <w:b/>
          <w:sz w:val="24"/>
        </w:rPr>
      </w:pPr>
    </w:p>
    <w:p w14:paraId="1D36B9E1">
      <w:pPr>
        <w:adjustRightInd w:val="0"/>
        <w:spacing w:line="360" w:lineRule="auto"/>
        <w:jc w:val="center"/>
        <w:textAlignment w:val="baseline"/>
        <w:rPr>
          <w:rFonts w:ascii="宋体" w:hAnsi="宋体"/>
          <w:b/>
          <w:sz w:val="24"/>
        </w:rPr>
      </w:pPr>
    </w:p>
    <w:p w14:paraId="063D0F38">
      <w:pPr>
        <w:adjustRightInd w:val="0"/>
        <w:spacing w:line="360" w:lineRule="auto"/>
        <w:jc w:val="center"/>
        <w:textAlignment w:val="baseline"/>
        <w:rPr>
          <w:rFonts w:ascii="宋体" w:hAnsi="宋体"/>
          <w:sz w:val="24"/>
        </w:rPr>
      </w:pPr>
    </w:p>
    <w:p w14:paraId="0C9A4F59">
      <w:pPr>
        <w:adjustRightInd w:val="0"/>
        <w:spacing w:line="360" w:lineRule="auto"/>
        <w:jc w:val="center"/>
        <w:textAlignment w:val="baseline"/>
        <w:rPr>
          <w:rFonts w:ascii="宋体" w:hAnsi="宋体"/>
          <w:sz w:val="24"/>
        </w:rPr>
      </w:pPr>
    </w:p>
    <w:p w14:paraId="25D61F23">
      <w:pPr>
        <w:pStyle w:val="30"/>
        <w:spacing w:before="0" w:after="0" w:line="360" w:lineRule="auto"/>
        <w:rPr>
          <w:rFonts w:ascii="宋体" w:hAnsi="宋体"/>
          <w:sz w:val="96"/>
          <w:szCs w:val="96"/>
        </w:rPr>
      </w:pPr>
      <w:bookmarkStart w:id="0" w:name="_Toc449568588"/>
      <w:r>
        <w:rPr>
          <w:rFonts w:hint="eastAsia" w:ascii="宋体" w:hAnsi="宋体"/>
          <w:sz w:val="96"/>
          <w:szCs w:val="96"/>
        </w:rPr>
        <w:t>竞争性磋商文件</w:t>
      </w:r>
      <w:bookmarkEnd w:id="0"/>
    </w:p>
    <w:p w14:paraId="59A3CB88">
      <w:pPr>
        <w:pStyle w:val="30"/>
        <w:spacing w:line="360" w:lineRule="auto"/>
        <w:rPr>
          <w:rFonts w:ascii="宋体" w:hAnsi="宋体"/>
          <w:sz w:val="24"/>
          <w:szCs w:val="24"/>
        </w:rPr>
      </w:pPr>
    </w:p>
    <w:p w14:paraId="63C41616">
      <w:pPr>
        <w:adjustRightInd w:val="0"/>
        <w:spacing w:line="360" w:lineRule="auto"/>
        <w:jc w:val="center"/>
        <w:textAlignment w:val="baseline"/>
        <w:rPr>
          <w:rFonts w:ascii="宋体" w:hAnsi="宋体"/>
          <w:sz w:val="24"/>
        </w:rPr>
      </w:pPr>
    </w:p>
    <w:p w14:paraId="574ACA4F">
      <w:pPr>
        <w:adjustRightInd w:val="0"/>
        <w:spacing w:line="360" w:lineRule="auto"/>
        <w:jc w:val="center"/>
        <w:textAlignment w:val="baseline"/>
        <w:rPr>
          <w:rFonts w:ascii="宋体" w:hAnsi="宋体"/>
          <w:sz w:val="24"/>
        </w:rPr>
      </w:pPr>
    </w:p>
    <w:p w14:paraId="444A1159">
      <w:pPr>
        <w:adjustRightInd w:val="0"/>
        <w:spacing w:line="360" w:lineRule="auto"/>
        <w:jc w:val="center"/>
        <w:textAlignment w:val="baseline"/>
        <w:rPr>
          <w:rFonts w:ascii="宋体" w:hAnsi="宋体"/>
          <w:sz w:val="24"/>
        </w:rPr>
      </w:pPr>
    </w:p>
    <w:p w14:paraId="6681823A">
      <w:pPr>
        <w:adjustRightInd w:val="0"/>
        <w:spacing w:line="360" w:lineRule="auto"/>
        <w:jc w:val="center"/>
        <w:textAlignment w:val="baseline"/>
        <w:rPr>
          <w:rFonts w:ascii="宋体" w:hAnsi="宋体"/>
          <w:sz w:val="24"/>
        </w:rPr>
      </w:pPr>
    </w:p>
    <w:p w14:paraId="773B6A54">
      <w:pPr>
        <w:adjustRightInd w:val="0"/>
        <w:spacing w:line="360" w:lineRule="auto"/>
        <w:jc w:val="center"/>
        <w:textAlignment w:val="baseline"/>
        <w:rPr>
          <w:rFonts w:ascii="宋体" w:hAnsi="宋体"/>
          <w:sz w:val="24"/>
        </w:rPr>
      </w:pPr>
    </w:p>
    <w:p w14:paraId="7F9B74E4">
      <w:pPr>
        <w:adjustRightInd w:val="0"/>
        <w:spacing w:line="360" w:lineRule="auto"/>
        <w:jc w:val="center"/>
        <w:textAlignment w:val="baseline"/>
        <w:rPr>
          <w:rFonts w:ascii="宋体" w:hAnsi="宋体"/>
          <w:sz w:val="24"/>
        </w:rPr>
      </w:pPr>
    </w:p>
    <w:p w14:paraId="2465EC28">
      <w:pPr>
        <w:spacing w:line="360" w:lineRule="auto"/>
        <w:ind w:left="3355" w:leftChars="528" w:hanging="2246" w:hangingChars="699"/>
        <w:rPr>
          <w:rFonts w:hint="eastAsia" w:ascii="宋体" w:hAnsi="宋体" w:eastAsia="宋体" w:cs="Arial"/>
          <w:b/>
          <w:kern w:val="0"/>
          <w:sz w:val="32"/>
          <w:szCs w:val="32"/>
          <w:lang w:eastAsia="zh-CN"/>
        </w:rPr>
      </w:pPr>
      <w:r>
        <w:rPr>
          <w:rFonts w:hint="eastAsia" w:ascii="宋体" w:hAnsi="宋体" w:cs="Arial"/>
          <w:b/>
          <w:kern w:val="0"/>
          <w:sz w:val="32"/>
          <w:szCs w:val="32"/>
        </w:rPr>
        <w:t>采购项目名称：</w:t>
      </w:r>
      <w:r>
        <w:rPr>
          <w:rFonts w:hint="eastAsia" w:ascii="宋体" w:hAnsi="宋体" w:cs="Arial"/>
          <w:b/>
          <w:kern w:val="0"/>
          <w:sz w:val="32"/>
          <w:szCs w:val="32"/>
          <w:lang w:eastAsia="zh-CN"/>
        </w:rPr>
        <w:t>丁香园(清真)后厨设备</w:t>
      </w:r>
    </w:p>
    <w:p w14:paraId="692349E4">
      <w:pPr>
        <w:adjustRightInd w:val="0"/>
        <w:snapToGrid w:val="0"/>
        <w:spacing w:line="360" w:lineRule="auto"/>
        <w:ind w:left="2678" w:leftChars="498" w:hanging="1632" w:hangingChars="508"/>
        <w:textAlignment w:val="baseline"/>
        <w:rPr>
          <w:rFonts w:hint="eastAsia" w:ascii="宋体" w:hAnsi="宋体" w:eastAsia="宋体" w:cs="Arial"/>
          <w:b/>
          <w:kern w:val="0"/>
          <w:sz w:val="32"/>
          <w:szCs w:val="32"/>
          <w:lang w:eastAsia="zh-CN"/>
        </w:rPr>
      </w:pPr>
      <w:r>
        <w:rPr>
          <w:rFonts w:hint="eastAsia" w:ascii="宋体" w:hAnsi="宋体" w:cs="Arial"/>
          <w:b/>
          <w:kern w:val="0"/>
          <w:sz w:val="32"/>
          <w:szCs w:val="32"/>
        </w:rPr>
        <w:t>采购项目编号：</w:t>
      </w:r>
      <w:r>
        <w:rPr>
          <w:rFonts w:hint="eastAsia" w:ascii="宋体" w:hAnsi="宋体" w:cs="Arial"/>
          <w:b/>
          <w:kern w:val="0"/>
          <w:sz w:val="32"/>
          <w:szCs w:val="32"/>
          <w:lang w:eastAsia="zh-CN"/>
        </w:rPr>
        <w:t>青海国焱竞磋（货物）2024-234号</w:t>
      </w:r>
    </w:p>
    <w:p w14:paraId="07D9BD88">
      <w:pPr>
        <w:adjustRightInd w:val="0"/>
        <w:snapToGrid w:val="0"/>
        <w:spacing w:line="360" w:lineRule="auto"/>
        <w:ind w:left="2678" w:leftChars="498" w:hanging="1632" w:hangingChars="508"/>
        <w:textAlignment w:val="baseline"/>
        <w:rPr>
          <w:rFonts w:hint="eastAsia" w:ascii="宋体" w:hAnsi="宋体" w:eastAsia="宋体" w:cs="Arial"/>
          <w:b/>
          <w:kern w:val="0"/>
          <w:sz w:val="32"/>
          <w:szCs w:val="32"/>
          <w:lang w:eastAsia="zh-CN"/>
        </w:rPr>
      </w:pPr>
      <w:r>
        <w:rPr>
          <w:rFonts w:hint="eastAsia" w:ascii="宋体" w:hAnsi="宋体" w:cs="Arial"/>
          <w:b/>
          <w:kern w:val="0"/>
          <w:sz w:val="32"/>
          <w:szCs w:val="32"/>
        </w:rPr>
        <w:t>采  购 单 位</w:t>
      </w:r>
      <w:r>
        <w:rPr>
          <w:rFonts w:hint="eastAsia" w:ascii="宋体" w:hAnsi="宋体"/>
          <w:sz w:val="32"/>
          <w:szCs w:val="32"/>
        </w:rPr>
        <w:t>：</w:t>
      </w:r>
      <w:r>
        <w:rPr>
          <w:rFonts w:hint="eastAsia" w:ascii="宋体" w:hAnsi="宋体" w:cs="Arial"/>
          <w:b/>
          <w:kern w:val="0"/>
          <w:sz w:val="32"/>
          <w:szCs w:val="32"/>
          <w:lang w:eastAsia="zh-CN"/>
        </w:rPr>
        <w:t>青海大学科技教育集团有限公司后勤服务分公司</w:t>
      </w:r>
    </w:p>
    <w:p w14:paraId="4CDDABC1">
      <w:pPr>
        <w:adjustRightInd w:val="0"/>
        <w:snapToGrid w:val="0"/>
        <w:spacing w:line="360" w:lineRule="auto"/>
        <w:ind w:left="2678" w:leftChars="498" w:hanging="1632" w:hangingChars="508"/>
        <w:textAlignment w:val="baseline"/>
        <w:rPr>
          <w:rFonts w:ascii="宋体" w:hAnsi="宋体"/>
          <w:b/>
          <w:bCs/>
          <w:sz w:val="32"/>
          <w:szCs w:val="32"/>
        </w:rPr>
      </w:pPr>
      <w:r>
        <w:rPr>
          <w:rFonts w:ascii="宋体" w:hAnsi="宋体"/>
          <w:b/>
          <w:bCs/>
          <w:sz w:val="32"/>
          <w:szCs w:val="32"/>
        </w:rPr>
        <w:t>采购代理机构</w:t>
      </w:r>
      <w:r>
        <w:rPr>
          <w:rFonts w:hint="eastAsia" w:ascii="宋体" w:hAnsi="宋体"/>
          <w:b/>
          <w:bCs/>
          <w:sz w:val="32"/>
          <w:szCs w:val="32"/>
        </w:rPr>
        <w:t>：</w:t>
      </w:r>
      <w:r>
        <w:rPr>
          <w:rFonts w:ascii="宋体" w:hAnsi="宋体"/>
          <w:b/>
          <w:bCs/>
          <w:sz w:val="32"/>
          <w:szCs w:val="32"/>
        </w:rPr>
        <w:t>青海国焱工程项目管理有限公司</w:t>
      </w:r>
    </w:p>
    <w:p w14:paraId="31E58EB6">
      <w:pPr>
        <w:adjustRightInd w:val="0"/>
        <w:snapToGrid w:val="0"/>
        <w:spacing w:line="360" w:lineRule="auto"/>
        <w:ind w:left="2681" w:leftChars="194" w:hanging="2274" w:hangingChars="708"/>
        <w:textAlignment w:val="baseline"/>
        <w:rPr>
          <w:rFonts w:ascii="宋体" w:hAnsi="宋体"/>
          <w:b/>
          <w:bCs/>
          <w:sz w:val="32"/>
          <w:szCs w:val="32"/>
        </w:rPr>
      </w:pPr>
    </w:p>
    <w:p w14:paraId="10EABC43">
      <w:pPr>
        <w:adjustRightInd w:val="0"/>
        <w:spacing w:line="360" w:lineRule="auto"/>
        <w:jc w:val="center"/>
        <w:textAlignment w:val="baseline"/>
        <w:rPr>
          <w:rFonts w:ascii="宋体" w:hAnsi="宋体"/>
          <w:b/>
          <w:bCs/>
          <w:sz w:val="32"/>
          <w:szCs w:val="32"/>
        </w:rPr>
      </w:pPr>
      <w:r>
        <w:rPr>
          <w:rFonts w:hint="eastAsia" w:ascii="宋体" w:hAnsi="宋体"/>
          <w:b/>
          <w:bCs/>
          <w:sz w:val="32"/>
          <w:szCs w:val="32"/>
        </w:rPr>
        <w:t>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07</w:t>
      </w:r>
      <w:r>
        <w:rPr>
          <w:rFonts w:hint="eastAsia" w:ascii="宋体" w:hAnsi="宋体"/>
          <w:b/>
          <w:bCs/>
          <w:sz w:val="32"/>
          <w:szCs w:val="32"/>
        </w:rPr>
        <w:t>月</w:t>
      </w:r>
    </w:p>
    <w:p w14:paraId="1F3C17E5">
      <w:pPr>
        <w:spacing w:line="360" w:lineRule="auto"/>
        <w:jc w:val="center"/>
        <w:rPr>
          <w:rFonts w:ascii="宋体" w:hAnsi="宋体"/>
          <w:sz w:val="24"/>
        </w:rPr>
      </w:pPr>
      <w:r>
        <w:rPr>
          <w:rFonts w:ascii="宋体" w:hAnsi="宋体"/>
          <w:sz w:val="24"/>
        </w:rPr>
        <w:br w:type="page"/>
      </w:r>
      <w:r>
        <w:rPr>
          <w:rFonts w:ascii="宋体" w:hAnsi="宋体"/>
          <w:b/>
          <w:sz w:val="24"/>
        </w:rPr>
        <w:t>目录</w:t>
      </w:r>
    </w:p>
    <w:p w14:paraId="63CD33CD">
      <w:pPr>
        <w:pStyle w:val="23"/>
        <w:tabs>
          <w:tab w:val="right" w:leader="dot" w:pos="9752"/>
          <w:tab w:val="clear" w:pos="8296"/>
        </w:tabs>
        <w:jc w:val="center"/>
      </w:pPr>
      <w:r>
        <w:rPr>
          <w:rFonts w:ascii="宋体" w:hAnsi="宋体"/>
          <w:sz w:val="24"/>
        </w:rPr>
        <w:fldChar w:fldCharType="begin"/>
      </w:r>
      <w:r>
        <w:rPr>
          <w:rFonts w:ascii="宋体" w:hAnsi="宋体"/>
          <w:sz w:val="24"/>
        </w:rPr>
        <w:instrText xml:space="preserve"> TOC \h \z \t "标题 1,1,标题 2,1,标题 3,1,标题 4,1,标题 5,1,标题 6,1,标题 7,1,副标题,1"</w:instrText>
      </w:r>
      <w:r>
        <w:rPr>
          <w:rFonts w:ascii="宋体" w:hAnsi="宋体"/>
          <w:sz w:val="24"/>
        </w:rPr>
        <w:fldChar w:fldCharType="separate"/>
      </w:r>
      <w:r>
        <w:rPr>
          <w:rFonts w:ascii="宋体" w:hAnsi="宋体"/>
        </w:rPr>
        <w:fldChar w:fldCharType="begin"/>
      </w:r>
      <w:r>
        <w:rPr>
          <w:rFonts w:ascii="宋体" w:hAnsi="宋体"/>
        </w:rPr>
        <w:instrText xml:space="preserve"> HYPERLINK \l _Toc25642 </w:instrText>
      </w:r>
      <w:r>
        <w:rPr>
          <w:rFonts w:ascii="宋体" w:hAnsi="宋体"/>
        </w:rPr>
        <w:fldChar w:fldCharType="separate"/>
      </w:r>
      <w:r>
        <w:rPr>
          <w:rFonts w:hint="eastAsia" w:ascii="宋体" w:hAnsi="宋体"/>
          <w:szCs w:val="48"/>
        </w:rPr>
        <w:t>第一部分   磋商邀请</w:t>
      </w:r>
      <w:r>
        <w:tab/>
      </w:r>
      <w:r>
        <w:fldChar w:fldCharType="begin"/>
      </w:r>
      <w:r>
        <w:instrText xml:space="preserve"> PAGEREF _Toc25642 \h </w:instrText>
      </w:r>
      <w:r>
        <w:fldChar w:fldCharType="separate"/>
      </w:r>
      <w:r>
        <w:t>3</w:t>
      </w:r>
      <w:r>
        <w:fldChar w:fldCharType="end"/>
      </w:r>
      <w:r>
        <w:rPr>
          <w:rFonts w:ascii="宋体" w:hAnsi="宋体"/>
        </w:rPr>
        <w:fldChar w:fldCharType="end"/>
      </w:r>
    </w:p>
    <w:p w14:paraId="2F240616">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_Toc23093 </w:instrText>
      </w:r>
      <w:r>
        <w:rPr>
          <w:rFonts w:ascii="宋体" w:hAnsi="宋体"/>
          <w:bCs/>
        </w:rPr>
        <w:fldChar w:fldCharType="separate"/>
      </w:r>
      <w:r>
        <w:rPr>
          <w:rFonts w:hint="eastAsia"/>
          <w:szCs w:val="48"/>
        </w:rPr>
        <w:t>第二部分  磋商供应商须知前附表</w:t>
      </w:r>
      <w:r>
        <w:tab/>
      </w:r>
      <w:r>
        <w:fldChar w:fldCharType="begin"/>
      </w:r>
      <w:r>
        <w:instrText xml:space="preserve"> PAGEREF _Toc23093 \h </w:instrText>
      </w:r>
      <w:r>
        <w:fldChar w:fldCharType="separate"/>
      </w:r>
      <w:r>
        <w:t>6</w:t>
      </w:r>
      <w:r>
        <w:fldChar w:fldCharType="end"/>
      </w:r>
      <w:r>
        <w:rPr>
          <w:rFonts w:ascii="宋体" w:hAnsi="宋体"/>
          <w:bCs/>
        </w:rPr>
        <w:fldChar w:fldCharType="end"/>
      </w:r>
    </w:p>
    <w:p w14:paraId="0C1E1D26">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_Toc21397 </w:instrText>
      </w:r>
      <w:r>
        <w:rPr>
          <w:rFonts w:ascii="宋体" w:hAnsi="宋体"/>
          <w:bCs/>
        </w:rPr>
        <w:fldChar w:fldCharType="separate"/>
      </w:r>
      <w:r>
        <w:rPr>
          <w:rFonts w:hint="eastAsia" w:ascii="宋体" w:hAnsi="宋体"/>
          <w:szCs w:val="48"/>
        </w:rPr>
        <w:t>第三部分  磋商供应商须知</w:t>
      </w:r>
      <w:r>
        <w:tab/>
      </w:r>
      <w:r>
        <w:fldChar w:fldCharType="begin"/>
      </w:r>
      <w:r>
        <w:instrText xml:space="preserve"> PAGEREF _Toc21397 \h </w:instrText>
      </w:r>
      <w:r>
        <w:fldChar w:fldCharType="separate"/>
      </w:r>
      <w:r>
        <w:t>10</w:t>
      </w:r>
      <w:r>
        <w:fldChar w:fldCharType="end"/>
      </w:r>
      <w:r>
        <w:rPr>
          <w:rFonts w:ascii="宋体" w:hAnsi="宋体"/>
          <w:bCs/>
        </w:rPr>
        <w:fldChar w:fldCharType="end"/>
      </w:r>
    </w:p>
    <w:p w14:paraId="43EE12A6">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_Toc25119 </w:instrText>
      </w:r>
      <w:r>
        <w:rPr>
          <w:rFonts w:ascii="宋体" w:hAnsi="宋体"/>
          <w:bCs/>
        </w:rPr>
        <w:fldChar w:fldCharType="separate"/>
      </w:r>
      <w:r>
        <w:rPr>
          <w:rFonts w:hint="eastAsia" w:hAnsi="宋体"/>
          <w:spacing w:val="-20"/>
          <w:szCs w:val="24"/>
          <w:lang w:val="en-US"/>
        </w:rPr>
        <w:t xml:space="preserve">一、 </w:t>
      </w:r>
      <w:r>
        <w:rPr>
          <w:rFonts w:hint="eastAsia" w:hAnsi="宋体"/>
          <w:szCs w:val="24"/>
        </w:rPr>
        <w:t>说明</w:t>
      </w:r>
      <w:r>
        <w:tab/>
      </w:r>
      <w:r>
        <w:fldChar w:fldCharType="begin"/>
      </w:r>
      <w:r>
        <w:instrText xml:space="preserve"> PAGEREF _Toc25119 \h </w:instrText>
      </w:r>
      <w:r>
        <w:fldChar w:fldCharType="separate"/>
      </w:r>
      <w:r>
        <w:t>10</w:t>
      </w:r>
      <w:r>
        <w:fldChar w:fldCharType="end"/>
      </w:r>
      <w:r>
        <w:rPr>
          <w:rFonts w:ascii="宋体" w:hAnsi="宋体"/>
          <w:bCs/>
        </w:rPr>
        <w:fldChar w:fldCharType="end"/>
      </w:r>
    </w:p>
    <w:p w14:paraId="3DEB2527">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_Toc24304 </w:instrText>
      </w:r>
      <w:r>
        <w:rPr>
          <w:rFonts w:ascii="宋体" w:hAnsi="宋体"/>
          <w:bCs/>
        </w:rPr>
        <w:fldChar w:fldCharType="separate"/>
      </w:r>
      <w:r>
        <w:rPr>
          <w:rFonts w:hint="default" w:ascii="宋体" w:hAnsi="宋体"/>
          <w:szCs w:val="24"/>
        </w:rPr>
        <w:t xml:space="preserve">1、 </w:t>
      </w:r>
      <w:r>
        <w:rPr>
          <w:rFonts w:ascii="宋体" w:hAnsi="宋体"/>
          <w:szCs w:val="24"/>
        </w:rPr>
        <w:t>磋商内容及要求</w:t>
      </w:r>
      <w:r>
        <w:tab/>
      </w:r>
      <w:r>
        <w:fldChar w:fldCharType="begin"/>
      </w:r>
      <w:r>
        <w:instrText xml:space="preserve"> PAGEREF _Toc24304 \h </w:instrText>
      </w:r>
      <w:r>
        <w:fldChar w:fldCharType="separate"/>
      </w:r>
      <w:r>
        <w:t>10</w:t>
      </w:r>
      <w:r>
        <w:fldChar w:fldCharType="end"/>
      </w:r>
      <w:r>
        <w:rPr>
          <w:rFonts w:ascii="宋体" w:hAnsi="宋体"/>
          <w:bCs/>
        </w:rPr>
        <w:fldChar w:fldCharType="end"/>
      </w:r>
    </w:p>
    <w:p w14:paraId="2C0B6FEE">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_Toc26082 </w:instrText>
      </w:r>
      <w:r>
        <w:rPr>
          <w:rFonts w:ascii="宋体" w:hAnsi="宋体"/>
          <w:bCs/>
        </w:rPr>
        <w:fldChar w:fldCharType="separate"/>
      </w:r>
      <w:r>
        <w:rPr>
          <w:rFonts w:hint="default" w:ascii="宋体" w:hAnsi="宋体"/>
          <w:szCs w:val="24"/>
        </w:rPr>
        <w:t xml:space="preserve">2、 </w:t>
      </w:r>
      <w:r>
        <w:rPr>
          <w:rFonts w:hint="eastAsia" w:ascii="宋体" w:hAnsi="宋体"/>
          <w:szCs w:val="24"/>
        </w:rPr>
        <w:t>采购方式、合格的磋商供应商</w:t>
      </w:r>
      <w:r>
        <w:tab/>
      </w:r>
      <w:r>
        <w:fldChar w:fldCharType="begin"/>
      </w:r>
      <w:r>
        <w:instrText xml:space="preserve"> PAGEREF _Toc26082 \h </w:instrText>
      </w:r>
      <w:r>
        <w:fldChar w:fldCharType="separate"/>
      </w:r>
      <w:r>
        <w:t>10</w:t>
      </w:r>
      <w:r>
        <w:fldChar w:fldCharType="end"/>
      </w:r>
      <w:r>
        <w:rPr>
          <w:rFonts w:ascii="宋体" w:hAnsi="宋体"/>
          <w:bCs/>
        </w:rPr>
        <w:fldChar w:fldCharType="end"/>
      </w:r>
    </w:p>
    <w:p w14:paraId="0795EAFA">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_Toc13513 </w:instrText>
      </w:r>
      <w:r>
        <w:rPr>
          <w:rFonts w:ascii="宋体" w:hAnsi="宋体"/>
          <w:bCs/>
        </w:rPr>
        <w:fldChar w:fldCharType="separate"/>
      </w:r>
      <w:r>
        <w:rPr>
          <w:rFonts w:hint="default" w:ascii="宋体" w:hAnsi="宋体"/>
          <w:szCs w:val="24"/>
        </w:rPr>
        <w:t xml:space="preserve">3、 </w:t>
      </w:r>
      <w:r>
        <w:rPr>
          <w:rFonts w:hint="eastAsia" w:ascii="宋体" w:hAnsi="宋体"/>
          <w:szCs w:val="24"/>
        </w:rPr>
        <w:t>磋商费用</w:t>
      </w:r>
      <w:r>
        <w:tab/>
      </w:r>
      <w:r>
        <w:fldChar w:fldCharType="begin"/>
      </w:r>
      <w:r>
        <w:instrText xml:space="preserve"> PAGEREF _Toc13513 \h </w:instrText>
      </w:r>
      <w:r>
        <w:fldChar w:fldCharType="separate"/>
      </w:r>
      <w:r>
        <w:t>10</w:t>
      </w:r>
      <w:r>
        <w:fldChar w:fldCharType="end"/>
      </w:r>
      <w:r>
        <w:rPr>
          <w:rFonts w:ascii="宋体" w:hAnsi="宋体"/>
          <w:bCs/>
        </w:rPr>
        <w:fldChar w:fldCharType="end"/>
      </w:r>
    </w:p>
    <w:p w14:paraId="48D606DE">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_Toc18702 </w:instrText>
      </w:r>
      <w:r>
        <w:rPr>
          <w:rFonts w:ascii="宋体" w:hAnsi="宋体"/>
          <w:bCs/>
        </w:rPr>
        <w:fldChar w:fldCharType="separate"/>
      </w:r>
      <w:r>
        <w:rPr>
          <w:rFonts w:hint="eastAsia" w:hAnsi="宋体"/>
          <w:spacing w:val="-20"/>
          <w:szCs w:val="24"/>
          <w:lang w:val="en-US"/>
        </w:rPr>
        <w:t xml:space="preserve">二、 </w:t>
      </w:r>
      <w:r>
        <w:rPr>
          <w:rFonts w:hint="eastAsia" w:hAnsi="宋体"/>
          <w:szCs w:val="24"/>
        </w:rPr>
        <w:t>磋商文件说明</w:t>
      </w:r>
      <w:r>
        <w:tab/>
      </w:r>
      <w:r>
        <w:fldChar w:fldCharType="begin"/>
      </w:r>
      <w:r>
        <w:instrText xml:space="preserve"> PAGEREF _Toc18702 \h </w:instrText>
      </w:r>
      <w:r>
        <w:fldChar w:fldCharType="separate"/>
      </w:r>
      <w:r>
        <w:t>10</w:t>
      </w:r>
      <w:r>
        <w:fldChar w:fldCharType="end"/>
      </w:r>
      <w:r>
        <w:rPr>
          <w:rFonts w:ascii="宋体" w:hAnsi="宋体"/>
          <w:bCs/>
        </w:rPr>
        <w:fldChar w:fldCharType="end"/>
      </w:r>
    </w:p>
    <w:p w14:paraId="036118BE">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_Toc17606 </w:instrText>
      </w:r>
      <w:r>
        <w:rPr>
          <w:rFonts w:ascii="宋体" w:hAnsi="宋体"/>
          <w:bCs/>
        </w:rPr>
        <w:fldChar w:fldCharType="separate"/>
      </w:r>
      <w:r>
        <w:rPr>
          <w:rFonts w:hint="default" w:ascii="宋体" w:hAnsi="宋体"/>
          <w:szCs w:val="24"/>
        </w:rPr>
        <w:t xml:space="preserve">4、 </w:t>
      </w:r>
      <w:r>
        <w:rPr>
          <w:rFonts w:hint="eastAsia" w:ascii="宋体" w:hAnsi="宋体"/>
          <w:szCs w:val="24"/>
        </w:rPr>
        <w:t>磋商文件的构成</w:t>
      </w:r>
      <w:r>
        <w:tab/>
      </w:r>
      <w:r>
        <w:fldChar w:fldCharType="begin"/>
      </w:r>
      <w:r>
        <w:instrText xml:space="preserve"> PAGEREF _Toc17606 \h </w:instrText>
      </w:r>
      <w:r>
        <w:fldChar w:fldCharType="separate"/>
      </w:r>
      <w:r>
        <w:t>10</w:t>
      </w:r>
      <w:r>
        <w:fldChar w:fldCharType="end"/>
      </w:r>
      <w:r>
        <w:rPr>
          <w:rFonts w:ascii="宋体" w:hAnsi="宋体"/>
          <w:bCs/>
        </w:rPr>
        <w:fldChar w:fldCharType="end"/>
      </w:r>
    </w:p>
    <w:p w14:paraId="71B5C1FB">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_Toc13751 </w:instrText>
      </w:r>
      <w:r>
        <w:rPr>
          <w:rFonts w:ascii="宋体" w:hAnsi="宋体"/>
          <w:bCs/>
        </w:rPr>
        <w:fldChar w:fldCharType="separate"/>
      </w:r>
      <w:r>
        <w:rPr>
          <w:rFonts w:hint="default" w:ascii="宋体" w:hAnsi="宋体"/>
          <w:szCs w:val="24"/>
        </w:rPr>
        <w:t xml:space="preserve">5、 </w:t>
      </w:r>
      <w:r>
        <w:rPr>
          <w:rFonts w:hint="eastAsia" w:ascii="宋体" w:hAnsi="宋体"/>
          <w:szCs w:val="24"/>
        </w:rPr>
        <w:t>磋商文件、磋商活动和成交结果的质疑</w:t>
      </w:r>
      <w:r>
        <w:tab/>
      </w:r>
      <w:r>
        <w:fldChar w:fldCharType="begin"/>
      </w:r>
      <w:r>
        <w:instrText xml:space="preserve"> PAGEREF _Toc13751 \h </w:instrText>
      </w:r>
      <w:r>
        <w:fldChar w:fldCharType="separate"/>
      </w:r>
      <w:r>
        <w:t>11</w:t>
      </w:r>
      <w:r>
        <w:fldChar w:fldCharType="end"/>
      </w:r>
      <w:r>
        <w:rPr>
          <w:rFonts w:ascii="宋体" w:hAnsi="宋体"/>
          <w:bCs/>
        </w:rPr>
        <w:fldChar w:fldCharType="end"/>
      </w:r>
    </w:p>
    <w:p w14:paraId="3122B283">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_Toc19848 </w:instrText>
      </w:r>
      <w:r>
        <w:rPr>
          <w:rFonts w:ascii="宋体" w:hAnsi="宋体"/>
          <w:bCs/>
        </w:rPr>
        <w:fldChar w:fldCharType="separate"/>
      </w:r>
      <w:r>
        <w:rPr>
          <w:rFonts w:hint="default" w:ascii="宋体" w:hAnsi="宋体"/>
          <w:szCs w:val="24"/>
        </w:rPr>
        <w:t xml:space="preserve">6、 </w:t>
      </w:r>
      <w:r>
        <w:rPr>
          <w:rFonts w:hint="eastAsia" w:ascii="宋体" w:hAnsi="宋体"/>
          <w:szCs w:val="24"/>
        </w:rPr>
        <w:t>磋商文件的修改</w:t>
      </w:r>
      <w:r>
        <w:tab/>
      </w:r>
      <w:r>
        <w:fldChar w:fldCharType="begin"/>
      </w:r>
      <w:r>
        <w:instrText xml:space="preserve"> PAGEREF _Toc19848 \h </w:instrText>
      </w:r>
      <w:r>
        <w:fldChar w:fldCharType="separate"/>
      </w:r>
      <w:r>
        <w:t>11</w:t>
      </w:r>
      <w:r>
        <w:fldChar w:fldCharType="end"/>
      </w:r>
      <w:r>
        <w:rPr>
          <w:rFonts w:ascii="宋体" w:hAnsi="宋体"/>
          <w:bCs/>
        </w:rPr>
        <w:fldChar w:fldCharType="end"/>
      </w:r>
    </w:p>
    <w:p w14:paraId="553833DA">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_Toc16727 </w:instrText>
      </w:r>
      <w:r>
        <w:rPr>
          <w:rFonts w:ascii="宋体" w:hAnsi="宋体"/>
          <w:bCs/>
        </w:rPr>
        <w:fldChar w:fldCharType="separate"/>
      </w:r>
      <w:r>
        <w:rPr>
          <w:rFonts w:hint="eastAsia" w:hAnsi="宋体"/>
          <w:spacing w:val="-20"/>
          <w:szCs w:val="24"/>
          <w:lang w:val="en-US"/>
        </w:rPr>
        <w:t xml:space="preserve">三、 </w:t>
      </w:r>
      <w:r>
        <w:rPr>
          <w:rFonts w:hint="eastAsia" w:hAnsi="宋体"/>
          <w:szCs w:val="24"/>
        </w:rPr>
        <w:t>磋商响应文件的编写</w:t>
      </w:r>
      <w:r>
        <w:tab/>
      </w:r>
      <w:r>
        <w:fldChar w:fldCharType="begin"/>
      </w:r>
      <w:r>
        <w:instrText xml:space="preserve"> PAGEREF _Toc16727 \h </w:instrText>
      </w:r>
      <w:r>
        <w:fldChar w:fldCharType="separate"/>
      </w:r>
      <w:r>
        <w:t>12</w:t>
      </w:r>
      <w:r>
        <w:fldChar w:fldCharType="end"/>
      </w:r>
      <w:r>
        <w:rPr>
          <w:rFonts w:ascii="宋体" w:hAnsi="宋体"/>
          <w:bCs/>
        </w:rPr>
        <w:fldChar w:fldCharType="end"/>
      </w:r>
    </w:p>
    <w:p w14:paraId="24CA28EE">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_Toc664 </w:instrText>
      </w:r>
      <w:r>
        <w:rPr>
          <w:rFonts w:ascii="宋体" w:hAnsi="宋体"/>
          <w:bCs/>
        </w:rPr>
        <w:fldChar w:fldCharType="separate"/>
      </w:r>
      <w:r>
        <w:rPr>
          <w:rFonts w:hint="default" w:ascii="宋体" w:hAnsi="宋体"/>
          <w:szCs w:val="24"/>
        </w:rPr>
        <w:t xml:space="preserve">7、 </w:t>
      </w:r>
      <w:r>
        <w:rPr>
          <w:rFonts w:hint="eastAsia" w:ascii="宋体" w:hAnsi="宋体"/>
          <w:szCs w:val="24"/>
        </w:rPr>
        <w:t>磋商响应文件的语言及度量衡单位</w:t>
      </w:r>
      <w:r>
        <w:tab/>
      </w:r>
      <w:r>
        <w:fldChar w:fldCharType="begin"/>
      </w:r>
      <w:r>
        <w:instrText xml:space="preserve"> PAGEREF _Toc664 \h </w:instrText>
      </w:r>
      <w:r>
        <w:fldChar w:fldCharType="separate"/>
      </w:r>
      <w:r>
        <w:t>12</w:t>
      </w:r>
      <w:r>
        <w:fldChar w:fldCharType="end"/>
      </w:r>
      <w:r>
        <w:rPr>
          <w:rFonts w:ascii="宋体" w:hAnsi="宋体"/>
          <w:bCs/>
        </w:rPr>
        <w:fldChar w:fldCharType="end"/>
      </w:r>
    </w:p>
    <w:p w14:paraId="58937BAB">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_Toc15739 </w:instrText>
      </w:r>
      <w:r>
        <w:rPr>
          <w:rFonts w:ascii="宋体" w:hAnsi="宋体"/>
          <w:bCs/>
        </w:rPr>
        <w:fldChar w:fldCharType="separate"/>
      </w:r>
      <w:r>
        <w:rPr>
          <w:rFonts w:hint="default" w:ascii="宋体" w:hAnsi="宋体"/>
          <w:szCs w:val="24"/>
        </w:rPr>
        <w:t xml:space="preserve">8、 </w:t>
      </w:r>
      <w:r>
        <w:rPr>
          <w:rFonts w:hint="eastAsia" w:ascii="宋体" w:hAnsi="宋体"/>
          <w:szCs w:val="24"/>
        </w:rPr>
        <w:t>磋商报价及币种</w:t>
      </w:r>
      <w:r>
        <w:tab/>
      </w:r>
      <w:r>
        <w:fldChar w:fldCharType="begin"/>
      </w:r>
      <w:r>
        <w:instrText xml:space="preserve"> PAGEREF _Toc15739 \h </w:instrText>
      </w:r>
      <w:r>
        <w:fldChar w:fldCharType="separate"/>
      </w:r>
      <w:r>
        <w:t>12</w:t>
      </w:r>
      <w:r>
        <w:fldChar w:fldCharType="end"/>
      </w:r>
      <w:r>
        <w:rPr>
          <w:rFonts w:ascii="宋体" w:hAnsi="宋体"/>
          <w:bCs/>
        </w:rPr>
        <w:fldChar w:fldCharType="end"/>
      </w:r>
    </w:p>
    <w:p w14:paraId="2AF95E97">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_Toc21196 </w:instrText>
      </w:r>
      <w:r>
        <w:rPr>
          <w:rFonts w:ascii="宋体" w:hAnsi="宋体"/>
          <w:bCs/>
        </w:rPr>
        <w:fldChar w:fldCharType="separate"/>
      </w:r>
      <w:r>
        <w:rPr>
          <w:rFonts w:hint="default" w:ascii="宋体" w:hAnsi="宋体"/>
          <w:szCs w:val="24"/>
        </w:rPr>
        <w:t xml:space="preserve">9、 </w:t>
      </w:r>
      <w:r>
        <w:rPr>
          <w:rFonts w:hint="eastAsia" w:ascii="宋体" w:hAnsi="宋体"/>
          <w:szCs w:val="24"/>
        </w:rPr>
        <w:t>磋商保证金</w:t>
      </w:r>
      <w:r>
        <w:tab/>
      </w:r>
      <w:r>
        <w:fldChar w:fldCharType="begin"/>
      </w:r>
      <w:r>
        <w:instrText xml:space="preserve"> PAGEREF _Toc21196 \h </w:instrText>
      </w:r>
      <w:r>
        <w:fldChar w:fldCharType="separate"/>
      </w:r>
      <w:r>
        <w:t>12</w:t>
      </w:r>
      <w:r>
        <w:fldChar w:fldCharType="end"/>
      </w:r>
      <w:r>
        <w:rPr>
          <w:rFonts w:ascii="宋体" w:hAnsi="宋体"/>
          <w:bCs/>
        </w:rPr>
        <w:fldChar w:fldCharType="end"/>
      </w:r>
    </w:p>
    <w:p w14:paraId="27C19730">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_Toc15135 </w:instrText>
      </w:r>
      <w:r>
        <w:rPr>
          <w:rFonts w:ascii="宋体" w:hAnsi="宋体"/>
          <w:bCs/>
        </w:rPr>
        <w:fldChar w:fldCharType="separate"/>
      </w:r>
      <w:r>
        <w:rPr>
          <w:rFonts w:hint="default" w:ascii="宋体" w:hAnsi="宋体"/>
          <w:szCs w:val="24"/>
        </w:rPr>
        <w:t xml:space="preserve">10、 </w:t>
      </w:r>
      <w:r>
        <w:rPr>
          <w:rFonts w:ascii="宋体" w:hAnsi="宋体"/>
          <w:szCs w:val="24"/>
        </w:rPr>
        <w:t>磋商有效期</w:t>
      </w:r>
      <w:r>
        <w:tab/>
      </w:r>
      <w:r>
        <w:fldChar w:fldCharType="begin"/>
      </w:r>
      <w:r>
        <w:instrText xml:space="preserve"> PAGEREF _Toc15135 \h </w:instrText>
      </w:r>
      <w:r>
        <w:fldChar w:fldCharType="separate"/>
      </w:r>
      <w:r>
        <w:t>13</w:t>
      </w:r>
      <w:r>
        <w:fldChar w:fldCharType="end"/>
      </w:r>
      <w:r>
        <w:rPr>
          <w:rFonts w:ascii="宋体" w:hAnsi="宋体"/>
          <w:bCs/>
        </w:rPr>
        <w:fldChar w:fldCharType="end"/>
      </w:r>
    </w:p>
    <w:p w14:paraId="0A7B383F">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_Toc23236 </w:instrText>
      </w:r>
      <w:r>
        <w:rPr>
          <w:rFonts w:ascii="宋体" w:hAnsi="宋体"/>
          <w:bCs/>
        </w:rPr>
        <w:fldChar w:fldCharType="separate"/>
      </w:r>
      <w:r>
        <w:rPr>
          <w:rFonts w:hint="default" w:ascii="宋体" w:hAnsi="宋体"/>
          <w:szCs w:val="24"/>
        </w:rPr>
        <w:t xml:space="preserve">11、 </w:t>
      </w:r>
      <w:r>
        <w:rPr>
          <w:rFonts w:hint="eastAsia" w:ascii="宋体" w:hAnsi="宋体"/>
          <w:szCs w:val="24"/>
        </w:rPr>
        <w:t>磋商响应文件的构成</w:t>
      </w:r>
      <w:r>
        <w:tab/>
      </w:r>
      <w:r>
        <w:fldChar w:fldCharType="begin"/>
      </w:r>
      <w:r>
        <w:instrText xml:space="preserve"> PAGEREF _Toc23236 \h </w:instrText>
      </w:r>
      <w:r>
        <w:fldChar w:fldCharType="separate"/>
      </w:r>
      <w:r>
        <w:t>14</w:t>
      </w:r>
      <w:r>
        <w:fldChar w:fldCharType="end"/>
      </w:r>
      <w:r>
        <w:rPr>
          <w:rFonts w:ascii="宋体" w:hAnsi="宋体"/>
          <w:bCs/>
        </w:rPr>
        <w:fldChar w:fldCharType="end"/>
      </w:r>
    </w:p>
    <w:p w14:paraId="13CAFF1D">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_Toc15784 </w:instrText>
      </w:r>
      <w:r>
        <w:rPr>
          <w:rFonts w:ascii="宋体" w:hAnsi="宋体"/>
          <w:bCs/>
        </w:rPr>
        <w:fldChar w:fldCharType="separate"/>
      </w:r>
      <w:r>
        <w:rPr>
          <w:rFonts w:hint="default" w:ascii="宋体" w:hAnsi="宋体"/>
          <w:szCs w:val="24"/>
        </w:rPr>
        <w:t xml:space="preserve">12、 </w:t>
      </w:r>
      <w:r>
        <w:rPr>
          <w:rFonts w:hint="eastAsia" w:ascii="宋体" w:hAnsi="宋体"/>
          <w:szCs w:val="24"/>
        </w:rPr>
        <w:t>磋商响应文件的编制要求</w:t>
      </w:r>
      <w:r>
        <w:tab/>
      </w:r>
      <w:r>
        <w:fldChar w:fldCharType="begin"/>
      </w:r>
      <w:r>
        <w:instrText xml:space="preserve"> PAGEREF _Toc15784 \h </w:instrText>
      </w:r>
      <w:r>
        <w:fldChar w:fldCharType="separate"/>
      </w:r>
      <w:r>
        <w:t>14</w:t>
      </w:r>
      <w:r>
        <w:fldChar w:fldCharType="end"/>
      </w:r>
      <w:r>
        <w:rPr>
          <w:rFonts w:ascii="宋体" w:hAnsi="宋体"/>
          <w:bCs/>
        </w:rPr>
        <w:fldChar w:fldCharType="end"/>
      </w:r>
    </w:p>
    <w:p w14:paraId="0CEB961C">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_Toc11381 </w:instrText>
      </w:r>
      <w:r>
        <w:rPr>
          <w:rFonts w:ascii="宋体" w:hAnsi="宋体"/>
          <w:bCs/>
        </w:rPr>
        <w:fldChar w:fldCharType="separate"/>
      </w:r>
      <w:r>
        <w:rPr>
          <w:rFonts w:hint="eastAsia" w:hAnsi="宋体"/>
          <w:spacing w:val="-20"/>
          <w:szCs w:val="24"/>
          <w:lang w:val="en-US"/>
        </w:rPr>
        <w:t xml:space="preserve">四、 </w:t>
      </w:r>
      <w:r>
        <w:rPr>
          <w:rFonts w:hint="eastAsia" w:hAnsi="宋体"/>
          <w:szCs w:val="24"/>
        </w:rPr>
        <w:t>磋商响应文件的递交</w:t>
      </w:r>
      <w:r>
        <w:tab/>
      </w:r>
      <w:r>
        <w:fldChar w:fldCharType="begin"/>
      </w:r>
      <w:r>
        <w:instrText xml:space="preserve"> PAGEREF _Toc11381 \h </w:instrText>
      </w:r>
      <w:r>
        <w:fldChar w:fldCharType="separate"/>
      </w:r>
      <w:r>
        <w:t>15</w:t>
      </w:r>
      <w:r>
        <w:fldChar w:fldCharType="end"/>
      </w:r>
      <w:r>
        <w:rPr>
          <w:rFonts w:ascii="宋体" w:hAnsi="宋体"/>
          <w:bCs/>
        </w:rPr>
        <w:fldChar w:fldCharType="end"/>
      </w:r>
    </w:p>
    <w:p w14:paraId="6E6BEAFF">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_Toc17106 </w:instrText>
      </w:r>
      <w:r>
        <w:rPr>
          <w:rFonts w:ascii="宋体" w:hAnsi="宋体"/>
          <w:bCs/>
        </w:rPr>
        <w:fldChar w:fldCharType="separate"/>
      </w:r>
      <w:r>
        <w:rPr>
          <w:rFonts w:hint="default" w:ascii="宋体" w:hAnsi="宋体" w:cs="宋体"/>
        </w:rPr>
        <w:t xml:space="preserve">13、 </w:t>
      </w:r>
      <w:r>
        <w:rPr>
          <w:rFonts w:hint="eastAsia" w:ascii="宋体" w:hAnsi="宋体" w:cs="宋体"/>
        </w:rPr>
        <w:t>磋商响应文件的密封和标记</w:t>
      </w:r>
      <w:r>
        <w:tab/>
      </w:r>
      <w:r>
        <w:fldChar w:fldCharType="begin"/>
      </w:r>
      <w:r>
        <w:instrText xml:space="preserve"> PAGEREF _Toc17106 \h </w:instrText>
      </w:r>
      <w:r>
        <w:fldChar w:fldCharType="separate"/>
      </w:r>
      <w:r>
        <w:t>15</w:t>
      </w:r>
      <w:r>
        <w:fldChar w:fldCharType="end"/>
      </w:r>
      <w:r>
        <w:rPr>
          <w:rFonts w:ascii="宋体" w:hAnsi="宋体"/>
          <w:bCs/>
        </w:rPr>
        <w:fldChar w:fldCharType="end"/>
      </w:r>
    </w:p>
    <w:p w14:paraId="3A2AE0B1">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_Toc7129 </w:instrText>
      </w:r>
      <w:r>
        <w:rPr>
          <w:rFonts w:ascii="宋体" w:hAnsi="宋体"/>
          <w:bCs/>
        </w:rPr>
        <w:fldChar w:fldCharType="separate"/>
      </w:r>
      <w:r>
        <w:rPr>
          <w:rFonts w:hint="default" w:ascii="宋体" w:hAnsi="宋体" w:cs="宋体"/>
        </w:rPr>
        <w:t xml:space="preserve">14、 </w:t>
      </w:r>
      <w:r>
        <w:rPr>
          <w:rFonts w:hint="eastAsia" w:ascii="宋体" w:hAnsi="宋体" w:cs="宋体"/>
        </w:rPr>
        <w:t>递交磋商响应文件的地点、截止时间</w:t>
      </w:r>
      <w:r>
        <w:tab/>
      </w:r>
      <w:r>
        <w:fldChar w:fldCharType="begin"/>
      </w:r>
      <w:r>
        <w:instrText xml:space="preserve"> PAGEREF _Toc7129 \h </w:instrText>
      </w:r>
      <w:r>
        <w:fldChar w:fldCharType="separate"/>
      </w:r>
      <w:r>
        <w:t>15</w:t>
      </w:r>
      <w:r>
        <w:fldChar w:fldCharType="end"/>
      </w:r>
      <w:r>
        <w:rPr>
          <w:rFonts w:ascii="宋体" w:hAnsi="宋体"/>
          <w:bCs/>
        </w:rPr>
        <w:fldChar w:fldCharType="end"/>
      </w:r>
    </w:p>
    <w:p w14:paraId="7B61CEE1">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_Toc12062 </w:instrText>
      </w:r>
      <w:r>
        <w:rPr>
          <w:rFonts w:ascii="宋体" w:hAnsi="宋体"/>
          <w:bCs/>
        </w:rPr>
        <w:fldChar w:fldCharType="separate"/>
      </w:r>
      <w:r>
        <w:rPr>
          <w:rFonts w:hint="default" w:ascii="宋体" w:hAnsi="宋体" w:cs="宋体"/>
        </w:rPr>
        <w:t xml:space="preserve">15、 </w:t>
      </w:r>
      <w:r>
        <w:rPr>
          <w:rFonts w:hint="eastAsia" w:ascii="宋体" w:hAnsi="宋体" w:cs="宋体"/>
        </w:rPr>
        <w:t>磋商响应文件的撤回和修改</w:t>
      </w:r>
      <w:r>
        <w:tab/>
      </w:r>
      <w:r>
        <w:fldChar w:fldCharType="begin"/>
      </w:r>
      <w:r>
        <w:instrText xml:space="preserve"> PAGEREF _Toc12062 \h </w:instrText>
      </w:r>
      <w:r>
        <w:fldChar w:fldCharType="separate"/>
      </w:r>
      <w:r>
        <w:t>16</w:t>
      </w:r>
      <w:r>
        <w:fldChar w:fldCharType="end"/>
      </w:r>
      <w:r>
        <w:rPr>
          <w:rFonts w:ascii="宋体" w:hAnsi="宋体"/>
          <w:bCs/>
        </w:rPr>
        <w:fldChar w:fldCharType="end"/>
      </w:r>
    </w:p>
    <w:p w14:paraId="0B3D6718">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_Toc564 </w:instrText>
      </w:r>
      <w:r>
        <w:rPr>
          <w:rFonts w:ascii="宋体" w:hAnsi="宋体"/>
          <w:bCs/>
        </w:rPr>
        <w:fldChar w:fldCharType="separate"/>
      </w:r>
      <w:r>
        <w:rPr>
          <w:rFonts w:hint="eastAsia" w:hAnsi="宋体"/>
          <w:spacing w:val="-20"/>
          <w:szCs w:val="24"/>
          <w:lang w:val="en-US"/>
        </w:rPr>
        <w:t xml:space="preserve">五、 </w:t>
      </w:r>
      <w:r>
        <w:rPr>
          <w:rFonts w:hint="eastAsia" w:hAnsi="宋体"/>
          <w:szCs w:val="24"/>
        </w:rPr>
        <w:t>磋商过程</w:t>
      </w:r>
      <w:r>
        <w:tab/>
      </w:r>
      <w:r>
        <w:fldChar w:fldCharType="begin"/>
      </w:r>
      <w:r>
        <w:instrText xml:space="preserve"> PAGEREF _Toc564 \h </w:instrText>
      </w:r>
      <w:r>
        <w:fldChar w:fldCharType="separate"/>
      </w:r>
      <w:r>
        <w:t>16</w:t>
      </w:r>
      <w:r>
        <w:fldChar w:fldCharType="end"/>
      </w:r>
      <w:r>
        <w:rPr>
          <w:rFonts w:ascii="宋体" w:hAnsi="宋体"/>
          <w:bCs/>
        </w:rPr>
        <w:fldChar w:fldCharType="end"/>
      </w:r>
    </w:p>
    <w:p w14:paraId="15A03F7E">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_Toc27251 </w:instrText>
      </w:r>
      <w:r>
        <w:rPr>
          <w:rFonts w:ascii="宋体" w:hAnsi="宋体"/>
          <w:bCs/>
        </w:rPr>
        <w:fldChar w:fldCharType="separate"/>
      </w:r>
      <w:r>
        <w:rPr>
          <w:rFonts w:hint="eastAsia" w:hAnsi="宋体"/>
          <w:spacing w:val="-20"/>
          <w:szCs w:val="24"/>
          <w:lang w:val="en-US"/>
        </w:rPr>
        <w:t xml:space="preserve">六、 </w:t>
      </w:r>
      <w:r>
        <w:rPr>
          <w:rFonts w:hint="eastAsia" w:hAnsi="宋体"/>
          <w:szCs w:val="24"/>
        </w:rPr>
        <w:t>资格审查</w:t>
      </w:r>
      <w:r>
        <w:tab/>
      </w:r>
      <w:r>
        <w:fldChar w:fldCharType="begin"/>
      </w:r>
      <w:r>
        <w:instrText xml:space="preserve"> PAGEREF _Toc27251 \h </w:instrText>
      </w:r>
      <w:r>
        <w:fldChar w:fldCharType="separate"/>
      </w:r>
      <w:r>
        <w:t>16</w:t>
      </w:r>
      <w:r>
        <w:fldChar w:fldCharType="end"/>
      </w:r>
      <w:r>
        <w:rPr>
          <w:rFonts w:ascii="宋体" w:hAnsi="宋体"/>
          <w:bCs/>
        </w:rPr>
        <w:fldChar w:fldCharType="end"/>
      </w:r>
    </w:p>
    <w:p w14:paraId="74D2D7A6">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_Toc13470 </w:instrText>
      </w:r>
      <w:r>
        <w:rPr>
          <w:rFonts w:ascii="宋体" w:hAnsi="宋体"/>
          <w:bCs/>
        </w:rPr>
        <w:fldChar w:fldCharType="separate"/>
      </w:r>
      <w:r>
        <w:rPr>
          <w:rFonts w:hint="eastAsia" w:hAnsi="宋体"/>
          <w:spacing w:val="-20"/>
          <w:szCs w:val="24"/>
          <w:lang w:val="en-US"/>
        </w:rPr>
        <w:t xml:space="preserve">七、 </w:t>
      </w:r>
      <w:r>
        <w:rPr>
          <w:rFonts w:hint="eastAsia" w:hAnsi="宋体"/>
          <w:szCs w:val="24"/>
        </w:rPr>
        <w:t>评审程序及方法</w:t>
      </w:r>
      <w:r>
        <w:tab/>
      </w:r>
      <w:r>
        <w:fldChar w:fldCharType="begin"/>
      </w:r>
      <w:r>
        <w:instrText xml:space="preserve"> PAGEREF _Toc13470 \h </w:instrText>
      </w:r>
      <w:r>
        <w:fldChar w:fldCharType="separate"/>
      </w:r>
      <w:r>
        <w:t>16</w:t>
      </w:r>
      <w:r>
        <w:fldChar w:fldCharType="end"/>
      </w:r>
      <w:r>
        <w:rPr>
          <w:rFonts w:ascii="宋体" w:hAnsi="宋体"/>
          <w:bCs/>
        </w:rPr>
        <w:fldChar w:fldCharType="end"/>
      </w:r>
    </w:p>
    <w:p w14:paraId="1676C6C9">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_Toc5911 </w:instrText>
      </w:r>
      <w:r>
        <w:rPr>
          <w:rFonts w:ascii="宋体" w:hAnsi="宋体"/>
          <w:bCs/>
        </w:rPr>
        <w:fldChar w:fldCharType="separate"/>
      </w:r>
      <w:r>
        <w:rPr>
          <w:rFonts w:hint="default" w:ascii="宋体" w:hAnsi="宋体"/>
          <w:szCs w:val="24"/>
        </w:rPr>
        <w:t xml:space="preserve">16、 </w:t>
      </w:r>
      <w:r>
        <w:rPr>
          <w:rFonts w:hint="eastAsia" w:ascii="宋体" w:hAnsi="宋体"/>
          <w:szCs w:val="24"/>
        </w:rPr>
        <w:t>评标委员会</w:t>
      </w:r>
      <w:r>
        <w:tab/>
      </w:r>
      <w:r>
        <w:fldChar w:fldCharType="begin"/>
      </w:r>
      <w:r>
        <w:instrText xml:space="preserve"> PAGEREF _Toc5911 \h </w:instrText>
      </w:r>
      <w:r>
        <w:fldChar w:fldCharType="separate"/>
      </w:r>
      <w:r>
        <w:t>16</w:t>
      </w:r>
      <w:r>
        <w:fldChar w:fldCharType="end"/>
      </w:r>
      <w:r>
        <w:rPr>
          <w:rFonts w:ascii="宋体" w:hAnsi="宋体"/>
          <w:bCs/>
        </w:rPr>
        <w:fldChar w:fldCharType="end"/>
      </w:r>
    </w:p>
    <w:p w14:paraId="5C1C9388">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_Toc4009 </w:instrText>
      </w:r>
      <w:r>
        <w:rPr>
          <w:rFonts w:ascii="宋体" w:hAnsi="宋体"/>
          <w:bCs/>
        </w:rPr>
        <w:fldChar w:fldCharType="separate"/>
      </w:r>
      <w:r>
        <w:rPr>
          <w:rFonts w:hint="default" w:ascii="宋体" w:hAnsi="宋体"/>
          <w:szCs w:val="24"/>
        </w:rPr>
        <w:t xml:space="preserve">17、 </w:t>
      </w:r>
      <w:r>
        <w:rPr>
          <w:rFonts w:hint="eastAsia" w:ascii="宋体" w:hAnsi="宋体"/>
          <w:szCs w:val="24"/>
        </w:rPr>
        <w:t>磋商程序</w:t>
      </w:r>
      <w:r>
        <w:tab/>
      </w:r>
      <w:r>
        <w:fldChar w:fldCharType="begin"/>
      </w:r>
      <w:r>
        <w:instrText xml:space="preserve"> PAGEREF _Toc4009 \h </w:instrText>
      </w:r>
      <w:r>
        <w:fldChar w:fldCharType="separate"/>
      </w:r>
      <w:r>
        <w:t>18</w:t>
      </w:r>
      <w:r>
        <w:fldChar w:fldCharType="end"/>
      </w:r>
      <w:r>
        <w:rPr>
          <w:rFonts w:ascii="宋体" w:hAnsi="宋体"/>
          <w:bCs/>
        </w:rPr>
        <w:fldChar w:fldCharType="end"/>
      </w:r>
    </w:p>
    <w:p w14:paraId="51B09A99">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_Toc23856 </w:instrText>
      </w:r>
      <w:r>
        <w:rPr>
          <w:rFonts w:ascii="宋体" w:hAnsi="宋体"/>
          <w:bCs/>
        </w:rPr>
        <w:fldChar w:fldCharType="separate"/>
      </w:r>
      <w:r>
        <w:rPr>
          <w:rFonts w:hint="default" w:ascii="宋体" w:hAnsi="宋体"/>
          <w:szCs w:val="24"/>
        </w:rPr>
        <w:t xml:space="preserve">18、 </w:t>
      </w:r>
      <w:r>
        <w:rPr>
          <w:rFonts w:hint="eastAsia" w:ascii="宋体" w:hAnsi="宋体"/>
          <w:szCs w:val="24"/>
        </w:rPr>
        <w:t>评审办法</w:t>
      </w:r>
      <w:r>
        <w:tab/>
      </w:r>
      <w:r>
        <w:fldChar w:fldCharType="begin"/>
      </w:r>
      <w:r>
        <w:instrText xml:space="preserve"> PAGEREF _Toc23856 \h </w:instrText>
      </w:r>
      <w:r>
        <w:fldChar w:fldCharType="separate"/>
      </w:r>
      <w:r>
        <w:t>20</w:t>
      </w:r>
      <w:r>
        <w:fldChar w:fldCharType="end"/>
      </w:r>
      <w:r>
        <w:rPr>
          <w:rFonts w:ascii="宋体" w:hAnsi="宋体"/>
          <w:bCs/>
        </w:rPr>
        <w:fldChar w:fldCharType="end"/>
      </w:r>
    </w:p>
    <w:p w14:paraId="490BA6D0">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_Toc18775 </w:instrText>
      </w:r>
      <w:r>
        <w:rPr>
          <w:rFonts w:ascii="宋体" w:hAnsi="宋体"/>
          <w:bCs/>
        </w:rPr>
        <w:fldChar w:fldCharType="separate"/>
      </w:r>
      <w:r>
        <w:rPr>
          <w:rFonts w:hint="eastAsia" w:hAnsi="宋体"/>
          <w:spacing w:val="-20"/>
          <w:szCs w:val="24"/>
          <w:lang w:val="en-US"/>
        </w:rPr>
        <w:t xml:space="preserve">八、 </w:t>
      </w:r>
      <w:r>
        <w:rPr>
          <w:rFonts w:hint="eastAsia" w:hAnsi="宋体"/>
          <w:szCs w:val="24"/>
        </w:rPr>
        <w:t>定标</w:t>
      </w:r>
      <w:r>
        <w:tab/>
      </w:r>
      <w:r>
        <w:fldChar w:fldCharType="begin"/>
      </w:r>
      <w:r>
        <w:instrText xml:space="preserve"> PAGEREF _Toc18775 \h </w:instrText>
      </w:r>
      <w:r>
        <w:fldChar w:fldCharType="separate"/>
      </w:r>
      <w:r>
        <w:t>22</w:t>
      </w:r>
      <w:r>
        <w:fldChar w:fldCharType="end"/>
      </w:r>
      <w:r>
        <w:rPr>
          <w:rFonts w:ascii="宋体" w:hAnsi="宋体"/>
          <w:bCs/>
        </w:rPr>
        <w:fldChar w:fldCharType="end"/>
      </w:r>
    </w:p>
    <w:p w14:paraId="027D039B">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_Toc22366 </w:instrText>
      </w:r>
      <w:r>
        <w:rPr>
          <w:rFonts w:ascii="宋体" w:hAnsi="宋体"/>
          <w:bCs/>
        </w:rPr>
        <w:fldChar w:fldCharType="separate"/>
      </w:r>
      <w:r>
        <w:rPr>
          <w:rFonts w:hint="default" w:ascii="宋体" w:hAnsi="宋体"/>
          <w:szCs w:val="24"/>
        </w:rPr>
        <w:t xml:space="preserve">19、 </w:t>
      </w:r>
      <w:r>
        <w:rPr>
          <w:rFonts w:hint="eastAsia" w:ascii="宋体" w:hAnsi="宋体"/>
          <w:szCs w:val="24"/>
        </w:rPr>
        <w:t>推荐并确定成交磋商供应商</w:t>
      </w:r>
      <w:r>
        <w:tab/>
      </w:r>
      <w:r>
        <w:fldChar w:fldCharType="begin"/>
      </w:r>
      <w:r>
        <w:instrText xml:space="preserve"> PAGEREF _Toc22366 \h </w:instrText>
      </w:r>
      <w:r>
        <w:fldChar w:fldCharType="separate"/>
      </w:r>
      <w:r>
        <w:t>22</w:t>
      </w:r>
      <w:r>
        <w:fldChar w:fldCharType="end"/>
      </w:r>
      <w:r>
        <w:rPr>
          <w:rFonts w:ascii="宋体" w:hAnsi="宋体"/>
          <w:bCs/>
        </w:rPr>
        <w:fldChar w:fldCharType="end"/>
      </w:r>
    </w:p>
    <w:p w14:paraId="06FD6DD5">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_Toc968 </w:instrText>
      </w:r>
      <w:r>
        <w:rPr>
          <w:rFonts w:ascii="宋体" w:hAnsi="宋体"/>
          <w:bCs/>
        </w:rPr>
        <w:fldChar w:fldCharType="separate"/>
      </w:r>
      <w:r>
        <w:rPr>
          <w:rFonts w:hint="default" w:ascii="宋体" w:hAnsi="宋体"/>
          <w:szCs w:val="24"/>
        </w:rPr>
        <w:t xml:space="preserve">20、 </w:t>
      </w:r>
      <w:r>
        <w:rPr>
          <w:rFonts w:hint="eastAsia" w:ascii="宋体" w:hAnsi="宋体"/>
          <w:szCs w:val="24"/>
        </w:rPr>
        <w:t>成交通知</w:t>
      </w:r>
      <w:r>
        <w:tab/>
      </w:r>
      <w:r>
        <w:fldChar w:fldCharType="begin"/>
      </w:r>
      <w:r>
        <w:instrText xml:space="preserve"> PAGEREF _Toc968 \h </w:instrText>
      </w:r>
      <w:r>
        <w:fldChar w:fldCharType="separate"/>
      </w:r>
      <w:r>
        <w:t>22</w:t>
      </w:r>
      <w:r>
        <w:fldChar w:fldCharType="end"/>
      </w:r>
      <w:r>
        <w:rPr>
          <w:rFonts w:ascii="宋体" w:hAnsi="宋体"/>
          <w:bCs/>
        </w:rPr>
        <w:fldChar w:fldCharType="end"/>
      </w:r>
    </w:p>
    <w:p w14:paraId="535D4B54">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_Toc20794 </w:instrText>
      </w:r>
      <w:r>
        <w:rPr>
          <w:rFonts w:ascii="宋体" w:hAnsi="宋体"/>
          <w:bCs/>
        </w:rPr>
        <w:fldChar w:fldCharType="separate"/>
      </w:r>
      <w:r>
        <w:rPr>
          <w:rFonts w:hint="eastAsia" w:hAnsi="宋体"/>
          <w:spacing w:val="-20"/>
          <w:szCs w:val="24"/>
          <w:lang w:val="en-US"/>
        </w:rPr>
        <w:t xml:space="preserve">九、 </w:t>
      </w:r>
      <w:r>
        <w:rPr>
          <w:rFonts w:hint="eastAsia" w:hAnsi="宋体"/>
          <w:szCs w:val="24"/>
        </w:rPr>
        <w:t>授予合同</w:t>
      </w:r>
      <w:r>
        <w:tab/>
      </w:r>
      <w:r>
        <w:fldChar w:fldCharType="begin"/>
      </w:r>
      <w:r>
        <w:instrText xml:space="preserve"> PAGEREF _Toc20794 \h </w:instrText>
      </w:r>
      <w:r>
        <w:fldChar w:fldCharType="separate"/>
      </w:r>
      <w:r>
        <w:t>23</w:t>
      </w:r>
      <w:r>
        <w:fldChar w:fldCharType="end"/>
      </w:r>
      <w:r>
        <w:rPr>
          <w:rFonts w:ascii="宋体" w:hAnsi="宋体"/>
          <w:bCs/>
        </w:rPr>
        <w:fldChar w:fldCharType="end"/>
      </w:r>
    </w:p>
    <w:p w14:paraId="7ECF8B89">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_Toc11843 </w:instrText>
      </w:r>
      <w:r>
        <w:rPr>
          <w:rFonts w:ascii="宋体" w:hAnsi="宋体"/>
          <w:bCs/>
        </w:rPr>
        <w:fldChar w:fldCharType="separate"/>
      </w:r>
      <w:r>
        <w:rPr>
          <w:rFonts w:hint="default" w:ascii="宋体" w:hAnsi="宋体"/>
          <w:szCs w:val="24"/>
        </w:rPr>
        <w:t xml:space="preserve">21、 </w:t>
      </w:r>
      <w:r>
        <w:rPr>
          <w:rFonts w:hint="eastAsia" w:ascii="宋体" w:hAnsi="宋体"/>
          <w:szCs w:val="24"/>
        </w:rPr>
        <w:t>签订合同</w:t>
      </w:r>
      <w:r>
        <w:tab/>
      </w:r>
      <w:r>
        <w:fldChar w:fldCharType="begin"/>
      </w:r>
      <w:r>
        <w:instrText xml:space="preserve"> PAGEREF _Toc11843 \h </w:instrText>
      </w:r>
      <w:r>
        <w:fldChar w:fldCharType="separate"/>
      </w:r>
      <w:r>
        <w:t>23</w:t>
      </w:r>
      <w:r>
        <w:fldChar w:fldCharType="end"/>
      </w:r>
      <w:r>
        <w:rPr>
          <w:rFonts w:ascii="宋体" w:hAnsi="宋体"/>
          <w:bCs/>
        </w:rPr>
        <w:fldChar w:fldCharType="end"/>
      </w:r>
    </w:p>
    <w:p w14:paraId="16026495">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_Toc20156 </w:instrText>
      </w:r>
      <w:r>
        <w:rPr>
          <w:rFonts w:ascii="宋体" w:hAnsi="宋体"/>
          <w:bCs/>
        </w:rPr>
        <w:fldChar w:fldCharType="separate"/>
      </w:r>
      <w:r>
        <w:rPr>
          <w:rFonts w:hint="eastAsia" w:hAnsi="宋体"/>
          <w:spacing w:val="-20"/>
          <w:szCs w:val="24"/>
          <w:lang w:val="en-US"/>
        </w:rPr>
        <w:t xml:space="preserve">十、 </w:t>
      </w:r>
      <w:r>
        <w:rPr>
          <w:rFonts w:hint="eastAsia" w:hAnsi="宋体"/>
          <w:szCs w:val="24"/>
        </w:rPr>
        <w:t>废标条款</w:t>
      </w:r>
      <w:r>
        <w:tab/>
      </w:r>
      <w:r>
        <w:fldChar w:fldCharType="begin"/>
      </w:r>
      <w:r>
        <w:instrText xml:space="preserve"> PAGEREF _Toc20156 \h </w:instrText>
      </w:r>
      <w:r>
        <w:fldChar w:fldCharType="separate"/>
      </w:r>
      <w:r>
        <w:t>24</w:t>
      </w:r>
      <w:r>
        <w:fldChar w:fldCharType="end"/>
      </w:r>
      <w:r>
        <w:rPr>
          <w:rFonts w:ascii="宋体" w:hAnsi="宋体"/>
          <w:bCs/>
        </w:rPr>
        <w:fldChar w:fldCharType="end"/>
      </w:r>
    </w:p>
    <w:p w14:paraId="71A7DEC4">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_Toc28545 </w:instrText>
      </w:r>
      <w:r>
        <w:rPr>
          <w:rFonts w:ascii="宋体" w:hAnsi="宋体"/>
          <w:bCs/>
        </w:rPr>
        <w:fldChar w:fldCharType="separate"/>
      </w:r>
      <w:r>
        <w:rPr>
          <w:rFonts w:hint="default" w:ascii="宋体" w:hAnsi="宋体"/>
          <w:szCs w:val="24"/>
        </w:rPr>
        <w:t xml:space="preserve">22、 </w:t>
      </w:r>
      <w:r>
        <w:rPr>
          <w:rFonts w:hint="eastAsia" w:ascii="宋体" w:hAnsi="宋体"/>
          <w:szCs w:val="24"/>
        </w:rPr>
        <w:t>废标情形</w:t>
      </w:r>
      <w:r>
        <w:tab/>
      </w:r>
      <w:r>
        <w:fldChar w:fldCharType="begin"/>
      </w:r>
      <w:r>
        <w:instrText xml:space="preserve"> PAGEREF _Toc28545 \h </w:instrText>
      </w:r>
      <w:r>
        <w:fldChar w:fldCharType="separate"/>
      </w:r>
      <w:r>
        <w:t>24</w:t>
      </w:r>
      <w:r>
        <w:fldChar w:fldCharType="end"/>
      </w:r>
      <w:r>
        <w:rPr>
          <w:rFonts w:ascii="宋体" w:hAnsi="宋体"/>
          <w:bCs/>
        </w:rPr>
        <w:fldChar w:fldCharType="end"/>
      </w:r>
    </w:p>
    <w:p w14:paraId="003B1D7D">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_Toc19411 </w:instrText>
      </w:r>
      <w:r>
        <w:rPr>
          <w:rFonts w:ascii="宋体" w:hAnsi="宋体"/>
          <w:bCs/>
        </w:rPr>
        <w:fldChar w:fldCharType="separate"/>
      </w:r>
      <w:r>
        <w:rPr>
          <w:rFonts w:hint="eastAsia" w:hAnsi="宋体"/>
          <w:spacing w:val="-20"/>
          <w:szCs w:val="24"/>
          <w:lang w:val="en-US"/>
        </w:rPr>
        <w:t xml:space="preserve">十一、 </w:t>
      </w:r>
      <w:r>
        <w:rPr>
          <w:rFonts w:hint="eastAsia" w:hAnsi="宋体"/>
          <w:szCs w:val="24"/>
        </w:rPr>
        <w:t>其他</w:t>
      </w:r>
      <w:r>
        <w:tab/>
      </w:r>
      <w:r>
        <w:fldChar w:fldCharType="begin"/>
      </w:r>
      <w:r>
        <w:instrText xml:space="preserve"> PAGEREF _Toc19411 \h </w:instrText>
      </w:r>
      <w:r>
        <w:fldChar w:fldCharType="separate"/>
      </w:r>
      <w:r>
        <w:t>24</w:t>
      </w:r>
      <w:r>
        <w:fldChar w:fldCharType="end"/>
      </w:r>
      <w:r>
        <w:rPr>
          <w:rFonts w:ascii="宋体" w:hAnsi="宋体"/>
          <w:bCs/>
        </w:rPr>
        <w:fldChar w:fldCharType="end"/>
      </w:r>
    </w:p>
    <w:p w14:paraId="38E656BC">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_Toc27497 </w:instrText>
      </w:r>
      <w:r>
        <w:rPr>
          <w:rFonts w:ascii="宋体" w:hAnsi="宋体"/>
          <w:bCs/>
        </w:rPr>
        <w:fldChar w:fldCharType="separate"/>
      </w:r>
      <w:r>
        <w:rPr>
          <w:rFonts w:hint="default" w:ascii="宋体" w:hAnsi="宋体"/>
          <w:szCs w:val="24"/>
        </w:rPr>
        <w:t xml:space="preserve">23、 </w:t>
      </w:r>
      <w:r>
        <w:rPr>
          <w:rFonts w:hint="eastAsia" w:ascii="宋体" w:hAnsi="宋体"/>
          <w:szCs w:val="24"/>
        </w:rPr>
        <w:t>串标情形</w:t>
      </w:r>
      <w:r>
        <w:tab/>
      </w:r>
      <w:r>
        <w:fldChar w:fldCharType="begin"/>
      </w:r>
      <w:r>
        <w:instrText xml:space="preserve"> PAGEREF _Toc27497 \h </w:instrText>
      </w:r>
      <w:r>
        <w:fldChar w:fldCharType="separate"/>
      </w:r>
      <w:r>
        <w:t>24</w:t>
      </w:r>
      <w:r>
        <w:fldChar w:fldCharType="end"/>
      </w:r>
      <w:r>
        <w:rPr>
          <w:rFonts w:ascii="宋体" w:hAnsi="宋体"/>
          <w:bCs/>
        </w:rPr>
        <w:fldChar w:fldCharType="end"/>
      </w:r>
    </w:p>
    <w:p w14:paraId="57DE7CA8">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_Toc23987 </w:instrText>
      </w:r>
      <w:r>
        <w:rPr>
          <w:rFonts w:ascii="宋体" w:hAnsi="宋体"/>
          <w:bCs/>
        </w:rPr>
        <w:fldChar w:fldCharType="separate"/>
      </w:r>
      <w:r>
        <w:rPr>
          <w:rFonts w:hint="eastAsia" w:ascii="宋体" w:hAnsi="宋体"/>
          <w:szCs w:val="48"/>
        </w:rPr>
        <w:t>第四部分青海省政府采购合同文本样式</w:t>
      </w:r>
      <w:r>
        <w:tab/>
      </w:r>
      <w:r>
        <w:fldChar w:fldCharType="begin"/>
      </w:r>
      <w:r>
        <w:instrText xml:space="preserve"> PAGEREF _Toc23987 \h </w:instrText>
      </w:r>
      <w:r>
        <w:fldChar w:fldCharType="separate"/>
      </w:r>
      <w:r>
        <w:t>26</w:t>
      </w:r>
      <w:r>
        <w:fldChar w:fldCharType="end"/>
      </w:r>
      <w:r>
        <w:rPr>
          <w:rFonts w:ascii="宋体" w:hAnsi="宋体"/>
          <w:bCs/>
        </w:rPr>
        <w:fldChar w:fldCharType="end"/>
      </w:r>
    </w:p>
    <w:p w14:paraId="17E7879E">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_Toc1952 </w:instrText>
      </w:r>
      <w:r>
        <w:rPr>
          <w:rFonts w:ascii="宋体" w:hAnsi="宋体"/>
          <w:bCs/>
        </w:rPr>
        <w:fldChar w:fldCharType="separate"/>
      </w:r>
      <w:r>
        <w:rPr>
          <w:rFonts w:hint="eastAsia" w:ascii="宋体" w:hAnsi="宋体"/>
          <w:szCs w:val="48"/>
        </w:rPr>
        <w:t>第五部分  磋商响应文件格式</w:t>
      </w:r>
      <w:r>
        <w:tab/>
      </w:r>
      <w:r>
        <w:fldChar w:fldCharType="begin"/>
      </w:r>
      <w:r>
        <w:instrText xml:space="preserve"> PAGEREF _Toc1952 \h </w:instrText>
      </w:r>
      <w:r>
        <w:fldChar w:fldCharType="separate"/>
      </w:r>
      <w:r>
        <w:t>39</w:t>
      </w:r>
      <w:r>
        <w:fldChar w:fldCharType="end"/>
      </w:r>
      <w:r>
        <w:rPr>
          <w:rFonts w:ascii="宋体" w:hAnsi="宋体"/>
          <w:bCs/>
        </w:rPr>
        <w:fldChar w:fldCharType="end"/>
      </w:r>
    </w:p>
    <w:p w14:paraId="776A0E1B">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_Toc27561 </w:instrText>
      </w:r>
      <w:r>
        <w:rPr>
          <w:rFonts w:ascii="宋体" w:hAnsi="宋体"/>
          <w:bCs/>
        </w:rPr>
        <w:fldChar w:fldCharType="separate"/>
      </w:r>
      <w:r>
        <w:rPr>
          <w:rFonts w:hint="eastAsia" w:hAnsi="宋体"/>
          <w:szCs w:val="24"/>
          <w:lang w:val="zh-CN"/>
        </w:rPr>
        <w:t>磋商响应文件封面</w:t>
      </w:r>
      <w:r>
        <w:tab/>
      </w:r>
      <w:r>
        <w:fldChar w:fldCharType="begin"/>
      </w:r>
      <w:r>
        <w:instrText xml:space="preserve"> PAGEREF _Toc27561 \h </w:instrText>
      </w:r>
      <w:r>
        <w:fldChar w:fldCharType="separate"/>
      </w:r>
      <w:r>
        <w:t>40</w:t>
      </w:r>
      <w:r>
        <w:fldChar w:fldCharType="end"/>
      </w:r>
      <w:r>
        <w:rPr>
          <w:rFonts w:ascii="宋体" w:hAnsi="宋体"/>
          <w:bCs/>
        </w:rPr>
        <w:fldChar w:fldCharType="end"/>
      </w:r>
    </w:p>
    <w:p w14:paraId="711AD3EE">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_Toc11669 </w:instrText>
      </w:r>
      <w:r>
        <w:rPr>
          <w:rFonts w:ascii="宋体" w:hAnsi="宋体"/>
          <w:bCs/>
        </w:rPr>
        <w:fldChar w:fldCharType="separate"/>
      </w:r>
      <w:r>
        <w:rPr>
          <w:rFonts w:hint="eastAsia" w:hAnsi="宋体"/>
          <w:szCs w:val="24"/>
          <w:lang w:val="zh-CN"/>
        </w:rPr>
        <w:t>磋商响应文件目录</w:t>
      </w:r>
      <w:r>
        <w:tab/>
      </w:r>
      <w:r>
        <w:fldChar w:fldCharType="begin"/>
      </w:r>
      <w:r>
        <w:instrText xml:space="preserve"> PAGEREF _Toc11669 \h </w:instrText>
      </w:r>
      <w:r>
        <w:fldChar w:fldCharType="separate"/>
      </w:r>
      <w:r>
        <w:t>41</w:t>
      </w:r>
      <w:r>
        <w:fldChar w:fldCharType="end"/>
      </w:r>
      <w:r>
        <w:rPr>
          <w:rFonts w:ascii="宋体" w:hAnsi="宋体"/>
          <w:bCs/>
        </w:rPr>
        <w:fldChar w:fldCharType="end"/>
      </w:r>
    </w:p>
    <w:p w14:paraId="50C3F640">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_Toc9071 </w:instrText>
      </w:r>
      <w:r>
        <w:rPr>
          <w:rFonts w:ascii="宋体" w:hAnsi="宋体"/>
          <w:bCs/>
        </w:rPr>
        <w:fldChar w:fldCharType="separate"/>
      </w:r>
      <w:r>
        <w:rPr>
          <w:rFonts w:hint="eastAsia" w:hAnsi="宋体"/>
          <w:szCs w:val="24"/>
          <w:lang w:val="zh-CN"/>
        </w:rPr>
        <w:t>格式1、磋商函</w:t>
      </w:r>
      <w:r>
        <w:tab/>
      </w:r>
      <w:r>
        <w:fldChar w:fldCharType="begin"/>
      </w:r>
      <w:r>
        <w:instrText xml:space="preserve"> PAGEREF _Toc9071 \h </w:instrText>
      </w:r>
      <w:r>
        <w:fldChar w:fldCharType="separate"/>
      </w:r>
      <w:r>
        <w:t>42</w:t>
      </w:r>
      <w:r>
        <w:fldChar w:fldCharType="end"/>
      </w:r>
      <w:r>
        <w:rPr>
          <w:rFonts w:ascii="宋体" w:hAnsi="宋体"/>
          <w:bCs/>
        </w:rPr>
        <w:fldChar w:fldCharType="end"/>
      </w:r>
    </w:p>
    <w:p w14:paraId="5E64CA4B">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_Toc15858 </w:instrText>
      </w:r>
      <w:r>
        <w:rPr>
          <w:rFonts w:ascii="宋体" w:hAnsi="宋体"/>
          <w:bCs/>
        </w:rPr>
        <w:fldChar w:fldCharType="separate"/>
      </w:r>
      <w:r>
        <w:rPr>
          <w:rFonts w:hint="eastAsia" w:hAnsi="宋体"/>
          <w:szCs w:val="24"/>
          <w:lang w:val="zh-CN"/>
        </w:rPr>
        <w:t>格式2、法定代表人证明书</w:t>
      </w:r>
      <w:r>
        <w:tab/>
      </w:r>
      <w:r>
        <w:fldChar w:fldCharType="begin"/>
      </w:r>
      <w:r>
        <w:instrText xml:space="preserve"> PAGEREF _Toc15858 \h </w:instrText>
      </w:r>
      <w:r>
        <w:fldChar w:fldCharType="separate"/>
      </w:r>
      <w:r>
        <w:t>43</w:t>
      </w:r>
      <w:r>
        <w:fldChar w:fldCharType="end"/>
      </w:r>
      <w:r>
        <w:rPr>
          <w:rFonts w:ascii="宋体" w:hAnsi="宋体"/>
          <w:bCs/>
        </w:rPr>
        <w:fldChar w:fldCharType="end"/>
      </w:r>
    </w:p>
    <w:p w14:paraId="716475EF">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_Toc11618 </w:instrText>
      </w:r>
      <w:r>
        <w:rPr>
          <w:rFonts w:ascii="宋体" w:hAnsi="宋体"/>
          <w:bCs/>
        </w:rPr>
        <w:fldChar w:fldCharType="separate"/>
      </w:r>
      <w:r>
        <w:rPr>
          <w:rFonts w:hint="eastAsia" w:hAnsi="宋体"/>
          <w:szCs w:val="24"/>
          <w:lang w:val="zh-CN"/>
        </w:rPr>
        <w:t>格式3、法定代表人授权书</w:t>
      </w:r>
      <w:r>
        <w:tab/>
      </w:r>
      <w:r>
        <w:fldChar w:fldCharType="begin"/>
      </w:r>
      <w:r>
        <w:instrText xml:space="preserve"> PAGEREF _Toc11618 \h </w:instrText>
      </w:r>
      <w:r>
        <w:fldChar w:fldCharType="separate"/>
      </w:r>
      <w:r>
        <w:t>44</w:t>
      </w:r>
      <w:r>
        <w:fldChar w:fldCharType="end"/>
      </w:r>
      <w:r>
        <w:rPr>
          <w:rFonts w:ascii="宋体" w:hAnsi="宋体"/>
          <w:bCs/>
        </w:rPr>
        <w:fldChar w:fldCharType="end"/>
      </w:r>
    </w:p>
    <w:p w14:paraId="735E8E0F">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_Toc18589 </w:instrText>
      </w:r>
      <w:r>
        <w:rPr>
          <w:rFonts w:ascii="宋体" w:hAnsi="宋体"/>
          <w:bCs/>
        </w:rPr>
        <w:fldChar w:fldCharType="separate"/>
      </w:r>
      <w:r>
        <w:rPr>
          <w:rFonts w:hint="eastAsia" w:hAnsi="宋体"/>
          <w:szCs w:val="24"/>
          <w:lang w:val="zh-CN"/>
        </w:rPr>
        <w:t>格式4、磋商供应商承诺书</w:t>
      </w:r>
      <w:r>
        <w:tab/>
      </w:r>
      <w:r>
        <w:fldChar w:fldCharType="begin"/>
      </w:r>
      <w:r>
        <w:instrText xml:space="preserve"> PAGEREF _Toc18589 \h </w:instrText>
      </w:r>
      <w:r>
        <w:fldChar w:fldCharType="separate"/>
      </w:r>
      <w:r>
        <w:t>45</w:t>
      </w:r>
      <w:r>
        <w:fldChar w:fldCharType="end"/>
      </w:r>
      <w:r>
        <w:rPr>
          <w:rFonts w:ascii="宋体" w:hAnsi="宋体"/>
          <w:bCs/>
        </w:rPr>
        <w:fldChar w:fldCharType="end"/>
      </w:r>
    </w:p>
    <w:p w14:paraId="66EE41A6">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_Toc1786 </w:instrText>
      </w:r>
      <w:r>
        <w:rPr>
          <w:rFonts w:ascii="宋体" w:hAnsi="宋体"/>
          <w:bCs/>
        </w:rPr>
        <w:fldChar w:fldCharType="separate"/>
      </w:r>
      <w:r>
        <w:rPr>
          <w:rFonts w:hint="eastAsia" w:hAnsi="宋体"/>
          <w:szCs w:val="24"/>
          <w:lang w:val="zh-CN"/>
        </w:rPr>
        <w:t>格式5、供应商诚信承诺书</w:t>
      </w:r>
      <w:r>
        <w:tab/>
      </w:r>
      <w:r>
        <w:fldChar w:fldCharType="begin"/>
      </w:r>
      <w:r>
        <w:instrText xml:space="preserve"> PAGEREF _Toc1786 \h </w:instrText>
      </w:r>
      <w:r>
        <w:fldChar w:fldCharType="separate"/>
      </w:r>
      <w:r>
        <w:t>46</w:t>
      </w:r>
      <w:r>
        <w:fldChar w:fldCharType="end"/>
      </w:r>
      <w:r>
        <w:rPr>
          <w:rFonts w:ascii="宋体" w:hAnsi="宋体"/>
          <w:bCs/>
        </w:rPr>
        <w:fldChar w:fldCharType="end"/>
      </w:r>
    </w:p>
    <w:p w14:paraId="1B2B8962">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_Toc30121 </w:instrText>
      </w:r>
      <w:r>
        <w:rPr>
          <w:rFonts w:ascii="宋体" w:hAnsi="宋体"/>
          <w:bCs/>
        </w:rPr>
        <w:fldChar w:fldCharType="separate"/>
      </w:r>
      <w:r>
        <w:rPr>
          <w:rFonts w:hint="eastAsia" w:hAnsi="宋体"/>
          <w:szCs w:val="24"/>
          <w:lang w:val="zh-CN"/>
        </w:rPr>
        <w:t>格式6、资格证明材料</w:t>
      </w:r>
      <w:r>
        <w:tab/>
      </w:r>
      <w:r>
        <w:fldChar w:fldCharType="begin"/>
      </w:r>
      <w:r>
        <w:instrText xml:space="preserve"> PAGEREF _Toc30121 \h </w:instrText>
      </w:r>
      <w:r>
        <w:fldChar w:fldCharType="separate"/>
      </w:r>
      <w:r>
        <w:t>47</w:t>
      </w:r>
      <w:r>
        <w:fldChar w:fldCharType="end"/>
      </w:r>
      <w:r>
        <w:rPr>
          <w:rFonts w:ascii="宋体" w:hAnsi="宋体"/>
          <w:bCs/>
        </w:rPr>
        <w:fldChar w:fldCharType="end"/>
      </w:r>
    </w:p>
    <w:p w14:paraId="54D5378B">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_Toc24184 </w:instrText>
      </w:r>
      <w:r>
        <w:rPr>
          <w:rFonts w:ascii="宋体" w:hAnsi="宋体"/>
          <w:bCs/>
        </w:rPr>
        <w:fldChar w:fldCharType="separate"/>
      </w:r>
      <w:r>
        <w:rPr>
          <w:rFonts w:hint="eastAsia" w:hAnsi="宋体"/>
          <w:szCs w:val="24"/>
          <w:lang w:val="zh-CN"/>
        </w:rPr>
        <w:t>格式7、财务状况、缴纳税收和社会保障资金证明</w:t>
      </w:r>
      <w:r>
        <w:tab/>
      </w:r>
      <w:r>
        <w:fldChar w:fldCharType="begin"/>
      </w:r>
      <w:r>
        <w:instrText xml:space="preserve"> PAGEREF _Toc24184 \h </w:instrText>
      </w:r>
      <w:r>
        <w:fldChar w:fldCharType="separate"/>
      </w:r>
      <w:r>
        <w:t>48</w:t>
      </w:r>
      <w:r>
        <w:fldChar w:fldCharType="end"/>
      </w:r>
      <w:r>
        <w:rPr>
          <w:rFonts w:ascii="宋体" w:hAnsi="宋体"/>
          <w:bCs/>
        </w:rPr>
        <w:fldChar w:fldCharType="end"/>
      </w:r>
    </w:p>
    <w:p w14:paraId="7B234A42">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_Toc12008 </w:instrText>
      </w:r>
      <w:r>
        <w:rPr>
          <w:rFonts w:ascii="宋体" w:hAnsi="宋体"/>
          <w:bCs/>
        </w:rPr>
        <w:fldChar w:fldCharType="separate"/>
      </w:r>
      <w:r>
        <w:rPr>
          <w:rFonts w:hint="eastAsia" w:hAnsi="宋体"/>
          <w:szCs w:val="24"/>
          <w:lang w:val="zh-CN"/>
        </w:rPr>
        <w:t>格式8、具备履行合同所必须的设备和专业技术能力证明</w:t>
      </w:r>
      <w:r>
        <w:tab/>
      </w:r>
      <w:r>
        <w:fldChar w:fldCharType="begin"/>
      </w:r>
      <w:r>
        <w:instrText xml:space="preserve"> PAGEREF _Toc12008 \h </w:instrText>
      </w:r>
      <w:r>
        <w:fldChar w:fldCharType="separate"/>
      </w:r>
      <w:r>
        <w:t>49</w:t>
      </w:r>
      <w:r>
        <w:fldChar w:fldCharType="end"/>
      </w:r>
      <w:r>
        <w:rPr>
          <w:rFonts w:ascii="宋体" w:hAnsi="宋体"/>
          <w:bCs/>
        </w:rPr>
        <w:fldChar w:fldCharType="end"/>
      </w:r>
    </w:p>
    <w:p w14:paraId="488E4172">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_Toc24751 </w:instrText>
      </w:r>
      <w:r>
        <w:rPr>
          <w:rFonts w:ascii="宋体" w:hAnsi="宋体"/>
          <w:bCs/>
        </w:rPr>
        <w:fldChar w:fldCharType="separate"/>
      </w:r>
      <w:r>
        <w:rPr>
          <w:rFonts w:hint="eastAsia" w:hAnsi="宋体"/>
          <w:szCs w:val="24"/>
          <w:lang w:val="zh-CN"/>
        </w:rPr>
        <w:t>格式9、磋商保证金证明</w:t>
      </w:r>
      <w:r>
        <w:tab/>
      </w:r>
      <w:r>
        <w:fldChar w:fldCharType="begin"/>
      </w:r>
      <w:r>
        <w:instrText xml:space="preserve"> PAGEREF _Toc24751 \h </w:instrText>
      </w:r>
      <w:r>
        <w:fldChar w:fldCharType="separate"/>
      </w:r>
      <w:r>
        <w:t>50</w:t>
      </w:r>
      <w:r>
        <w:fldChar w:fldCharType="end"/>
      </w:r>
      <w:r>
        <w:rPr>
          <w:rFonts w:ascii="宋体" w:hAnsi="宋体"/>
          <w:bCs/>
        </w:rPr>
        <w:fldChar w:fldCharType="end"/>
      </w:r>
    </w:p>
    <w:p w14:paraId="7AAE2569">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_Toc22273 </w:instrText>
      </w:r>
      <w:r>
        <w:rPr>
          <w:rFonts w:ascii="宋体" w:hAnsi="宋体"/>
          <w:bCs/>
        </w:rPr>
        <w:fldChar w:fldCharType="separate"/>
      </w:r>
      <w:r>
        <w:rPr>
          <w:rFonts w:hint="eastAsia" w:hAnsi="宋体"/>
          <w:szCs w:val="24"/>
          <w:lang w:val="zh-CN"/>
        </w:rPr>
        <w:t>格式10、无重大违法记录声明</w:t>
      </w:r>
      <w:r>
        <w:tab/>
      </w:r>
      <w:r>
        <w:fldChar w:fldCharType="begin"/>
      </w:r>
      <w:r>
        <w:instrText xml:space="preserve"> PAGEREF _Toc22273 \h </w:instrText>
      </w:r>
      <w:r>
        <w:fldChar w:fldCharType="separate"/>
      </w:r>
      <w:r>
        <w:t>51</w:t>
      </w:r>
      <w:r>
        <w:fldChar w:fldCharType="end"/>
      </w:r>
      <w:r>
        <w:rPr>
          <w:rFonts w:ascii="宋体" w:hAnsi="宋体"/>
          <w:bCs/>
        </w:rPr>
        <w:fldChar w:fldCharType="end"/>
      </w:r>
    </w:p>
    <w:p w14:paraId="1902BC89">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_Toc12871 </w:instrText>
      </w:r>
      <w:r>
        <w:rPr>
          <w:rFonts w:ascii="宋体" w:hAnsi="宋体"/>
          <w:bCs/>
        </w:rPr>
        <w:fldChar w:fldCharType="separate"/>
      </w:r>
      <w:r>
        <w:rPr>
          <w:rFonts w:hint="eastAsia" w:hAnsi="宋体"/>
          <w:szCs w:val="24"/>
          <w:lang w:val="zh-CN"/>
        </w:rPr>
        <w:t>格式11、</w:t>
      </w:r>
      <w:r>
        <w:rPr>
          <w:rFonts w:hint="eastAsia" w:hAnsi="宋体"/>
          <w:szCs w:val="24"/>
        </w:rPr>
        <w:t>竞争性磋商首次报价表</w:t>
      </w:r>
      <w:r>
        <w:tab/>
      </w:r>
      <w:r>
        <w:fldChar w:fldCharType="begin"/>
      </w:r>
      <w:r>
        <w:instrText xml:space="preserve"> PAGEREF _Toc12871 \h </w:instrText>
      </w:r>
      <w:r>
        <w:fldChar w:fldCharType="separate"/>
      </w:r>
      <w:r>
        <w:t>52</w:t>
      </w:r>
      <w:r>
        <w:fldChar w:fldCharType="end"/>
      </w:r>
      <w:r>
        <w:rPr>
          <w:rFonts w:ascii="宋体" w:hAnsi="宋体"/>
          <w:bCs/>
        </w:rPr>
        <w:fldChar w:fldCharType="end"/>
      </w:r>
    </w:p>
    <w:p w14:paraId="0BA15365">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_Toc561 </w:instrText>
      </w:r>
      <w:r>
        <w:rPr>
          <w:rFonts w:ascii="宋体" w:hAnsi="宋体"/>
          <w:bCs/>
        </w:rPr>
        <w:fldChar w:fldCharType="separate"/>
      </w:r>
      <w:r>
        <w:rPr>
          <w:rFonts w:hint="eastAsia" w:hAnsi="宋体"/>
          <w:szCs w:val="24"/>
          <w:lang w:val="zh-CN"/>
        </w:rPr>
        <w:t>格式12、分项报价表</w:t>
      </w:r>
      <w:r>
        <w:tab/>
      </w:r>
      <w:r>
        <w:fldChar w:fldCharType="begin"/>
      </w:r>
      <w:r>
        <w:instrText xml:space="preserve"> PAGEREF _Toc561 \h </w:instrText>
      </w:r>
      <w:r>
        <w:fldChar w:fldCharType="separate"/>
      </w:r>
      <w:r>
        <w:t>53</w:t>
      </w:r>
      <w:r>
        <w:fldChar w:fldCharType="end"/>
      </w:r>
      <w:r>
        <w:rPr>
          <w:rFonts w:ascii="宋体" w:hAnsi="宋体"/>
          <w:bCs/>
        </w:rPr>
        <w:fldChar w:fldCharType="end"/>
      </w:r>
    </w:p>
    <w:p w14:paraId="39DD8F57">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_Toc22513 </w:instrText>
      </w:r>
      <w:r>
        <w:rPr>
          <w:rFonts w:ascii="宋体" w:hAnsi="宋体"/>
          <w:bCs/>
        </w:rPr>
        <w:fldChar w:fldCharType="separate"/>
      </w:r>
      <w:r>
        <w:rPr>
          <w:rFonts w:hint="eastAsia" w:hAnsi="宋体"/>
          <w:szCs w:val="24"/>
          <w:lang w:val="zh-CN"/>
        </w:rPr>
        <w:t>格式13、技术规格响应表</w:t>
      </w:r>
      <w:r>
        <w:tab/>
      </w:r>
      <w:r>
        <w:fldChar w:fldCharType="begin"/>
      </w:r>
      <w:r>
        <w:instrText xml:space="preserve"> PAGEREF _Toc22513 \h </w:instrText>
      </w:r>
      <w:r>
        <w:fldChar w:fldCharType="separate"/>
      </w:r>
      <w:r>
        <w:t>54</w:t>
      </w:r>
      <w:r>
        <w:fldChar w:fldCharType="end"/>
      </w:r>
      <w:r>
        <w:rPr>
          <w:rFonts w:ascii="宋体" w:hAnsi="宋体"/>
          <w:bCs/>
        </w:rPr>
        <w:fldChar w:fldCharType="end"/>
      </w:r>
    </w:p>
    <w:p w14:paraId="03923097">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_Toc1572 </w:instrText>
      </w:r>
      <w:r>
        <w:rPr>
          <w:rFonts w:ascii="宋体" w:hAnsi="宋体"/>
          <w:bCs/>
        </w:rPr>
        <w:fldChar w:fldCharType="separate"/>
      </w:r>
      <w:r>
        <w:rPr>
          <w:rFonts w:hint="eastAsia" w:hAnsi="宋体"/>
          <w:szCs w:val="24"/>
          <w:lang w:val="zh-CN"/>
        </w:rPr>
        <w:t>格式14、磋商产品相关资料</w:t>
      </w:r>
      <w:r>
        <w:tab/>
      </w:r>
      <w:r>
        <w:fldChar w:fldCharType="begin"/>
      </w:r>
      <w:r>
        <w:instrText xml:space="preserve"> PAGEREF _Toc1572 \h </w:instrText>
      </w:r>
      <w:r>
        <w:fldChar w:fldCharType="separate"/>
      </w:r>
      <w:r>
        <w:t>55</w:t>
      </w:r>
      <w:r>
        <w:fldChar w:fldCharType="end"/>
      </w:r>
      <w:r>
        <w:rPr>
          <w:rFonts w:ascii="宋体" w:hAnsi="宋体"/>
          <w:bCs/>
        </w:rPr>
        <w:fldChar w:fldCharType="end"/>
      </w:r>
    </w:p>
    <w:p w14:paraId="4C974ADF">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_Toc11620 </w:instrText>
      </w:r>
      <w:r>
        <w:rPr>
          <w:rFonts w:ascii="宋体" w:hAnsi="宋体"/>
          <w:bCs/>
        </w:rPr>
        <w:fldChar w:fldCharType="separate"/>
      </w:r>
      <w:r>
        <w:rPr>
          <w:rFonts w:hint="eastAsia" w:hAnsi="宋体"/>
          <w:szCs w:val="24"/>
          <w:lang w:val="zh-CN"/>
        </w:rPr>
        <w:t>格式15、磋商供应商的类似业绩证明材料</w:t>
      </w:r>
      <w:r>
        <w:tab/>
      </w:r>
      <w:r>
        <w:fldChar w:fldCharType="begin"/>
      </w:r>
      <w:r>
        <w:instrText xml:space="preserve"> PAGEREF _Toc11620 \h </w:instrText>
      </w:r>
      <w:r>
        <w:fldChar w:fldCharType="separate"/>
      </w:r>
      <w:r>
        <w:t>56</w:t>
      </w:r>
      <w:r>
        <w:fldChar w:fldCharType="end"/>
      </w:r>
      <w:r>
        <w:rPr>
          <w:rFonts w:ascii="宋体" w:hAnsi="宋体"/>
          <w:bCs/>
        </w:rPr>
        <w:fldChar w:fldCharType="end"/>
      </w:r>
    </w:p>
    <w:p w14:paraId="7BABE72C">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_Toc8585 </w:instrText>
      </w:r>
      <w:r>
        <w:rPr>
          <w:rFonts w:ascii="宋体" w:hAnsi="宋体"/>
          <w:bCs/>
        </w:rPr>
        <w:fldChar w:fldCharType="separate"/>
      </w:r>
      <w:r>
        <w:rPr>
          <w:rFonts w:hint="eastAsia" w:hAnsi="宋体"/>
          <w:szCs w:val="24"/>
          <w:lang w:val="zh-CN"/>
        </w:rPr>
        <w:t>格式16、享受政府采购政策优惠的证明资料</w:t>
      </w:r>
      <w:r>
        <w:tab/>
      </w:r>
      <w:r>
        <w:fldChar w:fldCharType="begin"/>
      </w:r>
      <w:r>
        <w:instrText xml:space="preserve"> PAGEREF _Toc8585 \h </w:instrText>
      </w:r>
      <w:r>
        <w:fldChar w:fldCharType="separate"/>
      </w:r>
      <w:r>
        <w:t>57</w:t>
      </w:r>
      <w:r>
        <w:fldChar w:fldCharType="end"/>
      </w:r>
      <w:r>
        <w:rPr>
          <w:rFonts w:ascii="宋体" w:hAnsi="宋体"/>
          <w:bCs/>
        </w:rPr>
        <w:fldChar w:fldCharType="end"/>
      </w:r>
    </w:p>
    <w:p w14:paraId="3E022ECC">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_Toc18717 </w:instrText>
      </w:r>
      <w:r>
        <w:rPr>
          <w:rFonts w:ascii="宋体" w:hAnsi="宋体"/>
          <w:bCs/>
        </w:rPr>
        <w:fldChar w:fldCharType="separate"/>
      </w:r>
      <w:r>
        <w:rPr>
          <w:rFonts w:hint="eastAsia" w:hAnsi="宋体"/>
          <w:szCs w:val="24"/>
          <w:lang w:val="zh-CN"/>
        </w:rPr>
        <w:t>格式17、磋商供应商认为在其他方面有必要说明的事项</w:t>
      </w:r>
      <w:r>
        <w:tab/>
      </w:r>
      <w:r>
        <w:fldChar w:fldCharType="begin"/>
      </w:r>
      <w:r>
        <w:instrText xml:space="preserve"> PAGEREF _Toc18717 \h </w:instrText>
      </w:r>
      <w:r>
        <w:fldChar w:fldCharType="separate"/>
      </w:r>
      <w:r>
        <w:t>61</w:t>
      </w:r>
      <w:r>
        <w:fldChar w:fldCharType="end"/>
      </w:r>
      <w:r>
        <w:rPr>
          <w:rFonts w:ascii="宋体" w:hAnsi="宋体"/>
          <w:bCs/>
        </w:rPr>
        <w:fldChar w:fldCharType="end"/>
      </w:r>
    </w:p>
    <w:p w14:paraId="1DBDADF1">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_Toc16715 </w:instrText>
      </w:r>
      <w:r>
        <w:rPr>
          <w:rFonts w:ascii="宋体" w:hAnsi="宋体"/>
          <w:bCs/>
        </w:rPr>
        <w:fldChar w:fldCharType="separate"/>
      </w:r>
      <w:r>
        <w:rPr>
          <w:rFonts w:hAnsi="宋体"/>
          <w:szCs w:val="24"/>
          <w:lang w:val="zh-CN"/>
        </w:rPr>
        <w:t>格式</w:t>
      </w:r>
      <w:r>
        <w:rPr>
          <w:rFonts w:hint="eastAsia" w:hAnsi="宋体"/>
          <w:szCs w:val="24"/>
          <w:lang w:val="zh-CN"/>
        </w:rPr>
        <w:t>18、磋商最终报价表</w:t>
      </w:r>
      <w:r>
        <w:rPr>
          <w:rFonts w:hint="eastAsia" w:hAnsi="宋体"/>
          <w:szCs w:val="24"/>
        </w:rPr>
        <w:t>（单独提交）</w:t>
      </w:r>
      <w:r>
        <w:tab/>
      </w:r>
      <w:r>
        <w:fldChar w:fldCharType="begin"/>
      </w:r>
      <w:r>
        <w:instrText xml:space="preserve"> PAGEREF _Toc16715 \h </w:instrText>
      </w:r>
      <w:r>
        <w:fldChar w:fldCharType="separate"/>
      </w:r>
      <w:r>
        <w:t>62</w:t>
      </w:r>
      <w:r>
        <w:fldChar w:fldCharType="end"/>
      </w:r>
      <w:r>
        <w:rPr>
          <w:rFonts w:ascii="宋体" w:hAnsi="宋体"/>
          <w:bCs/>
        </w:rPr>
        <w:fldChar w:fldCharType="end"/>
      </w:r>
    </w:p>
    <w:p w14:paraId="688B87A0">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_Toc23345 </w:instrText>
      </w:r>
      <w:r>
        <w:rPr>
          <w:rFonts w:ascii="宋体" w:hAnsi="宋体"/>
          <w:bCs/>
        </w:rPr>
        <w:fldChar w:fldCharType="separate"/>
      </w:r>
      <w:r>
        <w:rPr>
          <w:rFonts w:hint="eastAsia" w:ascii="宋体" w:hAnsi="宋体"/>
          <w:szCs w:val="48"/>
        </w:rPr>
        <w:t>第六部分  采购项目要求及技术参数</w:t>
      </w:r>
      <w:r>
        <w:tab/>
      </w:r>
      <w:r>
        <w:fldChar w:fldCharType="begin"/>
      </w:r>
      <w:r>
        <w:instrText xml:space="preserve"> PAGEREF _Toc23345 \h </w:instrText>
      </w:r>
      <w:r>
        <w:fldChar w:fldCharType="separate"/>
      </w:r>
      <w:r>
        <w:t>63</w:t>
      </w:r>
      <w:r>
        <w:fldChar w:fldCharType="end"/>
      </w:r>
      <w:r>
        <w:rPr>
          <w:rFonts w:ascii="宋体" w:hAnsi="宋体"/>
          <w:bCs/>
        </w:rPr>
        <w:fldChar w:fldCharType="end"/>
      </w:r>
    </w:p>
    <w:p w14:paraId="7436A17D">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_Toc22683 </w:instrText>
      </w:r>
      <w:r>
        <w:rPr>
          <w:rFonts w:ascii="宋体" w:hAnsi="宋体"/>
          <w:bCs/>
        </w:rPr>
        <w:fldChar w:fldCharType="separate"/>
      </w:r>
      <w:r>
        <w:rPr>
          <w:rFonts w:hint="eastAsia" w:hAnsi="宋体"/>
          <w:bCs/>
          <w:kern w:val="0"/>
          <w:szCs w:val="24"/>
        </w:rPr>
        <w:t>一、磋商要求</w:t>
      </w:r>
      <w:r>
        <w:tab/>
      </w:r>
      <w:r>
        <w:fldChar w:fldCharType="begin"/>
      </w:r>
      <w:r>
        <w:instrText xml:space="preserve"> PAGEREF _Toc22683 \h </w:instrText>
      </w:r>
      <w:r>
        <w:fldChar w:fldCharType="separate"/>
      </w:r>
      <w:r>
        <w:t>63</w:t>
      </w:r>
      <w:r>
        <w:fldChar w:fldCharType="end"/>
      </w:r>
      <w:r>
        <w:rPr>
          <w:rFonts w:ascii="宋体" w:hAnsi="宋体"/>
          <w:bCs/>
        </w:rPr>
        <w:fldChar w:fldCharType="end"/>
      </w:r>
    </w:p>
    <w:p w14:paraId="69BE75A5">
      <w:pPr>
        <w:pStyle w:val="23"/>
        <w:tabs>
          <w:tab w:val="right" w:leader="dot" w:pos="9752"/>
          <w:tab w:val="clear" w:pos="8296"/>
        </w:tabs>
        <w:jc w:val="center"/>
      </w:pPr>
      <w:r>
        <w:rPr>
          <w:rFonts w:ascii="宋体" w:hAnsi="宋体"/>
          <w:bCs/>
        </w:rPr>
        <w:fldChar w:fldCharType="begin"/>
      </w:r>
      <w:r>
        <w:rPr>
          <w:rFonts w:ascii="宋体" w:hAnsi="宋体"/>
          <w:bCs/>
        </w:rPr>
        <w:instrText xml:space="preserve"> HYPERLINK \l _Toc18364 </w:instrText>
      </w:r>
      <w:r>
        <w:rPr>
          <w:rFonts w:ascii="宋体" w:hAnsi="宋体"/>
          <w:bCs/>
        </w:rPr>
        <w:fldChar w:fldCharType="separate"/>
      </w:r>
      <w:r>
        <w:rPr>
          <w:rFonts w:hint="eastAsia" w:hAnsi="宋体"/>
          <w:bCs/>
          <w:kern w:val="0"/>
          <w:szCs w:val="24"/>
        </w:rPr>
        <w:t>二、采购项目参数及要求</w:t>
      </w:r>
      <w:r>
        <w:tab/>
      </w:r>
      <w:r>
        <w:fldChar w:fldCharType="begin"/>
      </w:r>
      <w:r>
        <w:instrText xml:space="preserve"> PAGEREF _Toc18364 \h </w:instrText>
      </w:r>
      <w:r>
        <w:fldChar w:fldCharType="separate"/>
      </w:r>
      <w:r>
        <w:t>64</w:t>
      </w:r>
      <w:r>
        <w:fldChar w:fldCharType="end"/>
      </w:r>
      <w:r>
        <w:rPr>
          <w:rFonts w:ascii="宋体" w:hAnsi="宋体"/>
          <w:bCs/>
        </w:rPr>
        <w:fldChar w:fldCharType="end"/>
      </w:r>
    </w:p>
    <w:p w14:paraId="2EF332E2">
      <w:pPr>
        <w:pStyle w:val="23"/>
        <w:spacing w:line="360" w:lineRule="auto"/>
        <w:jc w:val="center"/>
        <w:rPr>
          <w:rFonts w:ascii="宋体" w:hAnsi="宋体"/>
          <w:bCs/>
          <w:sz w:val="24"/>
        </w:rPr>
      </w:pPr>
      <w:r>
        <w:rPr>
          <w:rFonts w:ascii="宋体" w:hAnsi="宋体"/>
          <w:bCs/>
        </w:rPr>
        <w:fldChar w:fldCharType="end"/>
      </w:r>
    </w:p>
    <w:p w14:paraId="4AACE649">
      <w:pPr>
        <w:pStyle w:val="24"/>
        <w:spacing w:before="0" w:after="0" w:line="360" w:lineRule="auto"/>
        <w:rPr>
          <w:rFonts w:ascii="宋体" w:hAnsi="宋体"/>
          <w:sz w:val="48"/>
          <w:szCs w:val="48"/>
        </w:rPr>
      </w:pPr>
      <w:r>
        <w:rPr>
          <w:rFonts w:ascii="宋体" w:hAnsi="宋体"/>
          <w:sz w:val="24"/>
          <w:szCs w:val="24"/>
        </w:rPr>
        <w:br w:type="page"/>
      </w:r>
      <w:bookmarkStart w:id="1" w:name="_Toc444715732"/>
      <w:bookmarkStart w:id="2" w:name="_Toc25642"/>
      <w:bookmarkStart w:id="3" w:name="_Hlk503427406"/>
      <w:r>
        <w:rPr>
          <w:rFonts w:hint="eastAsia" w:ascii="宋体" w:hAnsi="宋体"/>
          <w:sz w:val="48"/>
          <w:szCs w:val="48"/>
        </w:rPr>
        <w:t>第一部分   磋商邀请</w:t>
      </w:r>
      <w:bookmarkEnd w:id="1"/>
      <w:bookmarkEnd w:id="2"/>
    </w:p>
    <w:p w14:paraId="4785EC2C">
      <w:pPr>
        <w:spacing w:line="360" w:lineRule="auto"/>
        <w:ind w:firstLine="480" w:firstLineChars="200"/>
        <w:rPr>
          <w:rFonts w:ascii="宋体" w:hAnsi="宋体" w:cs="宋体"/>
          <w:sz w:val="24"/>
          <w:lang w:val="zh-CN"/>
        </w:rPr>
      </w:pPr>
      <w:bookmarkStart w:id="4" w:name="_Hlk503427571"/>
      <w:r>
        <w:rPr>
          <w:rFonts w:hint="eastAsia" w:ascii="宋体" w:hAnsi="宋体" w:cs="宋体"/>
          <w:sz w:val="24"/>
          <w:lang w:val="zh-CN"/>
        </w:rPr>
        <w:t>青海国焱工程项目管理有限公司（以下均简称“采购代理机构”）受青海大学科技教育集团有限公司后勤服务分公司（以下均简称“采购单位”）委托，拟对丁香园(清真)后厨设备（采购项目编号：青海国焱竞磋（货物）2024-234号）进行国内竞争性磋商采购，现予以公告，欢迎潜在的磋商供应商参加本次政府采购活动。</w:t>
      </w:r>
    </w:p>
    <w:tbl>
      <w:tblPr>
        <w:tblStyle w:val="33"/>
        <w:tblW w:w="9669"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944"/>
        <w:gridCol w:w="7725"/>
      </w:tblGrid>
      <w:tr w14:paraId="5176DF4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5FFDC9F0">
            <w:pPr>
              <w:pStyle w:val="49"/>
              <w:spacing w:line="360" w:lineRule="auto"/>
              <w:jc w:val="left"/>
              <w:rPr>
                <w:rFonts w:ascii="宋体" w:hAnsi="宋体" w:cs="宋体"/>
                <w:sz w:val="24"/>
                <w:lang w:val="zh-CN"/>
              </w:rPr>
            </w:pPr>
            <w:r>
              <w:rPr>
                <w:rFonts w:hint="eastAsia" w:ascii="宋体" w:hAnsi="宋体" w:cs="宋体"/>
                <w:sz w:val="24"/>
                <w:lang w:val="zh-CN"/>
              </w:rPr>
              <w:t>采购项目编号</w:t>
            </w:r>
          </w:p>
        </w:tc>
        <w:tc>
          <w:tcPr>
            <w:tcW w:w="7725" w:type="dxa"/>
            <w:tcBorders>
              <w:top w:val="outset" w:color="000000" w:sz="6" w:space="0"/>
              <w:left w:val="outset" w:color="000000" w:sz="6" w:space="0"/>
              <w:bottom w:val="outset" w:color="000000" w:sz="6" w:space="0"/>
              <w:right w:val="outset" w:color="000000" w:sz="6" w:space="0"/>
            </w:tcBorders>
            <w:vAlign w:val="center"/>
          </w:tcPr>
          <w:p w14:paraId="504CFC4F">
            <w:pPr>
              <w:pStyle w:val="49"/>
              <w:spacing w:line="360" w:lineRule="auto"/>
              <w:rPr>
                <w:rFonts w:ascii="宋体" w:hAnsi="宋体" w:cs="宋体"/>
                <w:sz w:val="24"/>
                <w:lang w:val="zh-CN"/>
              </w:rPr>
            </w:pPr>
            <w:r>
              <w:rPr>
                <w:rFonts w:hint="eastAsia" w:ascii="宋体" w:hAnsi="宋体" w:cs="宋体"/>
                <w:sz w:val="24"/>
                <w:lang w:val="zh-CN"/>
              </w:rPr>
              <w:t>青海国焱竞磋（货物）2024-234号</w:t>
            </w:r>
          </w:p>
        </w:tc>
      </w:tr>
      <w:tr w14:paraId="3480A6C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47E52AF3">
            <w:pPr>
              <w:pStyle w:val="49"/>
              <w:spacing w:line="360" w:lineRule="auto"/>
              <w:jc w:val="left"/>
              <w:rPr>
                <w:rFonts w:ascii="宋体" w:hAnsi="宋体"/>
                <w:kern w:val="0"/>
                <w:sz w:val="24"/>
              </w:rPr>
            </w:pPr>
            <w:r>
              <w:rPr>
                <w:rFonts w:hint="eastAsia" w:ascii="宋体" w:hAnsi="宋体"/>
                <w:kern w:val="0"/>
                <w:sz w:val="24"/>
              </w:rPr>
              <w:t>采购项目名称</w:t>
            </w:r>
          </w:p>
        </w:tc>
        <w:tc>
          <w:tcPr>
            <w:tcW w:w="7725" w:type="dxa"/>
            <w:tcBorders>
              <w:top w:val="outset" w:color="000000" w:sz="6" w:space="0"/>
              <w:left w:val="outset" w:color="000000" w:sz="6" w:space="0"/>
              <w:bottom w:val="outset" w:color="000000" w:sz="6" w:space="0"/>
              <w:right w:val="outset" w:color="000000" w:sz="6" w:space="0"/>
            </w:tcBorders>
            <w:vAlign w:val="center"/>
          </w:tcPr>
          <w:p w14:paraId="06C6A2BC">
            <w:pPr>
              <w:pStyle w:val="49"/>
              <w:spacing w:line="360" w:lineRule="auto"/>
              <w:rPr>
                <w:rFonts w:ascii="宋体" w:hAnsi="宋体" w:cs="Tahoma"/>
                <w:sz w:val="24"/>
              </w:rPr>
            </w:pPr>
            <w:r>
              <w:rPr>
                <w:rFonts w:hint="eastAsia" w:ascii="宋体" w:hAnsi="宋体" w:cs="宋体"/>
                <w:sz w:val="24"/>
                <w:lang w:val="zh-CN"/>
              </w:rPr>
              <w:t>丁香园(清真)后厨设备</w:t>
            </w:r>
          </w:p>
        </w:tc>
      </w:tr>
      <w:tr w14:paraId="2A4555E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78" w:hRule="atLeast"/>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703081E6">
            <w:pPr>
              <w:pStyle w:val="49"/>
              <w:spacing w:line="360" w:lineRule="auto"/>
              <w:jc w:val="left"/>
              <w:rPr>
                <w:rFonts w:ascii="宋体" w:hAnsi="宋体"/>
                <w:kern w:val="0"/>
                <w:sz w:val="24"/>
              </w:rPr>
            </w:pPr>
            <w:r>
              <w:rPr>
                <w:rFonts w:hint="eastAsia" w:ascii="宋体" w:hAnsi="宋体"/>
                <w:kern w:val="0"/>
                <w:sz w:val="24"/>
              </w:rPr>
              <w:t>采购方式</w:t>
            </w:r>
          </w:p>
        </w:tc>
        <w:tc>
          <w:tcPr>
            <w:tcW w:w="7725" w:type="dxa"/>
            <w:tcBorders>
              <w:top w:val="outset" w:color="000000" w:sz="6" w:space="0"/>
              <w:left w:val="outset" w:color="000000" w:sz="6" w:space="0"/>
              <w:bottom w:val="outset" w:color="000000" w:sz="6" w:space="0"/>
              <w:right w:val="outset" w:color="000000" w:sz="6" w:space="0"/>
            </w:tcBorders>
            <w:vAlign w:val="center"/>
          </w:tcPr>
          <w:p w14:paraId="3EE44ADA">
            <w:pPr>
              <w:pStyle w:val="49"/>
              <w:spacing w:line="360" w:lineRule="auto"/>
              <w:rPr>
                <w:rFonts w:ascii="宋体" w:hAnsi="宋体"/>
                <w:kern w:val="0"/>
                <w:sz w:val="24"/>
              </w:rPr>
            </w:pPr>
            <w:r>
              <w:rPr>
                <w:rFonts w:ascii="宋体" w:hAnsi="宋体"/>
                <w:kern w:val="0"/>
                <w:sz w:val="24"/>
              </w:rPr>
              <w:t>竞争性磋商</w:t>
            </w:r>
          </w:p>
        </w:tc>
      </w:tr>
      <w:tr w14:paraId="675B028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0E41C6B0">
            <w:pPr>
              <w:pStyle w:val="49"/>
              <w:spacing w:line="360" w:lineRule="auto"/>
              <w:jc w:val="left"/>
              <w:rPr>
                <w:rFonts w:ascii="宋体" w:hAnsi="宋体"/>
                <w:kern w:val="0"/>
                <w:sz w:val="24"/>
              </w:rPr>
            </w:pPr>
            <w:r>
              <w:rPr>
                <w:rFonts w:hint="eastAsia" w:ascii="宋体" w:hAnsi="宋体"/>
                <w:kern w:val="0"/>
                <w:sz w:val="24"/>
              </w:rPr>
              <w:t>采购预算控制额度</w:t>
            </w:r>
          </w:p>
        </w:tc>
        <w:tc>
          <w:tcPr>
            <w:tcW w:w="7725" w:type="dxa"/>
            <w:tcBorders>
              <w:top w:val="outset" w:color="000000" w:sz="6" w:space="0"/>
              <w:left w:val="outset" w:color="000000" w:sz="6" w:space="0"/>
              <w:bottom w:val="outset" w:color="000000" w:sz="6" w:space="0"/>
              <w:right w:val="outset" w:color="000000" w:sz="6" w:space="0"/>
            </w:tcBorders>
            <w:vAlign w:val="center"/>
          </w:tcPr>
          <w:p w14:paraId="61634996">
            <w:pPr>
              <w:pStyle w:val="49"/>
              <w:spacing w:line="360" w:lineRule="auto"/>
              <w:rPr>
                <w:rFonts w:ascii="宋体" w:hAnsi="宋体"/>
                <w:kern w:val="0"/>
                <w:sz w:val="24"/>
              </w:rPr>
            </w:pPr>
            <w:r>
              <w:rPr>
                <w:rFonts w:hint="eastAsia" w:ascii="宋体" w:hAnsi="宋体" w:cs="宋体"/>
                <w:color w:val="auto"/>
                <w:sz w:val="24"/>
                <w:lang w:eastAsia="zh-CN"/>
              </w:rPr>
              <w:t>人民币300,000.00元整</w:t>
            </w:r>
          </w:p>
        </w:tc>
      </w:tr>
      <w:tr w14:paraId="58CC864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07C72E33">
            <w:pPr>
              <w:pStyle w:val="49"/>
              <w:spacing w:line="360" w:lineRule="auto"/>
              <w:jc w:val="left"/>
              <w:rPr>
                <w:rFonts w:ascii="宋体" w:hAnsi="宋体"/>
                <w:kern w:val="0"/>
                <w:sz w:val="24"/>
              </w:rPr>
            </w:pPr>
            <w:r>
              <w:rPr>
                <w:rFonts w:hint="eastAsia" w:ascii="宋体" w:hAnsi="宋体"/>
                <w:kern w:val="0"/>
                <w:sz w:val="24"/>
              </w:rPr>
              <w:t>项目分包个数</w:t>
            </w:r>
          </w:p>
        </w:tc>
        <w:tc>
          <w:tcPr>
            <w:tcW w:w="7725" w:type="dxa"/>
            <w:tcBorders>
              <w:top w:val="outset" w:color="000000" w:sz="6" w:space="0"/>
              <w:left w:val="outset" w:color="000000" w:sz="6" w:space="0"/>
              <w:bottom w:val="outset" w:color="000000" w:sz="6" w:space="0"/>
              <w:right w:val="outset" w:color="000000" w:sz="6" w:space="0"/>
            </w:tcBorders>
            <w:vAlign w:val="center"/>
          </w:tcPr>
          <w:p w14:paraId="3A5EAF1C">
            <w:pPr>
              <w:pStyle w:val="49"/>
              <w:spacing w:line="360" w:lineRule="auto"/>
              <w:rPr>
                <w:rFonts w:ascii="宋体" w:hAnsi="宋体"/>
                <w:kern w:val="0"/>
                <w:sz w:val="24"/>
              </w:rPr>
            </w:pPr>
            <w:r>
              <w:rPr>
                <w:rFonts w:hint="eastAsia" w:ascii="宋体" w:hAnsi="宋体"/>
                <w:kern w:val="0"/>
                <w:sz w:val="24"/>
              </w:rPr>
              <w:t>无</w:t>
            </w:r>
          </w:p>
        </w:tc>
      </w:tr>
      <w:tr w14:paraId="244BBEE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1944" w:type="dxa"/>
            <w:tcBorders>
              <w:top w:val="outset" w:color="000000" w:sz="6" w:space="0"/>
              <w:left w:val="outset" w:color="000000" w:sz="6" w:space="0"/>
              <w:right w:val="outset" w:color="000000" w:sz="6" w:space="0"/>
            </w:tcBorders>
            <w:vAlign w:val="center"/>
          </w:tcPr>
          <w:p w14:paraId="73203C77">
            <w:pPr>
              <w:pStyle w:val="49"/>
              <w:spacing w:line="360" w:lineRule="auto"/>
              <w:jc w:val="left"/>
              <w:rPr>
                <w:rFonts w:ascii="宋体" w:hAnsi="宋体"/>
                <w:kern w:val="0"/>
                <w:sz w:val="24"/>
              </w:rPr>
            </w:pPr>
            <w:r>
              <w:rPr>
                <w:rFonts w:hint="eastAsia" w:ascii="宋体" w:hAnsi="宋体"/>
                <w:kern w:val="0"/>
                <w:sz w:val="24"/>
              </w:rPr>
              <w:t>项目要求</w:t>
            </w:r>
          </w:p>
        </w:tc>
        <w:tc>
          <w:tcPr>
            <w:tcW w:w="7725" w:type="dxa"/>
            <w:tcBorders>
              <w:top w:val="outset" w:color="000000" w:sz="6" w:space="0"/>
              <w:left w:val="outset" w:color="000000" w:sz="6" w:space="0"/>
              <w:right w:val="outset" w:color="000000" w:sz="6" w:space="0"/>
            </w:tcBorders>
            <w:vAlign w:val="center"/>
          </w:tcPr>
          <w:p w14:paraId="4A52DF56">
            <w:pPr>
              <w:pStyle w:val="92"/>
              <w:spacing w:line="360" w:lineRule="auto"/>
              <w:rPr>
                <w:rFonts w:ascii="宋体" w:hAnsi="宋体"/>
                <w:kern w:val="0"/>
                <w:sz w:val="24"/>
              </w:rPr>
            </w:pPr>
            <w:r>
              <w:rPr>
                <w:rFonts w:hint="eastAsia" w:ascii="宋体" w:hAnsi="宋体"/>
                <w:kern w:val="0"/>
                <w:sz w:val="24"/>
              </w:rPr>
              <w:t>具体内容详见《</w:t>
            </w:r>
            <w:r>
              <w:rPr>
                <w:rFonts w:hint="eastAsia" w:ascii="宋体" w:hAnsi="宋体"/>
                <w:kern w:val="0"/>
                <w:sz w:val="24"/>
                <w:lang w:eastAsia="zh-CN"/>
              </w:rPr>
              <w:t>竞争性</w:t>
            </w:r>
            <w:r>
              <w:rPr>
                <w:rFonts w:hint="eastAsia" w:ascii="宋体" w:hAnsi="宋体"/>
                <w:kern w:val="0"/>
                <w:sz w:val="24"/>
              </w:rPr>
              <w:t>磋商文件》</w:t>
            </w:r>
          </w:p>
        </w:tc>
      </w:tr>
      <w:tr w14:paraId="2853C17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6D2729F2">
            <w:pPr>
              <w:pStyle w:val="49"/>
              <w:spacing w:line="360" w:lineRule="auto"/>
              <w:jc w:val="left"/>
              <w:rPr>
                <w:rFonts w:ascii="宋体" w:hAnsi="宋体"/>
                <w:kern w:val="0"/>
                <w:sz w:val="24"/>
              </w:rPr>
            </w:pPr>
            <w:r>
              <w:rPr>
                <w:rFonts w:hint="eastAsia" w:ascii="宋体" w:hAnsi="宋体" w:cs="宋体"/>
                <w:sz w:val="24"/>
              </w:rPr>
              <w:t>磋商供应商</w:t>
            </w:r>
            <w:r>
              <w:rPr>
                <w:rFonts w:hint="eastAsia" w:ascii="宋体" w:hAnsi="宋体"/>
                <w:kern w:val="0"/>
                <w:sz w:val="24"/>
              </w:rPr>
              <w:t>资格条件</w:t>
            </w:r>
          </w:p>
        </w:tc>
        <w:tc>
          <w:tcPr>
            <w:tcW w:w="7725" w:type="dxa"/>
            <w:tcBorders>
              <w:top w:val="outset" w:color="000000" w:sz="6" w:space="0"/>
              <w:left w:val="outset" w:color="000000" w:sz="6" w:space="0"/>
              <w:bottom w:val="outset" w:color="000000" w:sz="6" w:space="0"/>
              <w:right w:val="outset" w:color="000000" w:sz="6" w:space="0"/>
            </w:tcBorders>
            <w:vAlign w:val="center"/>
          </w:tcPr>
          <w:p w14:paraId="5E52CA31">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1.符合《政府采购法》第22条条件，并提供下列材料：</w:t>
            </w:r>
          </w:p>
          <w:p w14:paraId="108139AB">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&lt;1&gt;磋商人的营业执照等证明文件，自然人的身份证明。</w:t>
            </w:r>
          </w:p>
          <w:p w14:paraId="4875C6B0">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&lt;2&gt;财务状况报告，依法缴纳税收和社会保障资金的相关材料。</w:t>
            </w:r>
          </w:p>
          <w:p w14:paraId="0F4FAD69">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&lt;3&gt;具备履行合同所必需的设备和专业技术能力的证明材料。</w:t>
            </w:r>
          </w:p>
          <w:p w14:paraId="3ABF0ACF">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&lt;4&gt;参加政府采购活动前3年内在经营活动中没有重大违法记录的书面声明。</w:t>
            </w:r>
          </w:p>
          <w:p w14:paraId="78CD7C32">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&lt;5&gt;具备法律、行政法规规定的其他条件的证明材料 。</w:t>
            </w:r>
          </w:p>
          <w:p w14:paraId="53BF900F">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 单位负责人为同一人或者存在直接控股、管理关系的不同磋商人，不得参加同一合同项下的政府采购活动。否则，皆取消投标资格；</w:t>
            </w:r>
          </w:p>
          <w:p w14:paraId="10B722A6">
            <w:pPr>
              <w:autoSpaceDE w:val="0"/>
              <w:autoSpaceDN w:val="0"/>
              <w:spacing w:line="360" w:lineRule="auto"/>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w:t>
            </w:r>
            <w:r>
              <w:rPr>
                <w:rFonts w:hint="eastAsia" w:ascii="宋体" w:hAnsi="宋体"/>
                <w:color w:val="000000" w:themeColor="text1"/>
                <w:kern w:val="0"/>
                <w:sz w:val="24"/>
                <w14:textFill>
                  <w14:solidFill>
                    <w14:schemeClr w14:val="tx1"/>
                  </w14:solidFill>
                </w14:textFill>
              </w:rPr>
              <w:t xml:space="preserve"> 符合、承认并承诺履行本招标文件各项规定，所提供的货物和服务须在我国境内合法生产销售的；</w:t>
            </w:r>
          </w:p>
          <w:p w14:paraId="41D97B7B">
            <w:p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经信用中</w:t>
            </w:r>
            <w:r>
              <w:rPr>
                <w:rFonts w:hint="eastAsia" w:ascii="宋体" w:hAnsi="宋体"/>
                <w:color w:val="000000" w:themeColor="text1"/>
                <w:kern w:val="0"/>
                <w:sz w:val="24"/>
                <w14:textFill>
                  <w14:solidFill>
                    <w14:schemeClr w14:val="tx1"/>
                  </w14:solidFill>
                </w14:textFill>
              </w:rPr>
              <w:t>国（www.creditchina.gov.cn）、中国政府采购网（www.ccgp.gov.cn）等渠道查询后，列入失信被执行人、</w:t>
            </w:r>
            <w:r>
              <w:rPr>
                <w:rFonts w:hint="eastAsia" w:ascii="宋体" w:hAnsi="宋体" w:eastAsia="宋体" w:cs="宋体"/>
                <w:color w:val="000000" w:themeColor="text1"/>
                <w:kern w:val="2"/>
                <w:sz w:val="24"/>
                <w:szCs w:val="24"/>
                <w:lang w:val="zh-CN" w:eastAsia="zh-CN" w:bidi="ar-SA"/>
                <w14:textFill>
                  <w14:solidFill>
                    <w14:schemeClr w14:val="tx1"/>
                  </w14:solidFill>
                </w14:textFill>
              </w:rPr>
              <w:t>重大税收违法失信主体</w:t>
            </w:r>
            <w:r>
              <w:rPr>
                <w:rFonts w:hint="eastAsia" w:ascii="宋体" w:hAnsi="宋体"/>
                <w:color w:val="000000" w:themeColor="text1"/>
                <w:kern w:val="0"/>
                <w:sz w:val="24"/>
                <w14:textFill>
                  <w14:solidFill>
                    <w14:schemeClr w14:val="tx1"/>
                  </w14:solidFill>
                </w14:textFill>
              </w:rPr>
              <w:t>、政府采购严重违法失信行为记录名单的，取消投标资格(提供“信用中国”网站的查询截图)</w:t>
            </w:r>
            <w:r>
              <w:rPr>
                <w:rFonts w:hint="eastAsia" w:ascii="宋体" w:hAnsi="宋体" w:cs="宋体"/>
                <w:color w:val="000000" w:themeColor="text1"/>
                <w:kern w:val="0"/>
                <w:sz w:val="24"/>
                <w14:textFill>
                  <w14:solidFill>
                    <w14:schemeClr w14:val="tx1"/>
                  </w14:solidFill>
                </w14:textFill>
              </w:rPr>
              <w:t>；</w:t>
            </w:r>
          </w:p>
          <w:p w14:paraId="1AF4C099">
            <w:pPr>
              <w:autoSpaceDE w:val="0"/>
              <w:autoSpaceDN w:val="0"/>
              <w:spacing w:line="360" w:lineRule="auto"/>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5.本项目不接受磋商人以联合体方式进行投标。</w:t>
            </w:r>
          </w:p>
        </w:tc>
      </w:tr>
      <w:tr w14:paraId="6846464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7F9B28B6">
            <w:pPr>
              <w:pStyle w:val="49"/>
              <w:spacing w:line="360" w:lineRule="auto"/>
              <w:jc w:val="left"/>
              <w:rPr>
                <w:rFonts w:ascii="宋体" w:hAnsi="宋体"/>
                <w:color w:val="auto"/>
                <w:kern w:val="0"/>
                <w:sz w:val="24"/>
              </w:rPr>
            </w:pPr>
            <w:r>
              <w:rPr>
                <w:rFonts w:hint="eastAsia" w:ascii="宋体" w:hAnsi="宋体"/>
                <w:color w:val="auto"/>
                <w:kern w:val="0"/>
                <w:sz w:val="24"/>
              </w:rPr>
              <w:t>公告发布时间</w:t>
            </w:r>
          </w:p>
        </w:tc>
        <w:tc>
          <w:tcPr>
            <w:tcW w:w="7725" w:type="dxa"/>
            <w:tcBorders>
              <w:top w:val="outset" w:color="000000" w:sz="6" w:space="0"/>
              <w:left w:val="outset" w:color="000000" w:sz="6" w:space="0"/>
              <w:bottom w:val="outset" w:color="000000" w:sz="6" w:space="0"/>
              <w:right w:val="outset" w:color="000000" w:sz="6" w:space="0"/>
            </w:tcBorders>
            <w:vAlign w:val="center"/>
          </w:tcPr>
          <w:p w14:paraId="01FB4402">
            <w:pPr>
              <w:pStyle w:val="49"/>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202</w:t>
            </w:r>
            <w:r>
              <w:rPr>
                <w:rFonts w:hint="eastAsia" w:ascii="宋体" w:hAnsi="宋体"/>
                <w:color w:val="000000" w:themeColor="text1"/>
                <w:kern w:val="0"/>
                <w:sz w:val="24"/>
                <w:lang w:val="en-US" w:eastAsia="zh-CN"/>
                <w14:textFill>
                  <w14:solidFill>
                    <w14:schemeClr w14:val="tx1"/>
                  </w14:solidFill>
                </w14:textFill>
              </w:rPr>
              <w:t>4</w:t>
            </w:r>
            <w:r>
              <w:rPr>
                <w:rFonts w:hint="eastAsia" w:ascii="宋体" w:hAnsi="宋体"/>
                <w:color w:val="000000" w:themeColor="text1"/>
                <w:kern w:val="0"/>
                <w:sz w:val="24"/>
                <w14:textFill>
                  <w14:solidFill>
                    <w14:schemeClr w14:val="tx1"/>
                  </w14:solidFill>
                </w14:textFill>
              </w:rPr>
              <w:t>年0</w:t>
            </w:r>
            <w:r>
              <w:rPr>
                <w:rFonts w:hint="eastAsia" w:ascii="宋体" w:hAnsi="宋体"/>
                <w:color w:val="000000" w:themeColor="text1"/>
                <w:kern w:val="0"/>
                <w:sz w:val="24"/>
                <w:lang w:val="en-US" w:eastAsia="zh-CN"/>
                <w14:textFill>
                  <w14:solidFill>
                    <w14:schemeClr w14:val="tx1"/>
                  </w14:solidFill>
                </w14:textFill>
              </w:rPr>
              <w:t>7</w:t>
            </w:r>
            <w:r>
              <w:rPr>
                <w:rFonts w:hint="eastAsia" w:ascii="宋体" w:hAnsi="宋体"/>
                <w:color w:val="000000" w:themeColor="text1"/>
                <w:kern w:val="0"/>
                <w:sz w:val="24"/>
                <w14:textFill>
                  <w14:solidFill>
                    <w14:schemeClr w14:val="tx1"/>
                  </w14:solidFill>
                </w14:textFill>
              </w:rPr>
              <w:t>月</w:t>
            </w:r>
            <w:r>
              <w:rPr>
                <w:rFonts w:hint="eastAsia" w:ascii="宋体" w:hAnsi="宋体"/>
                <w:color w:val="000000" w:themeColor="text1"/>
                <w:kern w:val="0"/>
                <w:sz w:val="24"/>
                <w:lang w:val="en-US" w:eastAsia="zh-CN"/>
                <w14:textFill>
                  <w14:solidFill>
                    <w14:schemeClr w14:val="tx1"/>
                  </w14:solidFill>
                </w14:textFill>
              </w:rPr>
              <w:t>29</w:t>
            </w:r>
            <w:r>
              <w:rPr>
                <w:rFonts w:hint="eastAsia" w:ascii="宋体" w:hAnsi="宋体"/>
                <w:color w:val="000000" w:themeColor="text1"/>
                <w:kern w:val="0"/>
                <w:sz w:val="24"/>
                <w14:textFill>
                  <w14:solidFill>
                    <w14:schemeClr w14:val="tx1"/>
                  </w14:solidFill>
                </w14:textFill>
              </w:rPr>
              <w:t>日</w:t>
            </w:r>
          </w:p>
        </w:tc>
      </w:tr>
      <w:tr w14:paraId="10C1B89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cantSplit/>
          <w:trHeight w:val="1002" w:hRule="atLeast"/>
          <w:jc w:val="center"/>
        </w:trPr>
        <w:tc>
          <w:tcPr>
            <w:tcW w:w="1944" w:type="dxa"/>
            <w:tcBorders>
              <w:top w:val="outset" w:color="000000" w:sz="6" w:space="0"/>
              <w:left w:val="outset" w:color="000000" w:sz="6" w:space="0"/>
              <w:bottom w:val="outset" w:color="000000" w:sz="6" w:space="0"/>
              <w:right w:val="outset" w:color="000000" w:sz="6" w:space="0"/>
            </w:tcBorders>
          </w:tcPr>
          <w:p w14:paraId="3548253C">
            <w:pPr>
              <w:pStyle w:val="49"/>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磋商文件发售起止时间</w:t>
            </w:r>
          </w:p>
        </w:tc>
        <w:tc>
          <w:tcPr>
            <w:tcW w:w="7725" w:type="dxa"/>
            <w:tcBorders>
              <w:top w:val="outset" w:color="000000" w:sz="6" w:space="0"/>
              <w:left w:val="outset" w:color="000000" w:sz="6" w:space="0"/>
              <w:bottom w:val="outset" w:color="000000" w:sz="6" w:space="0"/>
              <w:right w:val="outset" w:color="000000" w:sz="6" w:space="0"/>
            </w:tcBorders>
          </w:tcPr>
          <w:p w14:paraId="03AE164B">
            <w:pPr>
              <w:pStyle w:val="49"/>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自202</w:t>
            </w:r>
            <w:r>
              <w:rPr>
                <w:rFonts w:hint="eastAsia" w:ascii="宋体" w:hAnsi="宋体"/>
                <w:color w:val="000000" w:themeColor="text1"/>
                <w:kern w:val="0"/>
                <w:sz w:val="24"/>
                <w:lang w:val="en-US" w:eastAsia="zh-CN"/>
                <w14:textFill>
                  <w14:solidFill>
                    <w14:schemeClr w14:val="tx1"/>
                  </w14:solidFill>
                </w14:textFill>
              </w:rPr>
              <w:t>4</w:t>
            </w:r>
            <w:r>
              <w:rPr>
                <w:rFonts w:hint="eastAsia" w:ascii="宋体" w:hAnsi="宋体"/>
                <w:color w:val="000000" w:themeColor="text1"/>
                <w:kern w:val="0"/>
                <w:sz w:val="24"/>
                <w14:textFill>
                  <w14:solidFill>
                    <w14:schemeClr w14:val="tx1"/>
                  </w14:solidFill>
                </w14:textFill>
              </w:rPr>
              <w:t>年</w:t>
            </w:r>
            <w:r>
              <w:rPr>
                <w:rFonts w:hint="eastAsia" w:ascii="宋体" w:hAnsi="宋体"/>
                <w:color w:val="000000" w:themeColor="text1"/>
                <w:kern w:val="0"/>
                <w:sz w:val="24"/>
                <w:lang w:val="en-US" w:eastAsia="zh-CN"/>
                <w14:textFill>
                  <w14:solidFill>
                    <w14:schemeClr w14:val="tx1"/>
                  </w14:solidFill>
                </w14:textFill>
              </w:rPr>
              <w:t>07</w:t>
            </w:r>
            <w:r>
              <w:rPr>
                <w:rFonts w:hint="eastAsia" w:ascii="宋体" w:hAnsi="宋体"/>
                <w:color w:val="000000" w:themeColor="text1"/>
                <w:kern w:val="0"/>
                <w:sz w:val="24"/>
                <w14:textFill>
                  <w14:solidFill>
                    <w14:schemeClr w14:val="tx1"/>
                  </w14:solidFill>
                </w14:textFill>
              </w:rPr>
              <w:t>月</w:t>
            </w:r>
            <w:r>
              <w:rPr>
                <w:rFonts w:hint="eastAsia" w:ascii="宋体" w:hAnsi="宋体"/>
                <w:color w:val="000000" w:themeColor="text1"/>
                <w:kern w:val="0"/>
                <w:sz w:val="24"/>
                <w:lang w:val="en-US" w:eastAsia="zh-CN"/>
                <w14:textFill>
                  <w14:solidFill>
                    <w14:schemeClr w14:val="tx1"/>
                  </w14:solidFill>
                </w14:textFill>
              </w:rPr>
              <w:t>30</w:t>
            </w:r>
            <w:r>
              <w:rPr>
                <w:rFonts w:hint="eastAsia" w:ascii="宋体" w:hAnsi="宋体"/>
                <w:color w:val="000000" w:themeColor="text1"/>
                <w:kern w:val="0"/>
                <w:sz w:val="24"/>
                <w14:textFill>
                  <w14:solidFill>
                    <w14:schemeClr w14:val="tx1"/>
                  </w14:solidFill>
                </w14:textFill>
              </w:rPr>
              <w:t>日至202</w:t>
            </w:r>
            <w:r>
              <w:rPr>
                <w:rFonts w:hint="eastAsia" w:ascii="宋体" w:hAnsi="宋体"/>
                <w:color w:val="000000" w:themeColor="text1"/>
                <w:kern w:val="0"/>
                <w:sz w:val="24"/>
                <w:lang w:val="en-US" w:eastAsia="zh-CN"/>
                <w14:textFill>
                  <w14:solidFill>
                    <w14:schemeClr w14:val="tx1"/>
                  </w14:solidFill>
                </w14:textFill>
              </w:rPr>
              <w:t>4</w:t>
            </w:r>
            <w:r>
              <w:rPr>
                <w:rFonts w:hint="eastAsia" w:ascii="宋体" w:hAnsi="宋体"/>
                <w:color w:val="000000" w:themeColor="text1"/>
                <w:kern w:val="0"/>
                <w:sz w:val="24"/>
                <w14:textFill>
                  <w14:solidFill>
                    <w14:schemeClr w14:val="tx1"/>
                  </w14:solidFill>
                </w14:textFill>
              </w:rPr>
              <w:t>年</w:t>
            </w:r>
            <w:r>
              <w:rPr>
                <w:rFonts w:hint="eastAsia" w:ascii="宋体" w:hAnsi="宋体"/>
                <w:color w:val="000000" w:themeColor="text1"/>
                <w:kern w:val="0"/>
                <w:sz w:val="24"/>
                <w:lang w:val="en-US" w:eastAsia="zh-CN"/>
                <w14:textFill>
                  <w14:solidFill>
                    <w14:schemeClr w14:val="tx1"/>
                  </w14:solidFill>
                </w14:textFill>
              </w:rPr>
              <w:t>08</w:t>
            </w:r>
            <w:r>
              <w:rPr>
                <w:rFonts w:hint="eastAsia" w:ascii="宋体" w:hAnsi="宋体"/>
                <w:color w:val="000000" w:themeColor="text1"/>
                <w:kern w:val="0"/>
                <w:sz w:val="24"/>
                <w14:textFill>
                  <w14:solidFill>
                    <w14:schemeClr w14:val="tx1"/>
                  </w14:solidFill>
                </w14:textFill>
              </w:rPr>
              <w:t>月</w:t>
            </w:r>
            <w:r>
              <w:rPr>
                <w:rFonts w:hint="eastAsia" w:ascii="宋体" w:hAnsi="宋体"/>
                <w:color w:val="000000" w:themeColor="text1"/>
                <w:kern w:val="0"/>
                <w:sz w:val="24"/>
                <w:lang w:val="en-US" w:eastAsia="zh-CN"/>
                <w14:textFill>
                  <w14:solidFill>
                    <w14:schemeClr w14:val="tx1"/>
                  </w14:solidFill>
                </w14:textFill>
              </w:rPr>
              <w:t>05</w:t>
            </w:r>
            <w:r>
              <w:rPr>
                <w:rFonts w:hint="eastAsia" w:ascii="宋体" w:hAnsi="宋体"/>
                <w:color w:val="000000" w:themeColor="text1"/>
                <w:kern w:val="0"/>
                <w:sz w:val="24"/>
                <w14:textFill>
                  <w14:solidFill>
                    <w14:schemeClr w14:val="tx1"/>
                  </w14:solidFill>
                </w14:textFill>
              </w:rPr>
              <w:t>日（上午9:00-12:00，下午14:00-17:30休息日、节假日除外）。</w:t>
            </w:r>
          </w:p>
        </w:tc>
      </w:tr>
      <w:tr w14:paraId="5F34E25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3DE46CEC">
            <w:pPr>
              <w:pStyle w:val="49"/>
              <w:spacing w:line="360"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磋商文件发售方式</w:t>
            </w:r>
          </w:p>
        </w:tc>
        <w:tc>
          <w:tcPr>
            <w:tcW w:w="7725" w:type="dxa"/>
            <w:tcBorders>
              <w:top w:val="outset" w:color="000000" w:sz="6" w:space="0"/>
              <w:left w:val="outset" w:color="000000" w:sz="6" w:space="0"/>
              <w:bottom w:val="outset" w:color="000000" w:sz="6" w:space="0"/>
              <w:right w:val="outset" w:color="000000" w:sz="6" w:space="0"/>
            </w:tcBorders>
            <w:vAlign w:val="center"/>
          </w:tcPr>
          <w:p w14:paraId="235B87E0">
            <w:pPr>
              <w:pStyle w:val="49"/>
              <w:spacing w:line="360" w:lineRule="auto"/>
              <w:rPr>
                <w:rFonts w:ascii="宋体" w:hAnsi="宋体"/>
                <w:color w:val="000000" w:themeColor="text1"/>
                <w:kern w:val="0"/>
                <w:sz w:val="24"/>
                <w14:textFill>
                  <w14:solidFill>
                    <w14:schemeClr w14:val="tx1"/>
                  </w14:solidFill>
                </w14:textFill>
              </w:rPr>
            </w:pPr>
            <w:r>
              <w:rPr>
                <w:rFonts w:ascii="宋体" w:hAnsi="宋体" w:cs="宋体"/>
                <w:color w:val="000000" w:themeColor="text1"/>
                <w:sz w:val="24"/>
                <w14:textFill>
                  <w14:solidFill>
                    <w14:schemeClr w14:val="tx1"/>
                  </w14:solidFill>
                </w14:textFill>
              </w:rPr>
              <w:t>网上获取或现场获取</w:t>
            </w:r>
          </w:p>
        </w:tc>
      </w:tr>
      <w:tr w14:paraId="68A3E9E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1106B99E">
            <w:pPr>
              <w:pStyle w:val="49"/>
              <w:spacing w:line="360"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磋商文件售价</w:t>
            </w:r>
          </w:p>
        </w:tc>
        <w:tc>
          <w:tcPr>
            <w:tcW w:w="7725" w:type="dxa"/>
            <w:tcBorders>
              <w:top w:val="outset" w:color="000000" w:sz="6" w:space="0"/>
              <w:left w:val="outset" w:color="000000" w:sz="6" w:space="0"/>
              <w:bottom w:val="outset" w:color="000000" w:sz="6" w:space="0"/>
              <w:right w:val="outset" w:color="000000" w:sz="6" w:space="0"/>
            </w:tcBorders>
            <w:vAlign w:val="center"/>
          </w:tcPr>
          <w:p w14:paraId="1BA08BB1">
            <w:pPr>
              <w:adjustRightInd w:val="0"/>
              <w:snapToGrid w:val="0"/>
              <w:spacing w:line="216" w:lineRule="auto"/>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500元整</w:t>
            </w:r>
            <w:r>
              <w:rPr>
                <w:rFonts w:hint="eastAsia" w:ascii="宋体" w:hAnsi="宋体" w:cs="宋体"/>
                <w:color w:val="000000" w:themeColor="text1"/>
                <w:sz w:val="24"/>
                <w:lang w:val="zh-CN"/>
                <w14:textFill>
                  <w14:solidFill>
                    <w14:schemeClr w14:val="tx1"/>
                  </w14:solidFill>
                </w14:textFill>
              </w:rPr>
              <w:t>（磋商文件售后不退,磋商资格不能转让）</w:t>
            </w:r>
          </w:p>
        </w:tc>
      </w:tr>
      <w:tr w14:paraId="483AD93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58" w:hRule="atLeast"/>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46905DB9">
            <w:pPr>
              <w:pStyle w:val="49"/>
              <w:spacing w:line="360"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磋商文件发售地点</w:t>
            </w:r>
          </w:p>
        </w:tc>
        <w:tc>
          <w:tcPr>
            <w:tcW w:w="7725" w:type="dxa"/>
            <w:tcBorders>
              <w:top w:val="outset" w:color="000000" w:sz="6" w:space="0"/>
              <w:left w:val="outset" w:color="000000" w:sz="6" w:space="0"/>
              <w:bottom w:val="outset" w:color="000000" w:sz="6" w:space="0"/>
              <w:right w:val="outset" w:color="000000" w:sz="6" w:space="0"/>
            </w:tcBorders>
            <w:vAlign w:val="center"/>
          </w:tcPr>
          <w:p w14:paraId="13360DCC">
            <w:pPr>
              <w:adjustRightInd w:val="0"/>
              <w:snapToGrid w:val="0"/>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lang w:eastAsia="zh-CN"/>
                <w14:textFill>
                  <w14:solidFill>
                    <w14:schemeClr w14:val="tx1"/>
                  </w14:solidFill>
                </w14:textFill>
              </w:rPr>
              <w:t>西宁市城西区盐湖巷6号10号楼（城西区总部经济大厦)16楼</w:t>
            </w:r>
          </w:p>
          <w:p w14:paraId="77398697">
            <w:p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联系电话：0971-8456071</w:t>
            </w:r>
          </w:p>
          <w:p w14:paraId="65854D93">
            <w:pPr>
              <w:adjustRightInd w:val="0"/>
              <w:snapToGrid w:val="0"/>
              <w:spacing w:line="360" w:lineRule="auto"/>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电子邮箱：qhgyzb@126.com</w:t>
            </w:r>
          </w:p>
        </w:tc>
      </w:tr>
      <w:tr w14:paraId="12B3BD1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58" w:hRule="atLeast"/>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40E8E3F5">
            <w:pPr>
              <w:adjustRightInd w:val="0"/>
              <w:snapToGrid w:val="0"/>
              <w:spacing w:line="216" w:lineRule="auto"/>
              <w:rPr>
                <w:rFonts w:ascii="宋体" w:hAnsi="宋体"/>
                <w:color w:val="000000" w:themeColor="text1"/>
                <w:kern w:val="0"/>
                <w:sz w:val="24"/>
                <w14:textFill>
                  <w14:solidFill>
                    <w14:schemeClr w14:val="tx1"/>
                  </w14:solidFill>
                </w14:textFill>
              </w:rPr>
            </w:pPr>
            <w:r>
              <w:rPr>
                <w:rFonts w:hint="eastAsia" w:ascii="宋体" w:hAnsi="宋体" w:cs="宋体"/>
                <w:sz w:val="24"/>
              </w:rPr>
              <w:t>购买磋商文件时应提供材料</w:t>
            </w:r>
          </w:p>
        </w:tc>
        <w:tc>
          <w:tcPr>
            <w:tcW w:w="7725" w:type="dxa"/>
            <w:tcBorders>
              <w:top w:val="outset" w:color="000000" w:sz="6" w:space="0"/>
              <w:left w:val="outset" w:color="000000" w:sz="6" w:space="0"/>
              <w:bottom w:val="outset" w:color="000000" w:sz="6" w:space="0"/>
              <w:right w:val="outset" w:color="000000" w:sz="6" w:space="0"/>
            </w:tcBorders>
            <w:vAlign w:val="center"/>
          </w:tcPr>
          <w:p w14:paraId="12BA115C">
            <w:p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供应商的营业执照（副本）复印件、组织机构代码证（副本）复印件、税务登记证（副本）复印件或三证合一营业执照（副本）复印件、法人授权委托书（原件）及法人身份证复印件、被授权人身份证复印件。以上资料除原件外均需加盖公章（采购代理机构对以上资料留存备案）。</w:t>
            </w:r>
          </w:p>
          <w:p w14:paraId="3381F0A7">
            <w:p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2、网上购买标书的投标供应商应将以上材料扫描后发至我公司联系邮箱(qhgyzb@126.com)，在邮件中标明购买项目名称、项目编号、联系人及联系方式，并与我公司工作人员进行联系确认。</w:t>
            </w:r>
          </w:p>
        </w:tc>
      </w:tr>
      <w:tr w14:paraId="0CF87B4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3B867E7D">
            <w:pPr>
              <w:pStyle w:val="49"/>
              <w:spacing w:line="360"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磋商截止时间</w:t>
            </w:r>
          </w:p>
        </w:tc>
        <w:tc>
          <w:tcPr>
            <w:tcW w:w="7725" w:type="dxa"/>
            <w:tcBorders>
              <w:top w:val="outset" w:color="000000" w:sz="6" w:space="0"/>
              <w:left w:val="outset" w:color="000000" w:sz="6" w:space="0"/>
              <w:bottom w:val="outset" w:color="000000" w:sz="6" w:space="0"/>
              <w:right w:val="outset" w:color="000000" w:sz="6" w:space="0"/>
            </w:tcBorders>
            <w:vAlign w:val="center"/>
          </w:tcPr>
          <w:p w14:paraId="672E1A1A">
            <w:pPr>
              <w:pStyle w:val="49"/>
              <w:spacing w:line="360" w:lineRule="auto"/>
              <w:rPr>
                <w:rFonts w:hint="eastAsia" w:ascii="宋体" w:hAnsi="宋体" w:eastAsia="宋体"/>
                <w:color w:val="000000" w:themeColor="text1"/>
                <w:kern w:val="0"/>
                <w:sz w:val="24"/>
                <w:lang w:eastAsia="zh-CN"/>
                <w14:textFill>
                  <w14:solidFill>
                    <w14:schemeClr w14:val="tx1"/>
                  </w14:solidFill>
                </w14:textFill>
              </w:rPr>
            </w:pPr>
            <w:r>
              <w:rPr>
                <w:rFonts w:hint="eastAsia" w:ascii="宋体" w:hAnsi="宋体"/>
                <w:color w:val="000000" w:themeColor="text1"/>
                <w:kern w:val="0"/>
                <w:sz w:val="24"/>
                <w:lang w:eastAsia="zh-CN"/>
                <w14:textFill>
                  <w14:solidFill>
                    <w14:schemeClr w14:val="tx1"/>
                  </w14:solidFill>
                </w14:textFill>
              </w:rPr>
              <w:t>2024年</w:t>
            </w:r>
            <w:r>
              <w:rPr>
                <w:rFonts w:hint="eastAsia" w:ascii="宋体" w:hAnsi="宋体"/>
                <w:color w:val="000000" w:themeColor="text1"/>
                <w:kern w:val="0"/>
                <w:sz w:val="24"/>
                <w:lang w:val="en-US" w:eastAsia="zh-CN"/>
                <w14:textFill>
                  <w14:solidFill>
                    <w14:schemeClr w14:val="tx1"/>
                  </w14:solidFill>
                </w14:textFill>
              </w:rPr>
              <w:t>08</w:t>
            </w:r>
            <w:r>
              <w:rPr>
                <w:rFonts w:hint="eastAsia" w:ascii="宋体" w:hAnsi="宋体"/>
                <w:color w:val="000000" w:themeColor="text1"/>
                <w:kern w:val="0"/>
                <w:sz w:val="24"/>
                <w:lang w:eastAsia="zh-CN"/>
                <w14:textFill>
                  <w14:solidFill>
                    <w14:schemeClr w14:val="tx1"/>
                  </w14:solidFill>
                </w14:textFill>
              </w:rPr>
              <w:t>月</w:t>
            </w:r>
            <w:r>
              <w:rPr>
                <w:rFonts w:hint="eastAsia" w:ascii="宋体" w:hAnsi="宋体"/>
                <w:color w:val="000000" w:themeColor="text1"/>
                <w:kern w:val="0"/>
                <w:sz w:val="24"/>
                <w:lang w:val="en-US" w:eastAsia="zh-CN"/>
                <w14:textFill>
                  <w14:solidFill>
                    <w14:schemeClr w14:val="tx1"/>
                  </w14:solidFill>
                </w14:textFill>
              </w:rPr>
              <w:t>10</w:t>
            </w:r>
            <w:r>
              <w:rPr>
                <w:rFonts w:hint="eastAsia" w:ascii="宋体" w:hAnsi="宋体"/>
                <w:color w:val="000000" w:themeColor="text1"/>
                <w:kern w:val="0"/>
                <w:sz w:val="24"/>
                <w:lang w:eastAsia="zh-CN"/>
                <w14:textFill>
                  <w14:solidFill>
                    <w14:schemeClr w14:val="tx1"/>
                  </w14:solidFill>
                </w14:textFill>
              </w:rPr>
              <w:t>日上午09:30（北京时间）</w:t>
            </w:r>
          </w:p>
        </w:tc>
      </w:tr>
      <w:tr w14:paraId="001AD01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320CDBC1">
            <w:pPr>
              <w:pStyle w:val="49"/>
              <w:spacing w:line="360"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磋商时间</w:t>
            </w:r>
          </w:p>
        </w:tc>
        <w:tc>
          <w:tcPr>
            <w:tcW w:w="7725" w:type="dxa"/>
            <w:tcBorders>
              <w:top w:val="outset" w:color="000000" w:sz="6" w:space="0"/>
              <w:left w:val="outset" w:color="000000" w:sz="6" w:space="0"/>
              <w:bottom w:val="outset" w:color="000000" w:sz="6" w:space="0"/>
              <w:right w:val="outset" w:color="000000" w:sz="6" w:space="0"/>
            </w:tcBorders>
            <w:vAlign w:val="center"/>
          </w:tcPr>
          <w:p w14:paraId="162F2744">
            <w:pPr>
              <w:pStyle w:val="49"/>
              <w:spacing w:line="360" w:lineRule="auto"/>
              <w:rPr>
                <w:rFonts w:hint="eastAsia" w:ascii="宋体" w:hAnsi="宋体" w:eastAsia="宋体"/>
                <w:color w:val="000000" w:themeColor="text1"/>
                <w:kern w:val="0"/>
                <w:sz w:val="24"/>
                <w:lang w:eastAsia="zh-CN"/>
                <w14:textFill>
                  <w14:solidFill>
                    <w14:schemeClr w14:val="tx1"/>
                  </w14:solidFill>
                </w14:textFill>
              </w:rPr>
            </w:pPr>
            <w:r>
              <w:rPr>
                <w:rFonts w:hint="eastAsia" w:ascii="宋体" w:hAnsi="宋体"/>
                <w:color w:val="000000" w:themeColor="text1"/>
                <w:kern w:val="0"/>
                <w:sz w:val="24"/>
                <w:lang w:eastAsia="zh-CN"/>
                <w14:textFill>
                  <w14:solidFill>
                    <w14:schemeClr w14:val="tx1"/>
                  </w14:solidFill>
                </w14:textFill>
              </w:rPr>
              <w:t>2024年</w:t>
            </w:r>
            <w:r>
              <w:rPr>
                <w:rFonts w:hint="eastAsia" w:ascii="宋体" w:hAnsi="宋体"/>
                <w:color w:val="000000" w:themeColor="text1"/>
                <w:kern w:val="0"/>
                <w:sz w:val="24"/>
                <w:lang w:val="en-US" w:eastAsia="zh-CN"/>
                <w14:textFill>
                  <w14:solidFill>
                    <w14:schemeClr w14:val="tx1"/>
                  </w14:solidFill>
                </w14:textFill>
              </w:rPr>
              <w:t>08</w:t>
            </w:r>
            <w:r>
              <w:rPr>
                <w:rFonts w:hint="eastAsia" w:ascii="宋体" w:hAnsi="宋体"/>
                <w:color w:val="000000" w:themeColor="text1"/>
                <w:kern w:val="0"/>
                <w:sz w:val="24"/>
                <w:lang w:eastAsia="zh-CN"/>
                <w14:textFill>
                  <w14:solidFill>
                    <w14:schemeClr w14:val="tx1"/>
                  </w14:solidFill>
                </w14:textFill>
              </w:rPr>
              <w:t>月</w:t>
            </w:r>
            <w:r>
              <w:rPr>
                <w:rFonts w:hint="eastAsia" w:ascii="宋体" w:hAnsi="宋体"/>
                <w:color w:val="000000" w:themeColor="text1"/>
                <w:kern w:val="0"/>
                <w:sz w:val="24"/>
                <w:lang w:val="en-US" w:eastAsia="zh-CN"/>
                <w14:textFill>
                  <w14:solidFill>
                    <w14:schemeClr w14:val="tx1"/>
                  </w14:solidFill>
                </w14:textFill>
              </w:rPr>
              <w:t>10</w:t>
            </w:r>
            <w:r>
              <w:rPr>
                <w:rFonts w:hint="eastAsia" w:ascii="宋体" w:hAnsi="宋体"/>
                <w:color w:val="000000" w:themeColor="text1"/>
                <w:kern w:val="0"/>
                <w:sz w:val="24"/>
                <w:lang w:eastAsia="zh-CN"/>
                <w14:textFill>
                  <w14:solidFill>
                    <w14:schemeClr w14:val="tx1"/>
                  </w14:solidFill>
                </w14:textFill>
              </w:rPr>
              <w:t>日上午09:30（北京时间）</w:t>
            </w:r>
          </w:p>
        </w:tc>
      </w:tr>
      <w:tr w14:paraId="5EC9F3F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1D24E162">
            <w:pPr>
              <w:pStyle w:val="49"/>
              <w:spacing w:line="360" w:lineRule="auto"/>
              <w:jc w:val="left"/>
              <w:rPr>
                <w:rFonts w:ascii="宋体" w:hAnsi="宋体"/>
                <w:kern w:val="0"/>
                <w:sz w:val="24"/>
              </w:rPr>
            </w:pPr>
            <w:r>
              <w:rPr>
                <w:rFonts w:hint="eastAsia" w:ascii="宋体" w:hAnsi="宋体"/>
                <w:kern w:val="0"/>
                <w:sz w:val="24"/>
              </w:rPr>
              <w:t>磋商及磋商地点</w:t>
            </w:r>
          </w:p>
        </w:tc>
        <w:tc>
          <w:tcPr>
            <w:tcW w:w="7725" w:type="dxa"/>
            <w:tcBorders>
              <w:top w:val="outset" w:color="000000" w:sz="6" w:space="0"/>
              <w:left w:val="outset" w:color="000000" w:sz="6" w:space="0"/>
              <w:bottom w:val="outset" w:color="000000" w:sz="6" w:space="0"/>
              <w:right w:val="outset" w:color="000000" w:sz="6" w:space="0"/>
            </w:tcBorders>
            <w:vAlign w:val="center"/>
          </w:tcPr>
          <w:p w14:paraId="6A943B09">
            <w:pPr>
              <w:pStyle w:val="49"/>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lang w:eastAsia="zh-CN"/>
                <w14:textFill>
                  <w14:solidFill>
                    <w14:schemeClr w14:val="tx1"/>
                  </w14:solidFill>
                </w14:textFill>
              </w:rPr>
              <w:t>西宁市城西区盐湖巷6号10号楼（城西区总部经济大厦)16楼</w:t>
            </w:r>
            <w:r>
              <w:rPr>
                <w:rFonts w:hint="eastAsia" w:ascii="宋体" w:hAnsi="宋体"/>
                <w:color w:val="000000" w:themeColor="text1"/>
                <w:kern w:val="0"/>
                <w:sz w:val="24"/>
                <w14:textFill>
                  <w14:solidFill>
                    <w14:schemeClr w14:val="tx1"/>
                  </w14:solidFill>
                </w14:textFill>
              </w:rPr>
              <w:t>青海国焱工程项目管理有限公司</w:t>
            </w:r>
            <w:r>
              <w:rPr>
                <w:rFonts w:hint="eastAsia" w:ascii="宋体" w:hAnsi="宋体" w:cs="宋体"/>
                <w:color w:val="000000" w:themeColor="text1"/>
                <w:sz w:val="24"/>
                <w14:textFill>
                  <w14:solidFill>
                    <w14:schemeClr w14:val="tx1"/>
                  </w14:solidFill>
                </w14:textFill>
              </w:rPr>
              <w:t>开标室</w:t>
            </w:r>
          </w:p>
        </w:tc>
      </w:tr>
      <w:tr w14:paraId="242C77C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0588DA03">
            <w:pPr>
              <w:pStyle w:val="49"/>
              <w:spacing w:line="360" w:lineRule="auto"/>
              <w:jc w:val="left"/>
              <w:rPr>
                <w:rFonts w:ascii="宋体" w:hAnsi="宋体"/>
                <w:kern w:val="0"/>
                <w:sz w:val="24"/>
              </w:rPr>
            </w:pPr>
            <w:r>
              <w:rPr>
                <w:rFonts w:hint="eastAsia" w:ascii="宋体" w:hAnsi="宋体"/>
                <w:kern w:val="0"/>
                <w:sz w:val="24"/>
              </w:rPr>
              <w:t>采购单位及联系人电话</w:t>
            </w:r>
          </w:p>
        </w:tc>
        <w:tc>
          <w:tcPr>
            <w:tcW w:w="7725" w:type="dxa"/>
            <w:tcBorders>
              <w:top w:val="outset" w:color="000000" w:sz="6" w:space="0"/>
              <w:left w:val="outset" w:color="000000" w:sz="6" w:space="0"/>
              <w:bottom w:val="outset" w:color="000000" w:sz="6" w:space="0"/>
              <w:right w:val="outset" w:color="000000" w:sz="6" w:space="0"/>
            </w:tcBorders>
            <w:vAlign w:val="center"/>
          </w:tcPr>
          <w:p w14:paraId="55AC136A">
            <w:pPr>
              <w:pStyle w:val="92"/>
              <w:spacing w:line="360" w:lineRule="auto"/>
              <w:rPr>
                <w:rFonts w:hint="eastAsia" w:ascii="宋体" w:hAnsi="宋体" w:eastAsia="宋体" w:cs="宋体"/>
                <w:color w:val="auto"/>
                <w:kern w:val="0"/>
                <w:sz w:val="24"/>
                <w:lang w:eastAsia="zh-CN"/>
              </w:rPr>
            </w:pPr>
            <w:r>
              <w:rPr>
                <w:rFonts w:hint="eastAsia" w:ascii="宋体" w:hAnsi="宋体" w:eastAsia="宋体" w:cs="宋体"/>
                <w:kern w:val="0"/>
                <w:sz w:val="24"/>
              </w:rPr>
              <w:t>采</w:t>
            </w:r>
            <w:r>
              <w:rPr>
                <w:rFonts w:hint="eastAsia" w:ascii="宋体" w:hAnsi="宋体" w:eastAsia="宋体" w:cs="宋体"/>
                <w:color w:val="auto"/>
                <w:kern w:val="0"/>
                <w:sz w:val="24"/>
              </w:rPr>
              <w:t>购单位：</w:t>
            </w:r>
            <w:r>
              <w:rPr>
                <w:rFonts w:hint="eastAsia" w:ascii="宋体" w:hAnsi="宋体" w:cs="宋体"/>
                <w:color w:val="auto"/>
                <w:kern w:val="0"/>
                <w:sz w:val="24"/>
                <w:lang w:eastAsia="zh-CN"/>
              </w:rPr>
              <w:t>青海大学科技教育集团有限公司后勤服务分公司</w:t>
            </w:r>
          </w:p>
          <w:p w14:paraId="1339B84A">
            <w:pPr>
              <w:spacing w:line="360" w:lineRule="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联 系 人：薛</w:t>
            </w:r>
            <w:r>
              <w:rPr>
                <w:rFonts w:hint="eastAsia" w:ascii="宋体" w:hAnsi="宋体" w:cs="宋体"/>
                <w:color w:val="auto"/>
                <w:kern w:val="0"/>
                <w:sz w:val="24"/>
                <w:szCs w:val="24"/>
                <w:lang w:val="en-US" w:eastAsia="zh-CN" w:bidi="ar-SA"/>
              </w:rPr>
              <w:t>老师</w:t>
            </w:r>
          </w:p>
          <w:p w14:paraId="42C63678">
            <w:pPr>
              <w:spacing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联系电话：</w:t>
            </w:r>
            <w:r>
              <w:rPr>
                <w:rFonts w:hint="eastAsia" w:ascii="宋体" w:hAnsi="宋体" w:eastAsia="宋体" w:cs="宋体"/>
                <w:kern w:val="0"/>
                <w:sz w:val="24"/>
                <w:lang w:val="en-US" w:eastAsia="zh-CN"/>
              </w:rPr>
              <w:t>13519718218</w:t>
            </w:r>
          </w:p>
          <w:p w14:paraId="497F0261">
            <w:pPr>
              <w:spacing w:line="360" w:lineRule="auto"/>
              <w:rPr>
                <w:rFonts w:ascii="宋体" w:hAnsi="宋体"/>
                <w:color w:val="000000" w:themeColor="text1"/>
                <w:kern w:val="0"/>
                <w:sz w:val="24"/>
                <w14:textFill>
                  <w14:solidFill>
                    <w14:schemeClr w14:val="tx1"/>
                  </w14:solidFill>
                </w14:textFill>
              </w:rPr>
            </w:pPr>
            <w:r>
              <w:rPr>
                <w:rFonts w:hint="eastAsia" w:ascii="宋体" w:hAnsi="宋体" w:eastAsia="宋体" w:cs="宋体"/>
                <w:color w:val="auto"/>
                <w:kern w:val="0"/>
                <w:sz w:val="24"/>
                <w:szCs w:val="24"/>
                <w:lang w:val="en-US" w:eastAsia="zh-CN" w:bidi="ar-SA"/>
              </w:rPr>
              <w:t>联系地址：</w:t>
            </w:r>
            <w:r>
              <w:rPr>
                <w:rFonts w:hint="eastAsia" w:ascii="宋体" w:hAnsi="宋体" w:eastAsia="宋体" w:cs="宋体"/>
                <w:bCs/>
                <w:color w:val="auto"/>
                <w:kern w:val="0"/>
                <w:sz w:val="24"/>
                <w:lang w:val="en-US" w:eastAsia="zh-CN"/>
              </w:rPr>
              <w:t>青海省西宁市城北区宁张路</w:t>
            </w:r>
          </w:p>
        </w:tc>
      </w:tr>
      <w:tr w14:paraId="7021153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188A210F">
            <w:pPr>
              <w:pStyle w:val="49"/>
              <w:spacing w:line="360" w:lineRule="auto"/>
              <w:jc w:val="left"/>
              <w:rPr>
                <w:rFonts w:ascii="宋体" w:hAnsi="宋体"/>
                <w:kern w:val="0"/>
                <w:sz w:val="24"/>
              </w:rPr>
            </w:pPr>
            <w:r>
              <w:rPr>
                <w:rFonts w:hint="eastAsia" w:ascii="宋体" w:hAnsi="宋体"/>
                <w:kern w:val="0"/>
                <w:sz w:val="24"/>
              </w:rPr>
              <w:t>采购代理机构及联系人电话</w:t>
            </w:r>
          </w:p>
        </w:tc>
        <w:tc>
          <w:tcPr>
            <w:tcW w:w="7725" w:type="dxa"/>
            <w:tcBorders>
              <w:top w:val="outset" w:color="000000" w:sz="6" w:space="0"/>
              <w:left w:val="outset" w:color="000000" w:sz="6" w:space="0"/>
              <w:bottom w:val="outset" w:color="000000" w:sz="6" w:space="0"/>
              <w:right w:val="outset" w:color="000000" w:sz="6" w:space="0"/>
            </w:tcBorders>
            <w:vAlign w:val="center"/>
          </w:tcPr>
          <w:p w14:paraId="6FCF094C">
            <w:p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采购代理机构：青海国焱工程项目管理有限公司</w:t>
            </w:r>
          </w:p>
          <w:p w14:paraId="0C008A3B">
            <w:pPr>
              <w:spacing w:line="360" w:lineRule="auto"/>
              <w:rPr>
                <w:rFonts w:hint="eastAsia" w:ascii="宋体" w:hAnsi="宋体" w:eastAsia="宋体"/>
                <w:color w:val="000000" w:themeColor="text1"/>
                <w:kern w:val="0"/>
                <w:sz w:val="24"/>
                <w:lang w:eastAsia="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联   系   人：</w:t>
            </w:r>
            <w:r>
              <w:rPr>
                <w:rFonts w:hint="eastAsia" w:ascii="宋体" w:hAnsi="宋体"/>
                <w:color w:val="000000" w:themeColor="text1"/>
                <w:kern w:val="0"/>
                <w:sz w:val="24"/>
                <w:lang w:val="en-US" w:eastAsia="zh-CN"/>
                <w14:textFill>
                  <w14:solidFill>
                    <w14:schemeClr w14:val="tx1"/>
                  </w14:solidFill>
                </w14:textFill>
              </w:rPr>
              <w:t>张女士</w:t>
            </w:r>
          </w:p>
          <w:p w14:paraId="4BB6E352">
            <w:p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联 系  电 话：0971-8456071</w:t>
            </w:r>
          </w:p>
          <w:p w14:paraId="508D7CA5">
            <w:p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邮        箱：qhgyzb@126.com</w:t>
            </w:r>
          </w:p>
          <w:p w14:paraId="1322D7A9">
            <w:pPr>
              <w:spacing w:line="360" w:lineRule="auto"/>
              <w:rPr>
                <w:rFonts w:hint="eastAsia" w:ascii="宋体" w:hAnsi="宋体" w:eastAsia="宋体"/>
                <w:color w:val="000000" w:themeColor="text1"/>
                <w:kern w:val="0"/>
                <w:sz w:val="24"/>
                <w:lang w:eastAsia="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联 系  地 址：</w:t>
            </w:r>
            <w:r>
              <w:rPr>
                <w:rFonts w:hint="eastAsia" w:ascii="宋体" w:hAnsi="宋体"/>
                <w:color w:val="000000" w:themeColor="text1"/>
                <w:kern w:val="0"/>
                <w:sz w:val="24"/>
                <w:lang w:eastAsia="zh-CN"/>
                <w14:textFill>
                  <w14:solidFill>
                    <w14:schemeClr w14:val="tx1"/>
                  </w14:solidFill>
                </w14:textFill>
              </w:rPr>
              <w:t>西宁市城西区盐湖巷6号10号楼（城西区总部经济大厦)16楼</w:t>
            </w:r>
          </w:p>
        </w:tc>
      </w:tr>
      <w:tr w14:paraId="5985AA3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39C7B228">
            <w:pPr>
              <w:pStyle w:val="49"/>
              <w:spacing w:line="360" w:lineRule="auto"/>
              <w:jc w:val="left"/>
              <w:rPr>
                <w:rFonts w:ascii="宋体" w:hAnsi="宋体"/>
                <w:kern w:val="0"/>
                <w:sz w:val="24"/>
              </w:rPr>
            </w:pPr>
            <w:r>
              <w:rPr>
                <w:rFonts w:hint="eastAsia" w:ascii="宋体" w:hAnsi="宋体"/>
                <w:kern w:val="0"/>
                <w:sz w:val="24"/>
              </w:rPr>
              <w:t>采购代理机构开户银行</w:t>
            </w:r>
          </w:p>
        </w:tc>
        <w:tc>
          <w:tcPr>
            <w:tcW w:w="7725" w:type="dxa"/>
            <w:tcBorders>
              <w:top w:val="outset" w:color="000000" w:sz="6" w:space="0"/>
              <w:left w:val="outset" w:color="000000" w:sz="6" w:space="0"/>
              <w:bottom w:val="outset" w:color="000000" w:sz="6" w:space="0"/>
              <w:right w:val="outset" w:color="000000" w:sz="6" w:space="0"/>
            </w:tcBorders>
            <w:vAlign w:val="center"/>
          </w:tcPr>
          <w:p w14:paraId="0F6397B0">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中国工商银行股份有限公司西宁五四大街支行</w:t>
            </w:r>
          </w:p>
        </w:tc>
      </w:tr>
      <w:tr w14:paraId="0640395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3C0BACCD">
            <w:pPr>
              <w:pStyle w:val="49"/>
              <w:spacing w:line="360" w:lineRule="auto"/>
              <w:jc w:val="left"/>
              <w:rPr>
                <w:rFonts w:ascii="宋体" w:hAnsi="宋体"/>
                <w:kern w:val="0"/>
                <w:sz w:val="24"/>
              </w:rPr>
            </w:pPr>
            <w:r>
              <w:rPr>
                <w:rFonts w:hint="eastAsia" w:ascii="宋体" w:hAnsi="宋体"/>
                <w:kern w:val="0"/>
                <w:sz w:val="24"/>
              </w:rPr>
              <w:t>收款人</w:t>
            </w:r>
          </w:p>
        </w:tc>
        <w:tc>
          <w:tcPr>
            <w:tcW w:w="7725" w:type="dxa"/>
            <w:tcBorders>
              <w:top w:val="outset" w:color="000000" w:sz="6" w:space="0"/>
              <w:left w:val="outset" w:color="000000" w:sz="6" w:space="0"/>
              <w:bottom w:val="outset" w:color="000000" w:sz="6" w:space="0"/>
              <w:right w:val="outset" w:color="000000" w:sz="6" w:space="0"/>
            </w:tcBorders>
            <w:vAlign w:val="center"/>
          </w:tcPr>
          <w:p w14:paraId="2A697AA8">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青海国焱工程项目管理有限公司</w:t>
            </w:r>
          </w:p>
        </w:tc>
      </w:tr>
      <w:tr w14:paraId="6A78211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5AA36930">
            <w:pPr>
              <w:pStyle w:val="49"/>
              <w:spacing w:line="360" w:lineRule="auto"/>
              <w:jc w:val="left"/>
              <w:rPr>
                <w:rFonts w:ascii="宋体" w:hAnsi="宋体"/>
                <w:kern w:val="0"/>
                <w:sz w:val="24"/>
              </w:rPr>
            </w:pPr>
            <w:r>
              <w:rPr>
                <w:rFonts w:hint="eastAsia" w:ascii="宋体" w:hAnsi="宋体"/>
                <w:kern w:val="0"/>
                <w:sz w:val="24"/>
              </w:rPr>
              <w:t>银行账号</w:t>
            </w:r>
          </w:p>
        </w:tc>
        <w:tc>
          <w:tcPr>
            <w:tcW w:w="7725" w:type="dxa"/>
            <w:tcBorders>
              <w:top w:val="outset" w:color="000000" w:sz="6" w:space="0"/>
              <w:left w:val="outset" w:color="000000" w:sz="6" w:space="0"/>
              <w:bottom w:val="outset" w:color="000000" w:sz="6" w:space="0"/>
              <w:right w:val="outset" w:color="000000" w:sz="6" w:space="0"/>
            </w:tcBorders>
            <w:vAlign w:val="center"/>
          </w:tcPr>
          <w:p w14:paraId="5051F572">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2806001309000043259（开户行号：102851000139）</w:t>
            </w:r>
          </w:p>
        </w:tc>
      </w:tr>
      <w:tr w14:paraId="793A158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34" w:hRule="atLeast"/>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1A22C369">
            <w:pPr>
              <w:pStyle w:val="49"/>
              <w:spacing w:line="360"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其他事项</w:t>
            </w:r>
          </w:p>
        </w:tc>
        <w:tc>
          <w:tcPr>
            <w:tcW w:w="7725" w:type="dxa"/>
            <w:tcBorders>
              <w:top w:val="outset" w:color="000000" w:sz="6" w:space="0"/>
              <w:left w:val="outset" w:color="000000" w:sz="6" w:space="0"/>
              <w:bottom w:val="outset" w:color="000000" w:sz="6" w:space="0"/>
              <w:right w:val="outset" w:color="000000" w:sz="6" w:space="0"/>
            </w:tcBorders>
            <w:vAlign w:val="center"/>
          </w:tcPr>
          <w:p w14:paraId="093B32A4">
            <w:pPr>
              <w:pStyle w:val="89"/>
              <w:numPr>
                <w:ilvl w:val="0"/>
                <w:numId w:val="0"/>
              </w:numPr>
              <w:spacing w:line="360" w:lineRule="auto"/>
              <w:ind w:leftChars="0"/>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本公告于《青海大学官网》、《青海项目信息网》、《青海省电子招投标公共服务平台》同时发布。</w:t>
            </w:r>
          </w:p>
        </w:tc>
      </w:tr>
      <w:tr w14:paraId="5B1725A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5C93AE03">
            <w:pPr>
              <w:autoSpaceDE w:val="0"/>
              <w:autoSpaceDN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监督部门及电话</w:t>
            </w:r>
          </w:p>
        </w:tc>
        <w:tc>
          <w:tcPr>
            <w:tcW w:w="7725" w:type="dxa"/>
            <w:tcBorders>
              <w:top w:val="outset" w:color="000000" w:sz="6" w:space="0"/>
              <w:left w:val="outset" w:color="000000" w:sz="6" w:space="0"/>
              <w:bottom w:val="outset" w:color="000000" w:sz="6" w:space="0"/>
              <w:right w:val="outset" w:color="000000" w:sz="6" w:space="0"/>
            </w:tcBorders>
            <w:vAlign w:val="center"/>
          </w:tcPr>
          <w:p w14:paraId="7AD78503">
            <w:pPr>
              <w:autoSpaceDE w:val="0"/>
              <w:autoSpaceDN w:val="0"/>
              <w:spacing w:line="360" w:lineRule="auto"/>
              <w:jc w:val="left"/>
              <w:rPr>
                <w:rFonts w:hint="eastAsia" w:ascii="宋体" w:hAnsi="宋体" w:cs="宋体"/>
                <w:color w:val="auto"/>
                <w:sz w:val="24"/>
              </w:rPr>
            </w:pPr>
            <w:r>
              <w:rPr>
                <w:rFonts w:hint="eastAsia" w:ascii="宋体" w:hAnsi="宋体" w:cs="宋体"/>
                <w:color w:val="auto"/>
                <w:sz w:val="24"/>
              </w:rPr>
              <w:t>监督单位：</w:t>
            </w:r>
            <w:r>
              <w:rPr>
                <w:rFonts w:hint="eastAsia" w:ascii="宋体" w:hAnsi="宋体" w:cs="宋体"/>
                <w:color w:val="auto"/>
                <w:sz w:val="24"/>
                <w:lang w:eastAsia="zh-CN"/>
              </w:rPr>
              <w:t>青海大学招标领导小组办公室</w:t>
            </w:r>
          </w:p>
          <w:p w14:paraId="74E5B96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auto"/>
                <w:sz w:val="24"/>
              </w:rPr>
              <w:t>联系电话：0971-5209383</w:t>
            </w:r>
          </w:p>
        </w:tc>
      </w:tr>
    </w:tbl>
    <w:p w14:paraId="5096D0D5">
      <w:pPr>
        <w:adjustRightInd w:val="0"/>
        <w:spacing w:line="360" w:lineRule="auto"/>
        <w:jc w:val="right"/>
        <w:textAlignment w:val="baseline"/>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青海国焱工程项目管理有限公司</w:t>
      </w:r>
    </w:p>
    <w:bookmarkEnd w:id="3"/>
    <w:bookmarkEnd w:id="4"/>
    <w:p w14:paraId="2E639E63">
      <w:pPr>
        <w:adjustRightInd w:val="0"/>
        <w:spacing w:line="360" w:lineRule="auto"/>
        <w:jc w:val="right"/>
        <w:textAlignment w:val="baseline"/>
        <w:outlineLvl w:val="0"/>
        <w:rPr>
          <w:rFonts w:ascii="宋体" w:hAnsi="宋体"/>
          <w:color w:val="FF0000"/>
          <w:sz w:val="24"/>
        </w:rPr>
      </w:pPr>
      <w:r>
        <w:rPr>
          <w:rFonts w:hint="eastAsia" w:ascii="宋体" w:hAnsi="宋体"/>
          <w:color w:val="000000" w:themeColor="text1"/>
          <w:sz w:val="24"/>
          <w14:textFill>
            <w14:solidFill>
              <w14:schemeClr w14:val="tx1"/>
            </w14:solidFill>
          </w14:textFill>
        </w:rPr>
        <w:t>202</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07</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29</w:t>
      </w:r>
      <w:r>
        <w:rPr>
          <w:rFonts w:hint="eastAsia" w:ascii="宋体" w:hAnsi="宋体"/>
          <w:color w:val="000000" w:themeColor="text1"/>
          <w:sz w:val="24"/>
          <w14:textFill>
            <w14:solidFill>
              <w14:schemeClr w14:val="tx1"/>
            </w14:solidFill>
          </w14:textFill>
        </w:rPr>
        <w:t>日</w:t>
      </w:r>
    </w:p>
    <w:p w14:paraId="58013859">
      <w:pPr>
        <w:rPr>
          <w:rFonts w:ascii="宋体" w:hAnsi="宋体"/>
          <w:sz w:val="24"/>
        </w:rPr>
      </w:pPr>
      <w:r>
        <w:rPr>
          <w:rFonts w:ascii="宋体" w:hAnsi="宋体"/>
          <w:sz w:val="24"/>
        </w:rPr>
        <w:br w:type="page"/>
      </w:r>
    </w:p>
    <w:p w14:paraId="60D949C5">
      <w:pPr>
        <w:pStyle w:val="24"/>
        <w:rPr>
          <w:sz w:val="48"/>
          <w:szCs w:val="48"/>
        </w:rPr>
      </w:pPr>
      <w:bookmarkStart w:id="5" w:name="_Toc444715733"/>
      <w:bookmarkStart w:id="6" w:name="_Toc23093"/>
      <w:r>
        <w:rPr>
          <w:rFonts w:hint="eastAsia"/>
          <w:sz w:val="48"/>
          <w:szCs w:val="48"/>
        </w:rPr>
        <w:t>第二部分  磋商供应商须知前附表</w:t>
      </w:r>
      <w:bookmarkEnd w:id="5"/>
      <w:bookmarkEnd w:id="6"/>
    </w:p>
    <w:tbl>
      <w:tblPr>
        <w:tblStyle w:val="33"/>
        <w:tblW w:w="10433" w:type="dxa"/>
        <w:jc w:val="center"/>
        <w:tblLayout w:type="fixed"/>
        <w:tblCellMar>
          <w:top w:w="0" w:type="dxa"/>
          <w:left w:w="57" w:type="dxa"/>
          <w:bottom w:w="0" w:type="dxa"/>
          <w:right w:w="57" w:type="dxa"/>
        </w:tblCellMar>
      </w:tblPr>
      <w:tblGrid>
        <w:gridCol w:w="653"/>
        <w:gridCol w:w="2098"/>
        <w:gridCol w:w="7682"/>
      </w:tblGrid>
      <w:tr w14:paraId="35F5211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A3B4D19">
            <w:pPr>
              <w:autoSpaceDE w:val="0"/>
              <w:autoSpaceDN w:val="0"/>
              <w:spacing w:line="360" w:lineRule="auto"/>
              <w:jc w:val="center"/>
              <w:rPr>
                <w:rFonts w:ascii="宋体" w:hAnsi="宋体" w:cs="宋体"/>
                <w:kern w:val="0"/>
                <w:sz w:val="24"/>
                <w:lang w:val="zh-CN"/>
              </w:rPr>
            </w:pPr>
            <w:r>
              <w:rPr>
                <w:rFonts w:hint="eastAsia" w:ascii="宋体" w:hAnsi="宋体" w:cs="宋体"/>
                <w:bCs/>
                <w:kern w:val="0"/>
                <w:sz w:val="24"/>
                <w:lang w:val="zh-CN"/>
              </w:rPr>
              <w:t>序号</w:t>
            </w:r>
          </w:p>
        </w:tc>
        <w:tc>
          <w:tcPr>
            <w:tcW w:w="9780"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37DEFCB7">
            <w:pPr>
              <w:autoSpaceDE w:val="0"/>
              <w:autoSpaceDN w:val="0"/>
              <w:spacing w:line="360" w:lineRule="auto"/>
              <w:jc w:val="center"/>
              <w:rPr>
                <w:rFonts w:ascii="宋体" w:hAnsi="宋体" w:cs="宋体"/>
                <w:kern w:val="0"/>
                <w:sz w:val="24"/>
                <w:lang w:val="zh-CN"/>
              </w:rPr>
            </w:pPr>
            <w:r>
              <w:rPr>
                <w:rFonts w:hint="eastAsia" w:ascii="宋体" w:hAnsi="宋体" w:cs="宋体"/>
                <w:bCs/>
                <w:kern w:val="0"/>
                <w:sz w:val="24"/>
                <w:lang w:val="zh-CN"/>
              </w:rPr>
              <w:t>内容</w:t>
            </w:r>
          </w:p>
        </w:tc>
      </w:tr>
      <w:tr w14:paraId="147FB12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9FEDF1">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28AC308">
            <w:pPr>
              <w:autoSpaceDE w:val="0"/>
              <w:autoSpaceDN w:val="0"/>
              <w:spacing w:line="360" w:lineRule="auto"/>
              <w:rPr>
                <w:rFonts w:ascii="宋体" w:hAnsi="宋体" w:cs="宋体"/>
                <w:bCs/>
                <w:kern w:val="0"/>
                <w:sz w:val="24"/>
                <w:lang w:val="zh-CN"/>
              </w:rPr>
            </w:pPr>
            <w:r>
              <w:rPr>
                <w:rFonts w:hint="eastAsia" w:ascii="宋体" w:hAnsi="宋体" w:cs="宋体"/>
                <w:bCs/>
                <w:kern w:val="0"/>
                <w:sz w:val="24"/>
                <w:lang w:val="zh-CN"/>
              </w:rPr>
              <w:t>采购项目名称</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5EB55487">
            <w:pPr>
              <w:autoSpaceDE w:val="0"/>
              <w:autoSpaceDN w:val="0"/>
              <w:spacing w:line="360" w:lineRule="auto"/>
              <w:rPr>
                <w:rFonts w:ascii="宋体" w:hAnsi="宋体" w:cs="宋体"/>
                <w:kern w:val="0"/>
                <w:sz w:val="24"/>
                <w:lang w:val="zh-CN"/>
              </w:rPr>
            </w:pPr>
            <w:r>
              <w:rPr>
                <w:rFonts w:hint="eastAsia" w:ascii="宋体" w:hAnsi="宋体" w:cs="宋体"/>
                <w:sz w:val="24"/>
                <w:lang w:val="zh-CN"/>
              </w:rPr>
              <w:t>丁香园(清真)后厨设备</w:t>
            </w:r>
          </w:p>
        </w:tc>
      </w:tr>
      <w:tr w14:paraId="1E1A968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4DD84A">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8BE33A">
            <w:pPr>
              <w:autoSpaceDE w:val="0"/>
              <w:autoSpaceDN w:val="0"/>
              <w:spacing w:line="360" w:lineRule="auto"/>
              <w:rPr>
                <w:rFonts w:ascii="宋体" w:hAnsi="宋体" w:cs="宋体"/>
                <w:bCs/>
                <w:kern w:val="0"/>
                <w:sz w:val="24"/>
                <w:lang w:val="zh-CN"/>
              </w:rPr>
            </w:pPr>
            <w:r>
              <w:rPr>
                <w:rFonts w:hint="eastAsia" w:ascii="宋体" w:hAnsi="宋体" w:cs="宋体"/>
                <w:bCs/>
                <w:kern w:val="0"/>
                <w:sz w:val="24"/>
                <w:lang w:val="zh-CN"/>
              </w:rPr>
              <w:t>采购项目编号</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7EC91367">
            <w:pPr>
              <w:autoSpaceDE w:val="0"/>
              <w:autoSpaceDN w:val="0"/>
              <w:spacing w:line="360" w:lineRule="auto"/>
              <w:rPr>
                <w:rFonts w:ascii="宋体" w:hAnsi="宋体" w:cs="宋体"/>
                <w:bCs/>
                <w:kern w:val="0"/>
                <w:sz w:val="24"/>
                <w:lang w:val="zh-CN"/>
              </w:rPr>
            </w:pPr>
            <w:r>
              <w:rPr>
                <w:rFonts w:hint="eastAsia" w:ascii="宋体" w:hAnsi="宋体" w:cs="宋体"/>
                <w:bCs/>
                <w:kern w:val="0"/>
                <w:sz w:val="24"/>
                <w:lang w:val="zh-CN"/>
              </w:rPr>
              <w:t>青海国焱竞磋（货物）2024-234号</w:t>
            </w:r>
          </w:p>
        </w:tc>
      </w:tr>
      <w:tr w14:paraId="4DF47ED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7E8B0C6">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A44E5C">
            <w:pPr>
              <w:autoSpaceDE w:val="0"/>
              <w:autoSpaceDN w:val="0"/>
              <w:spacing w:line="360" w:lineRule="auto"/>
              <w:rPr>
                <w:rFonts w:ascii="宋体" w:hAnsi="宋体" w:cs="宋体"/>
                <w:bCs/>
                <w:kern w:val="0"/>
                <w:sz w:val="24"/>
                <w:lang w:val="zh-CN"/>
              </w:rPr>
            </w:pPr>
            <w:r>
              <w:rPr>
                <w:rFonts w:hint="eastAsia" w:ascii="宋体" w:hAnsi="宋体" w:cs="宋体"/>
                <w:bCs/>
                <w:kern w:val="0"/>
                <w:sz w:val="24"/>
                <w:lang w:val="zh-CN"/>
              </w:rPr>
              <w:t>采购单位</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4B49ED9D">
            <w:pPr>
              <w:autoSpaceDE w:val="0"/>
              <w:autoSpaceDN w:val="0"/>
              <w:spacing w:line="360" w:lineRule="auto"/>
              <w:rPr>
                <w:rFonts w:ascii="宋体" w:hAnsi="宋体" w:cs="宋体"/>
                <w:bCs/>
                <w:kern w:val="0"/>
                <w:sz w:val="24"/>
                <w:lang w:val="zh-CN"/>
              </w:rPr>
            </w:pPr>
            <w:r>
              <w:rPr>
                <w:rFonts w:hint="eastAsia" w:ascii="宋体" w:hAnsi="宋体" w:cs="宋体"/>
                <w:bCs/>
                <w:kern w:val="0"/>
                <w:sz w:val="24"/>
                <w:lang w:val="zh-CN"/>
              </w:rPr>
              <w:t>青海大学科技教育集团有限公司后勤服务分公司</w:t>
            </w:r>
          </w:p>
        </w:tc>
      </w:tr>
      <w:tr w14:paraId="722278E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44B0EE">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BDE7C2">
            <w:pPr>
              <w:autoSpaceDE w:val="0"/>
              <w:autoSpaceDN w:val="0"/>
              <w:spacing w:line="360" w:lineRule="auto"/>
              <w:rPr>
                <w:rFonts w:ascii="宋体" w:hAnsi="宋体" w:cs="宋体"/>
                <w:bCs/>
                <w:kern w:val="0"/>
                <w:sz w:val="24"/>
                <w:lang w:val="zh-CN"/>
              </w:rPr>
            </w:pPr>
            <w:r>
              <w:rPr>
                <w:rFonts w:hint="eastAsia" w:ascii="宋体" w:hAnsi="宋体" w:cs="宋体"/>
                <w:bCs/>
                <w:kern w:val="0"/>
                <w:sz w:val="24"/>
                <w:lang w:val="zh-CN"/>
              </w:rPr>
              <w:t>采购代理机构</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2DD1956C">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青海国焱工程项目管理有限公司</w:t>
            </w:r>
          </w:p>
        </w:tc>
      </w:tr>
      <w:tr w14:paraId="7164E83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5959E17">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22F38E4">
            <w:pPr>
              <w:autoSpaceDE w:val="0"/>
              <w:autoSpaceDN w:val="0"/>
              <w:spacing w:line="360" w:lineRule="auto"/>
              <w:rPr>
                <w:rFonts w:ascii="宋体" w:hAnsi="宋体" w:cs="宋体"/>
                <w:bCs/>
                <w:kern w:val="0"/>
                <w:sz w:val="24"/>
                <w:lang w:val="zh-CN"/>
              </w:rPr>
            </w:pPr>
            <w:r>
              <w:rPr>
                <w:rFonts w:hint="eastAsia" w:ascii="宋体" w:hAnsi="宋体" w:cs="宋体"/>
                <w:bCs/>
                <w:kern w:val="0"/>
                <w:sz w:val="24"/>
                <w:lang w:val="zh-CN"/>
              </w:rPr>
              <w:t>采购方式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3C214182">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竞争性磋商</w:t>
            </w:r>
          </w:p>
        </w:tc>
      </w:tr>
      <w:tr w14:paraId="41BA1E9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2A6750">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D1799E8">
            <w:pPr>
              <w:autoSpaceDE w:val="0"/>
              <w:autoSpaceDN w:val="0"/>
              <w:spacing w:line="360" w:lineRule="auto"/>
              <w:rPr>
                <w:rFonts w:ascii="宋体" w:hAnsi="宋体" w:cs="宋体"/>
                <w:bCs/>
                <w:kern w:val="0"/>
                <w:sz w:val="24"/>
                <w:lang w:val="zh-CN"/>
              </w:rPr>
            </w:pPr>
            <w:r>
              <w:rPr>
                <w:rFonts w:hint="eastAsia" w:ascii="宋体" w:hAnsi="宋体" w:cs="宋体"/>
                <w:bCs/>
                <w:kern w:val="0"/>
                <w:sz w:val="24"/>
                <w:lang w:val="zh-CN"/>
              </w:rPr>
              <w:t>评分办法</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1792EF58">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综合评分法</w:t>
            </w:r>
          </w:p>
        </w:tc>
      </w:tr>
      <w:tr w14:paraId="2EEE011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D7032CF">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2DEB4F2">
            <w:pPr>
              <w:autoSpaceDE w:val="0"/>
              <w:autoSpaceDN w:val="0"/>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采购预算控制额度</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D35C1B4">
            <w:pPr>
              <w:spacing w:line="360" w:lineRule="auto"/>
              <w:rPr>
                <w:rFonts w:hint="eastAsia" w:ascii="宋体" w:hAnsi="宋体" w:eastAsia="宋体" w:cs="宋体"/>
                <w:color w:val="auto"/>
                <w:kern w:val="0"/>
                <w:sz w:val="24"/>
                <w:lang w:val="zh-CN" w:eastAsia="zh-CN"/>
              </w:rPr>
            </w:pPr>
            <w:r>
              <w:rPr>
                <w:rFonts w:hint="eastAsia" w:ascii="宋体" w:hAnsi="宋体" w:cs="宋体"/>
                <w:color w:val="auto"/>
                <w:sz w:val="24"/>
                <w:lang w:eastAsia="zh-CN"/>
              </w:rPr>
              <w:t>人民币300,000.00元整</w:t>
            </w:r>
          </w:p>
        </w:tc>
      </w:tr>
      <w:tr w14:paraId="33B5516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BFB669E">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E012AA">
            <w:pPr>
              <w:autoSpaceDE w:val="0"/>
              <w:autoSpaceDN w:val="0"/>
              <w:spacing w:line="360" w:lineRule="auto"/>
              <w:rPr>
                <w:rFonts w:ascii="宋体" w:hAnsi="宋体" w:cs="宋体"/>
                <w:bCs/>
                <w:kern w:val="0"/>
                <w:sz w:val="24"/>
                <w:lang w:val="zh-CN"/>
              </w:rPr>
            </w:pPr>
            <w:r>
              <w:rPr>
                <w:rFonts w:hint="eastAsia" w:ascii="宋体" w:hAnsi="宋体" w:cs="宋体"/>
                <w:bCs/>
                <w:kern w:val="0"/>
                <w:sz w:val="24"/>
                <w:lang w:val="zh-CN"/>
              </w:rPr>
              <w:t>项目分包个数</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DB66DE1">
            <w:pPr>
              <w:spacing w:line="360" w:lineRule="auto"/>
              <w:rPr>
                <w:rFonts w:ascii="宋体" w:hAnsi="宋体" w:cs="宋体"/>
                <w:kern w:val="0"/>
                <w:sz w:val="24"/>
                <w:lang w:val="zh-CN"/>
              </w:rPr>
            </w:pPr>
            <w:r>
              <w:rPr>
                <w:rFonts w:hint="eastAsia" w:ascii="宋体" w:hAnsi="宋体"/>
                <w:kern w:val="0"/>
                <w:sz w:val="24"/>
              </w:rPr>
              <w:t>无</w:t>
            </w:r>
          </w:p>
        </w:tc>
      </w:tr>
      <w:tr w14:paraId="4D79856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55EA4B">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BE6864F">
            <w:pPr>
              <w:autoSpaceDE w:val="0"/>
              <w:autoSpaceDN w:val="0"/>
              <w:spacing w:line="360" w:lineRule="auto"/>
              <w:rPr>
                <w:rFonts w:ascii="宋体" w:hAnsi="宋体" w:cs="宋体"/>
                <w:bCs/>
                <w:kern w:val="0"/>
                <w:sz w:val="24"/>
                <w:lang w:val="zh-CN"/>
              </w:rPr>
            </w:pPr>
            <w:r>
              <w:rPr>
                <w:rFonts w:hint="eastAsia" w:ascii="宋体" w:hAnsi="宋体" w:cs="宋体"/>
                <w:bCs/>
                <w:kern w:val="0"/>
                <w:sz w:val="24"/>
                <w:lang w:val="zh-CN"/>
              </w:rPr>
              <w:t>采购要求</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7969A02">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详见磋商文件“第六部分 采购项目要求及技术参数”</w:t>
            </w:r>
          </w:p>
        </w:tc>
      </w:tr>
      <w:tr w14:paraId="4A1D8F0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0FDC1A8">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0942CF6">
            <w:pPr>
              <w:autoSpaceDE w:val="0"/>
              <w:autoSpaceDN w:val="0"/>
              <w:spacing w:line="360" w:lineRule="auto"/>
              <w:rPr>
                <w:rFonts w:ascii="宋体" w:hAnsi="宋体" w:cs="宋体"/>
                <w:bCs/>
                <w:kern w:val="0"/>
                <w:sz w:val="24"/>
                <w:lang w:val="zh-CN"/>
              </w:rPr>
            </w:pPr>
            <w:r>
              <w:rPr>
                <w:rFonts w:hint="eastAsia" w:ascii="宋体" w:hAnsi="宋体" w:cs="宋体"/>
                <w:sz w:val="24"/>
              </w:rPr>
              <w:t>磋商供应商</w:t>
            </w:r>
            <w:r>
              <w:rPr>
                <w:rFonts w:hint="eastAsia" w:ascii="宋体" w:hAnsi="宋体" w:cs="宋体"/>
                <w:bCs/>
                <w:kern w:val="0"/>
                <w:sz w:val="24"/>
                <w:lang w:val="zh-CN"/>
              </w:rPr>
              <w:t>资格条件</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05C41812">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1.符合《政府采购法》第22条条件，并提供下列材料：</w:t>
            </w:r>
          </w:p>
          <w:p w14:paraId="200A1E7B">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&lt;1&gt;磋商人的营业执照等证明文件，自然人的身份证明。</w:t>
            </w:r>
          </w:p>
          <w:p w14:paraId="51F40334">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&lt;2&gt;财务状况报告，依法缴纳税收和社会保障资金的相关材料。</w:t>
            </w:r>
          </w:p>
          <w:p w14:paraId="38D0278F">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&lt;3&gt;具备履行合同所必需的设备和专业技术能力的证明材料。</w:t>
            </w:r>
          </w:p>
          <w:p w14:paraId="49A79340">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&lt;4&gt;参加政府采购活动前3年内在经营活动中没有重大违法记录的书面声明。</w:t>
            </w:r>
          </w:p>
          <w:p w14:paraId="44C39098">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&lt;5&gt;具备法律、行政法规规定的其他条件的证明材料。</w:t>
            </w:r>
          </w:p>
          <w:p w14:paraId="1D973A23">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2.单位负责人为同一人或者存在直接控股、管理关系的不同磋商人，不得参加同一合同项下的政府采购活动。否则，皆取消投标资格；</w:t>
            </w:r>
          </w:p>
          <w:p w14:paraId="516727D0">
            <w:pPr>
              <w:autoSpaceDE w:val="0"/>
              <w:autoSpaceDN w:val="0"/>
              <w:spacing w:line="360" w:lineRule="auto"/>
              <w:rPr>
                <w:rFonts w:ascii="宋体" w:hAnsi="宋体"/>
                <w:kern w:val="0"/>
                <w:sz w:val="24"/>
              </w:rPr>
            </w:pPr>
            <w:r>
              <w:rPr>
                <w:rFonts w:hint="eastAsia" w:ascii="宋体" w:hAnsi="宋体" w:cs="宋体"/>
                <w:kern w:val="0"/>
                <w:sz w:val="24"/>
                <w:lang w:val="zh-CN"/>
              </w:rPr>
              <w:t>3.</w:t>
            </w:r>
            <w:r>
              <w:rPr>
                <w:rFonts w:hint="eastAsia" w:ascii="宋体" w:hAnsi="宋体"/>
                <w:kern w:val="0"/>
                <w:sz w:val="24"/>
              </w:rPr>
              <w:t>符合、承认并承诺履行本招标文件各项规定，所提供的货物和服务须在我国境内合法生产销售的；</w:t>
            </w:r>
          </w:p>
          <w:p w14:paraId="3382F471">
            <w:pPr>
              <w:autoSpaceDE w:val="0"/>
              <w:autoSpaceDN w:val="0"/>
              <w:spacing w:line="360" w:lineRule="auto"/>
              <w:rPr>
                <w:rFonts w:ascii="宋体" w:hAnsi="宋体" w:cs="宋体"/>
                <w:kern w:val="0"/>
                <w:sz w:val="24"/>
              </w:rPr>
            </w:pPr>
            <w:r>
              <w:rPr>
                <w:rFonts w:hint="eastAsia" w:ascii="宋体" w:hAnsi="宋体"/>
                <w:kern w:val="0"/>
                <w:sz w:val="24"/>
              </w:rPr>
              <w:t>4</w:t>
            </w:r>
            <w:r>
              <w:rPr>
                <w:rFonts w:hint="eastAsia" w:ascii="宋体" w:hAnsi="宋体" w:cs="宋体"/>
                <w:kern w:val="0"/>
                <w:sz w:val="24"/>
              </w:rPr>
              <w:t>.</w:t>
            </w:r>
            <w:r>
              <w:rPr>
                <w:rFonts w:hint="eastAsia" w:ascii="宋体" w:hAnsi="宋体" w:cs="宋体"/>
                <w:kern w:val="0"/>
                <w:sz w:val="24"/>
                <w:lang w:val="zh-CN"/>
              </w:rPr>
              <w:t>经信用中</w:t>
            </w:r>
            <w:r>
              <w:rPr>
                <w:rFonts w:hint="eastAsia" w:ascii="宋体" w:hAnsi="宋体"/>
                <w:kern w:val="0"/>
                <w:sz w:val="24"/>
              </w:rPr>
              <w:t>国（www.creditchina.gov.cn）、中国政府采购网（www.ccgp.gov.cn）等渠道查询后，列入失信被执行人、</w:t>
            </w:r>
            <w:r>
              <w:rPr>
                <w:rFonts w:hint="eastAsia" w:ascii="宋体" w:hAnsi="宋体" w:eastAsia="宋体" w:cs="宋体"/>
                <w:kern w:val="2"/>
                <w:sz w:val="24"/>
                <w:szCs w:val="24"/>
                <w:lang w:val="zh-CN" w:eastAsia="zh-CN" w:bidi="ar-SA"/>
              </w:rPr>
              <w:t>重大税收违法失信主体</w:t>
            </w:r>
            <w:r>
              <w:rPr>
                <w:rFonts w:hint="eastAsia" w:ascii="宋体" w:hAnsi="宋体"/>
                <w:kern w:val="0"/>
                <w:sz w:val="24"/>
              </w:rPr>
              <w:t>、政府采购严重违法失信行为记录名单的，取消投标资格(提供“信用中国”网站的查询截图)</w:t>
            </w:r>
            <w:r>
              <w:rPr>
                <w:rFonts w:hint="eastAsia" w:ascii="宋体" w:hAnsi="宋体" w:cs="宋体"/>
                <w:kern w:val="0"/>
                <w:sz w:val="24"/>
              </w:rPr>
              <w:t>；</w:t>
            </w:r>
          </w:p>
          <w:p w14:paraId="724D0AA5">
            <w:pPr>
              <w:autoSpaceDE w:val="0"/>
              <w:autoSpaceDN w:val="0"/>
              <w:spacing w:line="360" w:lineRule="auto"/>
              <w:rPr>
                <w:rFonts w:ascii="宋体" w:hAnsi="宋体"/>
                <w:kern w:val="0"/>
                <w:sz w:val="24"/>
              </w:rPr>
            </w:pPr>
            <w:r>
              <w:rPr>
                <w:rFonts w:hint="eastAsia" w:ascii="宋体" w:hAnsi="宋体" w:cs="宋体"/>
                <w:kern w:val="0"/>
                <w:sz w:val="24"/>
                <w:lang w:val="zh-CN"/>
              </w:rPr>
              <w:t>5.本项目不接受磋商人以联合体方式进行投标。</w:t>
            </w:r>
          </w:p>
        </w:tc>
      </w:tr>
      <w:tr w14:paraId="5B92DB19">
        <w:tblPrEx>
          <w:tblCellMar>
            <w:top w:w="0" w:type="dxa"/>
            <w:left w:w="57" w:type="dxa"/>
            <w:bottom w:w="0" w:type="dxa"/>
            <w:right w:w="57" w:type="dxa"/>
          </w:tblCellMar>
        </w:tblPrEx>
        <w:trPr>
          <w:trHeight w:val="552" w:hRule="atLeast"/>
          <w:jc w:val="center"/>
        </w:trPr>
        <w:tc>
          <w:tcPr>
            <w:tcW w:w="653" w:type="dxa"/>
            <w:tcBorders>
              <w:top w:val="single" w:color="000000" w:sz="6" w:space="0"/>
              <w:left w:val="single" w:color="000000" w:sz="6" w:space="0"/>
              <w:right w:val="single" w:color="000000" w:sz="6" w:space="0"/>
            </w:tcBorders>
            <w:shd w:val="clear" w:color="000000" w:fill="FFFFFF"/>
            <w:vAlign w:val="center"/>
          </w:tcPr>
          <w:p w14:paraId="75E0E69B">
            <w:pPr>
              <w:numPr>
                <w:ilvl w:val="0"/>
                <w:numId w:val="2"/>
              </w:numPr>
              <w:autoSpaceDE w:val="0"/>
              <w:autoSpaceDN w:val="0"/>
              <w:spacing w:line="360" w:lineRule="auto"/>
              <w:jc w:val="center"/>
              <w:rPr>
                <w:rFonts w:ascii="宋体" w:hAnsi="宋体" w:cs="宋体"/>
                <w:bCs/>
                <w:kern w:val="0"/>
                <w:sz w:val="24"/>
              </w:rPr>
            </w:pPr>
          </w:p>
        </w:tc>
        <w:tc>
          <w:tcPr>
            <w:tcW w:w="2098" w:type="dxa"/>
            <w:tcBorders>
              <w:top w:val="single" w:color="000000" w:sz="6" w:space="0"/>
              <w:left w:val="single" w:color="000000" w:sz="6" w:space="0"/>
              <w:right w:val="single" w:color="000000" w:sz="6" w:space="0"/>
            </w:tcBorders>
            <w:shd w:val="clear" w:color="000000" w:fill="FFFFFF"/>
            <w:vAlign w:val="center"/>
          </w:tcPr>
          <w:p w14:paraId="742297B8">
            <w:pPr>
              <w:autoSpaceDE w:val="0"/>
              <w:autoSpaceDN w:val="0"/>
              <w:spacing w:line="360" w:lineRule="auto"/>
              <w:rPr>
                <w:rFonts w:ascii="宋体" w:hAnsi="宋体" w:cs="宋体"/>
                <w:bCs/>
                <w:kern w:val="0"/>
                <w:sz w:val="24"/>
                <w:lang w:val="zh-CN"/>
              </w:rPr>
            </w:pPr>
            <w:r>
              <w:rPr>
                <w:rFonts w:hint="eastAsia" w:ascii="宋体" w:hAnsi="宋体" w:cs="宋体"/>
                <w:bCs/>
                <w:kern w:val="0"/>
                <w:sz w:val="24"/>
                <w:lang w:val="zh-CN"/>
              </w:rPr>
              <w:t>磋商保证金</w:t>
            </w:r>
          </w:p>
        </w:tc>
        <w:tc>
          <w:tcPr>
            <w:tcW w:w="7682" w:type="dxa"/>
            <w:tcBorders>
              <w:top w:val="single" w:color="000000" w:sz="6" w:space="0"/>
              <w:left w:val="single" w:color="000000" w:sz="6" w:space="0"/>
              <w:right w:val="single" w:color="000000" w:sz="6" w:space="0"/>
            </w:tcBorders>
            <w:shd w:val="clear" w:color="000000" w:fill="FFFFFF"/>
          </w:tcPr>
          <w:p w14:paraId="76DD37F1">
            <w:pPr>
              <w:pStyle w:val="49"/>
              <w:spacing w:line="360" w:lineRule="auto"/>
              <w:rPr>
                <w:rFonts w:ascii="宋体" w:hAnsi="宋体" w:cs="宋体"/>
                <w:bCs/>
                <w:color w:val="000000" w:themeColor="text1"/>
                <w:kern w:val="0"/>
                <w:sz w:val="24"/>
                <w:lang w:val="zh-CN"/>
                <w14:textFill>
                  <w14:solidFill>
                    <w14:schemeClr w14:val="tx1"/>
                  </w14:solidFill>
                </w14:textFill>
              </w:rPr>
            </w:pPr>
            <w:bookmarkStart w:id="7" w:name="_Toc421873478"/>
            <w:bookmarkStart w:id="8" w:name="_Toc435175539"/>
            <w:bookmarkStart w:id="9" w:name="_Toc444762753"/>
            <w:bookmarkStart w:id="10" w:name="_Toc435176391"/>
            <w:r>
              <w:rPr>
                <w:rFonts w:ascii="宋体" w:hAnsi="宋体" w:cs="宋体"/>
                <w:bCs/>
                <w:kern w:val="0"/>
                <w:sz w:val="24"/>
                <w:lang w:val="zh-CN"/>
              </w:rPr>
              <w:t>各磋商供应商须在磋商响应文件递交截止时间前，缴纳磋商保证金（</w:t>
            </w:r>
            <w:r>
              <w:rPr>
                <w:rFonts w:hint="eastAsia" w:ascii="宋体" w:hAnsi="宋体" w:cs="宋体"/>
                <w:bCs/>
                <w:kern w:val="0"/>
                <w:sz w:val="24"/>
                <w:lang w:val="zh-CN"/>
              </w:rPr>
              <w:t>磋商</w:t>
            </w:r>
            <w:r>
              <w:rPr>
                <w:rFonts w:ascii="宋体" w:hAnsi="宋体" w:cs="宋体"/>
                <w:bCs/>
                <w:kern w:val="0"/>
                <w:sz w:val="24"/>
                <w:lang w:val="zh-CN"/>
              </w:rPr>
              <w:t>保证金应当从其基本账户汇出</w:t>
            </w:r>
            <w:bookmarkEnd w:id="7"/>
            <w:r>
              <w:rPr>
                <w:rFonts w:ascii="宋体" w:hAnsi="宋体" w:cs="宋体"/>
                <w:bCs/>
                <w:kern w:val="0"/>
                <w:sz w:val="24"/>
                <w:lang w:val="zh-CN"/>
              </w:rPr>
              <w:t>，磋商响应文件中须附</w:t>
            </w:r>
            <w:r>
              <w:rPr>
                <w:rFonts w:hint="eastAsia" w:ascii="宋体" w:hAnsi="宋体" w:cs="宋体"/>
                <w:bCs/>
                <w:kern w:val="0"/>
                <w:sz w:val="24"/>
                <w:lang w:val="zh-CN"/>
              </w:rPr>
              <w:t>企业</w:t>
            </w:r>
            <w:r>
              <w:rPr>
                <w:rFonts w:ascii="宋体" w:hAnsi="宋体" w:cs="宋体"/>
                <w:bCs/>
                <w:kern w:val="0"/>
                <w:sz w:val="24"/>
                <w:lang w:val="zh-CN"/>
              </w:rPr>
              <w:t>基本账户开户许可证并加盖磋商</w:t>
            </w:r>
            <w:r>
              <w:rPr>
                <w:rFonts w:ascii="宋体" w:hAnsi="宋体" w:cs="宋体"/>
                <w:bCs/>
                <w:color w:val="000000" w:themeColor="text1"/>
                <w:kern w:val="0"/>
                <w:sz w:val="24"/>
                <w:lang w:val="zh-CN"/>
                <w14:textFill>
                  <w14:solidFill>
                    <w14:schemeClr w14:val="tx1"/>
                  </w14:solidFill>
                </w14:textFill>
              </w:rPr>
              <w:t>企业公章）</w:t>
            </w:r>
            <w:bookmarkEnd w:id="8"/>
            <w:bookmarkEnd w:id="9"/>
            <w:bookmarkEnd w:id="10"/>
          </w:p>
          <w:p w14:paraId="161F8FD3">
            <w:pPr>
              <w:pStyle w:val="49"/>
              <w:spacing w:line="360" w:lineRule="auto"/>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磋商</w:t>
            </w:r>
            <w:r>
              <w:rPr>
                <w:rFonts w:ascii="宋体" w:hAnsi="宋体" w:cs="宋体"/>
                <w:bCs/>
                <w:color w:val="000000" w:themeColor="text1"/>
                <w:kern w:val="0"/>
                <w:sz w:val="24"/>
                <w:lang w:val="zh-CN"/>
                <w14:textFill>
                  <w14:solidFill>
                    <w14:schemeClr w14:val="tx1"/>
                  </w14:solidFill>
                </w14:textFill>
              </w:rPr>
              <w:t>保证金金额：</w:t>
            </w:r>
          </w:p>
          <w:p w14:paraId="794E0528">
            <w:pPr>
              <w:pStyle w:val="49"/>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小写：￥</w:t>
            </w:r>
            <w:r>
              <w:rPr>
                <w:rFonts w:hint="eastAsia" w:ascii="宋体" w:hAnsi="宋体" w:cs="宋体"/>
                <w:bCs/>
                <w:color w:val="auto"/>
                <w:kern w:val="0"/>
                <w:sz w:val="24"/>
                <w:lang w:val="en-US" w:eastAsia="zh-CN"/>
              </w:rPr>
              <w:t>6</w:t>
            </w:r>
            <w:r>
              <w:rPr>
                <w:rFonts w:hint="eastAsia" w:ascii="宋体" w:hAnsi="宋体" w:cs="宋体"/>
                <w:bCs/>
                <w:color w:val="auto"/>
                <w:kern w:val="0"/>
                <w:sz w:val="24"/>
                <w:lang w:val="zh-CN"/>
              </w:rPr>
              <w:t>,000.00元整；大写：</w:t>
            </w:r>
            <w:r>
              <w:rPr>
                <w:rFonts w:hint="eastAsia" w:ascii="宋体" w:hAnsi="宋体" w:cs="宋体"/>
                <w:bCs/>
                <w:color w:val="auto"/>
                <w:kern w:val="0"/>
                <w:sz w:val="24"/>
                <w:lang w:val="en-US" w:eastAsia="zh-CN"/>
              </w:rPr>
              <w:t>陆仟</w:t>
            </w:r>
            <w:r>
              <w:rPr>
                <w:rFonts w:hint="eastAsia" w:ascii="宋体" w:hAnsi="宋体" w:cs="宋体"/>
                <w:bCs/>
                <w:color w:val="auto"/>
                <w:kern w:val="0"/>
                <w:sz w:val="24"/>
                <w:lang w:val="zh-CN"/>
              </w:rPr>
              <w:t>元整；</w:t>
            </w:r>
          </w:p>
          <w:p w14:paraId="5F7A2513">
            <w:pPr>
              <w:pStyle w:val="49"/>
              <w:spacing w:line="360" w:lineRule="auto"/>
              <w:rPr>
                <w:rFonts w:ascii="宋体" w:hAnsi="宋体" w:cs="宋体"/>
                <w:bCs/>
                <w:kern w:val="0"/>
                <w:sz w:val="24"/>
                <w:lang w:val="zh-CN"/>
              </w:rPr>
            </w:pPr>
            <w:r>
              <w:rPr>
                <w:rFonts w:hint="eastAsia" w:ascii="宋体" w:hAnsi="宋体" w:cs="宋体"/>
                <w:bCs/>
                <w:kern w:val="0"/>
                <w:sz w:val="24"/>
                <w:lang w:val="zh-CN"/>
              </w:rPr>
              <w:t>收款单位：青海国焱工程项目管理有限公司</w:t>
            </w:r>
          </w:p>
          <w:p w14:paraId="705F2CAA">
            <w:pPr>
              <w:pStyle w:val="49"/>
              <w:spacing w:line="360" w:lineRule="auto"/>
              <w:rPr>
                <w:rFonts w:ascii="宋体" w:hAnsi="宋体" w:cs="宋体"/>
                <w:bCs/>
                <w:kern w:val="0"/>
                <w:sz w:val="24"/>
                <w:lang w:val="zh-CN"/>
              </w:rPr>
            </w:pPr>
            <w:r>
              <w:rPr>
                <w:rFonts w:hint="eastAsia" w:ascii="宋体" w:hAnsi="宋体" w:cs="宋体"/>
                <w:bCs/>
                <w:kern w:val="0"/>
                <w:sz w:val="24"/>
                <w:lang w:val="zh-CN"/>
              </w:rPr>
              <w:t>开 户 行：中国工商银行股份有限公司西宁五四大街支行</w:t>
            </w:r>
          </w:p>
          <w:p w14:paraId="3A023B66">
            <w:pPr>
              <w:pStyle w:val="49"/>
              <w:spacing w:line="360" w:lineRule="auto"/>
              <w:rPr>
                <w:rFonts w:ascii="宋体" w:hAnsi="宋体" w:cs="宋体"/>
                <w:bCs/>
                <w:kern w:val="0"/>
                <w:sz w:val="24"/>
                <w:lang w:val="zh-CN"/>
              </w:rPr>
            </w:pPr>
            <w:r>
              <w:rPr>
                <w:rFonts w:hint="eastAsia" w:ascii="宋体" w:hAnsi="宋体" w:cs="宋体"/>
                <w:bCs/>
                <w:kern w:val="0"/>
                <w:sz w:val="24"/>
                <w:lang w:val="zh-CN"/>
              </w:rPr>
              <w:t>银行账号：2806001309000043259</w:t>
            </w:r>
            <w:r>
              <w:rPr>
                <w:rFonts w:hint="eastAsia" w:ascii="宋体" w:hAnsi="宋体" w:cs="宋体"/>
                <w:kern w:val="0"/>
                <w:sz w:val="24"/>
                <w:lang w:val="zh-CN"/>
              </w:rPr>
              <w:t>（开户行号：102851000139）</w:t>
            </w:r>
          </w:p>
          <w:p w14:paraId="66231FF9">
            <w:pPr>
              <w:pStyle w:val="49"/>
              <w:spacing w:line="360" w:lineRule="auto"/>
              <w:rPr>
                <w:rFonts w:ascii="宋体" w:hAnsi="宋体" w:cs="宋体"/>
                <w:bCs/>
                <w:kern w:val="0"/>
                <w:sz w:val="24"/>
                <w:lang w:val="zh-CN"/>
              </w:rPr>
            </w:pPr>
            <w:r>
              <w:rPr>
                <w:rFonts w:hint="eastAsia" w:ascii="宋体" w:hAnsi="宋体" w:cs="宋体"/>
                <w:bCs/>
                <w:kern w:val="0"/>
                <w:sz w:val="24"/>
                <w:lang w:val="zh-CN"/>
              </w:rPr>
              <w:t>缴纳时间：磋商供应商在磋商截止期前，以银行到账时间为准。</w:t>
            </w:r>
          </w:p>
          <w:p w14:paraId="2F253B04">
            <w:pPr>
              <w:pStyle w:val="49"/>
              <w:spacing w:line="360" w:lineRule="auto"/>
              <w:rPr>
                <w:rFonts w:ascii="宋体" w:hAnsi="宋体" w:cs="宋体"/>
                <w:bCs/>
                <w:kern w:val="0"/>
                <w:sz w:val="24"/>
                <w:lang w:val="zh-CN"/>
              </w:rPr>
            </w:pPr>
            <w:r>
              <w:rPr>
                <w:rFonts w:hint="eastAsia" w:ascii="宋体" w:hAnsi="宋体" w:cs="宋体"/>
                <w:bCs/>
                <w:kern w:val="0"/>
                <w:sz w:val="24"/>
                <w:lang w:val="zh-CN"/>
              </w:rPr>
              <w:t>（1）不接受个人名义或现金形式递交的磋商保证金，磋商供应商应单独提交磋商保证金，磋商保证金须从企业基本账户中支付，磋商文件中须附企业开户许可证；</w:t>
            </w:r>
          </w:p>
          <w:p w14:paraId="5F6324D7">
            <w:pPr>
              <w:pStyle w:val="49"/>
              <w:spacing w:line="360" w:lineRule="auto"/>
              <w:rPr>
                <w:rFonts w:ascii="宋体" w:hAnsi="宋体" w:cs="宋体"/>
                <w:kern w:val="0"/>
                <w:sz w:val="24"/>
                <w:lang w:val="zh-CN"/>
              </w:rPr>
            </w:pPr>
            <w:r>
              <w:rPr>
                <w:rFonts w:hint="eastAsia" w:ascii="宋体" w:hAnsi="宋体" w:cs="宋体"/>
                <w:bCs/>
                <w:kern w:val="0"/>
                <w:sz w:val="24"/>
                <w:lang w:val="zh-CN"/>
              </w:rPr>
              <w:t>（2）磋商保证金有效期与磋商有效期一致。</w:t>
            </w:r>
          </w:p>
        </w:tc>
      </w:tr>
      <w:tr w14:paraId="6A2463A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D6BCB91">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7967CC9">
            <w:pPr>
              <w:autoSpaceDE w:val="0"/>
              <w:autoSpaceDN w:val="0"/>
              <w:spacing w:line="360" w:lineRule="auto"/>
              <w:rPr>
                <w:rFonts w:ascii="宋体" w:hAnsi="宋体" w:cs="宋体"/>
                <w:bCs/>
                <w:kern w:val="0"/>
                <w:sz w:val="24"/>
                <w:lang w:val="zh-CN"/>
              </w:rPr>
            </w:pPr>
            <w:r>
              <w:rPr>
                <w:rFonts w:hint="eastAsia" w:ascii="宋体" w:hAnsi="宋体"/>
                <w:kern w:val="0"/>
                <w:sz w:val="24"/>
              </w:rPr>
              <w:t>磋商</w:t>
            </w:r>
            <w:r>
              <w:rPr>
                <w:rFonts w:hint="eastAsia" w:ascii="宋体" w:hAnsi="宋体" w:cs="宋体"/>
                <w:bCs/>
                <w:kern w:val="0"/>
                <w:sz w:val="24"/>
                <w:lang w:val="zh-CN"/>
              </w:rPr>
              <w:t>保证金缴纳方式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1099DA93">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保证金应当以电汇、支票、汇票、本票或者金融机构、担保机构出具的保函等非现金形式提交。通过银行转账的，必须由磋商供应商从其基本账户（需提供开户许可证）汇（转）入本须知附表中第1</w:t>
            </w:r>
            <w:r>
              <w:rPr>
                <w:rFonts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lang w:val="zh-CN"/>
                <w14:textFill>
                  <w14:solidFill>
                    <w14:schemeClr w14:val="tx1"/>
                  </w14:solidFill>
                </w14:textFill>
              </w:rPr>
              <w:t>条指定的账户。</w:t>
            </w:r>
          </w:p>
          <w:p w14:paraId="54751B56">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磋商供应商未按照磋商文件要求提交</w:t>
            </w:r>
            <w:r>
              <w:rPr>
                <w:rFonts w:hint="eastAsia" w:ascii="宋体" w:hAnsi="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保证金的，磋商无效。</w:t>
            </w:r>
          </w:p>
        </w:tc>
      </w:tr>
      <w:tr w14:paraId="32FC45B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6D9B9CB">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C865BD8">
            <w:pPr>
              <w:autoSpaceDE w:val="0"/>
              <w:autoSpaceDN w:val="0"/>
              <w:spacing w:line="360" w:lineRule="auto"/>
              <w:rPr>
                <w:rFonts w:ascii="宋体" w:hAnsi="宋体" w:cs="宋体"/>
                <w:bCs/>
                <w:kern w:val="0"/>
                <w:sz w:val="24"/>
                <w:lang w:val="zh-CN"/>
              </w:rPr>
            </w:pPr>
            <w:r>
              <w:rPr>
                <w:rFonts w:hint="eastAsia" w:ascii="宋体" w:hAnsi="宋体"/>
                <w:kern w:val="0"/>
                <w:sz w:val="24"/>
              </w:rPr>
              <w:t>磋商</w:t>
            </w:r>
            <w:r>
              <w:rPr>
                <w:rFonts w:hint="eastAsia" w:ascii="宋体" w:hAnsi="宋体" w:cs="宋体"/>
                <w:bCs/>
                <w:kern w:val="0"/>
                <w:sz w:val="24"/>
                <w:lang w:val="zh-CN"/>
              </w:rPr>
              <w:t>保证金退还</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72E0D8A0">
            <w:pPr>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未成交磋商供应商的</w:t>
            </w:r>
            <w:r>
              <w:rPr>
                <w:rFonts w:hint="eastAsia" w:ascii="宋体" w:hAnsi="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保证金自成交通知书发出之日起5个工作日内退还（不退现金）；成交磋商供应商的磋商保证金，自政府采购合同签订之日起5个工作日内退还（不退现金）。</w:t>
            </w:r>
          </w:p>
        </w:tc>
      </w:tr>
      <w:tr w14:paraId="4C53469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9E026A5">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78003F">
            <w:pPr>
              <w:autoSpaceDE w:val="0"/>
              <w:autoSpaceDN w:val="0"/>
              <w:spacing w:line="360" w:lineRule="auto"/>
              <w:rPr>
                <w:rFonts w:ascii="宋体" w:hAnsi="宋体"/>
                <w:kern w:val="0"/>
                <w:sz w:val="24"/>
              </w:rPr>
            </w:pPr>
            <w:r>
              <w:rPr>
                <w:rFonts w:hint="eastAsia" w:ascii="宋体" w:hAnsi="宋体" w:cs="宋体"/>
                <w:bCs/>
                <w:kern w:val="0"/>
                <w:sz w:val="24"/>
                <w:lang w:val="zh-CN"/>
              </w:rPr>
              <w:t>磋商文件编制要求</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4FDE840D">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1、磋商人应按照磋商文件所提供的磋商响应文件格式，分别填写磋商文件第五章的内容。</w:t>
            </w:r>
          </w:p>
          <w:p w14:paraId="7A67530F">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2、磋商人应按磋商文件要求准备磋商响应文件（1份正本、2份副本、1份磋商首次报价表和相应的电子文档1份）。每份磋商响应文件都必须清楚地标明“正本”或“副本”等字样。若发生正本和副本不符，以正本磋商响应文件为准。磋商响应文件统一使用A4幅面的纸张印制，必须胶装成册并编码，不得采用活页夹等可随时拆换的方式装订，其他方式装订的磋商响应文件一概不予接受。</w:t>
            </w:r>
          </w:p>
          <w:p w14:paraId="078DC0D2">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3、磋商响应文件的正本和副本均需打印或用不褪色、不变质的墨水书写并在规定处签字、加盖公章。</w:t>
            </w:r>
          </w:p>
          <w:p w14:paraId="51C08F69">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kern w:val="0"/>
                <w:sz w:val="24"/>
                <w:lang w:val="zh-CN"/>
              </w:rPr>
              <w:t>4、电子文档采用可读的U盘编制，须写明采购项目名称、磋商人名称及磋商日期，电子文档为纸质版磋商响应文件正本的扫描件，需采用不可修改格式，电子文档与纸质版磋商响应文件正本内容必须完全一致，包括盖章和签字，并与书面磋商响应文件一并提交，否则，视为无效磋商。</w:t>
            </w:r>
          </w:p>
        </w:tc>
      </w:tr>
      <w:tr w14:paraId="3C00383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521DE5C">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4F18BE7">
            <w:pPr>
              <w:autoSpaceDE w:val="0"/>
              <w:autoSpaceDN w:val="0"/>
              <w:spacing w:line="360" w:lineRule="auto"/>
              <w:rPr>
                <w:rFonts w:ascii="宋体" w:hAnsi="宋体"/>
                <w:kern w:val="0"/>
                <w:sz w:val="24"/>
              </w:rPr>
            </w:pPr>
            <w:r>
              <w:rPr>
                <w:rFonts w:hint="eastAsia" w:ascii="宋体" w:hAnsi="宋体" w:cs="宋体"/>
                <w:bCs/>
                <w:kern w:val="0"/>
                <w:sz w:val="24"/>
                <w:lang w:val="zh-CN"/>
              </w:rPr>
              <w:t>磋商文件的密封</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116BFFF4">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磋商响应文件的正本与副本须分别密封，加贴密封条，并在密封包装的封口处加盖磋商单位公章（未按要求密封的磋商响应文件将不予接收）；磋商响应文件的封套上应标记“正本”或“副本”字样，封套上应写明：</w:t>
            </w:r>
          </w:p>
          <w:p w14:paraId="6B3954A9">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采购项目名称：                正（副）本</w:t>
            </w:r>
          </w:p>
          <w:p w14:paraId="32FC3DF3">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采购项目编号：</w:t>
            </w:r>
          </w:p>
          <w:p w14:paraId="63418BAF">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磋商供应商名称：          （加盖单位公章）</w:t>
            </w:r>
          </w:p>
          <w:p w14:paraId="0F083C5F">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法定代表人：              （签字</w:t>
            </w:r>
            <w:r>
              <w:rPr>
                <w:rFonts w:hint="eastAsia" w:ascii="宋体" w:hAnsi="宋体" w:cs="宋体"/>
                <w:color w:val="000000" w:themeColor="text1"/>
                <w:kern w:val="0"/>
                <w:sz w:val="24"/>
                <w14:textFill>
                  <w14:solidFill>
                    <w14:schemeClr w14:val="tx1"/>
                  </w14:solidFill>
                </w14:textFill>
              </w:rPr>
              <w:t>或</w:t>
            </w:r>
            <w:r>
              <w:rPr>
                <w:rFonts w:hint="eastAsia" w:ascii="宋体" w:hAnsi="宋体" w:cs="宋体"/>
                <w:color w:val="000000" w:themeColor="text1"/>
                <w:kern w:val="0"/>
                <w:sz w:val="24"/>
                <w:lang w:val="zh-CN"/>
                <w14:textFill>
                  <w14:solidFill>
                    <w14:schemeClr w14:val="tx1"/>
                  </w14:solidFill>
                </w14:textFill>
              </w:rPr>
              <w:t>加盖法人章）</w:t>
            </w:r>
          </w:p>
          <w:p w14:paraId="06B60ED9">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于</w:t>
            </w:r>
            <w:r>
              <w:rPr>
                <w:rFonts w:hint="eastAsia" w:ascii="宋体" w:hAnsi="宋体" w:cs="宋体"/>
                <w:color w:val="000000" w:themeColor="text1"/>
                <w:kern w:val="0"/>
                <w:sz w:val="24"/>
                <w:lang w:eastAsia="zh-CN"/>
                <w14:textFill>
                  <w14:solidFill>
                    <w14:schemeClr w14:val="tx1"/>
                  </w14:solidFill>
                </w14:textFill>
              </w:rPr>
              <w:t>2024年</w:t>
            </w:r>
            <w:r>
              <w:rPr>
                <w:rFonts w:hint="eastAsia" w:ascii="宋体" w:hAnsi="宋体"/>
                <w:color w:val="000000" w:themeColor="text1"/>
                <w:kern w:val="0"/>
                <w:sz w:val="24"/>
                <w:lang w:val="en-US" w:eastAsia="zh-CN"/>
                <w14:textFill>
                  <w14:solidFill>
                    <w14:schemeClr w14:val="tx1"/>
                  </w14:solidFill>
                </w14:textFill>
              </w:rPr>
              <w:t>08</w:t>
            </w:r>
            <w:r>
              <w:rPr>
                <w:rFonts w:hint="eastAsia" w:ascii="宋体" w:hAnsi="宋体"/>
                <w:color w:val="000000" w:themeColor="text1"/>
                <w:kern w:val="0"/>
                <w:sz w:val="24"/>
                <w:lang w:eastAsia="zh-CN"/>
                <w14:textFill>
                  <w14:solidFill>
                    <w14:schemeClr w14:val="tx1"/>
                  </w14:solidFill>
                </w14:textFill>
              </w:rPr>
              <w:t>月</w:t>
            </w:r>
            <w:r>
              <w:rPr>
                <w:rFonts w:hint="eastAsia" w:ascii="宋体" w:hAnsi="宋体"/>
                <w:color w:val="000000" w:themeColor="text1"/>
                <w:kern w:val="0"/>
                <w:sz w:val="24"/>
                <w:lang w:val="en-US" w:eastAsia="zh-CN"/>
                <w14:textFill>
                  <w14:solidFill>
                    <w14:schemeClr w14:val="tx1"/>
                  </w14:solidFill>
                </w14:textFill>
              </w:rPr>
              <w:t>10</w:t>
            </w:r>
            <w:r>
              <w:rPr>
                <w:rFonts w:hint="eastAsia" w:ascii="宋体" w:hAnsi="宋体"/>
                <w:color w:val="000000" w:themeColor="text1"/>
                <w:kern w:val="0"/>
                <w:sz w:val="24"/>
                <w:lang w:eastAsia="zh-CN"/>
                <w14:textFill>
                  <w14:solidFill>
                    <w14:schemeClr w14:val="tx1"/>
                  </w14:solidFill>
                </w14:textFill>
              </w:rPr>
              <w:t>日上午09:30</w:t>
            </w:r>
            <w:r>
              <w:rPr>
                <w:rFonts w:hint="eastAsia" w:ascii="宋体" w:hAnsi="宋体" w:cs="宋体"/>
                <w:color w:val="000000" w:themeColor="text1"/>
                <w:kern w:val="0"/>
                <w:sz w:val="24"/>
                <w:lang w:eastAsia="zh-CN"/>
                <w14:textFill>
                  <w14:solidFill>
                    <w14:schemeClr w14:val="tx1"/>
                  </w14:solidFill>
                </w14:textFill>
              </w:rPr>
              <w:t>（北京时间）</w:t>
            </w:r>
            <w:r>
              <w:rPr>
                <w:rFonts w:hint="eastAsia" w:ascii="宋体" w:hAnsi="宋体" w:cs="宋体"/>
                <w:color w:val="000000" w:themeColor="text1"/>
                <w:kern w:val="0"/>
                <w:sz w:val="24"/>
                <w:lang w:val="zh-CN"/>
                <w14:textFill>
                  <w14:solidFill>
                    <w14:schemeClr w14:val="tx1"/>
                  </w14:solidFill>
                </w14:textFill>
              </w:rPr>
              <w:t>前不得启封</w:t>
            </w:r>
          </w:p>
        </w:tc>
      </w:tr>
      <w:tr w14:paraId="08B6FA1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6AFA6A">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09FDD08">
            <w:pPr>
              <w:autoSpaceDE w:val="0"/>
              <w:autoSpaceDN w:val="0"/>
              <w:spacing w:line="360" w:lineRule="auto"/>
              <w:rPr>
                <w:rFonts w:ascii="宋体" w:hAnsi="宋体"/>
                <w:kern w:val="0"/>
                <w:sz w:val="24"/>
              </w:rPr>
            </w:pPr>
            <w:r>
              <w:rPr>
                <w:rFonts w:hint="eastAsia" w:ascii="宋体" w:hAnsi="宋体" w:cs="宋体"/>
                <w:bCs/>
                <w:kern w:val="0"/>
                <w:sz w:val="24"/>
                <w:lang w:val="zh-CN"/>
              </w:rPr>
              <w:t>递交磋商文件方式</w:t>
            </w:r>
          </w:p>
        </w:tc>
        <w:tc>
          <w:tcPr>
            <w:tcW w:w="7682" w:type="dxa"/>
            <w:tcBorders>
              <w:top w:val="outset" w:color="000000" w:sz="6" w:space="0"/>
              <w:left w:val="outset" w:color="000000" w:sz="6" w:space="0"/>
              <w:bottom w:val="outset" w:color="000000" w:sz="6" w:space="0"/>
              <w:right w:val="outset" w:color="000000" w:sz="6" w:space="0"/>
            </w:tcBorders>
            <w:vAlign w:val="center"/>
          </w:tcPr>
          <w:p w14:paraId="6F591CAF">
            <w:pPr>
              <w:pStyle w:val="49"/>
              <w:spacing w:line="360" w:lineRule="auto"/>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现场递交，不接受邮寄磋商。</w:t>
            </w:r>
          </w:p>
        </w:tc>
      </w:tr>
      <w:tr w14:paraId="212548A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39E3E17">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8E0846D">
            <w:pPr>
              <w:autoSpaceDE w:val="0"/>
              <w:autoSpaceDN w:val="0"/>
              <w:spacing w:line="360" w:lineRule="auto"/>
              <w:rPr>
                <w:rFonts w:ascii="宋体" w:hAnsi="宋体" w:cs="宋体"/>
                <w:bCs/>
                <w:kern w:val="0"/>
                <w:sz w:val="24"/>
                <w:lang w:val="zh-CN"/>
              </w:rPr>
            </w:pPr>
            <w:r>
              <w:rPr>
                <w:rFonts w:hint="eastAsia" w:ascii="宋体" w:hAnsi="宋体"/>
                <w:kern w:val="0"/>
                <w:sz w:val="24"/>
              </w:rPr>
              <w:t>磋商</w:t>
            </w:r>
            <w:r>
              <w:rPr>
                <w:rFonts w:hint="eastAsia" w:ascii="宋体" w:hAnsi="宋体" w:cs="宋体"/>
                <w:bCs/>
                <w:kern w:val="0"/>
                <w:sz w:val="24"/>
                <w:lang w:val="zh-CN"/>
              </w:rPr>
              <w:t>截止时间</w:t>
            </w:r>
          </w:p>
        </w:tc>
        <w:tc>
          <w:tcPr>
            <w:tcW w:w="7682" w:type="dxa"/>
            <w:tcBorders>
              <w:top w:val="outset" w:color="000000" w:sz="6" w:space="0"/>
              <w:left w:val="outset" w:color="000000" w:sz="6" w:space="0"/>
              <w:bottom w:val="outset" w:color="000000" w:sz="6" w:space="0"/>
              <w:right w:val="outset" w:color="000000" w:sz="6" w:space="0"/>
            </w:tcBorders>
            <w:vAlign w:val="center"/>
          </w:tcPr>
          <w:p w14:paraId="72D97BFC">
            <w:pPr>
              <w:pStyle w:val="49"/>
              <w:spacing w:line="360" w:lineRule="auto"/>
              <w:rPr>
                <w:rFonts w:hint="eastAsia" w:ascii="宋体" w:hAnsi="宋体" w:eastAsia="宋体"/>
                <w:color w:val="000000" w:themeColor="text1"/>
                <w:kern w:val="0"/>
                <w:sz w:val="24"/>
                <w:lang w:eastAsia="zh-CN"/>
                <w14:textFill>
                  <w14:solidFill>
                    <w14:schemeClr w14:val="tx1"/>
                  </w14:solidFill>
                </w14:textFill>
              </w:rPr>
            </w:pPr>
            <w:r>
              <w:rPr>
                <w:rFonts w:hint="eastAsia" w:ascii="宋体" w:hAnsi="宋体"/>
                <w:color w:val="000000" w:themeColor="text1"/>
                <w:kern w:val="0"/>
                <w:sz w:val="24"/>
                <w:lang w:eastAsia="zh-CN"/>
                <w14:textFill>
                  <w14:solidFill>
                    <w14:schemeClr w14:val="tx1"/>
                  </w14:solidFill>
                </w14:textFill>
              </w:rPr>
              <w:t>2024年</w:t>
            </w:r>
            <w:r>
              <w:rPr>
                <w:rFonts w:hint="eastAsia" w:ascii="宋体" w:hAnsi="宋体"/>
                <w:color w:val="000000" w:themeColor="text1"/>
                <w:kern w:val="0"/>
                <w:sz w:val="24"/>
                <w:lang w:val="en-US" w:eastAsia="zh-CN"/>
                <w14:textFill>
                  <w14:solidFill>
                    <w14:schemeClr w14:val="tx1"/>
                  </w14:solidFill>
                </w14:textFill>
              </w:rPr>
              <w:t>08</w:t>
            </w:r>
            <w:r>
              <w:rPr>
                <w:rFonts w:hint="eastAsia" w:ascii="宋体" w:hAnsi="宋体"/>
                <w:color w:val="000000" w:themeColor="text1"/>
                <w:kern w:val="0"/>
                <w:sz w:val="24"/>
                <w:lang w:eastAsia="zh-CN"/>
                <w14:textFill>
                  <w14:solidFill>
                    <w14:schemeClr w14:val="tx1"/>
                  </w14:solidFill>
                </w14:textFill>
              </w:rPr>
              <w:t>月</w:t>
            </w:r>
            <w:r>
              <w:rPr>
                <w:rFonts w:hint="eastAsia" w:ascii="宋体" w:hAnsi="宋体"/>
                <w:color w:val="000000" w:themeColor="text1"/>
                <w:kern w:val="0"/>
                <w:sz w:val="24"/>
                <w:lang w:val="en-US" w:eastAsia="zh-CN"/>
                <w14:textFill>
                  <w14:solidFill>
                    <w14:schemeClr w14:val="tx1"/>
                  </w14:solidFill>
                </w14:textFill>
              </w:rPr>
              <w:t>10</w:t>
            </w:r>
            <w:r>
              <w:rPr>
                <w:rFonts w:hint="eastAsia" w:ascii="宋体" w:hAnsi="宋体"/>
                <w:color w:val="000000" w:themeColor="text1"/>
                <w:kern w:val="0"/>
                <w:sz w:val="24"/>
                <w:lang w:eastAsia="zh-CN"/>
                <w14:textFill>
                  <w14:solidFill>
                    <w14:schemeClr w14:val="tx1"/>
                  </w14:solidFill>
                </w14:textFill>
              </w:rPr>
              <w:t>日上午09:30（北京时间）</w:t>
            </w:r>
          </w:p>
        </w:tc>
      </w:tr>
      <w:tr w14:paraId="207EA6F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31F2F5F">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25A3ADF">
            <w:pPr>
              <w:autoSpaceDE w:val="0"/>
              <w:autoSpaceDN w:val="0"/>
              <w:spacing w:line="360" w:lineRule="auto"/>
              <w:rPr>
                <w:rFonts w:ascii="宋体" w:hAnsi="宋体" w:cs="宋体"/>
                <w:bCs/>
                <w:kern w:val="0"/>
                <w:sz w:val="24"/>
                <w:lang w:val="zh-CN"/>
              </w:rPr>
            </w:pPr>
            <w:r>
              <w:rPr>
                <w:rFonts w:hint="eastAsia" w:ascii="宋体" w:hAnsi="宋体" w:cs="宋体"/>
                <w:bCs/>
                <w:kern w:val="0"/>
                <w:sz w:val="24"/>
                <w:lang w:val="zh-CN"/>
              </w:rPr>
              <w:t>磋商时间</w:t>
            </w:r>
          </w:p>
        </w:tc>
        <w:tc>
          <w:tcPr>
            <w:tcW w:w="7682" w:type="dxa"/>
            <w:tcBorders>
              <w:top w:val="outset" w:color="000000" w:sz="6" w:space="0"/>
              <w:left w:val="outset" w:color="000000" w:sz="6" w:space="0"/>
              <w:bottom w:val="outset" w:color="000000" w:sz="6" w:space="0"/>
              <w:right w:val="outset" w:color="000000" w:sz="6" w:space="0"/>
            </w:tcBorders>
            <w:vAlign w:val="center"/>
          </w:tcPr>
          <w:p w14:paraId="18EBDB9F">
            <w:pPr>
              <w:pStyle w:val="49"/>
              <w:spacing w:line="360" w:lineRule="auto"/>
              <w:rPr>
                <w:rFonts w:hint="eastAsia" w:ascii="宋体" w:hAnsi="宋体" w:eastAsia="宋体"/>
                <w:color w:val="000000" w:themeColor="text1"/>
                <w:kern w:val="0"/>
                <w:sz w:val="24"/>
                <w:lang w:eastAsia="zh-CN"/>
                <w14:textFill>
                  <w14:solidFill>
                    <w14:schemeClr w14:val="tx1"/>
                  </w14:solidFill>
                </w14:textFill>
              </w:rPr>
            </w:pPr>
            <w:r>
              <w:rPr>
                <w:rFonts w:hint="eastAsia" w:ascii="宋体" w:hAnsi="宋体"/>
                <w:color w:val="000000" w:themeColor="text1"/>
                <w:kern w:val="0"/>
                <w:sz w:val="24"/>
                <w:lang w:eastAsia="zh-CN"/>
                <w14:textFill>
                  <w14:solidFill>
                    <w14:schemeClr w14:val="tx1"/>
                  </w14:solidFill>
                </w14:textFill>
              </w:rPr>
              <w:t>2024年</w:t>
            </w:r>
            <w:r>
              <w:rPr>
                <w:rFonts w:hint="eastAsia" w:ascii="宋体" w:hAnsi="宋体"/>
                <w:color w:val="000000" w:themeColor="text1"/>
                <w:kern w:val="0"/>
                <w:sz w:val="24"/>
                <w:lang w:val="en-US" w:eastAsia="zh-CN"/>
                <w14:textFill>
                  <w14:solidFill>
                    <w14:schemeClr w14:val="tx1"/>
                  </w14:solidFill>
                </w14:textFill>
              </w:rPr>
              <w:t>08</w:t>
            </w:r>
            <w:r>
              <w:rPr>
                <w:rFonts w:hint="eastAsia" w:ascii="宋体" w:hAnsi="宋体"/>
                <w:color w:val="000000" w:themeColor="text1"/>
                <w:kern w:val="0"/>
                <w:sz w:val="24"/>
                <w:lang w:eastAsia="zh-CN"/>
                <w14:textFill>
                  <w14:solidFill>
                    <w14:schemeClr w14:val="tx1"/>
                  </w14:solidFill>
                </w14:textFill>
              </w:rPr>
              <w:t>月</w:t>
            </w:r>
            <w:r>
              <w:rPr>
                <w:rFonts w:hint="eastAsia" w:ascii="宋体" w:hAnsi="宋体"/>
                <w:color w:val="000000" w:themeColor="text1"/>
                <w:kern w:val="0"/>
                <w:sz w:val="24"/>
                <w:lang w:val="en-US" w:eastAsia="zh-CN"/>
                <w14:textFill>
                  <w14:solidFill>
                    <w14:schemeClr w14:val="tx1"/>
                  </w14:solidFill>
                </w14:textFill>
              </w:rPr>
              <w:t>10</w:t>
            </w:r>
            <w:r>
              <w:rPr>
                <w:rFonts w:hint="eastAsia" w:ascii="宋体" w:hAnsi="宋体"/>
                <w:color w:val="000000" w:themeColor="text1"/>
                <w:kern w:val="0"/>
                <w:sz w:val="24"/>
                <w:lang w:eastAsia="zh-CN"/>
                <w14:textFill>
                  <w14:solidFill>
                    <w14:schemeClr w14:val="tx1"/>
                  </w14:solidFill>
                </w14:textFill>
              </w:rPr>
              <w:t>日上午09:30（北京时间）</w:t>
            </w:r>
          </w:p>
        </w:tc>
      </w:tr>
      <w:tr w14:paraId="4160DCD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D67EE20">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6728606">
            <w:pPr>
              <w:autoSpaceDE w:val="0"/>
              <w:autoSpaceDN w:val="0"/>
              <w:spacing w:line="360" w:lineRule="auto"/>
              <w:rPr>
                <w:rFonts w:ascii="宋体" w:hAnsi="宋体" w:cs="宋体"/>
                <w:bCs/>
                <w:kern w:val="0"/>
                <w:sz w:val="24"/>
                <w:lang w:val="zh-CN"/>
              </w:rPr>
            </w:pPr>
            <w:r>
              <w:rPr>
                <w:rFonts w:hint="eastAsia" w:ascii="宋体" w:hAnsi="宋体" w:cs="宋体"/>
                <w:bCs/>
                <w:kern w:val="0"/>
                <w:sz w:val="24"/>
                <w:lang w:val="zh-CN"/>
              </w:rPr>
              <w:t>磋商及磋商地点</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0E3B1C1B">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olor w:val="000000" w:themeColor="text1"/>
                <w:kern w:val="0"/>
                <w:sz w:val="24"/>
                <w:lang w:eastAsia="zh-CN"/>
                <w14:textFill>
                  <w14:solidFill>
                    <w14:schemeClr w14:val="tx1"/>
                  </w14:solidFill>
                </w14:textFill>
              </w:rPr>
              <w:t>西宁市城西区盐湖巷6号10号楼（城西区总部经济大厦)16楼</w:t>
            </w:r>
            <w:r>
              <w:rPr>
                <w:rFonts w:hint="eastAsia" w:ascii="宋体" w:hAnsi="宋体"/>
                <w:color w:val="000000" w:themeColor="text1"/>
                <w:kern w:val="0"/>
                <w:sz w:val="24"/>
                <w14:textFill>
                  <w14:solidFill>
                    <w14:schemeClr w14:val="tx1"/>
                  </w14:solidFill>
                </w14:textFill>
              </w:rPr>
              <w:t>青海国焱工程项目管理有限公司</w:t>
            </w:r>
          </w:p>
        </w:tc>
      </w:tr>
      <w:tr w14:paraId="53F53A9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15FC37">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9E837C1">
            <w:pPr>
              <w:autoSpaceDE w:val="0"/>
              <w:autoSpaceDN w:val="0"/>
              <w:spacing w:line="360" w:lineRule="auto"/>
              <w:rPr>
                <w:rFonts w:ascii="宋体" w:hAnsi="宋体" w:cs="宋体"/>
                <w:bCs/>
                <w:kern w:val="0"/>
                <w:sz w:val="24"/>
                <w:lang w:val="zh-CN"/>
              </w:rPr>
            </w:pPr>
            <w:r>
              <w:rPr>
                <w:rFonts w:hint="eastAsia" w:ascii="宋体" w:hAnsi="宋体" w:cs="宋体"/>
                <w:bCs/>
                <w:kern w:val="0"/>
                <w:sz w:val="24"/>
                <w:lang w:val="zh-CN"/>
              </w:rPr>
              <w:t>答疑澄清方式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325DC939">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采用现场答疑。磋商供应商须提供准确的联系方式（手机和固定电话），应在规定的时间内到达评审现场进行答疑澄清，如在规定的时间内联系无果或未按时到达的，视同放弃答疑。</w:t>
            </w:r>
          </w:p>
        </w:tc>
      </w:tr>
      <w:tr w14:paraId="4B7EE99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7FB12F">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B04897">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代理服务费收取</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4BC4B58E">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招标代理服务费：</w:t>
            </w:r>
          </w:p>
          <w:p w14:paraId="2D0216DE">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收取对象：成交磋商供应商</w:t>
            </w:r>
          </w:p>
          <w:p w14:paraId="335F7D4C">
            <w:pPr>
              <w:spacing w:line="360" w:lineRule="auto"/>
              <w:rPr>
                <w:rFonts w:ascii="宋体" w:hAnsi="宋体" w:cs="宋体"/>
                <w:kern w:val="0"/>
                <w:sz w:val="24"/>
                <w:lang w:val="zh-CN"/>
              </w:rPr>
            </w:pPr>
            <w:r>
              <w:rPr>
                <w:rFonts w:hint="eastAsia" w:ascii="宋体" w:hAnsi="宋体" w:cs="宋体"/>
                <w:kern w:val="0"/>
                <w:sz w:val="24"/>
                <w:lang w:val="zh-CN"/>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14:paraId="226C03B0">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代理服务费的支付形式：电汇、支票。</w:t>
            </w:r>
          </w:p>
          <w:p w14:paraId="6FE3BD9C">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账户名：青海国焱工程项目管理有限公司</w:t>
            </w:r>
          </w:p>
          <w:p w14:paraId="5EE6604C">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开户行号：102851000139</w:t>
            </w:r>
          </w:p>
          <w:p w14:paraId="6AC139B9">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账  号：2806001309000043259</w:t>
            </w:r>
          </w:p>
          <w:p w14:paraId="33BDF811">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开户行：中国工商银行股份有限公司西宁五四大街支行</w:t>
            </w:r>
          </w:p>
          <w:p w14:paraId="39855B48">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代理服务费以人民币支付。</w:t>
            </w:r>
          </w:p>
          <w:p w14:paraId="42EE02BA">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代理服务费不在投标报价中单列。</w:t>
            </w:r>
          </w:p>
        </w:tc>
      </w:tr>
      <w:tr w14:paraId="01E1D51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44199A6">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79FE9B">
            <w:pPr>
              <w:autoSpaceDE w:val="0"/>
              <w:autoSpaceDN w:val="0"/>
              <w:spacing w:line="360" w:lineRule="auto"/>
              <w:rPr>
                <w:rFonts w:ascii="宋体" w:hAnsi="宋体" w:cs="宋体"/>
                <w:bCs/>
                <w:kern w:val="0"/>
                <w:sz w:val="24"/>
                <w:lang w:val="zh-CN"/>
              </w:rPr>
            </w:pPr>
            <w:r>
              <w:rPr>
                <w:rFonts w:hint="eastAsia" w:ascii="宋体" w:hAnsi="宋体" w:cs="宋体"/>
                <w:bCs/>
                <w:kern w:val="0"/>
                <w:sz w:val="24"/>
                <w:lang w:val="zh-CN"/>
              </w:rPr>
              <w:t>合同签订有效期</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145D97DB">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自成交通知书发出之日起</w:t>
            </w:r>
            <w:r>
              <w:rPr>
                <w:rFonts w:hint="eastAsia" w:ascii="宋体" w:hAnsi="宋体" w:cs="宋体"/>
                <w:kern w:val="0"/>
                <w:sz w:val="24"/>
              </w:rPr>
              <w:t>30</w:t>
            </w:r>
            <w:r>
              <w:rPr>
                <w:rFonts w:hint="eastAsia" w:ascii="宋体" w:hAnsi="宋体" w:cs="宋体"/>
                <w:kern w:val="0"/>
                <w:sz w:val="24"/>
                <w:lang w:val="zh-CN"/>
              </w:rPr>
              <w:t>日内与采购单位签订供货合同</w:t>
            </w:r>
          </w:p>
        </w:tc>
      </w:tr>
      <w:tr w14:paraId="2C490B9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04D61C">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535A82">
            <w:pPr>
              <w:autoSpaceDE w:val="0"/>
              <w:autoSpaceDN w:val="0"/>
              <w:spacing w:line="360" w:lineRule="auto"/>
              <w:rPr>
                <w:rFonts w:ascii="宋体" w:hAnsi="宋体" w:cs="宋体"/>
                <w:bCs/>
                <w:kern w:val="0"/>
                <w:sz w:val="24"/>
                <w:lang w:val="zh-CN"/>
              </w:rPr>
            </w:pPr>
            <w:r>
              <w:rPr>
                <w:rFonts w:hint="eastAsia" w:ascii="宋体" w:hAnsi="宋体" w:cs="宋体"/>
                <w:bCs/>
                <w:kern w:val="0"/>
                <w:sz w:val="24"/>
                <w:lang w:val="zh-CN"/>
              </w:rPr>
              <w:t>政府采购合同备案</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2D8CABC">
            <w:pPr>
              <w:spacing w:line="360" w:lineRule="auto"/>
              <w:rPr>
                <w:rFonts w:ascii="宋体" w:hAnsi="宋体" w:cs="Arial"/>
                <w:sz w:val="24"/>
              </w:rPr>
            </w:pPr>
            <w:r>
              <w:rPr>
                <w:rFonts w:ascii="宋体" w:hAnsi="宋体" w:cs="Arial"/>
                <w:sz w:val="24"/>
              </w:rPr>
              <w:t>采购合同全数返回采购代理机构签证，盖章。</w:t>
            </w:r>
          </w:p>
          <w:p w14:paraId="75495296">
            <w:pPr>
              <w:spacing w:line="360" w:lineRule="auto"/>
              <w:rPr>
                <w:rFonts w:ascii="宋体" w:hAnsi="宋体" w:cs="Arial"/>
                <w:sz w:val="24"/>
              </w:rPr>
            </w:pPr>
            <w:r>
              <w:rPr>
                <w:rFonts w:ascii="宋体" w:hAnsi="宋体" w:cs="Arial"/>
                <w:sz w:val="24"/>
              </w:rPr>
              <w:t>采购代理机构留存</w:t>
            </w:r>
            <w:r>
              <w:rPr>
                <w:rFonts w:hint="eastAsia" w:ascii="宋体" w:hAnsi="宋体" w:cs="Arial"/>
                <w:sz w:val="24"/>
              </w:rPr>
              <w:t>叁</w:t>
            </w:r>
            <w:r>
              <w:rPr>
                <w:rFonts w:ascii="宋体" w:hAnsi="宋体" w:cs="Arial"/>
                <w:sz w:val="24"/>
              </w:rPr>
              <w:t>份原件备案。</w:t>
            </w:r>
          </w:p>
          <w:p w14:paraId="5411398F">
            <w:pPr>
              <w:spacing w:line="360" w:lineRule="auto"/>
              <w:rPr>
                <w:rFonts w:ascii="宋体" w:hAnsi="宋体" w:cs="Arial"/>
                <w:sz w:val="24"/>
              </w:rPr>
            </w:pPr>
            <w:r>
              <w:rPr>
                <w:rFonts w:ascii="宋体" w:hAnsi="宋体" w:cs="Arial"/>
                <w:sz w:val="24"/>
              </w:rPr>
              <w:t>合同返回地址：</w:t>
            </w:r>
            <w:r>
              <w:rPr>
                <w:rFonts w:hint="eastAsia" w:ascii="宋体" w:hAnsi="宋体"/>
                <w:kern w:val="0"/>
                <w:sz w:val="24"/>
                <w:lang w:eastAsia="zh-CN"/>
              </w:rPr>
              <w:t>西宁市城西区盐湖巷6号10号楼（城西区总部经济大厦)16楼</w:t>
            </w:r>
            <w:r>
              <w:rPr>
                <w:rFonts w:hint="eastAsia" w:ascii="宋体" w:hAnsi="宋体"/>
                <w:kern w:val="0"/>
                <w:sz w:val="24"/>
              </w:rPr>
              <w:t>青海国焱工程项目管理有限公司</w:t>
            </w:r>
          </w:p>
        </w:tc>
      </w:tr>
      <w:tr w14:paraId="75F3220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48B34C">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5EF8238">
            <w:pPr>
              <w:autoSpaceDE w:val="0"/>
              <w:autoSpaceDN w:val="0"/>
              <w:spacing w:line="360" w:lineRule="auto"/>
              <w:rPr>
                <w:rFonts w:ascii="宋体" w:hAnsi="宋体" w:cs="宋体"/>
                <w:bCs/>
                <w:kern w:val="0"/>
                <w:sz w:val="24"/>
                <w:lang w:val="zh-CN"/>
              </w:rPr>
            </w:pPr>
            <w:r>
              <w:rPr>
                <w:rFonts w:hint="eastAsia" w:ascii="宋体" w:hAnsi="宋体" w:cs="宋体"/>
                <w:bCs/>
                <w:kern w:val="0"/>
                <w:sz w:val="24"/>
                <w:lang w:val="zh-CN"/>
              </w:rPr>
              <w:t>磋商有效期</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453D3B89">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本次磋商有效期为磋商之日起60个</w:t>
            </w:r>
            <w:r>
              <w:rPr>
                <w:rFonts w:hint="eastAsia" w:ascii="宋体" w:hAnsi="宋体" w:eastAsia="宋体" w:cs="宋体"/>
                <w:color w:val="000000"/>
                <w:kern w:val="0"/>
                <w:sz w:val="24"/>
                <w:lang w:val="en-US" w:eastAsia="zh-CN"/>
              </w:rPr>
              <w:t>日历</w:t>
            </w:r>
            <w:r>
              <w:rPr>
                <w:rFonts w:hint="eastAsia" w:ascii="宋体" w:hAnsi="宋体" w:eastAsia="宋体" w:cs="宋体"/>
                <w:color w:val="000000"/>
                <w:kern w:val="0"/>
                <w:sz w:val="24"/>
                <w:lang w:val="zh-CN"/>
              </w:rPr>
              <w:t>日</w:t>
            </w:r>
          </w:p>
        </w:tc>
      </w:tr>
      <w:tr w14:paraId="7CB1E3D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DFED0AB">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7ACCBA7">
            <w:pPr>
              <w:autoSpaceDE w:val="0"/>
              <w:autoSpaceDN w:val="0"/>
              <w:spacing w:line="360" w:lineRule="auto"/>
              <w:rPr>
                <w:rFonts w:ascii="宋体" w:hAnsi="宋体" w:cs="宋体"/>
                <w:bCs/>
                <w:kern w:val="0"/>
                <w:sz w:val="24"/>
                <w:lang w:val="zh-CN"/>
              </w:rPr>
            </w:pPr>
            <w:r>
              <w:rPr>
                <w:rFonts w:hint="eastAsia" w:ascii="宋体" w:hAnsi="宋体" w:cs="宋体"/>
                <w:bCs/>
                <w:kern w:val="0"/>
                <w:sz w:val="24"/>
                <w:lang w:val="zh-CN"/>
              </w:rPr>
              <w:t>其他要求</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2F431519">
            <w:pPr>
              <w:pStyle w:val="89"/>
              <w:numPr>
                <w:ilvl w:val="0"/>
                <w:numId w:val="0"/>
              </w:numPr>
              <w:spacing w:line="360" w:lineRule="auto"/>
              <w:ind w:leftChars="0"/>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本公告于《青海大学官网》、《青海项目信息网》、《青海省电子招投标公共服务平台》同时发布。</w:t>
            </w:r>
          </w:p>
        </w:tc>
      </w:tr>
    </w:tbl>
    <w:p w14:paraId="6E5AA2EC">
      <w:pPr>
        <w:pStyle w:val="24"/>
        <w:spacing w:before="0" w:after="0" w:line="360" w:lineRule="auto"/>
        <w:rPr>
          <w:rFonts w:ascii="宋体" w:hAnsi="宋体"/>
          <w:sz w:val="48"/>
          <w:szCs w:val="48"/>
          <w:lang w:val="zh-CN"/>
        </w:rPr>
      </w:pPr>
      <w:r>
        <w:rPr>
          <w:rFonts w:ascii="宋体" w:hAnsi="宋体"/>
          <w:b w:val="0"/>
          <w:sz w:val="24"/>
          <w:szCs w:val="24"/>
        </w:rPr>
        <w:br w:type="page"/>
      </w:r>
      <w:bookmarkStart w:id="11" w:name="_Toc21397"/>
      <w:bookmarkStart w:id="12" w:name="_Toc444715734"/>
      <w:r>
        <w:rPr>
          <w:rFonts w:hint="eastAsia" w:ascii="宋体" w:hAnsi="宋体"/>
          <w:sz w:val="48"/>
          <w:szCs w:val="48"/>
        </w:rPr>
        <w:t>第三部分  磋商供应商须知</w:t>
      </w:r>
      <w:bookmarkEnd w:id="11"/>
      <w:bookmarkEnd w:id="12"/>
    </w:p>
    <w:p w14:paraId="17FF6EA5">
      <w:pPr>
        <w:pStyle w:val="5"/>
        <w:ind w:left="709"/>
        <w:rPr>
          <w:rFonts w:hAnsi="宋体"/>
          <w:b/>
          <w:sz w:val="24"/>
          <w:szCs w:val="24"/>
        </w:rPr>
      </w:pPr>
      <w:bookmarkStart w:id="13" w:name="_Toc25119"/>
      <w:r>
        <w:rPr>
          <w:rFonts w:hint="eastAsia" w:hAnsi="宋体"/>
          <w:b/>
          <w:sz w:val="24"/>
          <w:szCs w:val="24"/>
        </w:rPr>
        <w:t>说明</w:t>
      </w:r>
      <w:bookmarkEnd w:id="13"/>
    </w:p>
    <w:p w14:paraId="6C7D0C59">
      <w:pPr>
        <w:pStyle w:val="6"/>
        <w:numPr>
          <w:ilvl w:val="0"/>
          <w:numId w:val="3"/>
        </w:numPr>
        <w:spacing w:before="0" w:after="0" w:line="360" w:lineRule="auto"/>
        <w:rPr>
          <w:rFonts w:ascii="宋体" w:hAnsi="宋体"/>
          <w:b w:val="0"/>
          <w:sz w:val="24"/>
          <w:szCs w:val="24"/>
        </w:rPr>
      </w:pPr>
      <w:bookmarkStart w:id="14" w:name="_Toc446427794"/>
      <w:bookmarkStart w:id="15" w:name="_Toc24304"/>
      <w:bookmarkStart w:id="16" w:name="_Toc459377860"/>
      <w:bookmarkStart w:id="17" w:name="_Toc488691479"/>
      <w:bookmarkStart w:id="18" w:name="_Toc495570969"/>
      <w:r>
        <w:rPr>
          <w:rFonts w:ascii="宋体" w:hAnsi="宋体"/>
          <w:b w:val="0"/>
          <w:sz w:val="24"/>
          <w:szCs w:val="24"/>
        </w:rPr>
        <w:t>磋商内容及要求</w:t>
      </w:r>
      <w:bookmarkEnd w:id="14"/>
      <w:bookmarkEnd w:id="15"/>
      <w:bookmarkEnd w:id="16"/>
      <w:bookmarkEnd w:id="17"/>
      <w:bookmarkEnd w:id="18"/>
    </w:p>
    <w:p w14:paraId="68872BF9">
      <w:pPr>
        <w:pStyle w:val="18"/>
        <w:spacing w:line="360" w:lineRule="auto"/>
        <w:ind w:firstLine="480" w:firstLineChars="200"/>
        <w:rPr>
          <w:rFonts w:hAnsi="宋体"/>
          <w:sz w:val="24"/>
          <w:szCs w:val="24"/>
        </w:rPr>
      </w:pPr>
      <w:r>
        <w:rPr>
          <w:rFonts w:hint="eastAsia" w:hAnsi="宋体"/>
          <w:sz w:val="24"/>
          <w:szCs w:val="24"/>
        </w:rPr>
        <w:t>本次采购依据采购单位的采购计划，仅适用于本竞争性磋商文件（以下简称“磋商文件”）中所叙述的项目。</w:t>
      </w:r>
    </w:p>
    <w:p w14:paraId="0460CC6B">
      <w:pPr>
        <w:pStyle w:val="6"/>
        <w:numPr>
          <w:ilvl w:val="0"/>
          <w:numId w:val="3"/>
        </w:numPr>
        <w:spacing w:before="0" w:after="0" w:line="360" w:lineRule="auto"/>
        <w:rPr>
          <w:rFonts w:ascii="宋体" w:hAnsi="宋体"/>
          <w:b w:val="0"/>
          <w:sz w:val="24"/>
          <w:szCs w:val="24"/>
        </w:rPr>
      </w:pPr>
      <w:bookmarkStart w:id="19" w:name="_Toc488673614"/>
      <w:bookmarkStart w:id="20" w:name="_Toc26082"/>
      <w:r>
        <w:rPr>
          <w:rFonts w:hint="eastAsia" w:ascii="宋体" w:hAnsi="宋体"/>
          <w:b w:val="0"/>
          <w:sz w:val="24"/>
          <w:szCs w:val="24"/>
        </w:rPr>
        <w:t>采购方式、合格的磋商供应商</w:t>
      </w:r>
      <w:bookmarkEnd w:id="19"/>
      <w:bookmarkEnd w:id="20"/>
    </w:p>
    <w:p w14:paraId="3E359AFF">
      <w:pPr>
        <w:pStyle w:val="18"/>
        <w:numPr>
          <w:ilvl w:val="1"/>
          <w:numId w:val="4"/>
        </w:numPr>
        <w:spacing w:line="360" w:lineRule="auto"/>
        <w:rPr>
          <w:rFonts w:hAnsi="宋体"/>
          <w:sz w:val="24"/>
          <w:szCs w:val="24"/>
        </w:rPr>
      </w:pPr>
      <w:r>
        <w:rPr>
          <w:rFonts w:hint="eastAsia" w:hAnsi="宋体"/>
          <w:sz w:val="24"/>
          <w:szCs w:val="24"/>
        </w:rPr>
        <w:t>本次磋商采取竞争性磋商方式；</w:t>
      </w:r>
    </w:p>
    <w:p w14:paraId="0198B0F5">
      <w:pPr>
        <w:pStyle w:val="18"/>
        <w:numPr>
          <w:ilvl w:val="1"/>
          <w:numId w:val="4"/>
        </w:numPr>
        <w:spacing w:line="360" w:lineRule="auto"/>
        <w:rPr>
          <w:rFonts w:hAnsi="宋体"/>
          <w:sz w:val="24"/>
          <w:szCs w:val="24"/>
        </w:rPr>
      </w:pPr>
      <w:r>
        <w:rPr>
          <w:rFonts w:hAnsi="宋体" w:cs="Arial"/>
          <w:sz w:val="24"/>
          <w:szCs w:val="24"/>
        </w:rPr>
        <w:t>合格的磋商供应商：</w:t>
      </w:r>
    </w:p>
    <w:p w14:paraId="71B62E4A">
      <w:pPr>
        <w:pStyle w:val="49"/>
        <w:numPr>
          <w:ilvl w:val="0"/>
          <w:numId w:val="5"/>
        </w:numPr>
        <w:spacing w:line="360" w:lineRule="auto"/>
        <w:rPr>
          <w:rFonts w:ascii="宋体" w:hAnsi="宋体"/>
          <w:kern w:val="0"/>
          <w:sz w:val="24"/>
        </w:rPr>
      </w:pPr>
      <w:r>
        <w:rPr>
          <w:rFonts w:hint="eastAsia" w:ascii="宋体" w:hAnsi="宋体"/>
          <w:kern w:val="0"/>
          <w:sz w:val="24"/>
        </w:rPr>
        <w:t>参加政府采购活动的供应商应当具备政府采购法第二十二条第一款规定的条件，提供下列材料：</w:t>
      </w:r>
    </w:p>
    <w:p w14:paraId="52C61CF7">
      <w:pPr>
        <w:numPr>
          <w:ilvl w:val="0"/>
          <w:numId w:val="6"/>
        </w:numPr>
        <w:spacing w:line="360" w:lineRule="auto"/>
        <w:rPr>
          <w:rFonts w:ascii="宋体" w:hAnsi="宋体"/>
          <w:kern w:val="0"/>
          <w:sz w:val="24"/>
        </w:rPr>
      </w:pPr>
      <w:r>
        <w:rPr>
          <w:rFonts w:hint="eastAsia" w:ascii="宋体" w:hAnsi="宋体"/>
          <w:kern w:val="0"/>
          <w:sz w:val="24"/>
        </w:rPr>
        <w:t>磋商人的营业执照等证明文件，自然人的身份证明。</w:t>
      </w:r>
    </w:p>
    <w:p w14:paraId="60FCD86B">
      <w:pPr>
        <w:numPr>
          <w:ilvl w:val="0"/>
          <w:numId w:val="6"/>
        </w:numPr>
        <w:spacing w:line="360" w:lineRule="auto"/>
        <w:rPr>
          <w:rFonts w:ascii="宋体" w:hAnsi="宋体"/>
          <w:kern w:val="0"/>
          <w:sz w:val="24"/>
        </w:rPr>
      </w:pPr>
      <w:r>
        <w:rPr>
          <w:rFonts w:hint="eastAsia" w:ascii="宋体" w:hAnsi="宋体"/>
          <w:kern w:val="0"/>
          <w:sz w:val="24"/>
        </w:rPr>
        <w:t>财务状况报告，依法缴纳税收和社会保障资金的相关材料。</w:t>
      </w:r>
    </w:p>
    <w:p w14:paraId="33091C02">
      <w:pPr>
        <w:numPr>
          <w:ilvl w:val="0"/>
          <w:numId w:val="6"/>
        </w:numPr>
        <w:spacing w:line="360" w:lineRule="auto"/>
        <w:rPr>
          <w:rFonts w:ascii="宋体" w:hAnsi="宋体"/>
          <w:kern w:val="0"/>
          <w:sz w:val="24"/>
        </w:rPr>
      </w:pPr>
      <w:r>
        <w:rPr>
          <w:rFonts w:hint="eastAsia" w:ascii="宋体" w:hAnsi="宋体"/>
          <w:kern w:val="0"/>
          <w:sz w:val="24"/>
        </w:rPr>
        <w:t>具备履行合同所必需的设备和专业技术能力的证明材料。</w:t>
      </w:r>
    </w:p>
    <w:p w14:paraId="7E50E673">
      <w:pPr>
        <w:numPr>
          <w:ilvl w:val="0"/>
          <w:numId w:val="6"/>
        </w:numPr>
        <w:spacing w:line="360" w:lineRule="auto"/>
        <w:rPr>
          <w:rFonts w:ascii="宋体" w:hAnsi="宋体"/>
          <w:kern w:val="0"/>
          <w:sz w:val="24"/>
        </w:rPr>
      </w:pPr>
      <w:r>
        <w:rPr>
          <w:rFonts w:hint="eastAsia" w:ascii="宋体" w:hAnsi="宋体"/>
          <w:kern w:val="0"/>
          <w:sz w:val="24"/>
        </w:rPr>
        <w:t>参加政府采购活动前3年内在经营活动中没有重大违法记录的书面声明。</w:t>
      </w:r>
    </w:p>
    <w:p w14:paraId="755319B2">
      <w:pPr>
        <w:numPr>
          <w:ilvl w:val="0"/>
          <w:numId w:val="6"/>
        </w:numPr>
        <w:spacing w:line="360" w:lineRule="auto"/>
        <w:rPr>
          <w:rFonts w:ascii="宋体" w:hAnsi="宋体"/>
          <w:kern w:val="0"/>
          <w:sz w:val="24"/>
        </w:rPr>
      </w:pPr>
      <w:r>
        <w:rPr>
          <w:rFonts w:hint="eastAsia" w:ascii="宋体" w:hAnsi="宋体"/>
          <w:kern w:val="0"/>
          <w:sz w:val="24"/>
        </w:rPr>
        <w:t>具备法律、行政法规规定的其他条件的证明材料。</w:t>
      </w:r>
    </w:p>
    <w:p w14:paraId="31933D5B">
      <w:pPr>
        <w:numPr>
          <w:ilvl w:val="0"/>
          <w:numId w:val="5"/>
        </w:numPr>
        <w:spacing w:line="360" w:lineRule="auto"/>
        <w:rPr>
          <w:rFonts w:ascii="宋体" w:hAnsi="宋体"/>
          <w:kern w:val="0"/>
          <w:sz w:val="24"/>
        </w:rPr>
      </w:pPr>
      <w:r>
        <w:rPr>
          <w:rFonts w:hint="eastAsia" w:ascii="宋体" w:hAnsi="宋体"/>
          <w:kern w:val="0"/>
          <w:sz w:val="24"/>
        </w:rPr>
        <w:t>单位负责人为同一人或者存在直接控股、管理关系的不同供应商，不得参加同一合同项下的政府采购活动。否则，皆取消磋商资格；</w:t>
      </w:r>
    </w:p>
    <w:p w14:paraId="2F29EC92">
      <w:pPr>
        <w:numPr>
          <w:ilvl w:val="0"/>
          <w:numId w:val="5"/>
        </w:numPr>
        <w:spacing w:line="360" w:lineRule="auto"/>
        <w:rPr>
          <w:rFonts w:ascii="宋体" w:hAnsi="宋体"/>
          <w:kern w:val="0"/>
          <w:sz w:val="24"/>
        </w:rPr>
      </w:pPr>
      <w:r>
        <w:rPr>
          <w:rFonts w:hint="eastAsia" w:ascii="宋体" w:hAnsi="宋体"/>
          <w:kern w:val="0"/>
          <w:sz w:val="24"/>
        </w:rPr>
        <w:t>符合、承认并承诺履行本磋商文件各项规定，所提供的货物和服务须在我国境内合法生产销售的；</w:t>
      </w:r>
    </w:p>
    <w:p w14:paraId="47F8FB4F">
      <w:pPr>
        <w:numPr>
          <w:ilvl w:val="0"/>
          <w:numId w:val="5"/>
        </w:numPr>
        <w:spacing w:line="360" w:lineRule="auto"/>
        <w:rPr>
          <w:rFonts w:ascii="宋体" w:hAnsi="宋体"/>
          <w:kern w:val="0"/>
          <w:sz w:val="24"/>
        </w:rPr>
      </w:pPr>
      <w:r>
        <w:rPr>
          <w:rFonts w:hint="eastAsia" w:ascii="宋体" w:hAnsi="宋体" w:cs="宋体"/>
          <w:kern w:val="0"/>
          <w:sz w:val="24"/>
          <w:lang w:val="zh-CN"/>
        </w:rPr>
        <w:t>经信用中</w:t>
      </w:r>
      <w:r>
        <w:rPr>
          <w:rFonts w:hint="eastAsia" w:ascii="宋体" w:hAnsi="宋体"/>
          <w:kern w:val="0"/>
          <w:sz w:val="24"/>
        </w:rPr>
        <w:t>国（www.creditchina.gov.cn）、中国政府采购网（www.ccgp.gov.cn）等渠道查询后，列入失信被执行人、</w:t>
      </w:r>
      <w:r>
        <w:rPr>
          <w:rFonts w:hint="eastAsia" w:ascii="宋体" w:hAnsi="宋体" w:eastAsia="宋体" w:cs="宋体"/>
          <w:kern w:val="2"/>
          <w:sz w:val="24"/>
          <w:szCs w:val="24"/>
          <w:lang w:val="zh-CN" w:eastAsia="zh-CN" w:bidi="ar-SA"/>
        </w:rPr>
        <w:t>重大税收违法失信主体</w:t>
      </w:r>
      <w:r>
        <w:rPr>
          <w:rFonts w:hint="eastAsia" w:ascii="宋体" w:hAnsi="宋体"/>
          <w:kern w:val="0"/>
          <w:sz w:val="24"/>
        </w:rPr>
        <w:t>、政府采购严重违法失信行为记录名单的，取消投标资格(提供“信用中国”网站的查询截图)；</w:t>
      </w:r>
    </w:p>
    <w:p w14:paraId="7B12B299">
      <w:pPr>
        <w:numPr>
          <w:ilvl w:val="0"/>
          <w:numId w:val="5"/>
        </w:numPr>
        <w:spacing w:line="360" w:lineRule="auto"/>
        <w:rPr>
          <w:rFonts w:ascii="宋体" w:hAnsi="宋体"/>
          <w:kern w:val="0"/>
          <w:sz w:val="24"/>
        </w:rPr>
      </w:pPr>
      <w:r>
        <w:rPr>
          <w:rFonts w:hint="eastAsia" w:ascii="宋体" w:hAnsi="宋体" w:cs="宋体"/>
          <w:kern w:val="0"/>
          <w:sz w:val="24"/>
          <w:lang w:val="zh-CN"/>
        </w:rPr>
        <w:t>本项目不接受磋商人以联合体方式进行投标</w:t>
      </w:r>
      <w:r>
        <w:rPr>
          <w:rFonts w:hint="eastAsia" w:ascii="宋体" w:hAnsi="宋体"/>
          <w:kern w:val="0"/>
          <w:sz w:val="24"/>
        </w:rPr>
        <w:t>。</w:t>
      </w:r>
    </w:p>
    <w:p w14:paraId="38A97400">
      <w:pPr>
        <w:pStyle w:val="6"/>
        <w:numPr>
          <w:ilvl w:val="0"/>
          <w:numId w:val="3"/>
        </w:numPr>
        <w:spacing w:before="0" w:after="0" w:line="360" w:lineRule="auto"/>
        <w:rPr>
          <w:rFonts w:ascii="宋体" w:hAnsi="宋体"/>
          <w:b w:val="0"/>
          <w:sz w:val="24"/>
          <w:szCs w:val="24"/>
        </w:rPr>
      </w:pPr>
      <w:bookmarkStart w:id="21" w:name="_Toc13513"/>
      <w:bookmarkStart w:id="22" w:name="_Toc488673615"/>
      <w:r>
        <w:rPr>
          <w:rFonts w:hint="eastAsia" w:ascii="宋体" w:hAnsi="宋体"/>
          <w:b w:val="0"/>
          <w:sz w:val="24"/>
          <w:szCs w:val="24"/>
        </w:rPr>
        <w:t>磋商费用</w:t>
      </w:r>
      <w:bookmarkEnd w:id="21"/>
      <w:bookmarkEnd w:id="22"/>
    </w:p>
    <w:p w14:paraId="5E16A41A">
      <w:pPr>
        <w:pStyle w:val="18"/>
        <w:spacing w:line="360" w:lineRule="auto"/>
        <w:ind w:firstLine="480" w:firstLineChars="200"/>
        <w:rPr>
          <w:rFonts w:hAnsi="宋体"/>
          <w:b/>
          <w:sz w:val="24"/>
          <w:szCs w:val="24"/>
        </w:rPr>
      </w:pPr>
      <w:r>
        <w:rPr>
          <w:rFonts w:hint="eastAsia" w:hAnsi="宋体"/>
          <w:sz w:val="24"/>
          <w:szCs w:val="24"/>
        </w:rPr>
        <w:t>磋商供应商应自愿承担与参加本次磋商有关的费用。采购代理机构对磋商供应商发生的费用不承担任何责任。</w:t>
      </w:r>
    </w:p>
    <w:p w14:paraId="27BB2648">
      <w:pPr>
        <w:pStyle w:val="5"/>
        <w:ind w:left="709"/>
        <w:rPr>
          <w:rFonts w:hAnsi="宋体"/>
          <w:b/>
          <w:sz w:val="24"/>
          <w:szCs w:val="24"/>
        </w:rPr>
      </w:pPr>
      <w:bookmarkStart w:id="23" w:name="_Toc18702"/>
      <w:r>
        <w:rPr>
          <w:rFonts w:hint="eastAsia" w:hAnsi="宋体"/>
          <w:b/>
          <w:sz w:val="24"/>
          <w:szCs w:val="24"/>
        </w:rPr>
        <w:t>磋商文件说明</w:t>
      </w:r>
      <w:bookmarkEnd w:id="23"/>
    </w:p>
    <w:p w14:paraId="312202A9">
      <w:pPr>
        <w:pStyle w:val="6"/>
        <w:numPr>
          <w:ilvl w:val="0"/>
          <w:numId w:val="3"/>
        </w:numPr>
        <w:spacing w:before="0" w:after="0" w:line="360" w:lineRule="auto"/>
        <w:rPr>
          <w:rFonts w:ascii="宋体" w:hAnsi="宋体"/>
          <w:b w:val="0"/>
          <w:sz w:val="24"/>
          <w:szCs w:val="24"/>
        </w:rPr>
      </w:pPr>
      <w:bookmarkStart w:id="24" w:name="_Toc17606"/>
      <w:bookmarkStart w:id="25" w:name="_Toc488673617"/>
      <w:r>
        <w:rPr>
          <w:rFonts w:hint="eastAsia" w:ascii="宋体" w:hAnsi="宋体"/>
          <w:b w:val="0"/>
          <w:sz w:val="24"/>
          <w:szCs w:val="24"/>
        </w:rPr>
        <w:t>磋商文件的构成</w:t>
      </w:r>
      <w:bookmarkEnd w:id="24"/>
      <w:bookmarkEnd w:id="25"/>
    </w:p>
    <w:p w14:paraId="6E1D916B">
      <w:pPr>
        <w:pStyle w:val="18"/>
        <w:numPr>
          <w:ilvl w:val="1"/>
          <w:numId w:val="7"/>
        </w:numPr>
        <w:spacing w:line="360" w:lineRule="auto"/>
        <w:rPr>
          <w:rFonts w:hAnsi="宋体"/>
          <w:sz w:val="24"/>
          <w:szCs w:val="24"/>
        </w:rPr>
      </w:pPr>
      <w:r>
        <w:rPr>
          <w:rFonts w:hint="eastAsia" w:hAnsi="宋体"/>
          <w:sz w:val="24"/>
          <w:szCs w:val="24"/>
        </w:rPr>
        <w:t>磋商文件包括：</w:t>
      </w:r>
    </w:p>
    <w:p w14:paraId="4ED07E34">
      <w:pPr>
        <w:pStyle w:val="18"/>
        <w:numPr>
          <w:ilvl w:val="0"/>
          <w:numId w:val="8"/>
        </w:numPr>
        <w:spacing w:line="360" w:lineRule="auto"/>
        <w:rPr>
          <w:rFonts w:hAnsi="宋体" w:cs="Arial"/>
          <w:sz w:val="24"/>
          <w:szCs w:val="24"/>
        </w:rPr>
      </w:pPr>
      <w:r>
        <w:rPr>
          <w:rFonts w:hint="eastAsia" w:hAnsi="宋体" w:cs="Arial"/>
          <w:sz w:val="24"/>
          <w:szCs w:val="24"/>
        </w:rPr>
        <w:t>磋商邀请；</w:t>
      </w:r>
    </w:p>
    <w:p w14:paraId="00E806F1">
      <w:pPr>
        <w:pStyle w:val="18"/>
        <w:numPr>
          <w:ilvl w:val="0"/>
          <w:numId w:val="8"/>
        </w:numPr>
        <w:spacing w:line="360" w:lineRule="auto"/>
        <w:rPr>
          <w:rFonts w:hAnsi="宋体" w:cs="Arial"/>
          <w:sz w:val="24"/>
          <w:szCs w:val="24"/>
        </w:rPr>
      </w:pPr>
      <w:r>
        <w:rPr>
          <w:rFonts w:hint="eastAsia" w:hAnsi="宋体" w:cs="Arial"/>
          <w:sz w:val="24"/>
          <w:szCs w:val="24"/>
        </w:rPr>
        <w:t>磋商供应商须知前附表；</w:t>
      </w:r>
    </w:p>
    <w:p w14:paraId="664C0EF4">
      <w:pPr>
        <w:pStyle w:val="18"/>
        <w:numPr>
          <w:ilvl w:val="0"/>
          <w:numId w:val="8"/>
        </w:numPr>
        <w:spacing w:line="360" w:lineRule="auto"/>
        <w:rPr>
          <w:rFonts w:hAnsi="宋体" w:cs="Arial"/>
          <w:sz w:val="24"/>
          <w:szCs w:val="24"/>
        </w:rPr>
      </w:pPr>
      <w:r>
        <w:rPr>
          <w:rFonts w:hint="eastAsia" w:hAnsi="宋体" w:cs="Arial"/>
          <w:sz w:val="24"/>
          <w:szCs w:val="24"/>
        </w:rPr>
        <w:t>磋商供应商须知；</w:t>
      </w:r>
    </w:p>
    <w:p w14:paraId="6961E38F">
      <w:pPr>
        <w:pStyle w:val="18"/>
        <w:numPr>
          <w:ilvl w:val="0"/>
          <w:numId w:val="8"/>
        </w:numPr>
        <w:spacing w:line="360" w:lineRule="auto"/>
        <w:rPr>
          <w:rFonts w:hAnsi="宋体" w:cs="Arial"/>
          <w:sz w:val="24"/>
          <w:szCs w:val="24"/>
        </w:rPr>
      </w:pPr>
      <w:r>
        <w:rPr>
          <w:rFonts w:hint="eastAsia" w:hAnsi="宋体" w:cs="Arial"/>
          <w:sz w:val="24"/>
          <w:szCs w:val="24"/>
        </w:rPr>
        <w:t>青海省政府采购合同文本样式；</w:t>
      </w:r>
    </w:p>
    <w:p w14:paraId="017378F6">
      <w:pPr>
        <w:pStyle w:val="18"/>
        <w:numPr>
          <w:ilvl w:val="0"/>
          <w:numId w:val="8"/>
        </w:numPr>
        <w:spacing w:line="360" w:lineRule="auto"/>
        <w:rPr>
          <w:rFonts w:hAnsi="宋体" w:cs="Arial"/>
          <w:sz w:val="24"/>
          <w:szCs w:val="24"/>
        </w:rPr>
      </w:pPr>
      <w:r>
        <w:rPr>
          <w:rFonts w:hint="eastAsia" w:hAnsi="宋体" w:cs="Arial"/>
          <w:sz w:val="24"/>
          <w:szCs w:val="24"/>
        </w:rPr>
        <w:t>磋商响应文件格式；</w:t>
      </w:r>
    </w:p>
    <w:p w14:paraId="363A7E38">
      <w:pPr>
        <w:pStyle w:val="18"/>
        <w:numPr>
          <w:ilvl w:val="0"/>
          <w:numId w:val="8"/>
        </w:numPr>
        <w:spacing w:line="360" w:lineRule="auto"/>
        <w:rPr>
          <w:rFonts w:hAnsi="宋体" w:cs="Arial"/>
          <w:sz w:val="24"/>
          <w:szCs w:val="24"/>
        </w:rPr>
      </w:pPr>
      <w:r>
        <w:rPr>
          <w:rFonts w:hint="eastAsia" w:hAnsi="宋体" w:cs="Arial"/>
          <w:sz w:val="24"/>
          <w:szCs w:val="24"/>
        </w:rPr>
        <w:t>采购项目要求及技术参数；</w:t>
      </w:r>
    </w:p>
    <w:p w14:paraId="59690B5E">
      <w:pPr>
        <w:pStyle w:val="18"/>
        <w:numPr>
          <w:ilvl w:val="0"/>
          <w:numId w:val="8"/>
        </w:numPr>
        <w:spacing w:line="360" w:lineRule="auto"/>
        <w:rPr>
          <w:rFonts w:hAnsi="宋体" w:cs="Arial"/>
          <w:sz w:val="24"/>
          <w:szCs w:val="24"/>
        </w:rPr>
      </w:pPr>
      <w:r>
        <w:rPr>
          <w:rFonts w:hint="eastAsia" w:hAnsi="宋体" w:cs="Arial"/>
          <w:sz w:val="24"/>
          <w:szCs w:val="24"/>
        </w:rPr>
        <w:t>采购过程中发生的澄清、变更和补充文件；</w:t>
      </w:r>
    </w:p>
    <w:p w14:paraId="76D63344">
      <w:pPr>
        <w:pStyle w:val="18"/>
        <w:numPr>
          <w:ilvl w:val="1"/>
          <w:numId w:val="7"/>
        </w:numPr>
        <w:spacing w:line="360" w:lineRule="auto"/>
        <w:rPr>
          <w:rFonts w:hAnsi="宋体"/>
          <w:sz w:val="24"/>
          <w:szCs w:val="24"/>
        </w:rPr>
      </w:pPr>
      <w:r>
        <w:rPr>
          <w:rFonts w:hint="eastAsia" w:hAnsi="宋体"/>
          <w:sz w:val="24"/>
          <w:szCs w:val="24"/>
        </w:rPr>
        <w:t>磋商供应商应认真阅读磋商文件中列示的事项、格式、条款和要求等内容。如果磋商供应商未按磋商文件要求提交全部资料，或者对磋商文件未作出实质性响应的，根据相关法规要求，此类磋商将被拒绝（视为无效磋商）。</w:t>
      </w:r>
    </w:p>
    <w:p w14:paraId="4DB532C1">
      <w:pPr>
        <w:pStyle w:val="6"/>
        <w:numPr>
          <w:ilvl w:val="0"/>
          <w:numId w:val="3"/>
        </w:numPr>
        <w:spacing w:before="0" w:after="0" w:line="360" w:lineRule="auto"/>
        <w:rPr>
          <w:rFonts w:ascii="宋体" w:hAnsi="宋体"/>
          <w:b w:val="0"/>
          <w:sz w:val="24"/>
          <w:szCs w:val="24"/>
        </w:rPr>
      </w:pPr>
      <w:bookmarkStart w:id="26" w:name="_Toc13751"/>
      <w:bookmarkStart w:id="27" w:name="_Toc488673618"/>
      <w:r>
        <w:rPr>
          <w:rFonts w:hint="eastAsia" w:ascii="宋体" w:hAnsi="宋体"/>
          <w:b w:val="0"/>
          <w:sz w:val="24"/>
          <w:szCs w:val="24"/>
        </w:rPr>
        <w:t>磋商文件、磋商活动和成交结果的质疑</w:t>
      </w:r>
      <w:bookmarkEnd w:id="26"/>
      <w:bookmarkEnd w:id="27"/>
    </w:p>
    <w:p w14:paraId="692A1A19">
      <w:pPr>
        <w:pStyle w:val="18"/>
        <w:numPr>
          <w:ilvl w:val="1"/>
          <w:numId w:val="9"/>
        </w:numPr>
        <w:spacing w:line="360" w:lineRule="auto"/>
        <w:rPr>
          <w:rFonts w:hAnsi="宋体"/>
          <w:sz w:val="24"/>
          <w:szCs w:val="24"/>
        </w:rPr>
      </w:pPr>
      <w:r>
        <w:rPr>
          <w:rFonts w:hint="eastAsia" w:hAnsi="宋体"/>
          <w:sz w:val="24"/>
          <w:szCs w:val="24"/>
        </w:rPr>
        <w:t>参加磋商的磋商供应商认为磋商文件、磋商活动和成交、成交结果使自己的权益受到损害的，可以在知道或者应知其权益受到损害之日起7个工作日内以书面形式（如信件、传真等）向采购单位或者采购代理机构提出质疑，不接受匿名质疑。潜在供应商已依法获取其可质疑的磋商文件的，可以对该文件提出质疑，对磋商文件提出质疑的，应当在获取磋商文件或者磋商文件公告期限届满之日起7个工作日内提出。供应商须在法定质疑期内一次性提出针对同一采购程序环节的质疑。采购人或采购代理机构在收到书面质疑函后7个工作日内作出答复。</w:t>
      </w:r>
    </w:p>
    <w:p w14:paraId="246A8FBB">
      <w:pPr>
        <w:pStyle w:val="18"/>
        <w:numPr>
          <w:ilvl w:val="1"/>
          <w:numId w:val="9"/>
        </w:numPr>
        <w:spacing w:line="360" w:lineRule="auto"/>
        <w:rPr>
          <w:rFonts w:hAnsi="宋体"/>
          <w:sz w:val="24"/>
          <w:szCs w:val="24"/>
        </w:rPr>
      </w:pPr>
      <w:r>
        <w:rPr>
          <w:rFonts w:hint="eastAsia" w:hAnsi="宋体"/>
          <w:sz w:val="24"/>
          <w:szCs w:val="24"/>
        </w:rPr>
        <w:t>参与采购活动的磋商人对评审过程或者结果提出质疑的，采购人或采购代理机构可以组织原评审委员会协助处理质疑事项，并依据评审委员会出具的意见进行答复。质疑事项处理完成后，采购人或采购代理机构应按照规定填写《青海省政府采购磋商人质疑处理情况表》，并在15日内报同级政府采购监督管理部门备案。</w:t>
      </w:r>
    </w:p>
    <w:p w14:paraId="3CB30692">
      <w:pPr>
        <w:pStyle w:val="18"/>
        <w:numPr>
          <w:ilvl w:val="1"/>
          <w:numId w:val="9"/>
        </w:numPr>
        <w:spacing w:line="360" w:lineRule="auto"/>
        <w:rPr>
          <w:rFonts w:hAnsi="宋体"/>
          <w:sz w:val="24"/>
          <w:szCs w:val="24"/>
        </w:rPr>
      </w:pPr>
      <w:r>
        <w:rPr>
          <w:rFonts w:hint="eastAsia" w:hAnsi="宋体"/>
          <w:sz w:val="24"/>
          <w:szCs w:val="24"/>
        </w:rPr>
        <w:t>质疑时效期间的计算</w:t>
      </w:r>
    </w:p>
    <w:p w14:paraId="33302BF3">
      <w:pPr>
        <w:pStyle w:val="18"/>
        <w:numPr>
          <w:ilvl w:val="0"/>
          <w:numId w:val="10"/>
        </w:numPr>
        <w:spacing w:line="360" w:lineRule="auto"/>
        <w:rPr>
          <w:rFonts w:hAnsi="宋体" w:cs="Arial"/>
          <w:sz w:val="24"/>
          <w:szCs w:val="24"/>
        </w:rPr>
      </w:pPr>
      <w:r>
        <w:rPr>
          <w:rFonts w:hint="eastAsia" w:hAnsi="宋体" w:cs="Arial"/>
          <w:sz w:val="24"/>
          <w:szCs w:val="24"/>
        </w:rPr>
        <w:t>对可以质疑的磋商文件提出质疑的，为收到磋商文件之日或磋商文件公告期限届满之日；</w:t>
      </w:r>
    </w:p>
    <w:p w14:paraId="058CDCFD">
      <w:pPr>
        <w:pStyle w:val="18"/>
        <w:numPr>
          <w:ilvl w:val="0"/>
          <w:numId w:val="10"/>
        </w:numPr>
        <w:spacing w:line="360" w:lineRule="auto"/>
        <w:rPr>
          <w:rFonts w:hAnsi="宋体" w:cs="Arial"/>
          <w:sz w:val="24"/>
          <w:szCs w:val="24"/>
        </w:rPr>
      </w:pPr>
      <w:r>
        <w:rPr>
          <w:rFonts w:hint="eastAsia" w:hAnsi="宋体" w:cs="Arial"/>
          <w:sz w:val="24"/>
          <w:szCs w:val="24"/>
        </w:rPr>
        <w:t>对磋商过程提出质疑的，为磋商程序各环节结束之日；</w:t>
      </w:r>
    </w:p>
    <w:p w14:paraId="5754B98D">
      <w:pPr>
        <w:pStyle w:val="18"/>
        <w:numPr>
          <w:ilvl w:val="0"/>
          <w:numId w:val="10"/>
        </w:numPr>
        <w:spacing w:line="360" w:lineRule="auto"/>
        <w:rPr>
          <w:rFonts w:hAnsi="宋体" w:cs="Arial"/>
          <w:sz w:val="24"/>
          <w:szCs w:val="24"/>
        </w:rPr>
      </w:pPr>
      <w:r>
        <w:rPr>
          <w:rFonts w:hint="eastAsia" w:hAnsi="宋体" w:cs="Arial"/>
          <w:sz w:val="24"/>
          <w:szCs w:val="24"/>
        </w:rPr>
        <w:t>对成交结果提出质疑的，为成交公告期限届满之日。</w:t>
      </w:r>
    </w:p>
    <w:p w14:paraId="229A3C5E">
      <w:pPr>
        <w:pStyle w:val="6"/>
        <w:numPr>
          <w:ilvl w:val="0"/>
          <w:numId w:val="3"/>
        </w:numPr>
        <w:spacing w:before="0" w:after="0" w:line="360" w:lineRule="auto"/>
        <w:rPr>
          <w:rFonts w:ascii="宋体" w:hAnsi="宋体"/>
          <w:b w:val="0"/>
          <w:sz w:val="24"/>
          <w:szCs w:val="24"/>
        </w:rPr>
      </w:pPr>
      <w:bookmarkStart w:id="28" w:name="_Toc488673619"/>
      <w:bookmarkStart w:id="29" w:name="_Toc19848"/>
      <w:r>
        <w:rPr>
          <w:rFonts w:hint="eastAsia" w:ascii="宋体" w:hAnsi="宋体"/>
          <w:b w:val="0"/>
          <w:sz w:val="24"/>
          <w:szCs w:val="24"/>
        </w:rPr>
        <w:t>磋商文件的修改</w:t>
      </w:r>
      <w:bookmarkEnd w:id="28"/>
      <w:bookmarkEnd w:id="29"/>
    </w:p>
    <w:p w14:paraId="20672CBB">
      <w:pPr>
        <w:pStyle w:val="18"/>
        <w:numPr>
          <w:ilvl w:val="1"/>
          <w:numId w:val="11"/>
        </w:numPr>
        <w:spacing w:line="360" w:lineRule="auto"/>
        <w:rPr>
          <w:rFonts w:hAnsi="宋体"/>
          <w:sz w:val="24"/>
          <w:szCs w:val="24"/>
        </w:rPr>
      </w:pPr>
      <w:r>
        <w:rPr>
          <w:rFonts w:hint="eastAsia" w:hAnsi="宋体"/>
          <w:sz w:val="24"/>
          <w:szCs w:val="24"/>
        </w:rPr>
        <w:t>在磋商截止期前，采购单位或采购代理机构可对磋商文件进行必要的修改或者澄清；</w:t>
      </w:r>
    </w:p>
    <w:p w14:paraId="5531DFEB">
      <w:pPr>
        <w:pStyle w:val="18"/>
        <w:numPr>
          <w:ilvl w:val="1"/>
          <w:numId w:val="11"/>
        </w:numPr>
        <w:spacing w:line="360" w:lineRule="auto"/>
        <w:rPr>
          <w:rFonts w:hAnsi="宋体"/>
          <w:sz w:val="24"/>
          <w:szCs w:val="24"/>
        </w:rPr>
      </w:pPr>
      <w:r>
        <w:rPr>
          <w:rFonts w:hint="eastAsia" w:hAnsi="宋体"/>
          <w:sz w:val="24"/>
          <w:szCs w:val="24"/>
        </w:rPr>
        <w:t>采购代理机构对已发出的磋商文件进行必要的澄清或者修改的，澄清或者修改的内容可能影响磋商响应文件编制的，在磋商文件要求提交磋商响应文件截止时间</w:t>
      </w:r>
      <w:r>
        <w:rPr>
          <w:rFonts w:hAnsi="宋体"/>
          <w:sz w:val="24"/>
          <w:szCs w:val="24"/>
        </w:rPr>
        <w:t>5</w:t>
      </w:r>
      <w:r>
        <w:rPr>
          <w:rFonts w:hint="eastAsia" w:hAnsi="宋体"/>
          <w:sz w:val="24"/>
          <w:szCs w:val="24"/>
        </w:rPr>
        <w:t>日前，在青海省电子招投标公共服务平台、青海项目信息网等媒体上发布公告。不足</w:t>
      </w:r>
      <w:r>
        <w:rPr>
          <w:rFonts w:hAnsi="宋体"/>
          <w:sz w:val="24"/>
          <w:szCs w:val="24"/>
        </w:rPr>
        <w:t>5</w:t>
      </w:r>
      <w:r>
        <w:rPr>
          <w:rFonts w:hint="eastAsia" w:hAnsi="宋体"/>
          <w:sz w:val="24"/>
          <w:szCs w:val="24"/>
        </w:rPr>
        <w:t>日的，顺延提交磋商响应文件的截止时间。该澄清或者修改的内容为磋商文件的组成部分；</w:t>
      </w:r>
    </w:p>
    <w:p w14:paraId="12460EC7">
      <w:pPr>
        <w:pStyle w:val="18"/>
        <w:numPr>
          <w:ilvl w:val="1"/>
          <w:numId w:val="11"/>
        </w:numPr>
        <w:spacing w:line="360" w:lineRule="auto"/>
        <w:rPr>
          <w:rFonts w:hAnsi="宋体"/>
          <w:sz w:val="24"/>
          <w:szCs w:val="24"/>
        </w:rPr>
      </w:pPr>
      <w:r>
        <w:rPr>
          <w:rFonts w:hint="eastAsia" w:hAnsi="宋体"/>
          <w:sz w:val="24"/>
          <w:szCs w:val="24"/>
        </w:rPr>
        <w:t>在磋商截止时间前，采购单位或采购代理机构可以视采购具体情况，延长磋商截止时间和磋商时间，并在磋商文件要求提交磋商响应文件的截止时间3日前，将变更时间以书面形式通知所有购买了磋商文件的潜在磋商供应商，同时在发布本次磋商公告的网站发布变更公告。</w:t>
      </w:r>
    </w:p>
    <w:p w14:paraId="2BECDEFC">
      <w:pPr>
        <w:pStyle w:val="5"/>
        <w:ind w:left="709"/>
        <w:rPr>
          <w:rFonts w:hAnsi="宋体"/>
          <w:b/>
          <w:sz w:val="24"/>
          <w:szCs w:val="24"/>
        </w:rPr>
      </w:pPr>
      <w:bookmarkStart w:id="30" w:name="_Toc16727"/>
      <w:r>
        <w:rPr>
          <w:rFonts w:hint="eastAsia" w:hAnsi="宋体"/>
          <w:b/>
          <w:sz w:val="24"/>
          <w:szCs w:val="24"/>
        </w:rPr>
        <w:t>磋商响应文件的编写</w:t>
      </w:r>
      <w:bookmarkEnd w:id="30"/>
    </w:p>
    <w:p w14:paraId="4B1D532D">
      <w:pPr>
        <w:pStyle w:val="6"/>
        <w:numPr>
          <w:ilvl w:val="0"/>
          <w:numId w:val="3"/>
        </w:numPr>
        <w:spacing w:before="0" w:after="0" w:line="360" w:lineRule="auto"/>
        <w:rPr>
          <w:rFonts w:ascii="宋体" w:hAnsi="宋体"/>
          <w:b w:val="0"/>
          <w:sz w:val="24"/>
          <w:szCs w:val="24"/>
        </w:rPr>
      </w:pPr>
      <w:bookmarkStart w:id="31" w:name="_Toc664"/>
      <w:bookmarkStart w:id="32" w:name="_Toc488673621"/>
      <w:r>
        <w:rPr>
          <w:rFonts w:hint="eastAsia" w:ascii="宋体" w:hAnsi="宋体"/>
          <w:b w:val="0"/>
          <w:sz w:val="24"/>
          <w:szCs w:val="24"/>
        </w:rPr>
        <w:t>磋商响应文件的语言及度量衡单位</w:t>
      </w:r>
      <w:bookmarkEnd w:id="31"/>
      <w:bookmarkEnd w:id="32"/>
    </w:p>
    <w:p w14:paraId="6833B105">
      <w:pPr>
        <w:pStyle w:val="18"/>
        <w:numPr>
          <w:ilvl w:val="1"/>
          <w:numId w:val="12"/>
        </w:numPr>
        <w:spacing w:line="360" w:lineRule="auto"/>
        <w:rPr>
          <w:rFonts w:hAnsi="宋体"/>
          <w:sz w:val="24"/>
          <w:szCs w:val="24"/>
        </w:rPr>
      </w:pPr>
      <w:r>
        <w:rPr>
          <w:rFonts w:hint="eastAsia" w:hAnsi="宋体"/>
          <w:sz w:val="24"/>
          <w:szCs w:val="24"/>
        </w:rPr>
        <w:t>磋商供应商提交的磋商响应文件以及磋商供应商与采购代理机构就此磋商发生的所有来往函电均应使用简体中文；</w:t>
      </w:r>
    </w:p>
    <w:p w14:paraId="6E80792E">
      <w:pPr>
        <w:pStyle w:val="18"/>
        <w:numPr>
          <w:ilvl w:val="1"/>
          <w:numId w:val="12"/>
        </w:numPr>
        <w:spacing w:line="360" w:lineRule="auto"/>
        <w:rPr>
          <w:rFonts w:hAnsi="宋体"/>
          <w:sz w:val="24"/>
          <w:szCs w:val="24"/>
        </w:rPr>
      </w:pPr>
      <w:r>
        <w:rPr>
          <w:rFonts w:hint="eastAsia" w:hAnsi="宋体"/>
          <w:sz w:val="24"/>
          <w:szCs w:val="24"/>
        </w:rPr>
        <w:t>除磋商文件中另有规定外，磋商文件所使用的度量衡单位，均须采用国家法定计量单位；</w:t>
      </w:r>
    </w:p>
    <w:p w14:paraId="0C236530">
      <w:pPr>
        <w:pStyle w:val="18"/>
        <w:numPr>
          <w:ilvl w:val="1"/>
          <w:numId w:val="12"/>
        </w:numPr>
        <w:spacing w:line="360" w:lineRule="auto"/>
        <w:rPr>
          <w:rFonts w:hAnsi="宋体"/>
          <w:sz w:val="24"/>
          <w:szCs w:val="24"/>
        </w:rPr>
      </w:pPr>
      <w:r>
        <w:rPr>
          <w:rFonts w:hint="eastAsia" w:hAnsi="宋体"/>
          <w:sz w:val="24"/>
          <w:szCs w:val="24"/>
        </w:rPr>
        <w:t>附有外文资料的须翻译成中文，并加盖磋商供应商公章，如果翻译的中文资料与外文资料出现差异与矛盾时，以中文为准，其准确性由磋商供应商负责。</w:t>
      </w:r>
    </w:p>
    <w:p w14:paraId="458B75E8">
      <w:pPr>
        <w:pStyle w:val="6"/>
        <w:numPr>
          <w:ilvl w:val="0"/>
          <w:numId w:val="3"/>
        </w:numPr>
        <w:spacing w:before="0" w:after="0" w:line="360" w:lineRule="auto"/>
        <w:rPr>
          <w:rFonts w:ascii="宋体" w:hAnsi="宋体"/>
          <w:b w:val="0"/>
          <w:sz w:val="24"/>
          <w:szCs w:val="24"/>
        </w:rPr>
      </w:pPr>
      <w:bookmarkStart w:id="33" w:name="_Toc15739"/>
      <w:bookmarkStart w:id="34" w:name="_Toc488673622"/>
      <w:r>
        <w:rPr>
          <w:rFonts w:hint="eastAsia" w:ascii="宋体" w:hAnsi="宋体"/>
          <w:b w:val="0"/>
          <w:sz w:val="24"/>
          <w:szCs w:val="24"/>
        </w:rPr>
        <w:t>磋商报价及币种</w:t>
      </w:r>
      <w:bookmarkEnd w:id="33"/>
      <w:bookmarkEnd w:id="34"/>
    </w:p>
    <w:p w14:paraId="49ED8692">
      <w:pPr>
        <w:pStyle w:val="18"/>
        <w:numPr>
          <w:ilvl w:val="1"/>
          <w:numId w:val="13"/>
        </w:numPr>
        <w:spacing w:line="360" w:lineRule="auto"/>
        <w:rPr>
          <w:rFonts w:hAnsi="宋体"/>
          <w:sz w:val="24"/>
          <w:szCs w:val="24"/>
        </w:rPr>
      </w:pPr>
      <w:r>
        <w:rPr>
          <w:rFonts w:hint="eastAsia" w:hAnsi="宋体"/>
          <w:sz w:val="24"/>
          <w:szCs w:val="24"/>
        </w:rPr>
        <w:t>磋商报价为磋商总价。磋商报价必须包括：</w:t>
      </w:r>
      <w:bookmarkStart w:id="35" w:name="_Hlk497466989"/>
      <w:r>
        <w:rPr>
          <w:rFonts w:hint="eastAsia" w:hAnsi="宋体"/>
          <w:sz w:val="24"/>
        </w:rPr>
        <w:t>产品费、检验费、手续费、保险费、售后服务费、税金、招标代理费以及其他不可预见费等全部费用</w:t>
      </w:r>
      <w:r>
        <w:rPr>
          <w:rFonts w:hint="eastAsia" w:hAnsi="宋体"/>
          <w:sz w:val="24"/>
          <w:szCs w:val="24"/>
        </w:rPr>
        <w:t>。（说明：具体内容应根据项目特点实事求是的填写）</w:t>
      </w:r>
      <w:bookmarkEnd w:id="35"/>
    </w:p>
    <w:p w14:paraId="374A73DC">
      <w:pPr>
        <w:pStyle w:val="18"/>
        <w:numPr>
          <w:ilvl w:val="1"/>
          <w:numId w:val="13"/>
        </w:numPr>
        <w:spacing w:line="360" w:lineRule="auto"/>
        <w:rPr>
          <w:rFonts w:hAnsi="宋体"/>
          <w:sz w:val="24"/>
          <w:szCs w:val="24"/>
        </w:rPr>
      </w:pPr>
      <w:r>
        <w:rPr>
          <w:rFonts w:hint="eastAsia" w:hAnsi="宋体"/>
          <w:sz w:val="24"/>
          <w:szCs w:val="24"/>
        </w:rPr>
        <w:t>磋商报价应注明有效期，有效期应与磋商有效期一致；</w:t>
      </w:r>
    </w:p>
    <w:p w14:paraId="7AA5142E">
      <w:pPr>
        <w:pStyle w:val="18"/>
        <w:numPr>
          <w:ilvl w:val="1"/>
          <w:numId w:val="13"/>
        </w:numPr>
        <w:spacing w:line="360" w:lineRule="auto"/>
        <w:rPr>
          <w:rFonts w:hAnsi="宋体"/>
          <w:sz w:val="24"/>
          <w:szCs w:val="24"/>
        </w:rPr>
      </w:pPr>
      <w:r>
        <w:rPr>
          <w:rFonts w:hint="eastAsia" w:hAnsi="宋体"/>
          <w:sz w:val="24"/>
          <w:szCs w:val="24"/>
        </w:rPr>
        <w:t>磋商供应商应根据磋商文件规定的格式完整填写所有内容，并保证所提供的全部资料真实可靠，自愿承担相应责任；</w:t>
      </w:r>
    </w:p>
    <w:p w14:paraId="06028875">
      <w:pPr>
        <w:pStyle w:val="18"/>
        <w:numPr>
          <w:ilvl w:val="1"/>
          <w:numId w:val="13"/>
        </w:numPr>
        <w:spacing w:line="360" w:lineRule="auto"/>
        <w:rPr>
          <w:rFonts w:hAnsi="宋体"/>
          <w:sz w:val="24"/>
          <w:szCs w:val="24"/>
        </w:rPr>
      </w:pPr>
      <w:r>
        <w:rPr>
          <w:rFonts w:hint="eastAsia" w:hAnsi="宋体"/>
          <w:sz w:val="24"/>
          <w:szCs w:val="24"/>
        </w:rPr>
        <w:t>磋商报价为闭口价，即成交后在合同有效期内价格不变；</w:t>
      </w:r>
    </w:p>
    <w:p w14:paraId="70FC7DB1">
      <w:pPr>
        <w:pStyle w:val="18"/>
        <w:numPr>
          <w:ilvl w:val="1"/>
          <w:numId w:val="13"/>
        </w:numPr>
        <w:spacing w:line="360" w:lineRule="auto"/>
        <w:rPr>
          <w:rFonts w:hAnsi="宋体"/>
          <w:sz w:val="24"/>
          <w:szCs w:val="24"/>
        </w:rPr>
      </w:pPr>
      <w:r>
        <w:rPr>
          <w:rFonts w:hint="eastAsia" w:hAnsi="宋体"/>
          <w:sz w:val="24"/>
          <w:szCs w:val="24"/>
        </w:rPr>
        <w:t>磋商币种为人民币。</w:t>
      </w:r>
    </w:p>
    <w:p w14:paraId="40E31EC2">
      <w:pPr>
        <w:pStyle w:val="6"/>
        <w:numPr>
          <w:ilvl w:val="0"/>
          <w:numId w:val="3"/>
        </w:numPr>
        <w:spacing w:before="0" w:after="0" w:line="360" w:lineRule="auto"/>
        <w:rPr>
          <w:rFonts w:ascii="宋体" w:hAnsi="宋体"/>
          <w:b w:val="0"/>
          <w:sz w:val="24"/>
          <w:szCs w:val="24"/>
        </w:rPr>
      </w:pPr>
      <w:bookmarkStart w:id="36" w:name="_Toc488673623"/>
      <w:bookmarkStart w:id="37" w:name="_Toc21196"/>
      <w:r>
        <w:rPr>
          <w:rFonts w:hint="eastAsia" w:ascii="宋体" w:hAnsi="宋体"/>
          <w:b w:val="0"/>
          <w:sz w:val="24"/>
          <w:szCs w:val="24"/>
        </w:rPr>
        <w:t>磋商保证金</w:t>
      </w:r>
      <w:bookmarkEnd w:id="36"/>
      <w:bookmarkEnd w:id="37"/>
    </w:p>
    <w:p w14:paraId="11368B9D">
      <w:pPr>
        <w:pStyle w:val="18"/>
        <w:numPr>
          <w:ilvl w:val="1"/>
          <w:numId w:val="14"/>
        </w:numPr>
        <w:spacing w:line="360" w:lineRule="auto"/>
        <w:rPr>
          <w:rFonts w:hAnsi="宋体"/>
          <w:sz w:val="24"/>
          <w:szCs w:val="24"/>
        </w:rPr>
      </w:pPr>
      <w:r>
        <w:rPr>
          <w:rFonts w:hint="eastAsia" w:hAnsi="宋体"/>
          <w:sz w:val="24"/>
          <w:szCs w:val="24"/>
        </w:rPr>
        <w:t>磋商供应商应将磋商保证金缴纳证明作为磋商响应文件的内容一并提供。缴纳的磋商保证金用于因磋商供应商的行为使本次磋商活动受到损失的抵项；</w:t>
      </w:r>
    </w:p>
    <w:p w14:paraId="0B8EA0CB">
      <w:pPr>
        <w:pStyle w:val="18"/>
        <w:numPr>
          <w:ilvl w:val="1"/>
          <w:numId w:val="14"/>
        </w:numPr>
        <w:spacing w:line="360" w:lineRule="auto"/>
        <w:rPr>
          <w:rFonts w:hAnsi="宋体"/>
          <w:sz w:val="24"/>
          <w:szCs w:val="24"/>
        </w:rPr>
      </w:pPr>
      <w:r>
        <w:rPr>
          <w:rFonts w:hint="eastAsia" w:hAnsi="宋体"/>
          <w:sz w:val="24"/>
          <w:szCs w:val="24"/>
        </w:rPr>
        <w:t>磋商人须在投标截止期前按以下要求交纳投标保证金：</w:t>
      </w:r>
    </w:p>
    <w:p w14:paraId="118B4321">
      <w:pPr>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kern w:val="0"/>
          <w:sz w:val="24"/>
        </w:rPr>
        <w:t>磋商</w:t>
      </w:r>
      <w:r>
        <w:rPr>
          <w:rFonts w:ascii="宋体" w:hAnsi="宋体" w:cs="Arial"/>
          <w:sz w:val="24"/>
        </w:rPr>
        <w:t>保证金的金额（人民币</w:t>
      </w:r>
      <w:r>
        <w:rPr>
          <w:rFonts w:ascii="宋体" w:hAnsi="宋体" w:cs="Arial"/>
          <w:color w:val="000000" w:themeColor="text1"/>
          <w:sz w:val="24"/>
          <w14:textFill>
            <w14:solidFill>
              <w14:schemeClr w14:val="tx1"/>
            </w14:solidFill>
          </w14:textFill>
        </w:rPr>
        <w:t>）</w:t>
      </w:r>
      <w:bookmarkStart w:id="38" w:name="_Toc421873480"/>
      <w:r>
        <w:rPr>
          <w:rFonts w:hint="eastAsia" w:ascii="宋体" w:hAnsi="宋体" w:cs="Arial"/>
          <w:color w:val="000000" w:themeColor="text1"/>
          <w:sz w:val="24"/>
          <w14:textFill>
            <w14:solidFill>
              <w14:schemeClr w14:val="tx1"/>
            </w14:solidFill>
          </w14:textFill>
        </w:rPr>
        <w:t>：</w:t>
      </w:r>
    </w:p>
    <w:bookmarkEnd w:id="38"/>
    <w:p w14:paraId="6703493D">
      <w:pPr>
        <w:pStyle w:val="49"/>
        <w:spacing w:line="360" w:lineRule="auto"/>
        <w:ind w:firstLine="480" w:firstLineChars="200"/>
        <w:rPr>
          <w:rFonts w:ascii="宋体" w:hAnsi="宋体" w:cs="宋体"/>
          <w:bCs/>
          <w:color w:val="auto"/>
          <w:kern w:val="0"/>
          <w:sz w:val="24"/>
          <w:lang w:val="zh-CN"/>
        </w:rPr>
      </w:pPr>
      <w:bookmarkStart w:id="39" w:name="_Toc421873483"/>
      <w:r>
        <w:rPr>
          <w:rFonts w:hint="eastAsia" w:ascii="宋体" w:hAnsi="宋体" w:cs="宋体"/>
          <w:bCs/>
          <w:color w:val="auto"/>
          <w:kern w:val="0"/>
          <w:sz w:val="24"/>
          <w:lang w:val="zh-CN"/>
        </w:rPr>
        <w:t>小写：￥</w:t>
      </w:r>
      <w:r>
        <w:rPr>
          <w:rFonts w:hint="eastAsia" w:ascii="宋体" w:hAnsi="宋体" w:cs="宋体"/>
          <w:bCs/>
          <w:color w:val="auto"/>
          <w:kern w:val="0"/>
          <w:sz w:val="24"/>
          <w:lang w:val="en-US" w:eastAsia="zh-CN"/>
        </w:rPr>
        <w:t>6</w:t>
      </w:r>
      <w:r>
        <w:rPr>
          <w:rFonts w:hint="eastAsia" w:ascii="宋体" w:hAnsi="宋体" w:cs="宋体"/>
          <w:bCs/>
          <w:color w:val="auto"/>
          <w:kern w:val="0"/>
          <w:sz w:val="24"/>
          <w:lang w:val="zh-CN"/>
        </w:rPr>
        <w:t>,000.00元整；大写：</w:t>
      </w:r>
      <w:r>
        <w:rPr>
          <w:rFonts w:hint="eastAsia" w:ascii="宋体" w:hAnsi="宋体" w:cs="宋体"/>
          <w:bCs/>
          <w:color w:val="auto"/>
          <w:kern w:val="0"/>
          <w:sz w:val="24"/>
          <w:lang w:val="en-US" w:eastAsia="zh-CN"/>
        </w:rPr>
        <w:t>陆仟</w:t>
      </w:r>
      <w:r>
        <w:rPr>
          <w:rFonts w:hint="eastAsia" w:ascii="宋体" w:hAnsi="宋体" w:cs="宋体"/>
          <w:bCs/>
          <w:color w:val="auto"/>
          <w:kern w:val="0"/>
          <w:sz w:val="24"/>
          <w:lang w:val="zh-CN"/>
        </w:rPr>
        <w:t>元整；</w:t>
      </w:r>
    </w:p>
    <w:p w14:paraId="590F852F">
      <w:pPr>
        <w:adjustRightInd w:val="0"/>
        <w:snapToGrid w:val="0"/>
        <w:spacing w:line="360" w:lineRule="auto"/>
        <w:ind w:firstLine="480" w:firstLineChars="200"/>
        <w:rPr>
          <w:rFonts w:ascii="宋体" w:hAnsi="宋体" w:cs="Arial"/>
          <w:kern w:val="0"/>
          <w:sz w:val="24"/>
        </w:rPr>
      </w:pPr>
      <w:r>
        <w:rPr>
          <w:rFonts w:ascii="宋体" w:hAnsi="宋体" w:cs="Arial"/>
          <w:kern w:val="0"/>
          <w:sz w:val="24"/>
        </w:rPr>
        <w:t>磋商人可以采用现金支票、银行汇票、银行保函等非现金形式交纳</w:t>
      </w:r>
      <w:r>
        <w:rPr>
          <w:rFonts w:hint="eastAsia" w:ascii="宋体" w:hAnsi="宋体" w:cs="Arial"/>
          <w:kern w:val="0"/>
          <w:sz w:val="24"/>
        </w:rPr>
        <w:t>磋商</w:t>
      </w:r>
      <w:r>
        <w:rPr>
          <w:rFonts w:ascii="宋体" w:hAnsi="宋体" w:cs="Arial"/>
          <w:kern w:val="0"/>
          <w:sz w:val="24"/>
        </w:rPr>
        <w:t>保证金（注明此次项目磋商文件编号，例：</w:t>
      </w:r>
      <w:r>
        <w:rPr>
          <w:rFonts w:hint="eastAsia" w:ascii="宋体" w:hAnsi="宋体" w:cs="Arial"/>
          <w:kern w:val="0"/>
          <w:sz w:val="24"/>
          <w:lang w:eastAsia="zh-CN"/>
        </w:rPr>
        <w:t>青海国焱竞磋（货物）2024-234号</w:t>
      </w:r>
      <w:r>
        <w:rPr>
          <w:rFonts w:ascii="宋体" w:hAnsi="宋体" w:cs="Arial"/>
          <w:kern w:val="0"/>
          <w:sz w:val="24"/>
        </w:rPr>
        <w:t>）；</w:t>
      </w:r>
    </w:p>
    <w:p w14:paraId="10A04429">
      <w:pPr>
        <w:adjustRightInd w:val="0"/>
        <w:snapToGrid w:val="0"/>
        <w:spacing w:line="360" w:lineRule="auto"/>
        <w:ind w:firstLine="480" w:firstLineChars="200"/>
        <w:rPr>
          <w:rFonts w:ascii="宋体" w:hAnsi="宋体" w:cs="Arial"/>
          <w:kern w:val="0"/>
          <w:sz w:val="24"/>
        </w:rPr>
      </w:pPr>
      <w:r>
        <w:rPr>
          <w:rFonts w:ascii="宋体" w:hAnsi="宋体" w:cs="Arial"/>
          <w:kern w:val="0"/>
          <w:sz w:val="24"/>
        </w:rPr>
        <w:t>提交账号如下：</w:t>
      </w:r>
      <w:bookmarkEnd w:id="39"/>
    </w:p>
    <w:p w14:paraId="29CCCA3A">
      <w:pPr>
        <w:adjustRightInd w:val="0"/>
        <w:snapToGrid w:val="0"/>
        <w:spacing w:line="360" w:lineRule="auto"/>
        <w:ind w:firstLine="480" w:firstLineChars="200"/>
        <w:rPr>
          <w:rFonts w:ascii="宋体" w:hAnsi="宋体" w:cs="Arial"/>
          <w:kern w:val="0"/>
          <w:sz w:val="24"/>
        </w:rPr>
      </w:pPr>
      <w:r>
        <w:rPr>
          <w:rFonts w:hint="eastAsia" w:ascii="宋体" w:hAnsi="宋体" w:cs="Arial"/>
          <w:kern w:val="0"/>
          <w:sz w:val="24"/>
        </w:rPr>
        <w:t>开户行：中国工商银行股份有限公司西宁五四大街支行</w:t>
      </w:r>
    </w:p>
    <w:p w14:paraId="29793484">
      <w:pPr>
        <w:adjustRightInd w:val="0"/>
        <w:snapToGrid w:val="0"/>
        <w:spacing w:line="360" w:lineRule="auto"/>
        <w:ind w:firstLine="480" w:firstLineChars="200"/>
        <w:rPr>
          <w:rFonts w:ascii="宋体" w:hAnsi="宋体" w:cs="Arial"/>
          <w:kern w:val="0"/>
          <w:sz w:val="24"/>
        </w:rPr>
      </w:pPr>
      <w:r>
        <w:rPr>
          <w:rFonts w:hint="eastAsia" w:ascii="宋体" w:hAnsi="宋体" w:cs="Arial"/>
          <w:kern w:val="0"/>
          <w:sz w:val="24"/>
        </w:rPr>
        <w:t>账户名：青海国焱工程项目管理有限公司</w:t>
      </w:r>
    </w:p>
    <w:p w14:paraId="484D534B">
      <w:pPr>
        <w:adjustRightInd w:val="0"/>
        <w:snapToGrid w:val="0"/>
        <w:spacing w:line="360" w:lineRule="auto"/>
        <w:ind w:firstLine="480" w:firstLineChars="200"/>
        <w:rPr>
          <w:rFonts w:ascii="宋体" w:hAnsi="宋体" w:cs="Arial"/>
          <w:kern w:val="0"/>
          <w:sz w:val="24"/>
        </w:rPr>
      </w:pPr>
      <w:r>
        <w:rPr>
          <w:rFonts w:hint="eastAsia" w:ascii="宋体" w:hAnsi="宋体" w:cs="Arial"/>
          <w:kern w:val="0"/>
          <w:sz w:val="24"/>
        </w:rPr>
        <w:t>账号：2806001309000043259（开户行号：102851000139）</w:t>
      </w:r>
    </w:p>
    <w:p w14:paraId="1C732A6A">
      <w:pPr>
        <w:pStyle w:val="18"/>
        <w:spacing w:line="360" w:lineRule="auto"/>
        <w:ind w:left="141" w:leftChars="67" w:firstLine="354" w:firstLineChars="147"/>
        <w:rPr>
          <w:rFonts w:hAnsi="宋体"/>
          <w:sz w:val="24"/>
          <w:szCs w:val="24"/>
        </w:rPr>
      </w:pPr>
      <w:r>
        <w:rPr>
          <w:rFonts w:hAnsi="宋体" w:cs="Arial"/>
          <w:b/>
          <w:sz w:val="24"/>
          <w:szCs w:val="24"/>
        </w:rPr>
        <w:t>缴纳截止时间</w:t>
      </w:r>
      <w:r>
        <w:rPr>
          <w:rFonts w:hint="eastAsia" w:hAnsi="宋体" w:cs="Arial"/>
          <w:b/>
          <w:sz w:val="24"/>
          <w:szCs w:val="24"/>
        </w:rPr>
        <w:t>：磋商截止时间前，以银行到账时间为准。</w:t>
      </w:r>
    </w:p>
    <w:p w14:paraId="19729250">
      <w:pPr>
        <w:pStyle w:val="18"/>
        <w:numPr>
          <w:ilvl w:val="1"/>
          <w:numId w:val="14"/>
        </w:numPr>
        <w:spacing w:line="360" w:lineRule="auto"/>
        <w:rPr>
          <w:rFonts w:hAnsi="宋体"/>
          <w:sz w:val="24"/>
          <w:szCs w:val="24"/>
        </w:rPr>
      </w:pPr>
      <w:r>
        <w:rPr>
          <w:rFonts w:hint="eastAsia" w:hAnsi="宋体"/>
          <w:sz w:val="24"/>
          <w:szCs w:val="24"/>
        </w:rPr>
        <w:t>磋商供应商应在磋商截止时间前将磋商保证金缴纳到采购代理机构账户，以银行到账时间为准；</w:t>
      </w:r>
    </w:p>
    <w:p w14:paraId="183A93F6">
      <w:pPr>
        <w:pStyle w:val="18"/>
        <w:numPr>
          <w:ilvl w:val="1"/>
          <w:numId w:val="14"/>
        </w:numPr>
        <w:spacing w:line="360" w:lineRule="auto"/>
        <w:rPr>
          <w:rFonts w:hAnsi="宋体"/>
          <w:sz w:val="24"/>
          <w:szCs w:val="24"/>
        </w:rPr>
      </w:pPr>
      <w:r>
        <w:rPr>
          <w:rFonts w:hint="eastAsia" w:hAnsi="宋体"/>
          <w:sz w:val="24"/>
          <w:szCs w:val="24"/>
        </w:rPr>
        <w:t>磋商保证金应当以电汇、支票、汇票、本票或者金融机构、担保机构出具的保函等非现金形式提交，通过银行转账的，必须从磋商供应商基本账户直接汇（转）入采购代理机构指定账户；</w:t>
      </w:r>
    </w:p>
    <w:p w14:paraId="79750002">
      <w:pPr>
        <w:pStyle w:val="18"/>
        <w:numPr>
          <w:ilvl w:val="1"/>
          <w:numId w:val="14"/>
        </w:numPr>
        <w:spacing w:line="360" w:lineRule="auto"/>
        <w:rPr>
          <w:rFonts w:hAnsi="宋体"/>
          <w:sz w:val="24"/>
          <w:szCs w:val="24"/>
        </w:rPr>
      </w:pPr>
      <w:r>
        <w:rPr>
          <w:rFonts w:hint="eastAsia" w:hAnsi="宋体"/>
          <w:sz w:val="24"/>
          <w:szCs w:val="24"/>
        </w:rPr>
        <w:t>未按磋商文件要求在规定时间前交纳规定数额磋商保证金的磋商将被拒绝；</w:t>
      </w:r>
    </w:p>
    <w:p w14:paraId="2A9C58D0">
      <w:pPr>
        <w:pStyle w:val="18"/>
        <w:numPr>
          <w:ilvl w:val="1"/>
          <w:numId w:val="14"/>
        </w:numPr>
        <w:spacing w:line="360" w:lineRule="auto"/>
        <w:rPr>
          <w:rFonts w:hAnsi="宋体"/>
          <w:sz w:val="24"/>
          <w:szCs w:val="24"/>
        </w:rPr>
      </w:pPr>
      <w:r>
        <w:rPr>
          <w:rFonts w:hint="eastAsia" w:hAnsi="宋体"/>
          <w:sz w:val="24"/>
          <w:szCs w:val="24"/>
        </w:rPr>
        <w:t>未成交磋商供应商的磋商保证金自成交通知书发出之日起5个工作日内全额无息退还（不退现金）；成交磋商供应商的磋商保证金，自政府采购合同签订之日起5个工作日内全额无息退还（不退现金）；</w:t>
      </w:r>
    </w:p>
    <w:p w14:paraId="6810C2C2">
      <w:pPr>
        <w:pStyle w:val="18"/>
        <w:numPr>
          <w:ilvl w:val="1"/>
          <w:numId w:val="14"/>
        </w:numPr>
        <w:spacing w:line="360" w:lineRule="auto"/>
        <w:rPr>
          <w:rFonts w:hAnsi="宋体"/>
          <w:sz w:val="24"/>
          <w:szCs w:val="24"/>
        </w:rPr>
      </w:pPr>
      <w:r>
        <w:rPr>
          <w:rFonts w:hint="eastAsia" w:hAnsi="宋体"/>
          <w:sz w:val="24"/>
          <w:szCs w:val="24"/>
        </w:rPr>
        <w:t>下列任何情况发生时，磋商保证金将不予退还：</w:t>
      </w:r>
    </w:p>
    <w:p w14:paraId="7DC785E2">
      <w:pPr>
        <w:pStyle w:val="18"/>
        <w:numPr>
          <w:ilvl w:val="0"/>
          <w:numId w:val="15"/>
        </w:numPr>
        <w:spacing w:line="360" w:lineRule="auto"/>
        <w:rPr>
          <w:rFonts w:hAnsi="宋体" w:cs="Arial"/>
          <w:sz w:val="24"/>
          <w:szCs w:val="24"/>
        </w:rPr>
      </w:pPr>
      <w:r>
        <w:rPr>
          <w:rFonts w:hint="eastAsia" w:hAnsi="宋体" w:cs="Arial"/>
          <w:sz w:val="24"/>
          <w:szCs w:val="24"/>
        </w:rPr>
        <w:t>磋商供应商在递交磋商响应文件的截止时间前未到达现场并且没有以书面形式如信函、传真等告知采购代理机构要撤其磋商的；</w:t>
      </w:r>
    </w:p>
    <w:p w14:paraId="6354F9C2">
      <w:pPr>
        <w:pStyle w:val="18"/>
        <w:numPr>
          <w:ilvl w:val="0"/>
          <w:numId w:val="15"/>
        </w:numPr>
        <w:spacing w:line="360" w:lineRule="auto"/>
        <w:rPr>
          <w:rFonts w:hAnsi="宋体" w:cs="Arial"/>
          <w:sz w:val="24"/>
          <w:szCs w:val="24"/>
        </w:rPr>
      </w:pPr>
      <w:r>
        <w:rPr>
          <w:rFonts w:hint="eastAsia" w:hAnsi="宋体" w:cs="Arial"/>
          <w:sz w:val="24"/>
          <w:szCs w:val="24"/>
        </w:rPr>
        <w:t>成交磋商供应商在规定期限内未能按规定签订合同或未按规定缴纳成交服务费；</w:t>
      </w:r>
    </w:p>
    <w:p w14:paraId="303B94C8">
      <w:pPr>
        <w:pStyle w:val="18"/>
        <w:numPr>
          <w:ilvl w:val="0"/>
          <w:numId w:val="15"/>
        </w:numPr>
        <w:spacing w:line="360" w:lineRule="auto"/>
        <w:rPr>
          <w:rFonts w:hAnsi="宋体" w:cs="Arial"/>
          <w:sz w:val="24"/>
          <w:szCs w:val="24"/>
        </w:rPr>
      </w:pPr>
      <w:r>
        <w:rPr>
          <w:rFonts w:hint="eastAsia" w:hAnsi="宋体" w:cs="Arial"/>
          <w:sz w:val="24"/>
          <w:szCs w:val="24"/>
        </w:rPr>
        <w:t>提供虚假材料谋取成交的；</w:t>
      </w:r>
    </w:p>
    <w:p w14:paraId="3B2C2BC5">
      <w:pPr>
        <w:pStyle w:val="18"/>
        <w:numPr>
          <w:ilvl w:val="0"/>
          <w:numId w:val="15"/>
        </w:numPr>
        <w:spacing w:line="360" w:lineRule="auto"/>
        <w:rPr>
          <w:rFonts w:hAnsi="宋体" w:cs="Arial"/>
          <w:sz w:val="24"/>
          <w:szCs w:val="24"/>
        </w:rPr>
      </w:pPr>
      <w:r>
        <w:rPr>
          <w:rFonts w:hint="eastAsia" w:hAnsi="宋体" w:cs="Arial"/>
          <w:sz w:val="24"/>
          <w:szCs w:val="24"/>
        </w:rPr>
        <w:t>将成交项目转让给他人，或者在磋商响应文件中未说明，将成交项目分包给他人的；</w:t>
      </w:r>
    </w:p>
    <w:p w14:paraId="0E741084">
      <w:pPr>
        <w:pStyle w:val="18"/>
        <w:numPr>
          <w:ilvl w:val="0"/>
          <w:numId w:val="15"/>
        </w:numPr>
        <w:spacing w:line="360" w:lineRule="auto"/>
        <w:rPr>
          <w:rFonts w:hAnsi="宋体" w:cs="Arial"/>
          <w:sz w:val="24"/>
          <w:szCs w:val="24"/>
        </w:rPr>
      </w:pPr>
      <w:r>
        <w:rPr>
          <w:rFonts w:hint="eastAsia" w:hAnsi="宋体" w:cs="Arial"/>
          <w:sz w:val="24"/>
          <w:szCs w:val="24"/>
        </w:rPr>
        <w:t>拒绝履行合同义务的；</w:t>
      </w:r>
    </w:p>
    <w:p w14:paraId="3AC4D115">
      <w:pPr>
        <w:pStyle w:val="18"/>
        <w:numPr>
          <w:ilvl w:val="0"/>
          <w:numId w:val="15"/>
        </w:numPr>
        <w:spacing w:line="360" w:lineRule="auto"/>
        <w:rPr>
          <w:rFonts w:hAnsi="宋体" w:cs="Arial"/>
          <w:sz w:val="24"/>
          <w:szCs w:val="24"/>
        </w:rPr>
      </w:pPr>
      <w:r>
        <w:rPr>
          <w:rFonts w:hint="eastAsia" w:hAnsi="宋体" w:cs="Arial"/>
          <w:sz w:val="24"/>
          <w:szCs w:val="24"/>
        </w:rPr>
        <w:t>法律、法规规定的其他情形。</w:t>
      </w:r>
    </w:p>
    <w:p w14:paraId="68A5212B">
      <w:pPr>
        <w:pStyle w:val="6"/>
        <w:numPr>
          <w:ilvl w:val="0"/>
          <w:numId w:val="3"/>
        </w:numPr>
        <w:spacing w:before="0" w:after="0" w:line="360" w:lineRule="auto"/>
        <w:rPr>
          <w:rFonts w:ascii="宋体" w:hAnsi="宋体"/>
          <w:b w:val="0"/>
          <w:sz w:val="24"/>
          <w:szCs w:val="24"/>
        </w:rPr>
      </w:pPr>
      <w:bookmarkStart w:id="40" w:name="_Toc15135"/>
      <w:bookmarkStart w:id="41" w:name="_Toc488673624"/>
      <w:r>
        <w:rPr>
          <w:rFonts w:ascii="宋体" w:hAnsi="宋体"/>
          <w:b w:val="0"/>
          <w:sz w:val="24"/>
          <w:szCs w:val="24"/>
        </w:rPr>
        <w:t>磋商有效期</w:t>
      </w:r>
      <w:bookmarkEnd w:id="40"/>
      <w:bookmarkEnd w:id="41"/>
    </w:p>
    <w:p w14:paraId="6795207E">
      <w:pPr>
        <w:pStyle w:val="18"/>
        <w:spacing w:line="360" w:lineRule="auto"/>
        <w:ind w:firstLine="480" w:firstLineChars="200"/>
        <w:rPr>
          <w:rFonts w:hAnsi="宋体"/>
          <w:b/>
          <w:sz w:val="24"/>
          <w:szCs w:val="24"/>
        </w:rPr>
      </w:pPr>
      <w:r>
        <w:rPr>
          <w:rFonts w:hAnsi="宋体" w:cs="Arial"/>
          <w:sz w:val="24"/>
          <w:szCs w:val="24"/>
        </w:rPr>
        <w:t>本次磋商有效期为自</w:t>
      </w:r>
      <w:r>
        <w:rPr>
          <w:rFonts w:hint="eastAsia" w:hAnsi="宋体" w:cs="Arial"/>
          <w:sz w:val="24"/>
          <w:szCs w:val="24"/>
        </w:rPr>
        <w:t>磋商</w:t>
      </w:r>
      <w:r>
        <w:rPr>
          <w:rFonts w:hAnsi="宋体" w:cs="Arial"/>
          <w:sz w:val="24"/>
          <w:szCs w:val="24"/>
        </w:rPr>
        <w:t>之日起</w:t>
      </w:r>
      <w:r>
        <w:rPr>
          <w:rFonts w:hint="eastAsia" w:hAnsi="宋体" w:cs="Arial"/>
          <w:sz w:val="24"/>
          <w:szCs w:val="24"/>
        </w:rPr>
        <w:t>60</w:t>
      </w:r>
      <w:r>
        <w:rPr>
          <w:rFonts w:hAnsi="宋体" w:cs="Arial"/>
          <w:sz w:val="24"/>
          <w:szCs w:val="24"/>
        </w:rPr>
        <w:t>个</w:t>
      </w:r>
      <w:r>
        <w:rPr>
          <w:rFonts w:hint="eastAsia" w:hAnsi="宋体" w:cs="Arial"/>
          <w:sz w:val="24"/>
          <w:szCs w:val="24"/>
          <w:lang w:val="en-US" w:eastAsia="zh-CN"/>
        </w:rPr>
        <w:t>日历</w:t>
      </w:r>
      <w:r>
        <w:rPr>
          <w:rFonts w:hint="eastAsia" w:hAnsi="宋体" w:cs="Arial"/>
          <w:sz w:val="24"/>
          <w:szCs w:val="24"/>
        </w:rPr>
        <w:t>日。</w:t>
      </w:r>
    </w:p>
    <w:p w14:paraId="190ED4A0">
      <w:pPr>
        <w:pStyle w:val="6"/>
        <w:numPr>
          <w:ilvl w:val="0"/>
          <w:numId w:val="3"/>
        </w:numPr>
        <w:spacing w:before="0" w:after="0" w:line="360" w:lineRule="auto"/>
        <w:rPr>
          <w:rFonts w:ascii="宋体" w:hAnsi="宋体"/>
          <w:b w:val="0"/>
          <w:sz w:val="24"/>
          <w:szCs w:val="24"/>
        </w:rPr>
      </w:pPr>
      <w:bookmarkStart w:id="42" w:name="_Toc488673625"/>
      <w:bookmarkStart w:id="43" w:name="_Toc23236"/>
      <w:r>
        <w:rPr>
          <w:rFonts w:hint="eastAsia" w:ascii="宋体" w:hAnsi="宋体"/>
          <w:b w:val="0"/>
          <w:sz w:val="24"/>
          <w:szCs w:val="24"/>
        </w:rPr>
        <w:t>磋商响应文件的构成</w:t>
      </w:r>
      <w:bookmarkEnd w:id="42"/>
      <w:bookmarkEnd w:id="43"/>
    </w:p>
    <w:p w14:paraId="587485C7">
      <w:pPr>
        <w:pStyle w:val="18"/>
        <w:spacing w:line="360" w:lineRule="auto"/>
        <w:ind w:firstLine="600" w:firstLineChars="250"/>
        <w:rPr>
          <w:rFonts w:hAnsi="宋体"/>
          <w:sz w:val="24"/>
          <w:szCs w:val="24"/>
        </w:rPr>
      </w:pPr>
      <w:r>
        <w:rPr>
          <w:rFonts w:hint="eastAsia" w:hAnsi="宋体"/>
          <w:sz w:val="24"/>
          <w:szCs w:val="24"/>
        </w:rPr>
        <w:t>磋商供应商应提交相关证明材料，作为其参加磋商和成交后有能力履行合同的证明。编写的磋商响应文件须包括以下内容（格式见磋商文件“第五部分 磋商响应文件格式”）：</w:t>
      </w:r>
    </w:p>
    <w:p w14:paraId="7BE73D03">
      <w:pPr>
        <w:autoSpaceDE w:val="0"/>
        <w:autoSpaceDN w:val="0"/>
        <w:spacing w:line="360" w:lineRule="auto"/>
        <w:ind w:left="426"/>
        <w:rPr>
          <w:rFonts w:ascii="宋体" w:hAnsi="宋体"/>
          <w:kern w:val="0"/>
          <w:sz w:val="24"/>
          <w:lang w:val="zh-CN"/>
        </w:rPr>
      </w:pPr>
      <w:r>
        <w:rPr>
          <w:rFonts w:hint="eastAsia" w:ascii="宋体" w:hAnsi="宋体"/>
          <w:kern w:val="0"/>
          <w:sz w:val="24"/>
          <w:lang w:val="zh-CN"/>
        </w:rPr>
        <w:t>11.1 磋商响应</w:t>
      </w:r>
      <w:r>
        <w:rPr>
          <w:rFonts w:ascii="宋体" w:hAnsi="宋体"/>
          <w:kern w:val="0"/>
          <w:sz w:val="24"/>
          <w:lang w:val="zh-CN"/>
        </w:rPr>
        <w:t>文件</w:t>
      </w:r>
    </w:p>
    <w:p w14:paraId="7A4193BD">
      <w:pPr>
        <w:pStyle w:val="18"/>
        <w:numPr>
          <w:ilvl w:val="0"/>
          <w:numId w:val="16"/>
        </w:numPr>
        <w:spacing w:line="360" w:lineRule="auto"/>
        <w:rPr>
          <w:rFonts w:hAnsi="宋体" w:cs="Arial"/>
          <w:sz w:val="24"/>
          <w:szCs w:val="24"/>
        </w:rPr>
      </w:pPr>
      <w:r>
        <w:rPr>
          <w:rFonts w:hint="eastAsia" w:hAnsi="宋体" w:cs="Arial"/>
          <w:sz w:val="24"/>
          <w:szCs w:val="24"/>
        </w:rPr>
        <w:t>磋商函；</w:t>
      </w:r>
    </w:p>
    <w:p w14:paraId="1534BBDB">
      <w:pPr>
        <w:pStyle w:val="18"/>
        <w:numPr>
          <w:ilvl w:val="0"/>
          <w:numId w:val="16"/>
        </w:numPr>
        <w:spacing w:line="360" w:lineRule="auto"/>
        <w:rPr>
          <w:rFonts w:hAnsi="宋体" w:cs="Arial"/>
          <w:sz w:val="24"/>
          <w:szCs w:val="24"/>
        </w:rPr>
      </w:pPr>
      <w:r>
        <w:rPr>
          <w:rFonts w:hint="eastAsia" w:hAnsi="宋体" w:cs="Arial"/>
          <w:sz w:val="24"/>
          <w:szCs w:val="24"/>
        </w:rPr>
        <w:t>法定代表人证明书；</w:t>
      </w:r>
    </w:p>
    <w:p w14:paraId="01FECF33">
      <w:pPr>
        <w:pStyle w:val="18"/>
        <w:numPr>
          <w:ilvl w:val="0"/>
          <w:numId w:val="16"/>
        </w:numPr>
        <w:spacing w:line="360" w:lineRule="auto"/>
        <w:rPr>
          <w:rFonts w:hAnsi="宋体" w:cs="Arial"/>
          <w:sz w:val="24"/>
          <w:szCs w:val="24"/>
        </w:rPr>
      </w:pPr>
      <w:r>
        <w:rPr>
          <w:rFonts w:hint="eastAsia" w:hAnsi="宋体" w:cs="Arial"/>
          <w:sz w:val="24"/>
          <w:szCs w:val="24"/>
        </w:rPr>
        <w:t>法定代表人授权书；</w:t>
      </w:r>
    </w:p>
    <w:p w14:paraId="1527E7DE">
      <w:pPr>
        <w:pStyle w:val="18"/>
        <w:numPr>
          <w:ilvl w:val="0"/>
          <w:numId w:val="16"/>
        </w:numPr>
        <w:spacing w:line="360" w:lineRule="auto"/>
        <w:rPr>
          <w:rFonts w:hAnsi="宋体" w:cs="Arial"/>
          <w:sz w:val="24"/>
          <w:szCs w:val="24"/>
        </w:rPr>
      </w:pPr>
      <w:r>
        <w:rPr>
          <w:rFonts w:hint="eastAsia" w:hAnsi="宋体" w:cs="Arial"/>
          <w:sz w:val="24"/>
          <w:szCs w:val="24"/>
        </w:rPr>
        <w:t>磋商供应商承诺书；</w:t>
      </w:r>
    </w:p>
    <w:p w14:paraId="7B40B358">
      <w:pPr>
        <w:pStyle w:val="18"/>
        <w:numPr>
          <w:ilvl w:val="0"/>
          <w:numId w:val="16"/>
        </w:numPr>
        <w:spacing w:line="360" w:lineRule="auto"/>
        <w:rPr>
          <w:rFonts w:hAnsi="宋体" w:cs="Arial"/>
          <w:sz w:val="24"/>
          <w:szCs w:val="24"/>
        </w:rPr>
      </w:pPr>
      <w:r>
        <w:rPr>
          <w:rFonts w:hint="eastAsia" w:hAnsi="宋体" w:cs="Arial"/>
          <w:sz w:val="24"/>
          <w:szCs w:val="24"/>
        </w:rPr>
        <w:t>供应商诚信承诺书；</w:t>
      </w:r>
    </w:p>
    <w:p w14:paraId="19E392CC">
      <w:pPr>
        <w:pStyle w:val="18"/>
        <w:numPr>
          <w:ilvl w:val="0"/>
          <w:numId w:val="16"/>
        </w:numPr>
        <w:spacing w:line="360" w:lineRule="auto"/>
        <w:rPr>
          <w:rFonts w:hAnsi="宋体" w:cs="Arial"/>
          <w:sz w:val="24"/>
          <w:szCs w:val="24"/>
        </w:rPr>
      </w:pPr>
      <w:r>
        <w:rPr>
          <w:rFonts w:hint="eastAsia" w:hAnsi="宋体" w:cs="Arial"/>
          <w:sz w:val="24"/>
          <w:szCs w:val="24"/>
        </w:rPr>
        <w:t>资格证明材料；</w:t>
      </w:r>
    </w:p>
    <w:p w14:paraId="0231FA26">
      <w:pPr>
        <w:pStyle w:val="18"/>
        <w:numPr>
          <w:ilvl w:val="0"/>
          <w:numId w:val="16"/>
        </w:numPr>
        <w:spacing w:line="360" w:lineRule="auto"/>
        <w:rPr>
          <w:rFonts w:hAnsi="宋体" w:cs="Arial"/>
          <w:sz w:val="24"/>
          <w:szCs w:val="24"/>
        </w:rPr>
      </w:pPr>
      <w:r>
        <w:rPr>
          <w:rFonts w:hint="eastAsia" w:hAnsi="宋体" w:cs="Arial"/>
          <w:sz w:val="24"/>
          <w:szCs w:val="24"/>
        </w:rPr>
        <w:t>财务状况、缴纳税收和社会保障资金证明；</w:t>
      </w:r>
    </w:p>
    <w:p w14:paraId="0D826F4C">
      <w:pPr>
        <w:pStyle w:val="18"/>
        <w:numPr>
          <w:ilvl w:val="0"/>
          <w:numId w:val="16"/>
        </w:numPr>
        <w:spacing w:line="360" w:lineRule="auto"/>
        <w:rPr>
          <w:rFonts w:hAnsi="宋体" w:cs="Arial"/>
          <w:sz w:val="24"/>
          <w:szCs w:val="24"/>
        </w:rPr>
      </w:pPr>
      <w:r>
        <w:rPr>
          <w:rFonts w:hint="eastAsia" w:hAnsi="宋体" w:cs="Arial"/>
          <w:sz w:val="24"/>
          <w:szCs w:val="24"/>
        </w:rPr>
        <w:t>具备履行合同所必须的设备和专业技术能力证明；</w:t>
      </w:r>
    </w:p>
    <w:p w14:paraId="5719C9DB">
      <w:pPr>
        <w:pStyle w:val="18"/>
        <w:numPr>
          <w:ilvl w:val="0"/>
          <w:numId w:val="16"/>
        </w:numPr>
        <w:spacing w:line="360" w:lineRule="auto"/>
        <w:rPr>
          <w:rFonts w:hAnsi="宋体" w:cs="Arial"/>
          <w:sz w:val="24"/>
          <w:szCs w:val="24"/>
        </w:rPr>
      </w:pPr>
      <w:r>
        <w:rPr>
          <w:rFonts w:hint="eastAsia" w:hAnsi="宋体" w:cs="Arial"/>
          <w:sz w:val="24"/>
          <w:szCs w:val="24"/>
        </w:rPr>
        <w:t>无重大违法记录声明；</w:t>
      </w:r>
    </w:p>
    <w:p w14:paraId="0B9139EB">
      <w:pPr>
        <w:pStyle w:val="18"/>
        <w:numPr>
          <w:ilvl w:val="0"/>
          <w:numId w:val="16"/>
        </w:numPr>
        <w:spacing w:line="360" w:lineRule="auto"/>
        <w:rPr>
          <w:rFonts w:hAnsi="宋体" w:cs="Arial"/>
          <w:sz w:val="24"/>
          <w:szCs w:val="24"/>
        </w:rPr>
      </w:pPr>
      <w:r>
        <w:rPr>
          <w:rFonts w:hint="eastAsia" w:hAnsi="宋体" w:cs="Arial"/>
          <w:sz w:val="24"/>
          <w:szCs w:val="24"/>
        </w:rPr>
        <w:t>磋商保证金证明；</w:t>
      </w:r>
    </w:p>
    <w:p w14:paraId="1C9F0A7B">
      <w:pPr>
        <w:pStyle w:val="18"/>
        <w:numPr>
          <w:ilvl w:val="0"/>
          <w:numId w:val="16"/>
        </w:numPr>
        <w:spacing w:line="360" w:lineRule="auto"/>
        <w:rPr>
          <w:rFonts w:hAnsi="宋体" w:cs="Arial"/>
          <w:sz w:val="24"/>
          <w:szCs w:val="24"/>
        </w:rPr>
      </w:pPr>
      <w:r>
        <w:rPr>
          <w:rFonts w:hint="eastAsia" w:hAnsi="宋体" w:cs="Arial"/>
          <w:sz w:val="24"/>
          <w:szCs w:val="24"/>
        </w:rPr>
        <w:t>竞争性磋商首次报价表；</w:t>
      </w:r>
    </w:p>
    <w:p w14:paraId="6DE8460C">
      <w:pPr>
        <w:pStyle w:val="18"/>
        <w:numPr>
          <w:ilvl w:val="0"/>
          <w:numId w:val="16"/>
        </w:numPr>
        <w:spacing w:line="360" w:lineRule="auto"/>
        <w:rPr>
          <w:rFonts w:hAnsi="宋体" w:cs="Arial"/>
          <w:sz w:val="24"/>
          <w:szCs w:val="24"/>
        </w:rPr>
      </w:pPr>
      <w:r>
        <w:rPr>
          <w:rFonts w:hAnsi="宋体" w:cs="Arial"/>
          <w:sz w:val="24"/>
          <w:szCs w:val="24"/>
        </w:rPr>
        <w:t>分项报价表</w:t>
      </w:r>
      <w:r>
        <w:rPr>
          <w:rFonts w:hint="eastAsia" w:hAnsi="宋体" w:cs="Arial"/>
          <w:sz w:val="24"/>
          <w:szCs w:val="24"/>
        </w:rPr>
        <w:t>；</w:t>
      </w:r>
    </w:p>
    <w:p w14:paraId="4A2F4FD3">
      <w:pPr>
        <w:pStyle w:val="18"/>
        <w:numPr>
          <w:ilvl w:val="0"/>
          <w:numId w:val="16"/>
        </w:numPr>
        <w:spacing w:line="360" w:lineRule="auto"/>
        <w:rPr>
          <w:rFonts w:hAnsi="宋体" w:cs="Arial"/>
          <w:sz w:val="24"/>
          <w:szCs w:val="24"/>
        </w:rPr>
      </w:pPr>
      <w:r>
        <w:rPr>
          <w:rFonts w:hint="eastAsia" w:hAnsi="宋体" w:cs="Arial"/>
          <w:sz w:val="24"/>
          <w:szCs w:val="24"/>
        </w:rPr>
        <w:t>技术规格响应表；</w:t>
      </w:r>
    </w:p>
    <w:p w14:paraId="425E1ECB">
      <w:pPr>
        <w:pStyle w:val="18"/>
        <w:numPr>
          <w:ilvl w:val="0"/>
          <w:numId w:val="16"/>
        </w:numPr>
        <w:spacing w:line="360" w:lineRule="auto"/>
        <w:rPr>
          <w:rFonts w:hAnsi="宋体" w:cs="Arial"/>
          <w:sz w:val="24"/>
          <w:szCs w:val="24"/>
        </w:rPr>
      </w:pPr>
      <w:r>
        <w:rPr>
          <w:rFonts w:hint="eastAsia" w:hAnsi="宋体" w:cs="Arial"/>
          <w:sz w:val="24"/>
          <w:szCs w:val="24"/>
        </w:rPr>
        <w:t>磋商产品相关资料；</w:t>
      </w:r>
    </w:p>
    <w:p w14:paraId="5202A50F">
      <w:pPr>
        <w:pStyle w:val="18"/>
        <w:numPr>
          <w:ilvl w:val="0"/>
          <w:numId w:val="16"/>
        </w:numPr>
        <w:spacing w:line="360" w:lineRule="auto"/>
        <w:rPr>
          <w:rFonts w:hAnsi="宋体" w:cs="Arial"/>
          <w:sz w:val="24"/>
          <w:szCs w:val="24"/>
        </w:rPr>
      </w:pPr>
      <w:r>
        <w:rPr>
          <w:rFonts w:hint="eastAsia" w:hAnsi="宋体" w:cs="Arial"/>
          <w:sz w:val="24"/>
          <w:szCs w:val="24"/>
        </w:rPr>
        <w:t>磋商供应商的类似业绩证明材料；</w:t>
      </w:r>
    </w:p>
    <w:p w14:paraId="276077A4">
      <w:pPr>
        <w:pStyle w:val="18"/>
        <w:numPr>
          <w:ilvl w:val="0"/>
          <w:numId w:val="16"/>
        </w:numPr>
        <w:spacing w:line="360" w:lineRule="auto"/>
        <w:rPr>
          <w:rFonts w:hAnsi="宋体" w:cs="Arial"/>
          <w:sz w:val="24"/>
          <w:szCs w:val="24"/>
        </w:rPr>
      </w:pPr>
      <w:r>
        <w:rPr>
          <w:rFonts w:hint="eastAsia" w:hAnsi="宋体" w:cs="Arial"/>
          <w:sz w:val="24"/>
          <w:szCs w:val="24"/>
        </w:rPr>
        <w:t>享受政府采购政策优惠的证明资料；</w:t>
      </w:r>
    </w:p>
    <w:p w14:paraId="20A23552">
      <w:pPr>
        <w:pStyle w:val="18"/>
        <w:numPr>
          <w:ilvl w:val="0"/>
          <w:numId w:val="16"/>
        </w:numPr>
        <w:spacing w:line="360" w:lineRule="auto"/>
        <w:rPr>
          <w:rFonts w:hAnsi="宋体" w:cs="Arial"/>
          <w:sz w:val="24"/>
          <w:szCs w:val="24"/>
        </w:rPr>
      </w:pPr>
      <w:r>
        <w:rPr>
          <w:rFonts w:hint="eastAsia" w:hAnsi="宋体" w:cs="Arial"/>
          <w:sz w:val="24"/>
          <w:szCs w:val="24"/>
        </w:rPr>
        <w:t>磋商供应商认为在其他方面有必要说明的事项；</w:t>
      </w:r>
    </w:p>
    <w:p w14:paraId="18662A28">
      <w:pPr>
        <w:pStyle w:val="18"/>
        <w:spacing w:line="360" w:lineRule="auto"/>
        <w:ind w:left="845"/>
        <w:rPr>
          <w:rFonts w:hAnsi="宋体" w:cs="Arial"/>
          <w:sz w:val="24"/>
          <w:szCs w:val="24"/>
        </w:rPr>
      </w:pPr>
      <w:r>
        <w:rPr>
          <w:rFonts w:hint="eastAsia" w:hAnsi="宋体" w:cs="Arial"/>
          <w:sz w:val="24"/>
          <w:szCs w:val="24"/>
        </w:rPr>
        <w:t>注：磋商人须按上述内容、顺序和格式编制磋商响应文件，并按要求编制目录、页码，并保证所提供的全部资料真实可信，自愿承担相应责任。</w:t>
      </w:r>
    </w:p>
    <w:p w14:paraId="30608433">
      <w:pPr>
        <w:pStyle w:val="6"/>
        <w:numPr>
          <w:ilvl w:val="0"/>
          <w:numId w:val="3"/>
        </w:numPr>
        <w:spacing w:before="0" w:after="0" w:line="360" w:lineRule="auto"/>
        <w:rPr>
          <w:rFonts w:ascii="宋体" w:hAnsi="宋体"/>
          <w:b w:val="0"/>
          <w:sz w:val="24"/>
          <w:szCs w:val="24"/>
        </w:rPr>
      </w:pPr>
      <w:bookmarkStart w:id="44" w:name="_Toc15784"/>
      <w:bookmarkStart w:id="45" w:name="_Toc488673626"/>
      <w:r>
        <w:rPr>
          <w:rFonts w:hint="eastAsia" w:ascii="宋体" w:hAnsi="宋体"/>
          <w:b w:val="0"/>
          <w:sz w:val="24"/>
          <w:szCs w:val="24"/>
        </w:rPr>
        <w:t>磋商响应文件的编制要求</w:t>
      </w:r>
      <w:bookmarkEnd w:id="44"/>
      <w:bookmarkEnd w:id="45"/>
    </w:p>
    <w:p w14:paraId="7C27BE17">
      <w:pPr>
        <w:pStyle w:val="18"/>
        <w:numPr>
          <w:ilvl w:val="1"/>
          <w:numId w:val="17"/>
        </w:numPr>
        <w:spacing w:line="360" w:lineRule="auto"/>
        <w:ind w:left="960"/>
        <w:rPr>
          <w:rFonts w:hAnsi="宋体" w:cs="宋体"/>
          <w:sz w:val="24"/>
          <w:szCs w:val="28"/>
        </w:rPr>
      </w:pPr>
      <w:r>
        <w:rPr>
          <w:rFonts w:hint="eastAsia" w:hAnsi="宋体" w:cs="宋体"/>
          <w:sz w:val="24"/>
          <w:lang w:val="zh-CN"/>
        </w:rPr>
        <w:t>磋商供应商应按照磋商文件所提供的磋商响应文件格式，分别填写磋商文件第五部分的内容，应分别注明所提供服务的名称、数量和价格等内容；磋商文件要求签字、盖章的地方必须由磋商人的法定代表人或委托代理人按要求签字、盖章。</w:t>
      </w:r>
    </w:p>
    <w:p w14:paraId="1FB05A06">
      <w:pPr>
        <w:pStyle w:val="18"/>
        <w:numPr>
          <w:ilvl w:val="1"/>
          <w:numId w:val="17"/>
        </w:numPr>
        <w:spacing w:line="360" w:lineRule="auto"/>
        <w:ind w:left="960"/>
        <w:rPr>
          <w:rFonts w:hAnsi="宋体" w:cs="宋体"/>
          <w:sz w:val="24"/>
          <w:szCs w:val="28"/>
        </w:rPr>
      </w:pPr>
      <w:r>
        <w:rPr>
          <w:rFonts w:hint="eastAsia" w:hAnsi="宋体" w:cs="宋体"/>
          <w:sz w:val="24"/>
          <w:szCs w:val="28"/>
        </w:rPr>
        <w:t>磋商供应商应按磋商文件要求准备磋商响应文件（1份正本、2份副本和相应的电子文档1份，</w:t>
      </w:r>
      <w:r>
        <w:rPr>
          <w:rFonts w:hint="eastAsia" w:hAnsi="宋体" w:cs="宋体"/>
          <w:sz w:val="24"/>
          <w:szCs w:val="24"/>
        </w:rPr>
        <w:t>竞争性磋商首次报价表</w:t>
      </w:r>
      <w:r>
        <w:rPr>
          <w:rFonts w:hint="eastAsia" w:hAnsi="宋体" w:cs="宋体"/>
          <w:sz w:val="24"/>
          <w:lang w:val="zh-CN"/>
        </w:rPr>
        <w:t>1份</w:t>
      </w:r>
      <w:r>
        <w:rPr>
          <w:rFonts w:hint="eastAsia" w:hAnsi="宋体" w:cs="宋体"/>
          <w:sz w:val="24"/>
          <w:szCs w:val="28"/>
        </w:rPr>
        <w:t>）。每份磋商响应文件都必须清楚地标明“正本”或“副本”等字样。若发生正本和副本不符，以正本磋商响应文件为准。磋商响应文件统一使用A4幅面的纸张印制，必须胶装成册并编码，不得采用活页夹等可随时拆换的方式装订。</w:t>
      </w:r>
    </w:p>
    <w:p w14:paraId="48028222">
      <w:pPr>
        <w:pStyle w:val="18"/>
        <w:numPr>
          <w:ilvl w:val="1"/>
          <w:numId w:val="17"/>
        </w:numPr>
        <w:spacing w:line="360" w:lineRule="auto"/>
        <w:ind w:left="960"/>
        <w:rPr>
          <w:rFonts w:hAnsi="宋体" w:cs="宋体"/>
          <w:sz w:val="24"/>
          <w:szCs w:val="28"/>
        </w:rPr>
      </w:pPr>
      <w:r>
        <w:rPr>
          <w:rFonts w:hint="eastAsia" w:hAnsi="宋体" w:cs="宋体"/>
          <w:sz w:val="24"/>
          <w:lang w:val="zh-CN"/>
        </w:rPr>
        <w:t>磋商响应文件的正本和副本均需打印或用不褪色、不变质的墨水书写并由投标供应商的委托代理人按要求加盖公章。磋商响应文件副本可采用正本的复印件，若不满足以上条件，按对磋商文件规范性响应程度出现偏差处理。</w:t>
      </w:r>
    </w:p>
    <w:p w14:paraId="7E983F1F">
      <w:pPr>
        <w:pStyle w:val="18"/>
        <w:numPr>
          <w:ilvl w:val="1"/>
          <w:numId w:val="17"/>
        </w:numPr>
        <w:spacing w:line="360" w:lineRule="auto"/>
        <w:ind w:left="960"/>
        <w:rPr>
          <w:rFonts w:hAnsi="宋体" w:cs="宋体"/>
          <w:sz w:val="24"/>
          <w:szCs w:val="28"/>
        </w:rPr>
      </w:pPr>
      <w:r>
        <w:rPr>
          <w:rFonts w:hint="eastAsia" w:hAnsi="宋体" w:cs="宋体"/>
          <w:sz w:val="24"/>
          <w:lang w:val="zh-CN"/>
        </w:rPr>
        <w:t>电子文档采用可读的U盘编制，须写明采购项目名称、供应商名称及磋商日期，电子文档为纸质版磋商响应文件正本的扫描件，需采用不可修改文档格式，电子文档与纸质版磋商响应文件正本内容必须完全一致，包括盖章和签字，并与书面磋商响应文件一并提交，否则，视为无效磋商。</w:t>
      </w:r>
    </w:p>
    <w:p w14:paraId="1133CA9F">
      <w:pPr>
        <w:pStyle w:val="18"/>
        <w:numPr>
          <w:ilvl w:val="1"/>
          <w:numId w:val="17"/>
        </w:numPr>
        <w:spacing w:line="360" w:lineRule="auto"/>
        <w:ind w:left="960"/>
        <w:rPr>
          <w:rFonts w:hAnsi="宋体"/>
          <w:sz w:val="24"/>
          <w:szCs w:val="24"/>
        </w:rPr>
      </w:pPr>
      <w:r>
        <w:rPr>
          <w:rFonts w:hint="eastAsia" w:hAnsi="宋体" w:cs="宋体"/>
          <w:sz w:val="24"/>
          <w:szCs w:val="28"/>
        </w:rPr>
        <w:t>磋商响应文件中不得行间插字、涂改或增删，如有修改错漏处，须由磋商供应商法人或其委托代理人签字或盖个人印鉴。</w:t>
      </w:r>
    </w:p>
    <w:p w14:paraId="6FCC7AEC">
      <w:pPr>
        <w:pStyle w:val="5"/>
        <w:ind w:left="709"/>
        <w:rPr>
          <w:rFonts w:hAnsi="宋体"/>
          <w:b/>
          <w:sz w:val="24"/>
          <w:szCs w:val="24"/>
        </w:rPr>
      </w:pPr>
      <w:bookmarkStart w:id="46" w:name="_Toc11381"/>
      <w:r>
        <w:rPr>
          <w:rFonts w:hint="eastAsia" w:hAnsi="宋体"/>
          <w:b/>
          <w:sz w:val="24"/>
          <w:szCs w:val="24"/>
        </w:rPr>
        <w:t>磋商响应文件的递交</w:t>
      </w:r>
      <w:bookmarkEnd w:id="46"/>
    </w:p>
    <w:p w14:paraId="1157DA7C">
      <w:pPr>
        <w:pStyle w:val="6"/>
        <w:numPr>
          <w:ilvl w:val="0"/>
          <w:numId w:val="3"/>
        </w:numPr>
        <w:spacing w:before="0" w:after="0" w:line="360" w:lineRule="auto"/>
        <w:rPr>
          <w:rFonts w:ascii="宋体" w:hAnsi="宋体" w:cs="宋体"/>
          <w:b w:val="0"/>
        </w:rPr>
      </w:pPr>
      <w:bookmarkStart w:id="47" w:name="_Toc488673628"/>
      <w:bookmarkStart w:id="48" w:name="_Toc60842589"/>
      <w:bookmarkStart w:id="49" w:name="_Toc17106"/>
      <w:r>
        <w:rPr>
          <w:rFonts w:hint="eastAsia" w:ascii="宋体" w:hAnsi="宋体" w:cs="宋体"/>
          <w:b w:val="0"/>
        </w:rPr>
        <w:t>磋商响应文件的密封和标记</w:t>
      </w:r>
      <w:bookmarkEnd w:id="47"/>
      <w:bookmarkEnd w:id="48"/>
      <w:bookmarkEnd w:id="49"/>
    </w:p>
    <w:p w14:paraId="0BD0A40A">
      <w:pPr>
        <w:pStyle w:val="18"/>
        <w:numPr>
          <w:ilvl w:val="1"/>
          <w:numId w:val="18"/>
        </w:numPr>
        <w:spacing w:line="360" w:lineRule="auto"/>
        <w:rPr>
          <w:rFonts w:hAnsi="宋体" w:cs="宋体"/>
          <w:color w:val="000000" w:themeColor="text1"/>
          <w:sz w:val="24"/>
          <w:szCs w:val="28"/>
          <w14:textFill>
            <w14:solidFill>
              <w14:schemeClr w14:val="tx1"/>
            </w14:solidFill>
          </w14:textFill>
        </w:rPr>
      </w:pPr>
      <w:r>
        <w:rPr>
          <w:rFonts w:hint="eastAsia" w:hAnsi="宋体" w:cs="宋体"/>
          <w:sz w:val="24"/>
          <w:szCs w:val="28"/>
        </w:rPr>
        <w:t>磋商响应文件正本、所有副本和磋商响应文件要求单独提交的电子文档，应分别封装于不同的密封袋内，密封袋上应分别标上“正本”、“副本”、 “电子文档”、</w:t>
      </w:r>
      <w:r>
        <w:rPr>
          <w:rFonts w:hint="eastAsia" w:hAnsi="宋体" w:cs="宋体"/>
          <w:sz w:val="24"/>
          <w:szCs w:val="24"/>
        </w:rPr>
        <w:t xml:space="preserve"> “竞争性磋商首次报价表”</w:t>
      </w:r>
      <w:r>
        <w:rPr>
          <w:rFonts w:hint="eastAsia" w:hAnsi="宋体" w:cs="宋体"/>
          <w:sz w:val="24"/>
          <w:szCs w:val="28"/>
        </w:rPr>
        <w:t>字样，并注明磋商供应商名</w:t>
      </w:r>
      <w:r>
        <w:rPr>
          <w:rFonts w:hint="eastAsia" w:hAnsi="宋体" w:cs="宋体"/>
          <w:color w:val="000000" w:themeColor="text1"/>
          <w:sz w:val="24"/>
          <w:szCs w:val="28"/>
          <w14:textFill>
            <w14:solidFill>
              <w14:schemeClr w14:val="tx1"/>
            </w14:solidFill>
          </w14:textFill>
        </w:rPr>
        <w:t>称、采购项目编号、采购项目名称及分包号（如有分包）；</w:t>
      </w:r>
    </w:p>
    <w:p w14:paraId="5E864D37">
      <w:pPr>
        <w:pStyle w:val="18"/>
        <w:numPr>
          <w:ilvl w:val="1"/>
          <w:numId w:val="18"/>
        </w:numPr>
        <w:spacing w:line="360" w:lineRule="auto"/>
        <w:rPr>
          <w:rFonts w:hAnsi="宋体" w:cs="宋体"/>
          <w:color w:val="000000" w:themeColor="text1"/>
          <w:sz w:val="24"/>
          <w:szCs w:val="28"/>
          <w14:textFill>
            <w14:solidFill>
              <w14:schemeClr w14:val="tx1"/>
            </w14:solidFill>
          </w14:textFill>
        </w:rPr>
      </w:pPr>
      <w:r>
        <w:rPr>
          <w:rFonts w:hint="eastAsia" w:hAnsi="宋体" w:cs="宋体"/>
          <w:color w:val="000000" w:themeColor="text1"/>
          <w:sz w:val="24"/>
          <w:szCs w:val="28"/>
          <w14:textFill>
            <w14:solidFill>
              <w14:schemeClr w14:val="tx1"/>
            </w14:solidFill>
          </w14:textFill>
        </w:rPr>
        <w:t>密封后的磋商响应文件均应：</w:t>
      </w:r>
    </w:p>
    <w:p w14:paraId="05502DB9">
      <w:pPr>
        <w:pStyle w:val="18"/>
        <w:numPr>
          <w:ilvl w:val="0"/>
          <w:numId w:val="19"/>
        </w:numPr>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按“磋商供应商须知前附表”注明的时间、地址送达；</w:t>
      </w:r>
    </w:p>
    <w:p w14:paraId="54372C97">
      <w:pPr>
        <w:pStyle w:val="18"/>
        <w:numPr>
          <w:ilvl w:val="0"/>
          <w:numId w:val="19"/>
        </w:numPr>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磋商响应文件密封袋用“于</w:t>
      </w:r>
      <w:r>
        <w:rPr>
          <w:rFonts w:hint="eastAsia" w:hAnsi="宋体" w:cs="宋体"/>
          <w:color w:val="000000" w:themeColor="text1"/>
          <w:sz w:val="24"/>
          <w:lang w:eastAsia="zh-CN"/>
          <w14:textFill>
            <w14:solidFill>
              <w14:schemeClr w14:val="tx1"/>
            </w14:solidFill>
          </w14:textFill>
        </w:rPr>
        <w:t>2024年</w:t>
      </w:r>
      <w:r>
        <w:rPr>
          <w:rFonts w:hint="eastAsia" w:ascii="宋体" w:hAnsi="宋体"/>
          <w:color w:val="000000" w:themeColor="text1"/>
          <w:kern w:val="0"/>
          <w:sz w:val="24"/>
          <w:lang w:val="en-US" w:eastAsia="zh-CN"/>
          <w14:textFill>
            <w14:solidFill>
              <w14:schemeClr w14:val="tx1"/>
            </w14:solidFill>
          </w14:textFill>
        </w:rPr>
        <w:t>08</w:t>
      </w:r>
      <w:r>
        <w:rPr>
          <w:rFonts w:hint="eastAsia" w:ascii="宋体" w:hAnsi="宋体"/>
          <w:color w:val="000000" w:themeColor="text1"/>
          <w:kern w:val="0"/>
          <w:sz w:val="24"/>
          <w:lang w:eastAsia="zh-CN"/>
          <w14:textFill>
            <w14:solidFill>
              <w14:schemeClr w14:val="tx1"/>
            </w14:solidFill>
          </w14:textFill>
        </w:rPr>
        <w:t>月</w:t>
      </w:r>
      <w:r>
        <w:rPr>
          <w:rFonts w:hint="eastAsia" w:hAnsi="宋体"/>
          <w:color w:val="000000" w:themeColor="text1"/>
          <w:kern w:val="0"/>
          <w:sz w:val="24"/>
          <w:lang w:val="en-US" w:eastAsia="zh-CN"/>
          <w14:textFill>
            <w14:solidFill>
              <w14:schemeClr w14:val="tx1"/>
            </w14:solidFill>
          </w14:textFill>
        </w:rPr>
        <w:t>10</w:t>
      </w:r>
      <w:r>
        <w:rPr>
          <w:rFonts w:hint="eastAsia" w:ascii="宋体" w:hAnsi="宋体"/>
          <w:color w:val="000000" w:themeColor="text1"/>
          <w:kern w:val="0"/>
          <w:sz w:val="24"/>
          <w:lang w:eastAsia="zh-CN"/>
          <w14:textFill>
            <w14:solidFill>
              <w14:schemeClr w14:val="tx1"/>
            </w14:solidFill>
          </w14:textFill>
        </w:rPr>
        <w:t>日上午09:30</w:t>
      </w:r>
      <w:r>
        <w:rPr>
          <w:rFonts w:hint="eastAsia" w:hAnsi="宋体" w:cs="宋体"/>
          <w:color w:val="000000" w:themeColor="text1"/>
          <w:sz w:val="24"/>
          <w:lang w:eastAsia="zh-CN"/>
          <w14:textFill>
            <w14:solidFill>
              <w14:schemeClr w14:val="tx1"/>
            </w14:solidFill>
          </w14:textFill>
        </w:rPr>
        <w:t>（北京时间）</w:t>
      </w:r>
      <w:r>
        <w:rPr>
          <w:rFonts w:hint="eastAsia" w:hAnsi="宋体" w:cs="宋体"/>
          <w:color w:val="000000" w:themeColor="text1"/>
          <w:sz w:val="24"/>
          <w:szCs w:val="24"/>
          <w14:textFill>
            <w14:solidFill>
              <w14:schemeClr w14:val="tx1"/>
            </w14:solidFill>
          </w14:textFill>
        </w:rPr>
        <w:t>之前不得启封”的标签密封。</w:t>
      </w:r>
    </w:p>
    <w:p w14:paraId="6B037C12">
      <w:pPr>
        <w:pStyle w:val="18"/>
        <w:numPr>
          <w:ilvl w:val="1"/>
          <w:numId w:val="18"/>
        </w:numPr>
        <w:spacing w:line="360" w:lineRule="auto"/>
        <w:rPr>
          <w:rFonts w:hAnsi="宋体" w:cs="宋体"/>
          <w:sz w:val="24"/>
          <w:szCs w:val="28"/>
        </w:rPr>
      </w:pPr>
      <w:r>
        <w:rPr>
          <w:rFonts w:hint="eastAsia" w:hAnsi="宋体" w:cs="宋体"/>
          <w:sz w:val="24"/>
          <w:szCs w:val="28"/>
        </w:rPr>
        <w:t>如果磋商供应商未按第13.1-13.4条要求将磋商响应文件密封或在密封袋上加写标记，采购代理机构对误投或过早启封概不负责。由此造成提前启封的磋商响应文件，采购代理机构予以拒绝，并退回磋商供应商；</w:t>
      </w:r>
    </w:p>
    <w:p w14:paraId="0AE28B6C">
      <w:pPr>
        <w:pStyle w:val="18"/>
        <w:numPr>
          <w:ilvl w:val="1"/>
          <w:numId w:val="18"/>
        </w:numPr>
        <w:spacing w:line="360" w:lineRule="auto"/>
        <w:rPr>
          <w:rFonts w:hAnsi="宋体" w:cs="宋体"/>
          <w:sz w:val="24"/>
          <w:szCs w:val="28"/>
        </w:rPr>
      </w:pPr>
      <w:r>
        <w:rPr>
          <w:rFonts w:hint="eastAsia" w:hAnsi="宋体" w:cs="宋体"/>
          <w:sz w:val="24"/>
          <w:szCs w:val="28"/>
        </w:rPr>
        <w:t>磋商供应商以电报、电话、传真形式磋商的，采购代理机构概不接受。</w:t>
      </w:r>
    </w:p>
    <w:p w14:paraId="4878C9FD">
      <w:pPr>
        <w:pStyle w:val="6"/>
        <w:numPr>
          <w:ilvl w:val="0"/>
          <w:numId w:val="3"/>
        </w:numPr>
        <w:spacing w:before="0" w:after="0" w:line="360" w:lineRule="auto"/>
        <w:rPr>
          <w:rFonts w:ascii="宋体" w:hAnsi="宋体" w:cs="宋体"/>
          <w:b w:val="0"/>
        </w:rPr>
      </w:pPr>
      <w:bookmarkStart w:id="50" w:name="_Toc488673629"/>
      <w:bookmarkStart w:id="51" w:name="_Toc7129"/>
      <w:bookmarkStart w:id="52" w:name="_Toc60842590"/>
      <w:r>
        <w:rPr>
          <w:rFonts w:hint="eastAsia" w:ascii="宋体" w:hAnsi="宋体" w:cs="宋体"/>
          <w:b w:val="0"/>
        </w:rPr>
        <w:t>递交磋商响应文件的地点、截止时间</w:t>
      </w:r>
      <w:bookmarkEnd w:id="50"/>
      <w:bookmarkEnd w:id="51"/>
      <w:bookmarkEnd w:id="52"/>
    </w:p>
    <w:p w14:paraId="4E5A7C0E">
      <w:pPr>
        <w:pStyle w:val="18"/>
        <w:numPr>
          <w:ilvl w:val="1"/>
          <w:numId w:val="20"/>
        </w:numPr>
        <w:spacing w:line="360" w:lineRule="auto"/>
        <w:rPr>
          <w:rFonts w:hAnsi="宋体" w:cs="宋体"/>
          <w:sz w:val="24"/>
          <w:szCs w:val="28"/>
        </w:rPr>
      </w:pPr>
      <w:r>
        <w:rPr>
          <w:rFonts w:hint="eastAsia" w:hAnsi="宋体" w:cs="宋体"/>
          <w:sz w:val="24"/>
          <w:szCs w:val="28"/>
        </w:rPr>
        <w:t>所有磋商响应文件都必须按磋商文件规定的磋商截止时间之前送达磋商地点；</w:t>
      </w:r>
    </w:p>
    <w:p w14:paraId="0DA0C18E">
      <w:pPr>
        <w:pStyle w:val="18"/>
        <w:numPr>
          <w:ilvl w:val="1"/>
          <w:numId w:val="20"/>
        </w:numPr>
        <w:spacing w:line="360" w:lineRule="auto"/>
        <w:rPr>
          <w:rFonts w:hAnsi="宋体" w:cs="宋体"/>
          <w:sz w:val="24"/>
          <w:szCs w:val="28"/>
        </w:rPr>
      </w:pPr>
      <w:r>
        <w:rPr>
          <w:rFonts w:hint="eastAsia" w:hAnsi="宋体" w:cs="宋体"/>
          <w:sz w:val="24"/>
          <w:szCs w:val="28"/>
        </w:rPr>
        <w:t>采购代理机构将拒绝接收在磋商截止时间之后送达的磋商响应文件；</w:t>
      </w:r>
    </w:p>
    <w:p w14:paraId="0FDE4C70">
      <w:pPr>
        <w:pStyle w:val="6"/>
        <w:numPr>
          <w:ilvl w:val="0"/>
          <w:numId w:val="3"/>
        </w:numPr>
        <w:spacing w:before="0" w:after="0" w:line="360" w:lineRule="auto"/>
        <w:rPr>
          <w:rFonts w:ascii="宋体" w:hAnsi="宋体" w:cs="宋体"/>
          <w:b w:val="0"/>
        </w:rPr>
      </w:pPr>
      <w:bookmarkStart w:id="53" w:name="_Toc488673630"/>
      <w:bookmarkStart w:id="54" w:name="_Toc60842591"/>
      <w:bookmarkStart w:id="55" w:name="_Toc12062"/>
      <w:r>
        <w:rPr>
          <w:rFonts w:hint="eastAsia" w:ascii="宋体" w:hAnsi="宋体" w:cs="宋体"/>
          <w:b w:val="0"/>
        </w:rPr>
        <w:t>磋商响应文件的撤回和修改</w:t>
      </w:r>
      <w:bookmarkEnd w:id="53"/>
      <w:bookmarkEnd w:id="54"/>
      <w:bookmarkEnd w:id="55"/>
    </w:p>
    <w:p w14:paraId="1065BA2B">
      <w:pPr>
        <w:pStyle w:val="18"/>
        <w:spacing w:line="360" w:lineRule="auto"/>
        <w:ind w:firstLine="480" w:firstLineChars="200"/>
        <w:rPr>
          <w:rFonts w:hAnsi="宋体" w:cs="宋体"/>
          <w:sz w:val="24"/>
          <w:szCs w:val="28"/>
        </w:rPr>
      </w:pPr>
      <w:r>
        <w:rPr>
          <w:rFonts w:hint="eastAsia" w:hAnsi="宋体" w:cs="宋体"/>
          <w:sz w:val="24"/>
          <w:szCs w:val="28"/>
        </w:rPr>
        <w:t>1、允许磋商供应商在磋商截止期前撤回其磋商响应文件（须以书面形式通知采购代理机构），磋商截止期后不得撤回其磋商响应文件。</w:t>
      </w:r>
    </w:p>
    <w:p w14:paraId="7D742144">
      <w:pPr>
        <w:spacing w:line="360" w:lineRule="auto"/>
        <w:ind w:firstLine="480" w:firstLineChars="200"/>
        <w:rPr>
          <w:rFonts w:ascii="宋体" w:hAnsi="宋体" w:cs="宋体"/>
          <w:kern w:val="0"/>
          <w:sz w:val="24"/>
        </w:rPr>
      </w:pPr>
      <w:r>
        <w:rPr>
          <w:rFonts w:hint="eastAsia" w:ascii="宋体" w:hAnsi="宋体" w:cs="宋体"/>
          <w:kern w:val="0"/>
          <w:sz w:val="24"/>
        </w:rPr>
        <w:t>2、无论中标与否，磋商人递交的一切磋商材料均不予退还。</w:t>
      </w:r>
    </w:p>
    <w:p w14:paraId="4131488A">
      <w:pPr>
        <w:pStyle w:val="5"/>
        <w:ind w:left="709"/>
        <w:rPr>
          <w:rFonts w:hAnsi="宋体"/>
          <w:b/>
          <w:sz w:val="24"/>
          <w:szCs w:val="24"/>
        </w:rPr>
      </w:pPr>
      <w:bookmarkStart w:id="56" w:name="_Toc564"/>
      <w:r>
        <w:rPr>
          <w:rFonts w:hint="eastAsia" w:hAnsi="宋体"/>
          <w:b/>
          <w:sz w:val="24"/>
          <w:szCs w:val="24"/>
        </w:rPr>
        <w:t>磋商过程</w:t>
      </w:r>
      <w:bookmarkEnd w:id="56"/>
    </w:p>
    <w:p w14:paraId="480D6E56">
      <w:pPr>
        <w:pStyle w:val="89"/>
        <w:numPr>
          <w:ilvl w:val="0"/>
          <w:numId w:val="21"/>
        </w:numPr>
        <w:spacing w:line="360" w:lineRule="auto"/>
        <w:ind w:left="840" w:leftChars="0" w:firstLineChars="0"/>
        <w:rPr>
          <w:rFonts w:ascii="宋体" w:hAnsi="宋体" w:cs="宋体"/>
          <w:sz w:val="24"/>
        </w:rPr>
      </w:pPr>
      <w:r>
        <w:rPr>
          <w:rFonts w:hint="eastAsia" w:ascii="宋体" w:hAnsi="宋体" w:cs="宋体"/>
          <w:sz w:val="24"/>
        </w:rPr>
        <w:t>采购代理机构按本磋商文件中确定的时间和地点组织本项目的磋商活动。供应商应由其委托代理人参加。</w:t>
      </w:r>
    </w:p>
    <w:p w14:paraId="7C7AC260">
      <w:pPr>
        <w:pStyle w:val="89"/>
        <w:numPr>
          <w:ilvl w:val="0"/>
          <w:numId w:val="21"/>
        </w:numPr>
        <w:spacing w:line="360" w:lineRule="auto"/>
        <w:ind w:left="840" w:leftChars="0" w:firstLineChars="0"/>
        <w:rPr>
          <w:rFonts w:ascii="宋体" w:hAnsi="宋体" w:cs="宋体"/>
          <w:sz w:val="24"/>
        </w:rPr>
      </w:pPr>
      <w:r>
        <w:rPr>
          <w:rFonts w:hint="eastAsia" w:ascii="宋体" w:hAnsi="宋体" w:cs="宋体"/>
          <w:sz w:val="24"/>
        </w:rPr>
        <w:t>磋商时，对不同文字文本响应文件的解释发生异议的，以中文文本为准。</w:t>
      </w:r>
    </w:p>
    <w:p w14:paraId="7926C983">
      <w:pPr>
        <w:pStyle w:val="89"/>
        <w:numPr>
          <w:ilvl w:val="0"/>
          <w:numId w:val="21"/>
        </w:numPr>
        <w:spacing w:line="360" w:lineRule="auto"/>
        <w:ind w:left="840" w:leftChars="0" w:firstLineChars="0"/>
        <w:rPr>
          <w:rFonts w:ascii="宋体" w:hAnsi="宋体" w:cs="宋体"/>
          <w:sz w:val="24"/>
        </w:rPr>
      </w:pPr>
      <w:r>
        <w:rPr>
          <w:rFonts w:hint="eastAsia" w:ascii="宋体" w:hAnsi="宋体" w:cs="宋体"/>
          <w:sz w:val="24"/>
        </w:rPr>
        <w:t>磋商工作由采购代理机构组织，采购单位、采购监管、纪检监察等有关方面代表可根据采购项目的具体情况列席。</w:t>
      </w:r>
    </w:p>
    <w:p w14:paraId="53F0B68F">
      <w:pPr>
        <w:pStyle w:val="89"/>
        <w:numPr>
          <w:ilvl w:val="0"/>
          <w:numId w:val="21"/>
        </w:numPr>
        <w:spacing w:line="360" w:lineRule="auto"/>
        <w:ind w:left="840" w:leftChars="0" w:firstLineChars="0"/>
        <w:rPr>
          <w:rFonts w:ascii="宋体" w:hAnsi="宋体" w:cs="宋体"/>
          <w:sz w:val="24"/>
        </w:rPr>
      </w:pPr>
      <w:r>
        <w:rPr>
          <w:rFonts w:hint="eastAsia" w:ascii="宋体" w:hAnsi="宋体" w:cs="宋体"/>
          <w:sz w:val="24"/>
        </w:rPr>
        <w:t>磋商过程有专人记录，并存档备查。</w:t>
      </w:r>
    </w:p>
    <w:p w14:paraId="2AC4B66E">
      <w:pPr>
        <w:pStyle w:val="5"/>
        <w:ind w:left="709"/>
        <w:rPr>
          <w:rFonts w:hAnsi="宋体"/>
          <w:b/>
          <w:sz w:val="24"/>
          <w:szCs w:val="24"/>
        </w:rPr>
      </w:pPr>
      <w:bookmarkStart w:id="57" w:name="_Toc27251"/>
      <w:r>
        <w:rPr>
          <w:rFonts w:hint="eastAsia" w:hAnsi="宋体"/>
          <w:b/>
          <w:sz w:val="24"/>
          <w:szCs w:val="24"/>
        </w:rPr>
        <w:t>资格审查</w:t>
      </w:r>
      <w:bookmarkEnd w:id="57"/>
    </w:p>
    <w:p w14:paraId="3183E49E">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1、合格投标人不足3家的，不得评标。</w:t>
      </w:r>
    </w:p>
    <w:p w14:paraId="6EC1E947">
      <w:pPr>
        <w:autoSpaceDE w:val="0"/>
        <w:autoSpaceDN w:val="0"/>
        <w:spacing w:line="360" w:lineRule="auto"/>
        <w:ind w:firstLine="480" w:firstLineChars="200"/>
        <w:rPr>
          <w:rFonts w:ascii="宋体" w:hAnsi="宋体" w:cs="宋体"/>
          <w:sz w:val="24"/>
        </w:rPr>
      </w:pPr>
      <w:bookmarkStart w:id="58" w:name="_Toc497503315"/>
      <w:bookmarkStart w:id="59" w:name="_Toc497503449"/>
      <w:bookmarkStart w:id="60" w:name="_Toc30809"/>
      <w:bookmarkStart w:id="61" w:name="_Toc497503249"/>
      <w:bookmarkStart w:id="62" w:name="_Toc497503516"/>
      <w:r>
        <w:rPr>
          <w:rFonts w:hint="eastAsia" w:ascii="宋体" w:hAnsi="宋体" w:cs="宋体"/>
          <w:kern w:val="0"/>
          <w:sz w:val="24"/>
        </w:rPr>
        <w:t>2、资格审查时，投标人存在下列情况之一的，按无效投标处理：</w:t>
      </w:r>
      <w:bookmarkEnd w:id="58"/>
      <w:bookmarkEnd w:id="59"/>
      <w:bookmarkEnd w:id="60"/>
      <w:bookmarkEnd w:id="61"/>
      <w:bookmarkEnd w:id="62"/>
    </w:p>
    <w:p w14:paraId="188FC9B5">
      <w:pPr>
        <w:numPr>
          <w:ilvl w:val="0"/>
          <w:numId w:val="22"/>
        </w:numPr>
        <w:tabs>
          <w:tab w:val="left" w:pos="960"/>
        </w:tabs>
        <w:autoSpaceDE w:val="0"/>
        <w:autoSpaceDN w:val="0"/>
        <w:spacing w:line="360" w:lineRule="auto"/>
        <w:ind w:firstLine="480" w:firstLineChars="200"/>
        <w:rPr>
          <w:rFonts w:ascii="宋体" w:hAnsi="宋体" w:cs="宋体"/>
          <w:kern w:val="0"/>
          <w:sz w:val="24"/>
        </w:rPr>
      </w:pPr>
      <w:r>
        <w:rPr>
          <w:rFonts w:hint="eastAsia" w:ascii="宋体" w:hAnsi="宋体" w:cs="宋体"/>
          <w:sz w:val="24"/>
          <w:shd w:val="clear" w:color="auto" w:fill="FFFFFF"/>
        </w:rPr>
        <w:t>不具备</w:t>
      </w:r>
      <w:r>
        <w:rPr>
          <w:rFonts w:hint="eastAsia" w:ascii="宋体" w:hAnsi="宋体" w:cs="宋体"/>
          <w:kern w:val="0"/>
          <w:sz w:val="24"/>
          <w:lang w:val="zh-CN"/>
        </w:rPr>
        <w:t>第2.2款“合格的投标人”</w:t>
      </w:r>
      <w:r>
        <w:rPr>
          <w:rFonts w:hint="eastAsia" w:ascii="宋体" w:hAnsi="宋体" w:cs="宋体"/>
          <w:sz w:val="24"/>
          <w:shd w:val="clear" w:color="auto" w:fill="FFFFFF"/>
        </w:rPr>
        <w:t>规定的资格要求的；</w:t>
      </w:r>
    </w:p>
    <w:p w14:paraId="6E710DFB">
      <w:pPr>
        <w:numPr>
          <w:ilvl w:val="0"/>
          <w:numId w:val="22"/>
        </w:numPr>
        <w:tabs>
          <w:tab w:val="left" w:pos="960"/>
        </w:tabs>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未按招标文件要求交纳或未足额交纳投标保证金的；</w:t>
      </w:r>
    </w:p>
    <w:p w14:paraId="6E5BA37A">
      <w:pPr>
        <w:widowControl w:val="0"/>
        <w:numPr>
          <w:ilvl w:val="0"/>
          <w:numId w:val="22"/>
        </w:numPr>
        <w:tabs>
          <w:tab w:val="left" w:pos="960"/>
        </w:tabs>
        <w:autoSpaceDE w:val="0"/>
        <w:autoSpaceDN w:val="0"/>
        <w:spacing w:line="360" w:lineRule="auto"/>
        <w:ind w:firstLine="480" w:firstLineChars="200"/>
        <w:jc w:val="both"/>
        <w:rPr>
          <w:rFonts w:ascii="宋体" w:hAnsi="宋体" w:cs="宋体"/>
          <w:sz w:val="24"/>
          <w:shd w:val="clear" w:color="auto" w:fill="FFFFFF"/>
        </w:rPr>
      </w:pPr>
      <w:r>
        <w:rPr>
          <w:rFonts w:hint="eastAsia" w:ascii="宋体" w:hAnsi="宋体" w:cs="宋体"/>
          <w:kern w:val="0"/>
          <w:sz w:val="24"/>
        </w:rPr>
        <w:t>未按第11.1</w:t>
      </w:r>
      <w:r>
        <w:rPr>
          <w:rFonts w:hint="eastAsia" w:ascii="宋体" w:hAnsi="宋体" w:cs="宋体"/>
          <w:kern w:val="0"/>
          <w:sz w:val="24"/>
          <w:lang w:val="zh-CN"/>
        </w:rPr>
        <w:t>款</w:t>
      </w: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）-（13）要求提供相关资料的</w:t>
      </w:r>
      <w:r>
        <w:rPr>
          <w:rFonts w:hint="eastAsia" w:ascii="宋体" w:hAnsi="宋体" w:cs="宋体"/>
          <w:sz w:val="24"/>
          <w:shd w:val="clear" w:color="auto" w:fill="FFFFFF"/>
        </w:rPr>
        <w:t>；</w:t>
      </w:r>
    </w:p>
    <w:p w14:paraId="4E0DBE98">
      <w:pPr>
        <w:numPr>
          <w:ilvl w:val="0"/>
          <w:numId w:val="22"/>
        </w:numPr>
        <w:tabs>
          <w:tab w:val="left" w:pos="960"/>
        </w:tabs>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kern w:val="0"/>
          <w:sz w:val="24"/>
        </w:rPr>
        <w:t>资格性审查文件未按招标文件规定和要求签字、盖章的；</w:t>
      </w:r>
    </w:p>
    <w:p w14:paraId="4315C426">
      <w:pPr>
        <w:numPr>
          <w:ilvl w:val="0"/>
          <w:numId w:val="22"/>
        </w:numPr>
        <w:tabs>
          <w:tab w:val="left" w:pos="960"/>
        </w:tabs>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报价超过招标文件中规定的预算金额或者最高限价的；</w:t>
      </w:r>
    </w:p>
    <w:p w14:paraId="33B28590">
      <w:pPr>
        <w:numPr>
          <w:ilvl w:val="0"/>
          <w:numId w:val="22"/>
        </w:numPr>
        <w:tabs>
          <w:tab w:val="left" w:pos="960"/>
        </w:tabs>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kern w:val="0"/>
          <w:sz w:val="24"/>
          <w:lang w:val="zh-CN"/>
        </w:rPr>
        <w:t>投标有效期不能满足招标文件要求的；</w:t>
      </w:r>
    </w:p>
    <w:p w14:paraId="567DEA8D">
      <w:pPr>
        <w:pStyle w:val="5"/>
        <w:ind w:left="709"/>
        <w:rPr>
          <w:rFonts w:hAnsi="宋体"/>
          <w:b/>
          <w:sz w:val="24"/>
          <w:szCs w:val="24"/>
        </w:rPr>
      </w:pPr>
      <w:bookmarkStart w:id="63" w:name="_Toc13470"/>
      <w:r>
        <w:rPr>
          <w:rFonts w:hint="eastAsia" w:hAnsi="宋体"/>
          <w:b/>
          <w:sz w:val="24"/>
          <w:szCs w:val="24"/>
        </w:rPr>
        <w:t>评审程序及方法</w:t>
      </w:r>
      <w:bookmarkEnd w:id="63"/>
    </w:p>
    <w:p w14:paraId="3F5B6DF4">
      <w:pPr>
        <w:pStyle w:val="6"/>
        <w:numPr>
          <w:ilvl w:val="0"/>
          <w:numId w:val="3"/>
        </w:numPr>
        <w:spacing w:before="0" w:after="0" w:line="360" w:lineRule="auto"/>
        <w:rPr>
          <w:rFonts w:ascii="宋体" w:hAnsi="宋体"/>
          <w:b w:val="0"/>
          <w:sz w:val="24"/>
          <w:szCs w:val="24"/>
        </w:rPr>
      </w:pPr>
      <w:bookmarkStart w:id="64" w:name="_Toc488673633"/>
      <w:bookmarkStart w:id="65" w:name="_Toc5911"/>
      <w:r>
        <w:rPr>
          <w:rFonts w:hint="eastAsia" w:ascii="宋体" w:hAnsi="宋体"/>
          <w:b w:val="0"/>
          <w:sz w:val="24"/>
          <w:szCs w:val="24"/>
        </w:rPr>
        <w:t>评标委员会</w:t>
      </w:r>
      <w:bookmarkEnd w:id="64"/>
      <w:bookmarkEnd w:id="65"/>
    </w:p>
    <w:p w14:paraId="0A4BFFC5">
      <w:pPr>
        <w:pStyle w:val="18"/>
        <w:numPr>
          <w:ilvl w:val="0"/>
          <w:numId w:val="0"/>
        </w:numPr>
        <w:spacing w:line="360" w:lineRule="auto"/>
        <w:ind w:left="141" w:leftChars="0" w:firstLine="480" w:firstLineChars="200"/>
        <w:rPr>
          <w:rFonts w:hAnsi="宋体"/>
          <w:sz w:val="24"/>
          <w:szCs w:val="24"/>
        </w:rPr>
      </w:pPr>
      <w:r>
        <w:rPr>
          <w:rFonts w:hint="eastAsia" w:hAnsi="宋体" w:cs="宋体"/>
          <w:sz w:val="24"/>
          <w:szCs w:val="24"/>
          <w:lang w:val="en-US" w:eastAsia="zh-CN"/>
        </w:rPr>
        <w:t>16.1</w:t>
      </w:r>
      <w:r>
        <w:rPr>
          <w:rFonts w:hint="eastAsia" w:hAnsi="宋体" w:cs="宋体"/>
          <w:sz w:val="24"/>
          <w:szCs w:val="24"/>
        </w:rPr>
        <w:t>采购代理机构将根据采购项目的特点依法组建磋商小组，其成员由具有一定专业水平的技术、经济等方面的专家和采购单位代表等三人以上单数组成。其中技术、经济等方面的专家不少于成员总数的三分之二。</w:t>
      </w:r>
    </w:p>
    <w:p w14:paraId="2C5A5AA9">
      <w:pPr>
        <w:autoSpaceDE w:val="0"/>
        <w:autoSpaceDN w:val="0"/>
        <w:spacing w:line="360" w:lineRule="auto"/>
        <w:ind w:left="481" w:leftChars="229" w:firstLine="480" w:firstLineChars="200"/>
        <w:rPr>
          <w:rFonts w:ascii="宋体" w:hAnsi="宋体" w:cs="宋体"/>
          <w:kern w:val="0"/>
          <w:sz w:val="24"/>
        </w:rPr>
      </w:pPr>
      <w:r>
        <w:rPr>
          <w:rFonts w:hint="eastAsia" w:ascii="宋体" w:hAnsi="宋体" w:cs="宋体"/>
          <w:kern w:val="0"/>
          <w:sz w:val="24"/>
        </w:rPr>
        <w:t>评审专家对本单位的采购项目只能作为采购人代表参与评标。采购代理机构工作人员不得参加由本机构代理的政府采购项目的评标。</w:t>
      </w:r>
    </w:p>
    <w:p w14:paraId="1BB4DB02">
      <w:pPr>
        <w:pStyle w:val="18"/>
        <w:spacing w:line="360" w:lineRule="auto"/>
        <w:ind w:firstLine="960" w:firstLineChars="400"/>
        <w:rPr>
          <w:rFonts w:hint="eastAsia" w:hAnsi="宋体" w:cs="宋体"/>
          <w:sz w:val="24"/>
          <w:szCs w:val="24"/>
        </w:rPr>
      </w:pPr>
      <w:r>
        <w:rPr>
          <w:rFonts w:hint="eastAsia" w:hAnsi="宋体" w:cs="宋体"/>
          <w:sz w:val="24"/>
          <w:szCs w:val="24"/>
        </w:rPr>
        <w:t>评标委员会成员名单在评标结果公告前应当保密。</w:t>
      </w:r>
    </w:p>
    <w:p w14:paraId="7D571A58">
      <w:pPr>
        <w:pStyle w:val="18"/>
        <w:numPr>
          <w:ilvl w:val="0"/>
          <w:numId w:val="0"/>
        </w:numPr>
        <w:spacing w:line="360" w:lineRule="auto"/>
        <w:ind w:left="141" w:leftChars="0" w:firstLine="480" w:firstLineChars="200"/>
        <w:rPr>
          <w:rFonts w:hAnsi="宋体" w:cs="宋体"/>
          <w:sz w:val="24"/>
          <w:szCs w:val="24"/>
        </w:rPr>
      </w:pPr>
      <w:r>
        <w:rPr>
          <w:rFonts w:hint="eastAsia" w:hAnsi="宋体" w:cs="宋体"/>
          <w:sz w:val="24"/>
          <w:szCs w:val="24"/>
          <w:lang w:val="en-US" w:eastAsia="zh-CN"/>
        </w:rPr>
        <w:t>16.2</w:t>
      </w:r>
      <w:r>
        <w:rPr>
          <w:rFonts w:hint="eastAsia" w:hAnsi="宋体" w:cs="宋体"/>
          <w:sz w:val="24"/>
          <w:szCs w:val="24"/>
        </w:rPr>
        <w:t>采购人或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749CF54A">
      <w:pPr>
        <w:pStyle w:val="18"/>
        <w:numPr>
          <w:ilvl w:val="0"/>
          <w:numId w:val="0"/>
        </w:numPr>
        <w:spacing w:line="360" w:lineRule="auto"/>
        <w:ind w:left="141" w:leftChars="0" w:firstLine="480" w:firstLineChars="200"/>
        <w:rPr>
          <w:rFonts w:hAnsi="宋体" w:cs="宋体"/>
          <w:sz w:val="24"/>
          <w:szCs w:val="24"/>
        </w:rPr>
      </w:pPr>
      <w:r>
        <w:rPr>
          <w:rFonts w:hint="eastAsia" w:hAnsi="宋体" w:cs="宋体"/>
          <w:sz w:val="24"/>
          <w:szCs w:val="24"/>
          <w:lang w:val="en-US" w:eastAsia="zh-CN"/>
        </w:rPr>
        <w:t>16.3</w:t>
      </w:r>
      <w:r>
        <w:rPr>
          <w:rFonts w:hint="eastAsia" w:hAnsi="宋体" w:cs="宋体"/>
          <w:sz w:val="24"/>
          <w:szCs w:val="24"/>
        </w:rPr>
        <w:t>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磋商响应文件和开标、评标资料，依法重新组建评标委员会进行评标。原评标委员会所作出的评标意见无效。</w:t>
      </w:r>
    </w:p>
    <w:p w14:paraId="66694255">
      <w:pPr>
        <w:pStyle w:val="18"/>
        <w:spacing w:line="360" w:lineRule="auto"/>
        <w:ind w:left="622" w:leftChars="296" w:firstLine="480" w:firstLineChars="200"/>
        <w:rPr>
          <w:rFonts w:hAnsi="宋体" w:cs="宋体"/>
          <w:sz w:val="24"/>
          <w:szCs w:val="24"/>
        </w:rPr>
      </w:pPr>
      <w:r>
        <w:rPr>
          <w:rFonts w:hint="eastAsia" w:hAnsi="宋体" w:cs="宋体"/>
          <w:sz w:val="24"/>
          <w:szCs w:val="24"/>
          <w:lang w:val="zh-CN"/>
        </w:rPr>
        <w:t>采购人或采购代理机构</w:t>
      </w:r>
      <w:r>
        <w:rPr>
          <w:rFonts w:hint="eastAsia" w:hAnsi="宋体" w:cs="宋体"/>
          <w:sz w:val="24"/>
          <w:szCs w:val="24"/>
        </w:rPr>
        <w:t>应当将变更、重新组建评标委员会的情况予以记录，并随磋商文件一并存档。</w:t>
      </w:r>
    </w:p>
    <w:p w14:paraId="1059D638">
      <w:pPr>
        <w:pStyle w:val="18"/>
        <w:numPr>
          <w:ilvl w:val="0"/>
          <w:numId w:val="0"/>
        </w:numPr>
        <w:spacing w:line="360" w:lineRule="auto"/>
        <w:ind w:left="141" w:leftChars="0" w:firstLine="480" w:firstLineChars="200"/>
        <w:rPr>
          <w:rFonts w:hAnsi="宋体" w:cs="宋体"/>
          <w:sz w:val="24"/>
          <w:szCs w:val="24"/>
        </w:rPr>
      </w:pPr>
      <w:r>
        <w:rPr>
          <w:rFonts w:hint="eastAsia" w:hAnsi="宋体" w:cs="宋体"/>
          <w:sz w:val="24"/>
          <w:szCs w:val="24"/>
          <w:lang w:val="en-US" w:eastAsia="zh-CN"/>
        </w:rPr>
        <w:t>16.4</w:t>
      </w:r>
      <w:r>
        <w:rPr>
          <w:rFonts w:hint="eastAsia" w:hAnsi="宋体" w:cs="宋体"/>
          <w:sz w:val="24"/>
          <w:szCs w:val="24"/>
        </w:rPr>
        <w:t>采购人、采购代理机构应当采取必要措施，保证评标在严格保密的情况下进行。除采购人代表、评标现场组织人员外，采购人的其他工作人员以及与评标工作无关的人员不得进入评标现场。</w:t>
      </w:r>
    </w:p>
    <w:p w14:paraId="636A8454">
      <w:pPr>
        <w:pStyle w:val="18"/>
        <w:spacing w:line="360" w:lineRule="auto"/>
        <w:ind w:left="621"/>
        <w:rPr>
          <w:rFonts w:hAnsi="宋体" w:cs="宋体"/>
          <w:sz w:val="24"/>
          <w:szCs w:val="24"/>
        </w:rPr>
      </w:pPr>
      <w:r>
        <w:rPr>
          <w:rFonts w:hint="eastAsia" w:hAnsi="宋体" w:cs="宋体"/>
          <w:sz w:val="24"/>
          <w:szCs w:val="24"/>
        </w:rPr>
        <w:t>有关人员对评标情况以及在评标过程中获悉的国家秘密、商业秘密负有保密责任。</w:t>
      </w:r>
    </w:p>
    <w:p w14:paraId="5ED4AE8F">
      <w:pPr>
        <w:pStyle w:val="18"/>
        <w:numPr>
          <w:ilvl w:val="0"/>
          <w:numId w:val="0"/>
        </w:numPr>
        <w:spacing w:line="360" w:lineRule="auto"/>
        <w:ind w:left="141" w:leftChars="0" w:firstLine="480" w:firstLineChars="200"/>
        <w:rPr>
          <w:rFonts w:hAnsi="宋体"/>
          <w:sz w:val="24"/>
          <w:szCs w:val="24"/>
        </w:rPr>
      </w:pPr>
      <w:r>
        <w:rPr>
          <w:rFonts w:hint="eastAsia" w:hAnsi="宋体" w:cs="宋体"/>
          <w:sz w:val="24"/>
          <w:szCs w:val="24"/>
          <w:lang w:val="en-US" w:eastAsia="zh-CN"/>
        </w:rPr>
        <w:t>16.5</w:t>
      </w:r>
      <w:r>
        <w:rPr>
          <w:rFonts w:hint="eastAsia" w:hAnsi="宋体" w:cs="宋体"/>
          <w:sz w:val="24"/>
          <w:szCs w:val="24"/>
        </w:rPr>
        <w:t>磋商由采购代理机构负责组织，具体磋商事务由依法组建的磋商小组负责，并独立履行下列职责：</w:t>
      </w:r>
    </w:p>
    <w:p w14:paraId="0C2FA7E1">
      <w:pPr>
        <w:numPr>
          <w:ilvl w:val="0"/>
          <w:numId w:val="23"/>
        </w:numPr>
        <w:autoSpaceDE w:val="0"/>
        <w:autoSpaceDN w:val="0"/>
        <w:spacing w:line="360" w:lineRule="auto"/>
        <w:ind w:left="1320" w:leftChars="0"/>
        <w:rPr>
          <w:rFonts w:ascii="宋体" w:hAnsi="宋体" w:cs="宋体"/>
          <w:kern w:val="0"/>
          <w:sz w:val="24"/>
          <w:lang w:val="zh-CN"/>
        </w:rPr>
      </w:pPr>
      <w:r>
        <w:rPr>
          <w:rFonts w:hint="eastAsia" w:ascii="宋体" w:hAnsi="宋体" w:cs="宋体"/>
          <w:kern w:val="0"/>
          <w:sz w:val="24"/>
          <w:lang w:val="zh-CN"/>
        </w:rPr>
        <w:t>核对评审专家身份和采购人代表授权函，对评审专家在政府采购活动中的职责履行情况予以记录，并及时将有关违法违规行为向财政部门报告；</w:t>
      </w:r>
    </w:p>
    <w:p w14:paraId="4DCFFC77">
      <w:pPr>
        <w:numPr>
          <w:ilvl w:val="0"/>
          <w:numId w:val="23"/>
        </w:numPr>
        <w:autoSpaceDE w:val="0"/>
        <w:autoSpaceDN w:val="0"/>
        <w:spacing w:line="360" w:lineRule="auto"/>
        <w:ind w:left="1320" w:leftChars="0"/>
        <w:rPr>
          <w:rFonts w:ascii="宋体" w:hAnsi="宋体" w:cs="宋体"/>
          <w:kern w:val="0"/>
          <w:sz w:val="24"/>
          <w:lang w:val="zh-CN"/>
        </w:rPr>
      </w:pPr>
      <w:r>
        <w:rPr>
          <w:rFonts w:hint="eastAsia" w:ascii="宋体" w:hAnsi="宋体" w:cs="宋体"/>
          <w:kern w:val="0"/>
          <w:sz w:val="24"/>
          <w:lang w:val="zh-CN"/>
        </w:rPr>
        <w:t>宣布评标纪律；</w:t>
      </w:r>
    </w:p>
    <w:p w14:paraId="5204C895">
      <w:pPr>
        <w:numPr>
          <w:ilvl w:val="0"/>
          <w:numId w:val="23"/>
        </w:numPr>
        <w:autoSpaceDE w:val="0"/>
        <w:autoSpaceDN w:val="0"/>
        <w:spacing w:line="360" w:lineRule="auto"/>
        <w:ind w:left="1320" w:leftChars="0"/>
        <w:rPr>
          <w:rFonts w:ascii="宋体" w:hAnsi="宋体" w:cs="宋体"/>
          <w:kern w:val="0"/>
          <w:sz w:val="24"/>
          <w:lang w:val="zh-CN"/>
        </w:rPr>
      </w:pPr>
      <w:r>
        <w:rPr>
          <w:rFonts w:hint="eastAsia" w:ascii="宋体" w:hAnsi="宋体" w:cs="宋体"/>
          <w:kern w:val="0"/>
          <w:sz w:val="24"/>
          <w:lang w:val="zh-CN"/>
        </w:rPr>
        <w:t>公布磋商人名单，告知评审专家应当回避的情形；</w:t>
      </w:r>
    </w:p>
    <w:p w14:paraId="752658FE">
      <w:pPr>
        <w:numPr>
          <w:ilvl w:val="0"/>
          <w:numId w:val="23"/>
        </w:numPr>
        <w:autoSpaceDE w:val="0"/>
        <w:autoSpaceDN w:val="0"/>
        <w:spacing w:line="360" w:lineRule="auto"/>
        <w:ind w:left="1320" w:leftChars="0"/>
        <w:rPr>
          <w:rFonts w:ascii="宋体" w:hAnsi="宋体" w:cs="宋体"/>
          <w:kern w:val="0"/>
          <w:sz w:val="24"/>
          <w:lang w:val="zh-CN"/>
        </w:rPr>
      </w:pPr>
      <w:r>
        <w:rPr>
          <w:rFonts w:hint="eastAsia" w:ascii="宋体" w:hAnsi="宋体" w:cs="宋体"/>
          <w:kern w:val="0"/>
          <w:sz w:val="24"/>
          <w:lang w:val="zh-CN"/>
        </w:rPr>
        <w:t>组织评标委员会推选评标组长，采购人代表不得担任组长；</w:t>
      </w:r>
    </w:p>
    <w:p w14:paraId="1F55A507">
      <w:pPr>
        <w:numPr>
          <w:ilvl w:val="0"/>
          <w:numId w:val="23"/>
        </w:numPr>
        <w:autoSpaceDE w:val="0"/>
        <w:autoSpaceDN w:val="0"/>
        <w:spacing w:line="360" w:lineRule="auto"/>
        <w:ind w:left="1320" w:leftChars="0"/>
        <w:rPr>
          <w:rFonts w:ascii="宋体" w:hAnsi="宋体" w:cs="宋体"/>
          <w:kern w:val="0"/>
          <w:sz w:val="24"/>
          <w:lang w:val="zh-CN"/>
        </w:rPr>
      </w:pPr>
      <w:r>
        <w:rPr>
          <w:rFonts w:hint="eastAsia" w:ascii="宋体" w:hAnsi="宋体" w:cs="宋体"/>
          <w:kern w:val="0"/>
          <w:sz w:val="24"/>
          <w:lang w:val="zh-CN"/>
        </w:rPr>
        <w:t>在评标期间采取必要的通讯管理措施，保证评标活动不受外界干扰；</w:t>
      </w:r>
    </w:p>
    <w:p w14:paraId="7AA12C3D">
      <w:pPr>
        <w:numPr>
          <w:ilvl w:val="0"/>
          <w:numId w:val="23"/>
        </w:numPr>
        <w:autoSpaceDE w:val="0"/>
        <w:autoSpaceDN w:val="0"/>
        <w:spacing w:line="360" w:lineRule="auto"/>
        <w:ind w:left="1320" w:leftChars="0"/>
        <w:rPr>
          <w:rFonts w:ascii="宋体" w:hAnsi="宋体" w:cs="宋体"/>
          <w:kern w:val="0"/>
          <w:sz w:val="24"/>
          <w:lang w:val="zh-CN"/>
        </w:rPr>
      </w:pPr>
      <w:r>
        <w:rPr>
          <w:rFonts w:hint="eastAsia" w:ascii="宋体" w:hAnsi="宋体" w:cs="宋体"/>
          <w:kern w:val="0"/>
          <w:sz w:val="24"/>
          <w:lang w:val="zh-CN"/>
        </w:rPr>
        <w:t>根据评标委员会的要求介绍政府采购相关政策法规、磋商文件；</w:t>
      </w:r>
    </w:p>
    <w:p w14:paraId="7216ADC1">
      <w:pPr>
        <w:numPr>
          <w:ilvl w:val="0"/>
          <w:numId w:val="23"/>
        </w:numPr>
        <w:autoSpaceDE w:val="0"/>
        <w:autoSpaceDN w:val="0"/>
        <w:spacing w:line="360" w:lineRule="auto"/>
        <w:ind w:left="1320" w:leftChars="0"/>
        <w:rPr>
          <w:rFonts w:ascii="宋体" w:hAnsi="宋体" w:cs="宋体"/>
          <w:kern w:val="0"/>
          <w:sz w:val="24"/>
          <w:lang w:val="zh-CN"/>
        </w:rPr>
      </w:pPr>
      <w:r>
        <w:rPr>
          <w:rFonts w:hint="eastAsia" w:ascii="宋体" w:hAnsi="宋体" w:cs="宋体"/>
          <w:kern w:val="0"/>
          <w:sz w:val="24"/>
          <w:lang w:val="zh-CN"/>
        </w:rPr>
        <w:t>维护评标秩序，监督评标委员会依照磋商文件规定的评标程序、方法和标准进行独立评审，及时制止和纠正采购人代表、评审专家的倾向性言论或者违法违规行为；</w:t>
      </w:r>
    </w:p>
    <w:p w14:paraId="6BD7D5FC">
      <w:pPr>
        <w:numPr>
          <w:ilvl w:val="0"/>
          <w:numId w:val="23"/>
        </w:numPr>
        <w:autoSpaceDE w:val="0"/>
        <w:autoSpaceDN w:val="0"/>
        <w:spacing w:line="360" w:lineRule="auto"/>
        <w:ind w:left="1320" w:leftChars="0"/>
        <w:rPr>
          <w:rFonts w:ascii="宋体" w:hAnsi="宋体" w:cs="宋体"/>
          <w:kern w:val="0"/>
          <w:sz w:val="24"/>
          <w:lang w:val="zh-CN"/>
        </w:rPr>
      </w:pPr>
      <w:r>
        <w:rPr>
          <w:rFonts w:hint="eastAsia" w:ascii="宋体" w:hAnsi="宋体" w:cs="宋体"/>
          <w:kern w:val="0"/>
          <w:sz w:val="24"/>
          <w:lang w:val="zh-CN"/>
        </w:rPr>
        <w:t>评审工作完成后，按照规定由采购人向评审专家支付劳务报酬和异地评审差旅费，不得向评审专家以外的其他人员支付评审劳务报酬；</w:t>
      </w:r>
    </w:p>
    <w:p w14:paraId="349A8FD2">
      <w:pPr>
        <w:numPr>
          <w:ilvl w:val="0"/>
          <w:numId w:val="23"/>
        </w:numPr>
        <w:autoSpaceDE w:val="0"/>
        <w:autoSpaceDN w:val="0"/>
        <w:spacing w:line="360" w:lineRule="auto"/>
        <w:ind w:left="1320" w:leftChars="0"/>
        <w:rPr>
          <w:rFonts w:ascii="宋体" w:hAnsi="宋体" w:cs="宋体"/>
          <w:kern w:val="0"/>
          <w:sz w:val="24"/>
          <w:lang w:val="zh-CN"/>
        </w:rPr>
      </w:pPr>
      <w:r>
        <w:rPr>
          <w:rFonts w:hint="eastAsia" w:ascii="宋体" w:hAnsi="宋体" w:cs="宋体"/>
          <w:kern w:val="0"/>
          <w:sz w:val="24"/>
          <w:lang w:val="zh-CN"/>
        </w:rPr>
        <w:t>处理与评标有关的其他事项。</w:t>
      </w:r>
    </w:p>
    <w:p w14:paraId="7C7FB2A6">
      <w:pPr>
        <w:pStyle w:val="18"/>
        <w:spacing w:line="360" w:lineRule="auto"/>
        <w:ind w:left="480"/>
        <w:rPr>
          <w:rFonts w:hAnsi="宋体"/>
          <w:sz w:val="24"/>
          <w:szCs w:val="24"/>
        </w:rPr>
      </w:pPr>
      <w:r>
        <w:rPr>
          <w:rFonts w:hint="eastAsia" w:hAnsi="宋体" w:cs="宋体"/>
          <w:sz w:val="24"/>
          <w:szCs w:val="24"/>
          <w:lang w:val="zh-CN"/>
        </w:rPr>
        <w:t>采购人可以在评标前说明项目背景和采购需求，说明内容不得含有歧视性、倾向性意见，不得超出磋商文件所述范围。说明应当提交书面材料，并随磋商文件一并存档。</w:t>
      </w:r>
    </w:p>
    <w:p w14:paraId="3F49072E">
      <w:pPr>
        <w:pStyle w:val="18"/>
        <w:numPr>
          <w:ilvl w:val="0"/>
          <w:numId w:val="0"/>
        </w:numPr>
        <w:spacing w:line="360" w:lineRule="auto"/>
        <w:ind w:left="141" w:leftChars="0" w:firstLine="480" w:firstLineChars="200"/>
        <w:rPr>
          <w:rFonts w:hAnsi="宋体"/>
          <w:sz w:val="24"/>
          <w:szCs w:val="24"/>
        </w:rPr>
      </w:pPr>
      <w:r>
        <w:rPr>
          <w:rFonts w:hint="eastAsia" w:hAnsi="宋体" w:cs="宋体"/>
          <w:sz w:val="24"/>
          <w:szCs w:val="24"/>
          <w:lang w:val="en-US" w:eastAsia="zh-CN"/>
        </w:rPr>
        <w:t>16.6</w:t>
      </w:r>
      <w:r>
        <w:rPr>
          <w:rFonts w:hint="eastAsia" w:hAnsi="宋体" w:cs="宋体"/>
          <w:sz w:val="24"/>
          <w:szCs w:val="24"/>
        </w:rPr>
        <w:t>磋商小组应遵守并履行下列义务</w:t>
      </w:r>
      <w:r>
        <w:rPr>
          <w:rFonts w:hint="eastAsia" w:hAnsi="宋体"/>
          <w:sz w:val="24"/>
          <w:szCs w:val="24"/>
        </w:rPr>
        <w:t>：</w:t>
      </w:r>
    </w:p>
    <w:p w14:paraId="720B1A81">
      <w:pPr>
        <w:numPr>
          <w:ilvl w:val="0"/>
          <w:numId w:val="24"/>
        </w:numPr>
        <w:autoSpaceDE w:val="0"/>
        <w:autoSpaceDN w:val="0"/>
        <w:spacing w:line="360" w:lineRule="auto"/>
        <w:ind w:left="1320" w:leftChars="0"/>
        <w:rPr>
          <w:rFonts w:ascii="宋体" w:hAnsi="宋体" w:cs="宋体"/>
          <w:kern w:val="0"/>
          <w:sz w:val="24"/>
        </w:rPr>
      </w:pPr>
      <w:r>
        <w:rPr>
          <w:rFonts w:hint="eastAsia" w:ascii="宋体" w:hAnsi="宋体" w:cs="宋体"/>
          <w:kern w:val="0"/>
          <w:sz w:val="24"/>
        </w:rPr>
        <w:t>审查、评价磋商响应文件是否符合磋商文件的商务、技术等实质性要求；</w:t>
      </w:r>
    </w:p>
    <w:p w14:paraId="71C50346">
      <w:pPr>
        <w:numPr>
          <w:ilvl w:val="0"/>
          <w:numId w:val="24"/>
        </w:numPr>
        <w:autoSpaceDE w:val="0"/>
        <w:autoSpaceDN w:val="0"/>
        <w:spacing w:line="360" w:lineRule="auto"/>
        <w:ind w:left="1320" w:leftChars="0"/>
        <w:rPr>
          <w:rFonts w:ascii="宋体" w:hAnsi="宋体" w:cs="宋体"/>
          <w:kern w:val="0"/>
          <w:sz w:val="24"/>
        </w:rPr>
      </w:pPr>
      <w:r>
        <w:rPr>
          <w:rFonts w:hint="eastAsia" w:ascii="宋体" w:hAnsi="宋体" w:cs="宋体"/>
          <w:kern w:val="0"/>
          <w:sz w:val="24"/>
        </w:rPr>
        <w:t>要求磋商人对磋商响应文件有关事项作出澄清或者说明；</w:t>
      </w:r>
    </w:p>
    <w:p w14:paraId="18A46E78">
      <w:pPr>
        <w:numPr>
          <w:ilvl w:val="0"/>
          <w:numId w:val="24"/>
        </w:numPr>
        <w:autoSpaceDE w:val="0"/>
        <w:autoSpaceDN w:val="0"/>
        <w:spacing w:line="360" w:lineRule="auto"/>
        <w:ind w:left="1320" w:leftChars="0"/>
        <w:rPr>
          <w:rFonts w:ascii="宋体" w:hAnsi="宋体" w:cs="宋体"/>
          <w:kern w:val="0"/>
          <w:sz w:val="24"/>
        </w:rPr>
      </w:pPr>
      <w:r>
        <w:rPr>
          <w:rFonts w:hint="eastAsia" w:ascii="宋体" w:hAnsi="宋体" w:cs="宋体"/>
          <w:kern w:val="0"/>
          <w:sz w:val="24"/>
        </w:rPr>
        <w:t>对磋商响应文件进行比较和评价；</w:t>
      </w:r>
    </w:p>
    <w:p w14:paraId="00C01A39">
      <w:pPr>
        <w:numPr>
          <w:ilvl w:val="0"/>
          <w:numId w:val="24"/>
        </w:numPr>
        <w:autoSpaceDE w:val="0"/>
        <w:autoSpaceDN w:val="0"/>
        <w:spacing w:line="360" w:lineRule="auto"/>
        <w:ind w:left="1320" w:leftChars="0"/>
        <w:rPr>
          <w:rFonts w:ascii="宋体" w:hAnsi="宋体" w:cs="宋体"/>
          <w:kern w:val="0"/>
          <w:sz w:val="24"/>
        </w:rPr>
      </w:pPr>
      <w:r>
        <w:rPr>
          <w:rFonts w:hint="eastAsia" w:ascii="宋体" w:hAnsi="宋体" w:cs="宋体"/>
          <w:kern w:val="0"/>
          <w:sz w:val="24"/>
        </w:rPr>
        <w:t>确定成交候选人名单，以及根据采购人委托直接确定成交人；</w:t>
      </w:r>
    </w:p>
    <w:p w14:paraId="7ED4ED42">
      <w:pPr>
        <w:numPr>
          <w:ilvl w:val="0"/>
          <w:numId w:val="24"/>
        </w:numPr>
        <w:autoSpaceDE w:val="0"/>
        <w:autoSpaceDN w:val="0"/>
        <w:spacing w:line="360" w:lineRule="auto"/>
        <w:ind w:left="1320" w:leftChars="0"/>
        <w:rPr>
          <w:rFonts w:ascii="宋体" w:hAnsi="宋体" w:cs="宋体"/>
          <w:kern w:val="0"/>
          <w:sz w:val="24"/>
        </w:rPr>
      </w:pPr>
      <w:r>
        <w:rPr>
          <w:rFonts w:hint="eastAsia" w:ascii="宋体" w:hAnsi="宋体" w:cs="宋体"/>
          <w:kern w:val="0"/>
          <w:sz w:val="24"/>
        </w:rPr>
        <w:t>向采购人、采购代理机构或者有关部门报告评标中发现的违法行为。</w:t>
      </w:r>
    </w:p>
    <w:p w14:paraId="78742A58">
      <w:pPr>
        <w:pStyle w:val="18"/>
        <w:numPr>
          <w:ilvl w:val="0"/>
          <w:numId w:val="0"/>
        </w:numPr>
        <w:spacing w:line="360" w:lineRule="auto"/>
        <w:ind w:left="141" w:leftChars="0" w:firstLine="480" w:firstLineChars="200"/>
        <w:rPr>
          <w:rFonts w:hAnsi="宋体"/>
          <w:sz w:val="24"/>
          <w:szCs w:val="24"/>
        </w:rPr>
      </w:pPr>
      <w:r>
        <w:rPr>
          <w:rFonts w:hint="eastAsia" w:hAnsi="宋体"/>
          <w:sz w:val="24"/>
          <w:szCs w:val="24"/>
          <w:lang w:val="en-US" w:eastAsia="zh-CN"/>
        </w:rPr>
        <w:t>16.7</w:t>
      </w:r>
      <w:r>
        <w:rPr>
          <w:rFonts w:hint="eastAsia" w:hAnsi="宋体"/>
          <w:sz w:val="24"/>
          <w:szCs w:val="24"/>
        </w:rPr>
        <w:t>评审工作在有关部门的监督下依法开展，任何单位和个人不得非法干预、影响评审工作和评审结果。</w:t>
      </w:r>
    </w:p>
    <w:p w14:paraId="22C39143">
      <w:pPr>
        <w:pStyle w:val="6"/>
        <w:numPr>
          <w:ilvl w:val="0"/>
          <w:numId w:val="3"/>
        </w:numPr>
        <w:spacing w:before="0" w:after="0" w:line="360" w:lineRule="auto"/>
        <w:rPr>
          <w:rFonts w:ascii="宋体" w:hAnsi="宋体"/>
          <w:b w:val="0"/>
          <w:sz w:val="24"/>
          <w:szCs w:val="24"/>
        </w:rPr>
      </w:pPr>
      <w:bookmarkStart w:id="66" w:name="_Toc488673634"/>
      <w:bookmarkStart w:id="67" w:name="_Toc4009"/>
      <w:r>
        <w:rPr>
          <w:rFonts w:hint="eastAsia" w:ascii="宋体" w:hAnsi="宋体"/>
          <w:b w:val="0"/>
          <w:sz w:val="24"/>
          <w:szCs w:val="24"/>
        </w:rPr>
        <w:t>磋商程序</w:t>
      </w:r>
      <w:bookmarkEnd w:id="66"/>
      <w:bookmarkEnd w:id="67"/>
    </w:p>
    <w:p w14:paraId="3125C632">
      <w:pPr>
        <w:pStyle w:val="18"/>
        <w:numPr>
          <w:ilvl w:val="0"/>
          <w:numId w:val="0"/>
        </w:numPr>
        <w:spacing w:line="360" w:lineRule="auto"/>
        <w:ind w:left="141" w:leftChars="0" w:firstLine="240" w:firstLineChars="100"/>
        <w:rPr>
          <w:rFonts w:hAnsi="宋体"/>
          <w:sz w:val="24"/>
          <w:szCs w:val="24"/>
        </w:rPr>
      </w:pPr>
      <w:r>
        <w:rPr>
          <w:rFonts w:hint="eastAsia" w:hAnsi="宋体" w:cs="宋体"/>
          <w:sz w:val="24"/>
          <w:szCs w:val="24"/>
          <w:lang w:val="en-US" w:eastAsia="zh-CN"/>
        </w:rPr>
        <w:t>17.1</w:t>
      </w:r>
      <w:r>
        <w:rPr>
          <w:rFonts w:hint="eastAsia" w:hAnsi="宋体" w:cs="宋体"/>
          <w:sz w:val="24"/>
          <w:szCs w:val="24"/>
          <w:lang w:val="zh-CN"/>
        </w:rPr>
        <w:t>评标委员会应当对符合资格的磋商人的磋商响应文件进行符合性审查，以确定其是否满足磋商文件的实质性要求。</w:t>
      </w:r>
    </w:p>
    <w:p w14:paraId="720C9EBF">
      <w:pPr>
        <w:pStyle w:val="18"/>
        <w:numPr>
          <w:ilvl w:val="0"/>
          <w:numId w:val="25"/>
        </w:numPr>
        <w:spacing w:line="360" w:lineRule="auto"/>
        <w:rPr>
          <w:rFonts w:hAnsi="宋体" w:cs="Arial"/>
          <w:sz w:val="24"/>
          <w:szCs w:val="24"/>
        </w:rPr>
      </w:pPr>
      <w:r>
        <w:rPr>
          <w:rFonts w:hint="eastAsia" w:hAnsi="宋体" w:cs="Arial"/>
          <w:sz w:val="24"/>
          <w:szCs w:val="24"/>
        </w:rPr>
        <w:t>本次综合评分的主要因素是：磋商报价、</w:t>
      </w:r>
      <w:r>
        <w:rPr>
          <w:rFonts w:hAnsi="宋体" w:cs="Arial"/>
          <w:sz w:val="24"/>
          <w:szCs w:val="24"/>
        </w:rPr>
        <w:t>技术</w:t>
      </w:r>
      <w:r>
        <w:rPr>
          <w:rFonts w:hint="eastAsia" w:hAnsi="宋体" w:cs="Arial"/>
          <w:sz w:val="24"/>
          <w:szCs w:val="24"/>
        </w:rPr>
        <w:t>水平、</w:t>
      </w:r>
      <w:r>
        <w:rPr>
          <w:rFonts w:hint="eastAsia" w:hAnsi="宋体" w:cs="Arial"/>
          <w:sz w:val="24"/>
          <w:szCs w:val="24"/>
          <w:lang w:val="en-US" w:eastAsia="zh-CN"/>
        </w:rPr>
        <w:t>商务水平</w:t>
      </w:r>
      <w:r>
        <w:rPr>
          <w:rFonts w:hint="eastAsia" w:hAnsi="宋体" w:cs="Arial"/>
          <w:sz w:val="24"/>
          <w:szCs w:val="24"/>
        </w:rPr>
        <w:t>、</w:t>
      </w:r>
      <w:r>
        <w:rPr>
          <w:rFonts w:hAnsi="宋体" w:cs="Arial"/>
          <w:sz w:val="24"/>
          <w:szCs w:val="24"/>
        </w:rPr>
        <w:t>售后服务</w:t>
      </w:r>
      <w:r>
        <w:rPr>
          <w:rFonts w:hint="eastAsia" w:hAnsi="宋体" w:cs="Arial"/>
          <w:sz w:val="24"/>
          <w:szCs w:val="24"/>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4EC3812D">
      <w:pPr>
        <w:pStyle w:val="18"/>
        <w:spacing w:line="360" w:lineRule="auto"/>
        <w:ind w:left="840" w:leftChars="400" w:firstLine="480" w:firstLineChars="200"/>
        <w:rPr>
          <w:rFonts w:hAnsi="宋体" w:cs="宋体"/>
          <w:sz w:val="24"/>
          <w:szCs w:val="24"/>
          <w:lang w:val="zh-CN"/>
        </w:rPr>
      </w:pPr>
      <w:r>
        <w:rPr>
          <w:rFonts w:hint="eastAsia" w:hAnsi="宋体" w:cs="宋体"/>
          <w:sz w:val="24"/>
          <w:szCs w:val="24"/>
          <w:lang w:val="zh-CN"/>
        </w:rPr>
        <w:t>供应商为小型、微型企业，且提供本企业生产的货物或者提供其他小型、微型企业生产的货物，价格按相关规定给予</w:t>
      </w:r>
      <w:r>
        <w:rPr>
          <w:rFonts w:hAnsi="宋体" w:cs="宋体"/>
          <w:sz w:val="24"/>
          <w:szCs w:val="24"/>
          <w:lang w:val="zh-CN"/>
        </w:rPr>
        <w:t>10</w:t>
      </w:r>
      <w:r>
        <w:rPr>
          <w:rFonts w:hint="eastAsia" w:hAnsi="宋体" w:cs="宋体"/>
          <w:sz w:val="24"/>
          <w:szCs w:val="24"/>
          <w:lang w:val="zh-CN"/>
        </w:rPr>
        <w:t>%-</w:t>
      </w:r>
      <w:r>
        <w:rPr>
          <w:rFonts w:hAnsi="宋体" w:cs="宋体"/>
          <w:sz w:val="24"/>
          <w:szCs w:val="24"/>
          <w:lang w:val="zh-CN"/>
        </w:rPr>
        <w:t>2</w:t>
      </w:r>
      <w:r>
        <w:rPr>
          <w:rFonts w:hint="eastAsia" w:hAnsi="宋体" w:cs="宋体"/>
          <w:sz w:val="24"/>
          <w:szCs w:val="24"/>
          <w:lang w:val="zh-CN"/>
        </w:rPr>
        <w:t>0%的价格折扣，用扣除后的价格参与评审。本项所称货物不包括使用大型企业注册商标的货物；</w:t>
      </w:r>
    </w:p>
    <w:p w14:paraId="3C83A522">
      <w:pPr>
        <w:pStyle w:val="18"/>
        <w:spacing w:line="360" w:lineRule="auto"/>
        <w:ind w:left="840" w:leftChars="400" w:firstLine="480" w:firstLineChars="200"/>
        <w:rPr>
          <w:rFonts w:hAnsi="宋体" w:cs="宋体"/>
          <w:sz w:val="24"/>
          <w:szCs w:val="24"/>
          <w:lang w:val="zh-CN"/>
        </w:rPr>
      </w:pPr>
      <w:r>
        <w:rPr>
          <w:rFonts w:hint="eastAsia" w:hAnsi="宋体" w:cs="宋体"/>
          <w:sz w:val="24"/>
          <w:szCs w:val="24"/>
          <w:lang w:val="zh-CN"/>
        </w:rPr>
        <w:t>接受大中型企业与小微企业组成联合体或者允许大中型企业向一家或多家小微企业分包的采购项目，对于联合体协议或者分包意向协议约定小微企业的协议金额占到合同总金额30%以上的，对联合体或大中型企业的报价给与</w:t>
      </w:r>
      <w:r>
        <w:rPr>
          <w:rFonts w:hint="eastAsia" w:hAnsi="宋体" w:cs="宋体"/>
          <w:sz w:val="24"/>
          <w:szCs w:val="24"/>
        </w:rPr>
        <w:t>4</w:t>
      </w:r>
      <w:r>
        <w:rPr>
          <w:rFonts w:hint="eastAsia" w:hAnsi="宋体" w:cs="宋体"/>
          <w:sz w:val="24"/>
          <w:szCs w:val="24"/>
          <w:lang w:val="zh-CN"/>
        </w:rPr>
        <w:t>%-</w:t>
      </w:r>
      <w:r>
        <w:rPr>
          <w:rFonts w:hint="eastAsia" w:hAnsi="宋体" w:cs="宋体"/>
          <w:sz w:val="24"/>
          <w:szCs w:val="24"/>
        </w:rPr>
        <w:t>6</w:t>
      </w:r>
      <w:r>
        <w:rPr>
          <w:rFonts w:hint="eastAsia" w:hAnsi="宋体" w:cs="宋体"/>
          <w:sz w:val="24"/>
          <w:szCs w:val="24"/>
          <w:lang w:val="zh-CN"/>
        </w:rPr>
        <w:t>%的扣除，用扣除后的价格参加评审；</w:t>
      </w:r>
    </w:p>
    <w:p w14:paraId="7BF50C0B">
      <w:pPr>
        <w:pStyle w:val="18"/>
        <w:spacing w:line="360" w:lineRule="auto"/>
        <w:ind w:left="840" w:leftChars="400" w:firstLine="480" w:firstLineChars="200"/>
        <w:rPr>
          <w:rFonts w:hAnsi="宋体" w:cs="宋体"/>
          <w:sz w:val="24"/>
          <w:szCs w:val="24"/>
          <w:lang w:val="zh-CN"/>
        </w:rPr>
      </w:pPr>
      <w:r>
        <w:rPr>
          <w:rFonts w:hint="eastAsia" w:hAnsi="宋体" w:cs="宋体"/>
          <w:sz w:val="24"/>
          <w:szCs w:val="24"/>
          <w:lang w:val="zh-CN"/>
        </w:rPr>
        <w:t>监狱企业、残疾人福利性单位视同小型、微型企业，享受评审中价格扣除等促进中小企业发展的政府采购政策。</w:t>
      </w:r>
    </w:p>
    <w:p w14:paraId="0877804F">
      <w:pPr>
        <w:pStyle w:val="18"/>
        <w:spacing w:line="360" w:lineRule="auto"/>
        <w:ind w:left="840" w:leftChars="400" w:firstLine="480" w:firstLineChars="200"/>
        <w:rPr>
          <w:rFonts w:hAnsi="宋体" w:cs="宋体"/>
          <w:sz w:val="24"/>
          <w:szCs w:val="24"/>
          <w:lang w:val="zh-CN"/>
        </w:rPr>
      </w:pPr>
      <w:r>
        <w:rPr>
          <w:rFonts w:hint="eastAsia" w:hAnsi="宋体" w:cs="宋体"/>
          <w:sz w:val="24"/>
          <w:szCs w:val="24"/>
          <w:lang w:val="zh-CN"/>
        </w:rPr>
        <w:t>供应商同时符合小型、微型企业及监狱企业、残疾人福利性单位要求的，评审时只有一种类型享受价格评审优惠政策；</w:t>
      </w:r>
    </w:p>
    <w:p w14:paraId="7F9640EB">
      <w:pPr>
        <w:pStyle w:val="18"/>
        <w:spacing w:line="360" w:lineRule="auto"/>
        <w:ind w:left="840" w:leftChars="400" w:firstLine="480" w:firstLineChars="200"/>
        <w:rPr>
          <w:rFonts w:hAnsi="宋体" w:cs="Arial"/>
          <w:sz w:val="24"/>
          <w:szCs w:val="24"/>
        </w:rPr>
      </w:pPr>
      <w:r>
        <w:rPr>
          <w:rFonts w:hint="eastAsia" w:hAnsi="宋体" w:cs="宋体"/>
          <w:sz w:val="24"/>
          <w:szCs w:val="24"/>
          <w:lang w:val="zh-CN"/>
        </w:rPr>
        <w:t>投标文件符合本章前款规定的，供应商应提供相关证明资料，且所提供资料必须真实可信。如有虚假，将依法承担相应责任。</w:t>
      </w:r>
    </w:p>
    <w:p w14:paraId="641A6619">
      <w:pPr>
        <w:pStyle w:val="18"/>
        <w:numPr>
          <w:ilvl w:val="0"/>
          <w:numId w:val="25"/>
        </w:numPr>
        <w:spacing w:line="360" w:lineRule="auto"/>
        <w:rPr>
          <w:rFonts w:hAnsi="宋体" w:cs="Arial"/>
          <w:sz w:val="24"/>
          <w:szCs w:val="24"/>
        </w:rPr>
      </w:pPr>
      <w:r>
        <w:rPr>
          <w:rFonts w:hint="eastAsia" w:hAnsi="宋体" w:cs="Arial"/>
          <w:sz w:val="24"/>
          <w:szCs w:val="24"/>
        </w:rPr>
        <w:t>除磋商价格因素外，评标委员会应依据磋商文件规定的评审方法和评审标准对其他因素进行客观评审；</w:t>
      </w:r>
    </w:p>
    <w:p w14:paraId="0E2B9826">
      <w:pPr>
        <w:pStyle w:val="18"/>
        <w:numPr>
          <w:ilvl w:val="0"/>
          <w:numId w:val="0"/>
        </w:numPr>
        <w:spacing w:line="360" w:lineRule="auto"/>
        <w:ind w:left="141" w:leftChars="0" w:firstLine="480" w:firstLineChars="200"/>
        <w:rPr>
          <w:rFonts w:hAnsi="宋体"/>
          <w:sz w:val="24"/>
          <w:szCs w:val="24"/>
        </w:rPr>
      </w:pPr>
      <w:r>
        <w:rPr>
          <w:rFonts w:hint="eastAsia" w:hAnsi="宋体" w:cs="宋体"/>
          <w:sz w:val="24"/>
          <w:szCs w:val="24"/>
          <w:lang w:val="en-US" w:eastAsia="zh-CN"/>
        </w:rPr>
        <w:t>17.2</w:t>
      </w:r>
      <w:r>
        <w:rPr>
          <w:rFonts w:hint="eastAsia" w:hAnsi="宋体" w:cs="宋体"/>
          <w:sz w:val="24"/>
          <w:szCs w:val="24"/>
          <w:lang w:val="zh-CN"/>
        </w:rPr>
        <w:t>磋商响应文件中含义不明确、同类问题表述不一致或者有明显文字和计算错误的内容，评标委员会应当以书面形式要求磋商人作出必要的澄清、说明或者补正。</w:t>
      </w:r>
    </w:p>
    <w:p w14:paraId="6674254A">
      <w:pPr>
        <w:pStyle w:val="18"/>
        <w:spacing w:line="360" w:lineRule="auto"/>
        <w:ind w:left="621"/>
        <w:rPr>
          <w:rFonts w:hAnsi="宋体"/>
          <w:sz w:val="24"/>
          <w:szCs w:val="24"/>
        </w:rPr>
      </w:pPr>
      <w:r>
        <w:rPr>
          <w:rFonts w:hint="eastAsia" w:hAnsi="宋体" w:cs="宋体"/>
          <w:sz w:val="24"/>
          <w:szCs w:val="24"/>
          <w:lang w:val="zh-CN"/>
        </w:rPr>
        <w:t>磋商人的澄清、说明或者补正应当采用书面形式，并加盖公章，或者由法定代表人或其授权的代表签字。磋商人的澄清、说明或者补正不得超出磋商响应文件的范围或者改变磋商响应文件的实质性内容。</w:t>
      </w:r>
    </w:p>
    <w:p w14:paraId="01146267">
      <w:pPr>
        <w:pStyle w:val="18"/>
        <w:numPr>
          <w:ilvl w:val="0"/>
          <w:numId w:val="26"/>
        </w:numPr>
        <w:spacing w:line="360" w:lineRule="auto"/>
        <w:rPr>
          <w:rFonts w:hAnsi="宋体" w:cs="Arial"/>
          <w:sz w:val="24"/>
          <w:szCs w:val="24"/>
        </w:rPr>
      </w:pPr>
      <w:r>
        <w:rPr>
          <w:rFonts w:hint="eastAsia" w:hAnsi="宋体" w:cs="Arial"/>
          <w:sz w:val="24"/>
          <w:szCs w:val="24"/>
        </w:rPr>
        <w:t>磋商人存在下列情况之一的，按无效磋商处理：</w:t>
      </w:r>
    </w:p>
    <w:p w14:paraId="0AC9D64E">
      <w:pPr>
        <w:pStyle w:val="18"/>
        <w:numPr>
          <w:ilvl w:val="0"/>
          <w:numId w:val="27"/>
        </w:numPr>
        <w:spacing w:line="360" w:lineRule="auto"/>
        <w:rPr>
          <w:rFonts w:hAnsi="宋体" w:cs="Arial"/>
          <w:sz w:val="24"/>
          <w:szCs w:val="24"/>
        </w:rPr>
      </w:pPr>
      <w:r>
        <w:rPr>
          <w:rFonts w:hint="eastAsia" w:hAnsi="宋体" w:cs="宋体"/>
          <w:sz w:val="24"/>
          <w:szCs w:val="24"/>
          <w:lang w:val="zh-CN"/>
        </w:rPr>
        <w:t>符合性审查文件未按招标文件要求签署、盖章的；</w:t>
      </w:r>
    </w:p>
    <w:p w14:paraId="74905A7B">
      <w:pPr>
        <w:pStyle w:val="18"/>
        <w:numPr>
          <w:ilvl w:val="0"/>
          <w:numId w:val="27"/>
        </w:numPr>
        <w:spacing w:line="360" w:lineRule="auto"/>
        <w:rPr>
          <w:rFonts w:hAnsi="宋体" w:cs="Arial"/>
          <w:sz w:val="24"/>
          <w:szCs w:val="24"/>
        </w:rPr>
      </w:pPr>
      <w:r>
        <w:rPr>
          <w:rFonts w:hint="eastAsia" w:hAnsi="宋体" w:cs="Arial"/>
          <w:sz w:val="24"/>
          <w:szCs w:val="24"/>
        </w:rPr>
        <w:t>报价超过磋商文件中规定的预算金额或者最高限价的；</w:t>
      </w:r>
    </w:p>
    <w:p w14:paraId="6E08A22A">
      <w:pPr>
        <w:pStyle w:val="18"/>
        <w:numPr>
          <w:ilvl w:val="0"/>
          <w:numId w:val="27"/>
        </w:numPr>
        <w:spacing w:line="360" w:lineRule="auto"/>
        <w:rPr>
          <w:rFonts w:hAnsi="宋体" w:cs="Arial"/>
          <w:sz w:val="24"/>
          <w:szCs w:val="24"/>
        </w:rPr>
      </w:pPr>
      <w:r>
        <w:rPr>
          <w:rFonts w:hint="eastAsia" w:hAnsi="宋体" w:cs="Arial"/>
          <w:sz w:val="24"/>
          <w:szCs w:val="24"/>
        </w:rPr>
        <w:t>产品交货期、磋商有效期不能满足磋商文件要求的；</w:t>
      </w:r>
    </w:p>
    <w:p w14:paraId="08E422A4">
      <w:pPr>
        <w:pStyle w:val="18"/>
        <w:numPr>
          <w:ilvl w:val="0"/>
          <w:numId w:val="27"/>
        </w:numPr>
        <w:spacing w:line="360" w:lineRule="auto"/>
        <w:rPr>
          <w:rFonts w:hAnsi="宋体" w:cs="Arial"/>
          <w:sz w:val="24"/>
          <w:szCs w:val="24"/>
        </w:rPr>
      </w:pPr>
      <w:r>
        <w:rPr>
          <w:rFonts w:hint="eastAsia" w:hAnsi="宋体" w:cs="Arial"/>
          <w:sz w:val="24"/>
          <w:szCs w:val="24"/>
        </w:rPr>
        <w:t>磋商响应文件中含有采购单位不能接受的条件的；</w:t>
      </w:r>
    </w:p>
    <w:p w14:paraId="5FB7B6C8">
      <w:pPr>
        <w:pStyle w:val="18"/>
        <w:numPr>
          <w:ilvl w:val="0"/>
          <w:numId w:val="27"/>
        </w:numPr>
        <w:spacing w:line="360" w:lineRule="auto"/>
        <w:rPr>
          <w:rFonts w:hAnsi="宋体" w:cs="Arial"/>
          <w:sz w:val="24"/>
          <w:szCs w:val="24"/>
        </w:rPr>
      </w:pPr>
      <w:r>
        <w:rPr>
          <w:rFonts w:hint="eastAsia" w:hAnsi="宋体" w:cs="宋体"/>
          <w:sz w:val="24"/>
          <w:szCs w:val="24"/>
          <w:lang w:val="zh-CN"/>
        </w:rPr>
        <w:t>存在串通投标行为；</w:t>
      </w:r>
    </w:p>
    <w:p w14:paraId="10BA5F58">
      <w:pPr>
        <w:pStyle w:val="18"/>
        <w:numPr>
          <w:ilvl w:val="0"/>
          <w:numId w:val="27"/>
        </w:numPr>
        <w:spacing w:line="360" w:lineRule="auto"/>
        <w:rPr>
          <w:rFonts w:hAnsi="宋体" w:cs="Arial"/>
          <w:sz w:val="24"/>
          <w:szCs w:val="24"/>
        </w:rPr>
      </w:pPr>
      <w:r>
        <w:rPr>
          <w:rFonts w:hint="eastAsia" w:hAnsi="宋体" w:cs="Arial"/>
          <w:sz w:val="24"/>
          <w:szCs w:val="24"/>
        </w:rPr>
        <w:t>法律、法规和磋商文件规定的其他无效情形。</w:t>
      </w:r>
    </w:p>
    <w:p w14:paraId="322D53F8">
      <w:pPr>
        <w:pStyle w:val="18"/>
        <w:numPr>
          <w:ilvl w:val="0"/>
          <w:numId w:val="26"/>
        </w:numPr>
        <w:spacing w:line="360" w:lineRule="auto"/>
        <w:rPr>
          <w:rFonts w:hAnsi="宋体" w:cs="Arial"/>
          <w:sz w:val="24"/>
          <w:szCs w:val="24"/>
        </w:rPr>
      </w:pPr>
      <w:r>
        <w:rPr>
          <w:rFonts w:hint="eastAsia" w:hAnsi="宋体" w:cs="Arial"/>
          <w:sz w:val="24"/>
          <w:szCs w:val="24"/>
        </w:rPr>
        <w:t>磋商响应文件报价出现前后不一致的，按照下列规定修正：</w:t>
      </w:r>
    </w:p>
    <w:p w14:paraId="1BCD1382">
      <w:pPr>
        <w:pStyle w:val="18"/>
        <w:numPr>
          <w:ilvl w:val="0"/>
          <w:numId w:val="28"/>
        </w:numPr>
        <w:spacing w:line="360" w:lineRule="auto"/>
        <w:rPr>
          <w:rFonts w:hAnsi="宋体" w:cs="Arial"/>
          <w:sz w:val="24"/>
          <w:szCs w:val="24"/>
        </w:rPr>
      </w:pPr>
      <w:r>
        <w:rPr>
          <w:rFonts w:hint="eastAsia" w:hAnsi="宋体" w:cs="Arial"/>
          <w:sz w:val="24"/>
          <w:szCs w:val="24"/>
        </w:rPr>
        <w:t>大写金额和小写金额不一致的，以大写金额为准；</w:t>
      </w:r>
    </w:p>
    <w:p w14:paraId="46DAC91F">
      <w:pPr>
        <w:pStyle w:val="18"/>
        <w:numPr>
          <w:ilvl w:val="0"/>
          <w:numId w:val="28"/>
        </w:numPr>
        <w:spacing w:line="360" w:lineRule="auto"/>
        <w:rPr>
          <w:rFonts w:hAnsi="宋体" w:cs="Arial"/>
          <w:sz w:val="24"/>
          <w:szCs w:val="24"/>
        </w:rPr>
      </w:pPr>
      <w:r>
        <w:rPr>
          <w:rFonts w:hint="eastAsia" w:hAnsi="宋体" w:cs="Arial"/>
          <w:sz w:val="24"/>
          <w:szCs w:val="24"/>
        </w:rPr>
        <w:t>总价金额与按单价汇总金额不一致的，以单价金额计算结果为准。</w:t>
      </w:r>
    </w:p>
    <w:p w14:paraId="7B2AEC33">
      <w:pPr>
        <w:pStyle w:val="18"/>
        <w:numPr>
          <w:ilvl w:val="0"/>
          <w:numId w:val="0"/>
        </w:numPr>
        <w:spacing w:line="360" w:lineRule="auto"/>
        <w:ind w:left="141" w:leftChars="0" w:firstLine="480" w:firstLineChars="200"/>
        <w:rPr>
          <w:rFonts w:hAnsi="宋体" w:cs="Arial"/>
          <w:sz w:val="24"/>
          <w:szCs w:val="24"/>
        </w:rPr>
      </w:pPr>
      <w:r>
        <w:rPr>
          <w:rFonts w:hint="eastAsia" w:hAnsi="宋体" w:cs="宋体"/>
          <w:sz w:val="24"/>
          <w:szCs w:val="24"/>
          <w:shd w:val="clear" w:color="auto" w:fill="FFFFFF"/>
          <w:lang w:val="en-US" w:eastAsia="zh-CN"/>
        </w:rPr>
        <w:t>17.3</w:t>
      </w:r>
      <w:r>
        <w:rPr>
          <w:rFonts w:hint="eastAsia" w:hAnsi="宋体" w:cs="宋体"/>
          <w:sz w:val="24"/>
          <w:szCs w:val="24"/>
          <w:shd w:val="clear" w:color="auto" w:fill="FFFFFF"/>
        </w:rPr>
        <w:t>评标委员会应当按照磋商文件中规定的评标方法和标准，对符合性审查合格的磋商响应文件进行商务和技术评估，综合比较与评价。</w:t>
      </w:r>
    </w:p>
    <w:p w14:paraId="248F472D">
      <w:pPr>
        <w:pStyle w:val="18"/>
        <w:numPr>
          <w:ilvl w:val="0"/>
          <w:numId w:val="0"/>
        </w:numPr>
        <w:spacing w:line="360" w:lineRule="auto"/>
        <w:ind w:left="141" w:leftChars="0" w:firstLine="480" w:firstLineChars="200"/>
        <w:rPr>
          <w:rFonts w:hAnsi="宋体" w:cs="Arial"/>
          <w:sz w:val="24"/>
          <w:szCs w:val="24"/>
        </w:rPr>
      </w:pPr>
      <w:r>
        <w:rPr>
          <w:rFonts w:hint="eastAsia" w:hAnsi="宋体" w:cs="宋体"/>
          <w:sz w:val="24"/>
          <w:szCs w:val="24"/>
          <w:shd w:val="clear" w:color="auto" w:fill="FFFFFF"/>
          <w:lang w:val="en-US" w:eastAsia="zh-CN"/>
        </w:rPr>
        <w:t>17.4</w:t>
      </w:r>
      <w:r>
        <w:rPr>
          <w:rFonts w:hint="eastAsia" w:hAnsi="宋体" w:cs="宋体"/>
          <w:sz w:val="24"/>
          <w:szCs w:val="24"/>
          <w:shd w:val="clear" w:color="auto" w:fill="FFFFFF"/>
        </w:rPr>
        <w:t>评标委员会认为磋商人的报价明显低于其他通过符合性审查磋商人的报价，有可能影响产品质量或者不能诚信履约的，应当要求其在评标现场合理的时间内提供书面说明，必要时提交相关证明材料；磋商人不能证明其报价合理性的，评标委员会应当将其作为无效投标处理。</w:t>
      </w:r>
    </w:p>
    <w:p w14:paraId="2993FE40">
      <w:pPr>
        <w:pStyle w:val="18"/>
        <w:numPr>
          <w:ilvl w:val="0"/>
          <w:numId w:val="0"/>
        </w:numPr>
        <w:spacing w:line="360" w:lineRule="auto"/>
        <w:ind w:left="141" w:leftChars="0" w:firstLine="480" w:firstLineChars="200"/>
        <w:rPr>
          <w:rFonts w:hAnsi="宋体" w:cs="Arial"/>
          <w:sz w:val="24"/>
          <w:szCs w:val="24"/>
        </w:rPr>
      </w:pPr>
      <w:r>
        <w:rPr>
          <w:rFonts w:hint="eastAsia" w:hAnsi="宋体" w:cs="宋体"/>
          <w:sz w:val="24"/>
          <w:szCs w:val="24"/>
          <w:shd w:val="clear" w:color="auto" w:fill="FFFFFF"/>
          <w:lang w:val="en-US" w:eastAsia="zh-CN"/>
        </w:rPr>
        <w:t>17.5</w:t>
      </w:r>
      <w:r>
        <w:rPr>
          <w:rFonts w:hint="eastAsia" w:hAnsi="宋体" w:cs="宋体"/>
          <w:sz w:val="24"/>
          <w:szCs w:val="24"/>
          <w:shd w:val="clear" w:color="auto" w:fill="FFFFFF"/>
        </w:rPr>
        <w:t>综合评分法的采购项目，提供相同品牌产品且通过资格审查、符合性审查的不同磋商人参加同一合同项下投标的，按一家磋商人计算，评审后得分最高的同品牌磋商人获得成交人推荐资格；评审得分相同的，由采购人或者采购人委托评标委员会按照磋商文件规定的方式确定一个磋商人获得成交人推荐资格，磋商文件未规定的采取随机抽取方式确定，其他同品牌磋商人不作为成交候选人。</w:t>
      </w:r>
    </w:p>
    <w:p w14:paraId="67EE2817">
      <w:pPr>
        <w:pStyle w:val="18"/>
        <w:spacing w:line="360" w:lineRule="auto"/>
        <w:ind w:left="621"/>
        <w:rPr>
          <w:rFonts w:hAnsi="宋体" w:cs="Arial"/>
          <w:sz w:val="24"/>
          <w:szCs w:val="24"/>
        </w:rPr>
      </w:pPr>
      <w:r>
        <w:rPr>
          <w:rFonts w:hint="eastAsia" w:hAnsi="宋体" w:cs="宋体"/>
          <w:sz w:val="24"/>
          <w:szCs w:val="24"/>
          <w:shd w:val="clear" w:color="auto" w:fill="FFFFFF"/>
        </w:rPr>
        <w:t>非单一产品采购项目，采购人应当根据采购项目技术构成、产品价格比重等合理确定核心产品，并在磋商文件中载明。多家磋商人提供的核心产品品牌相同的，按前款规定处理。</w:t>
      </w:r>
    </w:p>
    <w:p w14:paraId="5D7FF091">
      <w:pPr>
        <w:pStyle w:val="6"/>
        <w:numPr>
          <w:ilvl w:val="0"/>
          <w:numId w:val="3"/>
        </w:numPr>
        <w:spacing w:before="0" w:after="0" w:line="360" w:lineRule="auto"/>
        <w:rPr>
          <w:rFonts w:ascii="宋体" w:hAnsi="宋体"/>
          <w:b w:val="0"/>
          <w:sz w:val="24"/>
          <w:szCs w:val="24"/>
        </w:rPr>
      </w:pPr>
      <w:bookmarkStart w:id="68" w:name="_Toc488673635"/>
      <w:bookmarkStart w:id="69" w:name="_Toc23856"/>
      <w:r>
        <w:rPr>
          <w:rFonts w:hint="eastAsia" w:ascii="宋体" w:hAnsi="宋体"/>
          <w:b w:val="0"/>
          <w:sz w:val="24"/>
          <w:szCs w:val="24"/>
        </w:rPr>
        <w:t>评审办法</w:t>
      </w:r>
      <w:bookmarkEnd w:id="68"/>
      <w:bookmarkEnd w:id="69"/>
    </w:p>
    <w:p w14:paraId="7A62FA45">
      <w:pPr>
        <w:pStyle w:val="18"/>
        <w:numPr>
          <w:ilvl w:val="0"/>
          <w:numId w:val="29"/>
        </w:numPr>
        <w:spacing w:line="360" w:lineRule="auto"/>
        <w:ind w:left="845" w:leftChars="0" w:hanging="425" w:firstLineChars="0"/>
        <w:rPr>
          <w:rFonts w:hAnsi="宋体"/>
          <w:sz w:val="24"/>
          <w:szCs w:val="24"/>
        </w:rPr>
      </w:pPr>
      <w:r>
        <w:rPr>
          <w:rFonts w:hint="eastAsia" w:hAnsi="宋体"/>
          <w:sz w:val="24"/>
          <w:szCs w:val="24"/>
        </w:rPr>
        <w:t>依照《中华人民共和国政府采购法》、《中华人民共和国政府采购法实施条例》、财政部《政府采购货物和服务招投标管理办法》、《政府采购竞争性磋商采购方式管理暂行办法》、财政部《关于加强政府采购货物和服务项目价格评审管理的通知》的规定，结合该项目的特点制定本评审办法。本次评审采用综合评分法，满分为100分。</w:t>
      </w:r>
    </w:p>
    <w:p w14:paraId="58D77060">
      <w:pPr>
        <w:pStyle w:val="18"/>
        <w:numPr>
          <w:ilvl w:val="0"/>
          <w:numId w:val="29"/>
        </w:numPr>
        <w:spacing w:line="360" w:lineRule="auto"/>
        <w:ind w:left="845" w:leftChars="0" w:hanging="425" w:firstLineChars="0"/>
        <w:rPr>
          <w:rFonts w:hAnsi="宋体"/>
          <w:sz w:val="24"/>
          <w:szCs w:val="24"/>
        </w:rPr>
      </w:pPr>
      <w:r>
        <w:rPr>
          <w:rFonts w:hint="eastAsia" w:hAnsi="宋体" w:cs="宋体"/>
          <w:sz w:val="24"/>
          <w:szCs w:val="24"/>
          <w:lang w:val="zh-CN"/>
        </w:rPr>
        <w:t>本次评审方法采用综合评分法</w:t>
      </w:r>
      <w:r>
        <w:rPr>
          <w:rFonts w:hint="eastAsia" w:hAnsi="宋体" w:cs="宋体"/>
          <w:sz w:val="24"/>
          <w:szCs w:val="24"/>
        </w:rPr>
        <w:t>。</w:t>
      </w:r>
    </w:p>
    <w:p w14:paraId="7AD56793">
      <w:pPr>
        <w:pStyle w:val="18"/>
        <w:numPr>
          <w:ilvl w:val="0"/>
          <w:numId w:val="29"/>
        </w:numPr>
        <w:spacing w:line="360" w:lineRule="auto"/>
        <w:ind w:left="845" w:leftChars="0" w:hanging="425" w:firstLineChars="0"/>
        <w:rPr>
          <w:rFonts w:hAnsi="宋体"/>
          <w:sz w:val="24"/>
          <w:szCs w:val="24"/>
        </w:rPr>
      </w:pPr>
      <w:r>
        <w:rPr>
          <w:rFonts w:hAnsi="宋体" w:cs="Arial"/>
          <w:sz w:val="24"/>
          <w:szCs w:val="24"/>
        </w:rPr>
        <w:t>评审标准和分值分配</w:t>
      </w:r>
      <w:r>
        <w:rPr>
          <w:rFonts w:hint="eastAsia" w:hAnsi="宋体" w:cs="Arial"/>
          <w:sz w:val="24"/>
          <w:szCs w:val="24"/>
        </w:rPr>
        <w:t>：</w:t>
      </w:r>
    </w:p>
    <w:p w14:paraId="63C8B630">
      <w:pPr>
        <w:pStyle w:val="18"/>
        <w:spacing w:line="360" w:lineRule="auto"/>
        <w:rPr>
          <w:rFonts w:hAnsi="宋体"/>
          <w:b/>
          <w:sz w:val="24"/>
          <w:szCs w:val="24"/>
        </w:rPr>
      </w:pPr>
      <w:bookmarkStart w:id="70" w:name="_Hlk497723873"/>
      <w:r>
        <w:rPr>
          <w:rFonts w:hint="eastAsia" w:hAnsi="宋体"/>
          <w:b/>
          <w:sz w:val="24"/>
          <w:szCs w:val="24"/>
        </w:rPr>
        <w:t>具体项目及评分细则：</w:t>
      </w:r>
    </w:p>
    <w:tbl>
      <w:tblPr>
        <w:tblStyle w:val="33"/>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556"/>
        <w:gridCol w:w="835"/>
        <w:gridCol w:w="5588"/>
      </w:tblGrid>
      <w:tr w14:paraId="15E97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2654" w:type="dxa"/>
            <w:gridSpan w:val="2"/>
            <w:shd w:val="clear" w:color="000000" w:fill="FFFFFF"/>
            <w:vAlign w:val="center"/>
          </w:tcPr>
          <w:p w14:paraId="0386AEE8">
            <w:pPr>
              <w:autoSpaceDE w:val="0"/>
              <w:autoSpaceDN w:val="0"/>
              <w:snapToGrid w:val="0"/>
              <w:spacing w:line="360" w:lineRule="auto"/>
              <w:jc w:val="center"/>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14:textFill>
                  <w14:solidFill>
                    <w14:schemeClr w14:val="tx1"/>
                  </w14:solidFill>
                </w14:textFill>
              </w:rPr>
              <w:t>评审因素</w:t>
            </w:r>
          </w:p>
        </w:tc>
        <w:tc>
          <w:tcPr>
            <w:tcW w:w="835" w:type="dxa"/>
            <w:shd w:val="clear" w:color="000000" w:fill="FFFFFF"/>
            <w:vAlign w:val="center"/>
          </w:tcPr>
          <w:p w14:paraId="60A89296">
            <w:pPr>
              <w:autoSpaceDE w:val="0"/>
              <w:autoSpaceDN w:val="0"/>
              <w:snapToGrid w:val="0"/>
              <w:spacing w:line="360" w:lineRule="auto"/>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评审分数</w:t>
            </w:r>
          </w:p>
        </w:tc>
        <w:tc>
          <w:tcPr>
            <w:tcW w:w="5588" w:type="dxa"/>
            <w:shd w:val="clear" w:color="000000" w:fill="FFFFFF"/>
            <w:vAlign w:val="center"/>
          </w:tcPr>
          <w:p w14:paraId="3C3D2A20">
            <w:pPr>
              <w:autoSpaceDE w:val="0"/>
              <w:autoSpaceDN w:val="0"/>
              <w:snapToGrid w:val="0"/>
              <w:spacing w:line="360" w:lineRule="auto"/>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评审标准</w:t>
            </w:r>
          </w:p>
        </w:tc>
      </w:tr>
      <w:tr w14:paraId="41FF6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1098" w:type="dxa"/>
            <w:shd w:val="clear" w:color="000000" w:fill="FFFFFF"/>
            <w:vAlign w:val="center"/>
          </w:tcPr>
          <w:p w14:paraId="356E68DE">
            <w:pPr>
              <w:autoSpaceDE w:val="0"/>
              <w:autoSpaceDN w:val="0"/>
              <w:snapToGrid w:val="0"/>
              <w:spacing w:line="360" w:lineRule="auto"/>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投标</w:t>
            </w:r>
          </w:p>
          <w:p w14:paraId="0D02C402">
            <w:pPr>
              <w:autoSpaceDE w:val="0"/>
              <w:autoSpaceDN w:val="0"/>
              <w:snapToGrid w:val="0"/>
              <w:spacing w:line="360" w:lineRule="auto"/>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报价</w:t>
            </w:r>
          </w:p>
          <w:p w14:paraId="67CDE28B">
            <w:pPr>
              <w:autoSpaceDE w:val="0"/>
              <w:autoSpaceDN w:val="0"/>
              <w:snapToGrid w:val="0"/>
              <w:spacing w:line="360" w:lineRule="auto"/>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30分</w:t>
            </w:r>
          </w:p>
        </w:tc>
        <w:tc>
          <w:tcPr>
            <w:tcW w:w="1556" w:type="dxa"/>
            <w:shd w:val="clear" w:color="000000" w:fill="FFFFFF"/>
            <w:vAlign w:val="center"/>
          </w:tcPr>
          <w:p w14:paraId="62B6CADB">
            <w:pPr>
              <w:autoSpaceDE w:val="0"/>
              <w:autoSpaceDN w:val="0"/>
              <w:snapToGrid w:val="0"/>
              <w:spacing w:line="360" w:lineRule="auto"/>
              <w:jc w:val="center"/>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报价分</w:t>
            </w:r>
          </w:p>
        </w:tc>
        <w:tc>
          <w:tcPr>
            <w:tcW w:w="835" w:type="dxa"/>
            <w:shd w:val="clear" w:color="000000" w:fill="FFFFFF"/>
            <w:vAlign w:val="center"/>
          </w:tcPr>
          <w:p w14:paraId="625D0EAF">
            <w:pPr>
              <w:autoSpaceDE w:val="0"/>
              <w:autoSpaceDN w:val="0"/>
              <w:snapToGrid w:val="0"/>
              <w:spacing w:line="360" w:lineRule="auto"/>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30</w:t>
            </w:r>
          </w:p>
        </w:tc>
        <w:tc>
          <w:tcPr>
            <w:tcW w:w="5588" w:type="dxa"/>
            <w:shd w:val="clear" w:color="000000" w:fill="FFFFFF"/>
            <w:vAlign w:val="center"/>
          </w:tcPr>
          <w:p w14:paraId="1FB39443">
            <w:pPr>
              <w:autoSpaceDE w:val="0"/>
              <w:autoSpaceDN w:val="0"/>
              <w:snapToGrid w:val="0"/>
              <w:spacing w:line="360" w:lineRule="auto"/>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在所有的有效投标报价中，以最低投标报价为基准价，其价格分为满分。其他投标供应商的报价分统一按下列公式计算：投标报价得分=(评标基准价／投标报价)×价格权值（30%）×100（四舍五入后保留小数点后两位）。</w:t>
            </w:r>
          </w:p>
          <w:p w14:paraId="1221E97B">
            <w:pPr>
              <w:autoSpaceDE w:val="0"/>
              <w:autoSpaceDN w:val="0"/>
              <w:snapToGrid w:val="0"/>
              <w:spacing w:line="360" w:lineRule="auto"/>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注：1、根据《政府采购促进中小企业发展管理办法》（财库〔2020〕46 号）的规定，对于经主管预算单位统筹后未预留份额专门面向中小企业采购的采购项目，以及预留份额项目中的非预留部分采购包，采购人、采购代理机构应当对符合本办法规定的小微企业报价给予10%的扣除，用扣除后的价格参加评审。</w:t>
            </w:r>
          </w:p>
          <w:p w14:paraId="4F22B6DF">
            <w:pPr>
              <w:autoSpaceDE w:val="0"/>
              <w:autoSpaceDN w:val="0"/>
              <w:snapToGrid w:val="0"/>
              <w:spacing w:line="360" w:lineRule="auto"/>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2、监狱企业、残疾人福利性单位属于小型、微型企业的，不重复享受政策。</w:t>
            </w:r>
          </w:p>
        </w:tc>
      </w:tr>
      <w:tr w14:paraId="690A2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1098" w:type="dxa"/>
            <w:vMerge w:val="restart"/>
            <w:shd w:val="clear" w:color="000000" w:fill="FFFFFF"/>
            <w:vAlign w:val="center"/>
          </w:tcPr>
          <w:p w14:paraId="1C933471">
            <w:pPr>
              <w:autoSpaceDE w:val="0"/>
              <w:autoSpaceDN w:val="0"/>
              <w:snapToGrid w:val="0"/>
              <w:spacing w:line="360" w:lineRule="auto"/>
              <w:jc w:val="center"/>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技术</w:t>
            </w:r>
          </w:p>
          <w:p w14:paraId="63C9A7B4">
            <w:pPr>
              <w:autoSpaceDE w:val="0"/>
              <w:autoSpaceDN w:val="0"/>
              <w:snapToGrid w:val="0"/>
              <w:spacing w:line="360" w:lineRule="auto"/>
              <w:jc w:val="center"/>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水平</w:t>
            </w:r>
          </w:p>
          <w:p w14:paraId="13CF27F6">
            <w:pPr>
              <w:autoSpaceDE w:val="0"/>
              <w:autoSpaceDN w:val="0"/>
              <w:snapToGrid w:val="0"/>
              <w:spacing w:line="360" w:lineRule="auto"/>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5</w:t>
            </w:r>
            <w:r>
              <w:rPr>
                <w:rFonts w:hint="eastAsia" w:ascii="宋体" w:cs="宋体"/>
                <w:color w:val="000000" w:themeColor="text1"/>
                <w:sz w:val="24"/>
                <w:lang w:val="en-US" w:eastAsia="zh-CN"/>
                <w14:textFill>
                  <w14:solidFill>
                    <w14:schemeClr w14:val="tx1"/>
                  </w14:solidFill>
                </w14:textFill>
              </w:rPr>
              <w:t>6</w:t>
            </w:r>
            <w:r>
              <w:rPr>
                <w:rFonts w:hint="eastAsia" w:ascii="宋体" w:cs="宋体"/>
                <w:color w:val="000000" w:themeColor="text1"/>
                <w:sz w:val="24"/>
                <w14:textFill>
                  <w14:solidFill>
                    <w14:schemeClr w14:val="tx1"/>
                  </w14:solidFill>
                </w14:textFill>
              </w:rPr>
              <w:t>分</w:t>
            </w:r>
          </w:p>
        </w:tc>
        <w:tc>
          <w:tcPr>
            <w:tcW w:w="1556" w:type="dxa"/>
            <w:shd w:val="clear" w:color="000000" w:fill="FFFFFF"/>
            <w:vAlign w:val="center"/>
          </w:tcPr>
          <w:p w14:paraId="4CB92C5A">
            <w:pPr>
              <w:autoSpaceDE w:val="0"/>
              <w:autoSpaceDN w:val="0"/>
              <w:snapToGrid w:val="0"/>
              <w:spacing w:line="360" w:lineRule="auto"/>
              <w:jc w:val="center"/>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技术参数</w:t>
            </w:r>
          </w:p>
        </w:tc>
        <w:tc>
          <w:tcPr>
            <w:tcW w:w="835" w:type="dxa"/>
            <w:shd w:val="clear" w:color="000000" w:fill="FFFFFF"/>
            <w:vAlign w:val="center"/>
          </w:tcPr>
          <w:p w14:paraId="56ABF996">
            <w:pPr>
              <w:autoSpaceDE w:val="0"/>
              <w:autoSpaceDN w:val="0"/>
              <w:snapToGrid w:val="0"/>
              <w:spacing w:line="360" w:lineRule="auto"/>
              <w:jc w:val="center"/>
              <w:rPr>
                <w:rFonts w:hint="default" w:ascii="宋体" w:eastAsia="宋体" w:cs="宋体"/>
                <w:color w:val="000000" w:themeColor="text1"/>
                <w:sz w:val="24"/>
                <w:lang w:val="en-US" w:eastAsia="zh-CN"/>
                <w14:textFill>
                  <w14:solidFill>
                    <w14:schemeClr w14:val="tx1"/>
                  </w14:solidFill>
                </w14:textFill>
              </w:rPr>
            </w:pPr>
            <w:r>
              <w:rPr>
                <w:rFonts w:hint="eastAsia" w:ascii="宋体" w:cs="宋体"/>
                <w:color w:val="000000" w:themeColor="text1"/>
                <w:sz w:val="24"/>
                <w:lang w:val="en-US" w:eastAsia="zh-CN"/>
                <w14:textFill>
                  <w14:solidFill>
                    <w14:schemeClr w14:val="tx1"/>
                  </w14:solidFill>
                </w14:textFill>
              </w:rPr>
              <w:t>30</w:t>
            </w:r>
          </w:p>
        </w:tc>
        <w:tc>
          <w:tcPr>
            <w:tcW w:w="5588" w:type="dxa"/>
            <w:shd w:val="clear" w:color="000000" w:fill="FFFFFF"/>
            <w:vAlign w:val="center"/>
          </w:tcPr>
          <w:p w14:paraId="229F2248">
            <w:pPr>
              <w:autoSpaceDE w:val="0"/>
              <w:autoSpaceDN w:val="0"/>
              <w:snapToGrid w:val="0"/>
              <w:spacing w:line="360" w:lineRule="auto"/>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投标产品技术参数和配置完全满足或高于</w:t>
            </w:r>
            <w:r>
              <w:rPr>
                <w:rFonts w:hint="eastAsia" w:hAnsi="宋体" w:cs="宋体"/>
                <w:color w:val="000000" w:themeColor="text1"/>
                <w:sz w:val="24"/>
                <w14:textFill>
                  <w14:solidFill>
                    <w14:schemeClr w14:val="tx1"/>
                  </w14:solidFill>
                </w14:textFill>
              </w:rPr>
              <w:t>磋商</w:t>
            </w:r>
            <w:r>
              <w:rPr>
                <w:rFonts w:hint="eastAsia" w:ascii="宋体" w:cs="宋体"/>
                <w:color w:val="000000" w:themeColor="text1"/>
                <w:sz w:val="24"/>
                <w14:textFill>
                  <w14:solidFill>
                    <w14:schemeClr w14:val="tx1"/>
                  </w14:solidFill>
                </w14:textFill>
              </w:rPr>
              <w:t>文件要求的，得</w:t>
            </w:r>
            <w:r>
              <w:rPr>
                <w:rFonts w:hint="eastAsia" w:ascii="宋体" w:cs="宋体"/>
                <w:color w:val="000000" w:themeColor="text1"/>
                <w:sz w:val="24"/>
                <w:lang w:val="en-US" w:eastAsia="zh-CN"/>
                <w14:textFill>
                  <w14:solidFill>
                    <w14:schemeClr w14:val="tx1"/>
                  </w14:solidFill>
                </w14:textFill>
              </w:rPr>
              <w:t>30</w:t>
            </w:r>
            <w:r>
              <w:rPr>
                <w:rFonts w:hint="eastAsia" w:ascii="宋体" w:cs="宋体"/>
                <w:color w:val="000000" w:themeColor="text1"/>
                <w:sz w:val="24"/>
                <w14:textFill>
                  <w14:solidFill>
                    <w14:schemeClr w14:val="tx1"/>
                  </w14:solidFill>
                </w14:textFill>
              </w:rPr>
              <w:t>分；每有一项负偏离扣</w:t>
            </w:r>
            <w:r>
              <w:rPr>
                <w:rFonts w:hint="eastAsia" w:ascii="宋体" w:cs="宋体"/>
                <w:color w:val="000000" w:themeColor="text1"/>
                <w:sz w:val="24"/>
                <w:lang w:val="en-US" w:eastAsia="zh-CN"/>
                <w14:textFill>
                  <w14:solidFill>
                    <w14:schemeClr w14:val="tx1"/>
                  </w14:solidFill>
                </w14:textFill>
              </w:rPr>
              <w:t>2</w:t>
            </w:r>
            <w:r>
              <w:rPr>
                <w:rFonts w:hint="eastAsia" w:ascii="宋体" w:cs="宋体"/>
                <w:color w:val="000000" w:themeColor="text1"/>
                <w:sz w:val="24"/>
                <w14:textFill>
                  <w14:solidFill>
                    <w14:schemeClr w14:val="tx1"/>
                  </w14:solidFill>
                </w14:textFill>
              </w:rPr>
              <w:t>分；扣完为止。</w:t>
            </w:r>
          </w:p>
        </w:tc>
      </w:tr>
      <w:tr w14:paraId="08B9E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098" w:type="dxa"/>
            <w:vMerge w:val="continue"/>
            <w:shd w:val="clear" w:color="000000" w:fill="FFFFFF"/>
            <w:vAlign w:val="center"/>
          </w:tcPr>
          <w:p w14:paraId="3E1E028E">
            <w:pPr>
              <w:autoSpaceDE w:val="0"/>
              <w:autoSpaceDN w:val="0"/>
              <w:snapToGrid w:val="0"/>
              <w:spacing w:line="360" w:lineRule="auto"/>
              <w:jc w:val="center"/>
              <w:rPr>
                <w:rFonts w:ascii="宋体" w:cs="宋体"/>
                <w:color w:val="000000" w:themeColor="text1"/>
                <w:sz w:val="24"/>
                <w:lang w:val="zh-CN"/>
                <w14:textFill>
                  <w14:solidFill>
                    <w14:schemeClr w14:val="tx1"/>
                  </w14:solidFill>
                </w14:textFill>
              </w:rPr>
            </w:pPr>
          </w:p>
        </w:tc>
        <w:tc>
          <w:tcPr>
            <w:tcW w:w="1556" w:type="dxa"/>
            <w:shd w:val="clear" w:color="000000" w:fill="FFFFFF"/>
            <w:vAlign w:val="center"/>
          </w:tcPr>
          <w:p w14:paraId="16EA1922">
            <w:pPr>
              <w:autoSpaceDE w:val="0"/>
              <w:autoSpaceDN w:val="0"/>
              <w:snapToGrid w:val="0"/>
              <w:spacing w:line="360" w:lineRule="auto"/>
              <w:jc w:val="center"/>
              <w:rPr>
                <w:rFonts w:ascii="宋体" w:cs="宋体"/>
                <w:color w:val="000000" w:themeColor="text1"/>
                <w:sz w:val="24"/>
                <w14:textFill>
                  <w14:solidFill>
                    <w14:schemeClr w14:val="tx1"/>
                  </w14:solidFill>
                </w14:textFill>
              </w:rPr>
            </w:pPr>
            <w:r>
              <w:rPr>
                <w:rFonts w:ascii="宋体" w:cs="宋体"/>
                <w:color w:val="000000" w:themeColor="text1"/>
                <w:sz w:val="24"/>
                <w14:textFill>
                  <w14:solidFill>
                    <w14:schemeClr w14:val="tx1"/>
                  </w14:solidFill>
                </w14:textFill>
              </w:rPr>
              <w:t>环保和节能</w:t>
            </w:r>
          </w:p>
        </w:tc>
        <w:tc>
          <w:tcPr>
            <w:tcW w:w="835" w:type="dxa"/>
            <w:shd w:val="clear" w:color="000000" w:fill="FFFFFF"/>
            <w:vAlign w:val="center"/>
          </w:tcPr>
          <w:p w14:paraId="7B4AD384">
            <w:pPr>
              <w:autoSpaceDE w:val="0"/>
              <w:autoSpaceDN w:val="0"/>
              <w:snapToGrid w:val="0"/>
              <w:spacing w:line="360" w:lineRule="auto"/>
              <w:jc w:val="center"/>
              <w:rPr>
                <w:rFonts w:ascii="宋体" w:cs="宋体"/>
                <w:color w:val="000000" w:themeColor="text1"/>
                <w:sz w:val="24"/>
                <w14:textFill>
                  <w14:solidFill>
                    <w14:schemeClr w14:val="tx1"/>
                  </w14:solidFill>
                </w14:textFill>
              </w:rPr>
            </w:pPr>
            <w:r>
              <w:rPr>
                <w:rFonts w:ascii="宋体" w:cs="宋体"/>
                <w:color w:val="000000" w:themeColor="text1"/>
                <w:sz w:val="24"/>
                <w14:textFill>
                  <w14:solidFill>
                    <w14:schemeClr w14:val="tx1"/>
                  </w14:solidFill>
                </w14:textFill>
              </w:rPr>
              <w:t>1</w:t>
            </w:r>
          </w:p>
        </w:tc>
        <w:tc>
          <w:tcPr>
            <w:tcW w:w="5588" w:type="dxa"/>
            <w:shd w:val="clear" w:color="000000" w:fill="FFFFFF"/>
            <w:vAlign w:val="center"/>
          </w:tcPr>
          <w:p w14:paraId="68D16DB4">
            <w:pPr>
              <w:autoSpaceDE w:val="0"/>
              <w:autoSpaceDN w:val="0"/>
              <w:snapToGrid w:val="0"/>
              <w:spacing w:line="360" w:lineRule="auto"/>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所投产品为节能产品，提供得</w:t>
            </w:r>
            <w:r>
              <w:rPr>
                <w:rFonts w:ascii="宋体" w:cs="宋体"/>
                <w:color w:val="000000" w:themeColor="text1"/>
                <w:sz w:val="24"/>
                <w14:textFill>
                  <w14:solidFill>
                    <w14:schemeClr w14:val="tx1"/>
                  </w14:solidFill>
                </w14:textFill>
              </w:rPr>
              <w:t>0.5</w:t>
            </w:r>
            <w:r>
              <w:rPr>
                <w:rFonts w:hint="eastAsia" w:ascii="宋体" w:cs="宋体"/>
                <w:color w:val="000000" w:themeColor="text1"/>
                <w:sz w:val="24"/>
                <w14:textFill>
                  <w14:solidFill>
                    <w14:schemeClr w14:val="tx1"/>
                  </w14:solidFill>
                </w14:textFill>
              </w:rPr>
              <w:t>分，满分</w:t>
            </w:r>
            <w:r>
              <w:rPr>
                <w:rFonts w:ascii="宋体" w:cs="宋体"/>
                <w:color w:val="000000" w:themeColor="text1"/>
                <w:sz w:val="24"/>
                <w14:textFill>
                  <w14:solidFill>
                    <w14:schemeClr w14:val="tx1"/>
                  </w14:solidFill>
                </w14:textFill>
              </w:rPr>
              <w:t>0.5</w:t>
            </w:r>
            <w:r>
              <w:rPr>
                <w:rFonts w:hint="eastAsia" w:ascii="宋体" w:cs="宋体"/>
                <w:color w:val="000000" w:themeColor="text1"/>
                <w:sz w:val="24"/>
                <w14:textFill>
                  <w14:solidFill>
                    <w14:schemeClr w14:val="tx1"/>
                  </w14:solidFill>
                </w14:textFill>
              </w:rPr>
              <w:t>分；</w:t>
            </w:r>
          </w:p>
          <w:p w14:paraId="54F53BF1">
            <w:pPr>
              <w:autoSpaceDE w:val="0"/>
              <w:autoSpaceDN w:val="0"/>
              <w:snapToGrid w:val="0"/>
              <w:spacing w:line="360" w:lineRule="auto"/>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所投产品为环保产品，提供得</w:t>
            </w:r>
            <w:r>
              <w:rPr>
                <w:rFonts w:ascii="宋体" w:cs="宋体"/>
                <w:color w:val="000000" w:themeColor="text1"/>
                <w:sz w:val="24"/>
                <w14:textFill>
                  <w14:solidFill>
                    <w14:schemeClr w14:val="tx1"/>
                  </w14:solidFill>
                </w14:textFill>
              </w:rPr>
              <w:t>0.5</w:t>
            </w:r>
            <w:r>
              <w:rPr>
                <w:rFonts w:hint="eastAsia" w:ascii="宋体" w:cs="宋体"/>
                <w:color w:val="000000" w:themeColor="text1"/>
                <w:sz w:val="24"/>
                <w14:textFill>
                  <w14:solidFill>
                    <w14:schemeClr w14:val="tx1"/>
                  </w14:solidFill>
                </w14:textFill>
              </w:rPr>
              <w:t>分，满分</w:t>
            </w:r>
            <w:r>
              <w:rPr>
                <w:rFonts w:ascii="宋体" w:cs="宋体"/>
                <w:color w:val="000000" w:themeColor="text1"/>
                <w:sz w:val="24"/>
                <w14:textFill>
                  <w14:solidFill>
                    <w14:schemeClr w14:val="tx1"/>
                  </w14:solidFill>
                </w14:textFill>
              </w:rPr>
              <w:t>0.5</w:t>
            </w:r>
            <w:r>
              <w:rPr>
                <w:rFonts w:hint="eastAsia" w:ascii="宋体" w:cs="宋体"/>
                <w:color w:val="000000" w:themeColor="text1"/>
                <w:sz w:val="24"/>
                <w14:textFill>
                  <w14:solidFill>
                    <w14:schemeClr w14:val="tx1"/>
                  </w14:solidFill>
                </w14:textFill>
              </w:rPr>
              <w:t>分；</w:t>
            </w:r>
          </w:p>
          <w:p w14:paraId="06BA3EF0">
            <w:pPr>
              <w:autoSpaceDE w:val="0"/>
              <w:autoSpaceDN w:val="0"/>
              <w:snapToGrid w:val="0"/>
              <w:spacing w:line="360" w:lineRule="auto"/>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未提供不得分。该项得分的认定以《国家节能产品认证证书》、《中国环境标志产品认证证书》为准。</w:t>
            </w:r>
          </w:p>
        </w:tc>
      </w:tr>
      <w:tr w14:paraId="66AE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098" w:type="dxa"/>
            <w:vMerge w:val="continue"/>
            <w:shd w:val="clear" w:color="000000" w:fill="FFFFFF"/>
            <w:vAlign w:val="center"/>
          </w:tcPr>
          <w:p w14:paraId="7C99B171">
            <w:pPr>
              <w:autoSpaceDE w:val="0"/>
              <w:autoSpaceDN w:val="0"/>
              <w:snapToGrid w:val="0"/>
              <w:spacing w:line="360" w:lineRule="auto"/>
              <w:jc w:val="center"/>
              <w:rPr>
                <w:rFonts w:ascii="宋体" w:cs="宋体"/>
                <w:color w:val="000000" w:themeColor="text1"/>
                <w:sz w:val="24"/>
                <w:lang w:val="zh-CN"/>
                <w14:textFill>
                  <w14:solidFill>
                    <w14:schemeClr w14:val="tx1"/>
                  </w14:solidFill>
                </w14:textFill>
              </w:rPr>
            </w:pPr>
          </w:p>
        </w:tc>
        <w:tc>
          <w:tcPr>
            <w:tcW w:w="1556" w:type="dxa"/>
            <w:shd w:val="clear" w:color="000000" w:fill="FFFFFF"/>
            <w:vAlign w:val="center"/>
          </w:tcPr>
          <w:p w14:paraId="1721B1B9">
            <w:pPr>
              <w:autoSpaceDE w:val="0"/>
              <w:autoSpaceDN w:val="0"/>
              <w:snapToGrid w:val="0"/>
              <w:spacing w:line="360" w:lineRule="auto"/>
              <w:jc w:val="center"/>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项目管理及实施方案</w:t>
            </w:r>
          </w:p>
        </w:tc>
        <w:tc>
          <w:tcPr>
            <w:tcW w:w="835" w:type="dxa"/>
            <w:shd w:val="clear" w:color="000000" w:fill="FFFFFF"/>
            <w:vAlign w:val="center"/>
          </w:tcPr>
          <w:p w14:paraId="626F29C4">
            <w:pPr>
              <w:autoSpaceDE w:val="0"/>
              <w:autoSpaceDN w:val="0"/>
              <w:snapToGrid w:val="0"/>
              <w:spacing w:line="360" w:lineRule="auto"/>
              <w:jc w:val="center"/>
              <w:rPr>
                <w:rFonts w:hint="default" w:ascii="宋体" w:eastAsia="宋体" w:cs="宋体"/>
                <w:color w:val="000000" w:themeColor="text1"/>
                <w:sz w:val="24"/>
                <w:lang w:val="en-US" w:eastAsia="zh-CN"/>
                <w14:textFill>
                  <w14:solidFill>
                    <w14:schemeClr w14:val="tx1"/>
                  </w14:solidFill>
                </w14:textFill>
              </w:rPr>
            </w:pPr>
            <w:r>
              <w:rPr>
                <w:rFonts w:hint="eastAsia" w:ascii="宋体" w:cs="宋体"/>
                <w:color w:val="000000" w:themeColor="text1"/>
                <w:sz w:val="24"/>
                <w:lang w:val="en-US" w:eastAsia="zh-CN"/>
                <w14:textFill>
                  <w14:solidFill>
                    <w14:schemeClr w14:val="tx1"/>
                  </w14:solidFill>
                </w14:textFill>
              </w:rPr>
              <w:t>25</w:t>
            </w:r>
          </w:p>
        </w:tc>
        <w:tc>
          <w:tcPr>
            <w:tcW w:w="5588" w:type="dxa"/>
            <w:shd w:val="clear" w:color="000000" w:fill="FFFFFF"/>
            <w:vAlign w:val="center"/>
          </w:tcPr>
          <w:p w14:paraId="2DC7590E">
            <w:pPr>
              <w:autoSpaceDE w:val="0"/>
              <w:autoSpaceDN w:val="0"/>
              <w:snapToGrid w:val="0"/>
              <w:spacing w:line="360" w:lineRule="auto"/>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1、设置了项目管理机构，并且有科学、具体的项目管理措施，能够结合项目特点制定实施方案的得</w:t>
            </w:r>
            <w:r>
              <w:rPr>
                <w:rFonts w:hint="eastAsia" w:ascii="宋体" w:cs="宋体"/>
                <w:color w:val="000000" w:themeColor="text1"/>
                <w:sz w:val="24"/>
                <w:lang w:val="en-US" w:eastAsia="zh-CN"/>
                <w14:textFill>
                  <w14:solidFill>
                    <w14:schemeClr w14:val="tx1"/>
                  </w14:solidFill>
                </w14:textFill>
              </w:rPr>
              <w:t>7</w:t>
            </w:r>
            <w:r>
              <w:rPr>
                <w:rFonts w:hint="eastAsia" w:ascii="宋体" w:cs="宋体"/>
                <w:color w:val="000000" w:themeColor="text1"/>
                <w:sz w:val="24"/>
                <w:lang w:val="zh-CN"/>
                <w14:textFill>
                  <w14:solidFill>
                    <w14:schemeClr w14:val="tx1"/>
                  </w14:solidFill>
                </w14:textFill>
              </w:rPr>
              <w:t>分；设置了项目管理机构，有科学、具体的项目管理措施，但未针对本项目特点制定实施方案的得</w:t>
            </w:r>
            <w:r>
              <w:rPr>
                <w:rFonts w:hint="eastAsia" w:ascii="宋体" w:cs="宋体"/>
                <w:color w:val="000000" w:themeColor="text1"/>
                <w:sz w:val="24"/>
                <w:lang w:val="en-US" w:eastAsia="zh-CN"/>
                <w14:textFill>
                  <w14:solidFill>
                    <w14:schemeClr w14:val="tx1"/>
                  </w14:solidFill>
                </w14:textFill>
              </w:rPr>
              <w:t>5</w:t>
            </w:r>
            <w:r>
              <w:rPr>
                <w:rFonts w:hint="eastAsia" w:ascii="宋体" w:cs="宋体"/>
                <w:color w:val="000000" w:themeColor="text1"/>
                <w:sz w:val="24"/>
                <w:lang w:val="zh-CN"/>
                <w14:textFill>
                  <w14:solidFill>
                    <w14:schemeClr w14:val="tx1"/>
                  </w14:solidFill>
                </w14:textFill>
              </w:rPr>
              <w:t>分；设置了项目管理机构，提供了可行的项目管理措施，制定了可行的实施方案的得</w:t>
            </w:r>
            <w:r>
              <w:rPr>
                <w:rFonts w:hint="eastAsia" w:ascii="宋体" w:cs="宋体"/>
                <w:color w:val="000000" w:themeColor="text1"/>
                <w:sz w:val="24"/>
                <w:lang w:val="en-US" w:eastAsia="zh-CN"/>
                <w14:textFill>
                  <w14:solidFill>
                    <w14:schemeClr w14:val="tx1"/>
                  </w14:solidFill>
                </w14:textFill>
              </w:rPr>
              <w:t>3</w:t>
            </w:r>
            <w:r>
              <w:rPr>
                <w:rFonts w:hint="eastAsia" w:ascii="宋体" w:cs="宋体"/>
                <w:color w:val="000000" w:themeColor="text1"/>
                <w:sz w:val="24"/>
                <w:lang w:val="zh-CN"/>
                <w14:textFill>
                  <w14:solidFill>
                    <w14:schemeClr w14:val="tx1"/>
                  </w14:solidFill>
                </w14:textFill>
              </w:rPr>
              <w:t>分；仅提供了简单的项目管理机构，管理措施的得</w:t>
            </w:r>
            <w:r>
              <w:rPr>
                <w:rFonts w:ascii="宋体" w:cs="宋体"/>
                <w:color w:val="000000" w:themeColor="text1"/>
                <w:sz w:val="24"/>
                <w:lang w:val="zh-CN"/>
                <w14:textFill>
                  <w14:solidFill>
                    <w14:schemeClr w14:val="tx1"/>
                  </w14:solidFill>
                </w14:textFill>
              </w:rPr>
              <w:t>1</w:t>
            </w:r>
            <w:r>
              <w:rPr>
                <w:rFonts w:hint="eastAsia" w:ascii="宋体" w:cs="宋体"/>
                <w:color w:val="000000" w:themeColor="text1"/>
                <w:sz w:val="24"/>
                <w:lang w:val="zh-CN"/>
                <w14:textFill>
                  <w14:solidFill>
                    <w14:schemeClr w14:val="tx1"/>
                  </w14:solidFill>
                </w14:textFill>
              </w:rPr>
              <w:t>分；未提供的不得分。</w:t>
            </w:r>
          </w:p>
          <w:p w14:paraId="4A287519">
            <w:pPr>
              <w:autoSpaceDE w:val="0"/>
              <w:autoSpaceDN w:val="0"/>
              <w:snapToGrid w:val="0"/>
              <w:spacing w:line="360" w:lineRule="auto"/>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2、交货期进度计划及保证措施：保证措施计划编制全面、合理得</w:t>
            </w:r>
            <w:r>
              <w:rPr>
                <w:rFonts w:hint="eastAsia" w:ascii="宋体" w:cs="宋体"/>
                <w:color w:val="000000" w:themeColor="text1"/>
                <w:sz w:val="24"/>
                <w:lang w:val="en-US" w:eastAsia="zh-CN"/>
                <w14:textFill>
                  <w14:solidFill>
                    <w14:schemeClr w14:val="tx1"/>
                  </w14:solidFill>
                </w14:textFill>
              </w:rPr>
              <w:t>6</w:t>
            </w:r>
            <w:r>
              <w:rPr>
                <w:rFonts w:hint="eastAsia" w:ascii="宋体" w:cs="宋体"/>
                <w:color w:val="000000" w:themeColor="text1"/>
                <w:sz w:val="24"/>
                <w:lang w:val="zh-CN"/>
                <w14:textFill>
                  <w14:solidFill>
                    <w14:schemeClr w14:val="tx1"/>
                  </w14:solidFill>
                </w14:textFill>
              </w:rPr>
              <w:t>分；保证措施计划编制可行得</w:t>
            </w:r>
            <w:r>
              <w:rPr>
                <w:rFonts w:hint="eastAsia" w:ascii="宋体" w:cs="宋体"/>
                <w:color w:val="000000" w:themeColor="text1"/>
                <w:sz w:val="24"/>
                <w:lang w:val="en-US" w:eastAsia="zh-CN"/>
                <w14:textFill>
                  <w14:solidFill>
                    <w14:schemeClr w14:val="tx1"/>
                  </w14:solidFill>
                </w14:textFill>
              </w:rPr>
              <w:t>4</w:t>
            </w:r>
            <w:r>
              <w:rPr>
                <w:rFonts w:hint="eastAsia" w:ascii="宋体" w:cs="宋体"/>
                <w:color w:val="000000" w:themeColor="text1"/>
                <w:sz w:val="24"/>
                <w:lang w:val="zh-CN"/>
                <w14:textFill>
                  <w14:solidFill>
                    <w14:schemeClr w14:val="tx1"/>
                  </w14:solidFill>
                </w14:textFill>
              </w:rPr>
              <w:t>分；仅提供了简单的交货期进度计划及保证措施得</w:t>
            </w:r>
            <w:r>
              <w:rPr>
                <w:rFonts w:hint="eastAsia" w:ascii="宋体" w:cs="宋体"/>
                <w:color w:val="000000" w:themeColor="text1"/>
                <w:sz w:val="24"/>
                <w:lang w:val="en-US" w:eastAsia="zh-CN"/>
                <w14:textFill>
                  <w14:solidFill>
                    <w14:schemeClr w14:val="tx1"/>
                  </w14:solidFill>
                </w14:textFill>
              </w:rPr>
              <w:t>2</w:t>
            </w:r>
            <w:r>
              <w:rPr>
                <w:rFonts w:hint="eastAsia" w:ascii="宋体" w:cs="宋体"/>
                <w:color w:val="000000" w:themeColor="text1"/>
                <w:sz w:val="24"/>
                <w:lang w:val="zh-CN"/>
                <w14:textFill>
                  <w14:solidFill>
                    <w14:schemeClr w14:val="tx1"/>
                  </w14:solidFill>
                </w14:textFill>
              </w:rPr>
              <w:t>分；未提供的不得分。</w:t>
            </w:r>
          </w:p>
          <w:p w14:paraId="4DB89533">
            <w:pPr>
              <w:autoSpaceDE w:val="0"/>
              <w:autoSpaceDN w:val="0"/>
              <w:snapToGrid w:val="0"/>
              <w:spacing w:line="360" w:lineRule="auto"/>
              <w:rPr>
                <w:rFonts w:hint="eastAsia"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3、质量控制及保证措施：质量控制及保证措施明确、周密、合理得</w:t>
            </w:r>
            <w:r>
              <w:rPr>
                <w:rFonts w:hint="eastAsia" w:ascii="宋体" w:cs="宋体"/>
                <w:color w:val="000000" w:themeColor="text1"/>
                <w:sz w:val="24"/>
                <w:lang w:val="en-US" w:eastAsia="zh-CN"/>
                <w14:textFill>
                  <w14:solidFill>
                    <w14:schemeClr w14:val="tx1"/>
                  </w14:solidFill>
                </w14:textFill>
              </w:rPr>
              <w:t>6</w:t>
            </w:r>
            <w:r>
              <w:rPr>
                <w:rFonts w:hint="eastAsia" w:ascii="宋体" w:cs="宋体"/>
                <w:color w:val="000000" w:themeColor="text1"/>
                <w:sz w:val="24"/>
                <w:lang w:val="zh-CN"/>
                <w14:textFill>
                  <w14:solidFill>
                    <w14:schemeClr w14:val="tx1"/>
                  </w14:solidFill>
                </w14:textFill>
              </w:rPr>
              <w:t>分；质量控制及保证措施可行得</w:t>
            </w:r>
            <w:r>
              <w:rPr>
                <w:rFonts w:hint="eastAsia" w:ascii="宋体" w:cs="宋体"/>
                <w:color w:val="000000" w:themeColor="text1"/>
                <w:sz w:val="24"/>
                <w:lang w:val="en-US" w:eastAsia="zh-CN"/>
                <w14:textFill>
                  <w14:solidFill>
                    <w14:schemeClr w14:val="tx1"/>
                  </w14:solidFill>
                </w14:textFill>
              </w:rPr>
              <w:t>4</w:t>
            </w:r>
            <w:r>
              <w:rPr>
                <w:rFonts w:hint="eastAsia" w:ascii="宋体" w:cs="宋体"/>
                <w:color w:val="000000" w:themeColor="text1"/>
                <w:sz w:val="24"/>
                <w:lang w:val="zh-CN"/>
                <w14:textFill>
                  <w14:solidFill>
                    <w14:schemeClr w14:val="tx1"/>
                  </w14:solidFill>
                </w14:textFill>
              </w:rPr>
              <w:t>分；仅提供了简单的质量控制及保证措施得</w:t>
            </w:r>
            <w:r>
              <w:rPr>
                <w:rFonts w:hint="eastAsia" w:ascii="宋体" w:cs="宋体"/>
                <w:color w:val="000000" w:themeColor="text1"/>
                <w:sz w:val="24"/>
                <w:lang w:val="en-US" w:eastAsia="zh-CN"/>
                <w14:textFill>
                  <w14:solidFill>
                    <w14:schemeClr w14:val="tx1"/>
                  </w14:solidFill>
                </w14:textFill>
              </w:rPr>
              <w:t>2</w:t>
            </w:r>
            <w:r>
              <w:rPr>
                <w:rFonts w:hint="eastAsia" w:ascii="宋体" w:cs="宋体"/>
                <w:color w:val="000000" w:themeColor="text1"/>
                <w:sz w:val="24"/>
                <w:lang w:val="zh-CN"/>
                <w14:textFill>
                  <w14:solidFill>
                    <w14:schemeClr w14:val="tx1"/>
                  </w14:solidFill>
                </w14:textFill>
              </w:rPr>
              <w:t>分。不提供不得分。</w:t>
            </w:r>
          </w:p>
          <w:p w14:paraId="50D1872C">
            <w:pPr>
              <w:autoSpaceDE w:val="0"/>
              <w:autoSpaceDN w:val="0"/>
              <w:snapToGrid w:val="0"/>
              <w:spacing w:line="360" w:lineRule="auto"/>
              <w:rPr>
                <w:rFonts w:hint="eastAsia" w:eastAsia="宋体"/>
                <w:color w:val="000000" w:themeColor="text1"/>
                <w:lang w:val="en-US" w:eastAsia="zh-CN"/>
                <w14:textFill>
                  <w14:solidFill>
                    <w14:schemeClr w14:val="tx1"/>
                  </w14:solidFill>
                </w14:textFill>
              </w:rPr>
            </w:pPr>
            <w:r>
              <w:rPr>
                <w:rFonts w:hint="eastAsia" w:ascii="宋体" w:cs="宋体"/>
                <w:color w:val="000000" w:themeColor="text1"/>
                <w:sz w:val="24"/>
                <w:lang w:val="en-US" w:eastAsia="zh-CN"/>
                <w14:textFill>
                  <w14:solidFill>
                    <w14:schemeClr w14:val="tx1"/>
                  </w14:solidFill>
                </w14:textFill>
              </w:rPr>
              <w:t>4、</w:t>
            </w:r>
            <w:r>
              <w:rPr>
                <w:rFonts w:hint="eastAsia" w:ascii="宋体" w:cs="宋体"/>
                <w:color w:val="000000" w:themeColor="text1"/>
                <w:sz w:val="24"/>
                <w:lang w:val="zh-CN"/>
                <w14:textFill>
                  <w14:solidFill>
                    <w14:schemeClr w14:val="tx1"/>
                  </w14:solidFill>
                </w14:textFill>
              </w:rPr>
              <w:t>安装调试实施方案及保证措施：提供设备安装、调试、运输保证等方案，方案符合先进性、安全性、稳定性、科学具体、完整的得</w:t>
            </w:r>
            <w:r>
              <w:rPr>
                <w:rFonts w:hint="eastAsia" w:ascii="宋体" w:cs="宋体"/>
                <w:color w:val="000000" w:themeColor="text1"/>
                <w:sz w:val="24"/>
                <w:lang w:val="en-US" w:eastAsia="zh-CN"/>
                <w14:textFill>
                  <w14:solidFill>
                    <w14:schemeClr w14:val="tx1"/>
                  </w14:solidFill>
                </w14:textFill>
              </w:rPr>
              <w:t>6</w:t>
            </w:r>
            <w:r>
              <w:rPr>
                <w:rFonts w:hint="eastAsia" w:ascii="宋体" w:cs="宋体"/>
                <w:color w:val="000000" w:themeColor="text1"/>
                <w:sz w:val="24"/>
                <w:lang w:val="zh-CN"/>
                <w14:textFill>
                  <w14:solidFill>
                    <w14:schemeClr w14:val="tx1"/>
                  </w14:solidFill>
                </w14:textFill>
              </w:rPr>
              <w:t>分；提供设备安装、调试、运输保证等方案可行的得</w:t>
            </w:r>
            <w:r>
              <w:rPr>
                <w:rFonts w:hint="eastAsia" w:ascii="宋体" w:cs="宋体"/>
                <w:color w:val="000000" w:themeColor="text1"/>
                <w:sz w:val="24"/>
                <w:lang w:val="en-US" w:eastAsia="zh-CN"/>
                <w14:textFill>
                  <w14:solidFill>
                    <w14:schemeClr w14:val="tx1"/>
                  </w14:solidFill>
                </w14:textFill>
              </w:rPr>
              <w:t>4</w:t>
            </w:r>
            <w:r>
              <w:rPr>
                <w:rFonts w:hint="eastAsia" w:ascii="宋体" w:cs="宋体"/>
                <w:color w:val="000000" w:themeColor="text1"/>
                <w:sz w:val="24"/>
                <w:lang w:val="zh-CN"/>
                <w14:textFill>
                  <w14:solidFill>
                    <w14:schemeClr w14:val="tx1"/>
                  </w14:solidFill>
                </w14:textFill>
              </w:rPr>
              <w:t>分；仅提供了简单设备安装、调试、运输保证等方案的得</w:t>
            </w:r>
            <w:r>
              <w:rPr>
                <w:rFonts w:hint="eastAsia" w:ascii="宋体" w:cs="宋体"/>
                <w:color w:val="000000" w:themeColor="text1"/>
                <w:sz w:val="24"/>
                <w:lang w:val="en-US" w:eastAsia="zh-CN"/>
                <w14:textFill>
                  <w14:solidFill>
                    <w14:schemeClr w14:val="tx1"/>
                  </w14:solidFill>
                </w14:textFill>
              </w:rPr>
              <w:t>2</w:t>
            </w:r>
            <w:r>
              <w:rPr>
                <w:rFonts w:hint="eastAsia" w:ascii="宋体" w:cs="宋体"/>
                <w:color w:val="000000" w:themeColor="text1"/>
                <w:sz w:val="24"/>
                <w:lang w:val="zh-CN"/>
                <w14:textFill>
                  <w14:solidFill>
                    <w14:schemeClr w14:val="tx1"/>
                  </w14:solidFill>
                </w14:textFill>
              </w:rPr>
              <w:t>分；未提供的不得分。</w:t>
            </w:r>
          </w:p>
        </w:tc>
      </w:tr>
      <w:tr w14:paraId="5057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098" w:type="dxa"/>
            <w:shd w:val="clear" w:color="000000" w:fill="FFFFFF"/>
            <w:vAlign w:val="center"/>
          </w:tcPr>
          <w:p w14:paraId="025E18CB">
            <w:pPr>
              <w:autoSpaceDE w:val="0"/>
              <w:autoSpaceDN w:val="0"/>
              <w:snapToGrid w:val="0"/>
              <w:spacing w:line="360" w:lineRule="auto"/>
              <w:jc w:val="center"/>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商务</w:t>
            </w:r>
          </w:p>
          <w:p w14:paraId="23CDFEB1">
            <w:pPr>
              <w:autoSpaceDE w:val="0"/>
              <w:autoSpaceDN w:val="0"/>
              <w:snapToGrid w:val="0"/>
              <w:spacing w:line="360" w:lineRule="auto"/>
              <w:jc w:val="center"/>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评价</w:t>
            </w:r>
          </w:p>
          <w:p w14:paraId="6AF14879">
            <w:pPr>
              <w:autoSpaceDE w:val="0"/>
              <w:autoSpaceDN w:val="0"/>
              <w:snapToGrid w:val="0"/>
              <w:spacing w:line="360" w:lineRule="auto"/>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lang w:val="en-US" w:eastAsia="zh-CN"/>
                <w14:textFill>
                  <w14:solidFill>
                    <w14:schemeClr w14:val="tx1"/>
                  </w14:solidFill>
                </w14:textFill>
              </w:rPr>
              <w:t>9</w:t>
            </w:r>
            <w:r>
              <w:rPr>
                <w:rFonts w:hint="eastAsia" w:ascii="宋体" w:cs="宋体"/>
                <w:color w:val="000000" w:themeColor="text1"/>
                <w:sz w:val="24"/>
                <w14:textFill>
                  <w14:solidFill>
                    <w14:schemeClr w14:val="tx1"/>
                  </w14:solidFill>
                </w14:textFill>
              </w:rPr>
              <w:t>分</w:t>
            </w:r>
          </w:p>
        </w:tc>
        <w:tc>
          <w:tcPr>
            <w:tcW w:w="1556" w:type="dxa"/>
            <w:shd w:val="clear" w:color="000000" w:fill="FFFFFF"/>
            <w:vAlign w:val="center"/>
          </w:tcPr>
          <w:p w14:paraId="02380FDB">
            <w:pPr>
              <w:autoSpaceDE w:val="0"/>
              <w:autoSpaceDN w:val="0"/>
              <w:snapToGrid w:val="0"/>
              <w:spacing w:line="360" w:lineRule="auto"/>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类似业绩情况</w:t>
            </w:r>
          </w:p>
        </w:tc>
        <w:tc>
          <w:tcPr>
            <w:tcW w:w="835" w:type="dxa"/>
            <w:shd w:val="clear" w:color="000000" w:fill="FFFFFF"/>
            <w:vAlign w:val="center"/>
          </w:tcPr>
          <w:p w14:paraId="02A9E4A5">
            <w:pPr>
              <w:autoSpaceDE w:val="0"/>
              <w:autoSpaceDN w:val="0"/>
              <w:snapToGrid w:val="0"/>
              <w:spacing w:line="360" w:lineRule="auto"/>
              <w:jc w:val="center"/>
              <w:rPr>
                <w:rFonts w:hint="eastAsia" w:ascii="宋体" w:eastAsia="宋体" w:cs="宋体"/>
                <w:color w:val="000000" w:themeColor="text1"/>
                <w:sz w:val="24"/>
                <w:lang w:eastAsia="zh-CN"/>
                <w14:textFill>
                  <w14:solidFill>
                    <w14:schemeClr w14:val="tx1"/>
                  </w14:solidFill>
                </w14:textFill>
              </w:rPr>
            </w:pPr>
            <w:r>
              <w:rPr>
                <w:rFonts w:hint="eastAsia" w:ascii="宋体" w:cs="宋体"/>
                <w:color w:val="000000" w:themeColor="text1"/>
                <w:sz w:val="24"/>
                <w:lang w:val="en-US" w:eastAsia="zh-CN"/>
                <w14:textFill>
                  <w14:solidFill>
                    <w14:schemeClr w14:val="tx1"/>
                  </w14:solidFill>
                </w14:textFill>
              </w:rPr>
              <w:t>9</w:t>
            </w:r>
          </w:p>
        </w:tc>
        <w:tc>
          <w:tcPr>
            <w:tcW w:w="5588" w:type="dxa"/>
            <w:shd w:val="clear" w:color="000000" w:fill="FFFFFF"/>
            <w:vAlign w:val="center"/>
          </w:tcPr>
          <w:p w14:paraId="2DCF938F">
            <w:pPr>
              <w:autoSpaceDE w:val="0"/>
              <w:autoSpaceDN w:val="0"/>
              <w:snapToGrid w:val="0"/>
              <w:spacing w:line="360" w:lineRule="auto"/>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提供磋商供应商自202</w:t>
            </w:r>
            <w:r>
              <w:rPr>
                <w:rFonts w:hint="eastAsia" w:ascii="宋体" w:cs="宋体"/>
                <w:color w:val="000000" w:themeColor="text1"/>
                <w:sz w:val="24"/>
                <w:lang w:val="en-US" w:eastAsia="zh-CN"/>
                <w14:textFill>
                  <w14:solidFill>
                    <w14:schemeClr w14:val="tx1"/>
                  </w14:solidFill>
                </w14:textFill>
              </w:rPr>
              <w:t>1</w:t>
            </w:r>
            <w:r>
              <w:rPr>
                <w:rFonts w:hint="eastAsia" w:ascii="宋体" w:cs="宋体"/>
                <w:color w:val="000000" w:themeColor="text1"/>
                <w:sz w:val="24"/>
                <w14:textFill>
                  <w14:solidFill>
                    <w14:schemeClr w14:val="tx1"/>
                  </w14:solidFill>
                </w14:textFill>
              </w:rPr>
              <w:t>年以来类似业绩证明材料，每有一份得</w:t>
            </w:r>
            <w:r>
              <w:rPr>
                <w:rFonts w:hint="eastAsia" w:ascii="宋体" w:cs="宋体"/>
                <w:color w:val="000000" w:themeColor="text1"/>
                <w:sz w:val="24"/>
                <w:lang w:val="en-US" w:eastAsia="zh-CN"/>
                <w14:textFill>
                  <w14:solidFill>
                    <w14:schemeClr w14:val="tx1"/>
                  </w14:solidFill>
                </w14:textFill>
              </w:rPr>
              <w:t>3</w:t>
            </w:r>
            <w:r>
              <w:rPr>
                <w:rFonts w:hint="eastAsia" w:ascii="宋体" w:cs="宋体"/>
                <w:color w:val="000000" w:themeColor="text1"/>
                <w:sz w:val="24"/>
                <w14:textFill>
                  <w14:solidFill>
                    <w14:schemeClr w14:val="tx1"/>
                  </w14:solidFill>
                </w14:textFill>
              </w:rPr>
              <w:t>分；满分</w:t>
            </w:r>
            <w:r>
              <w:rPr>
                <w:rFonts w:hint="eastAsia" w:ascii="宋体" w:cs="宋体"/>
                <w:color w:val="000000" w:themeColor="text1"/>
                <w:sz w:val="24"/>
                <w:lang w:val="en-US" w:eastAsia="zh-CN"/>
                <w14:textFill>
                  <w14:solidFill>
                    <w14:schemeClr w14:val="tx1"/>
                  </w14:solidFill>
                </w14:textFill>
              </w:rPr>
              <w:t>9</w:t>
            </w:r>
            <w:r>
              <w:rPr>
                <w:rFonts w:hint="eastAsia" w:ascii="宋体" w:cs="宋体"/>
                <w:color w:val="000000" w:themeColor="text1"/>
                <w:sz w:val="24"/>
                <w14:textFill>
                  <w14:solidFill>
                    <w14:schemeClr w14:val="tx1"/>
                  </w14:solidFill>
                </w14:textFill>
              </w:rPr>
              <w:t>分。不提供不得分。</w:t>
            </w:r>
          </w:p>
          <w:p w14:paraId="7E6918DB">
            <w:pPr>
              <w:autoSpaceDE w:val="0"/>
              <w:autoSpaceDN w:val="0"/>
              <w:snapToGrid w:val="0"/>
              <w:spacing w:line="360" w:lineRule="auto"/>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注：需提供包含中标通知书或合同（合同包括首页、标的及金额所在页、交货合同签字盖章页的扫描或复印件）</w:t>
            </w:r>
            <w:r>
              <w:rPr>
                <w:rFonts w:ascii="宋体" w:cs="宋体"/>
                <w:color w:val="000000" w:themeColor="text1"/>
                <w:sz w:val="24"/>
                <w14:textFill>
                  <w14:solidFill>
                    <w14:schemeClr w14:val="tx1"/>
                  </w14:solidFill>
                </w14:textFill>
              </w:rPr>
              <w:t>。</w:t>
            </w:r>
          </w:p>
        </w:tc>
      </w:tr>
      <w:tr w14:paraId="55A58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1098" w:type="dxa"/>
            <w:shd w:val="clear" w:color="000000" w:fill="FFFFFF"/>
            <w:vAlign w:val="center"/>
          </w:tcPr>
          <w:p w14:paraId="78A11F0E">
            <w:pPr>
              <w:autoSpaceDE w:val="0"/>
              <w:autoSpaceDN w:val="0"/>
              <w:snapToGrid w:val="0"/>
              <w:spacing w:line="360" w:lineRule="auto"/>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售后</w:t>
            </w:r>
          </w:p>
          <w:p w14:paraId="4980AA2E">
            <w:pPr>
              <w:autoSpaceDE w:val="0"/>
              <w:autoSpaceDN w:val="0"/>
              <w:snapToGrid w:val="0"/>
              <w:spacing w:line="360" w:lineRule="auto"/>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服务</w:t>
            </w:r>
          </w:p>
          <w:p w14:paraId="225C8290">
            <w:pPr>
              <w:autoSpaceDE w:val="0"/>
              <w:autoSpaceDN w:val="0"/>
              <w:snapToGrid w:val="0"/>
              <w:spacing w:line="360" w:lineRule="auto"/>
              <w:jc w:val="center"/>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en-US" w:eastAsia="zh-CN"/>
                <w14:textFill>
                  <w14:solidFill>
                    <w14:schemeClr w14:val="tx1"/>
                  </w14:solidFill>
                </w14:textFill>
              </w:rPr>
              <w:t>5</w:t>
            </w:r>
            <w:r>
              <w:rPr>
                <w:rFonts w:hint="eastAsia" w:ascii="宋体" w:cs="宋体"/>
                <w:color w:val="000000" w:themeColor="text1"/>
                <w:sz w:val="24"/>
                <w:lang w:val="zh-CN"/>
                <w14:textFill>
                  <w14:solidFill>
                    <w14:schemeClr w14:val="tx1"/>
                  </w14:solidFill>
                </w14:textFill>
              </w:rPr>
              <w:t>分</w:t>
            </w:r>
          </w:p>
        </w:tc>
        <w:tc>
          <w:tcPr>
            <w:tcW w:w="1556" w:type="dxa"/>
            <w:shd w:val="clear" w:color="000000" w:fill="FFFFFF"/>
            <w:vAlign w:val="center"/>
          </w:tcPr>
          <w:p w14:paraId="13A50B5C">
            <w:pPr>
              <w:autoSpaceDE w:val="0"/>
              <w:autoSpaceDN w:val="0"/>
              <w:snapToGrid w:val="0"/>
              <w:spacing w:line="360" w:lineRule="auto"/>
              <w:jc w:val="center"/>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售后服务计划、措施及服务承诺</w:t>
            </w:r>
          </w:p>
        </w:tc>
        <w:tc>
          <w:tcPr>
            <w:tcW w:w="835" w:type="dxa"/>
            <w:shd w:val="clear" w:color="000000" w:fill="FFFFFF"/>
            <w:vAlign w:val="center"/>
          </w:tcPr>
          <w:p w14:paraId="4625908C">
            <w:pPr>
              <w:autoSpaceDE w:val="0"/>
              <w:autoSpaceDN w:val="0"/>
              <w:snapToGrid w:val="0"/>
              <w:spacing w:line="360" w:lineRule="auto"/>
              <w:jc w:val="center"/>
              <w:rPr>
                <w:rFonts w:hint="eastAsia" w:ascii="宋体" w:eastAsia="宋体" w:cs="宋体"/>
                <w:color w:val="000000" w:themeColor="text1"/>
                <w:sz w:val="24"/>
                <w:lang w:val="zh-CN" w:eastAsia="zh-CN"/>
                <w14:textFill>
                  <w14:solidFill>
                    <w14:schemeClr w14:val="tx1"/>
                  </w14:solidFill>
                </w14:textFill>
              </w:rPr>
            </w:pPr>
            <w:r>
              <w:rPr>
                <w:rFonts w:hint="eastAsia" w:ascii="宋体" w:cs="宋体"/>
                <w:color w:val="000000" w:themeColor="text1"/>
                <w:sz w:val="24"/>
                <w:lang w:val="en-US" w:eastAsia="zh-CN"/>
                <w14:textFill>
                  <w14:solidFill>
                    <w14:schemeClr w14:val="tx1"/>
                  </w14:solidFill>
                </w14:textFill>
              </w:rPr>
              <w:t>5</w:t>
            </w:r>
          </w:p>
        </w:tc>
        <w:tc>
          <w:tcPr>
            <w:tcW w:w="5588" w:type="dxa"/>
            <w:tcBorders>
              <w:bottom w:val="single" w:color="auto" w:sz="4" w:space="0"/>
            </w:tcBorders>
            <w:shd w:val="clear" w:color="000000" w:fill="FFFFFF"/>
            <w:vAlign w:val="center"/>
          </w:tcPr>
          <w:p w14:paraId="6A201301">
            <w:pPr>
              <w:autoSpaceDE w:val="0"/>
              <w:autoSpaceDN w:val="0"/>
              <w:snapToGrid w:val="0"/>
              <w:spacing w:line="360" w:lineRule="auto"/>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针对该项目有详尽的组织配送、验收、售后等方面的服务能力、措施及相关承诺，全面、详细、合理的，得</w:t>
            </w:r>
            <w:r>
              <w:rPr>
                <w:rFonts w:hint="eastAsia" w:ascii="宋体" w:cs="宋体"/>
                <w:color w:val="000000" w:themeColor="text1"/>
                <w:sz w:val="24"/>
                <w:lang w:val="en-US" w:eastAsia="zh-CN"/>
                <w14:textFill>
                  <w14:solidFill>
                    <w14:schemeClr w14:val="tx1"/>
                  </w14:solidFill>
                </w14:textFill>
              </w:rPr>
              <w:t>5</w:t>
            </w:r>
            <w:r>
              <w:rPr>
                <w:rFonts w:hint="eastAsia" w:ascii="宋体" w:cs="宋体"/>
                <w:color w:val="000000" w:themeColor="text1"/>
                <w:sz w:val="24"/>
                <w:lang w:val="zh-CN"/>
                <w14:textFill>
                  <w14:solidFill>
                    <w14:schemeClr w14:val="tx1"/>
                  </w14:solidFill>
                </w14:textFill>
              </w:rPr>
              <w:t>分；措施及相关承诺可行的，得</w:t>
            </w:r>
            <w:r>
              <w:rPr>
                <w:rFonts w:hint="eastAsia" w:ascii="宋体" w:cs="宋体"/>
                <w:color w:val="000000" w:themeColor="text1"/>
                <w:sz w:val="24"/>
                <w:lang w:val="en-US" w:eastAsia="zh-CN"/>
                <w14:textFill>
                  <w14:solidFill>
                    <w14:schemeClr w14:val="tx1"/>
                  </w14:solidFill>
                </w14:textFill>
              </w:rPr>
              <w:t>3</w:t>
            </w:r>
            <w:r>
              <w:rPr>
                <w:rFonts w:hint="eastAsia" w:ascii="宋体" w:cs="宋体"/>
                <w:color w:val="000000" w:themeColor="text1"/>
                <w:sz w:val="24"/>
                <w:lang w:val="zh-CN"/>
                <w14:textFill>
                  <w14:solidFill>
                    <w14:schemeClr w14:val="tx1"/>
                  </w14:solidFill>
                </w14:textFill>
              </w:rPr>
              <w:t>分；仅提供了简单的措施及相关承诺的，得</w:t>
            </w:r>
            <w:r>
              <w:rPr>
                <w:rFonts w:hint="eastAsia" w:ascii="宋体" w:cs="宋体"/>
                <w:color w:val="000000" w:themeColor="text1"/>
                <w:sz w:val="24"/>
                <w:lang w:val="en-US" w:eastAsia="zh-CN"/>
                <w14:textFill>
                  <w14:solidFill>
                    <w14:schemeClr w14:val="tx1"/>
                  </w14:solidFill>
                </w14:textFill>
              </w:rPr>
              <w:t>1</w:t>
            </w:r>
            <w:r>
              <w:rPr>
                <w:rFonts w:hint="eastAsia" w:ascii="宋体" w:cs="宋体"/>
                <w:color w:val="000000" w:themeColor="text1"/>
                <w:sz w:val="24"/>
                <w:lang w:val="zh-CN"/>
                <w14:textFill>
                  <w14:solidFill>
                    <w14:schemeClr w14:val="tx1"/>
                  </w14:solidFill>
                </w14:textFill>
              </w:rPr>
              <w:t>分；未提供的不得分。</w:t>
            </w:r>
          </w:p>
        </w:tc>
      </w:tr>
    </w:tbl>
    <w:p w14:paraId="59C4865D">
      <w:pPr>
        <w:pStyle w:val="18"/>
        <w:spacing w:line="360" w:lineRule="auto"/>
        <w:rPr>
          <w:rFonts w:hAnsi="宋体"/>
          <w:b/>
          <w:sz w:val="24"/>
          <w:szCs w:val="24"/>
        </w:rPr>
      </w:pPr>
    </w:p>
    <w:bookmarkEnd w:id="70"/>
    <w:p w14:paraId="1D4EBA60">
      <w:pPr>
        <w:pStyle w:val="5"/>
        <w:ind w:left="709"/>
        <w:rPr>
          <w:rFonts w:hAnsi="宋体"/>
          <w:b/>
          <w:sz w:val="24"/>
          <w:szCs w:val="24"/>
        </w:rPr>
      </w:pPr>
      <w:bookmarkStart w:id="71" w:name="_Toc18775"/>
      <w:r>
        <w:rPr>
          <w:rFonts w:hint="eastAsia" w:hAnsi="宋体"/>
          <w:b/>
          <w:sz w:val="24"/>
          <w:szCs w:val="24"/>
        </w:rPr>
        <w:t>定标</w:t>
      </w:r>
      <w:bookmarkEnd w:id="71"/>
    </w:p>
    <w:p w14:paraId="672494C9">
      <w:pPr>
        <w:pStyle w:val="6"/>
        <w:numPr>
          <w:ilvl w:val="0"/>
          <w:numId w:val="3"/>
        </w:numPr>
        <w:spacing w:before="0" w:after="0" w:line="360" w:lineRule="auto"/>
        <w:rPr>
          <w:rFonts w:ascii="宋体" w:hAnsi="宋体"/>
          <w:b w:val="0"/>
          <w:sz w:val="24"/>
          <w:szCs w:val="24"/>
        </w:rPr>
      </w:pPr>
      <w:bookmarkStart w:id="72" w:name="_Toc22366"/>
      <w:bookmarkStart w:id="73" w:name="_Toc488673637"/>
      <w:r>
        <w:rPr>
          <w:rFonts w:hint="eastAsia" w:ascii="宋体" w:hAnsi="宋体"/>
          <w:b w:val="0"/>
          <w:sz w:val="24"/>
          <w:szCs w:val="24"/>
        </w:rPr>
        <w:t>推荐并确定成交磋商供应商</w:t>
      </w:r>
      <w:bookmarkEnd w:id="72"/>
      <w:bookmarkEnd w:id="73"/>
    </w:p>
    <w:p w14:paraId="170F8007">
      <w:pPr>
        <w:pStyle w:val="18"/>
        <w:numPr>
          <w:ilvl w:val="0"/>
          <w:numId w:val="30"/>
        </w:numPr>
        <w:spacing w:line="360" w:lineRule="auto"/>
        <w:ind w:left="845" w:leftChars="0" w:hanging="425" w:firstLineChars="0"/>
        <w:rPr>
          <w:rFonts w:hAnsi="宋体"/>
          <w:sz w:val="24"/>
          <w:szCs w:val="24"/>
        </w:rPr>
      </w:pPr>
      <w:r>
        <w:rPr>
          <w:rFonts w:hint="eastAsia" w:hAnsi="宋体" w:cs="宋体"/>
          <w:b/>
          <w:bCs/>
          <w:sz w:val="24"/>
          <w:szCs w:val="24"/>
        </w:rPr>
        <w:t>采用综合评分法的，</w:t>
      </w:r>
      <w:r>
        <w:rPr>
          <w:rFonts w:hint="eastAsia" w:hAnsi="宋体" w:cs="宋体"/>
          <w:sz w:val="24"/>
          <w:szCs w:val="24"/>
          <w:shd w:val="clear" w:color="auto" w:fill="FFFFFF"/>
        </w:rPr>
        <w:t>评标结果按评审后得分由高到低顺序排列。得分相同的，按投标报价由低到高顺序排列。得分且投标报价相同的并列。磋商响应文件满足磋商文件全部实质性要求，且按照评审因素的量化指标评审得分最高的磋商人为排名第一的成交候选人。</w:t>
      </w:r>
    </w:p>
    <w:p w14:paraId="67DA5264">
      <w:pPr>
        <w:pStyle w:val="18"/>
        <w:numPr>
          <w:ilvl w:val="0"/>
          <w:numId w:val="30"/>
        </w:numPr>
        <w:spacing w:line="360" w:lineRule="auto"/>
        <w:ind w:left="845" w:leftChars="0" w:hanging="425" w:firstLineChars="0"/>
        <w:rPr>
          <w:rFonts w:hAnsi="宋体"/>
          <w:sz w:val="24"/>
          <w:szCs w:val="24"/>
        </w:rPr>
      </w:pPr>
      <w:r>
        <w:rPr>
          <w:rFonts w:hint="eastAsia" w:hAnsi="宋体"/>
          <w:sz w:val="24"/>
          <w:szCs w:val="24"/>
        </w:rPr>
        <w:t>成交磋商供应商因不可抗力或自身原因不能履行合同时，采购单位可以按照评审报告推荐的预成交候选磋商供应商名单排序，确定下一候选磋商供应商为成交磋商供应商，也可重新开展政府采购活动。</w:t>
      </w:r>
    </w:p>
    <w:p w14:paraId="1D0CA061">
      <w:pPr>
        <w:pStyle w:val="18"/>
        <w:numPr>
          <w:ilvl w:val="0"/>
          <w:numId w:val="30"/>
        </w:numPr>
        <w:spacing w:line="360" w:lineRule="auto"/>
        <w:ind w:left="845" w:leftChars="0" w:hanging="425" w:firstLineChars="0"/>
        <w:rPr>
          <w:rFonts w:hAnsi="宋体"/>
          <w:sz w:val="24"/>
          <w:szCs w:val="24"/>
        </w:rPr>
      </w:pPr>
      <w:r>
        <w:rPr>
          <w:rFonts w:hint="eastAsia" w:hAnsi="宋体" w:cs="宋体"/>
          <w:sz w:val="24"/>
          <w:szCs w:val="24"/>
          <w:shd w:val="clear" w:color="auto" w:fill="FFFFFF"/>
        </w:rPr>
        <w:t>评标结果汇总完成后，除下列情形外，任何人不得修改评标结果：</w:t>
      </w:r>
    </w:p>
    <w:p w14:paraId="1BB312BC">
      <w:pPr>
        <w:pStyle w:val="18"/>
        <w:numPr>
          <w:ilvl w:val="0"/>
          <w:numId w:val="31"/>
        </w:numPr>
        <w:spacing w:line="360" w:lineRule="auto"/>
        <w:rPr>
          <w:rFonts w:hAnsi="宋体"/>
          <w:sz w:val="24"/>
          <w:szCs w:val="24"/>
        </w:rPr>
      </w:pPr>
      <w:r>
        <w:rPr>
          <w:rFonts w:hint="eastAsia" w:hAnsi="宋体" w:cs="宋体"/>
          <w:sz w:val="24"/>
          <w:szCs w:val="24"/>
          <w:shd w:val="clear" w:color="auto" w:fill="FFFFFF"/>
        </w:rPr>
        <w:t>分值汇总计算错误的；</w:t>
      </w:r>
    </w:p>
    <w:p w14:paraId="4776865F">
      <w:pPr>
        <w:pStyle w:val="18"/>
        <w:numPr>
          <w:ilvl w:val="0"/>
          <w:numId w:val="31"/>
        </w:numPr>
        <w:spacing w:line="360" w:lineRule="auto"/>
        <w:rPr>
          <w:rFonts w:hAnsi="宋体"/>
          <w:sz w:val="24"/>
          <w:szCs w:val="24"/>
        </w:rPr>
      </w:pPr>
      <w:r>
        <w:rPr>
          <w:rFonts w:hint="eastAsia" w:hAnsi="宋体" w:cs="宋体"/>
          <w:sz w:val="24"/>
          <w:szCs w:val="24"/>
          <w:shd w:val="clear" w:color="auto" w:fill="FFFFFF"/>
        </w:rPr>
        <w:t>分项评分超出评分标准范围的；</w:t>
      </w:r>
    </w:p>
    <w:p w14:paraId="7C0EDC2D">
      <w:pPr>
        <w:pStyle w:val="18"/>
        <w:numPr>
          <w:ilvl w:val="0"/>
          <w:numId w:val="31"/>
        </w:numPr>
        <w:spacing w:line="360" w:lineRule="auto"/>
        <w:rPr>
          <w:rFonts w:hAnsi="宋体"/>
          <w:sz w:val="24"/>
          <w:szCs w:val="24"/>
        </w:rPr>
      </w:pPr>
      <w:r>
        <w:rPr>
          <w:rFonts w:hint="eastAsia" w:hAnsi="宋体" w:cs="宋体"/>
          <w:sz w:val="24"/>
          <w:szCs w:val="24"/>
          <w:shd w:val="clear" w:color="auto" w:fill="FFFFFF"/>
        </w:rPr>
        <w:t>评标委员会成员对客观评审因素评分不一致的；</w:t>
      </w:r>
    </w:p>
    <w:p w14:paraId="372BBAC3">
      <w:pPr>
        <w:pStyle w:val="18"/>
        <w:numPr>
          <w:ilvl w:val="0"/>
          <w:numId w:val="31"/>
        </w:numPr>
        <w:spacing w:line="360" w:lineRule="auto"/>
        <w:rPr>
          <w:rFonts w:hAnsi="宋体"/>
          <w:sz w:val="24"/>
          <w:szCs w:val="24"/>
        </w:rPr>
      </w:pPr>
      <w:r>
        <w:rPr>
          <w:rFonts w:hint="eastAsia" w:hAnsi="宋体" w:cs="宋体"/>
          <w:sz w:val="24"/>
          <w:szCs w:val="24"/>
          <w:shd w:val="clear" w:color="auto" w:fill="FFFFFF"/>
        </w:rPr>
        <w:t>经评标委员会认定评分畸高、畸低的。</w:t>
      </w:r>
    </w:p>
    <w:p w14:paraId="2153AC2F">
      <w:pPr>
        <w:autoSpaceDE w:val="0"/>
        <w:autoSpaceDN w:val="0"/>
        <w:spacing w:line="360" w:lineRule="auto"/>
        <w:ind w:left="1042" w:leftChars="496" w:firstLine="480" w:firstLineChars="200"/>
        <w:rPr>
          <w:rFonts w:ascii="宋体" w:hAnsi="宋体" w:cs="宋体"/>
          <w:sz w:val="24"/>
          <w:shd w:val="clear" w:color="auto" w:fill="FFFFFF"/>
        </w:rPr>
      </w:pPr>
      <w:r>
        <w:rPr>
          <w:rFonts w:hint="eastAsia" w:ascii="宋体" w:hAnsi="宋体" w:cs="宋体"/>
          <w:sz w:val="24"/>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A539745">
      <w:pPr>
        <w:pStyle w:val="18"/>
        <w:spacing w:line="360" w:lineRule="auto"/>
        <w:ind w:left="1042" w:leftChars="496" w:firstLine="480" w:firstLineChars="200"/>
        <w:rPr>
          <w:rFonts w:hAnsi="宋体"/>
          <w:sz w:val="24"/>
          <w:szCs w:val="24"/>
        </w:rPr>
      </w:pPr>
      <w:r>
        <w:rPr>
          <w:rFonts w:hint="eastAsia" w:hAnsi="宋体" w:cs="宋体"/>
          <w:sz w:val="24"/>
          <w:szCs w:val="24"/>
          <w:shd w:val="clear" w:color="auto" w:fill="FFFFFF"/>
        </w:rPr>
        <w:t>磋商人对以上情形提出质疑的，采购人或者采购代理机构可以组织原评标委员会进行重新评审，重新评审改变评标结果的，应当书面报告本级财政部门。</w:t>
      </w:r>
    </w:p>
    <w:p w14:paraId="1E0C2CFC">
      <w:pPr>
        <w:pStyle w:val="6"/>
        <w:numPr>
          <w:ilvl w:val="0"/>
          <w:numId w:val="3"/>
        </w:numPr>
        <w:spacing w:before="0" w:after="0" w:line="360" w:lineRule="auto"/>
        <w:rPr>
          <w:rFonts w:ascii="宋体" w:hAnsi="宋体"/>
          <w:b w:val="0"/>
          <w:sz w:val="24"/>
          <w:szCs w:val="24"/>
        </w:rPr>
      </w:pPr>
      <w:bookmarkStart w:id="74" w:name="_Toc488673638"/>
      <w:bookmarkStart w:id="75" w:name="_Toc968"/>
      <w:r>
        <w:rPr>
          <w:rFonts w:hint="eastAsia" w:ascii="宋体" w:hAnsi="宋体"/>
          <w:b w:val="0"/>
          <w:sz w:val="24"/>
          <w:szCs w:val="24"/>
        </w:rPr>
        <w:t>成交通知</w:t>
      </w:r>
      <w:bookmarkEnd w:id="74"/>
      <w:bookmarkEnd w:id="75"/>
    </w:p>
    <w:p w14:paraId="045A9C94">
      <w:pPr>
        <w:pStyle w:val="18"/>
        <w:numPr>
          <w:ilvl w:val="0"/>
          <w:numId w:val="32"/>
        </w:numPr>
        <w:spacing w:line="360" w:lineRule="auto"/>
        <w:ind w:left="845" w:leftChars="0" w:hanging="425" w:firstLineChars="0"/>
        <w:rPr>
          <w:rFonts w:hAnsi="宋体"/>
          <w:b/>
          <w:bCs/>
          <w:sz w:val="24"/>
          <w:szCs w:val="24"/>
        </w:rPr>
      </w:pPr>
      <w:r>
        <w:rPr>
          <w:rFonts w:hint="eastAsia" w:hAnsi="宋体" w:cs="宋体"/>
          <w:sz w:val="24"/>
          <w:szCs w:val="24"/>
        </w:rPr>
        <w:t>采购代理机构应当在评标结束后2个工作日内将评标报告送采购人。采购人应当自收到评标报告之日起５个工作日内，在评标报告确定的成交候选人名单中按顺序确定成交人。成交候选人并列的，由采购人或者采购人委托评标委员会按照磋商文件规定的方式确定成交人；磋商文件未规定的，采取随机抽取的方式确定。</w:t>
      </w:r>
    </w:p>
    <w:p w14:paraId="5E06A94A">
      <w:pPr>
        <w:pStyle w:val="18"/>
        <w:numPr>
          <w:ilvl w:val="0"/>
          <w:numId w:val="32"/>
        </w:numPr>
        <w:spacing w:line="360" w:lineRule="auto"/>
        <w:ind w:left="845" w:leftChars="0" w:hanging="425" w:firstLineChars="0"/>
        <w:rPr>
          <w:rFonts w:hAnsi="宋体"/>
          <w:b/>
          <w:bCs/>
          <w:sz w:val="24"/>
          <w:szCs w:val="24"/>
        </w:rPr>
      </w:pPr>
      <w:r>
        <w:rPr>
          <w:rFonts w:hint="eastAsia" w:hAnsi="宋体" w:cs="宋体"/>
          <w:sz w:val="24"/>
          <w:szCs w:val="24"/>
        </w:rPr>
        <w:t>采购人在收到评标报告5个工作日内未按评标报告推荐的成交候选人顺序确定成交人，又不能说明合法理由的，视同按评标报告推荐的顺序确定排名第一的成交候选人为成交人。</w:t>
      </w:r>
    </w:p>
    <w:p w14:paraId="6C4B0BF2">
      <w:pPr>
        <w:pStyle w:val="18"/>
        <w:numPr>
          <w:ilvl w:val="0"/>
          <w:numId w:val="32"/>
        </w:numPr>
        <w:spacing w:line="360" w:lineRule="auto"/>
        <w:ind w:left="845" w:leftChars="0" w:hanging="425" w:firstLineChars="0"/>
        <w:rPr>
          <w:rFonts w:hAnsi="宋体"/>
          <w:b/>
          <w:bCs/>
          <w:sz w:val="24"/>
          <w:szCs w:val="24"/>
        </w:rPr>
      </w:pPr>
      <w:r>
        <w:rPr>
          <w:rFonts w:hint="eastAsia" w:hAnsi="宋体"/>
          <w:sz w:val="24"/>
          <w:szCs w:val="24"/>
        </w:rPr>
        <w:t>采购代理机构自成交磋商供应商确定之日起2个工作日内发出《成交通知书》，并在青海省电子招投标公共服务平台</w:t>
      </w:r>
      <w:r>
        <w:rPr>
          <w:rFonts w:hint="eastAsia" w:hAnsi="宋体"/>
          <w:sz w:val="24"/>
          <w:szCs w:val="28"/>
        </w:rPr>
        <w:t>、</w:t>
      </w:r>
      <w:r>
        <w:rPr>
          <w:rFonts w:hint="eastAsia" w:hAnsi="宋体"/>
          <w:sz w:val="24"/>
          <w:szCs w:val="24"/>
        </w:rPr>
        <w:t>青海项目信息网等媒体上公告成交结果。</w:t>
      </w:r>
    </w:p>
    <w:p w14:paraId="3C8E8449">
      <w:pPr>
        <w:pStyle w:val="18"/>
        <w:numPr>
          <w:ilvl w:val="0"/>
          <w:numId w:val="32"/>
        </w:numPr>
        <w:spacing w:line="360" w:lineRule="auto"/>
        <w:ind w:left="845" w:leftChars="0" w:hanging="425" w:firstLineChars="0"/>
        <w:rPr>
          <w:rFonts w:hAnsi="宋体"/>
          <w:b/>
          <w:bCs/>
          <w:sz w:val="24"/>
          <w:szCs w:val="24"/>
        </w:rPr>
      </w:pPr>
      <w:r>
        <w:rPr>
          <w:rFonts w:hint="eastAsia" w:hAnsi="宋体" w:cs="宋体"/>
          <w:sz w:val="24"/>
          <w:szCs w:val="24"/>
        </w:rPr>
        <w:t>成交结果公告内容应当包括采购人及其委托的采购代理机构的名称、地址、联系方式，项目名称和项目编号，成交人名称、地址和成交金额，主要成交标的的名称、规格型号、数量、单价、服务要求，成交公告期限以及评审专家名单。</w:t>
      </w:r>
    </w:p>
    <w:p w14:paraId="48B2A0A9">
      <w:pPr>
        <w:pStyle w:val="18"/>
        <w:numPr>
          <w:ilvl w:val="0"/>
          <w:numId w:val="32"/>
        </w:numPr>
        <w:spacing w:line="360" w:lineRule="auto"/>
        <w:ind w:left="845" w:leftChars="0" w:hanging="425" w:firstLineChars="0"/>
        <w:rPr>
          <w:rFonts w:hAnsi="宋体"/>
          <w:b/>
          <w:bCs/>
          <w:sz w:val="24"/>
          <w:szCs w:val="24"/>
        </w:rPr>
      </w:pPr>
      <w:r>
        <w:rPr>
          <w:rFonts w:hint="eastAsia" w:hAnsi="宋体" w:cs="宋体"/>
          <w:sz w:val="24"/>
          <w:szCs w:val="24"/>
        </w:rPr>
        <w:t>成交公告期限为1个工作日。</w:t>
      </w:r>
    </w:p>
    <w:p w14:paraId="327F4508">
      <w:pPr>
        <w:pStyle w:val="18"/>
        <w:numPr>
          <w:ilvl w:val="0"/>
          <w:numId w:val="32"/>
        </w:numPr>
        <w:spacing w:line="360" w:lineRule="auto"/>
        <w:ind w:left="845" w:leftChars="0" w:hanging="425" w:firstLineChars="0"/>
        <w:rPr>
          <w:rFonts w:hAnsi="宋体"/>
          <w:b/>
          <w:bCs/>
          <w:sz w:val="24"/>
          <w:szCs w:val="24"/>
        </w:rPr>
      </w:pPr>
      <w:r>
        <w:rPr>
          <w:rFonts w:hint="eastAsia" w:hAnsi="宋体" w:cs="宋体"/>
          <w:sz w:val="24"/>
          <w:szCs w:val="24"/>
        </w:rPr>
        <w:t>在公告成交结果的同时，</w:t>
      </w:r>
      <w:r>
        <w:rPr>
          <w:rFonts w:hint="eastAsia" w:hAnsi="宋体" w:cs="宋体"/>
          <w:sz w:val="24"/>
          <w:szCs w:val="24"/>
          <w:shd w:val="clear" w:color="auto" w:fill="FFFFFF"/>
        </w:rPr>
        <w:t>采购人或者采购代理机构</w:t>
      </w:r>
      <w:r>
        <w:rPr>
          <w:rFonts w:hint="eastAsia" w:hAnsi="宋体" w:cs="宋体"/>
          <w:sz w:val="24"/>
          <w:szCs w:val="24"/>
        </w:rPr>
        <w:t>应当向成交人发出成交通知书；采用综合评分法评审的，还应当告知未成交人本人的评审得分与排序。</w:t>
      </w:r>
    </w:p>
    <w:p w14:paraId="21D2C9D3">
      <w:pPr>
        <w:pStyle w:val="18"/>
        <w:numPr>
          <w:ilvl w:val="0"/>
          <w:numId w:val="32"/>
        </w:numPr>
        <w:spacing w:line="360" w:lineRule="auto"/>
        <w:ind w:left="845" w:leftChars="0" w:hanging="425" w:firstLineChars="0"/>
        <w:rPr>
          <w:rFonts w:hAnsi="宋体"/>
          <w:b/>
          <w:bCs/>
          <w:sz w:val="24"/>
          <w:szCs w:val="24"/>
        </w:rPr>
      </w:pPr>
      <w:r>
        <w:rPr>
          <w:rFonts w:hint="eastAsia" w:hAnsi="宋体" w:cs="宋体"/>
          <w:sz w:val="24"/>
          <w:szCs w:val="24"/>
        </w:rPr>
        <w:t>成交通知书发出后，采购人不得违法改变成交结果，成交人无正当理由不得放弃成交。</w:t>
      </w:r>
    </w:p>
    <w:p w14:paraId="22973F94">
      <w:pPr>
        <w:pStyle w:val="18"/>
        <w:numPr>
          <w:ilvl w:val="0"/>
          <w:numId w:val="32"/>
        </w:numPr>
        <w:spacing w:line="360" w:lineRule="auto"/>
        <w:ind w:left="845" w:leftChars="0" w:hanging="425" w:firstLineChars="0"/>
        <w:rPr>
          <w:rFonts w:hAnsi="宋体"/>
          <w:b/>
          <w:bCs/>
          <w:sz w:val="24"/>
          <w:szCs w:val="24"/>
        </w:rPr>
      </w:pPr>
      <w:r>
        <w:rPr>
          <w:rFonts w:hint="eastAsia" w:hAnsi="宋体"/>
          <w:sz w:val="24"/>
          <w:szCs w:val="24"/>
        </w:rPr>
        <w:t>《成交通知书》对采购单位和成交磋商供应商具有同等效力，《成交通知书》发出后，采购单位改变成交结果的，或者成交磋商供应商无正当理由放弃成交项目的，依法承担法律责任。</w:t>
      </w:r>
    </w:p>
    <w:p w14:paraId="5924E2F7">
      <w:pPr>
        <w:pStyle w:val="5"/>
        <w:ind w:left="709"/>
        <w:rPr>
          <w:rFonts w:hAnsi="宋体"/>
          <w:b/>
          <w:sz w:val="24"/>
          <w:szCs w:val="24"/>
        </w:rPr>
      </w:pPr>
      <w:bookmarkStart w:id="76" w:name="_Toc20794"/>
      <w:r>
        <w:rPr>
          <w:rFonts w:hint="eastAsia" w:hAnsi="宋体"/>
          <w:b/>
          <w:sz w:val="24"/>
          <w:szCs w:val="24"/>
        </w:rPr>
        <w:t>授予合同</w:t>
      </w:r>
      <w:bookmarkEnd w:id="76"/>
    </w:p>
    <w:p w14:paraId="5A75C64D">
      <w:pPr>
        <w:pStyle w:val="6"/>
        <w:numPr>
          <w:ilvl w:val="0"/>
          <w:numId w:val="3"/>
        </w:numPr>
        <w:spacing w:before="0" w:after="0" w:line="360" w:lineRule="auto"/>
        <w:rPr>
          <w:rFonts w:ascii="宋体" w:hAnsi="宋体"/>
          <w:b w:val="0"/>
          <w:sz w:val="24"/>
          <w:szCs w:val="24"/>
        </w:rPr>
      </w:pPr>
      <w:bookmarkStart w:id="77" w:name="_Toc488673640"/>
      <w:bookmarkStart w:id="78" w:name="_Toc11843"/>
      <w:r>
        <w:rPr>
          <w:rFonts w:hint="eastAsia" w:ascii="宋体" w:hAnsi="宋体"/>
          <w:b w:val="0"/>
          <w:sz w:val="24"/>
          <w:szCs w:val="24"/>
        </w:rPr>
        <w:t>签订合同</w:t>
      </w:r>
      <w:bookmarkEnd w:id="77"/>
      <w:bookmarkEnd w:id="78"/>
    </w:p>
    <w:p w14:paraId="2CED3550">
      <w:pPr>
        <w:pStyle w:val="18"/>
        <w:numPr>
          <w:ilvl w:val="0"/>
          <w:numId w:val="33"/>
        </w:numPr>
        <w:spacing w:line="360" w:lineRule="auto"/>
        <w:ind w:left="845" w:leftChars="0" w:hanging="425" w:firstLineChars="0"/>
        <w:rPr>
          <w:rFonts w:hAnsi="宋体"/>
          <w:sz w:val="24"/>
          <w:szCs w:val="24"/>
        </w:rPr>
      </w:pPr>
      <w:r>
        <w:rPr>
          <w:rFonts w:hint="eastAsia" w:hAnsi="宋体"/>
          <w:sz w:val="24"/>
          <w:szCs w:val="24"/>
        </w:rPr>
        <w:t>采购单位与成交磋商供应商双方应当自《成交通知书》发出之日起30日内，签订采购合同，送采购代理机构审核并备案；</w:t>
      </w:r>
    </w:p>
    <w:p w14:paraId="35FBBE87">
      <w:pPr>
        <w:pStyle w:val="18"/>
        <w:numPr>
          <w:ilvl w:val="0"/>
          <w:numId w:val="33"/>
        </w:numPr>
        <w:spacing w:line="360" w:lineRule="auto"/>
        <w:ind w:left="845" w:leftChars="0" w:hanging="425" w:firstLineChars="0"/>
        <w:rPr>
          <w:rFonts w:hAnsi="宋体"/>
          <w:sz w:val="24"/>
          <w:szCs w:val="24"/>
        </w:rPr>
      </w:pPr>
      <w:r>
        <w:rPr>
          <w:rFonts w:hint="eastAsia" w:hAnsi="宋体"/>
          <w:sz w:val="24"/>
          <w:szCs w:val="24"/>
        </w:rPr>
        <w:t>成交磋商供应商在法定期限内无正当理由拒签合同的，按违约处理。同时，采购代理机构和采购单位可依评标排序重新确定成交磋商供应商，并协调双方签订采购合同，或重新组织采购活动；</w:t>
      </w:r>
    </w:p>
    <w:p w14:paraId="36AF129C">
      <w:pPr>
        <w:pStyle w:val="18"/>
        <w:numPr>
          <w:ilvl w:val="0"/>
          <w:numId w:val="33"/>
        </w:numPr>
        <w:spacing w:line="360" w:lineRule="auto"/>
        <w:ind w:left="845" w:leftChars="0" w:hanging="425" w:firstLineChars="0"/>
        <w:rPr>
          <w:rFonts w:hAnsi="宋体"/>
          <w:sz w:val="24"/>
          <w:szCs w:val="24"/>
        </w:rPr>
      </w:pPr>
      <w:r>
        <w:rPr>
          <w:rFonts w:hint="eastAsia" w:hAnsi="宋体"/>
          <w:sz w:val="24"/>
          <w:szCs w:val="24"/>
        </w:rPr>
        <w:t>采购单位不得向成交供应商提出任何不合理的要求作为订立合同的条件，采购单位和成交供应商不得私下订立背离合同实质性内容的协议；</w:t>
      </w:r>
    </w:p>
    <w:p w14:paraId="03FD8777">
      <w:pPr>
        <w:pStyle w:val="18"/>
        <w:numPr>
          <w:ilvl w:val="0"/>
          <w:numId w:val="33"/>
        </w:numPr>
        <w:spacing w:line="360" w:lineRule="auto"/>
        <w:ind w:left="845" w:leftChars="0" w:hanging="425" w:firstLineChars="0"/>
        <w:rPr>
          <w:rFonts w:hAnsi="宋体"/>
          <w:sz w:val="24"/>
          <w:szCs w:val="24"/>
        </w:rPr>
      </w:pPr>
      <w:r>
        <w:rPr>
          <w:rFonts w:hint="eastAsia" w:hAnsi="宋体"/>
          <w:sz w:val="24"/>
          <w:szCs w:val="24"/>
        </w:rPr>
        <w:t>磋商文件、成交磋商供应商的磋商响应文件、《成交通知书》及其澄清、说明文件、承诺等，均为签订采购合同的依据，作为采购合同的组成部分；</w:t>
      </w:r>
    </w:p>
    <w:p w14:paraId="4D82FDFE">
      <w:pPr>
        <w:pStyle w:val="18"/>
        <w:numPr>
          <w:ilvl w:val="0"/>
          <w:numId w:val="33"/>
        </w:numPr>
        <w:spacing w:line="360" w:lineRule="auto"/>
        <w:ind w:left="845" w:leftChars="0" w:hanging="425" w:firstLineChars="0"/>
        <w:rPr>
          <w:rFonts w:hAnsi="宋体"/>
          <w:sz w:val="24"/>
          <w:szCs w:val="24"/>
        </w:rPr>
      </w:pPr>
      <w:r>
        <w:rPr>
          <w:rFonts w:hint="eastAsia" w:hAnsi="宋体"/>
          <w:sz w:val="24"/>
          <w:szCs w:val="24"/>
        </w:rPr>
        <w:t>采购人与成交人应当根据合同的约定依法履行合同义务。政府采购合同的履行、违约责任和解决争议的方法等适用《中华人民共和国民法典》。</w:t>
      </w:r>
    </w:p>
    <w:p w14:paraId="00FF2519">
      <w:pPr>
        <w:pStyle w:val="18"/>
        <w:numPr>
          <w:ilvl w:val="0"/>
          <w:numId w:val="33"/>
        </w:numPr>
        <w:spacing w:line="360" w:lineRule="auto"/>
        <w:ind w:left="845" w:leftChars="0" w:hanging="425" w:firstLineChars="0"/>
        <w:rPr>
          <w:rFonts w:hAnsi="宋体"/>
          <w:sz w:val="24"/>
          <w:szCs w:val="24"/>
        </w:rPr>
      </w:pPr>
      <w:r>
        <w:rPr>
          <w:rFonts w:hint="eastAsia" w:hAnsi="宋体"/>
          <w:sz w:val="24"/>
          <w:szCs w:val="24"/>
        </w:rPr>
        <w:t>采购人应当及时对采购项目进行验收。采购人可以邀请参加本项目的其他磋商人或者第三方机构参与验收。参与验收的磋商人或者第三方机构的意见作为验收书的参考资料一并存档。</w:t>
      </w:r>
    </w:p>
    <w:p w14:paraId="2777F218">
      <w:pPr>
        <w:pStyle w:val="18"/>
        <w:numPr>
          <w:ilvl w:val="0"/>
          <w:numId w:val="33"/>
        </w:numPr>
        <w:spacing w:line="360" w:lineRule="auto"/>
        <w:ind w:left="845" w:leftChars="0" w:hanging="425" w:firstLineChars="0"/>
        <w:rPr>
          <w:rFonts w:hAnsi="宋体"/>
          <w:sz w:val="24"/>
          <w:szCs w:val="24"/>
        </w:rPr>
      </w:pPr>
      <w:r>
        <w:rPr>
          <w:rFonts w:hint="eastAsia" w:hAnsi="宋体"/>
          <w:sz w:val="24"/>
          <w:szCs w:val="24"/>
        </w:rPr>
        <w:t>采购人应当加强对成交人的履约管理，并按照采购合同约定，及时向成交人支付采购资金。对于成交人违反采购合同约定的行为，采购人应当及时处理，依法追究其违约责任。</w:t>
      </w:r>
    </w:p>
    <w:p w14:paraId="3F0ECEC2">
      <w:pPr>
        <w:pStyle w:val="18"/>
        <w:numPr>
          <w:ilvl w:val="0"/>
          <w:numId w:val="33"/>
        </w:numPr>
        <w:spacing w:line="360" w:lineRule="auto"/>
        <w:ind w:left="845" w:leftChars="0" w:hanging="425" w:firstLineChars="0"/>
        <w:rPr>
          <w:rFonts w:hAnsi="宋体"/>
          <w:sz w:val="24"/>
          <w:szCs w:val="24"/>
        </w:rPr>
      </w:pPr>
      <w:r>
        <w:rPr>
          <w:rFonts w:hint="eastAsia" w:hAnsi="宋体"/>
          <w:sz w:val="24"/>
          <w:szCs w:val="24"/>
        </w:rPr>
        <w:t>采购人、采购代理机构应当建立真实完整的招标采购档案，妥善保存每项采购活动的磋商文件。</w:t>
      </w:r>
    </w:p>
    <w:p w14:paraId="580758F4">
      <w:pPr>
        <w:pStyle w:val="5"/>
        <w:ind w:left="709"/>
        <w:rPr>
          <w:rFonts w:hAnsi="宋体"/>
          <w:b/>
          <w:sz w:val="24"/>
          <w:szCs w:val="24"/>
        </w:rPr>
      </w:pPr>
      <w:bookmarkStart w:id="79" w:name="_Toc20156"/>
      <w:r>
        <w:rPr>
          <w:rFonts w:hint="eastAsia" w:hAnsi="宋体"/>
          <w:b/>
          <w:sz w:val="24"/>
          <w:szCs w:val="24"/>
        </w:rPr>
        <w:t>废标条款</w:t>
      </w:r>
      <w:bookmarkEnd w:id="79"/>
    </w:p>
    <w:p w14:paraId="26285907">
      <w:pPr>
        <w:pStyle w:val="6"/>
        <w:numPr>
          <w:ilvl w:val="0"/>
          <w:numId w:val="3"/>
        </w:numPr>
        <w:spacing w:before="0" w:after="0" w:line="360" w:lineRule="auto"/>
        <w:rPr>
          <w:rFonts w:ascii="宋体" w:hAnsi="宋体"/>
          <w:b w:val="0"/>
          <w:sz w:val="24"/>
          <w:szCs w:val="24"/>
        </w:rPr>
      </w:pPr>
      <w:bookmarkStart w:id="80" w:name="_Toc28545"/>
      <w:bookmarkStart w:id="81" w:name="_Toc488673642"/>
      <w:r>
        <w:rPr>
          <w:rFonts w:hint="eastAsia" w:ascii="宋体" w:hAnsi="宋体"/>
          <w:b w:val="0"/>
          <w:sz w:val="24"/>
          <w:szCs w:val="24"/>
        </w:rPr>
        <w:t>废标情形</w:t>
      </w:r>
      <w:bookmarkEnd w:id="80"/>
      <w:bookmarkEnd w:id="81"/>
    </w:p>
    <w:p w14:paraId="1E7FB7BB">
      <w:pPr>
        <w:pStyle w:val="18"/>
        <w:numPr>
          <w:ilvl w:val="0"/>
          <w:numId w:val="0"/>
        </w:numPr>
        <w:spacing w:line="360" w:lineRule="auto"/>
        <w:ind w:left="141" w:leftChars="0"/>
        <w:rPr>
          <w:rFonts w:hAnsi="宋体"/>
          <w:sz w:val="24"/>
          <w:szCs w:val="24"/>
        </w:rPr>
      </w:pPr>
      <w:r>
        <w:rPr>
          <w:rFonts w:hint="eastAsia" w:hAnsi="宋体" w:cs="Arial"/>
          <w:sz w:val="24"/>
          <w:szCs w:val="24"/>
          <w:lang w:val="en-US" w:eastAsia="zh-CN"/>
        </w:rPr>
        <w:t>22.1</w:t>
      </w:r>
      <w:r>
        <w:rPr>
          <w:rFonts w:hAnsi="宋体" w:cs="Arial"/>
          <w:sz w:val="24"/>
          <w:szCs w:val="24"/>
        </w:rPr>
        <w:t>在磋商采购中，出现下列情形之一的，应予废标</w:t>
      </w:r>
      <w:r>
        <w:rPr>
          <w:rFonts w:hint="eastAsia" w:hAnsi="宋体" w:cs="Arial"/>
          <w:sz w:val="24"/>
          <w:szCs w:val="24"/>
        </w:rPr>
        <w:t>：</w:t>
      </w:r>
    </w:p>
    <w:p w14:paraId="1E6A3525">
      <w:pPr>
        <w:pStyle w:val="18"/>
        <w:numPr>
          <w:ilvl w:val="0"/>
          <w:numId w:val="34"/>
        </w:numPr>
        <w:spacing w:line="360" w:lineRule="auto"/>
        <w:rPr>
          <w:rFonts w:hAnsi="宋体" w:cs="Arial"/>
          <w:sz w:val="24"/>
          <w:szCs w:val="24"/>
        </w:rPr>
      </w:pPr>
      <w:r>
        <w:rPr>
          <w:rFonts w:hint="eastAsia" w:hAnsi="宋体" w:cs="Arial"/>
          <w:sz w:val="24"/>
          <w:szCs w:val="24"/>
        </w:rPr>
        <w:t>符合磋商条件的磋商供应商或者对磋商文件作出实质性响应的磋商供应商不足三家的；</w:t>
      </w:r>
    </w:p>
    <w:p w14:paraId="3FBD335B">
      <w:pPr>
        <w:pStyle w:val="18"/>
        <w:numPr>
          <w:ilvl w:val="0"/>
          <w:numId w:val="34"/>
        </w:numPr>
        <w:spacing w:line="360" w:lineRule="auto"/>
        <w:rPr>
          <w:rFonts w:hAnsi="宋体" w:cs="Arial"/>
          <w:sz w:val="24"/>
          <w:szCs w:val="24"/>
        </w:rPr>
      </w:pPr>
      <w:r>
        <w:rPr>
          <w:rFonts w:hint="eastAsia" w:hAnsi="宋体" w:cs="Arial"/>
          <w:sz w:val="24"/>
          <w:szCs w:val="24"/>
        </w:rPr>
        <w:t>出现影响采购活动正常推进的违法、违规行为的；</w:t>
      </w:r>
    </w:p>
    <w:p w14:paraId="3610DB88">
      <w:pPr>
        <w:pStyle w:val="18"/>
        <w:numPr>
          <w:ilvl w:val="0"/>
          <w:numId w:val="34"/>
        </w:numPr>
        <w:spacing w:line="360" w:lineRule="auto"/>
        <w:rPr>
          <w:rFonts w:hAnsi="宋体" w:cs="Arial"/>
          <w:sz w:val="24"/>
          <w:szCs w:val="24"/>
        </w:rPr>
      </w:pPr>
      <w:r>
        <w:rPr>
          <w:rFonts w:hint="eastAsia" w:hAnsi="宋体" w:cs="Arial"/>
          <w:sz w:val="24"/>
          <w:szCs w:val="24"/>
        </w:rPr>
        <w:t>磋商供应商的报价均超出采购预算额度，采购单位不能支付的；</w:t>
      </w:r>
    </w:p>
    <w:p w14:paraId="2BA1C85B">
      <w:pPr>
        <w:pStyle w:val="18"/>
        <w:numPr>
          <w:ilvl w:val="0"/>
          <w:numId w:val="34"/>
        </w:numPr>
        <w:spacing w:line="360" w:lineRule="auto"/>
        <w:rPr>
          <w:rFonts w:hAnsi="宋体" w:cs="Arial"/>
          <w:sz w:val="24"/>
          <w:szCs w:val="24"/>
        </w:rPr>
      </w:pPr>
      <w:r>
        <w:rPr>
          <w:rFonts w:hint="eastAsia" w:hAnsi="宋体" w:cs="Arial"/>
          <w:sz w:val="24"/>
          <w:szCs w:val="24"/>
        </w:rPr>
        <w:t>因重大变故，采购任务取消的。</w:t>
      </w:r>
    </w:p>
    <w:p w14:paraId="45C1352C">
      <w:pPr>
        <w:pStyle w:val="18"/>
        <w:numPr>
          <w:ilvl w:val="0"/>
          <w:numId w:val="0"/>
        </w:numPr>
        <w:spacing w:line="360" w:lineRule="auto"/>
        <w:ind w:left="141" w:leftChars="0"/>
        <w:rPr>
          <w:rFonts w:hAnsi="宋体"/>
          <w:sz w:val="24"/>
          <w:szCs w:val="24"/>
        </w:rPr>
      </w:pPr>
      <w:r>
        <w:rPr>
          <w:rFonts w:hint="eastAsia" w:hAnsi="宋体"/>
          <w:sz w:val="24"/>
          <w:szCs w:val="24"/>
          <w:lang w:val="en-US" w:eastAsia="zh-CN"/>
        </w:rPr>
        <w:t>22.2</w:t>
      </w:r>
      <w:r>
        <w:rPr>
          <w:rFonts w:hint="eastAsia" w:hAnsi="宋体"/>
          <w:sz w:val="24"/>
          <w:szCs w:val="24"/>
        </w:rPr>
        <w:t>废标后，由采购代理机构发布废标公告。</w:t>
      </w:r>
    </w:p>
    <w:p w14:paraId="2188F1FC">
      <w:pPr>
        <w:pStyle w:val="5"/>
        <w:ind w:left="709"/>
        <w:rPr>
          <w:rFonts w:hAnsi="宋体"/>
          <w:b/>
          <w:sz w:val="24"/>
          <w:szCs w:val="24"/>
        </w:rPr>
      </w:pPr>
      <w:bookmarkStart w:id="82" w:name="_Toc19411"/>
      <w:r>
        <w:rPr>
          <w:rFonts w:hint="eastAsia" w:hAnsi="宋体"/>
          <w:b/>
          <w:sz w:val="24"/>
          <w:szCs w:val="24"/>
        </w:rPr>
        <w:t>其他</w:t>
      </w:r>
      <w:bookmarkEnd w:id="82"/>
    </w:p>
    <w:p w14:paraId="1F0D41F3">
      <w:pPr>
        <w:pStyle w:val="6"/>
        <w:numPr>
          <w:ilvl w:val="0"/>
          <w:numId w:val="3"/>
        </w:numPr>
        <w:spacing w:before="0" w:after="0" w:line="360" w:lineRule="auto"/>
        <w:rPr>
          <w:rFonts w:ascii="宋体" w:hAnsi="宋体"/>
          <w:b w:val="0"/>
          <w:sz w:val="24"/>
          <w:szCs w:val="24"/>
        </w:rPr>
      </w:pPr>
      <w:bookmarkStart w:id="83" w:name="_Toc27497"/>
      <w:bookmarkStart w:id="84" w:name="_Toc488673644"/>
      <w:r>
        <w:rPr>
          <w:rFonts w:hint="eastAsia" w:ascii="宋体" w:hAnsi="宋体"/>
          <w:b w:val="0"/>
          <w:sz w:val="24"/>
          <w:szCs w:val="24"/>
        </w:rPr>
        <w:t>串标情形</w:t>
      </w:r>
      <w:bookmarkEnd w:id="83"/>
      <w:bookmarkEnd w:id="84"/>
    </w:p>
    <w:p w14:paraId="7D895AA9">
      <w:pPr>
        <w:pStyle w:val="18"/>
        <w:numPr>
          <w:ilvl w:val="0"/>
          <w:numId w:val="35"/>
        </w:numPr>
        <w:spacing w:line="360" w:lineRule="auto"/>
        <w:rPr>
          <w:rFonts w:hAnsi="宋体"/>
          <w:sz w:val="24"/>
          <w:szCs w:val="24"/>
        </w:rPr>
      </w:pPr>
      <w:r>
        <w:rPr>
          <w:rFonts w:hint="eastAsia" w:hAnsi="宋体"/>
          <w:sz w:val="24"/>
          <w:szCs w:val="24"/>
        </w:rPr>
        <w:t>磋商人应当遵循公平竞争的原则，不得恶意串通，不得妨碍其他磋商人的竞争行为，不得损害采购人或者其他磋商人的合法权益</w:t>
      </w:r>
      <w:r>
        <w:rPr>
          <w:rFonts w:hint="eastAsia" w:hAnsi="宋体" w:cs="宋体"/>
          <w:sz w:val="24"/>
          <w:szCs w:val="24"/>
        </w:rPr>
        <w:t>。</w:t>
      </w:r>
    </w:p>
    <w:p w14:paraId="09F9A4B1">
      <w:pPr>
        <w:pStyle w:val="18"/>
        <w:spacing w:line="360" w:lineRule="auto"/>
        <w:ind w:left="1042" w:leftChars="496"/>
        <w:rPr>
          <w:rFonts w:hAnsi="宋体" w:cs="宋体"/>
          <w:sz w:val="24"/>
          <w:szCs w:val="24"/>
        </w:rPr>
      </w:pPr>
      <w:r>
        <w:rPr>
          <w:rFonts w:hint="eastAsia" w:hAnsi="宋体"/>
          <w:sz w:val="24"/>
          <w:szCs w:val="24"/>
        </w:rPr>
        <w:t>在评标过程中发现磋商人有上述情形的，评标委员会应当认定其投标无效，并书面报告本级财政部门</w:t>
      </w:r>
      <w:r>
        <w:rPr>
          <w:rFonts w:hint="eastAsia" w:hAnsi="宋体" w:cs="宋体"/>
          <w:sz w:val="24"/>
          <w:szCs w:val="24"/>
        </w:rPr>
        <w:t>。</w:t>
      </w:r>
    </w:p>
    <w:p w14:paraId="1D6E2AAA">
      <w:pPr>
        <w:pStyle w:val="18"/>
        <w:numPr>
          <w:ilvl w:val="0"/>
          <w:numId w:val="35"/>
        </w:numPr>
        <w:spacing w:line="360" w:lineRule="auto"/>
        <w:rPr>
          <w:rFonts w:hAnsi="宋体"/>
          <w:sz w:val="24"/>
          <w:szCs w:val="24"/>
        </w:rPr>
      </w:pPr>
      <w:r>
        <w:rPr>
          <w:rFonts w:hint="eastAsia" w:hAnsi="宋体"/>
          <w:sz w:val="24"/>
          <w:szCs w:val="24"/>
        </w:rPr>
        <w:t>有下列情形之一的，视为磋商人串通投标，其投标无效：</w:t>
      </w:r>
    </w:p>
    <w:p w14:paraId="7BE66E1E">
      <w:pPr>
        <w:pStyle w:val="18"/>
        <w:numPr>
          <w:ilvl w:val="0"/>
          <w:numId w:val="36"/>
        </w:numPr>
        <w:spacing w:line="360" w:lineRule="auto"/>
        <w:rPr>
          <w:rFonts w:hAnsi="宋体"/>
          <w:sz w:val="24"/>
          <w:szCs w:val="24"/>
        </w:rPr>
      </w:pPr>
      <w:r>
        <w:rPr>
          <w:rFonts w:hint="eastAsia" w:hAnsi="宋体" w:cs="宋体"/>
          <w:sz w:val="24"/>
          <w:szCs w:val="24"/>
        </w:rPr>
        <w:t>不同磋商人的磋商响应文件由同一单位或者个人编制；</w:t>
      </w:r>
    </w:p>
    <w:p w14:paraId="0E7AABA0">
      <w:pPr>
        <w:pStyle w:val="18"/>
        <w:numPr>
          <w:ilvl w:val="0"/>
          <w:numId w:val="36"/>
        </w:numPr>
        <w:spacing w:line="360" w:lineRule="auto"/>
        <w:rPr>
          <w:rFonts w:hAnsi="宋体"/>
          <w:sz w:val="24"/>
          <w:szCs w:val="24"/>
        </w:rPr>
      </w:pPr>
      <w:r>
        <w:rPr>
          <w:rFonts w:hint="eastAsia" w:hAnsi="宋体" w:cs="宋体"/>
          <w:sz w:val="24"/>
          <w:szCs w:val="24"/>
        </w:rPr>
        <w:t>不同磋商人委托同一单位或者个人办理投标事宜；</w:t>
      </w:r>
    </w:p>
    <w:p w14:paraId="2DFD0379">
      <w:pPr>
        <w:pStyle w:val="18"/>
        <w:numPr>
          <w:ilvl w:val="0"/>
          <w:numId w:val="36"/>
        </w:numPr>
        <w:spacing w:line="360" w:lineRule="auto"/>
        <w:rPr>
          <w:rFonts w:hAnsi="宋体"/>
          <w:sz w:val="24"/>
          <w:szCs w:val="24"/>
        </w:rPr>
      </w:pPr>
      <w:r>
        <w:rPr>
          <w:rFonts w:hint="eastAsia" w:hAnsi="宋体" w:cs="宋体"/>
          <w:sz w:val="24"/>
          <w:szCs w:val="24"/>
        </w:rPr>
        <w:t>不同磋商人的磋商响应文件载明的项目管理成员或者联系人员为同一人；</w:t>
      </w:r>
    </w:p>
    <w:p w14:paraId="6910D0AA">
      <w:pPr>
        <w:pStyle w:val="18"/>
        <w:numPr>
          <w:ilvl w:val="0"/>
          <w:numId w:val="36"/>
        </w:numPr>
        <w:spacing w:line="360" w:lineRule="auto"/>
        <w:rPr>
          <w:rFonts w:hAnsi="宋体"/>
          <w:sz w:val="24"/>
          <w:szCs w:val="24"/>
        </w:rPr>
      </w:pPr>
      <w:r>
        <w:rPr>
          <w:rFonts w:hint="eastAsia" w:hAnsi="宋体" w:cs="宋体"/>
          <w:sz w:val="24"/>
          <w:szCs w:val="24"/>
        </w:rPr>
        <w:t>不同磋商人的磋商响应文件异常一致或者投标报价呈规律性差异；</w:t>
      </w:r>
    </w:p>
    <w:p w14:paraId="16D45105">
      <w:pPr>
        <w:pStyle w:val="18"/>
        <w:numPr>
          <w:ilvl w:val="0"/>
          <w:numId w:val="36"/>
        </w:numPr>
        <w:spacing w:line="360" w:lineRule="auto"/>
        <w:rPr>
          <w:rFonts w:hAnsi="宋体"/>
          <w:sz w:val="24"/>
          <w:szCs w:val="24"/>
        </w:rPr>
      </w:pPr>
      <w:r>
        <w:rPr>
          <w:rFonts w:hint="eastAsia" w:hAnsi="宋体" w:cs="宋体"/>
          <w:sz w:val="24"/>
          <w:szCs w:val="24"/>
        </w:rPr>
        <w:t>不同磋商人的磋商响应文件相互混装；</w:t>
      </w:r>
    </w:p>
    <w:p w14:paraId="24D37418">
      <w:pPr>
        <w:pStyle w:val="18"/>
        <w:numPr>
          <w:ilvl w:val="0"/>
          <w:numId w:val="36"/>
        </w:numPr>
        <w:spacing w:line="360" w:lineRule="auto"/>
        <w:rPr>
          <w:rFonts w:hAnsi="宋体"/>
          <w:sz w:val="24"/>
          <w:szCs w:val="24"/>
        </w:rPr>
      </w:pPr>
      <w:r>
        <w:rPr>
          <w:rFonts w:hint="eastAsia" w:hAnsi="宋体" w:cs="宋体"/>
          <w:sz w:val="24"/>
          <w:szCs w:val="24"/>
        </w:rPr>
        <w:t>不同磋商人的投标保证金从同一单位或者个人的账户转出。</w:t>
      </w:r>
    </w:p>
    <w:p w14:paraId="2A580FC5">
      <w:pPr>
        <w:pStyle w:val="18"/>
        <w:numPr>
          <w:ilvl w:val="0"/>
          <w:numId w:val="35"/>
        </w:numPr>
        <w:spacing w:line="360" w:lineRule="auto"/>
        <w:rPr>
          <w:rFonts w:hAnsi="宋体"/>
          <w:sz w:val="24"/>
          <w:szCs w:val="24"/>
        </w:rPr>
      </w:pPr>
      <w:r>
        <w:rPr>
          <w:rFonts w:hint="eastAsia" w:hAnsi="宋体"/>
          <w:sz w:val="24"/>
          <w:szCs w:val="24"/>
        </w:rPr>
        <w:t>其他未尽事宜，按照《中华人民共和国政府采购法》、《中华人民共和国民法典》、《中华人民共和国政府采购法实施条例》、《政府采购竞争性磋商采购方式管理暂行办法》等法律法规的有关条款执行。</w:t>
      </w:r>
    </w:p>
    <w:p w14:paraId="19CE2B49">
      <w:pPr>
        <w:rPr>
          <w:rFonts w:ascii="宋体" w:hAnsi="宋体"/>
          <w:sz w:val="48"/>
          <w:szCs w:val="48"/>
        </w:rPr>
      </w:pPr>
      <w:r>
        <w:rPr>
          <w:rFonts w:hint="eastAsia" w:ascii="宋体" w:hAnsi="宋体"/>
          <w:sz w:val="48"/>
          <w:szCs w:val="48"/>
        </w:rPr>
        <w:br w:type="page"/>
      </w:r>
    </w:p>
    <w:p w14:paraId="632A7150">
      <w:pPr>
        <w:pStyle w:val="24"/>
        <w:spacing w:before="0" w:after="0" w:line="360" w:lineRule="auto"/>
        <w:rPr>
          <w:rFonts w:ascii="宋体" w:hAnsi="宋体"/>
          <w:sz w:val="48"/>
          <w:szCs w:val="48"/>
        </w:rPr>
      </w:pPr>
      <w:bookmarkStart w:id="85" w:name="_Toc23987"/>
      <w:r>
        <w:rPr>
          <w:rFonts w:hint="eastAsia" w:ascii="宋体" w:hAnsi="宋体"/>
          <w:sz w:val="48"/>
          <w:szCs w:val="48"/>
        </w:rPr>
        <w:t>第四部分青海省政府采购合同文本样式</w:t>
      </w:r>
      <w:bookmarkEnd w:id="85"/>
    </w:p>
    <w:p w14:paraId="53239C24">
      <w:pPr>
        <w:pStyle w:val="18"/>
        <w:spacing w:line="360" w:lineRule="auto"/>
        <w:ind w:firstLine="482" w:firstLineChars="200"/>
        <w:rPr>
          <w:rFonts w:hAnsi="宋体"/>
          <w:b/>
          <w:sz w:val="24"/>
          <w:szCs w:val="24"/>
        </w:rPr>
      </w:pPr>
    </w:p>
    <w:p w14:paraId="2832E4D4">
      <w:pPr>
        <w:spacing w:line="360" w:lineRule="auto"/>
        <w:jc w:val="center"/>
        <w:rPr>
          <w:rFonts w:ascii="宋体" w:hAnsi="宋体"/>
          <w:b/>
          <w:spacing w:val="120"/>
          <w:sz w:val="24"/>
        </w:rPr>
      </w:pPr>
    </w:p>
    <w:p w14:paraId="3D7EB58C">
      <w:pPr>
        <w:spacing w:line="360" w:lineRule="auto"/>
        <w:jc w:val="center"/>
        <w:rPr>
          <w:rFonts w:ascii="宋体" w:hAnsi="宋体"/>
          <w:b/>
          <w:spacing w:val="120"/>
          <w:sz w:val="24"/>
        </w:rPr>
      </w:pPr>
    </w:p>
    <w:p w14:paraId="448618A2">
      <w:pPr>
        <w:spacing w:line="360" w:lineRule="auto"/>
        <w:jc w:val="center"/>
        <w:rPr>
          <w:rFonts w:ascii="宋体" w:hAnsi="宋体"/>
          <w:b/>
          <w:spacing w:val="120"/>
          <w:sz w:val="72"/>
          <w:szCs w:val="72"/>
        </w:rPr>
      </w:pPr>
    </w:p>
    <w:p w14:paraId="517F23F1">
      <w:pPr>
        <w:spacing w:line="360" w:lineRule="auto"/>
        <w:jc w:val="center"/>
        <w:rPr>
          <w:rFonts w:ascii="宋体" w:hAnsi="宋体"/>
          <w:b/>
          <w:bCs/>
          <w:sz w:val="72"/>
          <w:szCs w:val="72"/>
          <w:lang w:val="zh-CN"/>
        </w:rPr>
      </w:pPr>
      <w:r>
        <w:rPr>
          <w:rFonts w:hint="eastAsia" w:ascii="宋体" w:hAnsi="宋体"/>
          <w:b/>
          <w:bCs/>
          <w:sz w:val="72"/>
          <w:szCs w:val="72"/>
          <w:lang w:val="zh-CN"/>
        </w:rPr>
        <w:t>青海省政府采购合同书</w:t>
      </w:r>
    </w:p>
    <w:p w14:paraId="795B7F79">
      <w:pPr>
        <w:spacing w:line="360" w:lineRule="auto"/>
        <w:rPr>
          <w:rFonts w:ascii="宋体" w:hAnsi="宋体"/>
          <w:b/>
          <w:sz w:val="24"/>
        </w:rPr>
      </w:pPr>
    </w:p>
    <w:p w14:paraId="100CF5BF">
      <w:pPr>
        <w:spacing w:line="360" w:lineRule="auto"/>
        <w:rPr>
          <w:rFonts w:ascii="宋体" w:hAnsi="宋体"/>
          <w:b/>
          <w:sz w:val="24"/>
        </w:rPr>
      </w:pPr>
    </w:p>
    <w:p w14:paraId="3372E476">
      <w:pPr>
        <w:spacing w:line="360" w:lineRule="auto"/>
        <w:rPr>
          <w:rFonts w:ascii="宋体" w:hAnsi="宋体"/>
          <w:b/>
          <w:sz w:val="24"/>
        </w:rPr>
      </w:pPr>
    </w:p>
    <w:p w14:paraId="41F0414A">
      <w:pPr>
        <w:spacing w:line="360" w:lineRule="auto"/>
        <w:rPr>
          <w:rFonts w:ascii="宋体" w:hAnsi="宋体"/>
          <w:b/>
          <w:sz w:val="24"/>
        </w:rPr>
      </w:pPr>
    </w:p>
    <w:p w14:paraId="497F8102">
      <w:pPr>
        <w:spacing w:line="360" w:lineRule="auto"/>
        <w:rPr>
          <w:rFonts w:ascii="宋体" w:hAnsi="宋体"/>
          <w:b/>
          <w:sz w:val="24"/>
        </w:rPr>
      </w:pPr>
    </w:p>
    <w:p w14:paraId="52E643FA">
      <w:pPr>
        <w:spacing w:line="360" w:lineRule="auto"/>
        <w:rPr>
          <w:rFonts w:ascii="宋体" w:hAnsi="宋体"/>
          <w:b/>
          <w:sz w:val="24"/>
        </w:rPr>
      </w:pPr>
    </w:p>
    <w:p w14:paraId="0212C844">
      <w:pPr>
        <w:spacing w:line="360" w:lineRule="auto"/>
        <w:rPr>
          <w:rFonts w:ascii="宋体" w:hAnsi="宋体"/>
          <w:b/>
          <w:sz w:val="24"/>
        </w:rPr>
      </w:pPr>
    </w:p>
    <w:p w14:paraId="7A6FB78F">
      <w:pPr>
        <w:spacing w:line="360" w:lineRule="auto"/>
        <w:rPr>
          <w:rFonts w:ascii="宋体" w:hAnsi="宋体"/>
          <w:b/>
          <w:sz w:val="24"/>
        </w:rPr>
      </w:pPr>
    </w:p>
    <w:p w14:paraId="2CDC0824">
      <w:pPr>
        <w:spacing w:line="360" w:lineRule="auto"/>
        <w:ind w:left="2316" w:leftChars="357" w:hanging="1566" w:hangingChars="650"/>
        <w:rPr>
          <w:rFonts w:hint="default" w:ascii="宋体" w:hAnsi="宋体" w:eastAsia="宋体"/>
          <w:b/>
          <w:sz w:val="24"/>
          <w:u w:val="single"/>
          <w:lang w:val="en-US" w:eastAsia="zh-CN"/>
        </w:rPr>
      </w:pPr>
      <w:r>
        <w:rPr>
          <w:rFonts w:hint="eastAsia" w:ascii="宋体" w:hAnsi="宋体"/>
          <w:b/>
          <w:sz w:val="24"/>
        </w:rPr>
        <w:t>采购项目名称：</w:t>
      </w:r>
      <w:r>
        <w:rPr>
          <w:rFonts w:hint="eastAsia" w:ascii="宋体" w:hAnsi="宋体"/>
          <w:b/>
          <w:sz w:val="24"/>
          <w:u w:val="single"/>
          <w:lang w:eastAsia="zh-CN"/>
        </w:rPr>
        <w:t>丁香园(清真)后厨设备</w:t>
      </w:r>
      <w:r>
        <w:rPr>
          <w:rFonts w:hint="eastAsia" w:ascii="宋体" w:hAnsi="宋体"/>
          <w:b/>
          <w:sz w:val="24"/>
          <w:u w:val="single"/>
          <w:lang w:val="en-US" w:eastAsia="zh-CN"/>
        </w:rPr>
        <w:t xml:space="preserve">   </w:t>
      </w:r>
    </w:p>
    <w:p w14:paraId="55AE025D">
      <w:pPr>
        <w:spacing w:line="360" w:lineRule="auto"/>
        <w:ind w:firstLine="723" w:firstLineChars="300"/>
        <w:rPr>
          <w:rFonts w:hint="default" w:ascii="宋体" w:hAnsi="宋体" w:eastAsia="宋体"/>
          <w:b/>
          <w:sz w:val="24"/>
          <w:u w:val="single"/>
          <w:lang w:val="en-US" w:eastAsia="zh-CN"/>
        </w:rPr>
      </w:pPr>
      <w:r>
        <w:rPr>
          <w:rFonts w:ascii="宋体" w:hAnsi="宋体"/>
          <w:b/>
          <w:sz w:val="24"/>
        </w:rPr>
        <w:t>采购项目编号</w:t>
      </w:r>
      <w:r>
        <w:rPr>
          <w:rFonts w:hint="eastAsia" w:ascii="宋体" w:hAnsi="宋体"/>
          <w:b/>
          <w:sz w:val="24"/>
        </w:rPr>
        <w:t>：</w:t>
      </w:r>
      <w:r>
        <w:rPr>
          <w:rFonts w:hint="eastAsia" w:ascii="宋体" w:hAnsi="宋体"/>
          <w:b/>
          <w:sz w:val="24"/>
          <w:u w:val="single"/>
          <w:lang w:eastAsia="zh-CN"/>
        </w:rPr>
        <w:t>青海国焱竞磋（货物）2024-234号</w:t>
      </w:r>
      <w:r>
        <w:rPr>
          <w:rFonts w:hint="eastAsia" w:ascii="宋体" w:hAnsi="宋体"/>
          <w:b/>
          <w:sz w:val="24"/>
          <w:u w:val="single"/>
          <w:lang w:val="en-US" w:eastAsia="zh-CN"/>
        </w:rPr>
        <w:t xml:space="preserve">                 </w:t>
      </w:r>
    </w:p>
    <w:p w14:paraId="021AABE2">
      <w:pPr>
        <w:spacing w:line="360" w:lineRule="auto"/>
        <w:ind w:firstLine="723" w:firstLineChars="300"/>
        <w:rPr>
          <w:rFonts w:ascii="宋体" w:hAnsi="宋体"/>
          <w:b/>
          <w:sz w:val="24"/>
          <w:u w:val="single"/>
        </w:rPr>
      </w:pPr>
      <w:r>
        <w:rPr>
          <w:rFonts w:ascii="宋体" w:hAnsi="宋体"/>
          <w:b/>
          <w:sz w:val="24"/>
        </w:rPr>
        <w:t>采购合同编号</w:t>
      </w:r>
      <w:r>
        <w:rPr>
          <w:rFonts w:hint="eastAsia" w:ascii="宋体" w:hAnsi="宋体"/>
          <w:b/>
          <w:sz w:val="24"/>
        </w:rPr>
        <w:t>：</w:t>
      </w:r>
      <w:r>
        <w:rPr>
          <w:rFonts w:hint="eastAsia" w:ascii="宋体" w:hAnsi="宋体"/>
          <w:b/>
          <w:sz w:val="24"/>
          <w:u w:val="single"/>
        </w:rPr>
        <w:t>QHGY-202</w:t>
      </w:r>
      <w:r>
        <w:rPr>
          <w:rFonts w:hint="eastAsia" w:ascii="宋体" w:hAnsi="宋体"/>
          <w:b/>
          <w:sz w:val="24"/>
          <w:u w:val="single"/>
          <w:lang w:val="en-US" w:eastAsia="zh-CN"/>
        </w:rPr>
        <w:t>4-234</w:t>
      </w:r>
      <w:r>
        <w:rPr>
          <w:rFonts w:hint="eastAsia" w:ascii="宋体" w:hAnsi="宋体"/>
          <w:b/>
          <w:sz w:val="24"/>
          <w:u w:val="single"/>
        </w:rPr>
        <w:t xml:space="preserve">                                  </w:t>
      </w:r>
    </w:p>
    <w:p w14:paraId="4AFBFD9E">
      <w:pPr>
        <w:spacing w:line="360" w:lineRule="auto"/>
        <w:ind w:firstLine="723" w:firstLineChars="300"/>
        <w:rPr>
          <w:rFonts w:ascii="宋体" w:hAnsi="宋体"/>
          <w:b/>
          <w:sz w:val="24"/>
          <w:u w:val="single"/>
        </w:rPr>
      </w:pPr>
      <w:r>
        <w:rPr>
          <w:rFonts w:ascii="宋体" w:hAnsi="宋体"/>
          <w:b/>
          <w:sz w:val="24"/>
        </w:rPr>
        <w:t>合同金额</w:t>
      </w:r>
      <w:r>
        <w:rPr>
          <w:rFonts w:hint="eastAsia" w:ascii="宋体" w:hAnsi="宋体"/>
          <w:b/>
          <w:sz w:val="24"/>
        </w:rPr>
        <w:t>（</w:t>
      </w:r>
      <w:r>
        <w:rPr>
          <w:rFonts w:ascii="宋体" w:hAnsi="宋体"/>
          <w:b/>
          <w:sz w:val="24"/>
        </w:rPr>
        <w:t>人民币</w:t>
      </w:r>
      <w:r>
        <w:rPr>
          <w:rFonts w:hint="eastAsia" w:ascii="宋体" w:hAnsi="宋体"/>
          <w:b/>
          <w:sz w:val="24"/>
        </w:rPr>
        <w:t>）：</w:t>
      </w:r>
    </w:p>
    <w:p w14:paraId="6E8F92E8">
      <w:pPr>
        <w:spacing w:line="360" w:lineRule="auto"/>
        <w:ind w:firstLine="723" w:firstLineChars="300"/>
        <w:rPr>
          <w:rFonts w:ascii="宋体" w:hAnsi="宋体"/>
          <w:b/>
          <w:sz w:val="24"/>
          <w:u w:val="single"/>
        </w:rPr>
      </w:pPr>
      <w:r>
        <w:rPr>
          <w:rFonts w:hint="eastAsia" w:ascii="宋体" w:hAnsi="宋体"/>
          <w:b/>
          <w:sz w:val="24"/>
        </w:rPr>
        <w:t>采购单位（</w:t>
      </w:r>
      <w:r>
        <w:rPr>
          <w:rFonts w:ascii="宋体" w:hAnsi="宋体"/>
          <w:b/>
          <w:sz w:val="24"/>
        </w:rPr>
        <w:t>甲方</w:t>
      </w:r>
      <w:r>
        <w:rPr>
          <w:rFonts w:hint="eastAsia" w:ascii="宋体" w:hAnsi="宋体"/>
          <w:b/>
          <w:sz w:val="24"/>
        </w:rPr>
        <w:t>）：</w:t>
      </w:r>
      <w:r>
        <w:rPr>
          <w:rFonts w:hint="eastAsia" w:ascii="宋体" w:hAnsi="宋体"/>
          <w:b/>
          <w:sz w:val="24"/>
          <w:u w:val="single"/>
          <w:lang w:eastAsia="zh-CN"/>
        </w:rPr>
        <w:t>青海大学科技教育集团有限公司后勤服务分公司</w:t>
      </w:r>
      <w:r>
        <w:rPr>
          <w:rFonts w:hint="eastAsia" w:ascii="宋体" w:hAnsi="宋体"/>
          <w:b/>
          <w:sz w:val="24"/>
          <w:u w:val="single"/>
        </w:rPr>
        <w:t xml:space="preserve">      （盖章）</w:t>
      </w:r>
    </w:p>
    <w:p w14:paraId="7FEC3CC3">
      <w:pPr>
        <w:spacing w:line="360" w:lineRule="auto"/>
        <w:ind w:firstLine="723" w:firstLineChars="300"/>
        <w:rPr>
          <w:rFonts w:ascii="宋体" w:hAnsi="宋体"/>
          <w:b/>
          <w:sz w:val="24"/>
          <w:u w:val="single"/>
        </w:rPr>
      </w:pPr>
      <w:r>
        <w:rPr>
          <w:rFonts w:ascii="宋体" w:hAnsi="宋体"/>
          <w:b/>
          <w:sz w:val="24"/>
        </w:rPr>
        <w:t>成交供应商</w:t>
      </w:r>
      <w:r>
        <w:rPr>
          <w:rFonts w:hint="eastAsia" w:ascii="宋体" w:hAnsi="宋体"/>
          <w:b/>
          <w:sz w:val="24"/>
        </w:rPr>
        <w:t>（</w:t>
      </w:r>
      <w:r>
        <w:rPr>
          <w:rFonts w:ascii="宋体" w:hAnsi="宋体"/>
          <w:b/>
          <w:sz w:val="24"/>
        </w:rPr>
        <w:t>乙方</w:t>
      </w:r>
      <w:r>
        <w:rPr>
          <w:rFonts w:hint="eastAsia" w:ascii="宋体" w:hAnsi="宋体"/>
          <w:b/>
          <w:sz w:val="24"/>
        </w:rPr>
        <w:t>）：</w:t>
      </w:r>
      <w:r>
        <w:rPr>
          <w:rFonts w:hint="eastAsia" w:ascii="宋体" w:hAnsi="宋体"/>
          <w:b/>
          <w:sz w:val="24"/>
          <w:u w:val="single"/>
        </w:rPr>
        <w:t xml:space="preserve">                                   （盖章）</w:t>
      </w:r>
    </w:p>
    <w:p w14:paraId="47231768">
      <w:pPr>
        <w:spacing w:line="360" w:lineRule="auto"/>
        <w:ind w:firstLine="723" w:firstLineChars="300"/>
        <w:rPr>
          <w:rFonts w:ascii="宋体" w:hAnsi="宋体"/>
          <w:sz w:val="24"/>
          <w:u w:val="single"/>
        </w:rPr>
      </w:pPr>
      <w:r>
        <w:rPr>
          <w:rFonts w:ascii="宋体" w:hAnsi="宋体"/>
          <w:b/>
          <w:sz w:val="24"/>
        </w:rPr>
        <w:t>采购日期</w:t>
      </w:r>
      <w:r>
        <w:rPr>
          <w:rFonts w:hint="eastAsia" w:ascii="宋体" w:hAnsi="宋体"/>
          <w:b/>
          <w:sz w:val="24"/>
        </w:rPr>
        <w:t xml:space="preserve">： </w:t>
      </w:r>
    </w:p>
    <w:p w14:paraId="49F1E56D">
      <w:pPr>
        <w:spacing w:line="360" w:lineRule="auto"/>
        <w:rPr>
          <w:rFonts w:ascii="宋体" w:hAnsi="宋体" w:cs="宋体"/>
          <w:b/>
          <w:sz w:val="24"/>
        </w:rPr>
      </w:pPr>
      <w:r>
        <w:rPr>
          <w:rFonts w:ascii="宋体" w:hAnsi="宋体"/>
          <w:sz w:val="24"/>
          <w:u w:val="single"/>
        </w:rPr>
        <w:br w:type="page"/>
      </w:r>
      <w:r>
        <w:rPr>
          <w:rFonts w:hint="eastAsia" w:ascii="宋体" w:hAnsi="宋体" w:cs="宋体"/>
          <w:b/>
          <w:sz w:val="24"/>
        </w:rPr>
        <w:t>采购单位（以下简称甲方）：</w:t>
      </w:r>
    </w:p>
    <w:p w14:paraId="731224DE">
      <w:pPr>
        <w:spacing w:line="360" w:lineRule="auto"/>
        <w:rPr>
          <w:rFonts w:ascii="宋体" w:hAnsi="宋体" w:cs="宋体"/>
          <w:b/>
          <w:sz w:val="24"/>
        </w:rPr>
      </w:pPr>
      <w:r>
        <w:rPr>
          <w:rFonts w:hint="eastAsia" w:ascii="宋体" w:hAnsi="宋体" w:cs="宋体"/>
          <w:b/>
          <w:sz w:val="24"/>
        </w:rPr>
        <w:t>成交</w:t>
      </w:r>
      <w:r>
        <w:rPr>
          <w:rFonts w:ascii="宋体" w:hAnsi="宋体" w:cs="宋体"/>
          <w:b/>
          <w:sz w:val="24"/>
        </w:rPr>
        <w:t>供应商</w:t>
      </w:r>
      <w:r>
        <w:rPr>
          <w:rFonts w:hint="eastAsia" w:ascii="宋体" w:hAnsi="宋体" w:cs="宋体"/>
          <w:b/>
          <w:sz w:val="24"/>
        </w:rPr>
        <w:t>（</w:t>
      </w:r>
      <w:r>
        <w:rPr>
          <w:rFonts w:ascii="宋体" w:hAnsi="宋体" w:cs="宋体"/>
          <w:b/>
          <w:sz w:val="24"/>
        </w:rPr>
        <w:t>以下简称乙方</w:t>
      </w:r>
      <w:r>
        <w:rPr>
          <w:rFonts w:hint="eastAsia" w:ascii="宋体" w:hAnsi="宋体" w:cs="宋体"/>
          <w:b/>
          <w:sz w:val="24"/>
        </w:rPr>
        <w:t>）：</w:t>
      </w:r>
    </w:p>
    <w:p w14:paraId="12870015">
      <w:pPr>
        <w:spacing w:line="360" w:lineRule="auto"/>
        <w:ind w:firstLine="480" w:firstLineChars="200"/>
        <w:rPr>
          <w:rFonts w:ascii="宋体" w:hAnsi="宋体" w:cs="宋体"/>
          <w:sz w:val="24"/>
        </w:rPr>
      </w:pPr>
      <w:r>
        <w:rPr>
          <w:rFonts w:hint="eastAsia" w:ascii="宋体" w:hAnsi="宋体" w:cs="宋体"/>
          <w:sz w:val="24"/>
        </w:rPr>
        <w:t>甲、乙双方根据    年 月 日</w:t>
      </w:r>
      <w:r>
        <w:rPr>
          <w:rFonts w:hint="eastAsia" w:ascii="宋体" w:hAnsi="宋体" w:cs="宋体"/>
          <w:sz w:val="24"/>
          <w:lang w:eastAsia="zh-CN"/>
        </w:rPr>
        <w:t>丁香园(清真)后厨设备</w:t>
      </w:r>
      <w:r>
        <w:rPr>
          <w:rFonts w:hint="eastAsia" w:ascii="宋体" w:hAnsi="宋体" w:cs="宋体"/>
          <w:sz w:val="24"/>
        </w:rPr>
        <w:t>（</w:t>
      </w:r>
      <w:r>
        <w:rPr>
          <w:rFonts w:hint="eastAsia" w:ascii="宋体" w:hAnsi="宋体" w:cs="宋体"/>
          <w:sz w:val="24"/>
          <w:lang w:eastAsia="zh-CN"/>
        </w:rPr>
        <w:t>青海国焱竞磋（货物）2024-234号</w:t>
      </w:r>
      <w:r>
        <w:rPr>
          <w:rFonts w:hint="eastAsia" w:ascii="宋体" w:hAnsi="宋体" w:cs="宋体"/>
          <w:sz w:val="24"/>
        </w:rPr>
        <w:t>）的磋商文件要求和采购代理机构出具的《成交通知书》，并经双方协商一致，签订本合同协议书。</w:t>
      </w:r>
    </w:p>
    <w:p w14:paraId="3C650EC9">
      <w:pPr>
        <w:spacing w:line="360" w:lineRule="auto"/>
        <w:rPr>
          <w:rFonts w:ascii="宋体" w:hAnsi="宋体" w:cs="宋体"/>
          <w:b/>
          <w:sz w:val="24"/>
        </w:rPr>
      </w:pPr>
      <w:r>
        <w:rPr>
          <w:rFonts w:ascii="宋体" w:hAnsi="宋体" w:cs="宋体"/>
          <w:b/>
          <w:sz w:val="24"/>
        </w:rPr>
        <w:t>一</w:t>
      </w:r>
      <w:r>
        <w:rPr>
          <w:rFonts w:hint="eastAsia" w:ascii="宋体" w:hAnsi="宋体" w:cs="宋体"/>
          <w:b/>
          <w:sz w:val="24"/>
        </w:rPr>
        <w:t>、签订本政府采购合同的依据</w:t>
      </w:r>
    </w:p>
    <w:p w14:paraId="02413556">
      <w:pPr>
        <w:spacing w:line="360" w:lineRule="auto"/>
        <w:ind w:firstLine="480" w:firstLineChars="200"/>
        <w:rPr>
          <w:rFonts w:ascii="宋体" w:hAnsi="宋体" w:cs="宋体"/>
          <w:sz w:val="24"/>
        </w:rPr>
      </w:pPr>
      <w:r>
        <w:rPr>
          <w:rFonts w:hint="eastAsia" w:ascii="宋体" w:hAnsi="宋体" w:cs="宋体"/>
          <w:sz w:val="24"/>
        </w:rPr>
        <w:t>本政府采购合同所附下列文件是构成本政府采购合同不可分割的部分：</w:t>
      </w:r>
    </w:p>
    <w:p w14:paraId="3B1FDD32">
      <w:pPr>
        <w:spacing w:line="360" w:lineRule="auto"/>
        <w:rPr>
          <w:rFonts w:ascii="宋体" w:hAnsi="宋体" w:cs="宋体"/>
          <w:sz w:val="24"/>
        </w:rPr>
      </w:pPr>
      <w:r>
        <w:rPr>
          <w:rFonts w:hint="eastAsia" w:ascii="宋体" w:hAnsi="宋体" w:cs="宋体"/>
          <w:sz w:val="24"/>
        </w:rPr>
        <w:t>1．磋商文件；</w:t>
      </w:r>
    </w:p>
    <w:p w14:paraId="16EB4D0F">
      <w:pPr>
        <w:spacing w:line="360" w:lineRule="auto"/>
        <w:rPr>
          <w:rFonts w:ascii="宋体" w:hAnsi="宋体" w:cs="宋体"/>
          <w:sz w:val="24"/>
        </w:rPr>
      </w:pPr>
      <w:r>
        <w:rPr>
          <w:rFonts w:hint="eastAsia" w:ascii="宋体" w:hAnsi="宋体" w:cs="宋体"/>
          <w:sz w:val="24"/>
        </w:rPr>
        <w:t>2．磋商文件的更正、变更公告；</w:t>
      </w:r>
    </w:p>
    <w:p w14:paraId="3FC45CB7">
      <w:pPr>
        <w:spacing w:line="360" w:lineRule="auto"/>
        <w:rPr>
          <w:rFonts w:ascii="宋体" w:hAnsi="宋体" w:cs="宋体"/>
          <w:sz w:val="24"/>
        </w:rPr>
      </w:pPr>
      <w:r>
        <w:rPr>
          <w:rFonts w:hint="eastAsia" w:ascii="宋体" w:hAnsi="宋体" w:cs="宋体"/>
          <w:sz w:val="24"/>
        </w:rPr>
        <w:t>3．成交磋商供应商提交的磋商响应文件；</w:t>
      </w:r>
    </w:p>
    <w:p w14:paraId="54507368">
      <w:pPr>
        <w:spacing w:line="360" w:lineRule="auto"/>
        <w:rPr>
          <w:rFonts w:ascii="宋体" w:hAnsi="宋体" w:cs="宋体"/>
          <w:sz w:val="24"/>
        </w:rPr>
      </w:pPr>
      <w:r>
        <w:rPr>
          <w:rFonts w:hint="eastAsia" w:ascii="宋体" w:hAnsi="宋体" w:cs="宋体"/>
          <w:sz w:val="24"/>
        </w:rPr>
        <w:t>4．磋商文件中规定的政府采购合同通用条款；</w:t>
      </w:r>
    </w:p>
    <w:p w14:paraId="5B6BE6FF">
      <w:pPr>
        <w:spacing w:line="360" w:lineRule="auto"/>
        <w:rPr>
          <w:rFonts w:ascii="宋体" w:hAnsi="宋体" w:cs="宋体"/>
          <w:sz w:val="24"/>
        </w:rPr>
      </w:pPr>
      <w:r>
        <w:rPr>
          <w:rFonts w:hint="eastAsia" w:ascii="宋体" w:hAnsi="宋体" w:cs="宋体"/>
          <w:sz w:val="24"/>
        </w:rPr>
        <w:t>5．成交通知书。</w:t>
      </w:r>
    </w:p>
    <w:p w14:paraId="2539E5B6">
      <w:pPr>
        <w:spacing w:line="360" w:lineRule="auto"/>
        <w:rPr>
          <w:rFonts w:ascii="宋体" w:hAnsi="宋体"/>
          <w:b/>
          <w:sz w:val="24"/>
        </w:rPr>
      </w:pPr>
      <w:r>
        <w:rPr>
          <w:rFonts w:hint="eastAsia" w:ascii="宋体" w:hAnsi="宋体"/>
          <w:b/>
          <w:sz w:val="24"/>
        </w:rPr>
        <w:t xml:space="preserve">二、合同标的及金额                                          </w:t>
      </w:r>
      <w:r>
        <w:rPr>
          <w:rFonts w:hint="eastAsia" w:ascii="宋体" w:hAnsi="宋体"/>
          <w:sz w:val="24"/>
        </w:rPr>
        <w:t>单位：    元</w:t>
      </w:r>
    </w:p>
    <w:tbl>
      <w:tblPr>
        <w:tblStyle w:val="33"/>
        <w:tblW w:w="9644" w:type="dxa"/>
        <w:tblInd w:w="103" w:type="dxa"/>
        <w:tblLayout w:type="fixed"/>
        <w:tblCellMar>
          <w:top w:w="0" w:type="dxa"/>
          <w:left w:w="108" w:type="dxa"/>
          <w:bottom w:w="0" w:type="dxa"/>
          <w:right w:w="108" w:type="dxa"/>
        </w:tblCellMar>
      </w:tblPr>
      <w:tblGrid>
        <w:gridCol w:w="1265"/>
        <w:gridCol w:w="1260"/>
        <w:gridCol w:w="1308"/>
        <w:gridCol w:w="708"/>
        <w:gridCol w:w="1560"/>
        <w:gridCol w:w="1417"/>
        <w:gridCol w:w="2126"/>
      </w:tblGrid>
      <w:tr w14:paraId="61E3F4EB">
        <w:tblPrEx>
          <w:tblCellMar>
            <w:top w:w="0" w:type="dxa"/>
            <w:left w:w="108" w:type="dxa"/>
            <w:bottom w:w="0" w:type="dxa"/>
            <w:right w:w="108" w:type="dxa"/>
          </w:tblCellMar>
        </w:tblPrEx>
        <w:trPr>
          <w:trHeight w:val="757" w:hRule="atLeast"/>
        </w:trPr>
        <w:tc>
          <w:tcPr>
            <w:tcW w:w="1265" w:type="dxa"/>
            <w:tcBorders>
              <w:top w:val="single" w:color="auto" w:sz="4" w:space="0"/>
              <w:left w:val="single" w:color="auto" w:sz="4" w:space="0"/>
              <w:bottom w:val="single" w:color="auto" w:sz="4" w:space="0"/>
              <w:right w:val="single" w:color="auto" w:sz="4" w:space="0"/>
            </w:tcBorders>
            <w:shd w:val="clear" w:color="auto" w:fill="FFFFFF"/>
            <w:vAlign w:val="center"/>
          </w:tcPr>
          <w:p w14:paraId="19BF9544">
            <w:pPr>
              <w:spacing w:line="360" w:lineRule="auto"/>
              <w:jc w:val="center"/>
              <w:rPr>
                <w:rFonts w:ascii="宋体" w:hAnsi="宋体"/>
                <w:sz w:val="24"/>
              </w:rPr>
            </w:pPr>
            <w:r>
              <w:rPr>
                <w:rFonts w:hint="eastAsia" w:ascii="宋体" w:hAnsi="宋体"/>
                <w:sz w:val="24"/>
              </w:rPr>
              <w:t>序号</w:t>
            </w:r>
          </w:p>
        </w:tc>
        <w:tc>
          <w:tcPr>
            <w:tcW w:w="1260" w:type="dxa"/>
            <w:tcBorders>
              <w:top w:val="single" w:color="auto" w:sz="4" w:space="0"/>
              <w:left w:val="nil"/>
              <w:bottom w:val="single" w:color="auto" w:sz="4" w:space="0"/>
              <w:right w:val="single" w:color="auto" w:sz="4" w:space="0"/>
            </w:tcBorders>
            <w:shd w:val="clear" w:color="auto" w:fill="FFFFFF"/>
            <w:vAlign w:val="center"/>
          </w:tcPr>
          <w:p w14:paraId="60B5C148">
            <w:pPr>
              <w:spacing w:line="360" w:lineRule="auto"/>
              <w:jc w:val="center"/>
              <w:rPr>
                <w:rFonts w:ascii="宋体" w:hAnsi="宋体"/>
                <w:sz w:val="24"/>
              </w:rPr>
            </w:pPr>
            <w:r>
              <w:rPr>
                <w:rFonts w:hint="eastAsia" w:ascii="宋体" w:hAnsi="宋体"/>
                <w:sz w:val="24"/>
              </w:rPr>
              <w:t>标的名称</w:t>
            </w:r>
          </w:p>
        </w:tc>
        <w:tc>
          <w:tcPr>
            <w:tcW w:w="1308" w:type="dxa"/>
            <w:tcBorders>
              <w:top w:val="single" w:color="auto" w:sz="4" w:space="0"/>
              <w:left w:val="nil"/>
              <w:bottom w:val="single" w:color="auto" w:sz="4" w:space="0"/>
              <w:right w:val="single" w:color="auto" w:sz="4" w:space="0"/>
            </w:tcBorders>
            <w:shd w:val="clear" w:color="auto" w:fill="FFFFFF"/>
            <w:vAlign w:val="center"/>
          </w:tcPr>
          <w:p w14:paraId="73BE8789">
            <w:pPr>
              <w:spacing w:line="360" w:lineRule="auto"/>
              <w:jc w:val="center"/>
              <w:rPr>
                <w:rFonts w:ascii="宋体" w:hAnsi="宋体"/>
                <w:sz w:val="24"/>
              </w:rPr>
            </w:pPr>
            <w:r>
              <w:rPr>
                <w:rFonts w:hint="eastAsia" w:ascii="宋体" w:hAnsi="宋体"/>
                <w:sz w:val="24"/>
              </w:rPr>
              <w:t>型号规格</w:t>
            </w:r>
          </w:p>
        </w:tc>
        <w:tc>
          <w:tcPr>
            <w:tcW w:w="708" w:type="dxa"/>
            <w:tcBorders>
              <w:top w:val="single" w:color="auto" w:sz="4" w:space="0"/>
              <w:left w:val="nil"/>
              <w:bottom w:val="single" w:color="auto" w:sz="4" w:space="0"/>
              <w:right w:val="single" w:color="auto" w:sz="4" w:space="0"/>
            </w:tcBorders>
            <w:shd w:val="clear" w:color="auto" w:fill="FFFFFF"/>
            <w:vAlign w:val="center"/>
          </w:tcPr>
          <w:p w14:paraId="14A210CF">
            <w:pPr>
              <w:spacing w:line="360" w:lineRule="auto"/>
              <w:jc w:val="center"/>
              <w:rPr>
                <w:rFonts w:ascii="宋体" w:hAnsi="宋体"/>
                <w:sz w:val="24"/>
              </w:rPr>
            </w:pPr>
            <w:r>
              <w:rPr>
                <w:rFonts w:hint="eastAsia" w:ascii="宋体" w:hAnsi="宋体"/>
                <w:sz w:val="24"/>
              </w:rPr>
              <w:t>数量</w:t>
            </w:r>
          </w:p>
        </w:tc>
        <w:tc>
          <w:tcPr>
            <w:tcW w:w="1560" w:type="dxa"/>
            <w:tcBorders>
              <w:top w:val="single" w:color="auto" w:sz="4" w:space="0"/>
              <w:left w:val="nil"/>
              <w:bottom w:val="single" w:color="auto" w:sz="4" w:space="0"/>
              <w:right w:val="single" w:color="auto" w:sz="4" w:space="0"/>
            </w:tcBorders>
            <w:shd w:val="clear" w:color="auto" w:fill="FFFFFF"/>
            <w:vAlign w:val="center"/>
          </w:tcPr>
          <w:p w14:paraId="323D4611">
            <w:pPr>
              <w:spacing w:line="360" w:lineRule="auto"/>
              <w:jc w:val="center"/>
              <w:rPr>
                <w:rFonts w:ascii="宋体" w:hAnsi="宋体"/>
                <w:sz w:val="24"/>
              </w:rPr>
            </w:pPr>
            <w:r>
              <w:rPr>
                <w:rFonts w:hint="eastAsia" w:ascii="宋体" w:hAnsi="宋体"/>
                <w:sz w:val="24"/>
              </w:rPr>
              <w:t>单价</w:t>
            </w:r>
          </w:p>
        </w:tc>
        <w:tc>
          <w:tcPr>
            <w:tcW w:w="1417" w:type="dxa"/>
            <w:tcBorders>
              <w:top w:val="single" w:color="auto" w:sz="4" w:space="0"/>
              <w:left w:val="nil"/>
              <w:bottom w:val="single" w:color="auto" w:sz="4" w:space="0"/>
              <w:right w:val="single" w:color="auto" w:sz="4" w:space="0"/>
            </w:tcBorders>
            <w:shd w:val="clear" w:color="auto" w:fill="FFFFFF"/>
            <w:vAlign w:val="center"/>
          </w:tcPr>
          <w:p w14:paraId="747F99B8">
            <w:pPr>
              <w:spacing w:line="360" w:lineRule="auto"/>
              <w:jc w:val="center"/>
              <w:rPr>
                <w:rFonts w:ascii="宋体" w:hAnsi="宋体"/>
                <w:sz w:val="24"/>
              </w:rPr>
            </w:pPr>
            <w:r>
              <w:rPr>
                <w:rFonts w:hint="eastAsia" w:ascii="宋体" w:hAnsi="宋体"/>
                <w:sz w:val="24"/>
              </w:rPr>
              <w:t>总价</w:t>
            </w:r>
          </w:p>
        </w:tc>
        <w:tc>
          <w:tcPr>
            <w:tcW w:w="2126" w:type="dxa"/>
            <w:tcBorders>
              <w:top w:val="single" w:color="auto" w:sz="4" w:space="0"/>
              <w:left w:val="nil"/>
              <w:bottom w:val="single" w:color="auto" w:sz="4" w:space="0"/>
              <w:right w:val="single" w:color="auto" w:sz="4" w:space="0"/>
            </w:tcBorders>
            <w:shd w:val="clear" w:color="auto" w:fill="FFFFFF"/>
            <w:vAlign w:val="center"/>
          </w:tcPr>
          <w:p w14:paraId="6572E652">
            <w:pPr>
              <w:spacing w:line="360" w:lineRule="auto"/>
              <w:jc w:val="center"/>
              <w:rPr>
                <w:rFonts w:ascii="宋体" w:hAnsi="宋体"/>
                <w:sz w:val="24"/>
              </w:rPr>
            </w:pPr>
            <w:r>
              <w:rPr>
                <w:rFonts w:hint="eastAsia" w:ascii="宋体" w:hAnsi="宋体"/>
                <w:sz w:val="24"/>
              </w:rPr>
              <w:t>备注</w:t>
            </w:r>
          </w:p>
        </w:tc>
      </w:tr>
      <w:tr w14:paraId="40E8DAE9">
        <w:tblPrEx>
          <w:tblCellMar>
            <w:top w:w="0" w:type="dxa"/>
            <w:left w:w="108" w:type="dxa"/>
            <w:bottom w:w="0" w:type="dxa"/>
            <w:right w:w="108" w:type="dxa"/>
          </w:tblCellMar>
        </w:tblPrEx>
        <w:trPr>
          <w:trHeight w:val="564" w:hRule="atLeast"/>
        </w:trPr>
        <w:tc>
          <w:tcPr>
            <w:tcW w:w="1265" w:type="dxa"/>
            <w:tcBorders>
              <w:top w:val="nil"/>
              <w:left w:val="single" w:color="auto" w:sz="4" w:space="0"/>
              <w:bottom w:val="single" w:color="auto" w:sz="4" w:space="0"/>
              <w:right w:val="single" w:color="auto" w:sz="4" w:space="0"/>
            </w:tcBorders>
            <w:shd w:val="clear" w:color="auto" w:fill="FFFFFF"/>
            <w:vAlign w:val="center"/>
          </w:tcPr>
          <w:p w14:paraId="27B9C79C">
            <w:pPr>
              <w:spacing w:line="360" w:lineRule="auto"/>
              <w:jc w:val="center"/>
              <w:rPr>
                <w:rFonts w:ascii="宋体" w:hAnsi="宋体"/>
                <w:sz w:val="24"/>
              </w:rPr>
            </w:pPr>
            <w:r>
              <w:rPr>
                <w:rFonts w:hint="eastAsia" w:ascii="宋体" w:hAnsi="宋体"/>
                <w:sz w:val="24"/>
              </w:rPr>
              <w:t>1</w:t>
            </w:r>
          </w:p>
        </w:tc>
        <w:tc>
          <w:tcPr>
            <w:tcW w:w="1260" w:type="dxa"/>
            <w:tcBorders>
              <w:top w:val="nil"/>
              <w:left w:val="nil"/>
              <w:bottom w:val="single" w:color="auto" w:sz="4" w:space="0"/>
              <w:right w:val="single" w:color="auto" w:sz="4" w:space="0"/>
            </w:tcBorders>
            <w:shd w:val="clear" w:color="auto" w:fill="FFFFFF"/>
            <w:vAlign w:val="center"/>
          </w:tcPr>
          <w:p w14:paraId="0843EF4F">
            <w:pPr>
              <w:spacing w:line="360" w:lineRule="auto"/>
              <w:jc w:val="center"/>
              <w:rPr>
                <w:rFonts w:ascii="宋体" w:hAnsi="宋体"/>
                <w:sz w:val="24"/>
              </w:rPr>
            </w:pPr>
          </w:p>
        </w:tc>
        <w:tc>
          <w:tcPr>
            <w:tcW w:w="1308" w:type="dxa"/>
            <w:tcBorders>
              <w:top w:val="nil"/>
              <w:left w:val="nil"/>
              <w:bottom w:val="single" w:color="auto" w:sz="4" w:space="0"/>
              <w:right w:val="single" w:color="auto" w:sz="4" w:space="0"/>
            </w:tcBorders>
            <w:shd w:val="clear" w:color="auto" w:fill="FFFFFF"/>
            <w:vAlign w:val="center"/>
          </w:tcPr>
          <w:p w14:paraId="6A8DFA00">
            <w:pPr>
              <w:spacing w:line="360" w:lineRule="auto"/>
              <w:jc w:val="center"/>
              <w:rPr>
                <w:rFonts w:ascii="宋体" w:hAnsi="宋体"/>
                <w:sz w:val="24"/>
              </w:rPr>
            </w:pPr>
          </w:p>
        </w:tc>
        <w:tc>
          <w:tcPr>
            <w:tcW w:w="708" w:type="dxa"/>
            <w:tcBorders>
              <w:top w:val="nil"/>
              <w:left w:val="nil"/>
              <w:bottom w:val="single" w:color="auto" w:sz="4" w:space="0"/>
              <w:right w:val="single" w:color="auto" w:sz="4" w:space="0"/>
            </w:tcBorders>
            <w:shd w:val="clear" w:color="auto" w:fill="FFFFFF"/>
            <w:vAlign w:val="center"/>
          </w:tcPr>
          <w:p w14:paraId="595E433E">
            <w:pPr>
              <w:spacing w:line="360" w:lineRule="auto"/>
              <w:jc w:val="center"/>
              <w:rPr>
                <w:rFonts w:ascii="宋体" w:hAnsi="宋体"/>
                <w:sz w:val="24"/>
              </w:rPr>
            </w:pPr>
          </w:p>
        </w:tc>
        <w:tc>
          <w:tcPr>
            <w:tcW w:w="1560" w:type="dxa"/>
            <w:tcBorders>
              <w:top w:val="nil"/>
              <w:left w:val="nil"/>
              <w:bottom w:val="single" w:color="auto" w:sz="4" w:space="0"/>
              <w:right w:val="single" w:color="auto" w:sz="4" w:space="0"/>
            </w:tcBorders>
            <w:shd w:val="clear" w:color="auto" w:fill="FFFFFF"/>
            <w:vAlign w:val="center"/>
          </w:tcPr>
          <w:p w14:paraId="4396D4A6">
            <w:pPr>
              <w:spacing w:line="360" w:lineRule="auto"/>
              <w:jc w:val="center"/>
              <w:rPr>
                <w:rFonts w:ascii="宋体" w:hAnsi="宋体"/>
                <w:sz w:val="24"/>
              </w:rPr>
            </w:pPr>
          </w:p>
        </w:tc>
        <w:tc>
          <w:tcPr>
            <w:tcW w:w="1417" w:type="dxa"/>
            <w:tcBorders>
              <w:top w:val="nil"/>
              <w:left w:val="nil"/>
              <w:bottom w:val="single" w:color="auto" w:sz="4" w:space="0"/>
              <w:right w:val="nil"/>
            </w:tcBorders>
            <w:shd w:val="clear" w:color="auto" w:fill="FFFFFF"/>
            <w:vAlign w:val="center"/>
          </w:tcPr>
          <w:p w14:paraId="106D63D6">
            <w:pPr>
              <w:spacing w:line="360" w:lineRule="auto"/>
              <w:jc w:val="center"/>
              <w:rPr>
                <w:rFonts w:ascii="宋体" w:hAnsi="宋体"/>
                <w:sz w:val="24"/>
              </w:rPr>
            </w:pPr>
          </w:p>
        </w:tc>
        <w:tc>
          <w:tcPr>
            <w:tcW w:w="2126" w:type="dxa"/>
            <w:tcBorders>
              <w:top w:val="nil"/>
              <w:left w:val="single" w:color="auto" w:sz="4" w:space="0"/>
              <w:bottom w:val="single" w:color="auto" w:sz="4" w:space="0"/>
              <w:right w:val="single" w:color="auto" w:sz="4" w:space="0"/>
            </w:tcBorders>
            <w:shd w:val="clear" w:color="auto" w:fill="FFFFFF"/>
            <w:vAlign w:val="center"/>
          </w:tcPr>
          <w:p w14:paraId="4545B6BA">
            <w:pPr>
              <w:spacing w:line="360" w:lineRule="auto"/>
              <w:jc w:val="center"/>
              <w:rPr>
                <w:rFonts w:ascii="宋体" w:hAnsi="宋体"/>
                <w:sz w:val="24"/>
              </w:rPr>
            </w:pPr>
          </w:p>
        </w:tc>
      </w:tr>
      <w:tr w14:paraId="1F56FBA7">
        <w:tblPrEx>
          <w:tblCellMar>
            <w:top w:w="0" w:type="dxa"/>
            <w:left w:w="108" w:type="dxa"/>
            <w:bottom w:w="0" w:type="dxa"/>
            <w:right w:w="108" w:type="dxa"/>
          </w:tblCellMar>
        </w:tblPrEx>
        <w:trPr>
          <w:trHeight w:val="702" w:hRule="atLeast"/>
        </w:trPr>
        <w:tc>
          <w:tcPr>
            <w:tcW w:w="1265" w:type="dxa"/>
            <w:tcBorders>
              <w:top w:val="nil"/>
              <w:left w:val="single" w:color="auto" w:sz="4" w:space="0"/>
              <w:bottom w:val="single" w:color="auto" w:sz="4" w:space="0"/>
              <w:right w:val="single" w:color="auto" w:sz="4" w:space="0"/>
            </w:tcBorders>
            <w:shd w:val="clear" w:color="auto" w:fill="FFFFFF"/>
            <w:vAlign w:val="center"/>
          </w:tcPr>
          <w:p w14:paraId="35963212">
            <w:pPr>
              <w:spacing w:line="360" w:lineRule="auto"/>
              <w:jc w:val="center"/>
              <w:rPr>
                <w:rFonts w:ascii="宋体" w:hAnsi="宋体"/>
                <w:sz w:val="24"/>
              </w:rPr>
            </w:pPr>
            <w:r>
              <w:rPr>
                <w:rFonts w:hint="eastAsia" w:ascii="宋体" w:hAnsi="宋体"/>
                <w:sz w:val="24"/>
              </w:rPr>
              <w:t>2</w:t>
            </w:r>
          </w:p>
        </w:tc>
        <w:tc>
          <w:tcPr>
            <w:tcW w:w="1260" w:type="dxa"/>
            <w:tcBorders>
              <w:top w:val="nil"/>
              <w:left w:val="nil"/>
              <w:bottom w:val="single" w:color="auto" w:sz="4" w:space="0"/>
              <w:right w:val="single" w:color="auto" w:sz="4" w:space="0"/>
            </w:tcBorders>
            <w:shd w:val="clear" w:color="auto" w:fill="FFFFFF"/>
            <w:vAlign w:val="center"/>
          </w:tcPr>
          <w:p w14:paraId="34151F8E">
            <w:pPr>
              <w:spacing w:line="360" w:lineRule="auto"/>
              <w:jc w:val="center"/>
              <w:rPr>
                <w:rFonts w:ascii="宋体" w:hAnsi="宋体"/>
                <w:sz w:val="24"/>
              </w:rPr>
            </w:pPr>
          </w:p>
        </w:tc>
        <w:tc>
          <w:tcPr>
            <w:tcW w:w="1308" w:type="dxa"/>
            <w:tcBorders>
              <w:top w:val="nil"/>
              <w:left w:val="nil"/>
              <w:bottom w:val="single" w:color="auto" w:sz="4" w:space="0"/>
              <w:right w:val="single" w:color="auto" w:sz="4" w:space="0"/>
            </w:tcBorders>
            <w:shd w:val="clear" w:color="auto" w:fill="FFFFFF"/>
            <w:vAlign w:val="center"/>
          </w:tcPr>
          <w:p w14:paraId="65F086A2">
            <w:pPr>
              <w:spacing w:line="360" w:lineRule="auto"/>
              <w:jc w:val="center"/>
              <w:rPr>
                <w:rFonts w:ascii="宋体" w:hAnsi="宋体"/>
                <w:sz w:val="24"/>
              </w:rPr>
            </w:pPr>
          </w:p>
        </w:tc>
        <w:tc>
          <w:tcPr>
            <w:tcW w:w="708" w:type="dxa"/>
            <w:tcBorders>
              <w:top w:val="single" w:color="auto" w:sz="4" w:space="0"/>
              <w:left w:val="nil"/>
              <w:bottom w:val="single" w:color="auto" w:sz="4" w:space="0"/>
              <w:right w:val="single" w:color="auto" w:sz="4" w:space="0"/>
            </w:tcBorders>
            <w:shd w:val="clear" w:color="auto" w:fill="FFFFFF"/>
            <w:vAlign w:val="center"/>
          </w:tcPr>
          <w:p w14:paraId="5382E80F">
            <w:pPr>
              <w:spacing w:line="360" w:lineRule="auto"/>
              <w:jc w:val="center"/>
              <w:rPr>
                <w:rFonts w:ascii="宋体" w:hAnsi="宋体"/>
                <w:sz w:val="24"/>
              </w:rPr>
            </w:pPr>
          </w:p>
        </w:tc>
        <w:tc>
          <w:tcPr>
            <w:tcW w:w="1560" w:type="dxa"/>
            <w:tcBorders>
              <w:top w:val="nil"/>
              <w:left w:val="nil"/>
              <w:bottom w:val="single" w:color="auto" w:sz="4" w:space="0"/>
              <w:right w:val="single" w:color="auto" w:sz="4" w:space="0"/>
            </w:tcBorders>
            <w:shd w:val="clear" w:color="auto" w:fill="FFFFFF"/>
            <w:vAlign w:val="center"/>
          </w:tcPr>
          <w:p w14:paraId="5072DE52">
            <w:pPr>
              <w:spacing w:line="360" w:lineRule="auto"/>
              <w:jc w:val="center"/>
              <w:rPr>
                <w:rFonts w:ascii="宋体" w:hAnsi="宋体"/>
                <w:sz w:val="24"/>
              </w:rPr>
            </w:pPr>
          </w:p>
        </w:tc>
        <w:tc>
          <w:tcPr>
            <w:tcW w:w="1417" w:type="dxa"/>
            <w:tcBorders>
              <w:top w:val="nil"/>
              <w:left w:val="nil"/>
              <w:bottom w:val="single" w:color="auto" w:sz="4" w:space="0"/>
              <w:right w:val="nil"/>
            </w:tcBorders>
            <w:shd w:val="clear" w:color="auto" w:fill="FFFFFF"/>
            <w:vAlign w:val="center"/>
          </w:tcPr>
          <w:p w14:paraId="5CE5384B">
            <w:pPr>
              <w:spacing w:line="360" w:lineRule="auto"/>
              <w:jc w:val="center"/>
              <w:rPr>
                <w:rFonts w:ascii="宋体" w:hAnsi="宋体"/>
                <w:sz w:val="24"/>
              </w:rPr>
            </w:pPr>
          </w:p>
        </w:tc>
        <w:tc>
          <w:tcPr>
            <w:tcW w:w="2126" w:type="dxa"/>
            <w:tcBorders>
              <w:top w:val="nil"/>
              <w:left w:val="single" w:color="auto" w:sz="4" w:space="0"/>
              <w:bottom w:val="single" w:color="auto" w:sz="4" w:space="0"/>
              <w:right w:val="single" w:color="auto" w:sz="4" w:space="0"/>
            </w:tcBorders>
            <w:shd w:val="clear" w:color="auto" w:fill="FFFFFF"/>
            <w:vAlign w:val="center"/>
          </w:tcPr>
          <w:p w14:paraId="3DDCB16B">
            <w:pPr>
              <w:spacing w:line="360" w:lineRule="auto"/>
              <w:jc w:val="center"/>
              <w:rPr>
                <w:rFonts w:ascii="宋体" w:hAnsi="宋体"/>
                <w:sz w:val="24"/>
              </w:rPr>
            </w:pPr>
          </w:p>
        </w:tc>
      </w:tr>
      <w:tr w14:paraId="17DA75D2">
        <w:tblPrEx>
          <w:tblCellMar>
            <w:top w:w="0" w:type="dxa"/>
            <w:left w:w="108" w:type="dxa"/>
            <w:bottom w:w="0" w:type="dxa"/>
            <w:right w:w="108" w:type="dxa"/>
          </w:tblCellMar>
        </w:tblPrEx>
        <w:trPr>
          <w:trHeight w:val="702" w:hRule="atLeast"/>
        </w:trPr>
        <w:tc>
          <w:tcPr>
            <w:tcW w:w="1265" w:type="dxa"/>
            <w:tcBorders>
              <w:top w:val="single" w:color="auto" w:sz="4" w:space="0"/>
              <w:left w:val="single" w:color="auto" w:sz="4" w:space="0"/>
              <w:bottom w:val="single" w:color="auto" w:sz="4" w:space="0"/>
              <w:right w:val="single" w:color="auto" w:sz="4" w:space="0"/>
            </w:tcBorders>
            <w:shd w:val="clear" w:color="auto" w:fill="FFFFFF"/>
            <w:vAlign w:val="center"/>
          </w:tcPr>
          <w:p w14:paraId="43DA43FC">
            <w:pPr>
              <w:spacing w:line="360" w:lineRule="auto"/>
              <w:jc w:val="center"/>
              <w:rPr>
                <w:rFonts w:ascii="宋体" w:hAnsi="宋体"/>
                <w:sz w:val="24"/>
              </w:rPr>
            </w:pPr>
            <w:r>
              <w:rPr>
                <w:rFonts w:hint="eastAsia" w:ascii="宋体" w:hAnsi="宋体"/>
                <w:sz w:val="24"/>
              </w:rPr>
              <w:t>…</w:t>
            </w:r>
          </w:p>
        </w:tc>
        <w:tc>
          <w:tcPr>
            <w:tcW w:w="1260" w:type="dxa"/>
            <w:tcBorders>
              <w:top w:val="single" w:color="auto" w:sz="4" w:space="0"/>
              <w:left w:val="nil"/>
              <w:bottom w:val="single" w:color="auto" w:sz="4" w:space="0"/>
              <w:right w:val="single" w:color="auto" w:sz="4" w:space="0"/>
            </w:tcBorders>
            <w:shd w:val="clear" w:color="auto" w:fill="FFFFFF"/>
            <w:vAlign w:val="center"/>
          </w:tcPr>
          <w:p w14:paraId="6DA28BCA">
            <w:pPr>
              <w:spacing w:line="360" w:lineRule="auto"/>
              <w:jc w:val="center"/>
              <w:rPr>
                <w:rFonts w:ascii="宋体" w:hAnsi="宋体"/>
                <w:sz w:val="24"/>
              </w:rPr>
            </w:pPr>
          </w:p>
        </w:tc>
        <w:tc>
          <w:tcPr>
            <w:tcW w:w="1308" w:type="dxa"/>
            <w:tcBorders>
              <w:top w:val="single" w:color="auto" w:sz="4" w:space="0"/>
              <w:left w:val="nil"/>
              <w:bottom w:val="single" w:color="auto" w:sz="4" w:space="0"/>
              <w:right w:val="single" w:color="auto" w:sz="4" w:space="0"/>
            </w:tcBorders>
            <w:shd w:val="clear" w:color="auto" w:fill="FFFFFF"/>
            <w:vAlign w:val="center"/>
          </w:tcPr>
          <w:p w14:paraId="6535B109">
            <w:pPr>
              <w:spacing w:line="360" w:lineRule="auto"/>
              <w:jc w:val="center"/>
              <w:rPr>
                <w:rFonts w:ascii="宋体" w:hAnsi="宋体"/>
                <w:sz w:val="24"/>
              </w:rPr>
            </w:pPr>
          </w:p>
        </w:tc>
        <w:tc>
          <w:tcPr>
            <w:tcW w:w="708" w:type="dxa"/>
            <w:tcBorders>
              <w:top w:val="single" w:color="auto" w:sz="4" w:space="0"/>
              <w:left w:val="nil"/>
              <w:bottom w:val="single" w:color="auto" w:sz="4" w:space="0"/>
              <w:right w:val="single" w:color="auto" w:sz="4" w:space="0"/>
            </w:tcBorders>
            <w:shd w:val="clear" w:color="auto" w:fill="FFFFFF"/>
            <w:vAlign w:val="center"/>
          </w:tcPr>
          <w:p w14:paraId="095CEA5A">
            <w:pPr>
              <w:spacing w:line="360" w:lineRule="auto"/>
              <w:jc w:val="center"/>
              <w:rPr>
                <w:rFonts w:ascii="宋体" w:hAnsi="宋体"/>
                <w:sz w:val="24"/>
              </w:rPr>
            </w:pPr>
          </w:p>
        </w:tc>
        <w:tc>
          <w:tcPr>
            <w:tcW w:w="1560" w:type="dxa"/>
            <w:tcBorders>
              <w:top w:val="single" w:color="auto" w:sz="4" w:space="0"/>
              <w:left w:val="nil"/>
              <w:bottom w:val="single" w:color="auto" w:sz="4" w:space="0"/>
              <w:right w:val="single" w:color="auto" w:sz="4" w:space="0"/>
            </w:tcBorders>
            <w:shd w:val="clear" w:color="auto" w:fill="FFFFFF"/>
            <w:vAlign w:val="center"/>
          </w:tcPr>
          <w:p w14:paraId="1375D75B">
            <w:pPr>
              <w:spacing w:line="360" w:lineRule="auto"/>
              <w:jc w:val="center"/>
              <w:rPr>
                <w:rFonts w:ascii="宋体" w:hAnsi="宋体"/>
                <w:sz w:val="24"/>
              </w:rPr>
            </w:pPr>
          </w:p>
        </w:tc>
        <w:tc>
          <w:tcPr>
            <w:tcW w:w="1417" w:type="dxa"/>
            <w:tcBorders>
              <w:top w:val="single" w:color="auto" w:sz="4" w:space="0"/>
              <w:left w:val="nil"/>
              <w:bottom w:val="single" w:color="auto" w:sz="4" w:space="0"/>
              <w:right w:val="nil"/>
            </w:tcBorders>
            <w:shd w:val="clear" w:color="auto" w:fill="FFFFFF"/>
            <w:vAlign w:val="center"/>
          </w:tcPr>
          <w:p w14:paraId="5D184F5E">
            <w:pPr>
              <w:spacing w:line="360" w:lineRule="auto"/>
              <w:jc w:val="center"/>
              <w:rPr>
                <w:rFonts w:ascii="宋体" w:hAnsi="宋体"/>
                <w:sz w:val="24"/>
              </w:rPr>
            </w:pPr>
          </w:p>
        </w:tc>
        <w:tc>
          <w:tcPr>
            <w:tcW w:w="2126" w:type="dxa"/>
            <w:tcBorders>
              <w:top w:val="single" w:color="auto" w:sz="4" w:space="0"/>
              <w:left w:val="single" w:color="auto" w:sz="4" w:space="0"/>
              <w:bottom w:val="single" w:color="auto" w:sz="4" w:space="0"/>
              <w:right w:val="single" w:color="auto" w:sz="4" w:space="0"/>
            </w:tcBorders>
            <w:shd w:val="clear" w:color="auto" w:fill="FFFFFF"/>
            <w:vAlign w:val="center"/>
          </w:tcPr>
          <w:p w14:paraId="4E77D4FC">
            <w:pPr>
              <w:spacing w:line="360" w:lineRule="auto"/>
              <w:jc w:val="center"/>
              <w:rPr>
                <w:rFonts w:ascii="宋体" w:hAnsi="宋体"/>
                <w:sz w:val="24"/>
              </w:rPr>
            </w:pPr>
          </w:p>
        </w:tc>
      </w:tr>
    </w:tbl>
    <w:p w14:paraId="140BCF0D">
      <w:pPr>
        <w:spacing w:line="360" w:lineRule="auto"/>
        <w:ind w:firstLine="480" w:firstLineChars="200"/>
        <w:rPr>
          <w:rFonts w:ascii="宋体" w:hAnsi="宋体"/>
          <w:sz w:val="24"/>
        </w:rPr>
      </w:pPr>
      <w:r>
        <w:rPr>
          <w:rFonts w:hint="eastAsia" w:ascii="宋体" w:hAnsi="宋体"/>
          <w:sz w:val="24"/>
        </w:rPr>
        <w:t>根据上述政府采购合同文件要求，本政府采购合同的总金额为人民币（大写）元。</w:t>
      </w:r>
    </w:p>
    <w:p w14:paraId="476EAC46">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sz w:val="24"/>
        </w:rPr>
        <w:t>本合同以人民币进行结算，合同总价包括：</w:t>
      </w:r>
      <w:bookmarkStart w:id="86" w:name="_Hlk96518561"/>
      <w:r>
        <w:rPr>
          <w:rFonts w:hint="eastAsia" w:ascii="宋体" w:hAnsi="宋体"/>
          <w:sz w:val="24"/>
        </w:rPr>
        <w:t>产品费</w:t>
      </w:r>
      <w:r>
        <w:rPr>
          <w:rFonts w:hint="eastAsia" w:hAnsi="宋体"/>
          <w:sz w:val="24"/>
        </w:rPr>
        <w:t>、</w:t>
      </w:r>
      <w:r>
        <w:rPr>
          <w:rFonts w:hint="eastAsia" w:ascii="宋体" w:hAnsi="宋体"/>
          <w:sz w:val="24"/>
        </w:rPr>
        <w:t>检验费、手续费、保险费、售后服务费、税金、招标代理费以及其他不可预见费等全部费用。</w:t>
      </w:r>
      <w:bookmarkEnd w:id="86"/>
      <w:r>
        <w:rPr>
          <w:rFonts w:hint="eastAsia" w:ascii="宋体" w:hAnsi="宋体"/>
          <w:sz w:val="24"/>
        </w:rPr>
        <w:t>（说明：具体</w:t>
      </w:r>
      <w:r>
        <w:rPr>
          <w:rFonts w:hint="eastAsia" w:ascii="宋体" w:hAnsi="宋体"/>
          <w:color w:val="000000" w:themeColor="text1"/>
          <w:sz w:val="24"/>
          <w14:textFill>
            <w14:solidFill>
              <w14:schemeClr w14:val="tx1"/>
            </w14:solidFill>
          </w14:textFill>
        </w:rPr>
        <w:t>内容应根据项目特点实事求是的填写）。</w:t>
      </w:r>
    </w:p>
    <w:p w14:paraId="38E0FCE2">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三、交付时间、地点和要求</w:t>
      </w:r>
    </w:p>
    <w:p w14:paraId="2A9945CC">
      <w:pPr>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1.交货</w:t>
      </w:r>
      <w:r>
        <w:rPr>
          <w:rFonts w:hint="eastAsia" w:ascii="宋体" w:hAnsi="宋体"/>
          <w:color w:val="000000" w:themeColor="text1"/>
          <w:sz w:val="24"/>
          <w:lang w:val="en-US" w:eastAsia="zh-CN"/>
          <w14:textFill>
            <w14:solidFill>
              <w14:schemeClr w14:val="tx1"/>
            </w14:solidFill>
          </w14:textFill>
        </w:rPr>
        <w:t>及安装</w:t>
      </w:r>
      <w:r>
        <w:rPr>
          <w:rFonts w:hint="eastAsia" w:ascii="宋体" w:hAnsi="宋体"/>
          <w:color w:val="000000" w:themeColor="text1"/>
          <w:sz w:val="24"/>
          <w14:textFill>
            <w14:solidFill>
              <w14:schemeClr w14:val="tx1"/>
            </w14:solidFill>
          </w14:textFill>
        </w:rPr>
        <w:t>期：</w:t>
      </w:r>
      <w:r>
        <w:rPr>
          <w:rFonts w:hint="eastAsia" w:ascii="宋体" w:hAnsi="宋体" w:eastAsia="宋体" w:cs="宋体"/>
          <w:color w:val="000000" w:themeColor="text1"/>
          <w:sz w:val="24"/>
          <w:lang w:val="en-US" w:eastAsia="zh-CN"/>
          <w14:textFill>
            <w14:solidFill>
              <w14:schemeClr w14:val="tx1"/>
            </w14:solidFill>
          </w14:textFill>
        </w:rPr>
        <w:t>自合同签订之日起</w:t>
      </w:r>
      <w:r>
        <w:rPr>
          <w:rFonts w:hint="eastAsia" w:cs="宋体"/>
          <w:color w:val="000000" w:themeColor="text1"/>
          <w:kern w:val="0"/>
          <w:sz w:val="24"/>
          <w:lang w:val="en-US" w:eastAsia="zh-CN"/>
          <w14:textFill>
            <w14:solidFill>
              <w14:schemeClr w14:val="tx1"/>
            </w14:solidFill>
          </w14:textFill>
        </w:rPr>
        <w:t>10</w:t>
      </w:r>
      <w:r>
        <w:rPr>
          <w:rFonts w:hint="eastAsia" w:ascii="宋体" w:hAnsi="宋体" w:eastAsia="宋体" w:cs="宋体"/>
          <w:color w:val="000000" w:themeColor="text1"/>
          <w:kern w:val="0"/>
          <w:sz w:val="24"/>
          <w:lang w:val="en-US" w:eastAsia="zh-CN"/>
          <w14:textFill>
            <w14:solidFill>
              <w14:schemeClr w14:val="tx1"/>
            </w14:solidFill>
          </w14:textFill>
        </w:rPr>
        <w:t>个日历日</w:t>
      </w:r>
      <w:r>
        <w:rPr>
          <w:rFonts w:hint="eastAsia" w:ascii="宋体" w:hAnsi="宋体" w:cs="宋体"/>
          <w:color w:val="000000" w:themeColor="text1"/>
          <w:kern w:val="0"/>
          <w:sz w:val="24"/>
          <w:lang w:val="zh-CN"/>
          <w14:textFill>
            <w14:solidFill>
              <w14:schemeClr w14:val="tx1"/>
            </w14:solidFill>
          </w14:textFill>
        </w:rPr>
        <w:t>；</w:t>
      </w:r>
    </w:p>
    <w:p w14:paraId="1EB8E7C3">
      <w:pPr>
        <w:spacing w:line="360" w:lineRule="auto"/>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交货地点：</w:t>
      </w:r>
      <w:bookmarkStart w:id="87" w:name="_Hlk497746416"/>
      <w:r>
        <w:rPr>
          <w:rFonts w:hint="eastAsia" w:ascii="宋体" w:hAnsi="宋体"/>
          <w:color w:val="000000" w:themeColor="text1"/>
          <w:sz w:val="24"/>
          <w:lang w:eastAsia="zh-CN"/>
          <w14:textFill>
            <w14:solidFill>
              <w14:schemeClr w14:val="tx1"/>
            </w14:solidFill>
          </w14:textFill>
        </w:rPr>
        <w:t>青海大学科技教育集团有限公司后勤服务分公司</w:t>
      </w:r>
      <w:r>
        <w:rPr>
          <w:rFonts w:hint="eastAsia" w:ascii="宋体" w:hAnsi="宋体"/>
          <w:color w:val="000000" w:themeColor="text1"/>
          <w:sz w:val="24"/>
          <w14:textFill>
            <w14:solidFill>
              <w14:schemeClr w14:val="tx1"/>
            </w14:solidFill>
          </w14:textFill>
        </w:rPr>
        <w:t>；</w:t>
      </w:r>
    </w:p>
    <w:p w14:paraId="7A0A84D2">
      <w:pPr>
        <w:spacing w:line="360" w:lineRule="auto"/>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质保期：</w:t>
      </w:r>
      <w:r>
        <w:rPr>
          <w:rFonts w:hint="eastAsia" w:ascii="宋体" w:hAnsi="宋体"/>
          <w:color w:val="000000" w:themeColor="text1"/>
          <w:sz w:val="24"/>
          <w:lang w:val="en-US" w:eastAsia="zh-CN"/>
          <w14:textFill>
            <w14:solidFill>
              <w14:schemeClr w14:val="tx1"/>
            </w14:solidFill>
          </w14:textFill>
        </w:rPr>
        <w:t>三</w:t>
      </w:r>
      <w:r>
        <w:rPr>
          <w:rFonts w:hint="eastAsia" w:ascii="宋体" w:hAnsi="Calibri" w:cs="宋体"/>
          <w:color w:val="000000" w:themeColor="text1"/>
          <w:kern w:val="0"/>
          <w:sz w:val="24"/>
          <w14:textFill>
            <w14:solidFill>
              <w14:schemeClr w14:val="tx1"/>
            </w14:solidFill>
          </w14:textFill>
        </w:rPr>
        <w:t>年</w:t>
      </w:r>
      <w:r>
        <w:rPr>
          <w:rFonts w:hint="eastAsia" w:ascii="宋体" w:hAnsi="Calibri" w:cs="宋体"/>
          <w:color w:val="000000" w:themeColor="text1"/>
          <w:kern w:val="0"/>
          <w:sz w:val="24"/>
          <w:lang w:val="zh-CN"/>
          <w14:textFill>
            <w14:solidFill>
              <w14:schemeClr w14:val="tx1"/>
            </w14:solidFill>
          </w14:textFill>
        </w:rPr>
        <w:t>；</w:t>
      </w:r>
    </w:p>
    <w:bookmarkEnd w:id="87"/>
    <w:p w14:paraId="0949CD84">
      <w:pPr>
        <w:spacing w:line="360" w:lineRule="auto"/>
        <w:rPr>
          <w:rFonts w:ascii="宋体" w:hAnsi="宋体"/>
          <w:sz w:val="24"/>
        </w:rPr>
      </w:pPr>
      <w:r>
        <w:rPr>
          <w:rFonts w:hint="eastAsia" w:ascii="宋体" w:hAnsi="宋体"/>
          <w:color w:val="000000" w:themeColor="text1"/>
          <w:sz w:val="24"/>
          <w14:textFill>
            <w14:solidFill>
              <w14:schemeClr w14:val="tx1"/>
            </w14:solidFill>
          </w14:textFill>
        </w:rPr>
        <w:t>2.乙方提供不符合磋商响应文件和本合</w:t>
      </w:r>
      <w:r>
        <w:rPr>
          <w:rFonts w:hint="eastAsia" w:ascii="宋体" w:hAnsi="宋体"/>
          <w:sz w:val="24"/>
        </w:rPr>
        <w:t>同规定的产品，甲方有权拒绝接受；</w:t>
      </w:r>
    </w:p>
    <w:p w14:paraId="3F804F22">
      <w:pPr>
        <w:spacing w:line="360" w:lineRule="auto"/>
        <w:rPr>
          <w:rFonts w:ascii="宋体" w:hAnsi="宋体"/>
          <w:sz w:val="24"/>
        </w:rPr>
      </w:pPr>
      <w:r>
        <w:rPr>
          <w:rFonts w:hint="eastAsia" w:ascii="宋体" w:hAnsi="宋体"/>
          <w:sz w:val="24"/>
        </w:rPr>
        <w:t>3.乙方应将提供产品的装箱清单、用户手册、原厂保修卡、随机资料、工具和备品、备件等（如有）交付给甲方，如有缺失应及时补齐，否则视为逾期交货；</w:t>
      </w:r>
    </w:p>
    <w:p w14:paraId="1A13888D">
      <w:pPr>
        <w:spacing w:line="360" w:lineRule="auto"/>
        <w:rPr>
          <w:rFonts w:ascii="宋体" w:hAnsi="宋体"/>
          <w:sz w:val="24"/>
        </w:rPr>
      </w:pPr>
      <w:r>
        <w:rPr>
          <w:rFonts w:hint="eastAsia" w:ascii="宋体" w:hAnsi="宋体"/>
          <w:sz w:val="24"/>
        </w:rPr>
        <w:t>4.甲方应当在到货（安装、调试完）后7个工作日内进行验收，逾期不验收的，乙方可视为验收合格。验收合格后，由甲乙双方签署产品验收单并加盖采购单位公章，甲乙双方各执一份；</w:t>
      </w:r>
    </w:p>
    <w:p w14:paraId="01EC941B">
      <w:pPr>
        <w:spacing w:line="360" w:lineRule="auto"/>
        <w:rPr>
          <w:rFonts w:ascii="宋体" w:hAnsi="宋体"/>
          <w:sz w:val="24"/>
        </w:rPr>
      </w:pPr>
      <w:r>
        <w:rPr>
          <w:rFonts w:hint="eastAsia" w:ascii="宋体" w:hAnsi="宋体"/>
          <w:sz w:val="24"/>
        </w:rPr>
        <w:t>5.甲方应提供该项目验收报告交同级财政监管部门，由财政部门按规定程序抽验后办理资金拨付；</w:t>
      </w:r>
    </w:p>
    <w:p w14:paraId="1FAC8350">
      <w:pPr>
        <w:spacing w:line="360" w:lineRule="auto"/>
        <w:rPr>
          <w:rFonts w:ascii="宋体" w:hAnsi="宋体"/>
          <w:color w:val="000000" w:themeColor="text1"/>
          <w:sz w:val="24"/>
          <w14:textFill>
            <w14:solidFill>
              <w14:schemeClr w14:val="tx1"/>
            </w14:solidFill>
          </w14:textFill>
        </w:rPr>
      </w:pPr>
      <w:r>
        <w:rPr>
          <w:rFonts w:hint="eastAsia" w:ascii="宋体" w:hAnsi="宋体"/>
          <w:sz w:val="24"/>
        </w:rPr>
        <w:t>6.甲方在验收过程中发现乙方有违</w:t>
      </w:r>
      <w:r>
        <w:rPr>
          <w:rFonts w:hint="eastAsia" w:ascii="宋体" w:hAnsi="宋体"/>
          <w:color w:val="000000" w:themeColor="text1"/>
          <w:sz w:val="24"/>
          <w14:textFill>
            <w14:solidFill>
              <w14:schemeClr w14:val="tx1"/>
            </w14:solidFill>
          </w14:textFill>
        </w:rPr>
        <w:t>约问题，可按磋商响应文件的规定要求乙方及时予以解决；</w:t>
      </w:r>
    </w:p>
    <w:p w14:paraId="5BC5A1F5">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7.乙方向甲方提供产品相关完税销售发票。</w:t>
      </w:r>
    </w:p>
    <w:p w14:paraId="17014F79">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四、付款方式</w:t>
      </w:r>
    </w:p>
    <w:p w14:paraId="3BE09E6D">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1.付款方式：本项目不支持预付款；</w:t>
      </w:r>
    </w:p>
    <w:p w14:paraId="15ABF131">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项目供货完成并通过集成安装、测试验收后，在乙方向甲方提供服务相关完税发票</w:t>
      </w:r>
      <w:r>
        <w:rPr>
          <w:rFonts w:hint="eastAsia" w:ascii="宋体" w:hAnsi="宋体" w:cs="宋体"/>
          <w:color w:val="000000" w:themeColor="text1"/>
          <w:sz w:val="24"/>
          <w:lang w:val="zh-CN"/>
          <w14:textFill>
            <w14:solidFill>
              <w14:schemeClr w14:val="tx1"/>
            </w14:solidFill>
          </w14:textFill>
        </w:rPr>
        <w:t>甲方向乙方支付合同价款的</w:t>
      </w:r>
      <w:r>
        <w:rPr>
          <w:rFonts w:hint="eastAsia" w:ascii="宋体" w:hAnsi="宋体" w:cs="宋体"/>
          <w:color w:val="000000" w:themeColor="text1"/>
          <w:sz w:val="24"/>
          <w:lang w:val="en-US" w:eastAsia="zh-CN"/>
          <w14:textFill>
            <w14:solidFill>
              <w14:schemeClr w14:val="tx1"/>
            </w14:solidFill>
          </w14:textFill>
        </w:rPr>
        <w:t>80%人民币</w:t>
      </w:r>
      <w:r>
        <w:rPr>
          <w:rFonts w:hint="eastAsia" w:ascii="宋体" w:hAnsi="宋体" w:cs="宋体"/>
          <w:color w:val="000000" w:themeColor="text1"/>
          <w:sz w:val="24"/>
          <w:u w:val="single"/>
          <w:lang w:val="en-US" w:eastAsia="zh-CN"/>
          <w14:textFill>
            <w14:solidFill>
              <w14:schemeClr w14:val="tx1"/>
            </w14:solidFill>
          </w14:textFill>
        </w:rPr>
        <w:t xml:space="preserve">        元</w:t>
      </w:r>
      <w:r>
        <w:rPr>
          <w:rFonts w:hint="eastAsia" w:ascii="宋体" w:hAnsi="宋体" w:cs="宋体"/>
          <w:color w:val="000000" w:themeColor="text1"/>
          <w:sz w:val="24"/>
          <w:lang w:val="en-US" w:eastAsia="zh-CN"/>
          <w14:textFill>
            <w14:solidFill>
              <w14:schemeClr w14:val="tx1"/>
            </w14:solidFill>
          </w14:textFill>
        </w:rPr>
        <w:t>（大写</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履约半年后</w:t>
      </w:r>
      <w:r>
        <w:rPr>
          <w:rFonts w:hint="eastAsia" w:ascii="宋体" w:hAnsi="宋体" w:eastAsia="宋体" w:cs="宋体"/>
          <w:color w:val="000000" w:themeColor="text1"/>
          <w:sz w:val="24"/>
          <w:lang w:val="en-US" w:eastAsia="zh-CN"/>
          <w14:textFill>
            <w14:solidFill>
              <w14:schemeClr w14:val="tx1"/>
            </w14:solidFill>
          </w14:textFill>
        </w:rPr>
        <w:t>甲方向乙方支付</w:t>
      </w:r>
      <w:r>
        <w:rPr>
          <w:rFonts w:hint="eastAsia" w:ascii="宋体" w:hAnsi="宋体" w:cs="宋体"/>
          <w:color w:val="000000" w:themeColor="text1"/>
          <w:sz w:val="24"/>
          <w:lang w:val="en-US" w:eastAsia="zh-CN"/>
          <w14:textFill>
            <w14:solidFill>
              <w14:schemeClr w14:val="tx1"/>
            </w14:solidFill>
          </w14:textFill>
        </w:rPr>
        <w:t>合同价款</w:t>
      </w:r>
      <w:r>
        <w:rPr>
          <w:rFonts w:hint="eastAsia" w:ascii="宋体" w:hAnsi="宋体" w:eastAsia="宋体" w:cs="宋体"/>
          <w:color w:val="000000" w:themeColor="text1"/>
          <w:sz w:val="24"/>
          <w:lang w:val="en-US" w:eastAsia="zh-CN"/>
          <w14:textFill>
            <w14:solidFill>
              <w14:schemeClr w14:val="tx1"/>
            </w14:solidFill>
          </w14:textFill>
        </w:rPr>
        <w:t>10%</w:t>
      </w:r>
      <w:r>
        <w:rPr>
          <w:rFonts w:hint="eastAsia" w:ascii="宋体" w:hAnsi="宋体" w:cs="宋体"/>
          <w:color w:val="000000" w:themeColor="text1"/>
          <w:sz w:val="24"/>
          <w:lang w:val="en-US" w:eastAsia="zh-CN"/>
          <w14:textFill>
            <w14:solidFill>
              <w14:schemeClr w14:val="tx1"/>
            </w14:solidFill>
          </w14:textFill>
        </w:rPr>
        <w:t>人民币</w:t>
      </w:r>
      <w:r>
        <w:rPr>
          <w:rFonts w:hint="eastAsia" w:ascii="宋体" w:hAnsi="宋体" w:cs="宋体"/>
          <w:color w:val="000000" w:themeColor="text1"/>
          <w:sz w:val="24"/>
          <w:u w:val="single"/>
          <w:lang w:val="en-US" w:eastAsia="zh-CN"/>
          <w14:textFill>
            <w14:solidFill>
              <w14:schemeClr w14:val="tx1"/>
            </w14:solidFill>
          </w14:textFill>
        </w:rPr>
        <w:t xml:space="preserve">        元</w:t>
      </w:r>
      <w:r>
        <w:rPr>
          <w:rFonts w:hint="eastAsia" w:ascii="宋体" w:hAnsi="宋体" w:cs="宋体"/>
          <w:color w:val="000000" w:themeColor="text1"/>
          <w:sz w:val="24"/>
          <w:lang w:val="en-US" w:eastAsia="zh-CN"/>
          <w14:textFill>
            <w14:solidFill>
              <w14:schemeClr w14:val="tx1"/>
            </w14:solidFill>
          </w14:textFill>
        </w:rPr>
        <w:t>（大写</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），合同价款的10%转为质保金，待质保期三年满，产品无重大质量问题退还质保金</w:t>
      </w:r>
      <w:r>
        <w:rPr>
          <w:rFonts w:hint="eastAsia" w:ascii="宋体" w:hAnsi="宋体"/>
          <w:color w:val="000000" w:themeColor="text1"/>
          <w:sz w:val="24"/>
          <w14:textFill>
            <w14:solidFill>
              <w14:schemeClr w14:val="tx1"/>
            </w14:solidFill>
          </w14:textFill>
        </w:rPr>
        <w:t>。</w:t>
      </w:r>
    </w:p>
    <w:p w14:paraId="55E6A69B">
      <w:pPr>
        <w:autoSpaceDE w:val="0"/>
        <w:autoSpaceDN w:val="0"/>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五、合同的变更、终止与转让</w:t>
      </w:r>
    </w:p>
    <w:p w14:paraId="6A7D0450">
      <w:pPr>
        <w:spacing w:line="360" w:lineRule="auto"/>
        <w:rPr>
          <w:rFonts w:ascii="宋体" w:hAnsi="宋体"/>
          <w:sz w:val="24"/>
        </w:rPr>
      </w:pPr>
      <w:r>
        <w:rPr>
          <w:rFonts w:hint="eastAsia" w:ascii="宋体" w:hAnsi="宋体"/>
          <w:sz w:val="24"/>
        </w:rPr>
        <w:t>1．除《中华人民共和国政府采购法》第50条规定的情形外，本合同一经签订，甲乙双方不得擅自变更、中止或终止；</w:t>
      </w:r>
    </w:p>
    <w:p w14:paraId="1DB1E3E5">
      <w:pPr>
        <w:spacing w:line="360" w:lineRule="auto"/>
        <w:rPr>
          <w:rFonts w:ascii="宋体" w:hAnsi="宋体"/>
          <w:sz w:val="24"/>
        </w:rPr>
      </w:pPr>
      <w:r>
        <w:rPr>
          <w:rFonts w:hint="eastAsia" w:ascii="宋体" w:hAnsi="宋体"/>
          <w:sz w:val="24"/>
        </w:rPr>
        <w:t>2．乙方不得擅自转让其应履行的合同义务。</w:t>
      </w:r>
    </w:p>
    <w:p w14:paraId="3C27FA37">
      <w:pPr>
        <w:spacing w:line="360" w:lineRule="auto"/>
        <w:rPr>
          <w:rFonts w:ascii="宋体" w:hAnsi="宋体"/>
          <w:b/>
          <w:sz w:val="24"/>
        </w:rPr>
      </w:pPr>
      <w:r>
        <w:rPr>
          <w:rFonts w:hint="eastAsia" w:ascii="宋体" w:hAnsi="宋体"/>
          <w:b/>
          <w:sz w:val="24"/>
        </w:rPr>
        <w:t>六、违约责任</w:t>
      </w:r>
    </w:p>
    <w:p w14:paraId="153FEEBE">
      <w:pPr>
        <w:spacing w:line="360" w:lineRule="auto"/>
        <w:rPr>
          <w:rFonts w:ascii="宋体" w:hAnsi="宋体"/>
          <w:sz w:val="24"/>
        </w:rPr>
      </w:pPr>
      <w:r>
        <w:rPr>
          <w:rFonts w:hint="eastAsia" w:ascii="宋体" w:hAnsi="宋体"/>
          <w:sz w:val="24"/>
        </w:rPr>
        <w:t>1．乙方所提供的产品规格、技术标准、材料等质量不合格的，应及时更换；更换不及时的，按逾期交货处罚；因质量问题甲方不同意接收的，质保金全额扣除，并由乙方赔偿由此引起的甲方的一切经济损失；</w:t>
      </w:r>
    </w:p>
    <w:p w14:paraId="056D533D">
      <w:pPr>
        <w:spacing w:line="360" w:lineRule="auto"/>
        <w:rPr>
          <w:rFonts w:ascii="宋体" w:hAnsi="宋体"/>
          <w:sz w:val="24"/>
        </w:rPr>
      </w:pPr>
      <w:r>
        <w:rPr>
          <w:rFonts w:hint="eastAsia" w:ascii="宋体" w:hAnsi="宋体"/>
          <w:sz w:val="24"/>
        </w:rPr>
        <w:t>2．乙方提供的货物如侵犯了第三方权益而引发纠纷或诉讼的，均由乙方负责交涉并承担全部责任；</w:t>
      </w:r>
    </w:p>
    <w:p w14:paraId="17FB8849">
      <w:pPr>
        <w:spacing w:line="360" w:lineRule="auto"/>
        <w:rPr>
          <w:rFonts w:ascii="宋体" w:hAnsi="宋体"/>
          <w:sz w:val="24"/>
        </w:rPr>
      </w:pPr>
      <w:r>
        <w:rPr>
          <w:rFonts w:hint="eastAsia" w:ascii="宋体" w:hAnsi="宋体"/>
          <w:sz w:val="24"/>
        </w:rPr>
        <w:t>3．因包装、运输引起的货物损坏，按质量不合格处罚；</w:t>
      </w:r>
    </w:p>
    <w:p w14:paraId="4B8976E3">
      <w:pPr>
        <w:spacing w:line="360" w:lineRule="auto"/>
        <w:rPr>
          <w:rFonts w:ascii="宋体" w:hAnsi="宋体"/>
          <w:sz w:val="24"/>
        </w:rPr>
      </w:pPr>
      <w:r>
        <w:rPr>
          <w:rFonts w:hint="eastAsia" w:ascii="宋体" w:hAnsi="宋体"/>
          <w:sz w:val="24"/>
        </w:rPr>
        <w:t>4．甲方无故延期接受货物和乙方逾期交货的，每天应向对方偿付未交货物的货款3‰的违约金，但违约金累计不得超过违约货款的5%，超过10天对方有权解除合同，违约方承担因此给对方造成的经济损失；</w:t>
      </w:r>
    </w:p>
    <w:p w14:paraId="3AADC2D1">
      <w:pPr>
        <w:spacing w:line="360" w:lineRule="auto"/>
        <w:rPr>
          <w:rFonts w:ascii="宋体" w:hAnsi="宋体"/>
          <w:sz w:val="24"/>
        </w:rPr>
      </w:pPr>
      <w:r>
        <w:rPr>
          <w:rFonts w:hint="eastAsia" w:ascii="宋体" w:hAnsi="宋体"/>
          <w:sz w:val="24"/>
        </w:rPr>
        <w:t>5．乙方未按本合同和磋商文件中规定的服务承诺提供售后服务的，乙方应按本合同合计金额的5%向甲方支付违约金；</w:t>
      </w:r>
    </w:p>
    <w:p w14:paraId="7D2D8674">
      <w:pPr>
        <w:spacing w:line="360" w:lineRule="auto"/>
        <w:rPr>
          <w:rFonts w:ascii="宋体" w:hAnsi="宋体"/>
          <w:sz w:val="24"/>
        </w:rPr>
      </w:pPr>
      <w:r>
        <w:rPr>
          <w:rFonts w:hint="eastAsia" w:ascii="宋体" w:hAnsi="宋体"/>
          <w:sz w:val="24"/>
        </w:rPr>
        <w:t>6．乙方提供的货物在质量保证期内，因设计、工艺或材料的缺陷和其它质量原因造成的问题，由乙方负责，费用从履约保证金中扣除，不足另补；</w:t>
      </w:r>
    </w:p>
    <w:p w14:paraId="0ED40D51">
      <w:pPr>
        <w:spacing w:line="360" w:lineRule="auto"/>
        <w:rPr>
          <w:rFonts w:ascii="宋体" w:hAnsi="宋体"/>
          <w:sz w:val="24"/>
        </w:rPr>
      </w:pPr>
      <w:r>
        <w:rPr>
          <w:rFonts w:hint="eastAsia" w:ascii="宋体" w:hAnsi="宋体"/>
          <w:sz w:val="24"/>
        </w:rPr>
        <w:t>7．其它违约行为按违约货款额5%收取违约金并赔偿经济损失。</w:t>
      </w:r>
    </w:p>
    <w:p w14:paraId="1907346F">
      <w:pPr>
        <w:spacing w:line="360" w:lineRule="auto"/>
        <w:rPr>
          <w:rFonts w:ascii="宋体" w:hAnsi="宋体"/>
          <w:b/>
          <w:sz w:val="24"/>
        </w:rPr>
      </w:pPr>
      <w:r>
        <w:rPr>
          <w:rFonts w:hint="eastAsia" w:ascii="宋体" w:hAnsi="宋体"/>
          <w:b/>
          <w:sz w:val="24"/>
        </w:rPr>
        <w:t>七、不可抗力</w:t>
      </w:r>
    </w:p>
    <w:p w14:paraId="0ECF1108">
      <w:pPr>
        <w:spacing w:line="360" w:lineRule="auto"/>
        <w:rPr>
          <w:rFonts w:ascii="宋体" w:hAnsi="宋体"/>
          <w:sz w:val="24"/>
        </w:rPr>
      </w:pPr>
      <w:r>
        <w:rPr>
          <w:rFonts w:hint="eastAsia" w:ascii="宋体" w:hAnsi="宋体"/>
          <w:sz w:val="24"/>
        </w:rPr>
        <w:t>1．不可抗力使合同的某些内容有变更必要的，双方应通过协商在</w:t>
      </w:r>
      <w:r>
        <w:rPr>
          <w:rFonts w:ascii="宋体" w:hAnsi="宋体"/>
          <w:sz w:val="24"/>
          <w:u w:val="single"/>
        </w:rPr>
        <w:t>3</w:t>
      </w:r>
      <w:r>
        <w:rPr>
          <w:rFonts w:hint="eastAsia" w:ascii="宋体" w:hAnsi="宋体"/>
          <w:sz w:val="24"/>
        </w:rPr>
        <w:t>天内达成进一步履行合同的协议，因不可抗力致使合同不能履行的，合同终止；</w:t>
      </w:r>
    </w:p>
    <w:p w14:paraId="063DEAF4">
      <w:pPr>
        <w:spacing w:line="360" w:lineRule="auto"/>
        <w:rPr>
          <w:rFonts w:ascii="宋体" w:hAnsi="宋体"/>
          <w:sz w:val="24"/>
        </w:rPr>
      </w:pPr>
      <w:r>
        <w:rPr>
          <w:rFonts w:hint="eastAsia" w:ascii="宋体" w:hAnsi="宋体"/>
          <w:sz w:val="24"/>
        </w:rPr>
        <w:t>2．除法律、法规规定的不可抗力情形外，双方约定出现</w:t>
      </w:r>
      <w:r>
        <w:rPr>
          <w:rFonts w:hint="eastAsia" w:ascii="宋体" w:hAnsi="宋体"/>
          <w:sz w:val="24"/>
          <w:u w:val="single"/>
        </w:rPr>
        <w:t xml:space="preserve"> 自然灾害 </w:t>
      </w:r>
      <w:r>
        <w:rPr>
          <w:rFonts w:hint="eastAsia" w:ascii="宋体" w:hAnsi="宋体"/>
          <w:sz w:val="24"/>
        </w:rPr>
        <w:t>情况亦视为不可抗力。</w:t>
      </w:r>
    </w:p>
    <w:p w14:paraId="13742F2D">
      <w:pPr>
        <w:spacing w:line="360" w:lineRule="auto"/>
        <w:rPr>
          <w:rFonts w:ascii="宋体" w:hAnsi="宋体"/>
          <w:b/>
          <w:sz w:val="24"/>
        </w:rPr>
      </w:pPr>
      <w:r>
        <w:rPr>
          <w:rFonts w:hint="eastAsia" w:ascii="宋体" w:hAnsi="宋体"/>
          <w:b/>
          <w:sz w:val="24"/>
        </w:rPr>
        <w:t>八、知识产权：</w:t>
      </w:r>
    </w:p>
    <w:p w14:paraId="119F10CC">
      <w:pPr>
        <w:spacing w:line="360" w:lineRule="auto"/>
        <w:rPr>
          <w:rFonts w:ascii="宋体" w:hAnsi="宋体"/>
          <w:b/>
          <w:sz w:val="24"/>
        </w:rPr>
      </w:pPr>
      <w:r>
        <w:rPr>
          <w:rFonts w:hint="eastAsia" w:ascii="宋体" w:hAnsi="宋体"/>
          <w:b/>
          <w:sz w:val="24"/>
        </w:rPr>
        <w:t>九、其他约定：</w:t>
      </w:r>
    </w:p>
    <w:p w14:paraId="6E3BD5C5">
      <w:pPr>
        <w:spacing w:line="360" w:lineRule="auto"/>
        <w:rPr>
          <w:rFonts w:ascii="宋体" w:hAnsi="宋体"/>
          <w:b/>
          <w:sz w:val="24"/>
        </w:rPr>
      </w:pPr>
      <w:r>
        <w:rPr>
          <w:rFonts w:hint="eastAsia" w:ascii="宋体" w:hAnsi="宋体"/>
          <w:b/>
          <w:sz w:val="24"/>
        </w:rPr>
        <w:t>十、合同争议解决</w:t>
      </w:r>
    </w:p>
    <w:p w14:paraId="0E7EADE7">
      <w:pPr>
        <w:spacing w:line="360" w:lineRule="auto"/>
        <w:rPr>
          <w:rFonts w:ascii="宋体" w:hAnsi="宋体"/>
          <w:sz w:val="24"/>
        </w:rPr>
      </w:pPr>
      <w:r>
        <w:rPr>
          <w:rFonts w:hint="eastAsia" w:ascii="宋体" w:hAnsi="宋体"/>
          <w:sz w:val="24"/>
        </w:rPr>
        <w:t>1．因产品质量问题发生争议的，应邀请国家认可的质量检测机构进行鉴定。产品符合标准的，鉴定费由甲方承担；产品不符合标准的，鉴定费由乙方承担；</w:t>
      </w:r>
    </w:p>
    <w:p w14:paraId="60F03CE9">
      <w:pPr>
        <w:spacing w:line="360" w:lineRule="auto"/>
        <w:rPr>
          <w:rFonts w:ascii="宋体" w:hAnsi="宋体"/>
          <w:sz w:val="24"/>
        </w:rPr>
      </w:pPr>
      <w:r>
        <w:rPr>
          <w:rFonts w:hint="eastAsia" w:ascii="宋体" w:hAnsi="宋体"/>
          <w:sz w:val="24"/>
        </w:rPr>
        <w:t>2．因履行本合同引起的或与本合同有关的争议，甲乙双方应首先通过友好协商解决，如果协商不能解决，可向甲方所在地仲裁委员会申请仲裁或向甲方所在地人民法院提起诉讼；</w:t>
      </w:r>
    </w:p>
    <w:p w14:paraId="3D4987E1">
      <w:pPr>
        <w:spacing w:line="360" w:lineRule="auto"/>
        <w:rPr>
          <w:rFonts w:ascii="宋体" w:hAnsi="宋体"/>
          <w:sz w:val="24"/>
        </w:rPr>
      </w:pPr>
      <w:r>
        <w:rPr>
          <w:rFonts w:hint="eastAsia" w:ascii="宋体" w:hAnsi="宋体"/>
          <w:sz w:val="24"/>
        </w:rPr>
        <w:t>3．诉讼期间，本合同继续履行。</w:t>
      </w:r>
    </w:p>
    <w:p w14:paraId="034C7882">
      <w:pPr>
        <w:spacing w:line="360" w:lineRule="auto"/>
        <w:rPr>
          <w:rFonts w:ascii="宋体" w:hAnsi="宋体"/>
          <w:b/>
          <w:sz w:val="24"/>
        </w:rPr>
      </w:pPr>
      <w:r>
        <w:rPr>
          <w:rFonts w:hint="eastAsia" w:ascii="宋体" w:hAnsi="宋体"/>
          <w:b/>
          <w:sz w:val="24"/>
        </w:rPr>
        <w:t>十一、合同生效及其它：</w:t>
      </w:r>
    </w:p>
    <w:p w14:paraId="379F9F43">
      <w:pPr>
        <w:spacing w:line="360" w:lineRule="auto"/>
        <w:rPr>
          <w:rFonts w:ascii="宋体" w:hAnsi="宋体"/>
          <w:sz w:val="24"/>
        </w:rPr>
      </w:pPr>
      <w:r>
        <w:rPr>
          <w:rFonts w:hint="eastAsia" w:ascii="宋体" w:hAnsi="宋体"/>
          <w:sz w:val="24"/>
        </w:rPr>
        <w:t>1．本合同一式八份，经双方签字，并加盖公章即为生效；</w:t>
      </w:r>
    </w:p>
    <w:p w14:paraId="164E1CB3">
      <w:pPr>
        <w:spacing w:line="360" w:lineRule="auto"/>
        <w:rPr>
          <w:rFonts w:ascii="宋体" w:hAnsi="宋体"/>
          <w:sz w:val="24"/>
        </w:rPr>
      </w:pPr>
      <w:r>
        <w:rPr>
          <w:rFonts w:hint="eastAsia" w:ascii="宋体" w:hAnsi="宋体"/>
          <w:sz w:val="24"/>
        </w:rPr>
        <w:t>2．本合同未尽事宜，按经济合同法有关规定处理；</w:t>
      </w:r>
    </w:p>
    <w:p w14:paraId="49ABB47A">
      <w:pPr>
        <w:spacing w:line="360" w:lineRule="auto"/>
        <w:rPr>
          <w:rFonts w:ascii="宋体" w:hAnsi="宋体"/>
          <w:sz w:val="24"/>
        </w:rPr>
      </w:pPr>
      <w:r>
        <w:rPr>
          <w:rFonts w:hint="eastAsia" w:ascii="宋体" w:hAnsi="宋体"/>
          <w:sz w:val="24"/>
        </w:rPr>
        <w:t>3．本合同的组成包含《合同通用条款》，可自行在青海政府采购网下载《合同通用条款》</w:t>
      </w:r>
    </w:p>
    <w:p w14:paraId="7CFFE9BA">
      <w:pPr>
        <w:rPr>
          <w:rFonts w:ascii="宋体" w:hAnsi="宋体"/>
          <w:sz w:val="24"/>
        </w:rPr>
      </w:pPr>
      <w:r>
        <w:rPr>
          <w:rFonts w:ascii="宋体" w:hAnsi="宋体"/>
          <w:sz w:val="24"/>
        </w:rPr>
        <w:br w:type="page"/>
      </w:r>
    </w:p>
    <w:p w14:paraId="47DEC23C">
      <w:pPr>
        <w:spacing w:line="360" w:lineRule="auto"/>
        <w:rPr>
          <w:rFonts w:ascii="宋体" w:hAnsi="宋体"/>
          <w:sz w:val="24"/>
        </w:rPr>
      </w:pPr>
      <w:r>
        <w:rPr>
          <w:rFonts w:hint="eastAsia" w:ascii="宋体" w:hAnsi="宋体"/>
          <w:sz w:val="24"/>
        </w:rPr>
        <w:t>（此页无正文内容）</w:t>
      </w:r>
    </w:p>
    <w:p w14:paraId="4FAE04FC">
      <w:pPr>
        <w:spacing w:line="360" w:lineRule="auto"/>
        <w:rPr>
          <w:rFonts w:ascii="宋体" w:hAnsi="宋体"/>
          <w:sz w:val="24"/>
        </w:rPr>
      </w:pPr>
    </w:p>
    <w:p w14:paraId="362F10E7">
      <w:pPr>
        <w:spacing w:line="360" w:lineRule="auto"/>
        <w:rPr>
          <w:rFonts w:ascii="宋体" w:hAnsi="宋体"/>
          <w:sz w:val="24"/>
        </w:rPr>
      </w:pPr>
    </w:p>
    <w:p w14:paraId="568D191F">
      <w:pPr>
        <w:spacing w:line="360" w:lineRule="auto"/>
        <w:rPr>
          <w:rFonts w:ascii="宋体" w:hAnsi="宋体"/>
          <w:sz w:val="24"/>
        </w:rPr>
      </w:pPr>
    </w:p>
    <w:p w14:paraId="67088C01">
      <w:pPr>
        <w:spacing w:line="360" w:lineRule="auto"/>
        <w:rPr>
          <w:rFonts w:ascii="宋体" w:hAnsi="宋体"/>
          <w:sz w:val="24"/>
        </w:rPr>
      </w:pPr>
    </w:p>
    <w:p w14:paraId="63B3BA6C">
      <w:pPr>
        <w:spacing w:line="360" w:lineRule="auto"/>
        <w:rPr>
          <w:rFonts w:ascii="宋体" w:hAnsi="宋体"/>
          <w:sz w:val="24"/>
        </w:rPr>
      </w:pPr>
    </w:p>
    <w:p w14:paraId="2009B405">
      <w:pPr>
        <w:spacing w:line="360" w:lineRule="auto"/>
        <w:rPr>
          <w:rFonts w:ascii="宋体" w:hAnsi="宋体"/>
          <w:sz w:val="24"/>
        </w:rPr>
      </w:pPr>
      <w:r>
        <w:rPr>
          <w:rFonts w:hint="eastAsia" w:ascii="宋体" w:hAnsi="宋体"/>
          <w:sz w:val="24"/>
        </w:rPr>
        <w:t>甲方（盖章）：                             乙方（盖章）：</w:t>
      </w:r>
    </w:p>
    <w:p w14:paraId="0DE33698">
      <w:pPr>
        <w:spacing w:line="360" w:lineRule="auto"/>
        <w:rPr>
          <w:rFonts w:ascii="宋体" w:hAnsi="宋体"/>
          <w:sz w:val="24"/>
        </w:rPr>
      </w:pPr>
      <w:r>
        <w:rPr>
          <w:rFonts w:hint="eastAsia" w:ascii="宋体" w:hAnsi="宋体"/>
          <w:sz w:val="24"/>
        </w:rPr>
        <w:t>法人或委托人（签字）：                     法人或委托人（签字）：</w:t>
      </w:r>
    </w:p>
    <w:p w14:paraId="3B999E7D">
      <w:pPr>
        <w:spacing w:line="360" w:lineRule="auto"/>
        <w:rPr>
          <w:rFonts w:ascii="宋体" w:hAnsi="宋体"/>
          <w:sz w:val="24"/>
        </w:rPr>
      </w:pPr>
      <w:r>
        <w:rPr>
          <w:rFonts w:hint="eastAsia" w:ascii="宋体" w:hAnsi="宋体"/>
          <w:sz w:val="24"/>
        </w:rPr>
        <w:t>联系电话：                                开户银行：</w:t>
      </w:r>
    </w:p>
    <w:p w14:paraId="562E5DD0">
      <w:pPr>
        <w:spacing w:line="360" w:lineRule="auto"/>
        <w:ind w:firstLine="5040" w:firstLineChars="2100"/>
        <w:rPr>
          <w:rFonts w:ascii="宋体" w:hAnsi="宋体"/>
          <w:sz w:val="24"/>
        </w:rPr>
      </w:pPr>
      <w:r>
        <w:rPr>
          <w:rFonts w:hint="eastAsia" w:ascii="宋体" w:hAnsi="宋体"/>
          <w:sz w:val="24"/>
        </w:rPr>
        <w:t>账号：</w:t>
      </w:r>
    </w:p>
    <w:p w14:paraId="0AEB2A63">
      <w:pPr>
        <w:spacing w:line="360" w:lineRule="auto"/>
        <w:ind w:firstLine="5040" w:firstLineChars="2100"/>
        <w:rPr>
          <w:rFonts w:ascii="宋体" w:hAnsi="宋体"/>
          <w:sz w:val="24"/>
        </w:rPr>
      </w:pPr>
      <w:r>
        <w:rPr>
          <w:rFonts w:hint="eastAsia" w:ascii="宋体" w:hAnsi="宋体"/>
          <w:sz w:val="24"/>
        </w:rPr>
        <w:t>联系电话：</w:t>
      </w:r>
    </w:p>
    <w:p w14:paraId="7851C8A8">
      <w:pPr>
        <w:spacing w:line="360" w:lineRule="auto"/>
        <w:ind w:right="960" w:firstLine="5040" w:firstLineChars="2100"/>
        <w:rPr>
          <w:rFonts w:ascii="宋体" w:hAnsi="宋体" w:cs="宋体"/>
          <w:kern w:val="0"/>
          <w:sz w:val="24"/>
        </w:rPr>
      </w:pPr>
      <w:r>
        <w:rPr>
          <w:rFonts w:hint="eastAsia" w:ascii="宋体" w:hAnsi="宋体"/>
          <w:sz w:val="24"/>
        </w:rPr>
        <w:t>签约时间：    年  月  日</w:t>
      </w:r>
    </w:p>
    <w:p w14:paraId="4582DF8E">
      <w:pPr>
        <w:spacing w:line="360" w:lineRule="auto"/>
        <w:rPr>
          <w:rFonts w:ascii="宋体" w:hAnsi="宋体"/>
          <w:sz w:val="24"/>
        </w:rPr>
      </w:pPr>
    </w:p>
    <w:p w14:paraId="363BB56A">
      <w:pPr>
        <w:spacing w:line="360" w:lineRule="auto"/>
        <w:rPr>
          <w:rFonts w:ascii="宋体" w:hAnsi="宋体"/>
          <w:sz w:val="24"/>
        </w:rPr>
      </w:pPr>
      <w:r>
        <w:rPr>
          <w:rFonts w:hint="eastAsia" w:ascii="宋体" w:hAnsi="宋体"/>
          <w:sz w:val="24"/>
        </w:rPr>
        <w:t>采购代理机构：青海国焱工程项目管理有限公司</w:t>
      </w:r>
    </w:p>
    <w:p w14:paraId="17DD9969">
      <w:pPr>
        <w:spacing w:line="360" w:lineRule="auto"/>
        <w:rPr>
          <w:rFonts w:ascii="宋体" w:hAnsi="宋体"/>
          <w:sz w:val="24"/>
        </w:rPr>
      </w:pPr>
      <w:r>
        <w:rPr>
          <w:rFonts w:hint="eastAsia" w:ascii="宋体" w:hAnsi="宋体"/>
          <w:sz w:val="24"/>
        </w:rPr>
        <w:t>负责人或经办人：</w:t>
      </w:r>
    </w:p>
    <w:p w14:paraId="0A2F4351">
      <w:pPr>
        <w:spacing w:line="360" w:lineRule="auto"/>
        <w:rPr>
          <w:rFonts w:ascii="宋体" w:hAnsi="宋体"/>
          <w:sz w:val="24"/>
        </w:rPr>
      </w:pPr>
      <w:r>
        <w:rPr>
          <w:rFonts w:hint="eastAsia" w:ascii="宋体" w:hAnsi="宋体"/>
          <w:sz w:val="24"/>
        </w:rPr>
        <w:t>合同备案日期：  年   月   日</w:t>
      </w:r>
    </w:p>
    <w:p w14:paraId="6E25D40A">
      <w:pPr>
        <w:spacing w:line="360" w:lineRule="auto"/>
        <w:jc w:val="center"/>
        <w:rPr>
          <w:rFonts w:ascii="宋体" w:hAnsi="宋体" w:cs="宋体"/>
          <w:b/>
          <w:bCs/>
          <w:kern w:val="0"/>
          <w:sz w:val="28"/>
          <w:szCs w:val="28"/>
          <w:lang w:val="zh-CN"/>
        </w:rPr>
      </w:pPr>
      <w:r>
        <w:rPr>
          <w:rFonts w:ascii="宋体" w:hAnsi="宋体"/>
          <w:sz w:val="24"/>
        </w:rPr>
        <w:br w:type="page"/>
      </w:r>
      <w:r>
        <w:rPr>
          <w:rFonts w:hint="eastAsia" w:ascii="宋体" w:hAnsi="宋体"/>
          <w:b/>
          <w:sz w:val="28"/>
          <w:szCs w:val="28"/>
        </w:rPr>
        <w:t>合同通用条款</w:t>
      </w:r>
    </w:p>
    <w:p w14:paraId="1EF50A92">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根据《中华人民共和国</w:t>
      </w:r>
      <w:r>
        <w:rPr>
          <w:rFonts w:hint="eastAsia" w:hAnsi="宋体"/>
          <w:sz w:val="24"/>
        </w:rPr>
        <w:t>民法典</w:t>
      </w:r>
      <w:r>
        <w:rPr>
          <w:rFonts w:hint="eastAsia" w:ascii="宋体" w:hAnsi="宋体" w:cs="宋体"/>
          <w:kern w:val="0"/>
          <w:sz w:val="24"/>
          <w:lang w:val="zh-CN"/>
        </w:rPr>
        <w:t>》、《中华人民共和国政府采购法》的规定，合同双方经协商达成一致，自愿订立本合同，遵循公平原则明确双方的权利、义务，确保双方诚实守信地履行合同。</w:t>
      </w:r>
    </w:p>
    <w:p w14:paraId="25B8182F">
      <w:pPr>
        <w:numPr>
          <w:ilvl w:val="0"/>
          <w:numId w:val="37"/>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定义</w:t>
      </w:r>
    </w:p>
    <w:p w14:paraId="01FCBCE1">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本合同中的下列术语应解释为：</w:t>
      </w:r>
    </w:p>
    <w:p w14:paraId="09E33A0A">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“合同”指甲乙双方签署的、载明的甲乙双方权利义务的协议，包括所有的附件、附录和上述文件所提到的构成合同的所有文件。</w:t>
      </w:r>
    </w:p>
    <w:p w14:paraId="5B30DE12">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“合同金额”指根据合同规定，乙方在正确地完全履行合同义务后甲方应付给乙方的价款。</w:t>
      </w:r>
    </w:p>
    <w:p w14:paraId="0F351AFB">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“合同条款”指本合同条款。</w:t>
      </w:r>
    </w:p>
    <w:p w14:paraId="051A2E59">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“货物”指乙方根据合同约定须向甲方提供的一切产品、设备、机械、仪表、备件等，包括辅助工具、使用手册等相关资料。</w:t>
      </w:r>
    </w:p>
    <w:p w14:paraId="43587436">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“服务”指根据本合同规定乙方承担与供货有关的辅助服务，如运输、保险及安装、调试、提供技术援助、培训和合同中规定乙方应承担的其它义务。</w:t>
      </w:r>
    </w:p>
    <w:p w14:paraId="4ADDE6FF">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“甲方”指购买货物和服务的单位。</w:t>
      </w:r>
    </w:p>
    <w:p w14:paraId="1EDE17B1">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“乙方”指提供本合同条款下货物和服务的公司或其他实体。</w:t>
      </w:r>
    </w:p>
    <w:p w14:paraId="46AB58B0">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“现场”指合同规定货物将要运至和安装的地点。</w:t>
      </w:r>
    </w:p>
    <w:p w14:paraId="7537A77D">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“验收”指合同双方依据强制性的国家技术质量规范和合同约定，确认合同条款下的货物符合合同规定的活动。</w:t>
      </w:r>
    </w:p>
    <w:p w14:paraId="5D13E3BF">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原厂商：产品制造商或其在中国境内设立的办事或技术服务机构。除另有说明外，本合同文件所述的制造商、产品制造商、制造厂家、产品制造厂家均为原厂商。</w:t>
      </w:r>
    </w:p>
    <w:p w14:paraId="0FE829BA">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原产地：指产品的生产地，或提供服务的来源地。</w:t>
      </w:r>
    </w:p>
    <w:p w14:paraId="21859FE6">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“工作日”指国家法定工作日，“天”指日历天数。</w:t>
      </w:r>
    </w:p>
    <w:p w14:paraId="29AF59FD">
      <w:pPr>
        <w:numPr>
          <w:ilvl w:val="0"/>
          <w:numId w:val="37"/>
        </w:numPr>
        <w:autoSpaceDE w:val="0"/>
        <w:autoSpaceDN w:val="0"/>
        <w:spacing w:line="360" w:lineRule="auto"/>
        <w:rPr>
          <w:rFonts w:ascii="宋体" w:hAnsi="宋体" w:cs="宋体"/>
          <w:kern w:val="0"/>
          <w:sz w:val="24"/>
        </w:rPr>
      </w:pPr>
      <w:r>
        <w:rPr>
          <w:rFonts w:hint="eastAsia" w:ascii="宋体" w:hAnsi="宋体" w:cs="宋体"/>
          <w:b/>
          <w:bCs/>
          <w:kern w:val="0"/>
          <w:sz w:val="24"/>
          <w:lang w:val="zh-CN"/>
        </w:rPr>
        <w:t>技术规格要求</w:t>
      </w:r>
    </w:p>
    <w:p w14:paraId="6B96C7FE">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本合同条款下提交货物的技术规格要求应等于或优于招磋商文件技术规格要求。若技术规格要求中无相应规定，则应符合相应的国家有关部门最新颁布的相应正式标准。</w:t>
      </w:r>
    </w:p>
    <w:p w14:paraId="6F9B5415">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乙方应向甲方提供货物及服务有关的标准的中文文本。</w:t>
      </w:r>
    </w:p>
    <w:p w14:paraId="4A371412">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除非技术规范中另有规定，计量单位均采用中华人民共和国法定计量单位。</w:t>
      </w:r>
    </w:p>
    <w:p w14:paraId="2E975E31">
      <w:pPr>
        <w:numPr>
          <w:ilvl w:val="0"/>
          <w:numId w:val="37"/>
        </w:numPr>
        <w:autoSpaceDE w:val="0"/>
        <w:autoSpaceDN w:val="0"/>
        <w:spacing w:line="360" w:lineRule="auto"/>
        <w:rPr>
          <w:rFonts w:ascii="宋体" w:hAnsi="宋体" w:cs="宋体"/>
          <w:kern w:val="0"/>
          <w:sz w:val="24"/>
        </w:rPr>
      </w:pPr>
      <w:r>
        <w:rPr>
          <w:rFonts w:hint="eastAsia" w:ascii="宋体" w:hAnsi="宋体" w:cs="宋体"/>
          <w:b/>
          <w:bCs/>
          <w:kern w:val="0"/>
          <w:sz w:val="24"/>
          <w:lang w:val="zh-CN"/>
        </w:rPr>
        <w:t>合同范围</w:t>
      </w:r>
    </w:p>
    <w:p w14:paraId="64DA907D">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0A30E0E3">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乙方应负责培训甲方的技术人员。</w:t>
      </w:r>
    </w:p>
    <w:p w14:paraId="77CBE511">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14:paraId="59D8AF0E">
      <w:pPr>
        <w:numPr>
          <w:ilvl w:val="0"/>
          <w:numId w:val="37"/>
        </w:numPr>
        <w:autoSpaceDE w:val="0"/>
        <w:autoSpaceDN w:val="0"/>
        <w:spacing w:line="360" w:lineRule="auto"/>
        <w:rPr>
          <w:rFonts w:ascii="宋体" w:hAnsi="宋体" w:cs="宋体"/>
          <w:kern w:val="0"/>
          <w:sz w:val="24"/>
        </w:rPr>
      </w:pPr>
      <w:r>
        <w:rPr>
          <w:rFonts w:hint="eastAsia" w:ascii="宋体" w:hAnsi="宋体" w:cs="宋体"/>
          <w:b/>
          <w:bCs/>
          <w:kern w:val="0"/>
          <w:sz w:val="24"/>
          <w:lang w:val="zh-CN"/>
        </w:rPr>
        <w:t>合同文件和资料</w:t>
      </w:r>
    </w:p>
    <w:p w14:paraId="3ADAFE13">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乙方在提供仪器设备时应同时提供中文版相关的技术资料，如目录索引、图纸、操作手册、使用指南、维修指南、服务手册等。</w:t>
      </w:r>
    </w:p>
    <w:p w14:paraId="735CCD59">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3012955">
      <w:pPr>
        <w:numPr>
          <w:ilvl w:val="0"/>
          <w:numId w:val="37"/>
        </w:numPr>
        <w:autoSpaceDE w:val="0"/>
        <w:autoSpaceDN w:val="0"/>
        <w:spacing w:line="360" w:lineRule="auto"/>
        <w:rPr>
          <w:rFonts w:ascii="宋体" w:hAnsi="宋体" w:cs="宋体"/>
          <w:kern w:val="0"/>
          <w:sz w:val="24"/>
        </w:rPr>
      </w:pPr>
      <w:r>
        <w:rPr>
          <w:rFonts w:hint="eastAsia" w:ascii="宋体" w:hAnsi="宋体" w:cs="宋体"/>
          <w:b/>
          <w:bCs/>
          <w:kern w:val="0"/>
          <w:sz w:val="24"/>
          <w:lang w:val="zh-CN"/>
        </w:rPr>
        <w:t>知识产权</w:t>
      </w:r>
    </w:p>
    <w:p w14:paraId="0640D1B3">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乙方应保证甲方在使用该货物或其任何一部分时不受第三方提出的侵犯专利权、著作权、商标权和工业设计权等的起诉。</w:t>
      </w:r>
    </w:p>
    <w:p w14:paraId="5281860C">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任何第三方提出侵权指控，乙方须与第三方交涉并承担由此产生的一切责任、费用和经济赔偿。</w:t>
      </w:r>
    </w:p>
    <w:p w14:paraId="3A6A7CCD">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159DD3FF">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在本合同生效时已经存在并为各方合法拥有或使用的所有技术、资料和信息的知识产权，仍应属于其各自的原权利人所有或享有，另有约定的除外。</w:t>
      </w:r>
    </w:p>
    <w:p w14:paraId="1BD1399B">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5A908902">
      <w:pPr>
        <w:numPr>
          <w:ilvl w:val="0"/>
          <w:numId w:val="37"/>
        </w:numPr>
        <w:autoSpaceDE w:val="0"/>
        <w:autoSpaceDN w:val="0"/>
        <w:spacing w:line="360" w:lineRule="auto"/>
        <w:rPr>
          <w:rFonts w:ascii="宋体" w:hAnsi="宋体" w:cs="宋体"/>
          <w:kern w:val="0"/>
          <w:sz w:val="24"/>
        </w:rPr>
      </w:pPr>
      <w:r>
        <w:rPr>
          <w:rFonts w:hint="eastAsia" w:ascii="宋体" w:hAnsi="宋体" w:cs="宋体"/>
          <w:b/>
          <w:bCs/>
          <w:kern w:val="0"/>
          <w:sz w:val="24"/>
          <w:lang w:val="zh-CN"/>
        </w:rPr>
        <w:t>保密</w:t>
      </w:r>
    </w:p>
    <w:p w14:paraId="76E32AD6">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67D5CCFB">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保密信息指任何一方因履行本合同所知悉的任何以口头、书面、图表或电子形式存在的对方信息，具体包括：</w:t>
      </w:r>
    </w:p>
    <w:p w14:paraId="64B37255">
      <w:pPr>
        <w:numPr>
          <w:ilvl w:val="2"/>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任何涉及对方过去、现在或将来的商业计划、规章制度、操作规程、处理手段、财务信息；</w:t>
      </w:r>
    </w:p>
    <w:p w14:paraId="5540F6A5">
      <w:pPr>
        <w:numPr>
          <w:ilvl w:val="2"/>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任何对方的技术措施、技术方案、软件应用及开发，硬件设备的品种、质量、数量、品牌等；</w:t>
      </w:r>
    </w:p>
    <w:p w14:paraId="4BA90B95">
      <w:pPr>
        <w:numPr>
          <w:ilvl w:val="2"/>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任何对方的技术秘密或专有知识、文件、报告、数据、客户软件、流程图、数据库、发明、知识、贸易秘密。</w:t>
      </w:r>
    </w:p>
    <w:p w14:paraId="3BEEA382">
      <w:pPr>
        <w:numPr>
          <w:ilvl w:val="1"/>
          <w:numId w:val="37"/>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乙方应根据甲方的要求签署相应的保密协议，保密协议与本条款存在不一致的，以保密协议为准。</w:t>
      </w:r>
    </w:p>
    <w:p w14:paraId="2F51B43B">
      <w:pPr>
        <w:numPr>
          <w:ilvl w:val="0"/>
          <w:numId w:val="37"/>
        </w:numPr>
        <w:autoSpaceDE w:val="0"/>
        <w:autoSpaceDN w:val="0"/>
        <w:spacing w:line="360" w:lineRule="auto"/>
        <w:rPr>
          <w:rFonts w:ascii="宋体" w:hAnsi="宋体" w:cs="宋体"/>
          <w:kern w:val="0"/>
          <w:sz w:val="24"/>
        </w:rPr>
      </w:pPr>
      <w:r>
        <w:rPr>
          <w:rFonts w:hint="eastAsia" w:ascii="宋体" w:hAnsi="宋体" w:cs="宋体"/>
          <w:b/>
          <w:bCs/>
          <w:kern w:val="0"/>
          <w:sz w:val="24"/>
          <w:lang w:val="zh-CN"/>
        </w:rPr>
        <w:t>质量保证</w:t>
      </w:r>
    </w:p>
    <w:p w14:paraId="5C4087DA">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货物质量保证</w:t>
      </w:r>
    </w:p>
    <w:p w14:paraId="48E3232A">
      <w:pPr>
        <w:numPr>
          <w:ilvl w:val="2"/>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乙方必须保证货物是全新、未使用过的，并完全符合强制性的国家技术质量规范和合同规定的质量、规格、性能和技术规范等的要求。</w:t>
      </w:r>
    </w:p>
    <w:p w14:paraId="27102F55">
      <w:pPr>
        <w:numPr>
          <w:ilvl w:val="2"/>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14:paraId="59554894">
      <w:pPr>
        <w:numPr>
          <w:ilvl w:val="2"/>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2FF2F03C">
      <w:pPr>
        <w:numPr>
          <w:ilvl w:val="2"/>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59F2E6E6">
      <w:pPr>
        <w:numPr>
          <w:ilvl w:val="2"/>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合同条款下货物的免费质保期自货物通过最终验收起算，合同另行规定除外。</w:t>
      </w:r>
    </w:p>
    <w:p w14:paraId="2995DE29">
      <w:pPr>
        <w:numPr>
          <w:ilvl w:val="1"/>
          <w:numId w:val="37"/>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辅助服务质量保证</w:t>
      </w:r>
    </w:p>
    <w:p w14:paraId="1D203D14">
      <w:pPr>
        <w:numPr>
          <w:ilvl w:val="2"/>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19F1B0DA">
      <w:pPr>
        <w:numPr>
          <w:ilvl w:val="2"/>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乙方应保证合同条款下所提供的服务包括培训、安装指导、单机调试、系统联调和试验等，按合同规定方式进行，并保证不存在因乙方工作人员的过失、错误或疏忽而产生的缺陷。</w:t>
      </w:r>
    </w:p>
    <w:p w14:paraId="36604EA6">
      <w:pPr>
        <w:numPr>
          <w:ilvl w:val="0"/>
          <w:numId w:val="37"/>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包装要求</w:t>
      </w:r>
    </w:p>
    <w:p w14:paraId="45041C4E">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除合同另有约定外</w:t>
      </w:r>
      <w:r>
        <w:rPr>
          <w:rFonts w:hint="eastAsia" w:ascii="宋体" w:hAnsi="宋体" w:cs="宋体"/>
          <w:kern w:val="0"/>
          <w:sz w:val="24"/>
        </w:rPr>
        <w:t>,</w:t>
      </w:r>
      <w:r>
        <w:rPr>
          <w:rFonts w:hint="eastAsia" w:ascii="宋体" w:hAnsi="宋体" w:cs="宋体"/>
          <w:kern w:val="0"/>
          <w:sz w:val="24"/>
          <w:lang w:val="zh-CN"/>
        </w:rPr>
        <w:t>乙方提供的全部货物</w:t>
      </w:r>
      <w:r>
        <w:rPr>
          <w:rFonts w:hint="eastAsia" w:ascii="宋体" w:hAnsi="宋体" w:cs="宋体"/>
          <w:kern w:val="0"/>
          <w:sz w:val="24"/>
        </w:rPr>
        <w:t>,</w:t>
      </w:r>
      <w:r>
        <w:rPr>
          <w:rFonts w:hint="eastAsia" w:ascii="宋体" w:hAnsi="宋体" w:cs="宋体"/>
          <w:kern w:val="0"/>
          <w:sz w:val="24"/>
          <w:lang w:val="zh-CN"/>
        </w:rPr>
        <w:t>均应采用本行业通用的方式进行包装，且该包装应符合国家有关包装的法律、法规的规定。</w:t>
      </w:r>
    </w:p>
    <w:p w14:paraId="199EA42C">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包装应适应于远距离运输，并有良好的防潮、防震、防锈和防粗暴装卸等保护措施，以确保货物安全运抵现场。由于包装不善所引起的货物锈蚀、损坏和损失均由乙方承担。</w:t>
      </w:r>
    </w:p>
    <w:p w14:paraId="25004C22">
      <w:pPr>
        <w:autoSpaceDE w:val="0"/>
        <w:autoSpaceDN w:val="0"/>
        <w:spacing w:line="360" w:lineRule="auto"/>
        <w:ind w:left="480"/>
        <w:rPr>
          <w:rFonts w:ascii="宋体" w:hAnsi="宋体" w:cs="宋体"/>
          <w:kern w:val="0"/>
          <w:sz w:val="24"/>
        </w:rPr>
      </w:pPr>
      <w:r>
        <w:rPr>
          <w:rFonts w:hint="eastAsia" w:ascii="宋体" w:hAnsi="宋体" w:cs="宋体"/>
          <w:kern w:val="0"/>
          <w:sz w:val="24"/>
          <w:lang w:val="zh-CN"/>
        </w:rPr>
        <w:t>乙方应提供货物运至合同规定的最终目的地所需要的包装，以防止货物在转运中损坏或变质。</w:t>
      </w:r>
    </w:p>
    <w:p w14:paraId="43366599">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乙方所提供的货物包装均为出厂时原包装。</w:t>
      </w:r>
    </w:p>
    <w:p w14:paraId="609AE83B">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乙方所提供货物必须附有质量合格证，装箱清单，主机、附件、各种零部件和消耗品，有清楚的与装箱单相对应的名称和编号。</w:t>
      </w:r>
    </w:p>
    <w:p w14:paraId="2424F17B">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货物运输中的运输费用和保险费用均由乙方承担。运输过程中的一切损失、损坏均由乙方负责。</w:t>
      </w:r>
    </w:p>
    <w:p w14:paraId="4D441661">
      <w:pPr>
        <w:numPr>
          <w:ilvl w:val="0"/>
          <w:numId w:val="37"/>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价格</w:t>
      </w:r>
    </w:p>
    <w:p w14:paraId="0561BB85">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14:paraId="03203A9C">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本合同价格为固定价格，包括了乙方履行合同全过程产生的所有成本和费用以及乙方应承担的一切税费。</w:t>
      </w:r>
    </w:p>
    <w:p w14:paraId="032BA9C6">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检验费用</w:t>
      </w:r>
    </w:p>
    <w:p w14:paraId="4A00B252">
      <w:pPr>
        <w:numPr>
          <w:ilvl w:val="2"/>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乙方必须负担本条款下属于乙方负责的检验、测试、调试、试运行和验收的所有费用，并负责乙方派往买方组织的检验、测试和验收人员的所有费用。</w:t>
      </w:r>
    </w:p>
    <w:p w14:paraId="7FF7F803">
      <w:pPr>
        <w:numPr>
          <w:ilvl w:val="2"/>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甲方按合同计划参加在乙方工厂所在地检验、测试和验收的费用全部由乙方负责并已包含在合同总价中。</w:t>
      </w:r>
    </w:p>
    <w:p w14:paraId="6136AC19">
      <w:pPr>
        <w:numPr>
          <w:ilvl w:val="2"/>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甲方检验人员已到卖方所在地，测试无法依照合同进行，而引起甲方人员延长逗留时间，所有由此产生的包括甲方人员在内的直接费用及成本由乙方承担。</w:t>
      </w:r>
    </w:p>
    <w:p w14:paraId="10E63DF4">
      <w:pPr>
        <w:numPr>
          <w:ilvl w:val="0"/>
          <w:numId w:val="37"/>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交货方式及交货时间</w:t>
      </w:r>
    </w:p>
    <w:p w14:paraId="089C3AEB">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交货方式：现场交货，乙方负责办理运输和保险，将货物运抵现场。</w:t>
      </w:r>
    </w:p>
    <w:p w14:paraId="5DCDBF28">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交货期应根据产品的特点实事求是填写，进口产品90个工作日内，国产产品60个工作日内。特殊产品交货期需说明。</w:t>
      </w:r>
    </w:p>
    <w:p w14:paraId="046471B4">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交货时间：所有货物运抵现场并经双方开箱验收合格之日。</w:t>
      </w:r>
    </w:p>
    <w:p w14:paraId="24EDCA23">
      <w:pPr>
        <w:numPr>
          <w:ilvl w:val="0"/>
          <w:numId w:val="37"/>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检验和验收</w:t>
      </w:r>
    </w:p>
    <w:p w14:paraId="1E113D8D">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开箱验收</w:t>
      </w:r>
    </w:p>
    <w:p w14:paraId="3B160EEC">
      <w:pPr>
        <w:numPr>
          <w:ilvl w:val="2"/>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货物运抵现场后，双方应及时开箱验收，并制作验收记录，以确认与本合同约定的数量、型号等是否一致。</w:t>
      </w:r>
    </w:p>
    <w:p w14:paraId="03ED3874">
      <w:pPr>
        <w:numPr>
          <w:ilvl w:val="2"/>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11297665">
      <w:pPr>
        <w:numPr>
          <w:ilvl w:val="2"/>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19512630">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检验验收</w:t>
      </w:r>
    </w:p>
    <w:p w14:paraId="2B8C9CEC">
      <w:pPr>
        <w:numPr>
          <w:ilvl w:val="2"/>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交货完成后，乙方应及时组装、调试、试运行，按照合同专用条款规定的试运行完成后，双方及时组织对货物检验验收。合同双方均须派人参加合同要求双方参加的试验、检验。</w:t>
      </w:r>
    </w:p>
    <w:p w14:paraId="24A7B73B">
      <w:pPr>
        <w:numPr>
          <w:ilvl w:val="2"/>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在具体实施合同规定的检验验收之前，乙方需提前提交相应的测试计划（包括测试程序、测试内容和检验标准、试验时间安排等）供甲方确认。</w:t>
      </w:r>
    </w:p>
    <w:p w14:paraId="3D0C2A95">
      <w:pPr>
        <w:numPr>
          <w:ilvl w:val="2"/>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除需甲方确认的试验验收外，乙方还应对所有检验验收测试的结果、步骤、原始数据等作妥善记录。如甲方要求，乙方应提供这些记录给买方。</w:t>
      </w:r>
    </w:p>
    <w:p w14:paraId="6F2ED4BE">
      <w:pPr>
        <w:numPr>
          <w:ilvl w:val="2"/>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检验测试出现全部或部分未达到本合同所约定的技术指标，甲方有权选择下列任一处理方式：</w:t>
      </w:r>
    </w:p>
    <w:p w14:paraId="0327CDE7">
      <w:pPr>
        <w:numPr>
          <w:ilvl w:val="0"/>
          <w:numId w:val="38"/>
        </w:numPr>
        <w:autoSpaceDE w:val="0"/>
        <w:autoSpaceDN w:val="0"/>
        <w:spacing w:line="360" w:lineRule="auto"/>
        <w:rPr>
          <w:rFonts w:ascii="宋体" w:hAnsi="宋体" w:cs="宋体"/>
          <w:kern w:val="0"/>
          <w:sz w:val="24"/>
        </w:rPr>
      </w:pPr>
      <w:r>
        <w:rPr>
          <w:rFonts w:hint="eastAsia" w:ascii="宋体" w:hAnsi="宋体" w:cs="宋体"/>
          <w:kern w:val="0"/>
          <w:sz w:val="24"/>
          <w:lang w:val="zh-CN"/>
        </w:rPr>
        <w:t>重新测试直至合格为止；</w:t>
      </w:r>
    </w:p>
    <w:p w14:paraId="5C0EC7E4">
      <w:pPr>
        <w:numPr>
          <w:ilvl w:val="0"/>
          <w:numId w:val="38"/>
        </w:numPr>
        <w:autoSpaceDE w:val="0"/>
        <w:autoSpaceDN w:val="0"/>
        <w:spacing w:line="360" w:lineRule="auto"/>
        <w:rPr>
          <w:rFonts w:ascii="宋体" w:hAnsi="宋体" w:cs="宋体"/>
          <w:kern w:val="0"/>
          <w:sz w:val="24"/>
        </w:rPr>
      </w:pPr>
      <w:r>
        <w:rPr>
          <w:rFonts w:hint="eastAsia" w:ascii="宋体" w:hAnsi="宋体" w:cs="宋体"/>
          <w:kern w:val="0"/>
          <w:sz w:val="24"/>
          <w:lang w:val="zh-CN"/>
        </w:rPr>
        <w:t>要求乙方对货物进行免费更换，然后重新测试直至合格为止；</w:t>
      </w:r>
    </w:p>
    <w:p w14:paraId="31ABAABD">
      <w:pPr>
        <w:autoSpaceDE w:val="0"/>
        <w:autoSpaceDN w:val="0"/>
        <w:spacing w:line="360" w:lineRule="auto"/>
        <w:rPr>
          <w:rFonts w:ascii="宋体" w:hAnsi="宋体" w:cs="宋体"/>
          <w:kern w:val="0"/>
          <w:sz w:val="24"/>
        </w:rPr>
      </w:pPr>
      <w:r>
        <w:rPr>
          <w:rFonts w:hint="eastAsia" w:ascii="宋体" w:hAnsi="宋体" w:cs="宋体"/>
          <w:kern w:val="0"/>
          <w:sz w:val="24"/>
          <w:lang w:val="zh-CN"/>
        </w:rPr>
        <w:t>无论选择何种方式，甲方因此而发生的因卖方原因引起的所有费用均由乙方负担。</w:t>
      </w:r>
    </w:p>
    <w:p w14:paraId="70EB96D4">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使用过程检验</w:t>
      </w:r>
    </w:p>
    <w:p w14:paraId="1823A277">
      <w:pPr>
        <w:numPr>
          <w:ilvl w:val="2"/>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在合同规定的免费质保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499A801E">
      <w:pPr>
        <w:numPr>
          <w:ilvl w:val="2"/>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如果合同双方对乙方提供的上述试验结果报告的解释有分歧，双方须于出现分歧后</w:t>
      </w:r>
      <w:r>
        <w:rPr>
          <w:rFonts w:hint="eastAsia" w:ascii="宋体" w:hAnsi="宋体" w:cs="宋体"/>
          <w:kern w:val="0"/>
          <w:sz w:val="24"/>
        </w:rPr>
        <w:t>10</w:t>
      </w:r>
      <w:r>
        <w:rPr>
          <w:rFonts w:hint="eastAsia" w:ascii="宋体" w:hAnsi="宋体" w:cs="宋体"/>
          <w:kern w:val="0"/>
          <w:sz w:val="24"/>
          <w:lang w:val="zh-CN"/>
        </w:rPr>
        <w:t>天内给对方声明，以陈述己方的观点。声明须附有关证据。分歧应通过协商解决。</w:t>
      </w:r>
    </w:p>
    <w:p w14:paraId="2158B155">
      <w:pPr>
        <w:numPr>
          <w:ilvl w:val="0"/>
          <w:numId w:val="37"/>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付款条件</w:t>
      </w:r>
    </w:p>
    <w:p w14:paraId="607F8C5E">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本合同条款下的付款方法和条件在“青海省政府采购合同书”中具体规定。</w:t>
      </w:r>
    </w:p>
    <w:p w14:paraId="7A6B3C56">
      <w:pPr>
        <w:numPr>
          <w:ilvl w:val="0"/>
          <w:numId w:val="37"/>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履约保证金</w:t>
      </w:r>
    </w:p>
    <w:p w14:paraId="13CD2F90">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乙方应在合同签订前，按要求提交履约保证金。</w:t>
      </w:r>
    </w:p>
    <w:p w14:paraId="5A9AA34C">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履约保证金用于补偿甲方因乙方不能履行其合同义务而蒙受的损失。</w:t>
      </w:r>
    </w:p>
    <w:p w14:paraId="1E0DD1EA">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履约保证金应使用本合同货币，按下述方式之一提交（磋商文件中另有约定的除外）：</w:t>
      </w:r>
    </w:p>
    <w:p w14:paraId="34BE8D5D">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甲方可接受的在中华人民共和国注册和营业的银行出具的履约保函；</w:t>
      </w:r>
    </w:p>
    <w:p w14:paraId="126DDD53">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支票或汇票。</w:t>
      </w:r>
    </w:p>
    <w:p w14:paraId="74464084">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乙方未能按合同规定履行其义务，甲方有权从履约保证金中取得补偿。货物验收合格后，甲方将履约保证金退还乙方或转为质量保证金。</w:t>
      </w:r>
    </w:p>
    <w:p w14:paraId="1F6F1DF7">
      <w:pPr>
        <w:numPr>
          <w:ilvl w:val="0"/>
          <w:numId w:val="37"/>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索赔</w:t>
      </w:r>
    </w:p>
    <w:p w14:paraId="0438DAC2">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14:paraId="391C8350">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在履约保证期和检验期内，乙方对甲方提出的索赔负有责任，乙方应按照甲方同意的下列一种或多种方式解决索赔事宜：</w:t>
      </w:r>
    </w:p>
    <w:p w14:paraId="40E52096">
      <w:pPr>
        <w:numPr>
          <w:ilvl w:val="2"/>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55DA37D2">
      <w:pPr>
        <w:numPr>
          <w:ilvl w:val="2"/>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根据货物低劣程度、损坏程度以及甲方所遭受损失的数额，经甲乙双方商定降低货物的价格，或由有资质的中介机构评估，以降低后的价格或评估价格为准。</w:t>
      </w:r>
    </w:p>
    <w:p w14:paraId="5012AD55">
      <w:pPr>
        <w:numPr>
          <w:ilvl w:val="2"/>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3C928999">
      <w:pPr>
        <w:numPr>
          <w:ilvl w:val="1"/>
          <w:numId w:val="37"/>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乙方收到甲方发出的索赔通知之日起</w:t>
      </w:r>
      <w:r>
        <w:rPr>
          <w:rFonts w:hint="eastAsia" w:ascii="宋体" w:hAnsi="宋体" w:cs="宋体"/>
          <w:kern w:val="0"/>
          <w:sz w:val="24"/>
        </w:rPr>
        <w:t>5</w:t>
      </w:r>
      <w:r>
        <w:rPr>
          <w:rFonts w:hint="eastAsia" w:ascii="宋体" w:hAnsi="宋体" w:cs="宋体"/>
          <w:kern w:val="0"/>
          <w:sz w:val="24"/>
          <w:lang w:val="zh-CN"/>
        </w:rPr>
        <w:t>个工作日内未作答复的，甲方可从合同款或履约保证金中扣回索赔金额，如金额不足以补偿索赔金额，乙方应补足差额部分。</w:t>
      </w:r>
    </w:p>
    <w:p w14:paraId="5E777706">
      <w:pPr>
        <w:numPr>
          <w:ilvl w:val="0"/>
          <w:numId w:val="37"/>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迟延交货</w:t>
      </w:r>
    </w:p>
    <w:p w14:paraId="58EF429B">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乙方应按照合同约定的时间交货和提供服务。</w:t>
      </w:r>
    </w:p>
    <w:p w14:paraId="039DEA8F">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除不可抗力因素外，乙方迟延交货，甲方有权提出违约损失赔偿或解除合同。</w:t>
      </w:r>
    </w:p>
    <w:p w14:paraId="42C58395">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5C65D349">
      <w:pPr>
        <w:numPr>
          <w:ilvl w:val="0"/>
          <w:numId w:val="37"/>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违约赔偿</w:t>
      </w:r>
    </w:p>
    <w:p w14:paraId="0F547E29">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除不可抗力因素外，乙方没有按照合同规定的时间交货和提供服务，甲方可要求乙方支付违约金。违约金每日按合同总价款的千分之五计收。</w:t>
      </w:r>
    </w:p>
    <w:p w14:paraId="4BA9D720">
      <w:pPr>
        <w:numPr>
          <w:ilvl w:val="0"/>
          <w:numId w:val="37"/>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不可抗力</w:t>
      </w:r>
    </w:p>
    <w:p w14:paraId="6B450E9D">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双方中任何一方遭遇法律规定的不可抗力，致使合同履行受阻时，履行合同的期限应予延长，延长的期限应相当于不可抗力所影响的时间。</w:t>
      </w:r>
    </w:p>
    <w:p w14:paraId="2F142576">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受事故影响的一方应在不可抗力的事故发生后以书面形式通知另一方。</w:t>
      </w:r>
    </w:p>
    <w:p w14:paraId="3C7B8CBE">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不可抗力使合同的某些内容有变更必要的，双方应通过协商达成进一步履行合同的协议，因不可抗力致使合同不能履行的，合同终止。</w:t>
      </w:r>
    </w:p>
    <w:p w14:paraId="4B28F2C9">
      <w:pPr>
        <w:numPr>
          <w:ilvl w:val="0"/>
          <w:numId w:val="37"/>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税费</w:t>
      </w:r>
    </w:p>
    <w:p w14:paraId="23F3B208">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与本合同有关的一切税费均由乙方承担。</w:t>
      </w:r>
    </w:p>
    <w:p w14:paraId="284042CA">
      <w:pPr>
        <w:numPr>
          <w:ilvl w:val="0"/>
          <w:numId w:val="37"/>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合同争议的解决</w:t>
      </w:r>
    </w:p>
    <w:p w14:paraId="1CF4A8A6">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甲方和乙方由于本合同的履行而发生任何争议时，双方可先通过协商解决。</w:t>
      </w:r>
    </w:p>
    <w:p w14:paraId="6AF68E9C">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任何一方不愿通过协商或通过协商仍不能解决争议，则双方中任何一方均应向甲方所在地人民法院起诉。</w:t>
      </w:r>
    </w:p>
    <w:p w14:paraId="6C6D687D">
      <w:pPr>
        <w:numPr>
          <w:ilvl w:val="0"/>
          <w:numId w:val="37"/>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违约解除合同</w:t>
      </w:r>
    </w:p>
    <w:p w14:paraId="06247148">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出现下列情形之一的，视为乙方违约。甲方可向乙方发出书面通知，部分或全部终止合同，同时保留向乙方索赔的权利。</w:t>
      </w:r>
    </w:p>
    <w:p w14:paraId="096672C9">
      <w:pPr>
        <w:numPr>
          <w:ilvl w:val="2"/>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乙方未能在合同规定的限期或甲方同意延长的限期内，提供全部或部分货物的；</w:t>
      </w:r>
    </w:p>
    <w:p w14:paraId="793759E4">
      <w:pPr>
        <w:numPr>
          <w:ilvl w:val="2"/>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乙方未能履行合同规定的其它主要义务的；</w:t>
      </w:r>
    </w:p>
    <w:p w14:paraId="28867C54">
      <w:pPr>
        <w:numPr>
          <w:ilvl w:val="2"/>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乙方在本合同履行过程中有欺诈行为的。</w:t>
      </w:r>
    </w:p>
    <w:p w14:paraId="1A956F62">
      <w:pPr>
        <w:numPr>
          <w:ilvl w:val="1"/>
          <w:numId w:val="37"/>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D444781">
      <w:pPr>
        <w:numPr>
          <w:ilvl w:val="0"/>
          <w:numId w:val="37"/>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破产终止合同</w:t>
      </w:r>
    </w:p>
    <w:p w14:paraId="62C808D8">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15265ED5">
      <w:pPr>
        <w:numPr>
          <w:ilvl w:val="0"/>
          <w:numId w:val="37"/>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转让和分包</w:t>
      </w:r>
    </w:p>
    <w:p w14:paraId="045F7DF9">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政府采购合同不能转让。</w:t>
      </w:r>
    </w:p>
    <w:p w14:paraId="2882EEF0">
      <w:pPr>
        <w:numPr>
          <w:ilvl w:val="1"/>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6EA20A95">
      <w:pPr>
        <w:numPr>
          <w:ilvl w:val="0"/>
          <w:numId w:val="37"/>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合同修改</w:t>
      </w:r>
    </w:p>
    <w:p w14:paraId="1023DE3F">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甲方和乙方都不得擅自变更本合同，但合同继续履行将损害国家和社会公共利益的除外。如必须对合同条款进行改动时，当事人双方须共同签署书面文件，做为合同的补充。</w:t>
      </w:r>
    </w:p>
    <w:p w14:paraId="35B5E665">
      <w:pPr>
        <w:numPr>
          <w:ilvl w:val="0"/>
          <w:numId w:val="37"/>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通知</w:t>
      </w:r>
    </w:p>
    <w:p w14:paraId="5AC6085E">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本合同任何一方给另一方的通知，都应以书面形式发送，而另一方也应以书面形式确认并发送到对方明确的地址。</w:t>
      </w:r>
    </w:p>
    <w:p w14:paraId="7DD6FF14">
      <w:pPr>
        <w:numPr>
          <w:ilvl w:val="0"/>
          <w:numId w:val="37"/>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计量单位</w:t>
      </w:r>
    </w:p>
    <w:p w14:paraId="434135DC">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除技术规范中另有规定外</w:t>
      </w:r>
      <w:r>
        <w:rPr>
          <w:rFonts w:hint="eastAsia" w:ascii="宋体" w:hAnsi="宋体" w:cs="宋体"/>
          <w:kern w:val="0"/>
          <w:sz w:val="24"/>
        </w:rPr>
        <w:t>,</w:t>
      </w:r>
      <w:r>
        <w:rPr>
          <w:rFonts w:hint="eastAsia" w:ascii="宋体" w:hAnsi="宋体" w:cs="宋体"/>
          <w:kern w:val="0"/>
          <w:sz w:val="24"/>
          <w:lang w:val="zh-CN"/>
        </w:rPr>
        <w:t>计量单位均使用国家法定计量单位。</w:t>
      </w:r>
    </w:p>
    <w:p w14:paraId="659D5DEA">
      <w:pPr>
        <w:numPr>
          <w:ilvl w:val="0"/>
          <w:numId w:val="37"/>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适用法律</w:t>
      </w:r>
    </w:p>
    <w:p w14:paraId="7B578C31">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本合同按照中华人民共和国的相关法律进行解释。</w:t>
      </w:r>
    </w:p>
    <w:p w14:paraId="71753C27">
      <w:pPr>
        <w:pStyle w:val="24"/>
        <w:spacing w:before="0" w:after="0" w:line="360" w:lineRule="auto"/>
        <w:rPr>
          <w:rFonts w:ascii="宋体" w:hAnsi="宋体"/>
          <w:sz w:val="48"/>
          <w:szCs w:val="48"/>
        </w:rPr>
      </w:pPr>
      <w:r>
        <w:rPr>
          <w:rFonts w:ascii="宋体" w:hAnsi="宋体" w:cs="宋体"/>
          <w:kern w:val="0"/>
          <w:sz w:val="24"/>
          <w:szCs w:val="24"/>
          <w:lang w:val="zh-CN"/>
        </w:rPr>
        <w:br w:type="page"/>
      </w:r>
      <w:bookmarkStart w:id="88" w:name="_Toc1952"/>
      <w:r>
        <w:rPr>
          <w:rFonts w:hint="eastAsia" w:ascii="宋体" w:hAnsi="宋体"/>
          <w:sz w:val="48"/>
          <w:szCs w:val="48"/>
        </w:rPr>
        <w:t>第五部分  磋商响应文件格式</w:t>
      </w:r>
      <w:bookmarkEnd w:id="88"/>
    </w:p>
    <w:p w14:paraId="401AE132">
      <w:pPr>
        <w:spacing w:line="360" w:lineRule="auto"/>
        <w:rPr>
          <w:rFonts w:ascii="宋体" w:hAnsi="宋体"/>
          <w:sz w:val="24"/>
        </w:rPr>
      </w:pPr>
    </w:p>
    <w:p w14:paraId="0100EEE6">
      <w:pPr>
        <w:spacing w:line="360" w:lineRule="auto"/>
        <w:ind w:firstLine="540" w:firstLineChars="224"/>
        <w:rPr>
          <w:rFonts w:ascii="宋体" w:hAnsi="宋体" w:cs="宋体"/>
          <w:b/>
          <w:bCs/>
          <w:kern w:val="0"/>
          <w:sz w:val="24"/>
          <w:lang w:val="zh-CN"/>
        </w:rPr>
      </w:pPr>
      <w:r>
        <w:rPr>
          <w:rFonts w:hint="eastAsia" w:ascii="宋体" w:hAnsi="宋体" w:cs="宋体"/>
          <w:b/>
          <w:bCs/>
          <w:kern w:val="0"/>
          <w:sz w:val="24"/>
          <w:lang w:val="zh-CN"/>
        </w:rPr>
        <w:t>磋</w:t>
      </w:r>
      <w:r>
        <w:rPr>
          <w:rFonts w:hint="eastAsia" w:ascii="宋体" w:hAnsi="宋体" w:cs="宋体"/>
          <w:b/>
          <w:bCs/>
          <w:kern w:val="0"/>
          <w:sz w:val="28"/>
          <w:szCs w:val="28"/>
          <w:lang w:val="zh-CN"/>
        </w:rPr>
        <w:t>商供应商应严格按照本格式要求编制磋商响应文件</w:t>
      </w:r>
      <w:r>
        <w:rPr>
          <w:rFonts w:hint="eastAsia" w:ascii="宋体" w:hAnsi="宋体" w:cs="宋体"/>
          <w:b/>
          <w:bCs/>
          <w:kern w:val="0"/>
          <w:sz w:val="24"/>
          <w:lang w:val="zh-CN"/>
        </w:rPr>
        <w:t>。</w:t>
      </w:r>
    </w:p>
    <w:p w14:paraId="20903074">
      <w:pPr>
        <w:spacing w:line="360" w:lineRule="auto"/>
        <w:rPr>
          <w:rFonts w:ascii="宋体" w:hAnsi="宋体"/>
          <w:b/>
          <w:sz w:val="24"/>
          <w:lang w:val="zh-CN"/>
        </w:rPr>
      </w:pPr>
      <w:r>
        <w:rPr>
          <w:rFonts w:ascii="宋体" w:hAnsi="宋体" w:cs="宋体"/>
          <w:kern w:val="0"/>
          <w:sz w:val="24"/>
          <w:lang w:val="zh-CN"/>
        </w:rPr>
        <w:br w:type="page"/>
      </w:r>
    </w:p>
    <w:p w14:paraId="49F70D10">
      <w:pPr>
        <w:pStyle w:val="5"/>
        <w:numPr>
          <w:ilvl w:val="0"/>
          <w:numId w:val="0"/>
        </w:numPr>
        <w:ind w:left="709" w:hanging="709"/>
        <w:rPr>
          <w:rFonts w:hAnsi="宋体"/>
          <w:sz w:val="24"/>
          <w:szCs w:val="24"/>
          <w:lang w:val="zh-CN"/>
        </w:rPr>
      </w:pPr>
      <w:bookmarkStart w:id="89" w:name="_Toc27561"/>
      <w:r>
        <w:rPr>
          <w:rFonts w:hint="eastAsia" w:hAnsi="宋体"/>
          <w:b/>
          <w:sz w:val="24"/>
          <w:szCs w:val="24"/>
          <w:lang w:val="zh-CN"/>
        </w:rPr>
        <w:t>磋商响应文件封面</w:t>
      </w:r>
      <w:bookmarkEnd w:id="89"/>
    </w:p>
    <w:p w14:paraId="105F84C0">
      <w:pPr>
        <w:spacing w:line="360" w:lineRule="auto"/>
        <w:jc w:val="right"/>
        <w:rPr>
          <w:rFonts w:ascii="宋体" w:hAnsi="宋体"/>
          <w:sz w:val="24"/>
        </w:rPr>
      </w:pPr>
    </w:p>
    <w:p w14:paraId="79491CBE">
      <w:pPr>
        <w:spacing w:line="360" w:lineRule="auto"/>
        <w:rPr>
          <w:rFonts w:ascii="宋体" w:hAnsi="宋体"/>
          <w:sz w:val="24"/>
        </w:rPr>
      </w:pPr>
    </w:p>
    <w:p w14:paraId="0F7E69A2">
      <w:pPr>
        <w:spacing w:line="360" w:lineRule="auto"/>
        <w:rPr>
          <w:rFonts w:ascii="宋体" w:hAnsi="宋体"/>
          <w:sz w:val="24"/>
        </w:rPr>
      </w:pPr>
    </w:p>
    <w:p w14:paraId="75E3013C">
      <w:pPr>
        <w:spacing w:line="360" w:lineRule="auto"/>
        <w:jc w:val="center"/>
        <w:rPr>
          <w:rFonts w:ascii="宋体" w:hAnsi="宋体"/>
          <w:b/>
          <w:sz w:val="72"/>
          <w:szCs w:val="72"/>
        </w:rPr>
      </w:pPr>
      <w:r>
        <w:rPr>
          <w:rFonts w:hint="eastAsia" w:ascii="宋体" w:hAnsi="宋体"/>
          <w:b/>
          <w:sz w:val="72"/>
          <w:szCs w:val="72"/>
        </w:rPr>
        <w:t>青海省政府采购项目</w:t>
      </w:r>
    </w:p>
    <w:p w14:paraId="3A7432A5">
      <w:pPr>
        <w:spacing w:line="360" w:lineRule="auto"/>
        <w:jc w:val="center"/>
        <w:rPr>
          <w:rFonts w:ascii="宋体" w:hAnsi="宋体"/>
          <w:b/>
          <w:sz w:val="72"/>
          <w:szCs w:val="72"/>
        </w:rPr>
      </w:pPr>
    </w:p>
    <w:p w14:paraId="3C43C49C">
      <w:pPr>
        <w:spacing w:line="360" w:lineRule="auto"/>
        <w:jc w:val="center"/>
        <w:rPr>
          <w:rFonts w:ascii="宋体" w:hAnsi="宋体"/>
          <w:b/>
          <w:sz w:val="72"/>
          <w:szCs w:val="72"/>
        </w:rPr>
      </w:pPr>
    </w:p>
    <w:p w14:paraId="22B9FBCB">
      <w:pPr>
        <w:spacing w:line="360" w:lineRule="auto"/>
        <w:jc w:val="center"/>
        <w:rPr>
          <w:rFonts w:ascii="宋体" w:hAnsi="宋体"/>
          <w:b/>
          <w:sz w:val="72"/>
          <w:szCs w:val="72"/>
        </w:rPr>
      </w:pPr>
      <w:r>
        <w:rPr>
          <w:rFonts w:hint="eastAsia" w:ascii="宋体" w:hAnsi="宋体"/>
          <w:b/>
          <w:sz w:val="72"/>
          <w:szCs w:val="72"/>
        </w:rPr>
        <w:t>磋商响应文件</w:t>
      </w:r>
    </w:p>
    <w:p w14:paraId="3343D60A">
      <w:pPr>
        <w:adjustRightInd w:val="0"/>
        <w:spacing w:line="360" w:lineRule="auto"/>
        <w:textAlignment w:val="baseline"/>
        <w:rPr>
          <w:rFonts w:ascii="宋体" w:hAnsi="宋体"/>
          <w:b/>
          <w:bCs/>
          <w:sz w:val="24"/>
        </w:rPr>
      </w:pPr>
    </w:p>
    <w:p w14:paraId="04DA7B32">
      <w:pPr>
        <w:adjustRightInd w:val="0"/>
        <w:spacing w:line="360" w:lineRule="auto"/>
        <w:textAlignment w:val="baseline"/>
        <w:rPr>
          <w:rFonts w:ascii="宋体" w:hAnsi="宋体"/>
          <w:b/>
          <w:bCs/>
          <w:sz w:val="24"/>
        </w:rPr>
      </w:pPr>
    </w:p>
    <w:p w14:paraId="7C1C775A">
      <w:pPr>
        <w:adjustRightInd w:val="0"/>
        <w:spacing w:line="360" w:lineRule="auto"/>
        <w:textAlignment w:val="baseline"/>
        <w:rPr>
          <w:rFonts w:ascii="宋体" w:hAnsi="宋体"/>
          <w:b/>
          <w:bCs/>
          <w:sz w:val="24"/>
        </w:rPr>
      </w:pPr>
    </w:p>
    <w:p w14:paraId="2402328D">
      <w:pPr>
        <w:adjustRightInd w:val="0"/>
        <w:spacing w:line="360" w:lineRule="auto"/>
        <w:ind w:firstLine="643" w:firstLineChars="200"/>
        <w:textAlignment w:val="baseline"/>
        <w:rPr>
          <w:rFonts w:ascii="宋体" w:hAnsi="宋体"/>
          <w:b/>
          <w:bCs/>
          <w:sz w:val="32"/>
          <w:szCs w:val="32"/>
          <w:u w:val="single"/>
        </w:rPr>
      </w:pPr>
      <w:r>
        <w:rPr>
          <w:rFonts w:hint="eastAsia" w:ascii="宋体" w:hAnsi="宋体"/>
          <w:b/>
          <w:bCs/>
          <w:sz w:val="32"/>
          <w:szCs w:val="32"/>
        </w:rPr>
        <w:t>采购项目编号</w:t>
      </w:r>
      <w:r>
        <w:rPr>
          <w:rFonts w:hint="eastAsia" w:ascii="宋体" w:hAnsi="宋体"/>
          <w:sz w:val="32"/>
          <w:szCs w:val="32"/>
        </w:rPr>
        <w:t>：</w:t>
      </w:r>
    </w:p>
    <w:p w14:paraId="42CC5859">
      <w:pPr>
        <w:adjustRightInd w:val="0"/>
        <w:spacing w:line="360" w:lineRule="auto"/>
        <w:ind w:firstLine="643" w:firstLineChars="200"/>
        <w:textAlignment w:val="baseline"/>
        <w:rPr>
          <w:rFonts w:ascii="宋体" w:hAnsi="宋体"/>
          <w:b/>
          <w:bCs/>
          <w:sz w:val="32"/>
          <w:szCs w:val="32"/>
          <w:u w:val="single"/>
        </w:rPr>
      </w:pPr>
      <w:r>
        <w:rPr>
          <w:rFonts w:ascii="宋体" w:hAnsi="宋体"/>
          <w:b/>
          <w:bCs/>
          <w:sz w:val="32"/>
          <w:szCs w:val="32"/>
        </w:rPr>
        <w:t>采购项目名称</w:t>
      </w:r>
      <w:r>
        <w:rPr>
          <w:rFonts w:hint="eastAsia" w:ascii="宋体" w:hAnsi="宋体"/>
          <w:b/>
          <w:bCs/>
          <w:sz w:val="32"/>
          <w:szCs w:val="32"/>
        </w:rPr>
        <w:t>：</w:t>
      </w:r>
    </w:p>
    <w:p w14:paraId="40D0E033">
      <w:pPr>
        <w:adjustRightInd w:val="0"/>
        <w:spacing w:line="360" w:lineRule="auto"/>
        <w:ind w:firstLine="643" w:firstLineChars="200"/>
        <w:textAlignment w:val="baseline"/>
        <w:rPr>
          <w:rFonts w:ascii="宋体" w:hAnsi="宋体"/>
          <w:b/>
          <w:bCs/>
          <w:sz w:val="32"/>
          <w:szCs w:val="32"/>
          <w:u w:val="single"/>
        </w:rPr>
      </w:pPr>
      <w:r>
        <w:rPr>
          <w:rFonts w:hint="eastAsia" w:ascii="宋体" w:hAnsi="宋体"/>
          <w:b/>
          <w:bCs/>
          <w:sz w:val="32"/>
          <w:szCs w:val="32"/>
        </w:rPr>
        <w:t>磋商供应商</w:t>
      </w:r>
      <w:r>
        <w:rPr>
          <w:rFonts w:hint="eastAsia" w:ascii="宋体" w:hAnsi="宋体"/>
          <w:b/>
          <w:sz w:val="32"/>
          <w:szCs w:val="32"/>
        </w:rPr>
        <w:t>：</w:t>
      </w:r>
      <w:r>
        <w:rPr>
          <w:rFonts w:hint="eastAsia" w:ascii="宋体" w:hAnsi="宋体"/>
          <w:b/>
          <w:sz w:val="32"/>
          <w:szCs w:val="32"/>
          <w:u w:val="single"/>
        </w:rPr>
        <w:t xml:space="preserve">                     （公章）</w:t>
      </w:r>
    </w:p>
    <w:p w14:paraId="2D3DA6BB">
      <w:pPr>
        <w:adjustRightInd w:val="0"/>
        <w:spacing w:line="360" w:lineRule="auto"/>
        <w:ind w:firstLine="643" w:firstLineChars="200"/>
        <w:textAlignment w:val="baseline"/>
        <w:rPr>
          <w:rFonts w:ascii="宋体" w:hAnsi="宋体"/>
          <w:b/>
          <w:sz w:val="32"/>
          <w:szCs w:val="32"/>
          <w:u w:val="single"/>
        </w:rPr>
      </w:pPr>
      <w:r>
        <w:rPr>
          <w:rFonts w:hint="eastAsia" w:ascii="宋体" w:hAnsi="宋体"/>
          <w:b/>
          <w:sz w:val="32"/>
          <w:szCs w:val="32"/>
        </w:rPr>
        <w:t xml:space="preserve">法定代表人： </w:t>
      </w:r>
      <w:r>
        <w:rPr>
          <w:rFonts w:hint="eastAsia" w:ascii="宋体" w:hAnsi="宋体"/>
          <w:b/>
          <w:sz w:val="32"/>
          <w:szCs w:val="32"/>
          <w:u w:val="single"/>
        </w:rPr>
        <w:t xml:space="preserve">        （签字或加盖法人章）</w:t>
      </w:r>
    </w:p>
    <w:p w14:paraId="14CADF2B">
      <w:pPr>
        <w:adjustRightInd w:val="0"/>
        <w:spacing w:line="360" w:lineRule="auto"/>
        <w:ind w:firstLine="643" w:firstLineChars="200"/>
        <w:textAlignment w:val="baseline"/>
        <w:rPr>
          <w:rFonts w:ascii="宋体" w:hAnsi="宋体"/>
          <w:b/>
          <w:sz w:val="32"/>
          <w:szCs w:val="32"/>
          <w:u w:val="single"/>
        </w:rPr>
      </w:pPr>
    </w:p>
    <w:p w14:paraId="7ADA9FA0">
      <w:pPr>
        <w:spacing w:line="360" w:lineRule="auto"/>
        <w:ind w:firstLine="4000" w:firstLineChars="1250"/>
        <w:rPr>
          <w:rFonts w:ascii="宋体" w:hAnsi="宋体"/>
          <w:sz w:val="32"/>
          <w:szCs w:val="32"/>
        </w:rPr>
      </w:pPr>
      <w:r>
        <w:rPr>
          <w:rFonts w:hint="eastAsia" w:ascii="宋体" w:hAnsi="宋体"/>
          <w:sz w:val="32"/>
          <w:szCs w:val="32"/>
        </w:rPr>
        <w:t>年   月  日</w:t>
      </w:r>
      <w:bookmarkStart w:id="90" w:name="_Toc444715735"/>
    </w:p>
    <w:p w14:paraId="48B4231E">
      <w:pPr>
        <w:pStyle w:val="5"/>
        <w:numPr>
          <w:ilvl w:val="0"/>
          <w:numId w:val="0"/>
        </w:numPr>
        <w:ind w:left="709" w:hanging="709"/>
        <w:rPr>
          <w:rFonts w:hAnsi="宋体"/>
          <w:b/>
          <w:sz w:val="24"/>
          <w:szCs w:val="24"/>
          <w:lang w:val="zh-CN"/>
        </w:rPr>
      </w:pPr>
      <w:r>
        <w:rPr>
          <w:rFonts w:hAnsi="宋体"/>
          <w:sz w:val="24"/>
          <w:szCs w:val="24"/>
        </w:rPr>
        <w:br w:type="page"/>
      </w:r>
      <w:bookmarkStart w:id="91" w:name="_Toc11669"/>
      <w:r>
        <w:rPr>
          <w:rFonts w:hint="eastAsia" w:hAnsi="宋体"/>
          <w:b/>
          <w:sz w:val="24"/>
          <w:szCs w:val="24"/>
          <w:lang w:val="zh-CN"/>
        </w:rPr>
        <w:t>磋商响应文件目录</w:t>
      </w:r>
      <w:bookmarkEnd w:id="90"/>
      <w:bookmarkEnd w:id="91"/>
    </w:p>
    <w:p w14:paraId="4FDCDC32">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磋商</w:t>
      </w:r>
      <w:r>
        <w:rPr>
          <w:rFonts w:hint="eastAsia" w:ascii="宋体" w:hAnsi="宋体" w:cs="宋体"/>
          <w:kern w:val="0"/>
          <w:sz w:val="24"/>
          <w:lang w:val="zh-CN"/>
        </w:rPr>
        <w:t>函……………………………………………………………所在页码</w:t>
      </w:r>
    </w:p>
    <w:p w14:paraId="08C3D321">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2</w:t>
      </w:r>
      <w:r>
        <w:rPr>
          <w:rFonts w:hint="eastAsia" w:ascii="宋体" w:hAnsi="宋体" w:cs="宋体"/>
          <w:kern w:val="0"/>
          <w:sz w:val="24"/>
          <w:lang w:val="zh-CN"/>
        </w:rPr>
        <w:t>）法定代表人证明书………………………………………………所在页码</w:t>
      </w:r>
    </w:p>
    <w:p w14:paraId="669F75C1">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kern w:val="0"/>
          <w:sz w:val="24"/>
          <w:lang w:val="zh-CN"/>
        </w:rPr>
        <w:t>）法定代表人授权书………………………………………………所在页码</w:t>
      </w:r>
    </w:p>
    <w:p w14:paraId="07E52ADB">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（4）磋商供应商承诺书………………………………………………所在页码</w:t>
      </w:r>
    </w:p>
    <w:p w14:paraId="2D989ADE">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5</w:t>
      </w:r>
      <w:r>
        <w:rPr>
          <w:rFonts w:hint="eastAsia" w:ascii="宋体" w:hAnsi="宋体" w:cs="宋体"/>
          <w:kern w:val="0"/>
          <w:sz w:val="24"/>
          <w:lang w:val="zh-CN"/>
        </w:rPr>
        <w:t>）供应商诚信承诺书………………………………………………所在页码</w:t>
      </w:r>
    </w:p>
    <w:p w14:paraId="21696B82">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6</w:t>
      </w:r>
      <w:r>
        <w:rPr>
          <w:rFonts w:hint="eastAsia" w:ascii="宋体" w:hAnsi="宋体" w:cs="宋体"/>
          <w:kern w:val="0"/>
          <w:sz w:val="24"/>
          <w:lang w:val="zh-CN"/>
        </w:rPr>
        <w:t>）资格证明材料……………………………………………………所在页码</w:t>
      </w:r>
    </w:p>
    <w:p w14:paraId="52DB33D2">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7</w:t>
      </w:r>
      <w:r>
        <w:rPr>
          <w:rFonts w:hint="eastAsia" w:ascii="宋体" w:hAnsi="宋体" w:cs="宋体"/>
          <w:kern w:val="0"/>
          <w:sz w:val="24"/>
          <w:lang w:val="zh-CN"/>
        </w:rPr>
        <w:t>）财务状况、缴纳税收和社会保障资金证明……………………所在页码</w:t>
      </w:r>
    </w:p>
    <w:p w14:paraId="350FE2E4">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（8）具备履行合同所必须的设备和专业技术能力证明……………所在页码</w:t>
      </w:r>
    </w:p>
    <w:p w14:paraId="44A5D755">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（9）</w:t>
      </w:r>
      <w:r>
        <w:rPr>
          <w:rFonts w:hint="eastAsia" w:ascii="宋体" w:hAnsi="宋体" w:cs="宋体"/>
          <w:sz w:val="24"/>
        </w:rPr>
        <w:t>磋商保证金证明</w:t>
      </w:r>
      <w:r>
        <w:rPr>
          <w:rFonts w:hint="eastAsia" w:ascii="宋体" w:hAnsi="宋体" w:cs="宋体"/>
          <w:kern w:val="0"/>
          <w:sz w:val="24"/>
          <w:lang w:val="zh-CN"/>
        </w:rPr>
        <w:t>…………………………………………………所在页码</w:t>
      </w:r>
    </w:p>
    <w:p w14:paraId="6018E6DF">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（10）无重大违法记录声明……………………………………………所在页码</w:t>
      </w:r>
    </w:p>
    <w:p w14:paraId="7511D9B9">
      <w:pPr>
        <w:spacing w:line="360" w:lineRule="auto"/>
        <w:jc w:val="center"/>
        <w:rPr>
          <w:rFonts w:ascii="宋体" w:hAnsi="宋体" w:cs="宋体"/>
          <w:kern w:val="0"/>
          <w:sz w:val="24"/>
          <w:lang w:val="zh-CN"/>
        </w:rPr>
      </w:pPr>
      <w:r>
        <w:rPr>
          <w:rFonts w:hint="eastAsia" w:ascii="宋体" w:hAnsi="宋体" w:cs="宋体"/>
          <w:kern w:val="0"/>
          <w:sz w:val="24"/>
          <w:lang w:val="zh-CN"/>
        </w:rPr>
        <w:t>（11）竞争性磋商首次报价表…………………………………………所在页码</w:t>
      </w:r>
    </w:p>
    <w:p w14:paraId="39491C60">
      <w:pPr>
        <w:spacing w:line="360" w:lineRule="auto"/>
        <w:jc w:val="center"/>
        <w:rPr>
          <w:rFonts w:ascii="宋体" w:hAnsi="宋体" w:cs="宋体"/>
          <w:kern w:val="0"/>
          <w:sz w:val="24"/>
          <w:lang w:val="zh-CN"/>
        </w:rPr>
      </w:pPr>
      <w:r>
        <w:rPr>
          <w:rFonts w:hint="eastAsia" w:ascii="宋体" w:hAnsi="宋体" w:cs="宋体"/>
          <w:kern w:val="0"/>
          <w:sz w:val="24"/>
          <w:lang w:val="zh-CN"/>
        </w:rPr>
        <w:t>（12）分项报价表………………………………………………………所在页码</w:t>
      </w:r>
    </w:p>
    <w:p w14:paraId="2BFFE7D3">
      <w:pPr>
        <w:spacing w:line="360" w:lineRule="auto"/>
        <w:jc w:val="center"/>
        <w:rPr>
          <w:rFonts w:ascii="宋体" w:hAnsi="宋体" w:cs="宋体"/>
          <w:kern w:val="0"/>
          <w:sz w:val="24"/>
          <w:lang w:val="zh-CN"/>
        </w:rPr>
      </w:pPr>
      <w:r>
        <w:rPr>
          <w:rFonts w:hint="eastAsia" w:ascii="宋体" w:hAnsi="宋体" w:cs="宋体"/>
          <w:kern w:val="0"/>
          <w:sz w:val="24"/>
          <w:lang w:val="zh-CN"/>
        </w:rPr>
        <w:t>（13）技术规格响应表…………………………………………………所在页码</w:t>
      </w:r>
    </w:p>
    <w:p w14:paraId="4BE8FB7D">
      <w:pPr>
        <w:spacing w:line="360" w:lineRule="auto"/>
        <w:jc w:val="center"/>
        <w:rPr>
          <w:rFonts w:ascii="宋体" w:hAnsi="宋体" w:cs="宋体"/>
          <w:kern w:val="0"/>
          <w:sz w:val="24"/>
          <w:lang w:val="zh-CN"/>
        </w:rPr>
      </w:pPr>
      <w:r>
        <w:rPr>
          <w:rFonts w:hint="eastAsia" w:ascii="宋体" w:hAnsi="宋体" w:cs="宋体"/>
          <w:kern w:val="0"/>
          <w:sz w:val="24"/>
          <w:lang w:val="zh-CN"/>
        </w:rPr>
        <w:t>（14）磋商产品相关资料………………………………………………所在页码</w:t>
      </w:r>
    </w:p>
    <w:p w14:paraId="68193A4F">
      <w:pPr>
        <w:spacing w:line="360" w:lineRule="auto"/>
        <w:jc w:val="center"/>
        <w:rPr>
          <w:rFonts w:ascii="宋体" w:hAnsi="宋体" w:cs="宋体"/>
          <w:kern w:val="0"/>
          <w:sz w:val="24"/>
          <w:lang w:val="zh-CN"/>
        </w:rPr>
      </w:pPr>
      <w:r>
        <w:rPr>
          <w:rFonts w:hint="eastAsia" w:ascii="宋体" w:hAnsi="宋体" w:cs="宋体"/>
          <w:kern w:val="0"/>
          <w:sz w:val="24"/>
          <w:lang w:val="zh-CN"/>
        </w:rPr>
        <w:t>（15）磋商供应商的类似业绩证明材料………………………………所在页码</w:t>
      </w:r>
    </w:p>
    <w:p w14:paraId="10BDF64F">
      <w:pPr>
        <w:spacing w:line="360" w:lineRule="auto"/>
        <w:jc w:val="center"/>
        <w:rPr>
          <w:rFonts w:ascii="宋体" w:hAnsi="宋体" w:cs="宋体"/>
          <w:kern w:val="0"/>
          <w:sz w:val="24"/>
          <w:lang w:val="zh-CN"/>
        </w:rPr>
      </w:pPr>
      <w:r>
        <w:rPr>
          <w:rFonts w:hint="eastAsia" w:ascii="宋体" w:hAnsi="宋体" w:cs="宋体"/>
          <w:kern w:val="0"/>
          <w:sz w:val="24"/>
          <w:lang w:val="zh-CN"/>
        </w:rPr>
        <w:t>（16）享受政府采购政策优惠的证明资料……………………………所在页码</w:t>
      </w:r>
    </w:p>
    <w:p w14:paraId="70E41BB7">
      <w:pPr>
        <w:spacing w:line="360" w:lineRule="auto"/>
        <w:jc w:val="center"/>
        <w:rPr>
          <w:rFonts w:ascii="宋体" w:hAnsi="宋体" w:cs="宋体"/>
          <w:kern w:val="0"/>
          <w:sz w:val="24"/>
          <w:lang w:val="zh-CN"/>
        </w:rPr>
      </w:pPr>
      <w:r>
        <w:rPr>
          <w:rFonts w:hint="eastAsia" w:ascii="宋体" w:hAnsi="宋体" w:cs="宋体"/>
          <w:kern w:val="0"/>
          <w:sz w:val="24"/>
          <w:lang w:val="zh-CN"/>
        </w:rPr>
        <w:t>（17）磋商供应商认为在其他方面有必要说明的事项………………所在页码</w:t>
      </w:r>
    </w:p>
    <w:p w14:paraId="13638447">
      <w:pPr>
        <w:pStyle w:val="5"/>
        <w:numPr>
          <w:ilvl w:val="0"/>
          <w:numId w:val="0"/>
        </w:numPr>
        <w:ind w:left="709" w:hanging="709"/>
        <w:rPr>
          <w:rFonts w:hAnsi="宋体"/>
          <w:sz w:val="24"/>
          <w:szCs w:val="24"/>
        </w:rPr>
      </w:pPr>
      <w:r>
        <w:rPr>
          <w:rFonts w:hAnsi="宋体"/>
          <w:b/>
          <w:bCs/>
          <w:sz w:val="24"/>
          <w:szCs w:val="24"/>
        </w:rPr>
        <w:br w:type="page"/>
      </w:r>
      <w:bookmarkStart w:id="92" w:name="_Toc9071"/>
      <w:r>
        <w:rPr>
          <w:rFonts w:hint="eastAsia" w:hAnsi="宋体"/>
          <w:b/>
          <w:sz w:val="24"/>
          <w:szCs w:val="24"/>
          <w:lang w:val="zh-CN"/>
        </w:rPr>
        <w:t>格式1、磋商函</w:t>
      </w:r>
      <w:bookmarkEnd w:id="92"/>
    </w:p>
    <w:p w14:paraId="53500A77">
      <w:pPr>
        <w:adjustRightInd w:val="0"/>
        <w:spacing w:line="360" w:lineRule="auto"/>
        <w:jc w:val="center"/>
        <w:textAlignment w:val="baseline"/>
        <w:rPr>
          <w:rFonts w:ascii="宋体" w:hAnsi="宋体"/>
          <w:b/>
          <w:sz w:val="24"/>
        </w:rPr>
      </w:pPr>
      <w:r>
        <w:rPr>
          <w:rFonts w:hint="eastAsia" w:ascii="宋体" w:hAnsi="宋体"/>
          <w:b/>
          <w:sz w:val="24"/>
        </w:rPr>
        <w:t>磋 商 函</w:t>
      </w:r>
    </w:p>
    <w:p w14:paraId="6D5C9B3D">
      <w:pPr>
        <w:adjustRightInd w:val="0"/>
        <w:spacing w:line="360" w:lineRule="auto"/>
        <w:ind w:left="482" w:hanging="482" w:hangingChars="200"/>
        <w:textAlignment w:val="baseline"/>
        <w:rPr>
          <w:rFonts w:ascii="宋体" w:hAnsi="宋体"/>
          <w:b/>
          <w:sz w:val="24"/>
        </w:rPr>
      </w:pPr>
      <w:r>
        <w:rPr>
          <w:rFonts w:hint="eastAsia" w:ascii="宋体" w:hAnsi="宋体"/>
          <w:b/>
          <w:sz w:val="24"/>
        </w:rPr>
        <w:t>致：</w:t>
      </w:r>
      <w:r>
        <w:rPr>
          <w:rFonts w:hint="eastAsia" w:ascii="宋体" w:hAnsi="宋体"/>
          <w:b/>
          <w:sz w:val="24"/>
          <w:u w:val="single"/>
        </w:rPr>
        <w:t>青海国焱工程项目管理有限公司：</w:t>
      </w:r>
    </w:p>
    <w:p w14:paraId="4CB48E13">
      <w:pPr>
        <w:adjustRightInd w:val="0"/>
        <w:spacing w:line="360" w:lineRule="auto"/>
        <w:ind w:firstLine="480" w:firstLineChars="200"/>
        <w:textAlignment w:val="baseline"/>
        <w:rPr>
          <w:rFonts w:ascii="宋体" w:hAnsi="宋体"/>
          <w:sz w:val="24"/>
        </w:rPr>
      </w:pPr>
      <w:r>
        <w:rPr>
          <w:rFonts w:hint="eastAsia" w:ascii="宋体" w:hAnsi="宋体"/>
          <w:sz w:val="24"/>
        </w:rPr>
        <w:t>我们收到</w:t>
      </w:r>
      <w:r>
        <w:rPr>
          <w:rFonts w:hint="eastAsia" w:ascii="宋体" w:hAnsi="宋体" w:cs="宋体"/>
          <w:sz w:val="24"/>
          <w:u w:val="single"/>
          <w:lang w:val="zh-CN"/>
        </w:rPr>
        <w:t>丁香园(清真)后厨设备</w:t>
      </w:r>
      <w:r>
        <w:rPr>
          <w:rFonts w:hint="eastAsia" w:ascii="宋体" w:hAnsi="宋体"/>
          <w:sz w:val="24"/>
          <w:u w:val="single"/>
        </w:rPr>
        <w:t>（</w:t>
      </w:r>
      <w:r>
        <w:rPr>
          <w:rFonts w:hint="eastAsia" w:ascii="宋体" w:hAnsi="宋体"/>
          <w:sz w:val="24"/>
          <w:u w:val="single"/>
          <w:lang w:eastAsia="zh-CN"/>
        </w:rPr>
        <w:t>青海国焱竞磋（货物）2024-234号</w:t>
      </w:r>
      <w:r>
        <w:rPr>
          <w:rFonts w:hint="eastAsia" w:ascii="宋体" w:hAnsi="宋体"/>
          <w:sz w:val="24"/>
          <w:u w:val="single"/>
        </w:rPr>
        <w:t>）磋</w:t>
      </w:r>
      <w:r>
        <w:rPr>
          <w:rFonts w:hint="eastAsia" w:ascii="宋体" w:hAnsi="宋体"/>
          <w:sz w:val="24"/>
        </w:rPr>
        <w:t>商文件，经研究，法定代表人（姓名、职务）正式授权（委托代理人姓名、职务）代表磋商供应商（磋商供应商名称、地址）提交磋商响应文件。</w:t>
      </w:r>
    </w:p>
    <w:p w14:paraId="58D1660B">
      <w:pPr>
        <w:adjustRightInd w:val="0"/>
        <w:spacing w:line="360" w:lineRule="auto"/>
        <w:ind w:firstLine="480" w:firstLineChars="200"/>
        <w:textAlignment w:val="baseline"/>
        <w:rPr>
          <w:rFonts w:ascii="宋体" w:hAnsi="宋体"/>
          <w:sz w:val="24"/>
        </w:rPr>
      </w:pPr>
      <w:r>
        <w:rPr>
          <w:rFonts w:hint="eastAsia" w:ascii="宋体" w:hAnsi="宋体"/>
          <w:sz w:val="24"/>
        </w:rPr>
        <w:t>据此函，签字代表宣布同意如下：</w:t>
      </w:r>
    </w:p>
    <w:p w14:paraId="0409AA19">
      <w:pPr>
        <w:adjustRightInd w:val="0"/>
        <w:spacing w:line="360" w:lineRule="auto"/>
        <w:ind w:firstLine="480" w:firstLineChars="200"/>
        <w:textAlignment w:val="baseline"/>
        <w:rPr>
          <w:rFonts w:ascii="宋体" w:hAnsi="宋体"/>
          <w:sz w:val="24"/>
        </w:rPr>
      </w:pPr>
      <w:r>
        <w:rPr>
          <w:rFonts w:hint="eastAsia" w:ascii="宋体" w:hAnsi="宋体"/>
          <w:sz w:val="24"/>
        </w:rPr>
        <w:t>1.我方已详阅磋商文件的全部内容，包括澄清、修改条款等有关附件，承诺对其完全理解并接受。</w:t>
      </w:r>
    </w:p>
    <w:p w14:paraId="6794F0EE">
      <w:pPr>
        <w:adjustRightInd w:val="0"/>
        <w:spacing w:line="360" w:lineRule="auto"/>
        <w:ind w:firstLine="480" w:firstLineChars="200"/>
        <w:textAlignment w:val="baseline"/>
        <w:rPr>
          <w:rFonts w:ascii="宋体" w:hAnsi="宋体"/>
          <w:sz w:val="24"/>
        </w:rPr>
      </w:pPr>
      <w:r>
        <w:rPr>
          <w:rFonts w:hint="eastAsia" w:ascii="宋体" w:hAnsi="宋体"/>
          <w:sz w:val="24"/>
        </w:rPr>
        <w:t>2.磋商有效期自开标之日起</w:t>
      </w:r>
      <w:r>
        <w:rPr>
          <w:rFonts w:hint="eastAsia" w:ascii="宋体" w:hAnsi="宋体"/>
          <w:sz w:val="24"/>
          <w:u w:val="single"/>
          <w:lang w:val="en-US" w:eastAsia="zh-CN"/>
        </w:rPr>
        <w:t xml:space="preserve">           </w:t>
      </w:r>
      <w:r>
        <w:rPr>
          <w:rFonts w:hint="eastAsia" w:ascii="宋体" w:hAnsi="宋体"/>
          <w:sz w:val="24"/>
        </w:rPr>
        <w:t>内有效。如果在规定的开标时间后，我方在磋商有效期内撤回磋商或成交后不签约的，磋商保证金将被贵方没收。</w:t>
      </w:r>
    </w:p>
    <w:p w14:paraId="15EDA414">
      <w:pPr>
        <w:adjustRightInd w:val="0"/>
        <w:spacing w:line="360" w:lineRule="auto"/>
        <w:ind w:firstLine="480" w:firstLineChars="200"/>
        <w:textAlignment w:val="baseline"/>
        <w:rPr>
          <w:rFonts w:ascii="宋体" w:hAnsi="宋体"/>
          <w:sz w:val="24"/>
        </w:rPr>
      </w:pPr>
      <w:r>
        <w:rPr>
          <w:rFonts w:hint="eastAsia" w:ascii="宋体" w:hAnsi="宋体"/>
          <w:sz w:val="24"/>
        </w:rPr>
        <w:t>3.我方同意按照贵方要求提供与磋商有关的一切数据或资料，理解并接受贵方制定的评标办法。</w:t>
      </w:r>
    </w:p>
    <w:p w14:paraId="543CAA89">
      <w:pPr>
        <w:adjustRightInd w:val="0"/>
        <w:spacing w:line="360" w:lineRule="auto"/>
        <w:ind w:firstLine="480" w:firstLineChars="200"/>
        <w:textAlignment w:val="baseline"/>
        <w:rPr>
          <w:rFonts w:ascii="宋体" w:hAnsi="宋体"/>
          <w:sz w:val="24"/>
        </w:rPr>
      </w:pPr>
      <w:r>
        <w:rPr>
          <w:rFonts w:hint="eastAsia" w:ascii="宋体" w:hAnsi="宋体"/>
          <w:sz w:val="24"/>
        </w:rPr>
        <w:t>4.与本磋商有关的一切正式往来通讯请寄：</w:t>
      </w:r>
    </w:p>
    <w:p w14:paraId="27EA15CD">
      <w:pPr>
        <w:adjustRightInd w:val="0"/>
        <w:spacing w:line="360" w:lineRule="auto"/>
        <w:ind w:firstLine="480" w:firstLineChars="200"/>
        <w:textAlignment w:val="baseline"/>
        <w:rPr>
          <w:rFonts w:ascii="宋体" w:hAnsi="宋体"/>
          <w:sz w:val="24"/>
        </w:rPr>
      </w:pPr>
    </w:p>
    <w:p w14:paraId="429ACC6B">
      <w:pPr>
        <w:adjustRightInd w:val="0"/>
        <w:spacing w:line="360" w:lineRule="auto"/>
        <w:textAlignment w:val="baseline"/>
        <w:rPr>
          <w:rFonts w:ascii="宋体" w:hAnsi="宋体"/>
          <w:sz w:val="24"/>
        </w:rPr>
      </w:pPr>
      <w:r>
        <w:rPr>
          <w:rFonts w:hint="eastAsia" w:ascii="宋体" w:hAnsi="宋体"/>
          <w:sz w:val="24"/>
        </w:rPr>
        <w:t>地址：                               邮编：</w:t>
      </w:r>
    </w:p>
    <w:p w14:paraId="75188E3B">
      <w:pPr>
        <w:adjustRightInd w:val="0"/>
        <w:spacing w:line="360" w:lineRule="auto"/>
        <w:textAlignment w:val="baseline"/>
        <w:rPr>
          <w:rFonts w:ascii="宋体" w:hAnsi="宋体"/>
          <w:sz w:val="24"/>
        </w:rPr>
      </w:pPr>
    </w:p>
    <w:p w14:paraId="512D1279">
      <w:pPr>
        <w:adjustRightInd w:val="0"/>
        <w:spacing w:line="360" w:lineRule="auto"/>
        <w:textAlignment w:val="baseline"/>
        <w:rPr>
          <w:rFonts w:ascii="宋体" w:hAnsi="宋体"/>
          <w:sz w:val="24"/>
        </w:rPr>
      </w:pPr>
      <w:r>
        <w:rPr>
          <w:rFonts w:hint="eastAsia" w:ascii="宋体" w:hAnsi="宋体"/>
          <w:sz w:val="24"/>
        </w:rPr>
        <w:t>电话：                               传真：</w:t>
      </w:r>
    </w:p>
    <w:p w14:paraId="11366ABF">
      <w:pPr>
        <w:adjustRightInd w:val="0"/>
        <w:spacing w:line="360" w:lineRule="auto"/>
        <w:textAlignment w:val="baseline"/>
        <w:rPr>
          <w:rFonts w:ascii="宋体" w:hAnsi="宋体"/>
          <w:sz w:val="24"/>
        </w:rPr>
      </w:pPr>
    </w:p>
    <w:p w14:paraId="1639BF2E">
      <w:pPr>
        <w:adjustRightInd w:val="0"/>
        <w:spacing w:line="360" w:lineRule="auto"/>
        <w:textAlignment w:val="baseline"/>
        <w:rPr>
          <w:rFonts w:ascii="宋体" w:hAnsi="宋体"/>
          <w:sz w:val="24"/>
        </w:rPr>
      </w:pPr>
      <w:r>
        <w:rPr>
          <w:rFonts w:hint="eastAsia" w:ascii="宋体" w:hAnsi="宋体"/>
          <w:sz w:val="24"/>
        </w:rPr>
        <w:t>法定代表人姓名：                     职务：</w:t>
      </w:r>
      <w:bookmarkStart w:id="93" w:name="_Toc444715736"/>
    </w:p>
    <w:p w14:paraId="298337C8">
      <w:pPr>
        <w:tabs>
          <w:tab w:val="left" w:pos="168"/>
        </w:tabs>
        <w:adjustRightInd w:val="0"/>
        <w:spacing w:line="360" w:lineRule="auto"/>
        <w:ind w:right="480"/>
        <w:jc w:val="right"/>
        <w:textAlignment w:val="baseline"/>
        <w:rPr>
          <w:rFonts w:ascii="宋体" w:hAnsi="宋体"/>
          <w:bCs/>
          <w:sz w:val="24"/>
        </w:rPr>
      </w:pPr>
    </w:p>
    <w:p w14:paraId="22A6F43E">
      <w:pPr>
        <w:tabs>
          <w:tab w:val="left" w:pos="168"/>
        </w:tabs>
        <w:adjustRightInd w:val="0"/>
        <w:spacing w:line="360" w:lineRule="auto"/>
        <w:jc w:val="right"/>
        <w:textAlignment w:val="baseline"/>
        <w:rPr>
          <w:rFonts w:ascii="宋体" w:hAnsi="宋体"/>
          <w:bCs/>
          <w:sz w:val="24"/>
        </w:rPr>
      </w:pPr>
    </w:p>
    <w:p w14:paraId="14F71674">
      <w:pPr>
        <w:tabs>
          <w:tab w:val="left" w:pos="168"/>
        </w:tabs>
        <w:adjustRightInd w:val="0"/>
        <w:spacing w:line="360" w:lineRule="auto"/>
        <w:jc w:val="right"/>
        <w:textAlignment w:val="baseline"/>
        <w:rPr>
          <w:rFonts w:ascii="宋体" w:hAnsi="宋体"/>
          <w:bCs/>
          <w:sz w:val="24"/>
        </w:rPr>
      </w:pPr>
    </w:p>
    <w:p w14:paraId="4485A4AB">
      <w:pPr>
        <w:tabs>
          <w:tab w:val="left" w:pos="168"/>
        </w:tabs>
        <w:adjustRightInd w:val="0"/>
        <w:spacing w:line="360" w:lineRule="auto"/>
        <w:jc w:val="right"/>
        <w:textAlignment w:val="baseline"/>
        <w:rPr>
          <w:rFonts w:ascii="宋体" w:hAnsi="宋体"/>
          <w:bCs/>
          <w:sz w:val="24"/>
        </w:rPr>
      </w:pPr>
    </w:p>
    <w:p w14:paraId="37A4C64E">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磋商供应商：             （公章）</w:t>
      </w:r>
    </w:p>
    <w:p w14:paraId="6F380135">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法定代表人或委托代理人：       （签字）</w:t>
      </w:r>
    </w:p>
    <w:p w14:paraId="5B37424C">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日期：    年   月   日</w:t>
      </w:r>
    </w:p>
    <w:p w14:paraId="10BE5377">
      <w:pPr>
        <w:spacing w:line="360" w:lineRule="auto"/>
        <w:rPr>
          <w:rFonts w:ascii="宋体" w:hAnsi="宋体"/>
          <w:bCs/>
          <w:sz w:val="24"/>
        </w:rPr>
      </w:pPr>
      <w:r>
        <w:rPr>
          <w:rFonts w:ascii="宋体" w:hAnsi="宋体"/>
          <w:bCs/>
          <w:sz w:val="24"/>
        </w:rPr>
        <w:br w:type="page"/>
      </w:r>
    </w:p>
    <w:bookmarkEnd w:id="93"/>
    <w:p w14:paraId="182032C1">
      <w:pPr>
        <w:pStyle w:val="5"/>
        <w:numPr>
          <w:ilvl w:val="0"/>
          <w:numId w:val="0"/>
        </w:numPr>
        <w:rPr>
          <w:rFonts w:hAnsi="宋体"/>
          <w:sz w:val="24"/>
          <w:szCs w:val="24"/>
          <w:lang w:val="zh-CN"/>
        </w:rPr>
      </w:pPr>
      <w:bookmarkStart w:id="94" w:name="_Toc15858"/>
      <w:r>
        <w:rPr>
          <w:rFonts w:hint="eastAsia" w:hAnsi="宋体"/>
          <w:b/>
          <w:sz w:val="24"/>
          <w:szCs w:val="24"/>
          <w:lang w:val="zh-CN"/>
        </w:rPr>
        <w:t>格式2、法定代表人证明书</w:t>
      </w:r>
      <w:bookmarkEnd w:id="94"/>
    </w:p>
    <w:p w14:paraId="607A08FE">
      <w:pPr>
        <w:spacing w:line="360" w:lineRule="auto"/>
        <w:rPr>
          <w:rFonts w:ascii="宋体" w:hAnsi="宋体"/>
          <w:sz w:val="24"/>
          <w:lang w:val="zh-CN"/>
        </w:rPr>
      </w:pPr>
    </w:p>
    <w:p w14:paraId="5FF45E39">
      <w:pPr>
        <w:autoSpaceDE w:val="0"/>
        <w:autoSpaceDN w:val="0"/>
        <w:adjustRightInd w:val="0"/>
        <w:spacing w:line="360" w:lineRule="auto"/>
        <w:jc w:val="center"/>
        <w:rPr>
          <w:rFonts w:ascii="宋体" w:hAnsi="宋体" w:cs="宋体"/>
          <w:b/>
          <w:bCs/>
          <w:kern w:val="0"/>
          <w:sz w:val="24"/>
          <w:lang w:val="zh-CN"/>
        </w:rPr>
      </w:pPr>
      <w:r>
        <w:rPr>
          <w:rFonts w:hint="eastAsia" w:ascii="宋体" w:hAnsi="宋体" w:cs="宋体"/>
          <w:b/>
          <w:bCs/>
          <w:kern w:val="0"/>
          <w:sz w:val="24"/>
          <w:lang w:val="zh-CN"/>
        </w:rPr>
        <w:t>法定代表人证明书</w:t>
      </w:r>
    </w:p>
    <w:p w14:paraId="1F592E98">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致：青海国焱工程项目管理有限公司</w:t>
      </w:r>
    </w:p>
    <w:p w14:paraId="7C682264">
      <w:pPr>
        <w:autoSpaceDE w:val="0"/>
        <w:autoSpaceDN w:val="0"/>
        <w:adjustRightInd w:val="0"/>
        <w:spacing w:line="360" w:lineRule="auto"/>
        <w:rPr>
          <w:rFonts w:ascii="宋体" w:hAnsi="宋体" w:cs="宋体"/>
          <w:kern w:val="0"/>
          <w:sz w:val="24"/>
          <w:lang w:val="zh-CN"/>
        </w:rPr>
      </w:pPr>
    </w:p>
    <w:p w14:paraId="2113B9E4">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u w:val="single"/>
          <w:lang w:val="zh-CN"/>
        </w:rPr>
        <w:t>（</w:t>
      </w:r>
      <w:r>
        <w:rPr>
          <w:rFonts w:hint="eastAsia" w:ascii="宋体" w:hAnsi="宋体"/>
          <w:sz w:val="24"/>
          <w:u w:val="single"/>
        </w:rPr>
        <w:t>法定代表人姓名</w:t>
      </w:r>
      <w:r>
        <w:rPr>
          <w:rFonts w:hint="eastAsia" w:ascii="宋体" w:hAnsi="宋体" w:cs="宋体"/>
          <w:kern w:val="0"/>
          <w:sz w:val="24"/>
          <w:u w:val="single"/>
          <w:lang w:val="zh-CN"/>
        </w:rPr>
        <w:t xml:space="preserve">）     </w:t>
      </w:r>
      <w:r>
        <w:rPr>
          <w:rFonts w:hint="eastAsia" w:ascii="宋体" w:hAnsi="宋体" w:cs="宋体"/>
          <w:kern w:val="0"/>
          <w:sz w:val="24"/>
          <w:lang w:val="zh-CN"/>
        </w:rPr>
        <w:t>现任我单位职务，为法定代表人，特此证明。</w:t>
      </w:r>
    </w:p>
    <w:p w14:paraId="12EF9A22">
      <w:pPr>
        <w:autoSpaceDE w:val="0"/>
        <w:autoSpaceDN w:val="0"/>
        <w:adjustRightInd w:val="0"/>
        <w:spacing w:line="360" w:lineRule="auto"/>
        <w:rPr>
          <w:rFonts w:ascii="宋体" w:hAnsi="宋体" w:cs="宋体"/>
          <w:kern w:val="0"/>
          <w:sz w:val="24"/>
          <w:lang w:val="zh-CN"/>
        </w:rPr>
      </w:pPr>
    </w:p>
    <w:p w14:paraId="3DB954AB">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法定代表人基本情况：</w:t>
      </w:r>
    </w:p>
    <w:p w14:paraId="48B0AE92">
      <w:pPr>
        <w:autoSpaceDE w:val="0"/>
        <w:autoSpaceDN w:val="0"/>
        <w:adjustRightInd w:val="0"/>
        <w:spacing w:line="360" w:lineRule="auto"/>
        <w:rPr>
          <w:rFonts w:ascii="宋体" w:hAnsi="宋体" w:cs="宋体"/>
          <w:kern w:val="0"/>
          <w:sz w:val="24"/>
          <w:lang w:val="zh-CN"/>
        </w:rPr>
      </w:pPr>
    </w:p>
    <w:p w14:paraId="728F333F">
      <w:pPr>
        <w:autoSpaceDE w:val="0"/>
        <w:autoSpaceDN w:val="0"/>
        <w:adjustRightInd w:val="0"/>
        <w:spacing w:line="360" w:lineRule="auto"/>
        <w:rPr>
          <w:rFonts w:ascii="宋体" w:hAnsi="宋体" w:cs="宋体"/>
          <w:kern w:val="0"/>
          <w:sz w:val="24"/>
          <w:u w:val="single"/>
          <w:lang w:val="zh-CN"/>
        </w:rPr>
      </w:pPr>
      <w:r>
        <w:rPr>
          <w:rFonts w:hint="eastAsia" w:ascii="宋体" w:hAnsi="宋体" w:cs="宋体"/>
          <w:kern w:val="0"/>
          <w:sz w:val="24"/>
          <w:lang w:val="zh-CN"/>
        </w:rPr>
        <w:t>性别：     年龄：    民族：</w:t>
      </w:r>
    </w:p>
    <w:p w14:paraId="4746B1F2">
      <w:pPr>
        <w:autoSpaceDE w:val="0"/>
        <w:autoSpaceDN w:val="0"/>
        <w:adjustRightInd w:val="0"/>
        <w:spacing w:line="360" w:lineRule="auto"/>
        <w:rPr>
          <w:rFonts w:ascii="宋体" w:hAnsi="宋体" w:cs="宋体"/>
          <w:kern w:val="0"/>
          <w:sz w:val="24"/>
          <w:lang w:val="zh-CN"/>
        </w:rPr>
      </w:pPr>
    </w:p>
    <w:p w14:paraId="05B0A572">
      <w:pPr>
        <w:autoSpaceDE w:val="0"/>
        <w:autoSpaceDN w:val="0"/>
        <w:adjustRightInd w:val="0"/>
        <w:spacing w:line="360" w:lineRule="auto"/>
        <w:rPr>
          <w:rFonts w:ascii="宋体" w:hAnsi="宋体" w:cs="宋体"/>
          <w:kern w:val="0"/>
          <w:sz w:val="24"/>
          <w:u w:val="single"/>
          <w:lang w:val="zh-CN"/>
        </w:rPr>
      </w:pPr>
      <w:r>
        <w:rPr>
          <w:rFonts w:hint="eastAsia" w:ascii="宋体" w:hAnsi="宋体" w:cs="宋体"/>
          <w:kern w:val="0"/>
          <w:sz w:val="24"/>
          <w:lang w:val="zh-CN"/>
        </w:rPr>
        <w:t>地址：</w:t>
      </w:r>
    </w:p>
    <w:p w14:paraId="4793E02E">
      <w:pPr>
        <w:autoSpaceDE w:val="0"/>
        <w:autoSpaceDN w:val="0"/>
        <w:adjustRightInd w:val="0"/>
        <w:spacing w:line="360" w:lineRule="auto"/>
        <w:rPr>
          <w:rFonts w:ascii="宋体" w:hAnsi="宋体" w:cs="宋体"/>
          <w:kern w:val="0"/>
          <w:sz w:val="24"/>
          <w:lang w:val="zh-CN"/>
        </w:rPr>
      </w:pPr>
    </w:p>
    <w:p w14:paraId="70B39D72">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身份证号码：</w:t>
      </w:r>
    </w:p>
    <w:p w14:paraId="6ECEE36B">
      <w:pPr>
        <w:autoSpaceDE w:val="0"/>
        <w:autoSpaceDN w:val="0"/>
        <w:adjustRightInd w:val="0"/>
        <w:spacing w:line="360" w:lineRule="auto"/>
        <w:rPr>
          <w:rFonts w:ascii="宋体" w:hAnsi="宋体" w:cs="宋体"/>
          <w:kern w:val="0"/>
          <w:sz w:val="24"/>
          <w:lang w:val="zh-CN"/>
        </w:rPr>
      </w:pPr>
    </w:p>
    <w:p w14:paraId="1BF5A8D2">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附：法定代表人第二代身份证双面扫描（或复印）件。</w:t>
      </w:r>
    </w:p>
    <w:p w14:paraId="4E6822D2">
      <w:pPr>
        <w:autoSpaceDE w:val="0"/>
        <w:autoSpaceDN w:val="0"/>
        <w:adjustRightInd w:val="0"/>
        <w:spacing w:line="360" w:lineRule="auto"/>
        <w:rPr>
          <w:rFonts w:ascii="宋体" w:hAnsi="宋体" w:cs="宋体"/>
          <w:kern w:val="0"/>
          <w:sz w:val="24"/>
          <w:lang w:val="zh-CN"/>
        </w:rPr>
      </w:pPr>
    </w:p>
    <w:p w14:paraId="3D2EED9A">
      <w:pPr>
        <w:autoSpaceDE w:val="0"/>
        <w:autoSpaceDN w:val="0"/>
        <w:adjustRightInd w:val="0"/>
        <w:spacing w:line="360" w:lineRule="auto"/>
        <w:rPr>
          <w:rFonts w:ascii="宋体" w:hAnsi="宋体" w:cs="宋体"/>
          <w:kern w:val="0"/>
          <w:sz w:val="24"/>
          <w:lang w:val="zh-CN"/>
        </w:rPr>
      </w:pPr>
    </w:p>
    <w:p w14:paraId="5E64F499">
      <w:pPr>
        <w:autoSpaceDE w:val="0"/>
        <w:autoSpaceDN w:val="0"/>
        <w:adjustRightInd w:val="0"/>
        <w:spacing w:line="360" w:lineRule="auto"/>
        <w:rPr>
          <w:rFonts w:ascii="宋体" w:hAnsi="宋体" w:cs="宋体"/>
          <w:kern w:val="0"/>
          <w:sz w:val="24"/>
          <w:lang w:val="zh-CN"/>
        </w:rPr>
      </w:pPr>
    </w:p>
    <w:p w14:paraId="26C91CA7">
      <w:pPr>
        <w:autoSpaceDE w:val="0"/>
        <w:autoSpaceDN w:val="0"/>
        <w:adjustRightInd w:val="0"/>
        <w:spacing w:line="360" w:lineRule="auto"/>
        <w:rPr>
          <w:rFonts w:ascii="宋体" w:hAnsi="宋体" w:cs="宋体"/>
          <w:kern w:val="0"/>
          <w:sz w:val="24"/>
          <w:lang w:val="zh-CN"/>
        </w:rPr>
      </w:pPr>
    </w:p>
    <w:p w14:paraId="6519F9EE">
      <w:pPr>
        <w:autoSpaceDE w:val="0"/>
        <w:autoSpaceDN w:val="0"/>
        <w:adjustRightInd w:val="0"/>
        <w:spacing w:line="360" w:lineRule="auto"/>
        <w:rPr>
          <w:rFonts w:ascii="宋体" w:hAnsi="宋体" w:cs="宋体"/>
          <w:kern w:val="0"/>
          <w:sz w:val="24"/>
          <w:lang w:val="zh-CN"/>
        </w:rPr>
      </w:pPr>
    </w:p>
    <w:p w14:paraId="276277DB">
      <w:pPr>
        <w:autoSpaceDE w:val="0"/>
        <w:autoSpaceDN w:val="0"/>
        <w:adjustRightInd w:val="0"/>
        <w:spacing w:line="360" w:lineRule="auto"/>
        <w:rPr>
          <w:rFonts w:ascii="宋体" w:hAnsi="宋体" w:cs="宋体"/>
          <w:kern w:val="0"/>
          <w:sz w:val="24"/>
          <w:lang w:val="zh-CN"/>
        </w:rPr>
      </w:pPr>
    </w:p>
    <w:p w14:paraId="11EF6629">
      <w:pPr>
        <w:autoSpaceDE w:val="0"/>
        <w:autoSpaceDN w:val="0"/>
        <w:adjustRightInd w:val="0"/>
        <w:spacing w:line="360" w:lineRule="auto"/>
        <w:rPr>
          <w:rFonts w:ascii="宋体" w:hAnsi="宋体" w:cs="宋体"/>
          <w:kern w:val="0"/>
          <w:sz w:val="24"/>
          <w:lang w:val="zh-CN"/>
        </w:rPr>
      </w:pPr>
    </w:p>
    <w:p w14:paraId="36095812">
      <w:pPr>
        <w:tabs>
          <w:tab w:val="left" w:pos="168"/>
        </w:tabs>
        <w:adjustRightInd w:val="0"/>
        <w:spacing w:line="360" w:lineRule="auto"/>
        <w:textAlignment w:val="baseline"/>
        <w:rPr>
          <w:rFonts w:ascii="宋体" w:hAnsi="宋体"/>
          <w:bCs/>
          <w:sz w:val="24"/>
        </w:rPr>
      </w:pPr>
      <w:bookmarkStart w:id="95" w:name="_Toc444715738"/>
      <w:bookmarkStart w:id="96" w:name="_Toc16858"/>
    </w:p>
    <w:p w14:paraId="129F7071">
      <w:pPr>
        <w:tabs>
          <w:tab w:val="left" w:pos="168"/>
        </w:tabs>
        <w:wordWrap w:val="0"/>
        <w:adjustRightInd w:val="0"/>
        <w:spacing w:line="360" w:lineRule="auto"/>
        <w:jc w:val="right"/>
        <w:textAlignment w:val="baseline"/>
        <w:rPr>
          <w:rFonts w:ascii="宋体" w:hAnsi="宋体"/>
          <w:bCs/>
          <w:sz w:val="24"/>
        </w:rPr>
      </w:pPr>
      <w:r>
        <w:rPr>
          <w:rFonts w:hint="eastAsia" w:ascii="宋体" w:hAnsi="宋体"/>
          <w:bCs/>
          <w:sz w:val="24"/>
        </w:rPr>
        <w:t>磋商供应商：             （公章）</w:t>
      </w:r>
    </w:p>
    <w:p w14:paraId="217B3892">
      <w:pPr>
        <w:tabs>
          <w:tab w:val="left" w:pos="168"/>
        </w:tabs>
        <w:wordWrap w:val="0"/>
        <w:adjustRightInd w:val="0"/>
        <w:spacing w:line="360" w:lineRule="auto"/>
        <w:jc w:val="right"/>
        <w:textAlignment w:val="baseline"/>
        <w:rPr>
          <w:rFonts w:ascii="宋体" w:hAnsi="宋体"/>
          <w:bCs/>
          <w:sz w:val="24"/>
        </w:rPr>
      </w:pPr>
      <w:r>
        <w:rPr>
          <w:rFonts w:hint="eastAsia" w:ascii="宋体" w:hAnsi="宋体"/>
          <w:bCs/>
          <w:sz w:val="24"/>
        </w:rPr>
        <w:t>法定代表人：                   （签字）</w:t>
      </w:r>
    </w:p>
    <w:p w14:paraId="580AB24D">
      <w:pPr>
        <w:tabs>
          <w:tab w:val="left" w:pos="168"/>
        </w:tabs>
        <w:adjustRightInd w:val="0"/>
        <w:spacing w:line="360" w:lineRule="auto"/>
        <w:ind w:right="480" w:firstLine="5040" w:firstLineChars="2100"/>
        <w:textAlignment w:val="baseline"/>
        <w:rPr>
          <w:rFonts w:ascii="宋体" w:hAnsi="宋体"/>
          <w:bCs/>
          <w:sz w:val="24"/>
        </w:rPr>
      </w:pPr>
      <w:r>
        <w:rPr>
          <w:rFonts w:hint="eastAsia" w:ascii="宋体" w:hAnsi="宋体"/>
          <w:bCs/>
          <w:sz w:val="24"/>
        </w:rPr>
        <w:t>日期：            年   月   日</w:t>
      </w:r>
    </w:p>
    <w:p w14:paraId="12FBB437">
      <w:pPr>
        <w:pStyle w:val="5"/>
        <w:numPr>
          <w:ilvl w:val="0"/>
          <w:numId w:val="0"/>
        </w:numPr>
        <w:ind w:left="709" w:hanging="709"/>
        <w:rPr>
          <w:rFonts w:hAnsi="宋体"/>
          <w:sz w:val="24"/>
          <w:szCs w:val="24"/>
        </w:rPr>
      </w:pPr>
      <w:r>
        <w:rPr>
          <w:rFonts w:hAnsi="宋体"/>
          <w:bCs/>
          <w:sz w:val="24"/>
          <w:szCs w:val="24"/>
        </w:rPr>
        <w:br w:type="page"/>
      </w:r>
      <w:bookmarkStart w:id="97" w:name="_Toc11618"/>
      <w:r>
        <w:rPr>
          <w:rFonts w:hint="eastAsia" w:hAnsi="宋体"/>
          <w:b/>
          <w:sz w:val="24"/>
          <w:szCs w:val="24"/>
          <w:lang w:val="zh-CN"/>
        </w:rPr>
        <w:t>格式3、法定代表人授权书</w:t>
      </w:r>
      <w:bookmarkEnd w:id="95"/>
      <w:bookmarkEnd w:id="96"/>
      <w:bookmarkEnd w:id="97"/>
    </w:p>
    <w:p w14:paraId="00AC02E4">
      <w:pPr>
        <w:autoSpaceDE w:val="0"/>
        <w:autoSpaceDN w:val="0"/>
        <w:adjustRightInd w:val="0"/>
        <w:spacing w:line="360" w:lineRule="auto"/>
        <w:jc w:val="center"/>
        <w:rPr>
          <w:rFonts w:ascii="宋体" w:hAnsi="宋体" w:cs="宋体"/>
          <w:b/>
          <w:bCs/>
          <w:kern w:val="0"/>
          <w:sz w:val="24"/>
          <w:lang w:val="zh-CN"/>
        </w:rPr>
      </w:pPr>
      <w:r>
        <w:rPr>
          <w:rFonts w:hint="eastAsia" w:ascii="宋体" w:hAnsi="宋体" w:cs="宋体"/>
          <w:b/>
          <w:bCs/>
          <w:kern w:val="0"/>
          <w:sz w:val="24"/>
          <w:lang w:val="zh-CN"/>
        </w:rPr>
        <w:t>法定代表人授权书</w:t>
      </w:r>
    </w:p>
    <w:p w14:paraId="2600EB56">
      <w:pPr>
        <w:spacing w:line="360" w:lineRule="auto"/>
        <w:rPr>
          <w:rFonts w:ascii="宋体" w:hAnsi="宋体"/>
          <w:b/>
          <w:bCs/>
          <w:sz w:val="24"/>
        </w:rPr>
      </w:pPr>
      <w:r>
        <w:rPr>
          <w:rFonts w:hint="eastAsia" w:ascii="宋体" w:hAnsi="宋体"/>
          <w:b/>
          <w:bCs/>
          <w:sz w:val="24"/>
        </w:rPr>
        <w:t>致：青海国焱工程项目管理有限公司</w:t>
      </w:r>
    </w:p>
    <w:p w14:paraId="2753BB9A">
      <w:pPr>
        <w:spacing w:line="360" w:lineRule="auto"/>
        <w:rPr>
          <w:rFonts w:ascii="宋体" w:hAnsi="宋体"/>
          <w:sz w:val="24"/>
          <w:u w:val="single"/>
        </w:rPr>
      </w:pPr>
    </w:p>
    <w:p w14:paraId="7F576C04">
      <w:pPr>
        <w:spacing w:line="360" w:lineRule="auto"/>
        <w:ind w:firstLine="480" w:firstLineChars="200"/>
        <w:rPr>
          <w:rFonts w:ascii="宋体" w:hAnsi="宋体"/>
          <w:sz w:val="24"/>
        </w:rPr>
      </w:pPr>
      <w:r>
        <w:rPr>
          <w:rFonts w:hint="eastAsia" w:ascii="宋体" w:hAnsi="宋体"/>
          <w:sz w:val="24"/>
          <w:u w:val="single"/>
        </w:rPr>
        <w:t>（磋商供应商名称）</w:t>
      </w:r>
      <w:r>
        <w:rPr>
          <w:rFonts w:hint="eastAsia" w:ascii="宋体" w:hAnsi="宋体"/>
          <w:sz w:val="24"/>
        </w:rPr>
        <w:t>系中华人民共和国合法企业，法定地址。</w:t>
      </w:r>
    </w:p>
    <w:p w14:paraId="65B68AD8">
      <w:pPr>
        <w:spacing w:line="360" w:lineRule="auto"/>
        <w:ind w:firstLine="480" w:firstLineChars="200"/>
        <w:rPr>
          <w:rFonts w:ascii="宋体" w:hAnsi="宋体"/>
          <w:sz w:val="24"/>
        </w:rPr>
      </w:pPr>
      <w:r>
        <w:rPr>
          <w:rFonts w:hint="eastAsia" w:ascii="宋体" w:hAnsi="宋体"/>
          <w:sz w:val="24"/>
          <w:u w:val="single"/>
        </w:rPr>
        <w:t>（法定代表人姓名）</w:t>
      </w:r>
      <w:r>
        <w:rPr>
          <w:rFonts w:hint="eastAsia" w:ascii="宋体" w:hAnsi="宋体"/>
          <w:sz w:val="24"/>
        </w:rPr>
        <w:t>特授权</w:t>
      </w:r>
      <w:r>
        <w:rPr>
          <w:rFonts w:hint="eastAsia" w:ascii="宋体" w:hAnsi="宋体"/>
          <w:sz w:val="24"/>
          <w:u w:val="single"/>
        </w:rPr>
        <w:t>（被授权人姓名）</w:t>
      </w:r>
      <w:r>
        <w:rPr>
          <w:rFonts w:hint="eastAsia" w:ascii="宋体" w:hAnsi="宋体"/>
          <w:sz w:val="24"/>
        </w:rPr>
        <w:t>代表我单位全权办理项目的磋商、答疑等具体工作，并签署全部有关的文件、协议及合同。</w:t>
      </w:r>
    </w:p>
    <w:p w14:paraId="32FB5BD6">
      <w:pPr>
        <w:spacing w:line="360" w:lineRule="auto"/>
        <w:ind w:firstLine="480" w:firstLineChars="200"/>
        <w:rPr>
          <w:rFonts w:ascii="宋体" w:hAnsi="宋体"/>
          <w:sz w:val="24"/>
        </w:rPr>
      </w:pPr>
      <w:r>
        <w:rPr>
          <w:rFonts w:hint="eastAsia" w:ascii="宋体" w:hAnsi="宋体"/>
          <w:sz w:val="24"/>
        </w:rPr>
        <w:t>我单位对被授权人的签名负全部责任。</w:t>
      </w:r>
    </w:p>
    <w:p w14:paraId="641EAD13">
      <w:pPr>
        <w:spacing w:line="360" w:lineRule="auto"/>
        <w:ind w:firstLine="480" w:firstLineChars="200"/>
        <w:rPr>
          <w:rFonts w:ascii="宋体" w:hAnsi="宋体"/>
          <w:sz w:val="24"/>
        </w:rPr>
      </w:pPr>
      <w:r>
        <w:rPr>
          <w:rFonts w:hint="eastAsia" w:ascii="宋体" w:hAnsi="宋体"/>
          <w:sz w:val="24"/>
        </w:rPr>
        <w:t>在撤销授权的书面通知以前，本授权书一直有效。被授权人签署的所有文件（在授权书有效期内签署的）不因授权的撤销而失效。</w:t>
      </w:r>
    </w:p>
    <w:p w14:paraId="39C81861">
      <w:pPr>
        <w:spacing w:line="360" w:lineRule="auto"/>
        <w:rPr>
          <w:rFonts w:ascii="宋体" w:hAnsi="宋体"/>
          <w:sz w:val="24"/>
        </w:rPr>
      </w:pPr>
    </w:p>
    <w:p w14:paraId="7171C2FA">
      <w:pPr>
        <w:spacing w:line="360" w:lineRule="auto"/>
        <w:rPr>
          <w:rFonts w:ascii="宋体" w:hAnsi="宋体"/>
          <w:sz w:val="24"/>
          <w:u w:val="single"/>
        </w:rPr>
      </w:pPr>
      <w:r>
        <w:rPr>
          <w:rFonts w:ascii="宋体" w:hAnsi="宋体"/>
          <w:sz w:val="24"/>
        </w:rPr>
        <w:t>被授权人联系电话</w:t>
      </w:r>
      <w:r>
        <w:rPr>
          <w:rFonts w:hint="eastAsia" w:ascii="宋体" w:hAnsi="宋体"/>
          <w:sz w:val="24"/>
        </w:rPr>
        <w:t>：</w:t>
      </w:r>
    </w:p>
    <w:p w14:paraId="53432E73">
      <w:pPr>
        <w:spacing w:line="360" w:lineRule="auto"/>
        <w:rPr>
          <w:rFonts w:ascii="宋体" w:hAnsi="宋体"/>
          <w:sz w:val="24"/>
          <w:u w:val="single"/>
        </w:rPr>
      </w:pPr>
      <w:r>
        <w:rPr>
          <w:rFonts w:hint="eastAsia" w:ascii="宋体" w:hAnsi="宋体"/>
          <w:sz w:val="24"/>
        </w:rPr>
        <w:t>被授权人（委托代理人）签名：          授权人（法定代表人）签名：</w:t>
      </w:r>
    </w:p>
    <w:p w14:paraId="0907A3A0">
      <w:pPr>
        <w:spacing w:line="360" w:lineRule="auto"/>
        <w:rPr>
          <w:rFonts w:ascii="宋体" w:hAnsi="宋体"/>
          <w:sz w:val="24"/>
        </w:rPr>
      </w:pPr>
      <w:r>
        <w:rPr>
          <w:rFonts w:hint="eastAsia" w:ascii="宋体" w:hAnsi="宋体"/>
          <w:sz w:val="24"/>
        </w:rPr>
        <w:t>职务：                                 职务：</w:t>
      </w:r>
    </w:p>
    <w:p w14:paraId="31ABA124">
      <w:pPr>
        <w:spacing w:line="360" w:lineRule="auto"/>
        <w:rPr>
          <w:rFonts w:ascii="宋体" w:hAnsi="宋体"/>
          <w:sz w:val="24"/>
        </w:rPr>
      </w:pPr>
      <w:r>
        <w:rPr>
          <w:rFonts w:hint="eastAsia" w:ascii="宋体" w:hAnsi="宋体"/>
          <w:sz w:val="24"/>
        </w:rPr>
        <w:t>附：被授权人身份证正、反面扫描（或复印）件</w:t>
      </w:r>
      <w:r>
        <w:rPr>
          <w:rFonts w:hint="eastAsia" w:ascii="宋体" w:hAnsi="宋体" w:cs="宋体"/>
          <w:kern w:val="0"/>
          <w:sz w:val="24"/>
          <w:lang w:val="zh-CN"/>
        </w:rPr>
        <w:t>。</w:t>
      </w:r>
    </w:p>
    <w:p w14:paraId="02D24220">
      <w:pPr>
        <w:tabs>
          <w:tab w:val="left" w:pos="168"/>
        </w:tabs>
        <w:adjustRightInd w:val="0"/>
        <w:spacing w:line="360" w:lineRule="auto"/>
        <w:textAlignment w:val="baseline"/>
        <w:rPr>
          <w:rFonts w:ascii="宋体" w:hAnsi="宋体"/>
          <w:bCs/>
          <w:sz w:val="24"/>
        </w:rPr>
      </w:pPr>
    </w:p>
    <w:p w14:paraId="53FDA570">
      <w:pPr>
        <w:tabs>
          <w:tab w:val="left" w:pos="168"/>
        </w:tabs>
        <w:adjustRightInd w:val="0"/>
        <w:spacing w:line="360" w:lineRule="auto"/>
        <w:textAlignment w:val="baseline"/>
        <w:rPr>
          <w:rFonts w:ascii="宋体" w:hAnsi="宋体"/>
          <w:bCs/>
          <w:sz w:val="24"/>
        </w:rPr>
      </w:pPr>
    </w:p>
    <w:p w14:paraId="0E3574ED">
      <w:pPr>
        <w:tabs>
          <w:tab w:val="left" w:pos="168"/>
        </w:tabs>
        <w:adjustRightInd w:val="0"/>
        <w:spacing w:line="360" w:lineRule="auto"/>
        <w:textAlignment w:val="baseline"/>
        <w:rPr>
          <w:rFonts w:ascii="宋体" w:hAnsi="宋体"/>
          <w:bCs/>
          <w:sz w:val="24"/>
        </w:rPr>
      </w:pPr>
    </w:p>
    <w:p w14:paraId="2E5A90BE">
      <w:pPr>
        <w:tabs>
          <w:tab w:val="left" w:pos="168"/>
        </w:tabs>
        <w:adjustRightInd w:val="0"/>
        <w:spacing w:line="360" w:lineRule="auto"/>
        <w:textAlignment w:val="baseline"/>
        <w:rPr>
          <w:rFonts w:ascii="宋体" w:hAnsi="宋体"/>
          <w:bCs/>
          <w:sz w:val="24"/>
        </w:rPr>
      </w:pPr>
    </w:p>
    <w:p w14:paraId="491D33BE">
      <w:pPr>
        <w:tabs>
          <w:tab w:val="left" w:pos="168"/>
        </w:tabs>
        <w:adjustRightInd w:val="0"/>
        <w:spacing w:line="360" w:lineRule="auto"/>
        <w:textAlignment w:val="baseline"/>
        <w:rPr>
          <w:rFonts w:ascii="宋体" w:hAnsi="宋体"/>
          <w:bCs/>
          <w:sz w:val="24"/>
        </w:rPr>
      </w:pPr>
    </w:p>
    <w:p w14:paraId="007CDAB4">
      <w:pPr>
        <w:tabs>
          <w:tab w:val="left" w:pos="168"/>
        </w:tabs>
        <w:adjustRightInd w:val="0"/>
        <w:spacing w:line="360" w:lineRule="auto"/>
        <w:textAlignment w:val="baseline"/>
        <w:rPr>
          <w:rFonts w:ascii="宋体" w:hAnsi="宋体"/>
          <w:bCs/>
          <w:sz w:val="24"/>
        </w:rPr>
      </w:pPr>
    </w:p>
    <w:p w14:paraId="79458CA8">
      <w:pPr>
        <w:tabs>
          <w:tab w:val="left" w:pos="168"/>
        </w:tabs>
        <w:adjustRightInd w:val="0"/>
        <w:spacing w:line="360" w:lineRule="auto"/>
        <w:textAlignment w:val="baseline"/>
        <w:rPr>
          <w:rFonts w:ascii="宋体" w:hAnsi="宋体"/>
          <w:bCs/>
          <w:sz w:val="24"/>
        </w:rPr>
      </w:pPr>
    </w:p>
    <w:p w14:paraId="108DEC30">
      <w:pPr>
        <w:tabs>
          <w:tab w:val="left" w:pos="168"/>
        </w:tabs>
        <w:wordWrap w:val="0"/>
        <w:adjustRightInd w:val="0"/>
        <w:spacing w:line="360" w:lineRule="auto"/>
        <w:jc w:val="right"/>
        <w:textAlignment w:val="baseline"/>
        <w:rPr>
          <w:rFonts w:ascii="宋体" w:hAnsi="宋体"/>
          <w:bCs/>
          <w:sz w:val="24"/>
        </w:rPr>
      </w:pPr>
      <w:r>
        <w:rPr>
          <w:rFonts w:hint="eastAsia" w:ascii="宋体" w:hAnsi="宋体"/>
          <w:bCs/>
          <w:sz w:val="24"/>
        </w:rPr>
        <w:t>磋商供应商：             （公章）</w:t>
      </w:r>
    </w:p>
    <w:p w14:paraId="15A0959E">
      <w:pPr>
        <w:tabs>
          <w:tab w:val="left" w:pos="168"/>
        </w:tabs>
        <w:wordWrap w:val="0"/>
        <w:adjustRightInd w:val="0"/>
        <w:spacing w:line="360" w:lineRule="auto"/>
        <w:jc w:val="right"/>
        <w:textAlignment w:val="baseline"/>
        <w:rPr>
          <w:rFonts w:ascii="宋体" w:hAnsi="宋体"/>
          <w:bCs/>
          <w:sz w:val="24"/>
        </w:rPr>
      </w:pPr>
      <w:r>
        <w:rPr>
          <w:rFonts w:hint="eastAsia" w:ascii="宋体" w:hAnsi="宋体"/>
          <w:bCs/>
          <w:sz w:val="24"/>
        </w:rPr>
        <w:t>法定代表人：                   （签字）</w:t>
      </w:r>
    </w:p>
    <w:p w14:paraId="2E289DB4">
      <w:pPr>
        <w:tabs>
          <w:tab w:val="left" w:pos="168"/>
        </w:tabs>
        <w:adjustRightInd w:val="0"/>
        <w:spacing w:line="360" w:lineRule="auto"/>
        <w:ind w:right="480" w:firstLine="5760" w:firstLineChars="2400"/>
        <w:textAlignment w:val="baseline"/>
        <w:rPr>
          <w:rFonts w:ascii="宋体" w:hAnsi="宋体"/>
          <w:bCs/>
          <w:sz w:val="24"/>
        </w:rPr>
      </w:pPr>
      <w:r>
        <w:rPr>
          <w:rFonts w:hint="eastAsia" w:ascii="宋体" w:hAnsi="宋体"/>
          <w:bCs/>
          <w:sz w:val="24"/>
        </w:rPr>
        <w:t>日期：            年   月   日</w:t>
      </w:r>
    </w:p>
    <w:p w14:paraId="1DD8BFFA">
      <w:pPr>
        <w:pStyle w:val="5"/>
        <w:numPr>
          <w:ilvl w:val="0"/>
          <w:numId w:val="0"/>
        </w:numPr>
        <w:ind w:left="709" w:hanging="709"/>
        <w:rPr>
          <w:rFonts w:hAnsi="宋体"/>
          <w:sz w:val="24"/>
          <w:szCs w:val="24"/>
          <w:lang w:val="zh-CN"/>
        </w:rPr>
      </w:pPr>
      <w:r>
        <w:rPr>
          <w:rFonts w:hAnsi="宋体"/>
          <w:bCs/>
          <w:sz w:val="24"/>
          <w:szCs w:val="24"/>
        </w:rPr>
        <w:br w:type="page"/>
      </w:r>
      <w:bookmarkStart w:id="98" w:name="_Toc18589"/>
      <w:r>
        <w:rPr>
          <w:rFonts w:hint="eastAsia" w:hAnsi="宋体"/>
          <w:b/>
          <w:sz w:val="24"/>
          <w:szCs w:val="24"/>
          <w:lang w:val="zh-CN"/>
        </w:rPr>
        <w:t>格式4、磋商供应商承诺书</w:t>
      </w:r>
      <w:bookmarkEnd w:id="98"/>
    </w:p>
    <w:p w14:paraId="6E90330D">
      <w:pPr>
        <w:autoSpaceDE w:val="0"/>
        <w:autoSpaceDN w:val="0"/>
        <w:adjustRightInd w:val="0"/>
        <w:spacing w:line="360" w:lineRule="auto"/>
        <w:jc w:val="center"/>
        <w:rPr>
          <w:rFonts w:ascii="宋体" w:hAnsi="宋体" w:cs="宋体"/>
          <w:b/>
          <w:bCs/>
          <w:kern w:val="0"/>
          <w:sz w:val="24"/>
          <w:lang w:val="zh-CN"/>
        </w:rPr>
      </w:pPr>
      <w:r>
        <w:rPr>
          <w:rFonts w:hint="eastAsia" w:ascii="宋体" w:hAnsi="宋体" w:cs="宋体"/>
          <w:b/>
          <w:bCs/>
          <w:kern w:val="0"/>
          <w:sz w:val="24"/>
          <w:lang w:val="zh-CN"/>
        </w:rPr>
        <w:t>磋商供应商承诺书</w:t>
      </w:r>
    </w:p>
    <w:p w14:paraId="6201E7E5">
      <w:pPr>
        <w:spacing w:line="360" w:lineRule="auto"/>
        <w:rPr>
          <w:rFonts w:ascii="宋体" w:hAnsi="宋体"/>
          <w:b/>
          <w:bCs/>
          <w:sz w:val="24"/>
        </w:rPr>
      </w:pPr>
      <w:r>
        <w:rPr>
          <w:rFonts w:hint="eastAsia" w:ascii="宋体" w:hAnsi="宋体"/>
          <w:b/>
          <w:bCs/>
          <w:sz w:val="24"/>
        </w:rPr>
        <w:t>致：青海国焱工程项目管理有限公司</w:t>
      </w:r>
    </w:p>
    <w:p w14:paraId="42ECC116">
      <w:pPr>
        <w:spacing w:line="360" w:lineRule="auto"/>
        <w:rPr>
          <w:rFonts w:ascii="宋体" w:hAnsi="宋体"/>
          <w:sz w:val="24"/>
        </w:rPr>
      </w:pPr>
    </w:p>
    <w:p w14:paraId="4C33C354">
      <w:pPr>
        <w:spacing w:line="360" w:lineRule="auto"/>
        <w:ind w:firstLine="480" w:firstLineChars="200"/>
        <w:rPr>
          <w:rFonts w:ascii="宋体" w:hAnsi="宋体"/>
          <w:sz w:val="24"/>
        </w:rPr>
      </w:pPr>
      <w:r>
        <w:rPr>
          <w:rFonts w:hint="eastAsia" w:ascii="宋体" w:hAnsi="宋体"/>
          <w:sz w:val="24"/>
        </w:rPr>
        <w:t>关于贵方</w:t>
      </w:r>
      <w:r>
        <w:rPr>
          <w:rFonts w:hint="eastAsia" w:ascii="宋体" w:hAnsi="宋体"/>
          <w:sz w:val="24"/>
          <w:lang w:val="en-US" w:eastAsia="zh-CN"/>
        </w:rPr>
        <w:t xml:space="preserve">   </w:t>
      </w:r>
      <w:r>
        <w:rPr>
          <w:rFonts w:hint="eastAsia" w:ascii="宋体" w:hAnsi="宋体"/>
          <w:sz w:val="24"/>
        </w:rPr>
        <w:t>年  月  日</w:t>
      </w:r>
      <w:r>
        <w:rPr>
          <w:rFonts w:hint="eastAsia" w:ascii="宋体" w:hAnsi="宋体"/>
          <w:sz w:val="24"/>
          <w:u w:val="single"/>
        </w:rPr>
        <w:t>(项目名称)</w:t>
      </w:r>
      <w:r>
        <w:rPr>
          <w:rFonts w:hint="eastAsia" w:ascii="宋体" w:hAnsi="宋体"/>
          <w:sz w:val="24"/>
        </w:rPr>
        <w:t>采购项目，本签字人愿意参加磋商，提供采购项目参数及要求中要求的所有产品，并证实提交的所有资料是准确的和真实的。同时，我代表</w:t>
      </w:r>
      <w:r>
        <w:rPr>
          <w:rFonts w:hint="eastAsia" w:ascii="宋体" w:hAnsi="宋体"/>
          <w:sz w:val="24"/>
          <w:u w:val="single"/>
        </w:rPr>
        <w:t>（磋商供应商名称）</w:t>
      </w:r>
      <w:r>
        <w:rPr>
          <w:rFonts w:hint="eastAsia" w:ascii="宋体" w:hAnsi="宋体"/>
          <w:sz w:val="24"/>
        </w:rPr>
        <w:t>，在此作如下承诺：</w:t>
      </w:r>
    </w:p>
    <w:p w14:paraId="7FF2943C">
      <w:pPr>
        <w:spacing w:line="360" w:lineRule="auto"/>
        <w:ind w:firstLine="480" w:firstLineChars="200"/>
        <w:rPr>
          <w:rFonts w:ascii="宋体" w:hAnsi="宋体"/>
          <w:sz w:val="24"/>
        </w:rPr>
      </w:pPr>
      <w:r>
        <w:rPr>
          <w:rFonts w:ascii="宋体" w:hAnsi="宋体"/>
          <w:sz w:val="24"/>
        </w:rPr>
        <w:t>1</w:t>
      </w:r>
      <w:r>
        <w:rPr>
          <w:rFonts w:hint="eastAsia" w:ascii="宋体" w:hAnsi="宋体"/>
          <w:sz w:val="24"/>
        </w:rPr>
        <w:t>、完全理解和接受磋商文件的一切规定和要求；</w:t>
      </w:r>
    </w:p>
    <w:p w14:paraId="1550387E">
      <w:pPr>
        <w:spacing w:line="360" w:lineRule="auto"/>
        <w:ind w:firstLine="480" w:firstLineChars="200"/>
        <w:rPr>
          <w:rFonts w:ascii="宋体" w:hAnsi="宋体"/>
          <w:sz w:val="24"/>
        </w:rPr>
      </w:pPr>
      <w:r>
        <w:rPr>
          <w:rFonts w:ascii="宋体" w:hAnsi="宋体"/>
          <w:sz w:val="24"/>
        </w:rPr>
        <w:t>2</w:t>
      </w:r>
      <w:r>
        <w:rPr>
          <w:rFonts w:hint="eastAsia" w:ascii="宋体" w:hAnsi="宋体"/>
          <w:sz w:val="24"/>
        </w:rPr>
        <w:t>、若成交，我方将按照磋商文件的具体规定与采购单位签订合同，并且严格履行合同义务，按时交货，提供优质的产品和服务。如果在合同执行过程中，发现质量出现问题，我方一定尽快更换或保修，并承担相应的经济责任；</w:t>
      </w:r>
    </w:p>
    <w:p w14:paraId="32F4C892">
      <w:pPr>
        <w:spacing w:line="360" w:lineRule="auto"/>
        <w:ind w:firstLine="480" w:firstLineChars="200"/>
        <w:rPr>
          <w:rFonts w:ascii="宋体" w:hAnsi="宋体"/>
          <w:sz w:val="24"/>
        </w:rPr>
      </w:pPr>
      <w:r>
        <w:rPr>
          <w:rFonts w:ascii="宋体" w:hAnsi="宋体"/>
          <w:sz w:val="24"/>
        </w:rPr>
        <w:t>3</w:t>
      </w:r>
      <w:r>
        <w:rPr>
          <w:rFonts w:hint="eastAsia" w:ascii="宋体" w:hAnsi="宋体"/>
          <w:sz w:val="24"/>
        </w:rPr>
        <w:t>、在整个磋商过程中我方若有违规行为，贵方可按磋商文件之规定给予惩罚，我方完全接受。</w:t>
      </w:r>
    </w:p>
    <w:p w14:paraId="1CDC89AC">
      <w:pPr>
        <w:spacing w:line="360" w:lineRule="auto"/>
        <w:ind w:firstLine="480" w:firstLineChars="200"/>
        <w:rPr>
          <w:rFonts w:ascii="宋体" w:hAnsi="宋体"/>
          <w:sz w:val="24"/>
        </w:rPr>
      </w:pPr>
      <w:r>
        <w:rPr>
          <w:rFonts w:ascii="宋体" w:hAnsi="宋体"/>
          <w:sz w:val="24"/>
        </w:rPr>
        <w:t>4</w:t>
      </w:r>
      <w:r>
        <w:rPr>
          <w:rFonts w:hint="eastAsia" w:ascii="宋体" w:hAnsi="宋体"/>
          <w:sz w:val="24"/>
        </w:rPr>
        <w:t>、若成交，本承诺将成为合同不可分割的一部分，与合同具有同等的法律效力。</w:t>
      </w:r>
    </w:p>
    <w:p w14:paraId="2DF8B832">
      <w:pPr>
        <w:tabs>
          <w:tab w:val="left" w:pos="168"/>
        </w:tabs>
        <w:adjustRightInd w:val="0"/>
        <w:spacing w:line="360" w:lineRule="auto"/>
        <w:ind w:firstLine="480" w:firstLineChars="200"/>
        <w:textAlignment w:val="baseline"/>
        <w:rPr>
          <w:rFonts w:ascii="宋体" w:hAnsi="宋体"/>
          <w:bCs/>
          <w:sz w:val="24"/>
        </w:rPr>
      </w:pPr>
    </w:p>
    <w:p w14:paraId="5A7548B4">
      <w:pPr>
        <w:tabs>
          <w:tab w:val="left" w:pos="168"/>
        </w:tabs>
        <w:adjustRightInd w:val="0"/>
        <w:spacing w:line="360" w:lineRule="auto"/>
        <w:ind w:firstLine="480" w:firstLineChars="200"/>
        <w:textAlignment w:val="baseline"/>
        <w:rPr>
          <w:rFonts w:ascii="宋体" w:hAnsi="宋体"/>
          <w:bCs/>
          <w:sz w:val="24"/>
        </w:rPr>
      </w:pPr>
    </w:p>
    <w:p w14:paraId="57F8E922">
      <w:pPr>
        <w:tabs>
          <w:tab w:val="left" w:pos="168"/>
        </w:tabs>
        <w:adjustRightInd w:val="0"/>
        <w:spacing w:line="360" w:lineRule="auto"/>
        <w:ind w:firstLine="480" w:firstLineChars="200"/>
        <w:textAlignment w:val="baseline"/>
        <w:rPr>
          <w:rFonts w:ascii="宋体" w:hAnsi="宋体"/>
          <w:bCs/>
          <w:sz w:val="24"/>
        </w:rPr>
      </w:pPr>
    </w:p>
    <w:p w14:paraId="3690D414">
      <w:pPr>
        <w:tabs>
          <w:tab w:val="left" w:pos="168"/>
        </w:tabs>
        <w:adjustRightInd w:val="0"/>
        <w:spacing w:line="360" w:lineRule="auto"/>
        <w:ind w:firstLine="480" w:firstLineChars="200"/>
        <w:textAlignment w:val="baseline"/>
        <w:rPr>
          <w:rFonts w:ascii="宋体" w:hAnsi="宋体"/>
          <w:bCs/>
          <w:sz w:val="24"/>
        </w:rPr>
      </w:pPr>
    </w:p>
    <w:p w14:paraId="3D977D61">
      <w:pPr>
        <w:tabs>
          <w:tab w:val="left" w:pos="168"/>
        </w:tabs>
        <w:adjustRightInd w:val="0"/>
        <w:spacing w:line="360" w:lineRule="auto"/>
        <w:ind w:firstLine="480" w:firstLineChars="200"/>
        <w:textAlignment w:val="baseline"/>
        <w:rPr>
          <w:rFonts w:ascii="宋体" w:hAnsi="宋体"/>
          <w:bCs/>
          <w:sz w:val="24"/>
        </w:rPr>
      </w:pPr>
    </w:p>
    <w:p w14:paraId="677E4BA3">
      <w:pPr>
        <w:tabs>
          <w:tab w:val="left" w:pos="168"/>
        </w:tabs>
        <w:adjustRightInd w:val="0"/>
        <w:spacing w:line="360" w:lineRule="auto"/>
        <w:ind w:firstLine="480" w:firstLineChars="200"/>
        <w:textAlignment w:val="baseline"/>
        <w:rPr>
          <w:rFonts w:ascii="宋体" w:hAnsi="宋体"/>
          <w:bCs/>
          <w:sz w:val="24"/>
        </w:rPr>
      </w:pPr>
    </w:p>
    <w:p w14:paraId="22D36444">
      <w:pPr>
        <w:tabs>
          <w:tab w:val="left" w:pos="168"/>
        </w:tabs>
        <w:adjustRightInd w:val="0"/>
        <w:spacing w:line="360" w:lineRule="auto"/>
        <w:ind w:firstLine="480" w:firstLineChars="200"/>
        <w:textAlignment w:val="baseline"/>
        <w:rPr>
          <w:rFonts w:ascii="宋体" w:hAnsi="宋体"/>
          <w:bCs/>
          <w:sz w:val="24"/>
        </w:rPr>
      </w:pPr>
    </w:p>
    <w:p w14:paraId="035E0237">
      <w:pPr>
        <w:tabs>
          <w:tab w:val="left" w:pos="168"/>
        </w:tabs>
        <w:adjustRightInd w:val="0"/>
        <w:spacing w:line="360" w:lineRule="auto"/>
        <w:ind w:firstLine="480" w:firstLineChars="200"/>
        <w:textAlignment w:val="baseline"/>
        <w:rPr>
          <w:rFonts w:ascii="宋体" w:hAnsi="宋体"/>
          <w:bCs/>
          <w:sz w:val="24"/>
        </w:rPr>
      </w:pPr>
    </w:p>
    <w:p w14:paraId="5B71D8F8">
      <w:pPr>
        <w:tabs>
          <w:tab w:val="left" w:pos="168"/>
        </w:tabs>
        <w:adjustRightInd w:val="0"/>
        <w:spacing w:line="360" w:lineRule="auto"/>
        <w:ind w:firstLine="480" w:firstLineChars="200"/>
        <w:textAlignment w:val="baseline"/>
        <w:rPr>
          <w:rFonts w:ascii="宋体" w:hAnsi="宋体"/>
          <w:bCs/>
          <w:sz w:val="24"/>
        </w:rPr>
      </w:pPr>
    </w:p>
    <w:p w14:paraId="47205D27">
      <w:pPr>
        <w:tabs>
          <w:tab w:val="left" w:pos="168"/>
        </w:tabs>
        <w:adjustRightInd w:val="0"/>
        <w:spacing w:line="360" w:lineRule="auto"/>
        <w:ind w:firstLine="480" w:firstLineChars="200"/>
        <w:textAlignment w:val="baseline"/>
        <w:rPr>
          <w:rFonts w:ascii="宋体" w:hAnsi="宋体"/>
          <w:bCs/>
          <w:sz w:val="24"/>
        </w:rPr>
      </w:pPr>
    </w:p>
    <w:p w14:paraId="135295DE">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磋商供应商：             （公章）</w:t>
      </w:r>
    </w:p>
    <w:p w14:paraId="733B6B48">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法定代表人或委托代理人：       （签字）</w:t>
      </w:r>
    </w:p>
    <w:p w14:paraId="3F690E16">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日期：    年   月   日</w:t>
      </w:r>
    </w:p>
    <w:p w14:paraId="79525826">
      <w:pPr>
        <w:pStyle w:val="5"/>
        <w:numPr>
          <w:ilvl w:val="0"/>
          <w:numId w:val="0"/>
        </w:numPr>
        <w:ind w:left="709" w:hanging="709"/>
        <w:rPr>
          <w:rFonts w:hAnsi="宋体"/>
          <w:sz w:val="24"/>
          <w:szCs w:val="24"/>
          <w:lang w:val="zh-CN"/>
        </w:rPr>
      </w:pPr>
      <w:r>
        <w:rPr>
          <w:rFonts w:hAnsi="宋体"/>
          <w:bCs/>
          <w:sz w:val="24"/>
          <w:szCs w:val="24"/>
        </w:rPr>
        <w:br w:type="page"/>
      </w:r>
      <w:bookmarkStart w:id="99" w:name="_Toc1786"/>
      <w:r>
        <w:rPr>
          <w:rFonts w:hint="eastAsia" w:hAnsi="宋体"/>
          <w:b/>
          <w:sz w:val="24"/>
          <w:szCs w:val="24"/>
          <w:lang w:val="zh-CN"/>
        </w:rPr>
        <w:t>格式5、供应商诚信承诺书</w:t>
      </w:r>
      <w:bookmarkEnd w:id="99"/>
    </w:p>
    <w:p w14:paraId="1B5A05A1">
      <w:pPr>
        <w:autoSpaceDE w:val="0"/>
        <w:autoSpaceDN w:val="0"/>
        <w:adjustRightInd w:val="0"/>
        <w:spacing w:line="360" w:lineRule="auto"/>
        <w:jc w:val="center"/>
        <w:rPr>
          <w:rFonts w:ascii="宋体" w:hAnsi="宋体" w:cs="宋体"/>
          <w:b/>
          <w:bCs/>
          <w:kern w:val="0"/>
          <w:sz w:val="24"/>
          <w:lang w:val="zh-CN"/>
        </w:rPr>
      </w:pPr>
      <w:r>
        <w:rPr>
          <w:rFonts w:hint="eastAsia" w:ascii="宋体" w:hAnsi="宋体" w:cs="宋体"/>
          <w:b/>
          <w:bCs/>
          <w:kern w:val="0"/>
          <w:sz w:val="24"/>
          <w:lang w:val="zh-CN"/>
        </w:rPr>
        <w:t>供应商诚信承诺书</w:t>
      </w:r>
    </w:p>
    <w:p w14:paraId="3106C207">
      <w:pPr>
        <w:autoSpaceDE w:val="0"/>
        <w:autoSpaceDN w:val="0"/>
        <w:adjustRightInd w:val="0"/>
        <w:spacing w:line="360" w:lineRule="auto"/>
        <w:rPr>
          <w:rFonts w:ascii="宋体" w:hAnsi="宋体" w:cs="宋体"/>
          <w:kern w:val="0"/>
          <w:sz w:val="24"/>
          <w:lang w:val="zh-CN"/>
        </w:rPr>
      </w:pPr>
    </w:p>
    <w:p w14:paraId="5AC2E683">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致：青海国焱工程项目管理有限公司</w:t>
      </w:r>
    </w:p>
    <w:p w14:paraId="03DDE951">
      <w:pPr>
        <w:autoSpaceDE w:val="0"/>
        <w:autoSpaceDN w:val="0"/>
        <w:adjustRightInd w:val="0"/>
        <w:spacing w:line="360" w:lineRule="auto"/>
        <w:rPr>
          <w:rFonts w:ascii="宋体" w:hAnsi="宋体" w:cs="宋体"/>
          <w:kern w:val="0"/>
          <w:sz w:val="24"/>
          <w:lang w:val="zh-CN"/>
        </w:rPr>
      </w:pPr>
    </w:p>
    <w:p w14:paraId="49D8BA1B">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为了诚实、客观、有序地参与青海省政府采购活动，愿就以下内容做出承诺：</w:t>
      </w:r>
    </w:p>
    <w:p w14:paraId="3A1A5632">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一、自觉遵守各项法律、法规、规章、制度以及社会公德，维护廉洁环境，与同场竞争的供应商平等参加政府采购活动。</w:t>
      </w:r>
    </w:p>
    <w:p w14:paraId="2EB0DB36">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二、参加采购代理机构组织的政府采购活动时，严格按照磋商文件的规定和要求提供所需的相关材料，并对所提供的各类资料的真实性负责，不虚假应标，不虚列业绩。</w:t>
      </w:r>
    </w:p>
    <w:p w14:paraId="70B74C5D">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三、尊重参与政府采购活动各相关方的合法行为，接受政府采购活动依法形成的意见、结果。</w:t>
      </w:r>
    </w:p>
    <w:p w14:paraId="0B64F4EC">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四、依法参加政府采购活动，不围标、串标，维护市场秩序，不提供“三无”产品、以次充好。</w:t>
      </w:r>
    </w:p>
    <w:p w14:paraId="7B10B961">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08439378">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六、认真履行成交人应承担的责任和义务，全面执行采购合同规定的各项内容，保质保量地按时提供采购物品。</w:t>
      </w:r>
    </w:p>
    <w:p w14:paraId="3B43EF02">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若本企业（单位）发生有悖于上述承诺的行为，愿意接受《中华人民共和国政府采购法》和《政府采购法实施条例》中对供应商的相关处理。</w:t>
      </w:r>
    </w:p>
    <w:p w14:paraId="347F4177">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本承诺是采购项目磋商响应文件的组成部分。</w:t>
      </w:r>
    </w:p>
    <w:p w14:paraId="46931042">
      <w:pPr>
        <w:autoSpaceDE w:val="0"/>
        <w:autoSpaceDN w:val="0"/>
        <w:adjustRightInd w:val="0"/>
        <w:spacing w:line="360" w:lineRule="auto"/>
        <w:rPr>
          <w:rFonts w:ascii="宋体" w:hAnsi="宋体" w:cs="宋体"/>
          <w:kern w:val="0"/>
          <w:sz w:val="24"/>
          <w:lang w:val="zh-CN"/>
        </w:rPr>
      </w:pPr>
    </w:p>
    <w:p w14:paraId="701075A9">
      <w:pPr>
        <w:autoSpaceDE w:val="0"/>
        <w:autoSpaceDN w:val="0"/>
        <w:adjustRightInd w:val="0"/>
        <w:spacing w:line="360" w:lineRule="auto"/>
        <w:rPr>
          <w:rFonts w:ascii="宋体" w:hAnsi="宋体" w:cs="宋体"/>
          <w:kern w:val="0"/>
          <w:sz w:val="24"/>
          <w:lang w:val="zh-CN"/>
        </w:rPr>
      </w:pPr>
    </w:p>
    <w:p w14:paraId="57BE9CCA">
      <w:pPr>
        <w:autoSpaceDE w:val="0"/>
        <w:autoSpaceDN w:val="0"/>
        <w:adjustRightInd w:val="0"/>
        <w:spacing w:line="360" w:lineRule="auto"/>
        <w:rPr>
          <w:rFonts w:ascii="宋体" w:hAnsi="宋体" w:cs="宋体"/>
          <w:kern w:val="0"/>
          <w:sz w:val="24"/>
          <w:lang w:val="zh-CN"/>
        </w:rPr>
      </w:pPr>
    </w:p>
    <w:p w14:paraId="32E587DE">
      <w:pPr>
        <w:tabs>
          <w:tab w:val="left" w:pos="168"/>
        </w:tabs>
        <w:adjustRightInd w:val="0"/>
        <w:spacing w:line="360" w:lineRule="auto"/>
        <w:textAlignment w:val="baseline"/>
        <w:rPr>
          <w:rFonts w:ascii="宋体" w:hAnsi="宋体"/>
          <w:bCs/>
          <w:sz w:val="24"/>
        </w:rPr>
      </w:pPr>
      <w:bookmarkStart w:id="100" w:name="_Toc17097"/>
      <w:bookmarkStart w:id="101" w:name="_Toc444715739"/>
    </w:p>
    <w:p w14:paraId="08792DEF">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磋商供应商：             （公章）</w:t>
      </w:r>
    </w:p>
    <w:p w14:paraId="2E221D4C">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法定代表人或委托代理人：       （签字）</w:t>
      </w:r>
    </w:p>
    <w:p w14:paraId="26ECFCDD">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日期：    年   月   日</w:t>
      </w:r>
    </w:p>
    <w:p w14:paraId="7674FA31">
      <w:pPr>
        <w:pStyle w:val="5"/>
        <w:numPr>
          <w:ilvl w:val="0"/>
          <w:numId w:val="0"/>
        </w:numPr>
        <w:ind w:left="709" w:hanging="709"/>
        <w:rPr>
          <w:rFonts w:hAnsi="宋体" w:cs="宋体"/>
          <w:sz w:val="24"/>
          <w:szCs w:val="24"/>
          <w:lang w:val="zh-CN"/>
        </w:rPr>
      </w:pPr>
      <w:r>
        <w:rPr>
          <w:rFonts w:hAnsi="宋体"/>
          <w:bCs/>
          <w:sz w:val="24"/>
          <w:szCs w:val="24"/>
        </w:rPr>
        <w:br w:type="page"/>
      </w:r>
      <w:bookmarkStart w:id="102" w:name="_Toc30121"/>
      <w:r>
        <w:rPr>
          <w:rFonts w:hint="eastAsia" w:hAnsi="宋体"/>
          <w:b/>
          <w:sz w:val="24"/>
          <w:szCs w:val="24"/>
          <w:lang w:val="zh-CN"/>
        </w:rPr>
        <w:t>格式6、资格证明材料</w:t>
      </w:r>
      <w:bookmarkEnd w:id="100"/>
      <w:bookmarkEnd w:id="101"/>
      <w:bookmarkEnd w:id="102"/>
    </w:p>
    <w:p w14:paraId="34B54D5B">
      <w:pPr>
        <w:spacing w:line="360" w:lineRule="auto"/>
        <w:rPr>
          <w:rFonts w:ascii="宋体" w:hAnsi="宋体"/>
          <w:sz w:val="24"/>
          <w:lang w:val="zh-CN"/>
        </w:rPr>
      </w:pPr>
    </w:p>
    <w:p w14:paraId="7AB60ABF">
      <w:pPr>
        <w:autoSpaceDE w:val="0"/>
        <w:autoSpaceDN w:val="0"/>
        <w:adjustRightInd w:val="0"/>
        <w:spacing w:line="360" w:lineRule="auto"/>
        <w:jc w:val="center"/>
        <w:rPr>
          <w:rFonts w:ascii="宋体" w:hAnsi="宋体" w:cs="宋体"/>
          <w:b/>
          <w:bCs/>
          <w:kern w:val="0"/>
          <w:sz w:val="24"/>
          <w:lang w:val="zh-CN"/>
        </w:rPr>
      </w:pPr>
      <w:r>
        <w:rPr>
          <w:rFonts w:hint="eastAsia" w:ascii="宋体" w:hAnsi="宋体" w:cs="宋体"/>
          <w:b/>
          <w:bCs/>
          <w:kern w:val="0"/>
          <w:sz w:val="24"/>
          <w:lang w:val="zh-CN"/>
        </w:rPr>
        <w:t>资格证明材料</w:t>
      </w:r>
    </w:p>
    <w:p w14:paraId="1AD1C18F">
      <w:pPr>
        <w:spacing w:line="360" w:lineRule="auto"/>
        <w:ind w:firstLine="424" w:firstLineChars="177"/>
        <w:rPr>
          <w:rFonts w:ascii="宋体" w:hAnsi="宋体" w:cs="Arial"/>
          <w:sz w:val="24"/>
        </w:rPr>
      </w:pPr>
      <w:r>
        <w:rPr>
          <w:rFonts w:ascii="宋体" w:hAnsi="宋体" w:cs="Arial"/>
          <w:sz w:val="24"/>
        </w:rPr>
        <w:t>资格证明材料包括：</w:t>
      </w:r>
    </w:p>
    <w:p w14:paraId="63BAE6B7">
      <w:pPr>
        <w:spacing w:line="360" w:lineRule="auto"/>
        <w:rPr>
          <w:rFonts w:ascii="宋体" w:hAnsi="宋体" w:cs="Arial"/>
          <w:sz w:val="24"/>
        </w:rPr>
      </w:pPr>
      <w:r>
        <w:rPr>
          <w:rFonts w:ascii="宋体" w:hAnsi="宋体" w:cs="Arial"/>
          <w:sz w:val="24"/>
        </w:rPr>
        <w:t>（1）单位法人营业执照、税务登记证、组织机构代码证；</w:t>
      </w:r>
    </w:p>
    <w:p w14:paraId="31DB737A">
      <w:pPr>
        <w:spacing w:line="360" w:lineRule="auto"/>
        <w:rPr>
          <w:rFonts w:ascii="宋体" w:hAnsi="宋体" w:cs="Arial"/>
          <w:sz w:val="24"/>
        </w:rPr>
      </w:pPr>
      <w:r>
        <w:rPr>
          <w:rFonts w:ascii="宋体" w:hAnsi="宋体" w:cs="Arial"/>
          <w:sz w:val="24"/>
        </w:rPr>
        <w:t>（2）磋商文件规定的有关资格证书、许可证书、认证等；</w:t>
      </w:r>
    </w:p>
    <w:p w14:paraId="2B131B27">
      <w:pPr>
        <w:spacing w:line="360" w:lineRule="auto"/>
        <w:rPr>
          <w:rFonts w:ascii="宋体" w:hAnsi="宋体" w:cs="Arial"/>
          <w:sz w:val="24"/>
        </w:rPr>
      </w:pPr>
      <w:r>
        <w:rPr>
          <w:rFonts w:ascii="宋体" w:hAnsi="宋体" w:cs="Arial"/>
          <w:sz w:val="24"/>
        </w:rPr>
        <w:t>（3）磋商供应商简介及获得相关证书证明文件；</w:t>
      </w:r>
    </w:p>
    <w:p w14:paraId="6C1F360E">
      <w:pPr>
        <w:spacing w:line="360" w:lineRule="auto"/>
        <w:rPr>
          <w:rFonts w:ascii="宋体" w:hAnsi="宋体" w:cs="Arial"/>
          <w:sz w:val="24"/>
        </w:rPr>
      </w:pPr>
      <w:r>
        <w:rPr>
          <w:rFonts w:ascii="宋体" w:hAnsi="宋体" w:cs="Arial"/>
          <w:sz w:val="24"/>
        </w:rPr>
        <w:t>（4）磋商供应商认为有必要提供的其他资格证明文件。</w:t>
      </w:r>
    </w:p>
    <w:p w14:paraId="57529140">
      <w:pPr>
        <w:pStyle w:val="5"/>
        <w:numPr>
          <w:ilvl w:val="0"/>
          <w:numId w:val="0"/>
        </w:numPr>
        <w:ind w:left="709" w:hanging="709"/>
        <w:rPr>
          <w:rFonts w:hAnsi="宋体"/>
          <w:sz w:val="24"/>
          <w:szCs w:val="24"/>
          <w:lang w:val="zh-CN"/>
        </w:rPr>
      </w:pPr>
      <w:r>
        <w:rPr>
          <w:rFonts w:hAnsi="宋体" w:cs="宋体"/>
          <w:kern w:val="0"/>
          <w:sz w:val="24"/>
          <w:szCs w:val="24"/>
          <w:lang w:val="zh-CN"/>
        </w:rPr>
        <w:br w:type="page"/>
      </w:r>
      <w:bookmarkStart w:id="103" w:name="_Toc24184"/>
      <w:bookmarkStart w:id="104" w:name="_Toc444715740"/>
      <w:bookmarkStart w:id="105" w:name="_Toc20673"/>
      <w:r>
        <w:rPr>
          <w:rFonts w:hint="eastAsia" w:hAnsi="宋体"/>
          <w:b/>
          <w:sz w:val="24"/>
          <w:szCs w:val="24"/>
          <w:lang w:val="zh-CN"/>
        </w:rPr>
        <w:t>格式7、财务状况、缴纳税收和社会保障资金证明</w:t>
      </w:r>
      <w:bookmarkEnd w:id="103"/>
    </w:p>
    <w:p w14:paraId="6D406D95">
      <w:pPr>
        <w:spacing w:line="360" w:lineRule="auto"/>
        <w:rPr>
          <w:rFonts w:ascii="宋体" w:hAnsi="宋体"/>
          <w:sz w:val="24"/>
          <w:lang w:val="zh-CN"/>
        </w:rPr>
      </w:pPr>
    </w:p>
    <w:p w14:paraId="6754C2F0">
      <w:pPr>
        <w:autoSpaceDE w:val="0"/>
        <w:autoSpaceDN w:val="0"/>
        <w:adjustRightInd w:val="0"/>
        <w:spacing w:line="360" w:lineRule="auto"/>
        <w:jc w:val="center"/>
        <w:rPr>
          <w:rFonts w:ascii="宋体" w:hAnsi="宋体" w:cs="宋体"/>
          <w:b/>
          <w:bCs/>
          <w:kern w:val="0"/>
          <w:sz w:val="24"/>
          <w:lang w:val="zh-CN"/>
        </w:rPr>
      </w:pPr>
      <w:r>
        <w:rPr>
          <w:rFonts w:ascii="宋体" w:hAnsi="宋体" w:cs="宋体"/>
          <w:b/>
          <w:bCs/>
          <w:kern w:val="0"/>
          <w:sz w:val="24"/>
          <w:lang w:val="zh-CN"/>
        </w:rPr>
        <w:t>财务状况、缴纳税收和社会保障资金证明</w:t>
      </w:r>
    </w:p>
    <w:p w14:paraId="2826EA71">
      <w:pPr>
        <w:autoSpaceDE w:val="0"/>
        <w:autoSpaceDN w:val="0"/>
        <w:spacing w:line="360" w:lineRule="auto"/>
        <w:rPr>
          <w:rFonts w:ascii="宋体" w:hAnsi="宋体" w:cs="Arial"/>
          <w:sz w:val="24"/>
          <w:lang w:val="zh-CN"/>
        </w:rPr>
      </w:pPr>
    </w:p>
    <w:p w14:paraId="68B2B561">
      <w:pPr>
        <w:spacing w:line="360" w:lineRule="auto"/>
        <w:ind w:firstLine="480" w:firstLineChars="200"/>
        <w:rPr>
          <w:rFonts w:ascii="宋体" w:hAnsi="宋体" w:cs="宋体"/>
          <w:sz w:val="24"/>
        </w:rPr>
      </w:pPr>
      <w:r>
        <w:rPr>
          <w:rFonts w:ascii="宋体" w:hAnsi="宋体" w:cs="宋体"/>
          <w:sz w:val="24"/>
        </w:rPr>
        <w:t>按照磋商文件第2.2款（1）中规定提供以下相关材料。</w:t>
      </w:r>
    </w:p>
    <w:p w14:paraId="4EE1A4FC">
      <w:pPr>
        <w:pStyle w:val="46"/>
        <w:numPr>
          <w:ilvl w:val="1"/>
          <w:numId w:val="19"/>
        </w:numPr>
        <w:spacing w:line="360" w:lineRule="auto"/>
        <w:ind w:left="851" w:hanging="360" w:firstLineChars="0"/>
        <w:rPr>
          <w:rFonts w:ascii="宋体" w:hAnsi="宋体" w:cs="宋体"/>
          <w:color w:val="auto"/>
          <w:sz w:val="24"/>
        </w:rPr>
      </w:pPr>
      <w:r>
        <w:rPr>
          <w:rFonts w:hint="eastAsia" w:ascii="宋体" w:hAnsi="宋体" w:cs="宋体"/>
          <w:color w:val="auto"/>
          <w:kern w:val="0"/>
          <w:sz w:val="24"/>
          <w:lang w:val="zh-CN"/>
        </w:rPr>
        <w:t>磋商人基本开户银行近三个月内出具的资信证明或经第三方机构出具的202</w:t>
      </w:r>
      <w:r>
        <w:rPr>
          <w:rFonts w:hint="eastAsia" w:ascii="宋体" w:hAnsi="宋体" w:cs="宋体"/>
          <w:color w:val="auto"/>
          <w:kern w:val="0"/>
          <w:sz w:val="24"/>
        </w:rPr>
        <w:t>2</w:t>
      </w:r>
      <w:r>
        <w:rPr>
          <w:rFonts w:hint="eastAsia" w:ascii="宋体" w:hAnsi="宋体" w:cs="宋体"/>
          <w:color w:val="auto"/>
          <w:kern w:val="0"/>
          <w:sz w:val="24"/>
          <w:lang w:val="zh-CN"/>
        </w:rPr>
        <w:t>年度</w:t>
      </w:r>
      <w:r>
        <w:rPr>
          <w:rFonts w:hint="eastAsia" w:ascii="宋体" w:hAnsi="宋体" w:cs="宋体"/>
          <w:color w:val="auto"/>
          <w:kern w:val="0"/>
          <w:sz w:val="24"/>
          <w:lang w:val="en-US" w:eastAsia="zh-CN"/>
        </w:rPr>
        <w:t>或2023年度</w:t>
      </w:r>
      <w:r>
        <w:rPr>
          <w:rFonts w:hint="eastAsia" w:ascii="宋体" w:hAnsi="宋体" w:cs="宋体"/>
          <w:color w:val="auto"/>
          <w:kern w:val="0"/>
          <w:sz w:val="24"/>
          <w:lang w:val="zh-CN"/>
        </w:rPr>
        <w:t>财务状况审计报告（扫描或复印件应全面、完整、清晰），包括资产负债表、现金流量表、利润表和财务（会计）报表附注</w:t>
      </w:r>
      <w:r>
        <w:rPr>
          <w:rFonts w:hint="eastAsia" w:ascii="宋体" w:hAnsi="宋体" w:cs="宋体"/>
          <w:color w:val="auto"/>
          <w:kern w:val="0"/>
          <w:sz w:val="24"/>
        </w:rPr>
        <w:t>,</w:t>
      </w:r>
      <w:r>
        <w:rPr>
          <w:rFonts w:hint="eastAsia" w:ascii="宋体" w:hAnsi="宋体" w:cs="宋体"/>
          <w:color w:val="auto"/>
          <w:kern w:val="0"/>
          <w:sz w:val="24"/>
          <w:lang w:val="zh-CN"/>
        </w:rPr>
        <w:t>并提供第三方机构的营业执照、执业证书。</w:t>
      </w:r>
    </w:p>
    <w:p w14:paraId="0AF23102">
      <w:pPr>
        <w:pStyle w:val="46"/>
        <w:numPr>
          <w:ilvl w:val="1"/>
          <w:numId w:val="19"/>
        </w:numPr>
        <w:spacing w:line="360" w:lineRule="auto"/>
        <w:ind w:left="851" w:hanging="360" w:firstLineChars="0"/>
        <w:rPr>
          <w:rFonts w:ascii="宋体" w:hAnsi="宋体" w:cs="宋体"/>
          <w:color w:val="auto"/>
          <w:sz w:val="24"/>
        </w:rPr>
      </w:pPr>
      <w:r>
        <w:rPr>
          <w:rFonts w:hint="eastAsia" w:ascii="宋体" w:hAnsi="宋体" w:cs="宋体"/>
          <w:color w:val="auto"/>
          <w:kern w:val="0"/>
          <w:sz w:val="24"/>
          <w:lang w:val="zh-CN"/>
        </w:rPr>
        <w:t>近半年内任意</w:t>
      </w:r>
      <w:r>
        <w:rPr>
          <w:rFonts w:hint="eastAsia" w:ascii="宋体" w:hAnsi="宋体" w:cs="宋体"/>
          <w:color w:val="auto"/>
          <w:kern w:val="0"/>
          <w:sz w:val="24"/>
        </w:rPr>
        <w:t>一</w:t>
      </w:r>
      <w:r>
        <w:rPr>
          <w:rFonts w:hint="eastAsia" w:ascii="宋体" w:hAnsi="宋体" w:cs="宋体"/>
          <w:color w:val="auto"/>
          <w:kern w:val="0"/>
          <w:sz w:val="24"/>
          <w:lang w:val="zh-CN"/>
        </w:rPr>
        <w:t>个月依法缴纳税收和社会保障资金记录的证明材料；依法免税或不需要缴纳社会保障资金的投标人须提供相应文件证明其依法免税或不需要缴纳社会保障资金。</w:t>
      </w:r>
    </w:p>
    <w:p w14:paraId="47662DDA">
      <w:pPr>
        <w:pStyle w:val="46"/>
        <w:numPr>
          <w:ilvl w:val="1"/>
          <w:numId w:val="19"/>
        </w:numPr>
        <w:spacing w:line="360" w:lineRule="auto"/>
        <w:ind w:left="851" w:hanging="360" w:firstLineChars="0"/>
        <w:rPr>
          <w:rFonts w:ascii="宋体" w:hAnsi="宋体" w:cs="宋体"/>
          <w:color w:val="auto"/>
          <w:sz w:val="24"/>
        </w:rPr>
      </w:pPr>
      <w:r>
        <w:rPr>
          <w:rFonts w:hint="eastAsia" w:ascii="宋体" w:hAnsi="宋体" w:cs="Arial"/>
          <w:color w:val="auto"/>
          <w:sz w:val="24"/>
        </w:rPr>
        <w:t>扫描（或复印）件应全面、完整、清晰并加盖磋商供应商公章。</w:t>
      </w:r>
    </w:p>
    <w:p w14:paraId="19CDA083">
      <w:pPr>
        <w:pStyle w:val="5"/>
        <w:numPr>
          <w:ilvl w:val="0"/>
          <w:numId w:val="0"/>
        </w:numPr>
        <w:ind w:left="709" w:hanging="709"/>
        <w:rPr>
          <w:rFonts w:hAnsi="宋体"/>
          <w:sz w:val="24"/>
          <w:szCs w:val="24"/>
          <w:lang w:val="zh-CN"/>
        </w:rPr>
      </w:pPr>
      <w:r>
        <w:rPr>
          <w:rFonts w:hAnsi="宋体"/>
          <w:b/>
          <w:sz w:val="24"/>
          <w:szCs w:val="24"/>
          <w:lang w:val="zh-CN"/>
        </w:rPr>
        <w:br w:type="page"/>
      </w:r>
      <w:bookmarkStart w:id="106" w:name="_Toc12008"/>
      <w:r>
        <w:rPr>
          <w:rFonts w:hint="eastAsia" w:hAnsi="宋体"/>
          <w:b/>
          <w:sz w:val="24"/>
          <w:szCs w:val="24"/>
          <w:lang w:val="zh-CN"/>
        </w:rPr>
        <w:t>格式8、具备履行合同所必须的设备和专业技术能力证明</w:t>
      </w:r>
      <w:bookmarkEnd w:id="106"/>
    </w:p>
    <w:p w14:paraId="387DD22B">
      <w:pPr>
        <w:autoSpaceDE w:val="0"/>
        <w:autoSpaceDN w:val="0"/>
        <w:adjustRightInd w:val="0"/>
        <w:spacing w:line="360" w:lineRule="auto"/>
        <w:rPr>
          <w:rFonts w:ascii="宋体" w:hAnsi="宋体" w:cs="宋体"/>
          <w:kern w:val="0"/>
          <w:sz w:val="24"/>
          <w:lang w:val="zh-CN"/>
        </w:rPr>
      </w:pPr>
    </w:p>
    <w:p w14:paraId="7CCB5DAB">
      <w:pPr>
        <w:autoSpaceDE w:val="0"/>
        <w:autoSpaceDN w:val="0"/>
        <w:adjustRightInd w:val="0"/>
        <w:spacing w:line="360" w:lineRule="auto"/>
        <w:jc w:val="center"/>
        <w:rPr>
          <w:rFonts w:ascii="宋体" w:hAnsi="宋体" w:cs="宋体"/>
          <w:b/>
          <w:bCs/>
          <w:kern w:val="0"/>
          <w:sz w:val="24"/>
          <w:lang w:val="zh-CN"/>
        </w:rPr>
      </w:pPr>
      <w:r>
        <w:rPr>
          <w:rFonts w:hint="eastAsia" w:ascii="宋体" w:hAnsi="宋体" w:cs="宋体"/>
          <w:b/>
          <w:bCs/>
          <w:kern w:val="0"/>
          <w:sz w:val="24"/>
          <w:lang w:val="zh-CN"/>
        </w:rPr>
        <w:t>具备履行合同所必须的设备和专业技术能力证明</w:t>
      </w:r>
    </w:p>
    <w:p w14:paraId="6703A2F1">
      <w:pPr>
        <w:autoSpaceDE w:val="0"/>
        <w:autoSpaceDN w:val="0"/>
        <w:adjustRightInd w:val="0"/>
        <w:spacing w:line="360" w:lineRule="auto"/>
        <w:rPr>
          <w:rFonts w:ascii="宋体" w:hAnsi="宋体" w:cs="宋体"/>
          <w:kern w:val="0"/>
          <w:sz w:val="24"/>
          <w:lang w:val="zh-CN"/>
        </w:rPr>
      </w:pPr>
    </w:p>
    <w:p w14:paraId="38927BCC">
      <w:pPr>
        <w:autoSpaceDE w:val="0"/>
        <w:autoSpaceDN w:val="0"/>
        <w:adjustRightInd w:val="0"/>
        <w:spacing w:line="360" w:lineRule="auto"/>
        <w:ind w:firstLine="480"/>
        <w:rPr>
          <w:rFonts w:ascii="宋体" w:hAnsi="宋体" w:cs="宋体"/>
          <w:kern w:val="0"/>
          <w:sz w:val="24"/>
          <w:lang w:val="zh-CN"/>
        </w:rPr>
      </w:pPr>
      <w:r>
        <w:rPr>
          <w:rFonts w:ascii="宋体" w:hAnsi="宋体" w:cs="宋体"/>
          <w:kern w:val="0"/>
          <w:sz w:val="24"/>
          <w:lang w:val="zh-CN"/>
        </w:rPr>
        <w:t>为保证本项目合同的顺利履行，投标人必须具备履行合同的设备和专业技术能力，</w:t>
      </w:r>
      <w:r>
        <w:rPr>
          <w:rFonts w:hint="eastAsia" w:ascii="宋体" w:hAnsi="宋体" w:cs="宋体"/>
          <w:kern w:val="0"/>
          <w:sz w:val="24"/>
          <w:lang w:val="zh-CN"/>
        </w:rPr>
        <w:t>须提供履行合同的设备和专业技术能力的承诺函（格式自拟），</w:t>
      </w:r>
      <w:r>
        <w:rPr>
          <w:rFonts w:ascii="宋体" w:hAnsi="宋体" w:cs="宋体"/>
          <w:kern w:val="0"/>
          <w:sz w:val="24"/>
          <w:lang w:val="zh-CN"/>
        </w:rPr>
        <w:t>须提供相关人员的证书</w:t>
      </w:r>
      <w:r>
        <w:rPr>
          <w:rFonts w:hint="eastAsia" w:ascii="宋体" w:hAnsi="宋体" w:cs="宋体"/>
          <w:kern w:val="0"/>
          <w:sz w:val="24"/>
          <w:lang w:val="zh-CN"/>
        </w:rPr>
        <w:t>或</w:t>
      </w:r>
      <w:r>
        <w:rPr>
          <w:rFonts w:ascii="宋体" w:hAnsi="宋体" w:cs="宋体"/>
          <w:kern w:val="0"/>
          <w:sz w:val="24"/>
          <w:lang w:val="zh-CN"/>
        </w:rPr>
        <w:t>用工合同等证明材料。</w:t>
      </w:r>
    </w:p>
    <w:p w14:paraId="262C9929">
      <w:pPr>
        <w:pStyle w:val="5"/>
        <w:numPr>
          <w:ilvl w:val="0"/>
          <w:numId w:val="0"/>
        </w:numPr>
        <w:ind w:left="709" w:hanging="709"/>
        <w:rPr>
          <w:rFonts w:hAnsi="宋体" w:cs="宋体"/>
          <w:sz w:val="24"/>
          <w:szCs w:val="24"/>
          <w:lang w:val="zh-CN"/>
        </w:rPr>
      </w:pPr>
      <w:r>
        <w:rPr>
          <w:rFonts w:hAnsi="宋体" w:cs="宋体"/>
          <w:kern w:val="0"/>
          <w:sz w:val="24"/>
          <w:szCs w:val="24"/>
          <w:lang w:val="zh-CN"/>
        </w:rPr>
        <w:br w:type="page"/>
      </w:r>
      <w:bookmarkStart w:id="107" w:name="_Toc24751"/>
      <w:r>
        <w:rPr>
          <w:rFonts w:hint="eastAsia" w:hAnsi="宋体"/>
          <w:b/>
          <w:sz w:val="24"/>
          <w:szCs w:val="24"/>
          <w:lang w:val="zh-CN"/>
        </w:rPr>
        <w:t>格式</w:t>
      </w:r>
      <w:bookmarkEnd w:id="104"/>
      <w:bookmarkEnd w:id="105"/>
      <w:r>
        <w:rPr>
          <w:rFonts w:hint="eastAsia" w:hAnsi="宋体"/>
          <w:b/>
          <w:sz w:val="24"/>
          <w:szCs w:val="24"/>
          <w:lang w:val="zh-CN"/>
        </w:rPr>
        <w:t>9、磋商保证金证明</w:t>
      </w:r>
      <w:bookmarkEnd w:id="107"/>
    </w:p>
    <w:p w14:paraId="18E5DB86">
      <w:pPr>
        <w:spacing w:line="360" w:lineRule="auto"/>
        <w:rPr>
          <w:rFonts w:ascii="宋体" w:hAnsi="宋体" w:cs="宋体"/>
          <w:sz w:val="24"/>
          <w:lang w:val="zh-CN"/>
        </w:rPr>
      </w:pPr>
    </w:p>
    <w:p w14:paraId="55A49742">
      <w:pPr>
        <w:autoSpaceDE w:val="0"/>
        <w:autoSpaceDN w:val="0"/>
        <w:adjustRightInd w:val="0"/>
        <w:spacing w:line="360" w:lineRule="auto"/>
        <w:jc w:val="center"/>
        <w:rPr>
          <w:rFonts w:ascii="宋体" w:hAnsi="宋体" w:cs="宋体"/>
          <w:b/>
          <w:bCs/>
          <w:kern w:val="0"/>
          <w:sz w:val="24"/>
          <w:lang w:val="zh-CN"/>
        </w:rPr>
      </w:pPr>
      <w:r>
        <w:rPr>
          <w:rFonts w:hint="eastAsia" w:ascii="宋体" w:hAnsi="宋体" w:cs="宋体"/>
          <w:b/>
          <w:bCs/>
          <w:kern w:val="0"/>
          <w:sz w:val="24"/>
          <w:lang w:val="zh-CN"/>
        </w:rPr>
        <w:t>磋商保证金证明</w:t>
      </w:r>
    </w:p>
    <w:p w14:paraId="72F26E56">
      <w:pPr>
        <w:autoSpaceDE w:val="0"/>
        <w:autoSpaceDN w:val="0"/>
        <w:adjustRightInd w:val="0"/>
        <w:spacing w:line="360" w:lineRule="auto"/>
        <w:rPr>
          <w:rFonts w:ascii="宋体" w:hAnsi="宋体" w:cs="宋体"/>
          <w:b/>
          <w:bCs/>
          <w:kern w:val="0"/>
          <w:sz w:val="24"/>
          <w:lang w:val="zh-CN"/>
        </w:rPr>
      </w:pPr>
      <w:bookmarkStart w:id="108" w:name="_Toc325726048"/>
      <w:bookmarkEnd w:id="108"/>
    </w:p>
    <w:p w14:paraId="7CF5FB1E">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致：青海国焱工程项目管理有限公司</w:t>
      </w:r>
    </w:p>
    <w:p w14:paraId="072E3A1D">
      <w:pPr>
        <w:autoSpaceDE w:val="0"/>
        <w:autoSpaceDN w:val="0"/>
        <w:adjustRightInd w:val="0"/>
        <w:spacing w:line="360" w:lineRule="auto"/>
        <w:rPr>
          <w:rFonts w:ascii="宋体" w:hAnsi="宋体" w:cs="宋体"/>
          <w:b/>
          <w:bCs/>
          <w:kern w:val="0"/>
          <w:sz w:val="24"/>
          <w:lang w:val="zh-CN"/>
        </w:rPr>
      </w:pPr>
    </w:p>
    <w:p w14:paraId="3F349505">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我方为（项目名称：            ）项目（采购编号为：           ）递交保证金人民币（大写：人民币          元）已于  年  月   日以基本户转账方式汇入你方账户。</w:t>
      </w:r>
    </w:p>
    <w:p w14:paraId="21D980A2">
      <w:pPr>
        <w:autoSpaceDE w:val="0"/>
        <w:autoSpaceDN w:val="0"/>
        <w:adjustRightInd w:val="0"/>
        <w:spacing w:line="360" w:lineRule="auto"/>
        <w:ind w:firstLine="360"/>
        <w:rPr>
          <w:rFonts w:ascii="宋体" w:hAnsi="宋体" w:cs="宋体"/>
          <w:bCs/>
          <w:kern w:val="0"/>
          <w:sz w:val="24"/>
          <w:lang w:val="zh-CN"/>
        </w:rPr>
      </w:pPr>
      <w:r>
        <w:rPr>
          <w:rFonts w:hint="eastAsia" w:ascii="宋体" w:hAnsi="宋体" w:cs="宋体"/>
          <w:bCs/>
          <w:kern w:val="0"/>
          <w:sz w:val="24"/>
          <w:lang w:val="zh-CN"/>
        </w:rPr>
        <w:t>附件：保证金交款证明及开户许可证复印件（加盖磋商供应商公章）</w:t>
      </w:r>
    </w:p>
    <w:p w14:paraId="1A0CDB14">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35056BAE">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户    名：</w:t>
      </w:r>
    </w:p>
    <w:p w14:paraId="3BBDD8FA">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开户银行：</w:t>
      </w:r>
    </w:p>
    <w:p w14:paraId="7C99F2F2">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开户帐号：</w:t>
      </w:r>
    </w:p>
    <w:p w14:paraId="69A30198">
      <w:pPr>
        <w:autoSpaceDE w:val="0"/>
        <w:autoSpaceDN w:val="0"/>
        <w:adjustRightInd w:val="0"/>
        <w:spacing w:line="360" w:lineRule="auto"/>
        <w:rPr>
          <w:rFonts w:ascii="宋体" w:hAnsi="宋体" w:cs="宋体"/>
          <w:kern w:val="0"/>
          <w:sz w:val="24"/>
          <w:lang w:val="zh-CN"/>
        </w:rPr>
      </w:pPr>
    </w:p>
    <w:p w14:paraId="12D86A7F">
      <w:pPr>
        <w:autoSpaceDE w:val="0"/>
        <w:autoSpaceDN w:val="0"/>
        <w:adjustRightInd w:val="0"/>
        <w:spacing w:line="360" w:lineRule="auto"/>
        <w:rPr>
          <w:rFonts w:ascii="宋体" w:hAnsi="宋体" w:cs="宋体"/>
          <w:kern w:val="0"/>
          <w:sz w:val="24"/>
          <w:lang w:val="zh-CN"/>
        </w:rPr>
      </w:pPr>
    </w:p>
    <w:p w14:paraId="52B9B304">
      <w:pPr>
        <w:autoSpaceDE w:val="0"/>
        <w:autoSpaceDN w:val="0"/>
        <w:adjustRightInd w:val="0"/>
        <w:spacing w:line="360" w:lineRule="auto"/>
        <w:rPr>
          <w:rFonts w:ascii="宋体" w:hAnsi="宋体" w:cs="宋体"/>
          <w:kern w:val="0"/>
          <w:sz w:val="24"/>
          <w:lang w:val="zh-CN"/>
        </w:rPr>
      </w:pPr>
    </w:p>
    <w:p w14:paraId="00BB0D3C">
      <w:pPr>
        <w:autoSpaceDE w:val="0"/>
        <w:autoSpaceDN w:val="0"/>
        <w:adjustRightInd w:val="0"/>
        <w:spacing w:line="360" w:lineRule="auto"/>
        <w:rPr>
          <w:rFonts w:ascii="宋体" w:hAnsi="宋体" w:cs="宋体"/>
          <w:kern w:val="0"/>
          <w:sz w:val="24"/>
          <w:lang w:val="zh-CN"/>
        </w:rPr>
      </w:pPr>
    </w:p>
    <w:p w14:paraId="0A469B38">
      <w:pPr>
        <w:autoSpaceDE w:val="0"/>
        <w:autoSpaceDN w:val="0"/>
        <w:adjustRightInd w:val="0"/>
        <w:spacing w:line="360" w:lineRule="auto"/>
        <w:rPr>
          <w:rFonts w:ascii="宋体" w:hAnsi="宋体" w:cs="宋体"/>
          <w:kern w:val="0"/>
          <w:sz w:val="24"/>
          <w:lang w:val="zh-CN"/>
        </w:rPr>
      </w:pPr>
    </w:p>
    <w:p w14:paraId="317695EE">
      <w:pPr>
        <w:autoSpaceDE w:val="0"/>
        <w:autoSpaceDN w:val="0"/>
        <w:adjustRightInd w:val="0"/>
        <w:spacing w:line="360" w:lineRule="auto"/>
        <w:rPr>
          <w:rFonts w:ascii="宋体" w:hAnsi="宋体" w:cs="宋体"/>
          <w:kern w:val="0"/>
          <w:sz w:val="24"/>
          <w:lang w:val="zh-CN"/>
        </w:rPr>
      </w:pPr>
    </w:p>
    <w:p w14:paraId="60114C64">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磋商供应商：             （公章）</w:t>
      </w:r>
    </w:p>
    <w:p w14:paraId="3CFAB06A">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法定代表人或委托代理人：       （签字）</w:t>
      </w:r>
    </w:p>
    <w:p w14:paraId="3ABF3869">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日期：    年   月   日</w:t>
      </w:r>
    </w:p>
    <w:p w14:paraId="728E2679">
      <w:pPr>
        <w:spacing w:line="360" w:lineRule="auto"/>
        <w:rPr>
          <w:rFonts w:ascii="宋体" w:hAnsi="宋体"/>
          <w:sz w:val="24"/>
          <w:lang w:val="zh-CN"/>
        </w:rPr>
      </w:pPr>
    </w:p>
    <w:p w14:paraId="55A81E95">
      <w:pPr>
        <w:pStyle w:val="5"/>
        <w:numPr>
          <w:ilvl w:val="0"/>
          <w:numId w:val="0"/>
        </w:numPr>
        <w:ind w:left="709" w:hanging="709"/>
        <w:rPr>
          <w:rFonts w:hAnsi="宋体" w:cs="宋体"/>
          <w:sz w:val="24"/>
          <w:szCs w:val="24"/>
        </w:rPr>
      </w:pPr>
      <w:r>
        <w:rPr>
          <w:rFonts w:hAnsi="宋体" w:cs="宋体"/>
          <w:kern w:val="0"/>
          <w:sz w:val="24"/>
          <w:szCs w:val="24"/>
          <w:lang w:val="zh-CN"/>
        </w:rPr>
        <w:br w:type="page"/>
      </w:r>
      <w:bookmarkStart w:id="109" w:name="_Toc21450"/>
      <w:bookmarkStart w:id="110" w:name="_Toc428180589"/>
      <w:bookmarkStart w:id="111" w:name="_Toc22273"/>
      <w:bookmarkStart w:id="112" w:name="_Toc444715741"/>
      <w:r>
        <w:rPr>
          <w:rFonts w:hint="eastAsia" w:hAnsi="宋体"/>
          <w:b/>
          <w:sz w:val="24"/>
          <w:szCs w:val="24"/>
          <w:lang w:val="zh-CN"/>
        </w:rPr>
        <w:t>格式10、无重大违法记录声明</w:t>
      </w:r>
      <w:bookmarkEnd w:id="109"/>
      <w:bookmarkEnd w:id="110"/>
      <w:bookmarkEnd w:id="111"/>
      <w:bookmarkEnd w:id="112"/>
    </w:p>
    <w:p w14:paraId="5292F551">
      <w:pPr>
        <w:autoSpaceDE w:val="0"/>
        <w:autoSpaceDN w:val="0"/>
        <w:adjustRightInd w:val="0"/>
        <w:spacing w:line="360" w:lineRule="auto"/>
        <w:rPr>
          <w:rFonts w:ascii="宋体" w:hAnsi="宋体" w:cs="宋体"/>
          <w:kern w:val="0"/>
          <w:sz w:val="24"/>
          <w:lang w:val="zh-CN"/>
        </w:rPr>
      </w:pPr>
    </w:p>
    <w:p w14:paraId="03D74A97">
      <w:pPr>
        <w:autoSpaceDE w:val="0"/>
        <w:autoSpaceDN w:val="0"/>
        <w:adjustRightInd w:val="0"/>
        <w:spacing w:line="360" w:lineRule="auto"/>
        <w:jc w:val="center"/>
        <w:rPr>
          <w:rFonts w:ascii="宋体" w:hAnsi="宋体" w:cs="宋体"/>
          <w:b/>
          <w:bCs/>
          <w:kern w:val="0"/>
          <w:sz w:val="24"/>
          <w:lang w:val="zh-CN"/>
        </w:rPr>
      </w:pPr>
      <w:r>
        <w:rPr>
          <w:rFonts w:hint="eastAsia" w:ascii="宋体" w:hAnsi="宋体" w:cs="宋体"/>
          <w:b/>
          <w:bCs/>
          <w:kern w:val="0"/>
          <w:sz w:val="24"/>
          <w:lang w:val="zh-CN"/>
        </w:rPr>
        <w:t>无重大违法记录声明</w:t>
      </w:r>
    </w:p>
    <w:p w14:paraId="3082E9D9">
      <w:pPr>
        <w:autoSpaceDE w:val="0"/>
        <w:autoSpaceDN w:val="0"/>
        <w:adjustRightInd w:val="0"/>
        <w:spacing w:line="360" w:lineRule="auto"/>
        <w:rPr>
          <w:rFonts w:ascii="宋体" w:hAnsi="宋体" w:cs="宋体"/>
          <w:kern w:val="0"/>
          <w:sz w:val="24"/>
          <w:lang w:val="zh-CN"/>
        </w:rPr>
      </w:pPr>
    </w:p>
    <w:p w14:paraId="1EDA5290">
      <w:pPr>
        <w:spacing w:line="360" w:lineRule="auto"/>
        <w:ind w:firstLine="426" w:firstLineChars="177"/>
        <w:rPr>
          <w:rFonts w:ascii="宋体" w:hAnsi="宋体" w:cs="Arial"/>
          <w:sz w:val="24"/>
        </w:rPr>
      </w:pPr>
      <w:r>
        <w:rPr>
          <w:rFonts w:hint="eastAsia" w:ascii="宋体" w:hAnsi="宋体" w:cs="宋体"/>
          <w:b/>
          <w:bCs/>
          <w:kern w:val="0"/>
          <w:sz w:val="24"/>
          <w:lang w:val="zh-CN"/>
        </w:rPr>
        <w:t>致：青海国焱工程项目管理有限公司</w:t>
      </w:r>
    </w:p>
    <w:p w14:paraId="239A53AF">
      <w:pPr>
        <w:spacing w:line="360" w:lineRule="auto"/>
        <w:ind w:firstLine="424" w:firstLineChars="177"/>
        <w:rPr>
          <w:rFonts w:ascii="宋体" w:hAnsi="宋体" w:cs="Arial"/>
          <w:sz w:val="24"/>
        </w:rPr>
      </w:pPr>
      <w:r>
        <w:rPr>
          <w:rFonts w:ascii="宋体" w:hAnsi="宋体" w:cs="Arial"/>
          <w:sz w:val="24"/>
        </w:rPr>
        <w:t>（</w:t>
      </w:r>
      <w:r>
        <w:rPr>
          <w:rFonts w:hint="eastAsia" w:ascii="宋体" w:hAnsi="宋体" w:cs="Arial"/>
          <w:sz w:val="24"/>
        </w:rPr>
        <w:t>磋商</w:t>
      </w:r>
      <w:r>
        <w:rPr>
          <w:rFonts w:ascii="宋体" w:hAnsi="宋体" w:cs="Arial"/>
          <w:sz w:val="24"/>
        </w:rPr>
        <w:t>供应商名称）郑重声明，我方参加本项目</w:t>
      </w:r>
      <w:r>
        <w:rPr>
          <w:rFonts w:hint="eastAsia" w:ascii="宋体" w:hAnsi="宋体" w:cs="Arial"/>
          <w:sz w:val="24"/>
        </w:rPr>
        <w:t>竞磋</w:t>
      </w:r>
      <w:r>
        <w:rPr>
          <w:rFonts w:ascii="宋体" w:hAnsi="宋体" w:cs="Arial"/>
          <w:sz w:val="24"/>
        </w:rPr>
        <w:t>活动前三年内无重大违法活动记录，符合《中华人民共和国政府采购法》规定的供应商资格条件。我方对此声明负全部法律责任。</w:t>
      </w:r>
    </w:p>
    <w:p w14:paraId="585B9381">
      <w:pPr>
        <w:spacing w:line="360" w:lineRule="auto"/>
        <w:ind w:firstLine="424" w:firstLineChars="177"/>
        <w:rPr>
          <w:rFonts w:ascii="宋体" w:hAnsi="宋体" w:cs="Arial"/>
          <w:sz w:val="24"/>
        </w:rPr>
      </w:pPr>
    </w:p>
    <w:p w14:paraId="5CA090CD">
      <w:pPr>
        <w:spacing w:line="360" w:lineRule="auto"/>
        <w:ind w:firstLine="424" w:firstLineChars="177"/>
        <w:rPr>
          <w:rFonts w:ascii="宋体" w:hAnsi="宋体" w:cs="Arial"/>
          <w:sz w:val="24"/>
        </w:rPr>
      </w:pPr>
    </w:p>
    <w:p w14:paraId="6F026B8E">
      <w:pPr>
        <w:spacing w:line="360" w:lineRule="auto"/>
        <w:ind w:firstLine="424" w:firstLineChars="177"/>
        <w:rPr>
          <w:rFonts w:ascii="宋体" w:hAnsi="宋体" w:cs="Arial"/>
          <w:sz w:val="24"/>
        </w:rPr>
      </w:pPr>
      <w:r>
        <w:rPr>
          <w:rFonts w:ascii="宋体" w:hAnsi="宋体" w:cs="Arial"/>
          <w:sz w:val="24"/>
        </w:rPr>
        <w:t>特此声明。</w:t>
      </w:r>
    </w:p>
    <w:p w14:paraId="3B19A0D9">
      <w:pPr>
        <w:spacing w:line="360" w:lineRule="auto"/>
        <w:ind w:firstLine="424" w:firstLineChars="177"/>
        <w:rPr>
          <w:rFonts w:ascii="宋体" w:hAnsi="宋体" w:cs="Arial"/>
          <w:sz w:val="24"/>
        </w:rPr>
      </w:pPr>
    </w:p>
    <w:p w14:paraId="4D97CF24">
      <w:pPr>
        <w:spacing w:line="360" w:lineRule="auto"/>
        <w:ind w:firstLine="424" w:firstLineChars="177"/>
        <w:rPr>
          <w:rFonts w:ascii="宋体" w:hAnsi="宋体" w:cs="Arial"/>
          <w:sz w:val="24"/>
        </w:rPr>
      </w:pPr>
    </w:p>
    <w:p w14:paraId="0C33CA58">
      <w:pPr>
        <w:spacing w:line="360" w:lineRule="auto"/>
        <w:ind w:firstLine="424" w:firstLineChars="177"/>
        <w:rPr>
          <w:rFonts w:ascii="宋体" w:hAnsi="宋体" w:cs="Arial"/>
          <w:sz w:val="24"/>
        </w:rPr>
      </w:pPr>
    </w:p>
    <w:p w14:paraId="62686B93">
      <w:pPr>
        <w:spacing w:line="360" w:lineRule="auto"/>
        <w:ind w:firstLine="424" w:firstLineChars="177"/>
        <w:rPr>
          <w:rFonts w:ascii="宋体" w:hAnsi="宋体" w:cs="Arial"/>
          <w:color w:val="000000" w:themeColor="text1"/>
          <w:sz w:val="24"/>
          <w14:textFill>
            <w14:solidFill>
              <w14:schemeClr w14:val="tx1"/>
            </w14:solidFill>
          </w14:textFill>
        </w:rPr>
      </w:pPr>
      <w:r>
        <w:rPr>
          <w:rFonts w:hint="eastAsia" w:ascii="宋体" w:hAnsi="宋体"/>
          <w:sz w:val="24"/>
          <w:lang w:val="zh-CN"/>
        </w:rPr>
        <w:t>（提供“信用中国”网站的查询截图，提供“中国政府采购网”网</w:t>
      </w:r>
      <w:r>
        <w:rPr>
          <w:rFonts w:hint="eastAsia" w:ascii="宋体" w:hAnsi="宋体"/>
          <w:color w:val="000000" w:themeColor="text1"/>
          <w:sz w:val="24"/>
          <w:lang w:val="zh-CN"/>
          <w14:textFill>
            <w14:solidFill>
              <w14:schemeClr w14:val="tx1"/>
            </w14:solidFill>
          </w14:textFill>
        </w:rPr>
        <w:t>站的查询截图）</w:t>
      </w:r>
    </w:p>
    <w:p w14:paraId="1464F2B3">
      <w:pPr>
        <w:spacing w:line="360" w:lineRule="auto"/>
        <w:ind w:firstLine="424" w:firstLineChars="177"/>
        <w:rPr>
          <w:rFonts w:ascii="宋体" w:hAnsi="宋体" w:cs="Arial"/>
          <w:sz w:val="24"/>
        </w:rPr>
      </w:pPr>
    </w:p>
    <w:p w14:paraId="311C8F0D">
      <w:pPr>
        <w:spacing w:line="360" w:lineRule="auto"/>
        <w:ind w:firstLine="424" w:firstLineChars="177"/>
        <w:rPr>
          <w:rFonts w:ascii="宋体" w:hAnsi="宋体" w:cs="Arial"/>
          <w:sz w:val="24"/>
        </w:rPr>
      </w:pPr>
    </w:p>
    <w:p w14:paraId="2F193414">
      <w:pPr>
        <w:spacing w:line="360" w:lineRule="auto"/>
        <w:ind w:firstLine="424" w:firstLineChars="177"/>
        <w:rPr>
          <w:rFonts w:ascii="宋体" w:hAnsi="宋体" w:cs="Arial"/>
          <w:sz w:val="24"/>
        </w:rPr>
      </w:pPr>
    </w:p>
    <w:p w14:paraId="7B6E7317">
      <w:pPr>
        <w:spacing w:line="360" w:lineRule="auto"/>
        <w:ind w:firstLine="424" w:firstLineChars="177"/>
        <w:rPr>
          <w:rFonts w:ascii="宋体" w:hAnsi="宋体" w:cs="Arial"/>
          <w:sz w:val="24"/>
        </w:rPr>
      </w:pPr>
    </w:p>
    <w:p w14:paraId="68702D99">
      <w:pPr>
        <w:spacing w:line="360" w:lineRule="auto"/>
        <w:ind w:firstLine="424" w:firstLineChars="177"/>
        <w:rPr>
          <w:rFonts w:ascii="宋体" w:hAnsi="宋体" w:cs="Arial"/>
          <w:sz w:val="24"/>
        </w:rPr>
      </w:pPr>
    </w:p>
    <w:p w14:paraId="31C89832">
      <w:pPr>
        <w:spacing w:line="360" w:lineRule="auto"/>
        <w:ind w:firstLine="424" w:firstLineChars="177"/>
        <w:rPr>
          <w:rFonts w:ascii="宋体" w:hAnsi="宋体" w:cs="Arial"/>
          <w:sz w:val="24"/>
        </w:rPr>
      </w:pPr>
    </w:p>
    <w:p w14:paraId="2678E9F8">
      <w:pPr>
        <w:spacing w:line="360" w:lineRule="auto"/>
        <w:ind w:firstLine="424" w:firstLineChars="177"/>
        <w:rPr>
          <w:rFonts w:ascii="宋体" w:hAnsi="宋体" w:cs="Arial"/>
          <w:sz w:val="24"/>
        </w:rPr>
      </w:pPr>
    </w:p>
    <w:p w14:paraId="19333A88">
      <w:pPr>
        <w:spacing w:line="360" w:lineRule="auto"/>
        <w:ind w:firstLine="424" w:firstLineChars="177"/>
        <w:rPr>
          <w:rFonts w:ascii="宋体" w:hAnsi="宋体" w:cs="Arial"/>
          <w:sz w:val="24"/>
        </w:rPr>
      </w:pPr>
    </w:p>
    <w:p w14:paraId="48E047E5">
      <w:pPr>
        <w:spacing w:line="360" w:lineRule="auto"/>
        <w:ind w:firstLine="424" w:firstLineChars="177"/>
        <w:rPr>
          <w:rFonts w:ascii="宋体" w:hAnsi="宋体" w:cs="Arial"/>
          <w:sz w:val="24"/>
        </w:rPr>
      </w:pPr>
    </w:p>
    <w:p w14:paraId="370F8097">
      <w:pPr>
        <w:tabs>
          <w:tab w:val="left" w:pos="168"/>
        </w:tabs>
        <w:wordWrap w:val="0"/>
        <w:adjustRightInd w:val="0"/>
        <w:spacing w:line="360" w:lineRule="auto"/>
        <w:jc w:val="right"/>
        <w:textAlignment w:val="baseline"/>
        <w:rPr>
          <w:rFonts w:ascii="宋体" w:hAnsi="宋体"/>
          <w:bCs/>
          <w:sz w:val="24"/>
        </w:rPr>
      </w:pPr>
      <w:r>
        <w:rPr>
          <w:rFonts w:hint="eastAsia" w:ascii="宋体" w:hAnsi="宋体"/>
          <w:bCs/>
          <w:sz w:val="24"/>
        </w:rPr>
        <w:t>投标供应商：             （公章）</w:t>
      </w:r>
    </w:p>
    <w:p w14:paraId="5C1074F5">
      <w:pPr>
        <w:tabs>
          <w:tab w:val="left" w:pos="168"/>
        </w:tabs>
        <w:wordWrap w:val="0"/>
        <w:adjustRightInd w:val="0"/>
        <w:spacing w:line="360" w:lineRule="auto"/>
        <w:jc w:val="right"/>
        <w:textAlignment w:val="baseline"/>
        <w:rPr>
          <w:rFonts w:ascii="宋体" w:hAnsi="宋体"/>
          <w:bCs/>
          <w:sz w:val="24"/>
        </w:rPr>
      </w:pPr>
      <w:r>
        <w:rPr>
          <w:rFonts w:hint="eastAsia" w:ascii="宋体" w:hAnsi="宋体"/>
          <w:bCs/>
          <w:sz w:val="24"/>
        </w:rPr>
        <w:t>委托代理人：                    （签字）</w:t>
      </w:r>
    </w:p>
    <w:p w14:paraId="1C1F0C64">
      <w:pPr>
        <w:spacing w:line="360" w:lineRule="auto"/>
        <w:ind w:firstLine="424" w:firstLineChars="177"/>
        <w:rPr>
          <w:rFonts w:ascii="宋体" w:hAnsi="宋体" w:cs="Arial"/>
          <w:sz w:val="24"/>
        </w:rPr>
      </w:pPr>
      <w:r>
        <w:rPr>
          <w:rFonts w:hint="eastAsia" w:ascii="宋体" w:hAnsi="宋体"/>
          <w:bCs/>
          <w:sz w:val="24"/>
        </w:rPr>
        <w:t xml:space="preserve">                                      日期：                  年   月   日</w:t>
      </w:r>
    </w:p>
    <w:p w14:paraId="681F212B">
      <w:pPr>
        <w:spacing w:line="360" w:lineRule="auto"/>
        <w:rPr>
          <w:rFonts w:ascii="宋体" w:hAnsi="宋体"/>
          <w:b/>
          <w:sz w:val="24"/>
          <w:lang w:val="zh-CN"/>
        </w:rPr>
      </w:pPr>
      <w:r>
        <w:rPr>
          <w:rFonts w:ascii="宋体" w:hAnsi="宋体" w:cs="宋体"/>
          <w:kern w:val="0"/>
          <w:sz w:val="24"/>
          <w:lang w:val="zh-CN"/>
        </w:rPr>
        <w:br w:type="page"/>
      </w:r>
    </w:p>
    <w:p w14:paraId="3F3ECFD2">
      <w:pPr>
        <w:pStyle w:val="5"/>
        <w:numPr>
          <w:ilvl w:val="0"/>
          <w:numId w:val="0"/>
        </w:numPr>
        <w:ind w:left="709" w:hanging="709"/>
        <w:rPr>
          <w:rFonts w:hAnsi="宋体"/>
          <w:sz w:val="24"/>
          <w:szCs w:val="24"/>
          <w:lang w:val="zh-CN"/>
        </w:rPr>
      </w:pPr>
      <w:bookmarkStart w:id="113" w:name="_Toc12871"/>
      <w:r>
        <w:rPr>
          <w:rFonts w:hint="eastAsia" w:hAnsi="宋体"/>
          <w:b/>
          <w:sz w:val="24"/>
          <w:szCs w:val="24"/>
          <w:lang w:val="zh-CN"/>
        </w:rPr>
        <w:t>格式11、</w:t>
      </w:r>
      <w:bookmarkStart w:id="114" w:name="_Toc487036155"/>
      <w:r>
        <w:rPr>
          <w:rFonts w:hint="eastAsia" w:hAnsi="宋体"/>
          <w:b/>
          <w:sz w:val="24"/>
          <w:szCs w:val="24"/>
        </w:rPr>
        <w:t>竞争性磋商首次报价表</w:t>
      </w:r>
      <w:bookmarkEnd w:id="113"/>
      <w:bookmarkEnd w:id="114"/>
    </w:p>
    <w:p w14:paraId="178DBD70">
      <w:pPr>
        <w:autoSpaceDE w:val="0"/>
        <w:autoSpaceDN w:val="0"/>
        <w:adjustRightInd w:val="0"/>
        <w:spacing w:line="360" w:lineRule="auto"/>
        <w:jc w:val="center"/>
        <w:rPr>
          <w:rFonts w:ascii="宋体" w:hAnsi="宋体"/>
          <w:b/>
          <w:sz w:val="24"/>
        </w:rPr>
      </w:pPr>
      <w:r>
        <w:rPr>
          <w:rFonts w:hint="eastAsia" w:ascii="宋体" w:hAnsi="宋体"/>
          <w:b/>
          <w:sz w:val="24"/>
        </w:rPr>
        <w:t>竞争性磋商首次报价表</w:t>
      </w:r>
    </w:p>
    <w:p w14:paraId="62BA1DFE">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采购项目名称:  </w:t>
      </w:r>
    </w:p>
    <w:p w14:paraId="70BC3B65">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采购项目编号：</w:t>
      </w:r>
    </w:p>
    <w:p w14:paraId="6663DA61">
      <w:pPr>
        <w:autoSpaceDE w:val="0"/>
        <w:autoSpaceDN w:val="0"/>
        <w:spacing w:line="360" w:lineRule="auto"/>
        <w:rPr>
          <w:rFonts w:ascii="宋体" w:hAnsi="宋体" w:cs="宋体"/>
          <w:b/>
          <w:bCs/>
          <w:sz w:val="24"/>
          <w:lang w:val="zh-CN"/>
        </w:rPr>
      </w:pPr>
      <w:r>
        <w:rPr>
          <w:rFonts w:hint="eastAsia" w:ascii="宋体" w:hAnsi="宋体" w:cs="宋体"/>
          <w:b/>
          <w:bCs/>
          <w:sz w:val="24"/>
          <w:lang w:val="zh-CN"/>
        </w:rPr>
        <w:t>磋商供应商名称：</w:t>
      </w:r>
    </w:p>
    <w:p w14:paraId="5405CB14">
      <w:pPr>
        <w:autoSpaceDE w:val="0"/>
        <w:autoSpaceDN w:val="0"/>
        <w:spacing w:line="360" w:lineRule="auto"/>
        <w:jc w:val="right"/>
        <w:rPr>
          <w:rFonts w:ascii="宋体" w:hAnsi="宋体" w:cs="宋体"/>
          <w:b/>
          <w:bCs/>
          <w:kern w:val="0"/>
          <w:sz w:val="24"/>
          <w:lang w:val="zh-CN"/>
        </w:rPr>
      </w:pPr>
    </w:p>
    <w:p w14:paraId="0F66F5DB">
      <w:pPr>
        <w:autoSpaceDE w:val="0"/>
        <w:autoSpaceDN w:val="0"/>
        <w:spacing w:line="360" w:lineRule="auto"/>
        <w:jc w:val="right"/>
        <w:rPr>
          <w:rFonts w:ascii="宋体" w:hAnsi="宋体" w:cs="宋体"/>
          <w:bCs/>
          <w:kern w:val="0"/>
          <w:sz w:val="24"/>
          <w:lang w:val="zh-CN"/>
        </w:rPr>
      </w:pPr>
      <w:r>
        <w:rPr>
          <w:rFonts w:hint="eastAsia" w:ascii="宋体" w:hAnsi="宋体" w:cs="宋体"/>
          <w:bCs/>
          <w:kern w:val="0"/>
          <w:sz w:val="24"/>
          <w:lang w:val="zh-CN"/>
        </w:rPr>
        <w:t>单位：人民币（元）</w:t>
      </w:r>
    </w:p>
    <w:tbl>
      <w:tblPr>
        <w:tblStyle w:val="33"/>
        <w:tblW w:w="9968" w:type="dxa"/>
        <w:jc w:val="center"/>
        <w:tblLayout w:type="fixed"/>
        <w:tblCellMar>
          <w:top w:w="0" w:type="dxa"/>
          <w:left w:w="108" w:type="dxa"/>
          <w:bottom w:w="0" w:type="dxa"/>
          <w:right w:w="108" w:type="dxa"/>
        </w:tblCellMar>
      </w:tblPr>
      <w:tblGrid>
        <w:gridCol w:w="3516"/>
        <w:gridCol w:w="2829"/>
        <w:gridCol w:w="2016"/>
        <w:gridCol w:w="1607"/>
      </w:tblGrid>
      <w:tr w14:paraId="06E91C7F">
        <w:tblPrEx>
          <w:tblCellMar>
            <w:top w:w="0" w:type="dxa"/>
            <w:left w:w="108" w:type="dxa"/>
            <w:bottom w:w="0" w:type="dxa"/>
            <w:right w:w="108" w:type="dxa"/>
          </w:tblCellMar>
        </w:tblPrEx>
        <w:trPr>
          <w:trHeight w:val="699" w:hRule="atLeast"/>
          <w:jc w:val="center"/>
        </w:trPr>
        <w:tc>
          <w:tcPr>
            <w:tcW w:w="35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0951DF3">
            <w:pPr>
              <w:autoSpaceDE w:val="0"/>
              <w:autoSpaceDN w:val="0"/>
              <w:spacing w:line="360" w:lineRule="auto"/>
              <w:jc w:val="center"/>
              <w:rPr>
                <w:rFonts w:ascii="宋体" w:hAnsi="宋体" w:cs="Arial"/>
                <w:sz w:val="24"/>
                <w:lang w:val="zh-CN"/>
              </w:rPr>
            </w:pPr>
            <w:r>
              <w:rPr>
                <w:rFonts w:ascii="宋体" w:hAnsi="宋体" w:cs="Arial"/>
                <w:bCs/>
                <w:sz w:val="24"/>
                <w:lang w:val="zh-CN"/>
              </w:rPr>
              <w:t>项目名称</w:t>
            </w:r>
          </w:p>
        </w:tc>
        <w:tc>
          <w:tcPr>
            <w:tcW w:w="28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6B32FC">
            <w:pPr>
              <w:autoSpaceDE w:val="0"/>
              <w:autoSpaceDN w:val="0"/>
              <w:spacing w:line="360" w:lineRule="auto"/>
              <w:ind w:firstLine="482"/>
              <w:rPr>
                <w:rFonts w:ascii="宋体" w:hAnsi="宋体" w:cs="Arial"/>
                <w:sz w:val="24"/>
                <w:lang w:val="zh-CN"/>
              </w:rPr>
            </w:pPr>
            <w:r>
              <w:rPr>
                <w:rFonts w:hint="eastAsia" w:ascii="宋体" w:hAnsi="宋体" w:cs="Arial"/>
                <w:bCs/>
                <w:sz w:val="24"/>
                <w:lang w:val="zh-CN"/>
              </w:rPr>
              <w:t>磋商首次</w:t>
            </w:r>
            <w:r>
              <w:rPr>
                <w:rFonts w:ascii="宋体" w:hAnsi="宋体" w:cs="Arial"/>
                <w:bCs/>
                <w:sz w:val="24"/>
                <w:lang w:val="zh-CN"/>
              </w:rPr>
              <w:t>报价</w:t>
            </w:r>
          </w:p>
        </w:tc>
        <w:tc>
          <w:tcPr>
            <w:tcW w:w="2016" w:type="dxa"/>
            <w:tcBorders>
              <w:top w:val="single" w:color="000000" w:sz="6" w:space="0"/>
              <w:left w:val="single" w:color="000000" w:sz="6" w:space="0"/>
              <w:bottom w:val="single" w:color="000000" w:sz="6" w:space="0"/>
              <w:right w:val="single" w:color="auto" w:sz="4" w:space="0"/>
            </w:tcBorders>
            <w:shd w:val="clear" w:color="000000" w:fill="FFFFFF"/>
            <w:vAlign w:val="center"/>
          </w:tcPr>
          <w:p w14:paraId="2B9DE151">
            <w:pPr>
              <w:autoSpaceDE w:val="0"/>
              <w:autoSpaceDN w:val="0"/>
              <w:spacing w:line="360" w:lineRule="auto"/>
              <w:jc w:val="center"/>
              <w:rPr>
                <w:rFonts w:ascii="宋体" w:hAnsi="宋体" w:cs="Arial"/>
                <w:bCs/>
                <w:sz w:val="24"/>
                <w:lang w:val="zh-CN"/>
              </w:rPr>
            </w:pPr>
            <w:r>
              <w:rPr>
                <w:rFonts w:ascii="宋体" w:hAnsi="宋体" w:cs="Arial"/>
                <w:bCs/>
                <w:sz w:val="24"/>
                <w:lang w:val="zh-CN"/>
              </w:rPr>
              <w:t>交货</w:t>
            </w:r>
            <w:r>
              <w:rPr>
                <w:rFonts w:hint="eastAsia" w:ascii="宋体" w:hAnsi="宋体" w:cs="Arial"/>
                <w:bCs/>
                <w:sz w:val="24"/>
                <w:lang w:val="en-US" w:eastAsia="zh-CN"/>
              </w:rPr>
              <w:t>及安装</w:t>
            </w:r>
            <w:r>
              <w:rPr>
                <w:rFonts w:ascii="宋体" w:hAnsi="宋体" w:cs="Arial"/>
                <w:bCs/>
                <w:sz w:val="24"/>
                <w:lang w:val="zh-CN"/>
              </w:rPr>
              <w:t>期</w:t>
            </w:r>
          </w:p>
        </w:tc>
        <w:tc>
          <w:tcPr>
            <w:tcW w:w="16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294D29">
            <w:pPr>
              <w:autoSpaceDE w:val="0"/>
              <w:autoSpaceDN w:val="0"/>
              <w:spacing w:line="360" w:lineRule="auto"/>
              <w:jc w:val="center"/>
              <w:rPr>
                <w:rFonts w:ascii="宋体" w:hAnsi="宋体" w:cs="Arial"/>
                <w:sz w:val="24"/>
                <w:lang w:val="zh-CN"/>
              </w:rPr>
            </w:pPr>
            <w:r>
              <w:rPr>
                <w:rFonts w:ascii="宋体" w:hAnsi="宋体" w:cs="Arial"/>
                <w:bCs/>
                <w:sz w:val="24"/>
                <w:lang w:val="zh-CN"/>
              </w:rPr>
              <w:t>备注</w:t>
            </w:r>
          </w:p>
        </w:tc>
      </w:tr>
      <w:tr w14:paraId="43B4648C">
        <w:tblPrEx>
          <w:tblCellMar>
            <w:top w:w="0" w:type="dxa"/>
            <w:left w:w="108" w:type="dxa"/>
            <w:bottom w:w="0" w:type="dxa"/>
            <w:right w:w="108" w:type="dxa"/>
          </w:tblCellMar>
        </w:tblPrEx>
        <w:trPr>
          <w:trHeight w:val="993" w:hRule="atLeast"/>
          <w:jc w:val="center"/>
        </w:trPr>
        <w:tc>
          <w:tcPr>
            <w:tcW w:w="3516" w:type="dxa"/>
            <w:vMerge w:val="restart"/>
            <w:tcBorders>
              <w:top w:val="single" w:color="000000" w:sz="6" w:space="0"/>
              <w:left w:val="single" w:color="000000" w:sz="6" w:space="0"/>
              <w:right w:val="single" w:color="000000" w:sz="6" w:space="0"/>
            </w:tcBorders>
            <w:shd w:val="clear" w:color="000000" w:fill="FFFFFF"/>
            <w:vAlign w:val="center"/>
          </w:tcPr>
          <w:p w14:paraId="43BEA9B8">
            <w:pPr>
              <w:autoSpaceDE w:val="0"/>
              <w:autoSpaceDN w:val="0"/>
              <w:spacing w:line="360" w:lineRule="auto"/>
              <w:jc w:val="center"/>
              <w:rPr>
                <w:rFonts w:ascii="宋体" w:hAnsi="宋体" w:cs="Arial"/>
                <w:sz w:val="24"/>
                <w:lang w:val="zh-CN"/>
              </w:rPr>
            </w:pPr>
          </w:p>
        </w:tc>
        <w:tc>
          <w:tcPr>
            <w:tcW w:w="28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291EEF">
            <w:pPr>
              <w:autoSpaceDE w:val="0"/>
              <w:autoSpaceDN w:val="0"/>
              <w:spacing w:line="360" w:lineRule="auto"/>
              <w:rPr>
                <w:rFonts w:ascii="宋体" w:hAnsi="宋体" w:cs="Arial"/>
                <w:sz w:val="24"/>
                <w:lang w:val="zh-CN"/>
              </w:rPr>
            </w:pPr>
            <w:r>
              <w:rPr>
                <w:rFonts w:ascii="宋体" w:hAnsi="宋体" w:cs="Arial"/>
                <w:bCs/>
                <w:sz w:val="24"/>
                <w:lang w:val="zh-CN"/>
              </w:rPr>
              <w:t>大写：</w:t>
            </w:r>
          </w:p>
        </w:tc>
        <w:tc>
          <w:tcPr>
            <w:tcW w:w="2016" w:type="dxa"/>
            <w:vMerge w:val="restart"/>
            <w:tcBorders>
              <w:top w:val="single" w:color="000000" w:sz="6" w:space="0"/>
              <w:left w:val="single" w:color="000000" w:sz="6" w:space="0"/>
              <w:bottom w:val="single" w:color="000000" w:sz="6" w:space="0"/>
              <w:right w:val="single" w:color="auto" w:sz="4" w:space="0"/>
            </w:tcBorders>
            <w:shd w:val="clear" w:color="000000" w:fill="FFFFFF"/>
            <w:vAlign w:val="center"/>
          </w:tcPr>
          <w:p w14:paraId="652D6078">
            <w:pPr>
              <w:autoSpaceDE w:val="0"/>
              <w:autoSpaceDN w:val="0"/>
              <w:spacing w:line="360" w:lineRule="auto"/>
              <w:ind w:firstLine="197"/>
              <w:jc w:val="center"/>
              <w:rPr>
                <w:rFonts w:ascii="宋体" w:hAnsi="宋体" w:cs="Arial"/>
                <w:sz w:val="24"/>
                <w:lang w:val="zh-CN"/>
              </w:rPr>
            </w:pPr>
          </w:p>
        </w:tc>
        <w:tc>
          <w:tcPr>
            <w:tcW w:w="1607"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14:paraId="62D3DF86">
            <w:pPr>
              <w:autoSpaceDE w:val="0"/>
              <w:autoSpaceDN w:val="0"/>
              <w:spacing w:line="360" w:lineRule="auto"/>
              <w:jc w:val="center"/>
              <w:rPr>
                <w:rFonts w:ascii="宋体" w:hAnsi="宋体" w:cs="Arial"/>
                <w:sz w:val="24"/>
                <w:lang w:val="zh-CN"/>
              </w:rPr>
            </w:pPr>
          </w:p>
        </w:tc>
      </w:tr>
      <w:tr w14:paraId="3D697C00">
        <w:tblPrEx>
          <w:tblCellMar>
            <w:top w:w="0" w:type="dxa"/>
            <w:left w:w="108" w:type="dxa"/>
            <w:bottom w:w="0" w:type="dxa"/>
            <w:right w:w="108" w:type="dxa"/>
          </w:tblCellMar>
        </w:tblPrEx>
        <w:trPr>
          <w:trHeight w:val="845" w:hRule="atLeast"/>
          <w:jc w:val="center"/>
        </w:trPr>
        <w:tc>
          <w:tcPr>
            <w:tcW w:w="3516" w:type="dxa"/>
            <w:vMerge w:val="continue"/>
            <w:tcBorders>
              <w:left w:val="single" w:color="000000" w:sz="6" w:space="0"/>
              <w:bottom w:val="single" w:color="000000" w:sz="6" w:space="0"/>
              <w:right w:val="single" w:color="000000" w:sz="6" w:space="0"/>
            </w:tcBorders>
            <w:shd w:val="clear" w:color="000000" w:fill="FFFFFF"/>
            <w:vAlign w:val="center"/>
          </w:tcPr>
          <w:p w14:paraId="3301EE87">
            <w:pPr>
              <w:autoSpaceDE w:val="0"/>
              <w:autoSpaceDN w:val="0"/>
              <w:spacing w:line="360" w:lineRule="auto"/>
              <w:jc w:val="center"/>
              <w:rPr>
                <w:rFonts w:ascii="宋体" w:hAnsi="宋体" w:cs="Arial"/>
                <w:sz w:val="24"/>
                <w:lang w:val="zh-CN"/>
              </w:rPr>
            </w:pPr>
          </w:p>
        </w:tc>
        <w:tc>
          <w:tcPr>
            <w:tcW w:w="28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960B96">
            <w:pPr>
              <w:autoSpaceDE w:val="0"/>
              <w:autoSpaceDN w:val="0"/>
              <w:spacing w:line="360" w:lineRule="auto"/>
              <w:rPr>
                <w:rFonts w:ascii="宋体" w:hAnsi="宋体" w:cs="Arial"/>
                <w:sz w:val="24"/>
                <w:lang w:val="zh-CN"/>
              </w:rPr>
            </w:pPr>
            <w:r>
              <w:rPr>
                <w:rFonts w:ascii="宋体" w:hAnsi="宋体" w:cs="Arial"/>
                <w:bCs/>
                <w:sz w:val="24"/>
                <w:lang w:val="zh-CN"/>
              </w:rPr>
              <w:t>小写：</w:t>
            </w:r>
          </w:p>
        </w:tc>
        <w:tc>
          <w:tcPr>
            <w:tcW w:w="2016" w:type="dxa"/>
            <w:vMerge w:val="continue"/>
            <w:tcBorders>
              <w:top w:val="single" w:color="000000" w:sz="6" w:space="0"/>
              <w:left w:val="single" w:color="000000" w:sz="6" w:space="0"/>
              <w:bottom w:val="single" w:color="000000" w:sz="6" w:space="0"/>
              <w:right w:val="single" w:color="auto" w:sz="4" w:space="0"/>
            </w:tcBorders>
            <w:shd w:val="clear" w:color="000000" w:fill="FFFFFF"/>
            <w:vAlign w:val="center"/>
          </w:tcPr>
          <w:p w14:paraId="4375D75F">
            <w:pPr>
              <w:autoSpaceDE w:val="0"/>
              <w:autoSpaceDN w:val="0"/>
              <w:spacing w:line="360" w:lineRule="auto"/>
              <w:jc w:val="center"/>
              <w:rPr>
                <w:rFonts w:ascii="宋体" w:hAnsi="宋体" w:cs="Arial"/>
                <w:sz w:val="24"/>
                <w:lang w:val="zh-CN"/>
              </w:rPr>
            </w:pPr>
          </w:p>
        </w:tc>
        <w:tc>
          <w:tcPr>
            <w:tcW w:w="1607"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14:paraId="654D11D4">
            <w:pPr>
              <w:autoSpaceDE w:val="0"/>
              <w:autoSpaceDN w:val="0"/>
              <w:spacing w:line="360" w:lineRule="auto"/>
              <w:jc w:val="center"/>
              <w:rPr>
                <w:rFonts w:ascii="宋体" w:hAnsi="宋体" w:cs="Arial"/>
                <w:sz w:val="24"/>
                <w:lang w:val="zh-CN"/>
              </w:rPr>
            </w:pPr>
          </w:p>
        </w:tc>
      </w:tr>
    </w:tbl>
    <w:p w14:paraId="4A186B34">
      <w:pPr>
        <w:spacing w:line="360" w:lineRule="auto"/>
        <w:ind w:firstLine="465" w:firstLineChars="193"/>
        <w:rPr>
          <w:rFonts w:ascii="宋体" w:hAnsi="宋体" w:cs="Arial"/>
          <w:b/>
          <w:sz w:val="24"/>
          <w:lang w:val="zh-CN"/>
        </w:rPr>
      </w:pPr>
      <w:r>
        <w:rPr>
          <w:rFonts w:ascii="宋体" w:hAnsi="宋体" w:cs="Arial"/>
          <w:b/>
          <w:bCs/>
          <w:sz w:val="24"/>
          <w:lang w:val="zh-CN"/>
        </w:rPr>
        <w:t>注：</w:t>
      </w:r>
      <w:r>
        <w:rPr>
          <w:rFonts w:ascii="宋体" w:hAnsi="宋体" w:cs="Arial"/>
          <w:b/>
          <w:sz w:val="24"/>
          <w:lang w:val="zh-CN"/>
        </w:rPr>
        <w:t>1</w:t>
      </w:r>
      <w:r>
        <w:rPr>
          <w:rFonts w:hint="eastAsia" w:ascii="宋体" w:hAnsi="宋体" w:cs="Arial"/>
          <w:b/>
          <w:sz w:val="24"/>
          <w:lang w:val="zh-CN"/>
        </w:rPr>
        <w:t>、</w:t>
      </w:r>
      <w:r>
        <w:rPr>
          <w:rFonts w:ascii="宋体" w:hAnsi="宋体" w:cs="Arial"/>
          <w:b/>
          <w:sz w:val="24"/>
          <w:lang w:val="zh-CN"/>
        </w:rPr>
        <w:t>填写此表时不得改变表格形式（可按所投包增加行）。</w:t>
      </w:r>
    </w:p>
    <w:p w14:paraId="5492D878">
      <w:pPr>
        <w:spacing w:line="360" w:lineRule="auto"/>
        <w:ind w:firstLine="465" w:firstLineChars="193"/>
        <w:rPr>
          <w:rFonts w:ascii="宋体" w:hAnsi="宋体" w:cs="Arial"/>
          <w:b/>
          <w:sz w:val="24"/>
          <w:lang w:val="zh-CN"/>
        </w:rPr>
      </w:pPr>
      <w:r>
        <w:rPr>
          <w:rFonts w:ascii="宋体" w:hAnsi="宋体" w:cs="Arial"/>
          <w:b/>
          <w:sz w:val="24"/>
          <w:lang w:val="zh-CN"/>
        </w:rPr>
        <w:t>2</w:t>
      </w:r>
      <w:r>
        <w:rPr>
          <w:rFonts w:hint="eastAsia" w:ascii="宋体" w:hAnsi="宋体" w:cs="Arial"/>
          <w:b/>
          <w:sz w:val="24"/>
          <w:lang w:val="zh-CN"/>
        </w:rPr>
        <w:t>、“</w:t>
      </w:r>
      <w:r>
        <w:rPr>
          <w:rFonts w:ascii="宋体" w:hAnsi="宋体" w:cs="Arial"/>
          <w:b/>
          <w:sz w:val="24"/>
          <w:lang w:val="zh-CN"/>
        </w:rPr>
        <w:t>磋商报价</w:t>
      </w:r>
      <w:r>
        <w:rPr>
          <w:rFonts w:hint="eastAsia" w:ascii="宋体" w:hAnsi="宋体" w:cs="Arial"/>
          <w:b/>
          <w:sz w:val="24"/>
          <w:lang w:val="zh-CN"/>
        </w:rPr>
        <w:t>”</w:t>
      </w:r>
      <w:r>
        <w:rPr>
          <w:rFonts w:ascii="宋体" w:hAnsi="宋体" w:cs="Arial"/>
          <w:b/>
          <w:sz w:val="24"/>
          <w:lang w:val="zh-CN"/>
        </w:rPr>
        <w:t>为磋商总价。</w:t>
      </w:r>
      <w:r>
        <w:rPr>
          <w:rFonts w:hint="eastAsia" w:ascii="宋体" w:hAnsi="宋体" w:cs="Arial"/>
          <w:b/>
          <w:sz w:val="24"/>
          <w:lang w:val="zh-CN"/>
        </w:rPr>
        <w:t>磋商报价必须包括：产品费、检验费、手续费、保险费、售后服务费、税金、招标代理费以及其他不可预见费等全部费用。</w:t>
      </w:r>
    </w:p>
    <w:p w14:paraId="56C3A024">
      <w:pPr>
        <w:spacing w:line="360" w:lineRule="auto"/>
        <w:ind w:firstLine="465" w:firstLineChars="193"/>
        <w:rPr>
          <w:rFonts w:ascii="宋体" w:hAnsi="宋体" w:cs="宋体"/>
          <w:b/>
          <w:bCs/>
          <w:kern w:val="0"/>
          <w:sz w:val="24"/>
          <w:lang w:val="zh-CN"/>
        </w:rPr>
      </w:pPr>
      <w:r>
        <w:rPr>
          <w:rFonts w:ascii="宋体" w:hAnsi="宋体" w:cs="Arial"/>
          <w:b/>
          <w:sz w:val="24"/>
          <w:lang w:val="zh-CN"/>
        </w:rPr>
        <w:t>3</w:t>
      </w:r>
      <w:r>
        <w:rPr>
          <w:rFonts w:hint="eastAsia" w:ascii="宋体" w:hAnsi="宋体" w:cs="Arial"/>
          <w:b/>
          <w:sz w:val="24"/>
          <w:lang w:val="zh-CN"/>
        </w:rPr>
        <w:t>、“</w:t>
      </w:r>
      <w:r>
        <w:rPr>
          <w:rFonts w:ascii="宋体" w:hAnsi="宋体" w:cs="Arial"/>
          <w:b/>
          <w:sz w:val="24"/>
          <w:lang w:val="zh-CN"/>
        </w:rPr>
        <w:t>交货</w:t>
      </w:r>
      <w:r>
        <w:rPr>
          <w:rFonts w:hint="eastAsia" w:ascii="宋体" w:hAnsi="宋体" w:cs="Arial"/>
          <w:b/>
          <w:sz w:val="24"/>
          <w:lang w:val="zh-CN"/>
        </w:rPr>
        <w:t>期”是指产品能够交付使用的具体时间。</w:t>
      </w:r>
    </w:p>
    <w:p w14:paraId="6177B9CF">
      <w:pPr>
        <w:spacing w:line="360" w:lineRule="auto"/>
        <w:ind w:firstLine="465" w:firstLineChars="193"/>
        <w:rPr>
          <w:rFonts w:ascii="宋体" w:hAnsi="宋体" w:cs="Arial"/>
          <w:b/>
          <w:sz w:val="24"/>
          <w:lang w:val="zh-CN"/>
        </w:rPr>
      </w:pPr>
      <w:r>
        <w:rPr>
          <w:rFonts w:ascii="宋体" w:hAnsi="宋体" w:cs="Arial"/>
          <w:b/>
          <w:sz w:val="24"/>
          <w:lang w:val="zh-CN"/>
        </w:rPr>
        <w:t>4</w:t>
      </w:r>
      <w:r>
        <w:rPr>
          <w:rFonts w:hint="eastAsia" w:ascii="宋体" w:hAnsi="宋体" w:cs="Arial"/>
          <w:b/>
          <w:sz w:val="24"/>
          <w:lang w:val="zh-CN"/>
        </w:rPr>
        <w:t>、</w:t>
      </w:r>
      <w:r>
        <w:rPr>
          <w:rFonts w:ascii="宋体" w:hAnsi="宋体" w:cs="Arial"/>
          <w:b/>
          <w:sz w:val="24"/>
          <w:lang w:val="zh-CN"/>
        </w:rPr>
        <w:t>磋商报价不能有两个或两个以上的报价方案。</w:t>
      </w:r>
    </w:p>
    <w:p w14:paraId="1510BF76">
      <w:pPr>
        <w:spacing w:line="360" w:lineRule="auto"/>
        <w:ind w:firstLine="465" w:firstLineChars="193"/>
        <w:rPr>
          <w:rFonts w:ascii="宋体" w:hAnsi="宋体" w:cs="宋体"/>
          <w:b/>
          <w:bCs/>
          <w:kern w:val="0"/>
          <w:sz w:val="24"/>
          <w:lang w:val="zh-CN"/>
        </w:rPr>
      </w:pPr>
    </w:p>
    <w:p w14:paraId="59307F01">
      <w:pPr>
        <w:spacing w:line="360" w:lineRule="auto"/>
        <w:rPr>
          <w:rFonts w:ascii="宋体" w:hAnsi="宋体" w:cs="宋体"/>
          <w:b/>
          <w:bCs/>
          <w:kern w:val="0"/>
          <w:sz w:val="24"/>
          <w:lang w:val="zh-CN"/>
        </w:rPr>
      </w:pPr>
    </w:p>
    <w:p w14:paraId="43A81672">
      <w:pPr>
        <w:spacing w:line="360" w:lineRule="auto"/>
        <w:ind w:firstLine="465" w:firstLineChars="193"/>
        <w:rPr>
          <w:rFonts w:ascii="宋体" w:hAnsi="宋体" w:cs="宋体"/>
          <w:b/>
          <w:bCs/>
          <w:kern w:val="0"/>
          <w:sz w:val="24"/>
          <w:lang w:val="zh-CN"/>
        </w:rPr>
      </w:pPr>
    </w:p>
    <w:p w14:paraId="2899AFC7">
      <w:pPr>
        <w:spacing w:line="360" w:lineRule="auto"/>
        <w:ind w:firstLine="465" w:firstLineChars="193"/>
        <w:rPr>
          <w:rFonts w:ascii="宋体" w:hAnsi="宋体" w:cs="宋体"/>
          <w:b/>
          <w:bCs/>
          <w:kern w:val="0"/>
          <w:sz w:val="24"/>
          <w:lang w:val="zh-CN"/>
        </w:rPr>
      </w:pPr>
    </w:p>
    <w:p w14:paraId="2060EA3A">
      <w:pPr>
        <w:spacing w:line="360" w:lineRule="auto"/>
        <w:ind w:firstLine="465" w:firstLineChars="193"/>
        <w:rPr>
          <w:rFonts w:ascii="宋体" w:hAnsi="宋体" w:cs="宋体"/>
          <w:b/>
          <w:bCs/>
          <w:kern w:val="0"/>
          <w:sz w:val="24"/>
          <w:lang w:val="zh-CN"/>
        </w:rPr>
      </w:pPr>
    </w:p>
    <w:p w14:paraId="3C89017D">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磋商供应商：             （公章）</w:t>
      </w:r>
    </w:p>
    <w:p w14:paraId="50378600">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法定代表人或委托代理人：                （签字）</w:t>
      </w:r>
    </w:p>
    <w:p w14:paraId="30591479">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日期：    年   月   日</w:t>
      </w:r>
    </w:p>
    <w:p w14:paraId="63397A84">
      <w:pPr>
        <w:pStyle w:val="5"/>
        <w:numPr>
          <w:ilvl w:val="0"/>
          <w:numId w:val="0"/>
        </w:numPr>
        <w:ind w:left="709" w:hanging="709"/>
        <w:rPr>
          <w:rFonts w:hAnsi="宋体"/>
          <w:sz w:val="24"/>
          <w:szCs w:val="24"/>
          <w:lang w:val="zh-CN"/>
        </w:rPr>
      </w:pPr>
      <w:r>
        <w:rPr>
          <w:rFonts w:hAnsi="宋体"/>
          <w:bCs/>
          <w:sz w:val="24"/>
          <w:szCs w:val="24"/>
        </w:rPr>
        <w:br w:type="page"/>
      </w:r>
      <w:bookmarkStart w:id="115" w:name="_Toc561"/>
      <w:r>
        <w:rPr>
          <w:rFonts w:hint="eastAsia" w:hAnsi="宋体"/>
          <w:b/>
          <w:sz w:val="24"/>
          <w:szCs w:val="24"/>
          <w:lang w:val="zh-CN"/>
        </w:rPr>
        <w:t>格式12、分项报价表</w:t>
      </w:r>
      <w:bookmarkEnd w:id="115"/>
    </w:p>
    <w:p w14:paraId="2560591A">
      <w:pPr>
        <w:autoSpaceDE w:val="0"/>
        <w:autoSpaceDN w:val="0"/>
        <w:adjustRightInd w:val="0"/>
        <w:spacing w:line="360" w:lineRule="auto"/>
        <w:jc w:val="center"/>
        <w:rPr>
          <w:rFonts w:ascii="宋体" w:hAnsi="宋体" w:cs="宋体"/>
          <w:b/>
          <w:bCs/>
          <w:kern w:val="0"/>
          <w:sz w:val="24"/>
          <w:lang w:val="zh-CN"/>
        </w:rPr>
      </w:pPr>
      <w:r>
        <w:rPr>
          <w:rFonts w:hint="eastAsia" w:ascii="宋体" w:hAnsi="宋体" w:cs="宋体"/>
          <w:b/>
          <w:bCs/>
          <w:kern w:val="0"/>
          <w:sz w:val="24"/>
          <w:lang w:val="zh-CN"/>
        </w:rPr>
        <w:t>分项报价表</w:t>
      </w:r>
    </w:p>
    <w:p w14:paraId="68D5E1C7">
      <w:pPr>
        <w:spacing w:line="360" w:lineRule="auto"/>
        <w:rPr>
          <w:rFonts w:ascii="宋体" w:hAnsi="宋体" w:cs="宋体"/>
          <w:b/>
          <w:bCs/>
          <w:kern w:val="0"/>
          <w:sz w:val="24"/>
          <w:lang w:val="zh-CN"/>
        </w:rPr>
      </w:pPr>
      <w:r>
        <w:rPr>
          <w:rFonts w:hint="eastAsia" w:ascii="宋体" w:hAnsi="宋体" w:cs="宋体"/>
          <w:b/>
          <w:bCs/>
          <w:kern w:val="0"/>
          <w:sz w:val="24"/>
          <w:lang w:val="zh-CN"/>
        </w:rPr>
        <w:t xml:space="preserve">采购项目名称:  </w:t>
      </w:r>
    </w:p>
    <w:p w14:paraId="084DB66D">
      <w:pPr>
        <w:spacing w:line="360" w:lineRule="auto"/>
        <w:rPr>
          <w:rFonts w:ascii="宋体" w:hAnsi="宋体" w:cs="宋体"/>
          <w:b/>
          <w:bCs/>
          <w:kern w:val="0"/>
          <w:sz w:val="24"/>
          <w:lang w:val="zh-CN"/>
        </w:rPr>
      </w:pPr>
      <w:r>
        <w:rPr>
          <w:rFonts w:hint="eastAsia" w:ascii="宋体" w:hAnsi="宋体" w:cs="宋体"/>
          <w:b/>
          <w:bCs/>
          <w:kern w:val="0"/>
          <w:sz w:val="24"/>
          <w:lang w:val="zh-CN"/>
        </w:rPr>
        <w:t>采购项目编号：</w:t>
      </w:r>
    </w:p>
    <w:p w14:paraId="306CED18">
      <w:pPr>
        <w:spacing w:line="360" w:lineRule="auto"/>
        <w:jc w:val="right"/>
        <w:rPr>
          <w:rFonts w:ascii="宋体" w:hAnsi="宋体"/>
          <w:sz w:val="24"/>
          <w:lang w:val="zh-CN"/>
        </w:rPr>
      </w:pPr>
      <w:r>
        <w:rPr>
          <w:rFonts w:ascii="宋体" w:hAnsi="宋体" w:cs="宋体"/>
          <w:bCs/>
          <w:kern w:val="0"/>
          <w:sz w:val="24"/>
          <w:lang w:val="zh-CN"/>
        </w:rPr>
        <w:t>单位</w:t>
      </w:r>
      <w:r>
        <w:rPr>
          <w:rFonts w:hint="eastAsia" w:ascii="宋体" w:hAnsi="宋体" w:cs="宋体"/>
          <w:bCs/>
          <w:kern w:val="0"/>
          <w:sz w:val="24"/>
          <w:lang w:val="zh-CN"/>
        </w:rPr>
        <w:t>：</w:t>
      </w:r>
      <w:r>
        <w:rPr>
          <w:rFonts w:ascii="宋体" w:hAnsi="宋体" w:cs="宋体"/>
          <w:bCs/>
          <w:kern w:val="0"/>
          <w:sz w:val="24"/>
          <w:lang w:val="zh-CN"/>
        </w:rPr>
        <w:t>人民币</w:t>
      </w:r>
      <w:r>
        <w:rPr>
          <w:rFonts w:hint="eastAsia" w:ascii="宋体" w:hAnsi="宋体" w:cs="宋体"/>
          <w:bCs/>
          <w:kern w:val="0"/>
          <w:sz w:val="24"/>
          <w:lang w:val="zh-CN"/>
        </w:rPr>
        <w:t>（</w:t>
      </w:r>
      <w:r>
        <w:rPr>
          <w:rFonts w:ascii="宋体" w:hAnsi="宋体" w:cs="宋体"/>
          <w:bCs/>
          <w:kern w:val="0"/>
          <w:sz w:val="24"/>
          <w:lang w:val="zh-CN"/>
        </w:rPr>
        <w:t>元</w:t>
      </w:r>
      <w:r>
        <w:rPr>
          <w:rFonts w:hint="eastAsia" w:ascii="宋体" w:hAnsi="宋体" w:cs="宋体"/>
          <w:bCs/>
          <w:kern w:val="0"/>
          <w:sz w:val="24"/>
          <w:lang w:val="zh-CN"/>
        </w:rPr>
        <w:t>）</w:t>
      </w:r>
    </w:p>
    <w:tbl>
      <w:tblPr>
        <w:tblStyle w:val="33"/>
        <w:tblW w:w="9808" w:type="dxa"/>
        <w:jc w:val="center"/>
        <w:tblLayout w:type="fixed"/>
        <w:tblCellMar>
          <w:top w:w="0" w:type="dxa"/>
          <w:left w:w="28" w:type="dxa"/>
          <w:bottom w:w="0" w:type="dxa"/>
          <w:right w:w="28" w:type="dxa"/>
        </w:tblCellMar>
      </w:tblPr>
      <w:tblGrid>
        <w:gridCol w:w="713"/>
        <w:gridCol w:w="1666"/>
        <w:gridCol w:w="1030"/>
        <w:gridCol w:w="1157"/>
        <w:gridCol w:w="1338"/>
        <w:gridCol w:w="1208"/>
        <w:gridCol w:w="804"/>
        <w:gridCol w:w="947"/>
        <w:gridCol w:w="945"/>
      </w:tblGrid>
      <w:tr w14:paraId="793AB5E9">
        <w:tblPrEx>
          <w:tblCellMar>
            <w:top w:w="0" w:type="dxa"/>
            <w:left w:w="28" w:type="dxa"/>
            <w:bottom w:w="0" w:type="dxa"/>
            <w:right w:w="28" w:type="dxa"/>
          </w:tblCellMar>
        </w:tblPrEx>
        <w:trPr>
          <w:trHeight w:val="529" w:hRule="atLeast"/>
          <w:jc w:val="center"/>
        </w:trPr>
        <w:tc>
          <w:tcPr>
            <w:tcW w:w="713" w:type="dxa"/>
            <w:tcBorders>
              <w:top w:val="single" w:color="000000" w:sz="8" w:space="0"/>
              <w:left w:val="single" w:color="000000" w:sz="8" w:space="0"/>
              <w:bottom w:val="single" w:color="000000" w:sz="6" w:space="0"/>
              <w:right w:val="single" w:color="000000" w:sz="6" w:space="0"/>
            </w:tcBorders>
            <w:shd w:val="clear" w:color="000000" w:fill="FFFFFF"/>
            <w:vAlign w:val="center"/>
          </w:tcPr>
          <w:p w14:paraId="379AC041">
            <w:pPr>
              <w:spacing w:line="360" w:lineRule="auto"/>
              <w:jc w:val="center"/>
              <w:rPr>
                <w:rFonts w:ascii="宋体" w:hAnsi="宋体"/>
                <w:sz w:val="24"/>
                <w:lang w:val="zh-CN"/>
              </w:rPr>
            </w:pPr>
            <w:r>
              <w:rPr>
                <w:rFonts w:hint="eastAsia" w:ascii="宋体" w:hAnsi="宋体"/>
                <w:sz w:val="24"/>
                <w:lang w:val="zh-CN"/>
              </w:rPr>
              <w:t>序号</w:t>
            </w:r>
          </w:p>
        </w:tc>
        <w:tc>
          <w:tcPr>
            <w:tcW w:w="1666"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6E5C537A">
            <w:pPr>
              <w:spacing w:line="360" w:lineRule="auto"/>
              <w:jc w:val="center"/>
              <w:rPr>
                <w:rFonts w:ascii="宋体" w:hAnsi="宋体"/>
                <w:sz w:val="24"/>
                <w:lang w:val="zh-CN"/>
              </w:rPr>
            </w:pPr>
            <w:r>
              <w:rPr>
                <w:rFonts w:hint="eastAsia" w:ascii="宋体" w:hAnsi="宋体"/>
                <w:sz w:val="24"/>
                <w:lang w:val="zh-CN"/>
              </w:rPr>
              <w:t>产品名称</w:t>
            </w:r>
          </w:p>
        </w:tc>
        <w:tc>
          <w:tcPr>
            <w:tcW w:w="1030"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50E4D078">
            <w:pPr>
              <w:spacing w:line="360" w:lineRule="auto"/>
              <w:jc w:val="center"/>
              <w:rPr>
                <w:rFonts w:ascii="宋体" w:hAnsi="宋体"/>
                <w:sz w:val="24"/>
                <w:lang w:val="zh-CN"/>
              </w:rPr>
            </w:pPr>
            <w:r>
              <w:rPr>
                <w:rFonts w:hint="eastAsia" w:ascii="宋体" w:hAnsi="宋体"/>
                <w:sz w:val="24"/>
                <w:lang w:val="zh-CN"/>
              </w:rPr>
              <w:t>品牌</w:t>
            </w:r>
          </w:p>
        </w:tc>
        <w:tc>
          <w:tcPr>
            <w:tcW w:w="1157"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737B5535">
            <w:pPr>
              <w:spacing w:line="360" w:lineRule="auto"/>
              <w:jc w:val="center"/>
              <w:rPr>
                <w:rFonts w:ascii="宋体" w:hAnsi="宋体"/>
                <w:sz w:val="24"/>
                <w:lang w:val="zh-CN"/>
              </w:rPr>
            </w:pPr>
            <w:r>
              <w:rPr>
                <w:rFonts w:hint="eastAsia" w:ascii="宋体" w:hAnsi="宋体"/>
                <w:sz w:val="24"/>
                <w:lang w:val="zh-CN"/>
              </w:rPr>
              <w:t>规格</w:t>
            </w:r>
          </w:p>
          <w:p w14:paraId="68909751">
            <w:pPr>
              <w:spacing w:line="360" w:lineRule="auto"/>
              <w:jc w:val="center"/>
              <w:rPr>
                <w:rFonts w:ascii="宋体" w:hAnsi="宋体"/>
                <w:sz w:val="24"/>
                <w:lang w:val="zh-CN"/>
              </w:rPr>
            </w:pPr>
            <w:r>
              <w:rPr>
                <w:rFonts w:hint="eastAsia" w:ascii="宋体" w:hAnsi="宋体"/>
                <w:sz w:val="24"/>
                <w:lang w:val="zh-CN"/>
              </w:rPr>
              <w:t>型号</w:t>
            </w:r>
          </w:p>
        </w:tc>
        <w:tc>
          <w:tcPr>
            <w:tcW w:w="1338"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7487C54B">
            <w:pPr>
              <w:spacing w:line="360" w:lineRule="auto"/>
              <w:jc w:val="center"/>
              <w:rPr>
                <w:rFonts w:ascii="宋体" w:hAnsi="宋体"/>
                <w:sz w:val="24"/>
                <w:lang w:val="zh-CN"/>
              </w:rPr>
            </w:pPr>
            <w:r>
              <w:rPr>
                <w:rFonts w:hint="eastAsia" w:ascii="宋体" w:hAnsi="宋体"/>
                <w:sz w:val="24"/>
                <w:lang w:val="zh-CN"/>
              </w:rPr>
              <w:t>生产厂家</w:t>
            </w:r>
          </w:p>
        </w:tc>
        <w:tc>
          <w:tcPr>
            <w:tcW w:w="1208"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7BC9AAAF">
            <w:pPr>
              <w:spacing w:line="360" w:lineRule="auto"/>
              <w:jc w:val="center"/>
              <w:rPr>
                <w:rFonts w:ascii="宋体" w:hAnsi="宋体"/>
                <w:sz w:val="24"/>
                <w:lang w:val="zh-CN"/>
              </w:rPr>
            </w:pPr>
            <w:r>
              <w:rPr>
                <w:rFonts w:hint="eastAsia" w:ascii="宋体" w:hAnsi="宋体"/>
                <w:sz w:val="24"/>
                <w:lang w:val="zh-CN"/>
              </w:rPr>
              <w:t>数量</w:t>
            </w:r>
          </w:p>
        </w:tc>
        <w:tc>
          <w:tcPr>
            <w:tcW w:w="804"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5AB93F22">
            <w:pPr>
              <w:spacing w:line="360" w:lineRule="auto"/>
              <w:jc w:val="center"/>
              <w:rPr>
                <w:rFonts w:ascii="宋体" w:hAnsi="宋体"/>
                <w:sz w:val="24"/>
                <w:lang w:val="zh-CN"/>
              </w:rPr>
            </w:pPr>
            <w:r>
              <w:rPr>
                <w:rFonts w:hint="eastAsia" w:ascii="宋体" w:hAnsi="宋体"/>
                <w:sz w:val="24"/>
                <w:lang w:val="zh-CN"/>
              </w:rPr>
              <w:t>单价</w:t>
            </w:r>
          </w:p>
        </w:tc>
        <w:tc>
          <w:tcPr>
            <w:tcW w:w="947"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2F68070E">
            <w:pPr>
              <w:spacing w:line="360" w:lineRule="auto"/>
              <w:jc w:val="center"/>
              <w:rPr>
                <w:rFonts w:ascii="宋体" w:hAnsi="宋体"/>
                <w:sz w:val="24"/>
                <w:lang w:val="zh-CN"/>
              </w:rPr>
            </w:pPr>
            <w:r>
              <w:rPr>
                <w:rFonts w:hint="eastAsia" w:ascii="宋体" w:hAnsi="宋体"/>
                <w:sz w:val="24"/>
                <w:lang w:val="zh-CN"/>
              </w:rPr>
              <w:t>合计</w:t>
            </w:r>
          </w:p>
        </w:tc>
        <w:tc>
          <w:tcPr>
            <w:tcW w:w="945" w:type="dxa"/>
            <w:tcBorders>
              <w:top w:val="single" w:color="000000" w:sz="8" w:space="0"/>
              <w:left w:val="single" w:color="000000" w:sz="6" w:space="0"/>
              <w:bottom w:val="single" w:color="000000" w:sz="6" w:space="0"/>
              <w:right w:val="single" w:color="000000" w:sz="8" w:space="0"/>
            </w:tcBorders>
            <w:shd w:val="clear" w:color="000000" w:fill="FFFFFF"/>
            <w:vAlign w:val="center"/>
          </w:tcPr>
          <w:p w14:paraId="7CF52B12">
            <w:pPr>
              <w:spacing w:line="360" w:lineRule="auto"/>
              <w:jc w:val="center"/>
              <w:rPr>
                <w:rFonts w:ascii="宋体" w:hAnsi="宋体"/>
                <w:sz w:val="24"/>
                <w:lang w:val="zh-CN"/>
              </w:rPr>
            </w:pPr>
            <w:r>
              <w:rPr>
                <w:rFonts w:hint="eastAsia" w:ascii="宋体" w:hAnsi="宋体"/>
                <w:sz w:val="24"/>
                <w:lang w:val="zh-CN"/>
              </w:rPr>
              <w:t>备注</w:t>
            </w:r>
          </w:p>
        </w:tc>
      </w:tr>
      <w:tr w14:paraId="29EE82F5">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776048E5">
            <w:pPr>
              <w:spacing w:line="360" w:lineRule="auto"/>
              <w:jc w:val="center"/>
              <w:rPr>
                <w:rFonts w:ascii="宋体" w:hAnsi="宋体"/>
                <w:sz w:val="24"/>
                <w:lang w:val="zh-CN"/>
              </w:rPr>
            </w:pPr>
            <w:r>
              <w:rPr>
                <w:rFonts w:ascii="宋体" w:hAnsi="宋体"/>
                <w:sz w:val="24"/>
                <w:lang w:val="zh-CN"/>
              </w:rPr>
              <w:t>1</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AB8819">
            <w:pPr>
              <w:spacing w:line="360" w:lineRule="auto"/>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3C46C60">
            <w:pPr>
              <w:spacing w:line="360" w:lineRule="auto"/>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B1328AF">
            <w:pPr>
              <w:spacing w:line="360" w:lineRule="auto"/>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47562B0">
            <w:pPr>
              <w:spacing w:line="360" w:lineRule="auto"/>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453748F">
            <w:pPr>
              <w:spacing w:line="360" w:lineRule="auto"/>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A9BFA3">
            <w:pPr>
              <w:spacing w:line="360" w:lineRule="auto"/>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706E7E">
            <w:pPr>
              <w:spacing w:line="360" w:lineRule="auto"/>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22835A34">
            <w:pPr>
              <w:spacing w:line="360" w:lineRule="auto"/>
              <w:jc w:val="center"/>
              <w:rPr>
                <w:rFonts w:ascii="宋体" w:hAnsi="宋体"/>
                <w:sz w:val="24"/>
                <w:lang w:val="zh-CN"/>
              </w:rPr>
            </w:pPr>
          </w:p>
        </w:tc>
      </w:tr>
      <w:tr w14:paraId="772A8DC7">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4D2628C0">
            <w:pPr>
              <w:spacing w:line="360" w:lineRule="auto"/>
              <w:jc w:val="center"/>
              <w:rPr>
                <w:rFonts w:ascii="宋体" w:hAnsi="宋体"/>
                <w:sz w:val="24"/>
                <w:lang w:val="zh-CN"/>
              </w:rPr>
            </w:pPr>
            <w:r>
              <w:rPr>
                <w:rFonts w:ascii="宋体" w:hAnsi="宋体"/>
                <w:sz w:val="24"/>
                <w:lang w:val="zh-CN"/>
              </w:rPr>
              <w:t>2</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73ED35">
            <w:pPr>
              <w:spacing w:line="360" w:lineRule="auto"/>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DE5FBC3">
            <w:pPr>
              <w:spacing w:line="360" w:lineRule="auto"/>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4BAEB1">
            <w:pPr>
              <w:spacing w:line="360" w:lineRule="auto"/>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96CC39B">
            <w:pPr>
              <w:spacing w:line="360" w:lineRule="auto"/>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C6CD17">
            <w:pPr>
              <w:spacing w:line="360" w:lineRule="auto"/>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CDC9DC6">
            <w:pPr>
              <w:spacing w:line="360" w:lineRule="auto"/>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1DD7315">
            <w:pPr>
              <w:spacing w:line="360" w:lineRule="auto"/>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71520A86">
            <w:pPr>
              <w:spacing w:line="360" w:lineRule="auto"/>
              <w:jc w:val="center"/>
              <w:rPr>
                <w:rFonts w:ascii="宋体" w:hAnsi="宋体"/>
                <w:sz w:val="24"/>
                <w:lang w:val="zh-CN"/>
              </w:rPr>
            </w:pPr>
          </w:p>
        </w:tc>
      </w:tr>
      <w:tr w14:paraId="622CF92C">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4C148F80">
            <w:pPr>
              <w:spacing w:line="360" w:lineRule="auto"/>
              <w:jc w:val="center"/>
              <w:rPr>
                <w:rFonts w:ascii="宋体" w:hAnsi="宋体"/>
                <w:sz w:val="24"/>
                <w:lang w:val="zh-CN"/>
              </w:rPr>
            </w:pPr>
            <w:r>
              <w:rPr>
                <w:rFonts w:ascii="宋体" w:hAnsi="宋体"/>
                <w:sz w:val="24"/>
                <w:lang w:val="zh-CN"/>
              </w:rPr>
              <w:t>3</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FDEE75">
            <w:pPr>
              <w:spacing w:line="360" w:lineRule="auto"/>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9CCA0A4">
            <w:pPr>
              <w:spacing w:line="360" w:lineRule="auto"/>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E21E3AF">
            <w:pPr>
              <w:spacing w:line="360" w:lineRule="auto"/>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9B2B20">
            <w:pPr>
              <w:spacing w:line="360" w:lineRule="auto"/>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E4F0735">
            <w:pPr>
              <w:spacing w:line="360" w:lineRule="auto"/>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588D74F">
            <w:pPr>
              <w:spacing w:line="360" w:lineRule="auto"/>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18A9DB">
            <w:pPr>
              <w:spacing w:line="360" w:lineRule="auto"/>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3CEBFE4F">
            <w:pPr>
              <w:spacing w:line="360" w:lineRule="auto"/>
              <w:jc w:val="center"/>
              <w:rPr>
                <w:rFonts w:ascii="宋体" w:hAnsi="宋体"/>
                <w:sz w:val="24"/>
                <w:lang w:val="zh-CN"/>
              </w:rPr>
            </w:pPr>
          </w:p>
        </w:tc>
      </w:tr>
      <w:tr w14:paraId="1A523335">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5BC7843B">
            <w:pPr>
              <w:spacing w:line="360" w:lineRule="auto"/>
              <w:jc w:val="center"/>
              <w:rPr>
                <w:rFonts w:ascii="宋体" w:hAnsi="宋体"/>
                <w:sz w:val="24"/>
                <w:lang w:val="zh-CN"/>
              </w:rPr>
            </w:pPr>
            <w:r>
              <w:rPr>
                <w:rFonts w:ascii="宋体" w:hAnsi="宋体"/>
                <w:sz w:val="24"/>
                <w:lang w:val="zh-CN"/>
              </w:rPr>
              <w:t>4</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76FF6FE">
            <w:pPr>
              <w:spacing w:line="360" w:lineRule="auto"/>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5CDFE2">
            <w:pPr>
              <w:spacing w:line="360" w:lineRule="auto"/>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A4A2D02">
            <w:pPr>
              <w:spacing w:line="360" w:lineRule="auto"/>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BE24529">
            <w:pPr>
              <w:spacing w:line="360" w:lineRule="auto"/>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D85A3BA">
            <w:pPr>
              <w:spacing w:line="360" w:lineRule="auto"/>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FE0FE0">
            <w:pPr>
              <w:spacing w:line="360" w:lineRule="auto"/>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FF14532">
            <w:pPr>
              <w:spacing w:line="360" w:lineRule="auto"/>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00635C1A">
            <w:pPr>
              <w:spacing w:line="360" w:lineRule="auto"/>
              <w:jc w:val="center"/>
              <w:rPr>
                <w:rFonts w:ascii="宋体" w:hAnsi="宋体"/>
                <w:sz w:val="24"/>
                <w:lang w:val="zh-CN"/>
              </w:rPr>
            </w:pPr>
          </w:p>
        </w:tc>
      </w:tr>
      <w:tr w14:paraId="62CCD0B8">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1C4BFE0A">
            <w:pPr>
              <w:spacing w:line="360" w:lineRule="auto"/>
              <w:jc w:val="center"/>
              <w:rPr>
                <w:rFonts w:ascii="宋体" w:hAnsi="宋体"/>
                <w:sz w:val="24"/>
                <w:lang w:val="zh-CN"/>
              </w:rPr>
            </w:pPr>
            <w:r>
              <w:rPr>
                <w:rFonts w:ascii="宋体" w:hAnsi="宋体"/>
                <w:sz w:val="24"/>
                <w:lang w:val="zh-CN"/>
              </w:rPr>
              <w:t>…</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30D61D9">
            <w:pPr>
              <w:spacing w:line="360" w:lineRule="auto"/>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967B85">
            <w:pPr>
              <w:spacing w:line="360" w:lineRule="auto"/>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239B82A">
            <w:pPr>
              <w:spacing w:line="360" w:lineRule="auto"/>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720456">
            <w:pPr>
              <w:spacing w:line="360" w:lineRule="auto"/>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B56768">
            <w:pPr>
              <w:spacing w:line="360" w:lineRule="auto"/>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E29A568">
            <w:pPr>
              <w:spacing w:line="360" w:lineRule="auto"/>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92EEDE7">
            <w:pPr>
              <w:spacing w:line="360" w:lineRule="auto"/>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2DA6905C">
            <w:pPr>
              <w:spacing w:line="360" w:lineRule="auto"/>
              <w:jc w:val="center"/>
              <w:rPr>
                <w:rFonts w:ascii="宋体" w:hAnsi="宋体"/>
                <w:sz w:val="24"/>
                <w:lang w:val="zh-CN"/>
              </w:rPr>
            </w:pPr>
          </w:p>
        </w:tc>
      </w:tr>
      <w:tr w14:paraId="60742F58">
        <w:tblPrEx>
          <w:tblCellMar>
            <w:top w:w="0" w:type="dxa"/>
            <w:left w:w="28" w:type="dxa"/>
            <w:bottom w:w="0" w:type="dxa"/>
            <w:right w:w="28" w:type="dxa"/>
          </w:tblCellMar>
        </w:tblPrEx>
        <w:trPr>
          <w:trHeight w:val="1067" w:hRule="atLeast"/>
          <w:jc w:val="center"/>
        </w:trPr>
        <w:tc>
          <w:tcPr>
            <w:tcW w:w="9808" w:type="dxa"/>
            <w:gridSpan w:val="9"/>
            <w:tcBorders>
              <w:top w:val="single" w:color="000000" w:sz="6" w:space="0"/>
              <w:left w:val="single" w:color="000000" w:sz="8" w:space="0"/>
              <w:bottom w:val="single" w:color="000000" w:sz="6" w:space="0"/>
              <w:right w:val="single" w:color="000000" w:sz="8" w:space="0"/>
            </w:tcBorders>
            <w:shd w:val="clear" w:color="000000" w:fill="FFFFFF"/>
            <w:vAlign w:val="center"/>
          </w:tcPr>
          <w:p w14:paraId="42CF8BF3">
            <w:pPr>
              <w:spacing w:line="360" w:lineRule="auto"/>
              <w:rPr>
                <w:rFonts w:ascii="宋体" w:hAnsi="宋体"/>
                <w:sz w:val="24"/>
                <w:lang w:val="zh-CN"/>
              </w:rPr>
            </w:pPr>
            <w:r>
              <w:rPr>
                <w:rFonts w:hint="eastAsia" w:ascii="宋体" w:hAnsi="宋体"/>
                <w:sz w:val="24"/>
                <w:lang w:val="zh-CN"/>
              </w:rPr>
              <w:t>优惠承诺及其他：</w:t>
            </w:r>
          </w:p>
          <w:p w14:paraId="45D1097B">
            <w:pPr>
              <w:spacing w:line="360" w:lineRule="auto"/>
              <w:rPr>
                <w:rFonts w:ascii="宋体" w:hAnsi="宋体"/>
                <w:sz w:val="24"/>
                <w:lang w:val="zh-CN"/>
              </w:rPr>
            </w:pPr>
          </w:p>
        </w:tc>
      </w:tr>
      <w:tr w14:paraId="40B90A75">
        <w:tblPrEx>
          <w:tblCellMar>
            <w:top w:w="0" w:type="dxa"/>
            <w:left w:w="28" w:type="dxa"/>
            <w:bottom w:w="0" w:type="dxa"/>
            <w:right w:w="28" w:type="dxa"/>
          </w:tblCellMar>
        </w:tblPrEx>
        <w:trPr>
          <w:trHeight w:val="1038" w:hRule="atLeast"/>
          <w:jc w:val="center"/>
        </w:trPr>
        <w:tc>
          <w:tcPr>
            <w:tcW w:w="2379" w:type="dxa"/>
            <w:gridSpan w:val="2"/>
            <w:tcBorders>
              <w:top w:val="single" w:color="000000" w:sz="6" w:space="0"/>
              <w:left w:val="single" w:color="000000" w:sz="8" w:space="0"/>
              <w:bottom w:val="single" w:color="000000" w:sz="8" w:space="0"/>
              <w:right w:val="single" w:color="000000" w:sz="6" w:space="0"/>
            </w:tcBorders>
            <w:shd w:val="clear" w:color="000000" w:fill="FFFFFF"/>
            <w:vAlign w:val="center"/>
          </w:tcPr>
          <w:p w14:paraId="503CE568">
            <w:pPr>
              <w:spacing w:line="360" w:lineRule="auto"/>
              <w:rPr>
                <w:rFonts w:ascii="宋体" w:hAnsi="宋体"/>
                <w:sz w:val="24"/>
                <w:lang w:val="zh-CN"/>
              </w:rPr>
            </w:pPr>
            <w:r>
              <w:rPr>
                <w:rFonts w:hint="eastAsia" w:ascii="宋体" w:hAnsi="宋体"/>
                <w:sz w:val="24"/>
                <w:lang w:val="zh-CN"/>
              </w:rPr>
              <w:t>投标总价</w:t>
            </w:r>
          </w:p>
        </w:tc>
        <w:tc>
          <w:tcPr>
            <w:tcW w:w="7429" w:type="dxa"/>
            <w:gridSpan w:val="7"/>
            <w:tcBorders>
              <w:top w:val="single" w:color="000000" w:sz="6" w:space="0"/>
              <w:left w:val="single" w:color="000000" w:sz="6" w:space="0"/>
              <w:bottom w:val="single" w:color="000000" w:sz="8" w:space="0"/>
              <w:right w:val="single" w:color="000000" w:sz="8" w:space="0"/>
            </w:tcBorders>
            <w:shd w:val="clear" w:color="000000" w:fill="FFFFFF"/>
            <w:vAlign w:val="center"/>
          </w:tcPr>
          <w:p w14:paraId="04334A83">
            <w:pPr>
              <w:spacing w:line="360" w:lineRule="auto"/>
              <w:rPr>
                <w:rFonts w:ascii="宋体" w:hAnsi="宋体"/>
                <w:sz w:val="24"/>
                <w:lang w:val="zh-CN"/>
              </w:rPr>
            </w:pPr>
            <w:r>
              <w:rPr>
                <w:rFonts w:hint="eastAsia" w:ascii="宋体" w:hAnsi="宋体"/>
                <w:sz w:val="24"/>
                <w:lang w:val="zh-CN"/>
              </w:rPr>
              <w:t>小写：</w:t>
            </w:r>
          </w:p>
          <w:p w14:paraId="3150EBAB">
            <w:pPr>
              <w:spacing w:line="360" w:lineRule="auto"/>
              <w:rPr>
                <w:rFonts w:ascii="宋体" w:hAnsi="宋体"/>
                <w:sz w:val="24"/>
                <w:lang w:val="zh-CN"/>
              </w:rPr>
            </w:pPr>
          </w:p>
          <w:p w14:paraId="11B12B5F">
            <w:pPr>
              <w:spacing w:line="360" w:lineRule="auto"/>
              <w:rPr>
                <w:rFonts w:ascii="宋体" w:hAnsi="宋体"/>
                <w:sz w:val="24"/>
                <w:lang w:val="zh-CN"/>
              </w:rPr>
            </w:pPr>
            <w:r>
              <w:rPr>
                <w:rFonts w:hint="eastAsia" w:ascii="宋体" w:hAnsi="宋体"/>
                <w:sz w:val="24"/>
                <w:lang w:val="zh-CN"/>
              </w:rPr>
              <w:t>大写：</w:t>
            </w:r>
          </w:p>
        </w:tc>
      </w:tr>
    </w:tbl>
    <w:p w14:paraId="27513692">
      <w:pPr>
        <w:autoSpaceDE w:val="0"/>
        <w:autoSpaceDN w:val="0"/>
        <w:spacing w:line="360" w:lineRule="auto"/>
        <w:rPr>
          <w:rFonts w:ascii="宋体" w:hAnsi="宋体" w:cs="Arial"/>
          <w:b/>
          <w:bCs/>
          <w:sz w:val="24"/>
          <w:lang w:val="zh-CN"/>
        </w:rPr>
      </w:pPr>
      <w:r>
        <w:rPr>
          <w:rFonts w:ascii="宋体" w:hAnsi="宋体" w:cs="Arial"/>
          <w:b/>
          <w:bCs/>
          <w:sz w:val="24"/>
          <w:lang w:val="zh-CN"/>
        </w:rPr>
        <w:t>注：1、本表应依照</w:t>
      </w:r>
      <w:r>
        <w:rPr>
          <w:rFonts w:hint="eastAsia" w:ascii="宋体" w:hAnsi="宋体" w:cs="Arial"/>
          <w:b/>
          <w:bCs/>
          <w:sz w:val="24"/>
          <w:lang w:val="zh-CN"/>
        </w:rPr>
        <w:t>采购项目参数及要求</w:t>
      </w:r>
      <w:r>
        <w:rPr>
          <w:rFonts w:ascii="宋体" w:hAnsi="宋体" w:cs="Arial"/>
          <w:b/>
          <w:bCs/>
          <w:sz w:val="24"/>
          <w:lang w:val="zh-CN"/>
        </w:rPr>
        <w:t>中的产品序号按顺序逐项填写，不得遗漏。</w:t>
      </w:r>
    </w:p>
    <w:p w14:paraId="0E8AF276">
      <w:pPr>
        <w:autoSpaceDE w:val="0"/>
        <w:autoSpaceDN w:val="0"/>
        <w:spacing w:line="360" w:lineRule="auto"/>
        <w:ind w:firstLine="482" w:firstLineChars="200"/>
        <w:rPr>
          <w:rFonts w:ascii="宋体" w:hAnsi="宋体" w:cs="Arial"/>
          <w:b/>
          <w:bCs/>
          <w:sz w:val="24"/>
          <w:lang w:val="zh-CN"/>
        </w:rPr>
      </w:pPr>
      <w:r>
        <w:rPr>
          <w:rFonts w:ascii="宋体" w:hAnsi="宋体" w:cs="Arial"/>
          <w:b/>
          <w:bCs/>
          <w:sz w:val="24"/>
          <w:lang w:val="zh-CN"/>
        </w:rPr>
        <w:t>2</w:t>
      </w:r>
      <w:r>
        <w:rPr>
          <w:rFonts w:hint="eastAsia" w:ascii="宋体" w:hAnsi="宋体" w:cs="Arial"/>
          <w:b/>
          <w:bCs/>
          <w:sz w:val="24"/>
          <w:lang w:val="zh-CN"/>
        </w:rPr>
        <w:t>、“分项报价</w:t>
      </w:r>
      <w:r>
        <w:rPr>
          <w:rFonts w:ascii="宋体" w:hAnsi="宋体" w:cs="Arial"/>
          <w:b/>
          <w:bCs/>
          <w:sz w:val="24"/>
          <w:lang w:val="zh-CN"/>
        </w:rPr>
        <w:t>表</w:t>
      </w:r>
      <w:r>
        <w:rPr>
          <w:rFonts w:hint="eastAsia" w:ascii="宋体" w:hAnsi="宋体" w:cs="Arial"/>
          <w:b/>
          <w:bCs/>
          <w:sz w:val="24"/>
          <w:lang w:val="zh-CN"/>
        </w:rPr>
        <w:t>”</w:t>
      </w:r>
      <w:r>
        <w:rPr>
          <w:rFonts w:ascii="宋体" w:hAnsi="宋体" w:cs="Arial"/>
          <w:b/>
          <w:bCs/>
          <w:sz w:val="24"/>
          <w:lang w:val="zh-CN"/>
        </w:rPr>
        <w:t>须为打印版，手写无效。</w:t>
      </w:r>
    </w:p>
    <w:p w14:paraId="0F46509D">
      <w:pPr>
        <w:spacing w:line="360" w:lineRule="auto"/>
        <w:rPr>
          <w:rFonts w:ascii="宋体" w:hAnsi="宋体"/>
          <w:sz w:val="24"/>
          <w:lang w:val="zh-CN"/>
        </w:rPr>
      </w:pPr>
    </w:p>
    <w:p w14:paraId="178C607F">
      <w:pPr>
        <w:spacing w:line="360" w:lineRule="auto"/>
        <w:rPr>
          <w:rFonts w:ascii="宋体" w:hAnsi="宋体"/>
          <w:sz w:val="24"/>
          <w:lang w:val="zh-CN"/>
        </w:rPr>
      </w:pPr>
    </w:p>
    <w:p w14:paraId="5A221A49">
      <w:pPr>
        <w:spacing w:line="360" w:lineRule="auto"/>
        <w:rPr>
          <w:rFonts w:ascii="宋体" w:hAnsi="宋体"/>
          <w:sz w:val="24"/>
          <w:lang w:val="zh-CN"/>
        </w:rPr>
      </w:pPr>
    </w:p>
    <w:p w14:paraId="4C18554A">
      <w:pPr>
        <w:spacing w:line="360" w:lineRule="auto"/>
        <w:rPr>
          <w:rFonts w:ascii="宋体" w:hAnsi="宋体"/>
          <w:sz w:val="24"/>
          <w:lang w:val="zh-CN"/>
        </w:rPr>
      </w:pPr>
    </w:p>
    <w:p w14:paraId="5971CADB">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投标供应商：             （公章）</w:t>
      </w:r>
    </w:p>
    <w:p w14:paraId="20CBE69C">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法定代表人或委托代理人：       （签字）</w:t>
      </w:r>
    </w:p>
    <w:p w14:paraId="3C4161F4">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日期：    年   月   日</w:t>
      </w:r>
    </w:p>
    <w:p w14:paraId="424D4BFD">
      <w:pPr>
        <w:pStyle w:val="5"/>
        <w:numPr>
          <w:ilvl w:val="0"/>
          <w:numId w:val="0"/>
        </w:numPr>
        <w:ind w:left="709" w:hanging="709"/>
        <w:rPr>
          <w:rFonts w:hAnsi="宋体" w:cs="宋体"/>
          <w:sz w:val="24"/>
          <w:szCs w:val="24"/>
        </w:rPr>
      </w:pPr>
      <w:r>
        <w:rPr>
          <w:rFonts w:hAnsi="宋体"/>
          <w:bCs/>
          <w:sz w:val="24"/>
          <w:szCs w:val="24"/>
        </w:rPr>
        <w:br w:type="page"/>
      </w:r>
      <w:bookmarkStart w:id="116" w:name="_Toc22513"/>
      <w:r>
        <w:rPr>
          <w:rFonts w:hint="eastAsia" w:hAnsi="宋体"/>
          <w:b/>
          <w:sz w:val="24"/>
          <w:szCs w:val="24"/>
          <w:lang w:val="zh-CN"/>
        </w:rPr>
        <w:t>格式13、技术规格响应表</w:t>
      </w:r>
      <w:bookmarkEnd w:id="116"/>
    </w:p>
    <w:p w14:paraId="571C564C">
      <w:pPr>
        <w:autoSpaceDE w:val="0"/>
        <w:autoSpaceDN w:val="0"/>
        <w:adjustRightInd w:val="0"/>
        <w:spacing w:line="360" w:lineRule="auto"/>
        <w:jc w:val="center"/>
        <w:rPr>
          <w:rFonts w:ascii="宋体" w:hAnsi="宋体" w:cs="宋体"/>
          <w:b/>
          <w:bCs/>
          <w:kern w:val="0"/>
          <w:sz w:val="24"/>
          <w:lang w:val="zh-CN"/>
        </w:rPr>
      </w:pPr>
      <w:bookmarkStart w:id="117" w:name="_Toc20510"/>
      <w:bookmarkStart w:id="118" w:name="_Toc444715742"/>
      <w:bookmarkStart w:id="119" w:name="_Toc25742"/>
      <w:r>
        <w:rPr>
          <w:rFonts w:hint="eastAsia" w:ascii="宋体" w:hAnsi="宋体" w:cs="宋体"/>
          <w:b/>
          <w:bCs/>
          <w:kern w:val="0"/>
          <w:sz w:val="24"/>
          <w:lang w:val="zh-CN"/>
        </w:rPr>
        <w:t>技术规格响应表</w:t>
      </w:r>
    </w:p>
    <w:p w14:paraId="59655D29">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采购项目名称:</w:t>
      </w:r>
    </w:p>
    <w:p w14:paraId="7BEE73DB">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采购项目编号：</w:t>
      </w:r>
    </w:p>
    <w:tbl>
      <w:tblPr>
        <w:tblStyle w:val="33"/>
        <w:tblW w:w="1025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863"/>
        <w:gridCol w:w="1450"/>
        <w:gridCol w:w="950"/>
        <w:gridCol w:w="712"/>
        <w:gridCol w:w="825"/>
        <w:gridCol w:w="1463"/>
        <w:gridCol w:w="1612"/>
        <w:gridCol w:w="950"/>
        <w:gridCol w:w="738"/>
      </w:tblGrid>
      <w:tr w14:paraId="26374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91" w:type="dxa"/>
            <w:vMerge w:val="restart"/>
            <w:vAlign w:val="center"/>
          </w:tcPr>
          <w:p w14:paraId="6C0D405C">
            <w:pPr>
              <w:spacing w:line="360" w:lineRule="auto"/>
              <w:jc w:val="center"/>
              <w:rPr>
                <w:rFonts w:ascii="宋体" w:hAnsi="宋体"/>
                <w:sz w:val="24"/>
              </w:rPr>
            </w:pPr>
            <w:r>
              <w:rPr>
                <w:rFonts w:hint="eastAsia" w:ascii="宋体" w:hAnsi="宋体"/>
                <w:sz w:val="24"/>
              </w:rPr>
              <w:t>序号</w:t>
            </w:r>
          </w:p>
        </w:tc>
        <w:tc>
          <w:tcPr>
            <w:tcW w:w="3263" w:type="dxa"/>
            <w:gridSpan w:val="3"/>
            <w:vAlign w:val="center"/>
          </w:tcPr>
          <w:p w14:paraId="33A841F7">
            <w:pPr>
              <w:spacing w:line="360" w:lineRule="auto"/>
              <w:jc w:val="center"/>
              <w:rPr>
                <w:rFonts w:ascii="宋体" w:hAnsi="宋体"/>
                <w:sz w:val="24"/>
              </w:rPr>
            </w:pPr>
            <w:r>
              <w:rPr>
                <w:rFonts w:hint="eastAsia" w:ascii="宋体" w:hAnsi="宋体" w:cs="仿宋_GB2312"/>
                <w:sz w:val="24"/>
              </w:rPr>
              <w:t>采购需求技术参数、指标</w:t>
            </w:r>
          </w:p>
        </w:tc>
        <w:tc>
          <w:tcPr>
            <w:tcW w:w="5562" w:type="dxa"/>
            <w:gridSpan w:val="5"/>
            <w:vAlign w:val="center"/>
          </w:tcPr>
          <w:p w14:paraId="1A10C950">
            <w:pPr>
              <w:spacing w:line="360" w:lineRule="auto"/>
              <w:rPr>
                <w:rFonts w:ascii="宋体" w:hAnsi="宋体"/>
                <w:sz w:val="24"/>
              </w:rPr>
            </w:pPr>
            <w:r>
              <w:rPr>
                <w:rFonts w:hint="eastAsia" w:ascii="宋体" w:hAnsi="宋体"/>
                <w:sz w:val="24"/>
              </w:rPr>
              <w:t>投标产品技术参数、指标</w:t>
            </w:r>
          </w:p>
        </w:tc>
        <w:tc>
          <w:tcPr>
            <w:tcW w:w="738" w:type="dxa"/>
            <w:vMerge w:val="restart"/>
            <w:vAlign w:val="center"/>
          </w:tcPr>
          <w:p w14:paraId="12650FED">
            <w:pPr>
              <w:spacing w:line="360" w:lineRule="auto"/>
              <w:rPr>
                <w:rFonts w:ascii="宋体" w:hAnsi="宋体"/>
                <w:sz w:val="24"/>
              </w:rPr>
            </w:pPr>
            <w:r>
              <w:rPr>
                <w:rFonts w:hint="eastAsia" w:ascii="宋体" w:hAnsi="宋体"/>
                <w:sz w:val="24"/>
              </w:rPr>
              <w:t>偏离</w:t>
            </w:r>
          </w:p>
        </w:tc>
      </w:tr>
      <w:tr w14:paraId="63E82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691" w:type="dxa"/>
            <w:vMerge w:val="continue"/>
            <w:vAlign w:val="center"/>
          </w:tcPr>
          <w:p w14:paraId="0ADF5C8A">
            <w:pPr>
              <w:spacing w:line="360" w:lineRule="auto"/>
              <w:jc w:val="center"/>
              <w:rPr>
                <w:rFonts w:ascii="宋体" w:hAnsi="宋体"/>
                <w:sz w:val="24"/>
              </w:rPr>
            </w:pPr>
          </w:p>
        </w:tc>
        <w:tc>
          <w:tcPr>
            <w:tcW w:w="863" w:type="dxa"/>
            <w:vAlign w:val="center"/>
          </w:tcPr>
          <w:p w14:paraId="4A498691">
            <w:pPr>
              <w:spacing w:line="360" w:lineRule="auto"/>
              <w:jc w:val="center"/>
              <w:rPr>
                <w:rFonts w:ascii="宋体" w:hAnsi="宋体" w:cs="仿宋_GB2312"/>
                <w:sz w:val="24"/>
              </w:rPr>
            </w:pPr>
            <w:r>
              <w:rPr>
                <w:rFonts w:hint="eastAsia" w:ascii="宋体" w:hAnsi="宋体" w:cs="仿宋_GB2312"/>
                <w:sz w:val="24"/>
              </w:rPr>
              <w:t>名称</w:t>
            </w:r>
          </w:p>
        </w:tc>
        <w:tc>
          <w:tcPr>
            <w:tcW w:w="1450" w:type="dxa"/>
            <w:vAlign w:val="center"/>
          </w:tcPr>
          <w:p w14:paraId="1E077091">
            <w:pPr>
              <w:spacing w:line="360" w:lineRule="auto"/>
              <w:jc w:val="center"/>
              <w:rPr>
                <w:rFonts w:ascii="宋体" w:hAnsi="宋体" w:cs="仿宋_GB2312"/>
                <w:sz w:val="24"/>
              </w:rPr>
            </w:pPr>
            <w:r>
              <w:rPr>
                <w:rFonts w:hint="eastAsia" w:ascii="宋体" w:hAnsi="宋体" w:cs="仿宋_GB2312"/>
                <w:sz w:val="24"/>
              </w:rPr>
              <w:t>技术参数及配置</w:t>
            </w:r>
          </w:p>
        </w:tc>
        <w:tc>
          <w:tcPr>
            <w:tcW w:w="950" w:type="dxa"/>
            <w:vAlign w:val="center"/>
          </w:tcPr>
          <w:p w14:paraId="0CCAEF5F">
            <w:pPr>
              <w:spacing w:line="360" w:lineRule="auto"/>
              <w:jc w:val="center"/>
              <w:rPr>
                <w:rFonts w:ascii="宋体" w:hAnsi="宋体" w:cs="仿宋_GB2312"/>
                <w:sz w:val="24"/>
              </w:rPr>
            </w:pPr>
            <w:r>
              <w:rPr>
                <w:rFonts w:hint="eastAsia" w:ascii="宋体" w:hAnsi="宋体" w:cs="仿宋_GB2312"/>
                <w:sz w:val="24"/>
              </w:rPr>
              <w:t>数量</w:t>
            </w:r>
          </w:p>
        </w:tc>
        <w:tc>
          <w:tcPr>
            <w:tcW w:w="712" w:type="dxa"/>
            <w:vAlign w:val="center"/>
          </w:tcPr>
          <w:p w14:paraId="2A374337">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名称</w:t>
            </w:r>
          </w:p>
        </w:tc>
        <w:tc>
          <w:tcPr>
            <w:tcW w:w="825" w:type="dxa"/>
            <w:vAlign w:val="center"/>
          </w:tcPr>
          <w:p w14:paraId="31A3C7EB">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品牌</w:t>
            </w:r>
          </w:p>
        </w:tc>
        <w:tc>
          <w:tcPr>
            <w:tcW w:w="1463" w:type="dxa"/>
            <w:vAlign w:val="center"/>
          </w:tcPr>
          <w:p w14:paraId="3571328B">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规格型号、产地</w:t>
            </w:r>
          </w:p>
        </w:tc>
        <w:tc>
          <w:tcPr>
            <w:tcW w:w="1612" w:type="dxa"/>
            <w:vAlign w:val="center"/>
          </w:tcPr>
          <w:p w14:paraId="43DD1D8D">
            <w:pPr>
              <w:spacing w:line="360" w:lineRule="auto"/>
              <w:jc w:val="center"/>
              <w:rPr>
                <w:rFonts w:ascii="宋体" w:hAnsi="宋体"/>
                <w:sz w:val="24"/>
              </w:rPr>
            </w:pPr>
            <w:r>
              <w:rPr>
                <w:rFonts w:hint="eastAsia" w:ascii="宋体" w:hAnsi="宋体"/>
                <w:sz w:val="24"/>
              </w:rPr>
              <w:t>技术参数及配置</w:t>
            </w:r>
          </w:p>
        </w:tc>
        <w:tc>
          <w:tcPr>
            <w:tcW w:w="950" w:type="dxa"/>
            <w:vAlign w:val="center"/>
          </w:tcPr>
          <w:p w14:paraId="4DC1DC4C">
            <w:pPr>
              <w:spacing w:line="360" w:lineRule="auto"/>
              <w:jc w:val="center"/>
              <w:rPr>
                <w:rFonts w:ascii="宋体" w:hAnsi="宋体"/>
                <w:sz w:val="24"/>
              </w:rPr>
            </w:pPr>
            <w:r>
              <w:rPr>
                <w:rFonts w:hint="eastAsia" w:ascii="宋体" w:hAnsi="宋体"/>
                <w:sz w:val="24"/>
              </w:rPr>
              <w:t>数量</w:t>
            </w:r>
          </w:p>
        </w:tc>
        <w:tc>
          <w:tcPr>
            <w:tcW w:w="738" w:type="dxa"/>
            <w:vMerge w:val="continue"/>
            <w:vAlign w:val="center"/>
          </w:tcPr>
          <w:p w14:paraId="2308DE06">
            <w:pPr>
              <w:spacing w:line="360" w:lineRule="auto"/>
              <w:jc w:val="center"/>
              <w:rPr>
                <w:rFonts w:ascii="宋体" w:hAnsi="宋体"/>
                <w:sz w:val="24"/>
              </w:rPr>
            </w:pPr>
          </w:p>
        </w:tc>
      </w:tr>
      <w:tr w14:paraId="3997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691" w:type="dxa"/>
            <w:vAlign w:val="center"/>
          </w:tcPr>
          <w:p w14:paraId="2C6317E3">
            <w:pPr>
              <w:tabs>
                <w:tab w:val="left" w:pos="3327"/>
              </w:tabs>
              <w:spacing w:line="360" w:lineRule="auto"/>
              <w:jc w:val="center"/>
              <w:rPr>
                <w:rFonts w:ascii="宋体" w:hAnsi="宋体"/>
                <w:sz w:val="24"/>
              </w:rPr>
            </w:pPr>
            <w:r>
              <w:rPr>
                <w:rFonts w:hint="eastAsia" w:ascii="宋体" w:hAnsi="宋体"/>
                <w:sz w:val="24"/>
              </w:rPr>
              <w:t>1</w:t>
            </w:r>
          </w:p>
        </w:tc>
        <w:tc>
          <w:tcPr>
            <w:tcW w:w="863" w:type="dxa"/>
            <w:vAlign w:val="center"/>
          </w:tcPr>
          <w:p w14:paraId="7935B92C">
            <w:pPr>
              <w:tabs>
                <w:tab w:val="left" w:pos="3327"/>
              </w:tabs>
              <w:spacing w:line="360" w:lineRule="auto"/>
              <w:rPr>
                <w:rFonts w:ascii="宋体" w:hAnsi="宋体"/>
                <w:sz w:val="24"/>
              </w:rPr>
            </w:pPr>
          </w:p>
        </w:tc>
        <w:tc>
          <w:tcPr>
            <w:tcW w:w="1450" w:type="dxa"/>
            <w:vAlign w:val="center"/>
          </w:tcPr>
          <w:p w14:paraId="0F495C87">
            <w:pPr>
              <w:tabs>
                <w:tab w:val="left" w:pos="3327"/>
              </w:tabs>
              <w:spacing w:line="360" w:lineRule="auto"/>
              <w:rPr>
                <w:rFonts w:ascii="宋体" w:hAnsi="宋体"/>
                <w:sz w:val="24"/>
              </w:rPr>
            </w:pPr>
          </w:p>
        </w:tc>
        <w:tc>
          <w:tcPr>
            <w:tcW w:w="950" w:type="dxa"/>
            <w:vAlign w:val="center"/>
          </w:tcPr>
          <w:p w14:paraId="174E472A">
            <w:pPr>
              <w:tabs>
                <w:tab w:val="left" w:pos="3327"/>
              </w:tabs>
              <w:spacing w:line="360" w:lineRule="auto"/>
              <w:rPr>
                <w:rFonts w:ascii="宋体" w:hAnsi="宋体"/>
                <w:sz w:val="24"/>
              </w:rPr>
            </w:pPr>
          </w:p>
        </w:tc>
        <w:tc>
          <w:tcPr>
            <w:tcW w:w="712" w:type="dxa"/>
            <w:vAlign w:val="center"/>
          </w:tcPr>
          <w:p w14:paraId="32C2C64B">
            <w:pPr>
              <w:tabs>
                <w:tab w:val="left" w:pos="3327"/>
              </w:tabs>
              <w:spacing w:line="360" w:lineRule="auto"/>
              <w:rPr>
                <w:rFonts w:ascii="宋体" w:hAnsi="宋体"/>
                <w:sz w:val="24"/>
              </w:rPr>
            </w:pPr>
          </w:p>
        </w:tc>
        <w:tc>
          <w:tcPr>
            <w:tcW w:w="825" w:type="dxa"/>
            <w:vAlign w:val="center"/>
          </w:tcPr>
          <w:p w14:paraId="266C4793">
            <w:pPr>
              <w:tabs>
                <w:tab w:val="left" w:pos="3327"/>
              </w:tabs>
              <w:spacing w:line="360" w:lineRule="auto"/>
              <w:rPr>
                <w:rFonts w:ascii="宋体" w:hAnsi="宋体"/>
                <w:color w:val="00B0F0"/>
                <w:sz w:val="24"/>
              </w:rPr>
            </w:pPr>
          </w:p>
        </w:tc>
        <w:tc>
          <w:tcPr>
            <w:tcW w:w="1463" w:type="dxa"/>
            <w:vAlign w:val="center"/>
          </w:tcPr>
          <w:p w14:paraId="6A1CD8F6">
            <w:pPr>
              <w:tabs>
                <w:tab w:val="left" w:pos="3327"/>
              </w:tabs>
              <w:spacing w:line="360" w:lineRule="auto"/>
              <w:rPr>
                <w:rFonts w:ascii="宋体" w:hAnsi="宋体"/>
                <w:color w:val="FF0000"/>
                <w:sz w:val="24"/>
              </w:rPr>
            </w:pPr>
          </w:p>
        </w:tc>
        <w:tc>
          <w:tcPr>
            <w:tcW w:w="1612" w:type="dxa"/>
            <w:vAlign w:val="center"/>
          </w:tcPr>
          <w:p w14:paraId="0A41F8A4">
            <w:pPr>
              <w:tabs>
                <w:tab w:val="left" w:pos="3327"/>
              </w:tabs>
              <w:spacing w:line="360" w:lineRule="auto"/>
              <w:rPr>
                <w:rFonts w:ascii="宋体" w:hAnsi="宋体"/>
                <w:sz w:val="24"/>
              </w:rPr>
            </w:pPr>
          </w:p>
        </w:tc>
        <w:tc>
          <w:tcPr>
            <w:tcW w:w="950" w:type="dxa"/>
            <w:vAlign w:val="center"/>
          </w:tcPr>
          <w:p w14:paraId="4882599E">
            <w:pPr>
              <w:tabs>
                <w:tab w:val="left" w:pos="3327"/>
              </w:tabs>
              <w:spacing w:line="360" w:lineRule="auto"/>
              <w:rPr>
                <w:rFonts w:ascii="宋体" w:hAnsi="宋体"/>
                <w:sz w:val="24"/>
              </w:rPr>
            </w:pPr>
          </w:p>
        </w:tc>
        <w:tc>
          <w:tcPr>
            <w:tcW w:w="738" w:type="dxa"/>
            <w:vAlign w:val="center"/>
          </w:tcPr>
          <w:p w14:paraId="313E38DD">
            <w:pPr>
              <w:spacing w:line="360" w:lineRule="auto"/>
              <w:jc w:val="center"/>
              <w:rPr>
                <w:rFonts w:ascii="宋体" w:hAnsi="宋体"/>
                <w:sz w:val="24"/>
              </w:rPr>
            </w:pPr>
          </w:p>
        </w:tc>
      </w:tr>
      <w:tr w14:paraId="2E581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691" w:type="dxa"/>
            <w:vAlign w:val="center"/>
          </w:tcPr>
          <w:p w14:paraId="2C2AD2EA">
            <w:pPr>
              <w:tabs>
                <w:tab w:val="left" w:pos="3327"/>
              </w:tabs>
              <w:spacing w:line="360" w:lineRule="auto"/>
              <w:jc w:val="center"/>
              <w:rPr>
                <w:rFonts w:ascii="宋体" w:hAnsi="宋体"/>
                <w:sz w:val="24"/>
              </w:rPr>
            </w:pPr>
            <w:r>
              <w:rPr>
                <w:rFonts w:hint="eastAsia" w:ascii="宋体" w:hAnsi="宋体"/>
                <w:sz w:val="24"/>
              </w:rPr>
              <w:t>2</w:t>
            </w:r>
          </w:p>
        </w:tc>
        <w:tc>
          <w:tcPr>
            <w:tcW w:w="863" w:type="dxa"/>
            <w:vAlign w:val="center"/>
          </w:tcPr>
          <w:p w14:paraId="45C3DC66">
            <w:pPr>
              <w:tabs>
                <w:tab w:val="left" w:pos="3327"/>
              </w:tabs>
              <w:spacing w:line="360" w:lineRule="auto"/>
              <w:rPr>
                <w:rFonts w:ascii="宋体" w:hAnsi="宋体"/>
                <w:sz w:val="24"/>
              </w:rPr>
            </w:pPr>
          </w:p>
        </w:tc>
        <w:tc>
          <w:tcPr>
            <w:tcW w:w="1450" w:type="dxa"/>
            <w:vAlign w:val="center"/>
          </w:tcPr>
          <w:p w14:paraId="4A08A727">
            <w:pPr>
              <w:tabs>
                <w:tab w:val="left" w:pos="3327"/>
              </w:tabs>
              <w:spacing w:line="360" w:lineRule="auto"/>
              <w:rPr>
                <w:rFonts w:ascii="宋体" w:hAnsi="宋体"/>
                <w:sz w:val="24"/>
              </w:rPr>
            </w:pPr>
          </w:p>
        </w:tc>
        <w:tc>
          <w:tcPr>
            <w:tcW w:w="950" w:type="dxa"/>
            <w:vAlign w:val="center"/>
          </w:tcPr>
          <w:p w14:paraId="07163229">
            <w:pPr>
              <w:tabs>
                <w:tab w:val="left" w:pos="3327"/>
              </w:tabs>
              <w:spacing w:line="360" w:lineRule="auto"/>
              <w:rPr>
                <w:rFonts w:ascii="宋体" w:hAnsi="宋体"/>
                <w:sz w:val="24"/>
              </w:rPr>
            </w:pPr>
          </w:p>
        </w:tc>
        <w:tc>
          <w:tcPr>
            <w:tcW w:w="712" w:type="dxa"/>
            <w:vAlign w:val="center"/>
          </w:tcPr>
          <w:p w14:paraId="2497ED56">
            <w:pPr>
              <w:tabs>
                <w:tab w:val="left" w:pos="3327"/>
              </w:tabs>
              <w:spacing w:line="360" w:lineRule="auto"/>
              <w:rPr>
                <w:rFonts w:ascii="宋体" w:hAnsi="宋体"/>
                <w:sz w:val="24"/>
              </w:rPr>
            </w:pPr>
          </w:p>
        </w:tc>
        <w:tc>
          <w:tcPr>
            <w:tcW w:w="825" w:type="dxa"/>
            <w:vAlign w:val="center"/>
          </w:tcPr>
          <w:p w14:paraId="34E62B70">
            <w:pPr>
              <w:tabs>
                <w:tab w:val="left" w:pos="3327"/>
              </w:tabs>
              <w:spacing w:line="360" w:lineRule="auto"/>
              <w:rPr>
                <w:rFonts w:ascii="宋体" w:hAnsi="宋体"/>
                <w:color w:val="00B0F0"/>
                <w:sz w:val="24"/>
              </w:rPr>
            </w:pPr>
          </w:p>
        </w:tc>
        <w:tc>
          <w:tcPr>
            <w:tcW w:w="1463" w:type="dxa"/>
            <w:vAlign w:val="center"/>
          </w:tcPr>
          <w:p w14:paraId="65279CDA">
            <w:pPr>
              <w:tabs>
                <w:tab w:val="left" w:pos="3327"/>
              </w:tabs>
              <w:spacing w:line="360" w:lineRule="auto"/>
              <w:rPr>
                <w:rFonts w:ascii="宋体" w:hAnsi="宋体"/>
                <w:color w:val="FF0000"/>
                <w:sz w:val="24"/>
              </w:rPr>
            </w:pPr>
          </w:p>
        </w:tc>
        <w:tc>
          <w:tcPr>
            <w:tcW w:w="1612" w:type="dxa"/>
            <w:vAlign w:val="center"/>
          </w:tcPr>
          <w:p w14:paraId="0F50B223">
            <w:pPr>
              <w:tabs>
                <w:tab w:val="left" w:pos="3327"/>
              </w:tabs>
              <w:spacing w:line="360" w:lineRule="auto"/>
              <w:rPr>
                <w:rFonts w:ascii="宋体" w:hAnsi="宋体"/>
                <w:sz w:val="24"/>
              </w:rPr>
            </w:pPr>
          </w:p>
        </w:tc>
        <w:tc>
          <w:tcPr>
            <w:tcW w:w="950" w:type="dxa"/>
            <w:vAlign w:val="center"/>
          </w:tcPr>
          <w:p w14:paraId="78D6DB59">
            <w:pPr>
              <w:tabs>
                <w:tab w:val="left" w:pos="3327"/>
              </w:tabs>
              <w:spacing w:line="360" w:lineRule="auto"/>
              <w:rPr>
                <w:rFonts w:ascii="宋体" w:hAnsi="宋体"/>
                <w:sz w:val="24"/>
              </w:rPr>
            </w:pPr>
          </w:p>
        </w:tc>
        <w:tc>
          <w:tcPr>
            <w:tcW w:w="738" w:type="dxa"/>
            <w:vAlign w:val="center"/>
          </w:tcPr>
          <w:p w14:paraId="205265EB">
            <w:pPr>
              <w:spacing w:line="360" w:lineRule="auto"/>
              <w:jc w:val="center"/>
              <w:rPr>
                <w:rFonts w:ascii="宋体" w:hAnsi="宋体"/>
                <w:sz w:val="24"/>
              </w:rPr>
            </w:pPr>
          </w:p>
        </w:tc>
      </w:tr>
      <w:tr w14:paraId="0B764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691" w:type="dxa"/>
            <w:vAlign w:val="center"/>
          </w:tcPr>
          <w:p w14:paraId="450A4224">
            <w:pPr>
              <w:tabs>
                <w:tab w:val="left" w:pos="3327"/>
              </w:tabs>
              <w:spacing w:line="360" w:lineRule="auto"/>
              <w:jc w:val="center"/>
              <w:rPr>
                <w:rFonts w:ascii="宋体" w:hAnsi="宋体"/>
                <w:sz w:val="24"/>
              </w:rPr>
            </w:pPr>
            <w:r>
              <w:rPr>
                <w:rFonts w:hint="eastAsia" w:ascii="宋体" w:hAnsi="宋体"/>
                <w:sz w:val="24"/>
              </w:rPr>
              <w:t>3</w:t>
            </w:r>
          </w:p>
        </w:tc>
        <w:tc>
          <w:tcPr>
            <w:tcW w:w="863" w:type="dxa"/>
            <w:vAlign w:val="center"/>
          </w:tcPr>
          <w:p w14:paraId="4CED2D7C">
            <w:pPr>
              <w:tabs>
                <w:tab w:val="left" w:pos="3327"/>
              </w:tabs>
              <w:spacing w:line="360" w:lineRule="auto"/>
              <w:rPr>
                <w:rFonts w:ascii="宋体" w:hAnsi="宋体"/>
                <w:sz w:val="24"/>
              </w:rPr>
            </w:pPr>
          </w:p>
        </w:tc>
        <w:tc>
          <w:tcPr>
            <w:tcW w:w="1450" w:type="dxa"/>
            <w:vAlign w:val="center"/>
          </w:tcPr>
          <w:p w14:paraId="3508345D">
            <w:pPr>
              <w:tabs>
                <w:tab w:val="left" w:pos="3327"/>
              </w:tabs>
              <w:spacing w:line="360" w:lineRule="auto"/>
              <w:rPr>
                <w:rFonts w:ascii="宋体" w:hAnsi="宋体"/>
                <w:sz w:val="24"/>
              </w:rPr>
            </w:pPr>
          </w:p>
        </w:tc>
        <w:tc>
          <w:tcPr>
            <w:tcW w:w="950" w:type="dxa"/>
            <w:vAlign w:val="center"/>
          </w:tcPr>
          <w:p w14:paraId="5F2BC8F7">
            <w:pPr>
              <w:tabs>
                <w:tab w:val="left" w:pos="3327"/>
              </w:tabs>
              <w:spacing w:line="360" w:lineRule="auto"/>
              <w:rPr>
                <w:rFonts w:ascii="宋体" w:hAnsi="宋体"/>
                <w:sz w:val="24"/>
              </w:rPr>
            </w:pPr>
          </w:p>
        </w:tc>
        <w:tc>
          <w:tcPr>
            <w:tcW w:w="712" w:type="dxa"/>
            <w:vAlign w:val="center"/>
          </w:tcPr>
          <w:p w14:paraId="25B1719F">
            <w:pPr>
              <w:tabs>
                <w:tab w:val="left" w:pos="3327"/>
              </w:tabs>
              <w:spacing w:line="360" w:lineRule="auto"/>
              <w:rPr>
                <w:rFonts w:ascii="宋体" w:hAnsi="宋体"/>
                <w:sz w:val="24"/>
              </w:rPr>
            </w:pPr>
          </w:p>
        </w:tc>
        <w:tc>
          <w:tcPr>
            <w:tcW w:w="825" w:type="dxa"/>
            <w:vAlign w:val="center"/>
          </w:tcPr>
          <w:p w14:paraId="4ED53AA3">
            <w:pPr>
              <w:tabs>
                <w:tab w:val="left" w:pos="3327"/>
              </w:tabs>
              <w:spacing w:line="360" w:lineRule="auto"/>
              <w:rPr>
                <w:rFonts w:ascii="宋体" w:hAnsi="宋体"/>
                <w:color w:val="00B0F0"/>
                <w:sz w:val="24"/>
              </w:rPr>
            </w:pPr>
          </w:p>
        </w:tc>
        <w:tc>
          <w:tcPr>
            <w:tcW w:w="1463" w:type="dxa"/>
            <w:vAlign w:val="center"/>
          </w:tcPr>
          <w:p w14:paraId="7E1971CC">
            <w:pPr>
              <w:tabs>
                <w:tab w:val="left" w:pos="3327"/>
              </w:tabs>
              <w:spacing w:line="360" w:lineRule="auto"/>
              <w:rPr>
                <w:rFonts w:ascii="宋体" w:hAnsi="宋体"/>
                <w:color w:val="FF0000"/>
                <w:sz w:val="24"/>
              </w:rPr>
            </w:pPr>
          </w:p>
        </w:tc>
        <w:tc>
          <w:tcPr>
            <w:tcW w:w="1612" w:type="dxa"/>
            <w:vAlign w:val="center"/>
          </w:tcPr>
          <w:p w14:paraId="434B20E3">
            <w:pPr>
              <w:tabs>
                <w:tab w:val="left" w:pos="3327"/>
              </w:tabs>
              <w:spacing w:line="360" w:lineRule="auto"/>
              <w:rPr>
                <w:rFonts w:ascii="宋体" w:hAnsi="宋体"/>
                <w:sz w:val="24"/>
              </w:rPr>
            </w:pPr>
          </w:p>
        </w:tc>
        <w:tc>
          <w:tcPr>
            <w:tcW w:w="950" w:type="dxa"/>
            <w:vAlign w:val="center"/>
          </w:tcPr>
          <w:p w14:paraId="03772F01">
            <w:pPr>
              <w:tabs>
                <w:tab w:val="left" w:pos="3327"/>
              </w:tabs>
              <w:spacing w:line="360" w:lineRule="auto"/>
              <w:rPr>
                <w:rFonts w:ascii="宋体" w:hAnsi="宋体"/>
                <w:sz w:val="24"/>
              </w:rPr>
            </w:pPr>
          </w:p>
        </w:tc>
        <w:tc>
          <w:tcPr>
            <w:tcW w:w="738" w:type="dxa"/>
            <w:vAlign w:val="center"/>
          </w:tcPr>
          <w:p w14:paraId="30E07245">
            <w:pPr>
              <w:spacing w:line="360" w:lineRule="auto"/>
              <w:jc w:val="center"/>
              <w:rPr>
                <w:rFonts w:ascii="宋体" w:hAnsi="宋体"/>
                <w:sz w:val="24"/>
              </w:rPr>
            </w:pPr>
          </w:p>
        </w:tc>
      </w:tr>
      <w:tr w14:paraId="7B252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691" w:type="dxa"/>
            <w:vAlign w:val="center"/>
          </w:tcPr>
          <w:p w14:paraId="7E70C9AA">
            <w:pPr>
              <w:tabs>
                <w:tab w:val="left" w:pos="3327"/>
              </w:tabs>
              <w:spacing w:line="360" w:lineRule="auto"/>
              <w:jc w:val="center"/>
              <w:rPr>
                <w:rFonts w:ascii="宋体" w:hAnsi="宋体"/>
                <w:sz w:val="24"/>
              </w:rPr>
            </w:pPr>
            <w:r>
              <w:rPr>
                <w:rFonts w:hint="eastAsia" w:ascii="宋体" w:hAnsi="宋体"/>
                <w:sz w:val="24"/>
              </w:rPr>
              <w:t>4</w:t>
            </w:r>
          </w:p>
        </w:tc>
        <w:tc>
          <w:tcPr>
            <w:tcW w:w="863" w:type="dxa"/>
            <w:vAlign w:val="center"/>
          </w:tcPr>
          <w:p w14:paraId="51D65FF6">
            <w:pPr>
              <w:tabs>
                <w:tab w:val="left" w:pos="3327"/>
              </w:tabs>
              <w:spacing w:line="360" w:lineRule="auto"/>
              <w:rPr>
                <w:rFonts w:ascii="宋体" w:hAnsi="宋体"/>
                <w:sz w:val="24"/>
              </w:rPr>
            </w:pPr>
          </w:p>
        </w:tc>
        <w:tc>
          <w:tcPr>
            <w:tcW w:w="1450" w:type="dxa"/>
            <w:vAlign w:val="center"/>
          </w:tcPr>
          <w:p w14:paraId="6FCFA6D1">
            <w:pPr>
              <w:tabs>
                <w:tab w:val="left" w:pos="3327"/>
              </w:tabs>
              <w:spacing w:line="360" w:lineRule="auto"/>
              <w:rPr>
                <w:rFonts w:ascii="宋体" w:hAnsi="宋体"/>
                <w:sz w:val="24"/>
              </w:rPr>
            </w:pPr>
          </w:p>
        </w:tc>
        <w:tc>
          <w:tcPr>
            <w:tcW w:w="950" w:type="dxa"/>
            <w:vAlign w:val="center"/>
          </w:tcPr>
          <w:p w14:paraId="026CFA9A">
            <w:pPr>
              <w:tabs>
                <w:tab w:val="left" w:pos="3327"/>
              </w:tabs>
              <w:spacing w:line="360" w:lineRule="auto"/>
              <w:rPr>
                <w:rFonts w:ascii="宋体" w:hAnsi="宋体"/>
                <w:sz w:val="24"/>
              </w:rPr>
            </w:pPr>
          </w:p>
        </w:tc>
        <w:tc>
          <w:tcPr>
            <w:tcW w:w="712" w:type="dxa"/>
            <w:vAlign w:val="center"/>
          </w:tcPr>
          <w:p w14:paraId="74546086">
            <w:pPr>
              <w:tabs>
                <w:tab w:val="left" w:pos="3327"/>
              </w:tabs>
              <w:spacing w:line="360" w:lineRule="auto"/>
              <w:rPr>
                <w:rFonts w:ascii="宋体" w:hAnsi="宋体"/>
                <w:sz w:val="24"/>
              </w:rPr>
            </w:pPr>
          </w:p>
        </w:tc>
        <w:tc>
          <w:tcPr>
            <w:tcW w:w="825" w:type="dxa"/>
            <w:vAlign w:val="center"/>
          </w:tcPr>
          <w:p w14:paraId="4B1D9F0C">
            <w:pPr>
              <w:tabs>
                <w:tab w:val="left" w:pos="3327"/>
              </w:tabs>
              <w:spacing w:line="360" w:lineRule="auto"/>
              <w:rPr>
                <w:rFonts w:ascii="宋体" w:hAnsi="宋体"/>
                <w:color w:val="00B0F0"/>
                <w:sz w:val="24"/>
              </w:rPr>
            </w:pPr>
          </w:p>
        </w:tc>
        <w:tc>
          <w:tcPr>
            <w:tcW w:w="1463" w:type="dxa"/>
            <w:vAlign w:val="center"/>
          </w:tcPr>
          <w:p w14:paraId="401CD288">
            <w:pPr>
              <w:tabs>
                <w:tab w:val="left" w:pos="3327"/>
              </w:tabs>
              <w:spacing w:line="360" w:lineRule="auto"/>
              <w:rPr>
                <w:rFonts w:ascii="宋体" w:hAnsi="宋体"/>
                <w:color w:val="FF0000"/>
                <w:sz w:val="24"/>
              </w:rPr>
            </w:pPr>
          </w:p>
        </w:tc>
        <w:tc>
          <w:tcPr>
            <w:tcW w:w="1612" w:type="dxa"/>
            <w:vAlign w:val="center"/>
          </w:tcPr>
          <w:p w14:paraId="76F3DF2D">
            <w:pPr>
              <w:tabs>
                <w:tab w:val="left" w:pos="3327"/>
              </w:tabs>
              <w:spacing w:line="360" w:lineRule="auto"/>
              <w:rPr>
                <w:rFonts w:ascii="宋体" w:hAnsi="宋体"/>
                <w:sz w:val="24"/>
              </w:rPr>
            </w:pPr>
          </w:p>
        </w:tc>
        <w:tc>
          <w:tcPr>
            <w:tcW w:w="950" w:type="dxa"/>
            <w:vAlign w:val="center"/>
          </w:tcPr>
          <w:p w14:paraId="067FF830">
            <w:pPr>
              <w:tabs>
                <w:tab w:val="left" w:pos="3327"/>
              </w:tabs>
              <w:spacing w:line="360" w:lineRule="auto"/>
              <w:rPr>
                <w:rFonts w:ascii="宋体" w:hAnsi="宋体"/>
                <w:sz w:val="24"/>
              </w:rPr>
            </w:pPr>
          </w:p>
        </w:tc>
        <w:tc>
          <w:tcPr>
            <w:tcW w:w="738" w:type="dxa"/>
            <w:vAlign w:val="center"/>
          </w:tcPr>
          <w:p w14:paraId="7021CB45">
            <w:pPr>
              <w:spacing w:line="360" w:lineRule="auto"/>
              <w:jc w:val="center"/>
              <w:rPr>
                <w:rFonts w:ascii="宋体" w:hAnsi="宋体"/>
                <w:sz w:val="24"/>
              </w:rPr>
            </w:pPr>
          </w:p>
        </w:tc>
      </w:tr>
      <w:tr w14:paraId="6775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691" w:type="dxa"/>
            <w:vAlign w:val="center"/>
          </w:tcPr>
          <w:p w14:paraId="71BCC944">
            <w:pPr>
              <w:tabs>
                <w:tab w:val="left" w:pos="3327"/>
              </w:tabs>
              <w:spacing w:line="360" w:lineRule="auto"/>
              <w:jc w:val="center"/>
              <w:rPr>
                <w:rFonts w:ascii="宋体" w:hAnsi="宋体"/>
                <w:sz w:val="24"/>
              </w:rPr>
            </w:pPr>
            <w:r>
              <w:rPr>
                <w:rFonts w:hint="eastAsia" w:ascii="宋体" w:hAnsi="宋体"/>
                <w:sz w:val="24"/>
              </w:rPr>
              <w:t>……</w:t>
            </w:r>
          </w:p>
        </w:tc>
        <w:tc>
          <w:tcPr>
            <w:tcW w:w="863" w:type="dxa"/>
            <w:vAlign w:val="center"/>
          </w:tcPr>
          <w:p w14:paraId="2AB78D33">
            <w:pPr>
              <w:tabs>
                <w:tab w:val="left" w:pos="3327"/>
              </w:tabs>
              <w:spacing w:line="360" w:lineRule="auto"/>
              <w:rPr>
                <w:rFonts w:ascii="宋体" w:hAnsi="宋体"/>
                <w:sz w:val="24"/>
              </w:rPr>
            </w:pPr>
          </w:p>
        </w:tc>
        <w:tc>
          <w:tcPr>
            <w:tcW w:w="1450" w:type="dxa"/>
            <w:vAlign w:val="center"/>
          </w:tcPr>
          <w:p w14:paraId="31CB1DB7">
            <w:pPr>
              <w:tabs>
                <w:tab w:val="left" w:pos="3327"/>
              </w:tabs>
              <w:spacing w:line="360" w:lineRule="auto"/>
              <w:rPr>
                <w:rFonts w:ascii="宋体" w:hAnsi="宋体"/>
                <w:sz w:val="24"/>
              </w:rPr>
            </w:pPr>
          </w:p>
        </w:tc>
        <w:tc>
          <w:tcPr>
            <w:tcW w:w="950" w:type="dxa"/>
            <w:vAlign w:val="center"/>
          </w:tcPr>
          <w:p w14:paraId="7D2E6AE9">
            <w:pPr>
              <w:tabs>
                <w:tab w:val="left" w:pos="3327"/>
              </w:tabs>
              <w:spacing w:line="360" w:lineRule="auto"/>
              <w:rPr>
                <w:rFonts w:ascii="宋体" w:hAnsi="宋体"/>
                <w:sz w:val="24"/>
              </w:rPr>
            </w:pPr>
          </w:p>
        </w:tc>
        <w:tc>
          <w:tcPr>
            <w:tcW w:w="712" w:type="dxa"/>
            <w:vAlign w:val="center"/>
          </w:tcPr>
          <w:p w14:paraId="628BD528">
            <w:pPr>
              <w:tabs>
                <w:tab w:val="left" w:pos="3327"/>
              </w:tabs>
              <w:spacing w:line="360" w:lineRule="auto"/>
              <w:rPr>
                <w:rFonts w:ascii="宋体" w:hAnsi="宋体"/>
                <w:sz w:val="24"/>
              </w:rPr>
            </w:pPr>
          </w:p>
        </w:tc>
        <w:tc>
          <w:tcPr>
            <w:tcW w:w="825" w:type="dxa"/>
            <w:vAlign w:val="center"/>
          </w:tcPr>
          <w:p w14:paraId="4976E221">
            <w:pPr>
              <w:tabs>
                <w:tab w:val="left" w:pos="3327"/>
              </w:tabs>
              <w:spacing w:line="360" w:lineRule="auto"/>
              <w:rPr>
                <w:rFonts w:ascii="宋体" w:hAnsi="宋体"/>
                <w:color w:val="00B0F0"/>
                <w:sz w:val="24"/>
              </w:rPr>
            </w:pPr>
          </w:p>
        </w:tc>
        <w:tc>
          <w:tcPr>
            <w:tcW w:w="1463" w:type="dxa"/>
            <w:vAlign w:val="center"/>
          </w:tcPr>
          <w:p w14:paraId="35088611">
            <w:pPr>
              <w:tabs>
                <w:tab w:val="left" w:pos="3327"/>
              </w:tabs>
              <w:spacing w:line="360" w:lineRule="auto"/>
              <w:rPr>
                <w:rFonts w:ascii="宋体" w:hAnsi="宋体"/>
                <w:color w:val="FF0000"/>
                <w:sz w:val="24"/>
              </w:rPr>
            </w:pPr>
          </w:p>
        </w:tc>
        <w:tc>
          <w:tcPr>
            <w:tcW w:w="1612" w:type="dxa"/>
            <w:vAlign w:val="center"/>
          </w:tcPr>
          <w:p w14:paraId="2B4DF83F">
            <w:pPr>
              <w:tabs>
                <w:tab w:val="left" w:pos="3327"/>
              </w:tabs>
              <w:spacing w:line="360" w:lineRule="auto"/>
              <w:rPr>
                <w:rFonts w:ascii="宋体" w:hAnsi="宋体"/>
                <w:sz w:val="24"/>
              </w:rPr>
            </w:pPr>
          </w:p>
        </w:tc>
        <w:tc>
          <w:tcPr>
            <w:tcW w:w="950" w:type="dxa"/>
            <w:vAlign w:val="center"/>
          </w:tcPr>
          <w:p w14:paraId="466FBCA5">
            <w:pPr>
              <w:tabs>
                <w:tab w:val="left" w:pos="3327"/>
              </w:tabs>
              <w:spacing w:line="360" w:lineRule="auto"/>
              <w:rPr>
                <w:rFonts w:ascii="宋体" w:hAnsi="宋体"/>
                <w:sz w:val="24"/>
              </w:rPr>
            </w:pPr>
          </w:p>
        </w:tc>
        <w:tc>
          <w:tcPr>
            <w:tcW w:w="738" w:type="dxa"/>
            <w:vAlign w:val="center"/>
          </w:tcPr>
          <w:p w14:paraId="5EA6252B">
            <w:pPr>
              <w:spacing w:line="360" w:lineRule="auto"/>
              <w:jc w:val="center"/>
              <w:rPr>
                <w:rFonts w:ascii="宋体" w:hAnsi="宋体"/>
                <w:sz w:val="24"/>
              </w:rPr>
            </w:pPr>
          </w:p>
        </w:tc>
      </w:tr>
    </w:tbl>
    <w:p w14:paraId="156A544A">
      <w:pPr>
        <w:autoSpaceDE w:val="0"/>
        <w:autoSpaceDN w:val="0"/>
        <w:spacing w:line="360" w:lineRule="auto"/>
        <w:rPr>
          <w:rFonts w:ascii="宋体" w:hAnsi="宋体" w:cs="Arial"/>
          <w:b/>
          <w:bCs/>
          <w:sz w:val="24"/>
          <w:lang w:val="zh-CN"/>
        </w:rPr>
      </w:pPr>
      <w:r>
        <w:rPr>
          <w:rFonts w:ascii="宋体" w:hAnsi="宋体" w:cs="Arial"/>
          <w:b/>
          <w:bCs/>
          <w:sz w:val="24"/>
          <w:lang w:val="zh-CN"/>
        </w:rPr>
        <w:t>注：1</w:t>
      </w:r>
      <w:r>
        <w:rPr>
          <w:rFonts w:hint="eastAsia" w:ascii="宋体" w:hAnsi="宋体" w:cs="Arial"/>
          <w:b/>
          <w:bCs/>
          <w:sz w:val="24"/>
          <w:lang w:val="zh-CN"/>
        </w:rPr>
        <w:t>、</w:t>
      </w:r>
      <w:r>
        <w:rPr>
          <w:rFonts w:ascii="宋体" w:hAnsi="宋体" w:cs="Arial"/>
          <w:b/>
          <w:bCs/>
          <w:sz w:val="24"/>
          <w:lang w:val="zh-CN"/>
        </w:rPr>
        <w:t>本表应按照</w:t>
      </w:r>
      <w:r>
        <w:rPr>
          <w:rFonts w:hint="eastAsia" w:ascii="宋体" w:hAnsi="宋体" w:cs="Arial"/>
          <w:b/>
          <w:bCs/>
          <w:sz w:val="24"/>
          <w:lang w:val="zh-CN"/>
        </w:rPr>
        <w:t>采购项目参数及要求</w:t>
      </w:r>
      <w:r>
        <w:rPr>
          <w:rFonts w:ascii="宋体" w:hAnsi="宋体" w:cs="Arial"/>
          <w:b/>
          <w:bCs/>
          <w:sz w:val="24"/>
          <w:lang w:val="zh-CN"/>
        </w:rPr>
        <w:t>中产品序号的指标逐项填写，不得遗漏。</w:t>
      </w:r>
    </w:p>
    <w:p w14:paraId="66A2F975">
      <w:pPr>
        <w:autoSpaceDE w:val="0"/>
        <w:autoSpaceDN w:val="0"/>
        <w:spacing w:line="360" w:lineRule="auto"/>
        <w:ind w:firstLine="482" w:firstLineChars="200"/>
        <w:rPr>
          <w:rFonts w:ascii="宋体" w:hAnsi="宋体" w:cs="Arial"/>
          <w:b/>
          <w:bCs/>
          <w:sz w:val="24"/>
          <w:lang w:val="zh-CN"/>
        </w:rPr>
      </w:pPr>
      <w:r>
        <w:rPr>
          <w:rFonts w:ascii="宋体" w:hAnsi="宋体" w:cs="Arial"/>
          <w:b/>
          <w:bCs/>
          <w:sz w:val="24"/>
          <w:lang w:val="zh-CN"/>
        </w:rPr>
        <w:t>2</w:t>
      </w:r>
      <w:r>
        <w:rPr>
          <w:rFonts w:hint="eastAsia" w:ascii="宋体" w:hAnsi="宋体" w:cs="Arial"/>
          <w:b/>
          <w:bCs/>
          <w:sz w:val="24"/>
          <w:lang w:val="zh-CN"/>
        </w:rPr>
        <w:t>、“投标产品技术参数、指标”必须与投标文件中提供的产品检测报告、彩页等证明材料的实质性响应情况相一致。若在评标环节发现该项与投标文件中提供的产品检测报告（或厂家公开发布的资料参数）等证明材料的实质性响应情况不一致或直接复制招标文件“采购需求技术参数、指标”内容的，按无效投标处理。</w:t>
      </w:r>
    </w:p>
    <w:p w14:paraId="2BFF32B9">
      <w:pPr>
        <w:autoSpaceDE w:val="0"/>
        <w:autoSpaceDN w:val="0"/>
        <w:spacing w:line="360" w:lineRule="auto"/>
        <w:ind w:firstLine="482" w:firstLineChars="200"/>
        <w:rPr>
          <w:rFonts w:ascii="宋体" w:hAnsi="宋体" w:cs="Arial"/>
          <w:b/>
          <w:bCs/>
          <w:sz w:val="24"/>
          <w:lang w:val="zh-CN"/>
        </w:rPr>
      </w:pPr>
      <w:r>
        <w:rPr>
          <w:rFonts w:ascii="宋体" w:hAnsi="宋体" w:cs="Arial"/>
          <w:b/>
          <w:bCs/>
          <w:sz w:val="24"/>
          <w:lang w:val="zh-CN"/>
        </w:rPr>
        <w:t>3</w:t>
      </w:r>
      <w:r>
        <w:rPr>
          <w:rFonts w:hint="eastAsia" w:ascii="宋体" w:hAnsi="宋体" w:cs="Arial"/>
          <w:b/>
          <w:bCs/>
          <w:sz w:val="24"/>
          <w:lang w:val="zh-CN"/>
        </w:rPr>
        <w:t>、投标供应商响应采购需求应具体、明确，应以招标项目参数要求为基本投标要求，对超出或不满足招标项目参数要求的指标需列出“</w:t>
      </w:r>
      <w:r>
        <w:rPr>
          <w:rFonts w:ascii="宋体" w:hAnsi="宋体" w:cs="Arial"/>
          <w:b/>
          <w:bCs/>
          <w:sz w:val="24"/>
          <w:lang w:val="zh-CN"/>
        </w:rPr>
        <w:t>+</w:t>
      </w:r>
      <w:r>
        <w:rPr>
          <w:rFonts w:hint="eastAsia" w:ascii="宋体" w:hAnsi="宋体" w:cs="Arial"/>
          <w:b/>
          <w:bCs/>
          <w:sz w:val="24"/>
          <w:lang w:val="zh-CN"/>
        </w:rPr>
        <w:t>、</w:t>
      </w:r>
      <w:r>
        <w:rPr>
          <w:rFonts w:ascii="宋体" w:hAnsi="宋体" w:cs="Arial"/>
          <w:b/>
          <w:bCs/>
          <w:sz w:val="24"/>
          <w:lang w:val="zh-CN"/>
        </w:rPr>
        <w:t>-</w:t>
      </w:r>
      <w:r>
        <w:rPr>
          <w:rFonts w:hint="eastAsia" w:ascii="宋体" w:hAnsi="宋体" w:cs="Arial"/>
          <w:b/>
          <w:bCs/>
          <w:sz w:val="24"/>
          <w:lang w:val="zh-CN"/>
        </w:rPr>
        <w:t>”偏差，并做出详细说明；如果只注明“</w:t>
      </w:r>
      <w:r>
        <w:rPr>
          <w:rFonts w:ascii="宋体" w:hAnsi="宋体" w:cs="Arial"/>
          <w:b/>
          <w:bCs/>
          <w:sz w:val="24"/>
          <w:lang w:val="zh-CN"/>
        </w:rPr>
        <w:t>+</w:t>
      </w:r>
      <w:r>
        <w:rPr>
          <w:rFonts w:hint="eastAsia" w:ascii="宋体" w:hAnsi="宋体" w:cs="Arial"/>
          <w:b/>
          <w:bCs/>
          <w:sz w:val="24"/>
          <w:lang w:val="zh-CN"/>
        </w:rPr>
        <w:t>”、“</w:t>
      </w:r>
      <w:r>
        <w:rPr>
          <w:rFonts w:ascii="宋体" w:hAnsi="宋体" w:cs="Arial"/>
          <w:b/>
          <w:bCs/>
          <w:sz w:val="24"/>
          <w:lang w:val="zh-CN"/>
        </w:rPr>
        <w:t>-</w:t>
      </w:r>
      <w:r>
        <w:rPr>
          <w:rFonts w:hint="eastAsia" w:ascii="宋体" w:hAnsi="宋体" w:cs="Arial"/>
          <w:b/>
          <w:bCs/>
          <w:sz w:val="24"/>
          <w:lang w:val="zh-CN"/>
        </w:rPr>
        <w:t>”或未填写，将视为该项指标不响应。</w:t>
      </w:r>
    </w:p>
    <w:p w14:paraId="11E274F6">
      <w:pPr>
        <w:autoSpaceDE w:val="0"/>
        <w:autoSpaceDN w:val="0"/>
        <w:spacing w:line="360" w:lineRule="auto"/>
        <w:ind w:firstLine="482" w:firstLineChars="200"/>
        <w:rPr>
          <w:rFonts w:ascii="宋体" w:hAnsi="宋体" w:cs="Arial"/>
          <w:b/>
          <w:bCs/>
          <w:sz w:val="24"/>
          <w:lang w:val="zh-CN"/>
        </w:rPr>
      </w:pPr>
      <w:r>
        <w:rPr>
          <w:rFonts w:ascii="宋体" w:hAnsi="宋体" w:cs="Arial"/>
          <w:b/>
          <w:bCs/>
          <w:sz w:val="24"/>
          <w:lang w:val="zh-CN"/>
        </w:rPr>
        <w:t>4</w:t>
      </w:r>
      <w:r>
        <w:rPr>
          <w:rFonts w:hint="eastAsia" w:ascii="宋体" w:hAnsi="宋体" w:cs="Arial"/>
          <w:b/>
          <w:bCs/>
          <w:sz w:val="24"/>
          <w:lang w:val="zh-CN"/>
        </w:rPr>
        <w:t>、投标供应商应按投标产品实际情况填写，不得照抄、复制招标文件技术参数要求。</w:t>
      </w:r>
    </w:p>
    <w:p w14:paraId="1ADC29E8">
      <w:pPr>
        <w:autoSpaceDE w:val="0"/>
        <w:autoSpaceDN w:val="0"/>
        <w:spacing w:line="360" w:lineRule="auto"/>
        <w:ind w:firstLine="482" w:firstLineChars="200"/>
        <w:rPr>
          <w:rFonts w:ascii="宋体" w:hAnsi="宋体" w:cs="Arial"/>
          <w:b/>
          <w:bCs/>
          <w:sz w:val="24"/>
          <w:lang w:val="zh-CN"/>
        </w:rPr>
      </w:pPr>
      <w:r>
        <w:rPr>
          <w:rFonts w:ascii="宋体" w:hAnsi="宋体" w:cs="Arial"/>
          <w:b/>
          <w:bCs/>
          <w:sz w:val="24"/>
          <w:lang w:val="zh-CN"/>
        </w:rPr>
        <w:t>5</w:t>
      </w:r>
      <w:r>
        <w:rPr>
          <w:rFonts w:hint="eastAsia" w:ascii="宋体" w:hAnsi="宋体" w:cs="Arial"/>
          <w:b/>
          <w:bCs/>
          <w:sz w:val="24"/>
          <w:lang w:val="zh-CN"/>
        </w:rPr>
        <w:t>、投标供应商响应采购需求应具体、明确，含糊不清、不确切或伪造、编造证明材料的，按照实质性不响应处理。对伪造、编造证明材料的，将报送采购监管部门查处。</w:t>
      </w:r>
    </w:p>
    <w:p w14:paraId="206405CE">
      <w:pPr>
        <w:autoSpaceDE w:val="0"/>
        <w:autoSpaceDN w:val="0"/>
        <w:adjustRightInd w:val="0"/>
        <w:spacing w:line="360" w:lineRule="auto"/>
        <w:rPr>
          <w:rFonts w:ascii="宋体" w:hAnsi="宋体" w:cs="宋体"/>
          <w:b/>
          <w:bCs/>
          <w:kern w:val="0"/>
          <w:sz w:val="24"/>
          <w:lang w:val="zh-CN"/>
        </w:rPr>
      </w:pPr>
    </w:p>
    <w:p w14:paraId="172DF4E4">
      <w:pPr>
        <w:tabs>
          <w:tab w:val="left" w:pos="168"/>
        </w:tabs>
        <w:adjustRightInd w:val="0"/>
        <w:spacing w:line="360" w:lineRule="auto"/>
        <w:textAlignment w:val="baseline"/>
        <w:rPr>
          <w:rFonts w:ascii="宋体" w:hAnsi="宋体"/>
          <w:bCs/>
          <w:sz w:val="24"/>
        </w:rPr>
      </w:pPr>
    </w:p>
    <w:p w14:paraId="49E43944">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投标供应商：             （公章）</w:t>
      </w:r>
    </w:p>
    <w:p w14:paraId="2D1C6E8E">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法定代表人或委托代理人：       （签字）</w:t>
      </w:r>
    </w:p>
    <w:p w14:paraId="4537FE72">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日期：    年   月   日</w:t>
      </w:r>
    </w:p>
    <w:p w14:paraId="17CF6717">
      <w:pPr>
        <w:pStyle w:val="5"/>
        <w:numPr>
          <w:ilvl w:val="0"/>
          <w:numId w:val="0"/>
        </w:numPr>
        <w:rPr>
          <w:rFonts w:hAnsi="宋体" w:cs="宋体"/>
          <w:bCs/>
          <w:sz w:val="24"/>
          <w:szCs w:val="24"/>
        </w:rPr>
      </w:pPr>
      <w:r>
        <w:rPr>
          <w:rFonts w:hAnsi="宋体"/>
          <w:bCs/>
          <w:sz w:val="24"/>
          <w:szCs w:val="24"/>
        </w:rPr>
        <w:br w:type="page"/>
      </w:r>
      <w:bookmarkStart w:id="120" w:name="_Toc1572"/>
      <w:r>
        <w:rPr>
          <w:rFonts w:hint="eastAsia" w:hAnsi="宋体"/>
          <w:b/>
          <w:sz w:val="24"/>
          <w:szCs w:val="24"/>
          <w:lang w:val="zh-CN"/>
        </w:rPr>
        <w:t>格式14、磋商产品相关资料</w:t>
      </w:r>
      <w:bookmarkEnd w:id="120"/>
    </w:p>
    <w:p w14:paraId="6718D78E">
      <w:pPr>
        <w:spacing w:line="360" w:lineRule="auto"/>
        <w:rPr>
          <w:rFonts w:ascii="宋体" w:hAnsi="宋体"/>
          <w:b/>
          <w:bCs/>
          <w:kern w:val="28"/>
          <w:sz w:val="24"/>
          <w:lang w:val="zh-CN"/>
        </w:rPr>
      </w:pPr>
    </w:p>
    <w:p w14:paraId="3EB92644">
      <w:pPr>
        <w:autoSpaceDE w:val="0"/>
        <w:autoSpaceDN w:val="0"/>
        <w:adjustRightInd w:val="0"/>
        <w:spacing w:line="360" w:lineRule="auto"/>
        <w:jc w:val="center"/>
        <w:rPr>
          <w:rFonts w:ascii="宋体" w:hAnsi="宋体" w:cs="Arial"/>
          <w:bCs/>
          <w:sz w:val="24"/>
          <w:lang w:val="zh-CN"/>
        </w:rPr>
      </w:pPr>
      <w:r>
        <w:rPr>
          <w:rFonts w:hint="eastAsia" w:ascii="宋体" w:hAnsi="宋体" w:cs="宋体"/>
          <w:b/>
          <w:bCs/>
          <w:kern w:val="0"/>
          <w:sz w:val="24"/>
          <w:lang w:val="zh-CN"/>
        </w:rPr>
        <w:t>磋商</w:t>
      </w:r>
      <w:r>
        <w:rPr>
          <w:rFonts w:ascii="宋体" w:hAnsi="宋体" w:cs="宋体"/>
          <w:b/>
          <w:bCs/>
          <w:kern w:val="0"/>
          <w:sz w:val="24"/>
          <w:lang w:val="zh-CN"/>
        </w:rPr>
        <w:t>产品相关资料</w:t>
      </w:r>
    </w:p>
    <w:p w14:paraId="11038914">
      <w:pPr>
        <w:spacing w:line="360" w:lineRule="auto"/>
        <w:ind w:firstLine="424" w:firstLineChars="177"/>
        <w:rPr>
          <w:rFonts w:ascii="宋体" w:hAnsi="宋体"/>
          <w:b/>
          <w:sz w:val="24"/>
          <w:lang w:val="zh-CN"/>
        </w:rPr>
      </w:pPr>
      <w:r>
        <w:rPr>
          <w:rFonts w:hint="eastAsia" w:ascii="宋体" w:hAnsi="宋体" w:cs="Arial"/>
          <w:sz w:val="24"/>
        </w:rPr>
        <w:t>根据采购项目内容，磋商时提供国家认可的质监机构出具的磋商产品的产品材料的检验报告（或彩页）或证明技术参数响应的相关资料（或厂家公开发布的资料参数）或相关认证等资料。</w:t>
      </w:r>
      <w:bookmarkEnd w:id="117"/>
      <w:bookmarkEnd w:id="118"/>
      <w:bookmarkEnd w:id="119"/>
    </w:p>
    <w:p w14:paraId="1AD72BDA">
      <w:pPr>
        <w:pStyle w:val="5"/>
        <w:numPr>
          <w:ilvl w:val="0"/>
          <w:numId w:val="0"/>
        </w:numPr>
        <w:ind w:left="709" w:hanging="709"/>
        <w:rPr>
          <w:rFonts w:hAnsi="宋体" w:cs="宋体"/>
          <w:sz w:val="24"/>
          <w:szCs w:val="24"/>
        </w:rPr>
      </w:pPr>
      <w:r>
        <w:rPr>
          <w:rFonts w:hAnsi="宋体"/>
          <w:bCs/>
          <w:sz w:val="24"/>
          <w:szCs w:val="24"/>
        </w:rPr>
        <w:br w:type="page"/>
      </w:r>
      <w:bookmarkStart w:id="121" w:name="_Toc11620"/>
      <w:r>
        <w:rPr>
          <w:rFonts w:hint="eastAsia" w:hAnsi="宋体"/>
          <w:b/>
          <w:sz w:val="24"/>
          <w:szCs w:val="24"/>
          <w:lang w:val="zh-CN"/>
        </w:rPr>
        <w:t>格式15、磋商供应商的类似业绩证明材料</w:t>
      </w:r>
      <w:bookmarkEnd w:id="121"/>
    </w:p>
    <w:p w14:paraId="0F1D065B">
      <w:pPr>
        <w:autoSpaceDE w:val="0"/>
        <w:autoSpaceDN w:val="0"/>
        <w:adjustRightInd w:val="0"/>
        <w:spacing w:line="360" w:lineRule="auto"/>
        <w:rPr>
          <w:rFonts w:ascii="宋体" w:hAnsi="宋体" w:cs="宋体"/>
          <w:kern w:val="0"/>
          <w:sz w:val="24"/>
          <w:lang w:val="zh-CN"/>
        </w:rPr>
      </w:pPr>
    </w:p>
    <w:p w14:paraId="6A122024">
      <w:pPr>
        <w:autoSpaceDE w:val="0"/>
        <w:autoSpaceDN w:val="0"/>
        <w:adjustRightInd w:val="0"/>
        <w:spacing w:line="360" w:lineRule="auto"/>
        <w:jc w:val="center"/>
        <w:rPr>
          <w:rFonts w:ascii="宋体" w:hAnsi="宋体" w:cs="宋体"/>
          <w:b/>
          <w:bCs/>
          <w:kern w:val="0"/>
          <w:sz w:val="24"/>
          <w:lang w:val="zh-CN"/>
        </w:rPr>
      </w:pPr>
      <w:r>
        <w:rPr>
          <w:rFonts w:hint="eastAsia" w:ascii="宋体" w:hAnsi="宋体" w:cs="宋体"/>
          <w:b/>
          <w:bCs/>
          <w:kern w:val="0"/>
          <w:sz w:val="24"/>
          <w:lang w:val="zh-CN"/>
        </w:rPr>
        <w:t>磋商供应商的类似业绩证明材料</w:t>
      </w:r>
    </w:p>
    <w:p w14:paraId="15A8AE17">
      <w:pPr>
        <w:autoSpaceDE w:val="0"/>
        <w:autoSpaceDN w:val="0"/>
        <w:adjustRightInd w:val="0"/>
        <w:spacing w:line="360" w:lineRule="auto"/>
        <w:rPr>
          <w:rFonts w:ascii="宋体" w:hAnsi="宋体" w:cs="宋体"/>
          <w:kern w:val="0"/>
          <w:sz w:val="24"/>
          <w:lang w:val="zh-CN"/>
        </w:rPr>
      </w:pPr>
    </w:p>
    <w:p w14:paraId="5B3645C8">
      <w:pPr>
        <w:autoSpaceDE w:val="0"/>
        <w:autoSpaceDN w:val="0"/>
        <w:adjustRightInd w:val="0"/>
        <w:spacing w:line="360" w:lineRule="auto"/>
        <w:ind w:firstLine="840" w:firstLineChars="350"/>
        <w:rPr>
          <w:rFonts w:ascii="宋体" w:hAnsi="宋体" w:cs="宋体"/>
          <w:kern w:val="0"/>
          <w:sz w:val="24"/>
          <w:lang w:val="zh-CN"/>
        </w:rPr>
      </w:pPr>
      <w:r>
        <w:rPr>
          <w:rFonts w:hint="eastAsia" w:ascii="宋体" w:hAnsi="宋体" w:cs="宋体"/>
          <w:kern w:val="0"/>
          <w:sz w:val="24"/>
          <w:lang w:val="zh-CN"/>
        </w:rPr>
        <w:t>根据评分表要求提供相应的业绩证明材料</w:t>
      </w:r>
      <w:r>
        <w:rPr>
          <w:rFonts w:ascii="宋体" w:hAnsi="宋体" w:cs="宋体"/>
          <w:kern w:val="0"/>
          <w:sz w:val="24"/>
          <w:lang w:val="zh-CN"/>
        </w:rPr>
        <w:t>。</w:t>
      </w:r>
    </w:p>
    <w:p w14:paraId="76AC951B">
      <w:pPr>
        <w:pStyle w:val="5"/>
        <w:numPr>
          <w:ilvl w:val="0"/>
          <w:numId w:val="0"/>
        </w:numPr>
        <w:ind w:left="709" w:hanging="709"/>
        <w:rPr>
          <w:rFonts w:hAnsi="宋体"/>
          <w:b/>
          <w:sz w:val="24"/>
          <w:szCs w:val="24"/>
          <w:lang w:val="zh-CN"/>
        </w:rPr>
      </w:pPr>
      <w:r>
        <w:rPr>
          <w:rFonts w:hAnsi="宋体"/>
          <w:bCs/>
          <w:sz w:val="24"/>
          <w:szCs w:val="24"/>
        </w:rPr>
        <w:br w:type="page"/>
      </w:r>
      <w:bookmarkStart w:id="122" w:name="_Toc8585"/>
      <w:r>
        <w:rPr>
          <w:rFonts w:hint="eastAsia" w:hAnsi="宋体"/>
          <w:b/>
          <w:sz w:val="24"/>
          <w:szCs w:val="24"/>
          <w:lang w:val="zh-CN"/>
        </w:rPr>
        <w:t>格式16、享受政府采购政策优惠的证明资料</w:t>
      </w:r>
      <w:bookmarkEnd w:id="122"/>
    </w:p>
    <w:p w14:paraId="37FD98CC">
      <w:pPr>
        <w:spacing w:line="360" w:lineRule="auto"/>
        <w:rPr>
          <w:rFonts w:ascii="宋体" w:hAnsi="宋体"/>
          <w:sz w:val="24"/>
          <w:lang w:val="zh-CN"/>
        </w:rPr>
      </w:pPr>
    </w:p>
    <w:p w14:paraId="28895044">
      <w:pPr>
        <w:autoSpaceDE w:val="0"/>
        <w:autoSpaceDN w:val="0"/>
        <w:spacing w:line="360" w:lineRule="auto"/>
        <w:jc w:val="center"/>
        <w:rPr>
          <w:b/>
          <w:bCs/>
          <w:kern w:val="0"/>
          <w:sz w:val="28"/>
          <w:szCs w:val="28"/>
        </w:rPr>
      </w:pPr>
      <w:bookmarkStart w:id="123" w:name="_Toc25276"/>
    </w:p>
    <w:p w14:paraId="3B22E9A5">
      <w:pPr>
        <w:autoSpaceDE w:val="0"/>
        <w:autoSpaceDN w:val="0"/>
        <w:spacing w:line="360" w:lineRule="auto"/>
        <w:jc w:val="center"/>
        <w:rPr>
          <w:b/>
          <w:bCs/>
          <w:kern w:val="0"/>
          <w:sz w:val="28"/>
          <w:szCs w:val="28"/>
        </w:rPr>
      </w:pPr>
      <w:r>
        <w:rPr>
          <w:rFonts w:hint="eastAsia"/>
          <w:b/>
          <w:bCs/>
          <w:kern w:val="0"/>
          <w:sz w:val="28"/>
          <w:szCs w:val="28"/>
        </w:rPr>
        <w:t>节能产品、环境标志产品证明材料</w:t>
      </w:r>
      <w:bookmarkEnd w:id="123"/>
    </w:p>
    <w:p w14:paraId="500C5468">
      <w:pPr>
        <w:autoSpaceDE w:val="0"/>
        <w:autoSpaceDN w:val="0"/>
        <w:spacing w:line="360" w:lineRule="auto"/>
        <w:jc w:val="center"/>
        <w:rPr>
          <w:b/>
          <w:bCs/>
          <w:kern w:val="0"/>
          <w:sz w:val="28"/>
          <w:szCs w:val="28"/>
        </w:rPr>
      </w:pPr>
    </w:p>
    <w:p w14:paraId="29354119">
      <w:pPr>
        <w:autoSpaceDE w:val="0"/>
        <w:autoSpaceDN w:val="0"/>
        <w:spacing w:line="360" w:lineRule="auto"/>
        <w:ind w:firstLine="480" w:firstLineChars="200"/>
        <w:rPr>
          <w:rFonts w:ascii="宋体" w:hAnsi="宋体" w:cs="宋体"/>
          <w:kern w:val="0"/>
          <w:sz w:val="24"/>
          <w:lang w:val="zh-CN"/>
        </w:rPr>
      </w:pPr>
      <w:r>
        <w:rPr>
          <w:rFonts w:hint="eastAsia" w:ascii="宋体" w:hAnsi="宋体" w:cs="仿宋"/>
          <w:kern w:val="0"/>
          <w:sz w:val="24"/>
        </w:rPr>
        <w:t>产品属于品目清单范围的，实施政府优先采购和强制采购。供应商应提供国家确定的认证机构出具的、处于有效期之内的节能产品、环境标志产品认证证书，并加盖供应商单位公章。</w:t>
      </w:r>
    </w:p>
    <w:p w14:paraId="2A385F4F">
      <w:pPr>
        <w:autoSpaceDE w:val="0"/>
        <w:autoSpaceDN w:val="0"/>
        <w:spacing w:line="360" w:lineRule="auto"/>
        <w:rPr>
          <w:rFonts w:ascii="宋体" w:hAnsi="宋体" w:cs="宋体"/>
          <w:kern w:val="0"/>
          <w:sz w:val="24"/>
          <w:lang w:val="zh-CN"/>
        </w:rPr>
      </w:pPr>
    </w:p>
    <w:p w14:paraId="4C331282">
      <w:pPr>
        <w:autoSpaceDE w:val="0"/>
        <w:autoSpaceDN w:val="0"/>
        <w:spacing w:line="360" w:lineRule="auto"/>
        <w:rPr>
          <w:rFonts w:ascii="宋体" w:hAnsi="宋体" w:cs="宋体"/>
          <w:kern w:val="0"/>
          <w:sz w:val="24"/>
          <w:lang w:val="zh-CN"/>
        </w:rPr>
      </w:pPr>
    </w:p>
    <w:p w14:paraId="404DF3FC">
      <w:pPr>
        <w:autoSpaceDE w:val="0"/>
        <w:autoSpaceDN w:val="0"/>
        <w:spacing w:line="360" w:lineRule="auto"/>
        <w:rPr>
          <w:rFonts w:ascii="宋体" w:hAnsi="宋体" w:cs="宋体"/>
          <w:kern w:val="0"/>
          <w:sz w:val="24"/>
          <w:lang w:val="zh-CN"/>
        </w:rPr>
      </w:pPr>
    </w:p>
    <w:p w14:paraId="0E14ED0B">
      <w:pPr>
        <w:autoSpaceDE w:val="0"/>
        <w:autoSpaceDN w:val="0"/>
        <w:spacing w:line="360" w:lineRule="auto"/>
        <w:rPr>
          <w:rFonts w:ascii="宋体" w:hAnsi="宋体" w:cs="宋体"/>
          <w:kern w:val="0"/>
          <w:sz w:val="24"/>
          <w:lang w:val="zh-CN"/>
        </w:rPr>
      </w:pPr>
    </w:p>
    <w:p w14:paraId="238492E9">
      <w:pPr>
        <w:autoSpaceDE w:val="0"/>
        <w:autoSpaceDN w:val="0"/>
        <w:spacing w:line="360" w:lineRule="auto"/>
        <w:rPr>
          <w:rFonts w:ascii="宋体" w:hAnsi="宋体" w:cs="宋体"/>
          <w:kern w:val="0"/>
          <w:sz w:val="24"/>
          <w:lang w:val="zh-CN"/>
        </w:rPr>
      </w:pPr>
    </w:p>
    <w:p w14:paraId="53F43A63">
      <w:pPr>
        <w:autoSpaceDE w:val="0"/>
        <w:autoSpaceDN w:val="0"/>
        <w:spacing w:line="360" w:lineRule="auto"/>
        <w:rPr>
          <w:rFonts w:ascii="宋体" w:hAnsi="宋体" w:cs="宋体"/>
          <w:kern w:val="0"/>
          <w:sz w:val="24"/>
          <w:lang w:val="zh-CN"/>
        </w:rPr>
      </w:pPr>
    </w:p>
    <w:p w14:paraId="2C632D7C">
      <w:pPr>
        <w:autoSpaceDE w:val="0"/>
        <w:autoSpaceDN w:val="0"/>
        <w:spacing w:line="360" w:lineRule="auto"/>
        <w:rPr>
          <w:rFonts w:ascii="宋体" w:hAnsi="宋体" w:cs="宋体"/>
          <w:kern w:val="0"/>
          <w:sz w:val="24"/>
          <w:lang w:val="zh-CN"/>
        </w:rPr>
      </w:pPr>
    </w:p>
    <w:p w14:paraId="44616D55">
      <w:pPr>
        <w:autoSpaceDE w:val="0"/>
        <w:autoSpaceDN w:val="0"/>
        <w:spacing w:line="360" w:lineRule="auto"/>
        <w:rPr>
          <w:rFonts w:ascii="宋体" w:hAnsi="宋体" w:cs="宋体"/>
          <w:kern w:val="0"/>
          <w:sz w:val="24"/>
          <w:lang w:val="zh-CN"/>
        </w:rPr>
      </w:pPr>
    </w:p>
    <w:p w14:paraId="50BC7647">
      <w:pPr>
        <w:autoSpaceDE w:val="0"/>
        <w:autoSpaceDN w:val="0"/>
        <w:spacing w:line="360" w:lineRule="auto"/>
        <w:rPr>
          <w:rFonts w:ascii="宋体" w:hAnsi="宋体" w:cs="宋体"/>
          <w:kern w:val="0"/>
          <w:sz w:val="24"/>
          <w:lang w:val="zh-CN"/>
        </w:rPr>
      </w:pPr>
    </w:p>
    <w:p w14:paraId="59D6A03E">
      <w:pPr>
        <w:autoSpaceDE w:val="0"/>
        <w:autoSpaceDN w:val="0"/>
        <w:spacing w:line="360" w:lineRule="auto"/>
        <w:rPr>
          <w:rFonts w:ascii="宋体" w:hAnsi="宋体" w:cs="宋体"/>
          <w:kern w:val="0"/>
          <w:sz w:val="24"/>
          <w:lang w:val="zh-CN"/>
        </w:rPr>
      </w:pPr>
    </w:p>
    <w:p w14:paraId="327E82C5">
      <w:pPr>
        <w:autoSpaceDE w:val="0"/>
        <w:autoSpaceDN w:val="0"/>
        <w:spacing w:line="360" w:lineRule="auto"/>
        <w:rPr>
          <w:rFonts w:ascii="宋体" w:hAnsi="宋体" w:cs="宋体"/>
          <w:kern w:val="0"/>
          <w:sz w:val="24"/>
          <w:lang w:val="zh-CN"/>
        </w:rPr>
      </w:pPr>
    </w:p>
    <w:p w14:paraId="1F30123B">
      <w:pPr>
        <w:autoSpaceDE w:val="0"/>
        <w:autoSpaceDN w:val="0"/>
        <w:spacing w:line="360" w:lineRule="auto"/>
        <w:rPr>
          <w:rFonts w:ascii="宋体" w:hAnsi="宋体" w:cs="宋体"/>
          <w:kern w:val="0"/>
          <w:sz w:val="24"/>
          <w:lang w:val="zh-CN"/>
        </w:rPr>
      </w:pPr>
    </w:p>
    <w:p w14:paraId="33E18BB9">
      <w:pPr>
        <w:autoSpaceDE w:val="0"/>
        <w:autoSpaceDN w:val="0"/>
        <w:spacing w:line="360" w:lineRule="auto"/>
        <w:jc w:val="right"/>
        <w:rPr>
          <w:rFonts w:ascii="宋体" w:hAnsi="宋体"/>
          <w:bCs/>
          <w:sz w:val="24"/>
        </w:rPr>
      </w:pPr>
    </w:p>
    <w:p w14:paraId="6C0B31BF">
      <w:pPr>
        <w:autoSpaceDE w:val="0"/>
        <w:autoSpaceDN w:val="0"/>
        <w:spacing w:line="360" w:lineRule="auto"/>
        <w:jc w:val="right"/>
        <w:rPr>
          <w:rFonts w:ascii="宋体" w:hAnsi="宋体"/>
          <w:bCs/>
          <w:sz w:val="24"/>
        </w:rPr>
      </w:pPr>
    </w:p>
    <w:p w14:paraId="5B229CC0">
      <w:pPr>
        <w:autoSpaceDE w:val="0"/>
        <w:autoSpaceDN w:val="0"/>
        <w:spacing w:line="360" w:lineRule="auto"/>
        <w:jc w:val="right"/>
        <w:rPr>
          <w:rFonts w:ascii="宋体" w:hAnsi="宋体" w:cs="宋体"/>
          <w:b/>
          <w:bCs/>
          <w:kern w:val="0"/>
          <w:sz w:val="24"/>
          <w:lang w:val="zh-CN"/>
        </w:rPr>
      </w:pPr>
    </w:p>
    <w:p w14:paraId="340620A5">
      <w:pPr>
        <w:autoSpaceDE w:val="0"/>
        <w:autoSpaceDN w:val="0"/>
        <w:spacing w:line="360" w:lineRule="auto"/>
        <w:jc w:val="center"/>
        <w:rPr>
          <w:b/>
          <w:bCs/>
          <w:kern w:val="0"/>
          <w:sz w:val="36"/>
          <w:szCs w:val="36"/>
          <w:lang w:val="zh-CN"/>
        </w:rPr>
      </w:pPr>
      <w:r>
        <w:rPr>
          <w:rFonts w:hAnsi="宋体"/>
          <w:sz w:val="24"/>
          <w:lang w:val="zh-CN"/>
        </w:rPr>
        <w:br w:type="page"/>
      </w:r>
      <w:r>
        <w:rPr>
          <w:rFonts w:hint="eastAsia"/>
          <w:b/>
          <w:bCs/>
          <w:kern w:val="0"/>
          <w:sz w:val="28"/>
          <w:szCs w:val="28"/>
        </w:rPr>
        <w:t>中小</w:t>
      </w:r>
      <w:r>
        <w:rPr>
          <w:b/>
          <w:bCs/>
          <w:kern w:val="0"/>
          <w:sz w:val="28"/>
          <w:szCs w:val="28"/>
          <w:lang w:val="zh-CN"/>
        </w:rPr>
        <w:t>企业声明函</w:t>
      </w:r>
    </w:p>
    <w:p w14:paraId="6BEBD0A7">
      <w:pPr>
        <w:autoSpaceDE w:val="0"/>
        <w:autoSpaceDN w:val="0"/>
        <w:spacing w:line="360" w:lineRule="auto"/>
        <w:rPr>
          <w:kern w:val="0"/>
          <w:sz w:val="28"/>
          <w:szCs w:val="28"/>
          <w:lang w:val="zh-CN"/>
        </w:rPr>
      </w:pPr>
    </w:p>
    <w:p w14:paraId="7FE982E5">
      <w:pPr>
        <w:autoSpaceDE w:val="0"/>
        <w:autoSpaceDN w:val="0"/>
        <w:adjustRightInd w:val="0"/>
        <w:spacing w:line="360" w:lineRule="auto"/>
        <w:rPr>
          <w:rFonts w:ascii="宋体" w:hAnsi="宋体" w:cs="仿宋"/>
          <w:kern w:val="0"/>
          <w:sz w:val="24"/>
        </w:rPr>
      </w:pPr>
      <w:r>
        <w:rPr>
          <w:rFonts w:hint="eastAsia" w:ascii="宋体" w:hAnsi="宋体" w:cs="仿宋"/>
          <w:kern w:val="0"/>
          <w:sz w:val="24"/>
        </w:rPr>
        <w:t xml:space="preserve">  本公司（联合体）郑重声明，根据《政府采购促进中小企业发展管理办法》（财库</w:t>
      </w:r>
      <w:r>
        <w:rPr>
          <w:rFonts w:hint="eastAsia" w:ascii="宋体" w:hAnsi="宋体" w:cs="宋体"/>
          <w:kern w:val="0"/>
          <w:sz w:val="24"/>
        </w:rPr>
        <w:t>﹝</w:t>
      </w:r>
      <w:r>
        <w:rPr>
          <w:rFonts w:ascii="宋体" w:hAnsi="宋体" w:cs="仿宋"/>
          <w:kern w:val="0"/>
          <w:sz w:val="24"/>
        </w:rPr>
        <w:t>2020</w:t>
      </w:r>
      <w:r>
        <w:rPr>
          <w:rFonts w:hint="eastAsia" w:ascii="宋体" w:hAnsi="宋体" w:cs="宋体"/>
          <w:kern w:val="0"/>
          <w:sz w:val="24"/>
        </w:rPr>
        <w:t>﹞</w:t>
      </w:r>
      <w:r>
        <w:rPr>
          <w:rFonts w:ascii="宋体" w:hAnsi="宋体" w:cs="仿宋"/>
          <w:kern w:val="0"/>
          <w:sz w:val="24"/>
        </w:rPr>
        <w:t xml:space="preserve">46 </w:t>
      </w:r>
      <w:r>
        <w:rPr>
          <w:rFonts w:hint="eastAsia" w:ascii="宋体" w:hAnsi="宋体" w:cs="仿宋"/>
          <w:kern w:val="0"/>
          <w:sz w:val="24"/>
        </w:rPr>
        <w:t>号）的规定，本公司（联合体）参加</w:t>
      </w:r>
      <w:r>
        <w:rPr>
          <w:rFonts w:hint="eastAsia" w:ascii="宋体" w:hAnsi="宋体" w:cs="仿宋"/>
          <w:kern w:val="0"/>
          <w:sz w:val="24"/>
          <w:u w:val="single"/>
        </w:rPr>
        <w:t>（单位名称）</w:t>
      </w:r>
      <w:r>
        <w:rPr>
          <w:rFonts w:hint="eastAsia" w:ascii="宋体" w:hAnsi="宋体" w:cs="仿宋"/>
          <w:kern w:val="0"/>
          <w:sz w:val="24"/>
        </w:rPr>
        <w:t>的</w:t>
      </w:r>
      <w:r>
        <w:rPr>
          <w:rFonts w:hint="eastAsia" w:ascii="宋体" w:hAnsi="宋体" w:cs="仿宋"/>
          <w:kern w:val="0"/>
          <w:sz w:val="24"/>
          <w:u w:val="single"/>
        </w:rPr>
        <w:t>（项目名称）</w:t>
      </w:r>
      <w:r>
        <w:rPr>
          <w:rFonts w:hint="eastAsia" w:ascii="宋体" w:hAnsi="宋体" w:cs="仿宋"/>
          <w:kern w:val="0"/>
          <w:sz w:val="24"/>
        </w:rPr>
        <w:t>采购活动，提供的货物全部由符合政策要求的中小企业制造。相关企业（含联合体中的中小企业、签订分包意向协议的中小企业）的具体情况如下：</w:t>
      </w:r>
    </w:p>
    <w:p w14:paraId="0B4DDA87">
      <w:pPr>
        <w:autoSpaceDE w:val="0"/>
        <w:autoSpaceDN w:val="0"/>
        <w:adjustRightInd w:val="0"/>
        <w:spacing w:line="360" w:lineRule="auto"/>
        <w:rPr>
          <w:rFonts w:ascii="宋体" w:hAnsi="宋体" w:cs="仿宋"/>
          <w:kern w:val="0"/>
          <w:sz w:val="24"/>
        </w:rPr>
      </w:pPr>
      <w:r>
        <w:rPr>
          <w:rFonts w:ascii="宋体" w:hAnsi="宋体" w:cs="仿宋"/>
          <w:kern w:val="0"/>
          <w:sz w:val="24"/>
        </w:rPr>
        <w:t xml:space="preserve">1. </w:t>
      </w:r>
      <w:r>
        <w:rPr>
          <w:rFonts w:hint="eastAsia" w:ascii="宋体" w:hAnsi="宋体" w:cs="仿宋"/>
          <w:kern w:val="0"/>
          <w:sz w:val="24"/>
          <w:u w:val="single"/>
        </w:rPr>
        <w:t>（标的名称）</w:t>
      </w:r>
      <w:r>
        <w:rPr>
          <w:rFonts w:hint="eastAsia" w:ascii="宋体" w:hAnsi="宋体" w:cs="仿宋"/>
          <w:kern w:val="0"/>
          <w:sz w:val="24"/>
        </w:rPr>
        <w:t>，属于</w:t>
      </w:r>
      <w:r>
        <w:rPr>
          <w:rFonts w:hint="eastAsia" w:ascii="宋体" w:hAnsi="宋体" w:cs="仿宋"/>
          <w:kern w:val="0"/>
          <w:sz w:val="24"/>
          <w:u w:val="single"/>
        </w:rPr>
        <w:t>（采购文件中明确的所属行业）</w:t>
      </w:r>
      <w:r>
        <w:rPr>
          <w:rFonts w:hint="eastAsia" w:ascii="宋体" w:hAnsi="宋体" w:cs="仿宋"/>
          <w:kern w:val="0"/>
          <w:sz w:val="24"/>
        </w:rPr>
        <w:t>行业；制造商为</w:t>
      </w:r>
      <w:r>
        <w:rPr>
          <w:rFonts w:hint="eastAsia" w:ascii="宋体" w:hAnsi="宋体" w:cs="仿宋"/>
          <w:kern w:val="0"/>
          <w:sz w:val="24"/>
          <w:u w:val="single"/>
        </w:rPr>
        <w:t>（企业名称）</w:t>
      </w:r>
      <w:r>
        <w:rPr>
          <w:rFonts w:hint="eastAsia" w:ascii="宋体" w:hAnsi="宋体" w:cs="仿宋"/>
          <w:kern w:val="0"/>
          <w:sz w:val="24"/>
        </w:rPr>
        <w:t>，从业人员人，营业收入为万元，资产总额为万元，属于</w:t>
      </w:r>
      <w:r>
        <w:rPr>
          <w:rFonts w:hint="eastAsia" w:ascii="宋体" w:hAnsi="宋体" w:cs="仿宋"/>
          <w:kern w:val="0"/>
          <w:sz w:val="24"/>
          <w:u w:val="single"/>
        </w:rPr>
        <w:t>（中型企业、小型企业、微型企业）</w:t>
      </w:r>
      <w:r>
        <w:rPr>
          <w:rFonts w:hint="eastAsia" w:ascii="宋体" w:hAnsi="宋体" w:cs="仿宋"/>
          <w:kern w:val="0"/>
          <w:sz w:val="24"/>
        </w:rPr>
        <w:t>；</w:t>
      </w:r>
    </w:p>
    <w:p w14:paraId="42FA96AD">
      <w:pPr>
        <w:autoSpaceDE w:val="0"/>
        <w:autoSpaceDN w:val="0"/>
        <w:adjustRightInd w:val="0"/>
        <w:spacing w:line="360" w:lineRule="auto"/>
        <w:rPr>
          <w:rFonts w:ascii="宋体" w:hAnsi="宋体" w:cs="仿宋"/>
          <w:kern w:val="0"/>
          <w:sz w:val="24"/>
        </w:rPr>
      </w:pPr>
      <w:r>
        <w:rPr>
          <w:rFonts w:ascii="宋体" w:hAnsi="宋体" w:cs="仿宋"/>
          <w:kern w:val="0"/>
          <w:sz w:val="24"/>
        </w:rPr>
        <w:t xml:space="preserve">2. </w:t>
      </w:r>
      <w:r>
        <w:rPr>
          <w:rFonts w:hint="eastAsia" w:ascii="宋体" w:hAnsi="宋体" w:cs="仿宋"/>
          <w:kern w:val="0"/>
          <w:sz w:val="24"/>
          <w:u w:val="single"/>
        </w:rPr>
        <w:t>（标的名称）</w:t>
      </w:r>
      <w:r>
        <w:rPr>
          <w:rFonts w:hint="eastAsia" w:ascii="宋体" w:hAnsi="宋体" w:cs="仿宋"/>
          <w:kern w:val="0"/>
          <w:sz w:val="24"/>
        </w:rPr>
        <w:t>，属于</w:t>
      </w:r>
      <w:r>
        <w:rPr>
          <w:rFonts w:hint="eastAsia" w:ascii="宋体" w:hAnsi="宋体" w:cs="仿宋"/>
          <w:kern w:val="0"/>
          <w:sz w:val="24"/>
          <w:u w:val="single"/>
        </w:rPr>
        <w:t>（采购文件中明确的所属行业）</w:t>
      </w:r>
      <w:r>
        <w:rPr>
          <w:rFonts w:hint="eastAsia" w:ascii="宋体" w:hAnsi="宋体" w:cs="仿宋"/>
          <w:kern w:val="0"/>
          <w:sz w:val="24"/>
        </w:rPr>
        <w:t>行业；制造商为</w:t>
      </w:r>
      <w:r>
        <w:rPr>
          <w:rFonts w:hint="eastAsia" w:ascii="宋体" w:hAnsi="宋体" w:cs="仿宋"/>
          <w:kern w:val="0"/>
          <w:sz w:val="24"/>
          <w:u w:val="single"/>
        </w:rPr>
        <w:t>（企业名称）</w:t>
      </w:r>
      <w:r>
        <w:rPr>
          <w:rFonts w:hint="eastAsia" w:ascii="宋体" w:hAnsi="宋体" w:cs="仿宋"/>
          <w:kern w:val="0"/>
          <w:sz w:val="24"/>
        </w:rPr>
        <w:t>，从业人员人，营业收入为万元，资产总额为万元，属于</w:t>
      </w:r>
      <w:r>
        <w:rPr>
          <w:rFonts w:hint="eastAsia" w:ascii="宋体" w:hAnsi="宋体" w:cs="仿宋"/>
          <w:kern w:val="0"/>
          <w:sz w:val="24"/>
          <w:u w:val="single"/>
        </w:rPr>
        <w:t>（中型企业、小型企业、微型企业）</w:t>
      </w:r>
      <w:r>
        <w:rPr>
          <w:rFonts w:hint="eastAsia" w:ascii="宋体" w:hAnsi="宋体" w:cs="仿宋"/>
          <w:kern w:val="0"/>
          <w:sz w:val="24"/>
        </w:rPr>
        <w:t>；</w:t>
      </w:r>
    </w:p>
    <w:p w14:paraId="7E1EED43">
      <w:pPr>
        <w:autoSpaceDE w:val="0"/>
        <w:autoSpaceDN w:val="0"/>
        <w:adjustRightInd w:val="0"/>
        <w:spacing w:line="360" w:lineRule="auto"/>
        <w:rPr>
          <w:rFonts w:ascii="宋体" w:hAnsi="宋体" w:cs="仿宋"/>
          <w:kern w:val="0"/>
          <w:sz w:val="24"/>
        </w:rPr>
      </w:pPr>
      <w:r>
        <w:rPr>
          <w:rFonts w:hint="eastAsia" w:ascii="宋体" w:hAnsi="宋体" w:cs="仿宋"/>
          <w:kern w:val="0"/>
          <w:sz w:val="24"/>
        </w:rPr>
        <w:t>……</w:t>
      </w:r>
    </w:p>
    <w:p w14:paraId="43935C5D">
      <w:pPr>
        <w:autoSpaceDE w:val="0"/>
        <w:autoSpaceDN w:val="0"/>
        <w:adjustRightInd w:val="0"/>
        <w:spacing w:line="360" w:lineRule="auto"/>
        <w:rPr>
          <w:rFonts w:ascii="宋体" w:hAnsi="宋体" w:cs="仿宋"/>
          <w:kern w:val="0"/>
          <w:sz w:val="24"/>
        </w:rPr>
      </w:pPr>
      <w:r>
        <w:rPr>
          <w:rFonts w:hint="eastAsia" w:ascii="宋体" w:hAnsi="宋体" w:cs="仿宋"/>
          <w:kern w:val="0"/>
          <w:sz w:val="24"/>
        </w:rPr>
        <w:t xml:space="preserve">  以上企业，不属于大企业的分支机构，不存在控股股东为大企业的情形，也不存在与大企业的负责人为同一人的情形。</w:t>
      </w:r>
    </w:p>
    <w:p w14:paraId="43D9A4B6">
      <w:pPr>
        <w:autoSpaceDE w:val="0"/>
        <w:autoSpaceDN w:val="0"/>
        <w:adjustRightInd w:val="0"/>
        <w:spacing w:line="360" w:lineRule="auto"/>
        <w:rPr>
          <w:rFonts w:ascii="宋体" w:hAnsi="宋体" w:cs="仿宋"/>
          <w:color w:val="000000" w:themeColor="text1"/>
          <w:kern w:val="0"/>
          <w:sz w:val="24"/>
          <w14:textFill>
            <w14:solidFill>
              <w14:schemeClr w14:val="tx1"/>
            </w14:solidFill>
          </w14:textFill>
        </w:rPr>
      </w:pPr>
      <w:r>
        <w:rPr>
          <w:rFonts w:hint="eastAsia" w:ascii="宋体" w:hAnsi="宋体" w:cs="仿宋"/>
          <w:kern w:val="0"/>
          <w:sz w:val="24"/>
        </w:rPr>
        <w:t xml:space="preserve">  本企业对上述声明内容的真</w:t>
      </w:r>
      <w:r>
        <w:rPr>
          <w:rFonts w:hint="eastAsia" w:ascii="宋体" w:hAnsi="宋体" w:cs="仿宋"/>
          <w:color w:val="000000" w:themeColor="text1"/>
          <w:kern w:val="0"/>
          <w:sz w:val="24"/>
          <w14:textFill>
            <w14:solidFill>
              <w14:schemeClr w14:val="tx1"/>
            </w14:solidFill>
          </w14:textFill>
        </w:rPr>
        <w:t>实性负责。如有虚假，将依法承担相应责任。</w:t>
      </w:r>
    </w:p>
    <w:p w14:paraId="7B8885FF">
      <w:pPr>
        <w:autoSpaceDE w:val="0"/>
        <w:autoSpaceDN w:val="0"/>
        <w:adjustRightIn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注：</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若无此项内容，可不提供此函</w:t>
      </w:r>
      <w:r>
        <w:rPr>
          <w:rFonts w:hint="eastAsia"/>
          <w:color w:val="000000" w:themeColor="text1"/>
          <w:sz w:val="24"/>
          <w14:textFill>
            <w14:solidFill>
              <w14:schemeClr w14:val="tx1"/>
            </w14:solidFill>
          </w14:textFill>
        </w:rPr>
        <w:t>；</w:t>
      </w:r>
    </w:p>
    <w:p w14:paraId="3AD680D5">
      <w:pPr>
        <w:autoSpaceDE w:val="0"/>
        <w:autoSpaceDN w:val="0"/>
        <w:adjustRightInd w:val="0"/>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2、本项目所属行业：工业。</w:t>
      </w:r>
    </w:p>
    <w:p w14:paraId="53103143">
      <w:pPr>
        <w:autoSpaceDE w:val="0"/>
        <w:autoSpaceDN w:val="0"/>
        <w:adjustRightInd w:val="0"/>
        <w:spacing w:line="360" w:lineRule="auto"/>
        <w:jc w:val="right"/>
        <w:rPr>
          <w:rFonts w:ascii="宋体" w:hAnsi="宋体" w:cs="仿宋"/>
          <w:kern w:val="0"/>
          <w:sz w:val="24"/>
        </w:rPr>
      </w:pPr>
    </w:p>
    <w:p w14:paraId="6D453702">
      <w:pPr>
        <w:autoSpaceDE w:val="0"/>
        <w:autoSpaceDN w:val="0"/>
        <w:adjustRightInd w:val="0"/>
        <w:spacing w:line="360" w:lineRule="auto"/>
        <w:jc w:val="right"/>
        <w:rPr>
          <w:rFonts w:ascii="宋体" w:hAnsi="宋体" w:cs="仿宋"/>
          <w:kern w:val="0"/>
          <w:sz w:val="24"/>
        </w:rPr>
      </w:pPr>
    </w:p>
    <w:p w14:paraId="062898AD">
      <w:pPr>
        <w:autoSpaceDE w:val="0"/>
        <w:autoSpaceDN w:val="0"/>
        <w:adjustRightInd w:val="0"/>
        <w:spacing w:line="360" w:lineRule="auto"/>
        <w:jc w:val="right"/>
        <w:rPr>
          <w:rFonts w:ascii="宋体" w:hAnsi="宋体" w:cs="仿宋"/>
          <w:kern w:val="0"/>
          <w:sz w:val="24"/>
        </w:rPr>
      </w:pPr>
    </w:p>
    <w:p w14:paraId="2E292F22">
      <w:pPr>
        <w:autoSpaceDE w:val="0"/>
        <w:autoSpaceDN w:val="0"/>
        <w:adjustRightInd w:val="0"/>
        <w:spacing w:line="360" w:lineRule="auto"/>
        <w:rPr>
          <w:rFonts w:ascii="宋体" w:hAnsi="宋体" w:cs="仿宋"/>
          <w:kern w:val="0"/>
          <w:sz w:val="24"/>
        </w:rPr>
      </w:pPr>
    </w:p>
    <w:p w14:paraId="4F11EBD9">
      <w:pPr>
        <w:autoSpaceDE w:val="0"/>
        <w:autoSpaceDN w:val="0"/>
        <w:adjustRightInd w:val="0"/>
        <w:spacing w:line="360" w:lineRule="auto"/>
        <w:jc w:val="center"/>
        <w:rPr>
          <w:rFonts w:ascii="宋体" w:hAnsi="宋体" w:cs="仿宋"/>
          <w:kern w:val="0"/>
          <w:sz w:val="24"/>
        </w:rPr>
      </w:pPr>
      <w:r>
        <w:rPr>
          <w:rFonts w:hint="eastAsia" w:ascii="宋体" w:hAnsi="宋体" w:cs="仿宋"/>
          <w:kern w:val="0"/>
          <w:sz w:val="24"/>
        </w:rPr>
        <w:t xml:space="preserve">                                             企业名称（盖章）：   </w:t>
      </w:r>
    </w:p>
    <w:p w14:paraId="3E04E56F">
      <w:pPr>
        <w:autoSpaceDE w:val="0"/>
        <w:autoSpaceDN w:val="0"/>
        <w:adjustRightInd w:val="0"/>
        <w:spacing w:line="360" w:lineRule="auto"/>
        <w:jc w:val="center"/>
        <w:rPr>
          <w:rFonts w:ascii="宋体" w:hAnsi="宋体" w:cs="仿宋"/>
          <w:kern w:val="0"/>
          <w:sz w:val="24"/>
        </w:rPr>
      </w:pPr>
      <w:r>
        <w:rPr>
          <w:rFonts w:hint="eastAsia" w:ascii="宋体" w:hAnsi="宋体" w:cs="仿宋"/>
          <w:kern w:val="0"/>
          <w:sz w:val="24"/>
        </w:rPr>
        <w:t xml:space="preserve">                                                         日期：</w:t>
      </w:r>
    </w:p>
    <w:p w14:paraId="28E8FB5A">
      <w:pPr>
        <w:autoSpaceDE w:val="0"/>
        <w:autoSpaceDN w:val="0"/>
        <w:adjustRightInd w:val="0"/>
        <w:spacing w:line="360" w:lineRule="auto"/>
        <w:jc w:val="right"/>
        <w:rPr>
          <w:rFonts w:ascii="宋体" w:hAnsi="宋体" w:cs="仿宋"/>
          <w:kern w:val="0"/>
          <w:sz w:val="24"/>
        </w:rPr>
      </w:pPr>
    </w:p>
    <w:p w14:paraId="385BEE21">
      <w:pPr>
        <w:spacing w:line="360" w:lineRule="auto"/>
        <w:rPr>
          <w:sz w:val="24"/>
        </w:rPr>
      </w:pPr>
      <w:r>
        <w:rPr>
          <w:rFonts w:hint="eastAsia" w:ascii="宋体" w:cs="宋体"/>
          <w:kern w:val="0"/>
          <w:sz w:val="24"/>
        </w:rPr>
        <w:t>从业人员、营业收入、资产总额填报上一年度数据，无上一年度数据的新成立企业可不填报。</w:t>
      </w:r>
    </w:p>
    <w:p w14:paraId="30F04431">
      <w:pPr>
        <w:spacing w:line="480" w:lineRule="auto"/>
        <w:jc w:val="right"/>
        <w:rPr>
          <w:b/>
          <w:bCs/>
          <w:kern w:val="0"/>
        </w:rPr>
      </w:pPr>
    </w:p>
    <w:p w14:paraId="4B0C0A5A">
      <w:pPr>
        <w:adjustRightInd w:val="0"/>
        <w:snapToGrid w:val="0"/>
        <w:spacing w:line="440" w:lineRule="exact"/>
        <w:ind w:left="6114" w:hanging="6114" w:hangingChars="2900"/>
        <w:jc w:val="center"/>
        <w:rPr>
          <w:b/>
          <w:bCs/>
          <w:kern w:val="0"/>
          <w:lang w:val="zh-CN"/>
        </w:rPr>
      </w:pPr>
    </w:p>
    <w:p w14:paraId="1B9059B3">
      <w:pPr>
        <w:autoSpaceDE w:val="0"/>
        <w:autoSpaceDN w:val="0"/>
        <w:spacing w:line="360" w:lineRule="auto"/>
        <w:jc w:val="center"/>
        <w:rPr>
          <w:b/>
          <w:bCs/>
          <w:kern w:val="0"/>
          <w:sz w:val="28"/>
          <w:szCs w:val="28"/>
        </w:rPr>
      </w:pPr>
      <w:r>
        <w:rPr>
          <w:sz w:val="30"/>
          <w:szCs w:val="30"/>
        </w:rPr>
        <w:br w:type="page"/>
      </w:r>
      <w:bookmarkStart w:id="124" w:name="_Toc9477"/>
      <w:bookmarkStart w:id="125" w:name="_Toc30801"/>
      <w:r>
        <w:rPr>
          <w:rFonts w:hint="eastAsia"/>
          <w:b/>
          <w:bCs/>
          <w:kern w:val="0"/>
          <w:sz w:val="28"/>
          <w:szCs w:val="28"/>
        </w:rPr>
        <w:t>监狱企业证明资料</w:t>
      </w:r>
      <w:bookmarkEnd w:id="124"/>
      <w:bookmarkEnd w:id="125"/>
    </w:p>
    <w:p w14:paraId="18A84933">
      <w:pPr>
        <w:autoSpaceDE w:val="0"/>
        <w:autoSpaceDN w:val="0"/>
        <w:spacing w:line="360" w:lineRule="auto"/>
        <w:jc w:val="center"/>
        <w:rPr>
          <w:rFonts w:ascii="楷体" w:hAnsi="楷体" w:eastAsia="楷体" w:cs="楷体"/>
          <w:sz w:val="32"/>
          <w:szCs w:val="32"/>
        </w:rPr>
      </w:pPr>
    </w:p>
    <w:p w14:paraId="3FF49A79">
      <w:pPr>
        <w:adjustRightInd w:val="0"/>
        <w:snapToGrid w:val="0"/>
        <w:spacing w:line="560" w:lineRule="exact"/>
        <w:jc w:val="center"/>
        <w:rPr>
          <w:rFonts w:ascii="仿宋_GB2312" w:hAnsi="仿宋_GB2312" w:eastAsia="仿宋_GB2312" w:cs="仿宋_GB2312"/>
          <w:sz w:val="32"/>
          <w:szCs w:val="32"/>
        </w:rPr>
      </w:pPr>
      <w:bookmarkStart w:id="126" w:name="_Toc25903_WPSOffice_Level3"/>
      <w:bookmarkStart w:id="127" w:name="_Toc28022_WPSOffice_Level3"/>
      <w:r>
        <w:rPr>
          <w:rFonts w:hint="eastAsia" w:ascii="仿宋_GB2312" w:hAnsi="仿宋_GB2312" w:eastAsia="仿宋_GB2312" w:cs="仿宋_GB2312"/>
          <w:b/>
          <w:spacing w:val="6"/>
          <w:sz w:val="32"/>
          <w:szCs w:val="32"/>
        </w:rPr>
        <w:t>(不属于监狱企业的无需提供)</w:t>
      </w:r>
      <w:bookmarkEnd w:id="126"/>
      <w:bookmarkEnd w:id="127"/>
    </w:p>
    <w:p w14:paraId="412A48FE">
      <w:pPr>
        <w:adjustRightInd w:val="0"/>
        <w:snapToGrid w:val="0"/>
        <w:spacing w:line="560" w:lineRule="exact"/>
        <w:ind w:firstLine="480" w:firstLineChars="200"/>
        <w:rPr>
          <w:rFonts w:ascii="宋体" w:hAnsi="宋体" w:cs="仿宋"/>
          <w:kern w:val="0"/>
          <w:sz w:val="24"/>
        </w:rPr>
      </w:pPr>
      <w:r>
        <w:rPr>
          <w:rFonts w:hint="eastAsia" w:ascii="宋体" w:hAnsi="宋体" w:cs="仿宋"/>
          <w:kern w:val="0"/>
          <w:sz w:val="24"/>
        </w:rPr>
        <w:t>备注：按《财政部司法部关于政府采购支持监狱企业发展有关问题的通知》(财库〔2014〕68号)文件规定提供证明文件（复印件）。</w:t>
      </w:r>
    </w:p>
    <w:p w14:paraId="3D67A4DB">
      <w:pPr>
        <w:spacing w:beforeLines="50" w:line="560" w:lineRule="exact"/>
        <w:ind w:firstLine="480" w:firstLineChars="200"/>
        <w:jc w:val="right"/>
        <w:rPr>
          <w:rFonts w:ascii="宋体" w:hAnsi="宋体" w:cs="仿宋"/>
          <w:kern w:val="0"/>
          <w:sz w:val="24"/>
        </w:rPr>
      </w:pPr>
      <w:bookmarkStart w:id="128" w:name="_Toc22071_WPSOffice_Level3"/>
    </w:p>
    <w:p w14:paraId="26B74C7D">
      <w:pPr>
        <w:spacing w:beforeLines="50" w:line="560" w:lineRule="exact"/>
        <w:ind w:firstLine="480" w:firstLineChars="200"/>
        <w:jc w:val="right"/>
        <w:rPr>
          <w:rFonts w:ascii="宋体" w:hAnsi="宋体" w:cs="仿宋"/>
          <w:kern w:val="0"/>
          <w:sz w:val="24"/>
        </w:rPr>
      </w:pPr>
    </w:p>
    <w:p w14:paraId="112696FA">
      <w:pPr>
        <w:spacing w:beforeLines="50" w:line="560" w:lineRule="exact"/>
        <w:ind w:firstLine="480" w:firstLineChars="200"/>
        <w:jc w:val="right"/>
        <w:rPr>
          <w:rFonts w:ascii="宋体" w:hAnsi="宋体" w:cs="仿宋"/>
          <w:kern w:val="0"/>
          <w:sz w:val="24"/>
        </w:rPr>
      </w:pPr>
    </w:p>
    <w:p w14:paraId="4C2EF7D3">
      <w:pPr>
        <w:spacing w:beforeLines="50" w:line="560" w:lineRule="exact"/>
        <w:ind w:firstLine="480" w:firstLineChars="200"/>
        <w:jc w:val="right"/>
        <w:rPr>
          <w:rFonts w:ascii="宋体" w:hAnsi="宋体" w:cs="仿宋"/>
          <w:kern w:val="0"/>
          <w:sz w:val="24"/>
        </w:rPr>
      </w:pPr>
    </w:p>
    <w:p w14:paraId="191697C0">
      <w:pPr>
        <w:spacing w:beforeLines="50" w:line="560" w:lineRule="exact"/>
        <w:ind w:firstLine="480" w:firstLineChars="200"/>
        <w:jc w:val="right"/>
        <w:rPr>
          <w:rFonts w:ascii="宋体" w:hAnsi="宋体" w:cs="仿宋"/>
          <w:kern w:val="0"/>
          <w:sz w:val="24"/>
        </w:rPr>
      </w:pPr>
    </w:p>
    <w:p w14:paraId="1CF20F58">
      <w:pPr>
        <w:spacing w:beforeLines="50" w:line="560" w:lineRule="exact"/>
        <w:ind w:firstLine="480" w:firstLineChars="200"/>
        <w:jc w:val="right"/>
        <w:rPr>
          <w:rFonts w:ascii="宋体" w:hAnsi="宋体" w:cs="仿宋"/>
          <w:kern w:val="0"/>
          <w:sz w:val="24"/>
        </w:rPr>
      </w:pPr>
    </w:p>
    <w:p w14:paraId="48921AF3">
      <w:pPr>
        <w:spacing w:beforeLines="50" w:line="560" w:lineRule="exact"/>
        <w:ind w:firstLine="480" w:firstLineChars="200"/>
        <w:jc w:val="right"/>
        <w:rPr>
          <w:rFonts w:ascii="宋体" w:hAnsi="宋体" w:cs="仿宋"/>
          <w:kern w:val="0"/>
          <w:sz w:val="24"/>
        </w:rPr>
      </w:pPr>
    </w:p>
    <w:p w14:paraId="046B99C6">
      <w:pPr>
        <w:spacing w:beforeLines="50" w:line="560" w:lineRule="exact"/>
        <w:ind w:firstLine="480" w:firstLineChars="200"/>
        <w:jc w:val="right"/>
        <w:rPr>
          <w:rFonts w:ascii="宋体" w:hAnsi="宋体" w:cs="仿宋"/>
          <w:kern w:val="0"/>
          <w:sz w:val="24"/>
        </w:rPr>
      </w:pPr>
    </w:p>
    <w:p w14:paraId="5EDF130D">
      <w:pPr>
        <w:spacing w:beforeLines="50" w:line="560" w:lineRule="exact"/>
        <w:ind w:firstLine="480" w:firstLineChars="200"/>
        <w:jc w:val="right"/>
        <w:rPr>
          <w:rFonts w:ascii="宋体" w:hAnsi="宋体" w:cs="仿宋"/>
          <w:kern w:val="0"/>
          <w:sz w:val="24"/>
        </w:rPr>
      </w:pPr>
    </w:p>
    <w:p w14:paraId="6FFE5C97">
      <w:pPr>
        <w:spacing w:beforeLines="50" w:line="560" w:lineRule="exact"/>
        <w:ind w:firstLine="480" w:firstLineChars="200"/>
        <w:jc w:val="right"/>
        <w:rPr>
          <w:rFonts w:ascii="宋体" w:hAnsi="宋体" w:cs="仿宋"/>
          <w:kern w:val="0"/>
          <w:sz w:val="24"/>
        </w:rPr>
      </w:pPr>
    </w:p>
    <w:p w14:paraId="1A485761">
      <w:pPr>
        <w:spacing w:beforeLines="50" w:line="560" w:lineRule="exact"/>
        <w:ind w:firstLine="480" w:firstLineChars="200"/>
        <w:jc w:val="right"/>
        <w:rPr>
          <w:rFonts w:ascii="宋体" w:hAnsi="宋体" w:cs="仿宋"/>
          <w:kern w:val="0"/>
          <w:sz w:val="24"/>
        </w:rPr>
      </w:pPr>
    </w:p>
    <w:p w14:paraId="40E65011">
      <w:pPr>
        <w:spacing w:beforeLines="50" w:line="560" w:lineRule="exact"/>
        <w:ind w:firstLine="480" w:firstLineChars="200"/>
        <w:jc w:val="right"/>
        <w:rPr>
          <w:rFonts w:ascii="宋体" w:hAnsi="宋体" w:cs="仿宋"/>
          <w:kern w:val="0"/>
          <w:sz w:val="24"/>
        </w:rPr>
      </w:pPr>
    </w:p>
    <w:p w14:paraId="467B7790">
      <w:pPr>
        <w:spacing w:beforeLines="50" w:line="560" w:lineRule="exact"/>
        <w:ind w:firstLine="480" w:firstLineChars="200"/>
        <w:jc w:val="right"/>
        <w:rPr>
          <w:rFonts w:ascii="宋体" w:hAnsi="宋体" w:cs="仿宋"/>
          <w:kern w:val="0"/>
          <w:sz w:val="24"/>
        </w:rPr>
      </w:pPr>
      <w:r>
        <w:rPr>
          <w:rFonts w:hint="eastAsia" w:ascii="宋体" w:hAnsi="宋体" w:cs="仿宋"/>
          <w:kern w:val="0"/>
          <w:sz w:val="24"/>
        </w:rPr>
        <w:t>单位名称：       （公章）</w:t>
      </w:r>
      <w:bookmarkEnd w:id="128"/>
    </w:p>
    <w:p w14:paraId="2EE7F94E">
      <w:pPr>
        <w:spacing w:beforeLines="50" w:line="560" w:lineRule="exact"/>
        <w:ind w:firstLine="480" w:firstLineChars="200"/>
        <w:jc w:val="right"/>
        <w:rPr>
          <w:rFonts w:ascii="宋体" w:hAnsi="宋体" w:cs="仿宋"/>
          <w:kern w:val="0"/>
          <w:sz w:val="24"/>
        </w:rPr>
      </w:pPr>
      <w:bookmarkStart w:id="129" w:name="_Toc11539_WPSOffice_Level3"/>
      <w:r>
        <w:rPr>
          <w:rFonts w:hint="eastAsia" w:ascii="宋体" w:hAnsi="宋体" w:cs="仿宋"/>
          <w:kern w:val="0"/>
          <w:sz w:val="24"/>
        </w:rPr>
        <w:t>法定代表人或委托代理人：       （签字或盖章）</w:t>
      </w:r>
      <w:bookmarkEnd w:id="129"/>
    </w:p>
    <w:p w14:paraId="568621FF">
      <w:pPr>
        <w:spacing w:beforeLines="50" w:line="560" w:lineRule="exact"/>
        <w:ind w:firstLine="480" w:firstLineChars="200"/>
        <w:jc w:val="center"/>
        <w:rPr>
          <w:rFonts w:ascii="宋体" w:hAnsi="宋体" w:cs="仿宋"/>
          <w:kern w:val="0"/>
          <w:sz w:val="24"/>
        </w:rPr>
      </w:pPr>
      <w:bookmarkStart w:id="130" w:name="_Toc3285_WPSOffice_Level3"/>
      <w:r>
        <w:rPr>
          <w:rFonts w:hint="eastAsia" w:ascii="宋体" w:hAnsi="宋体" w:cs="仿宋"/>
          <w:kern w:val="0"/>
          <w:sz w:val="24"/>
        </w:rPr>
        <w:t>年   月  日</w:t>
      </w:r>
      <w:bookmarkEnd w:id="130"/>
    </w:p>
    <w:p w14:paraId="7994E96D">
      <w:pPr>
        <w:pStyle w:val="30"/>
        <w:jc w:val="both"/>
        <w:rPr>
          <w:rFonts w:ascii="Times New Roman" w:hAnsi="Times New Roman"/>
          <w:sz w:val="30"/>
          <w:szCs w:val="30"/>
        </w:rPr>
      </w:pPr>
    </w:p>
    <w:p w14:paraId="74684F84"/>
    <w:p w14:paraId="6D7A91C1">
      <w:pPr>
        <w:autoSpaceDE w:val="0"/>
        <w:autoSpaceDN w:val="0"/>
        <w:spacing w:line="360" w:lineRule="auto"/>
        <w:jc w:val="center"/>
        <w:rPr>
          <w:b/>
          <w:bCs/>
          <w:kern w:val="0"/>
          <w:sz w:val="28"/>
          <w:szCs w:val="28"/>
        </w:rPr>
      </w:pPr>
      <w:r>
        <w:rPr>
          <w:b/>
          <w:bCs/>
          <w:kern w:val="0"/>
          <w:sz w:val="28"/>
          <w:szCs w:val="28"/>
          <w:lang w:val="zh-CN"/>
        </w:rPr>
        <w:br w:type="page"/>
      </w:r>
      <w:r>
        <w:rPr>
          <w:b/>
          <w:bCs/>
          <w:kern w:val="0"/>
          <w:sz w:val="28"/>
          <w:szCs w:val="28"/>
        </w:rPr>
        <w:t>残疾人福利性单位声明函</w:t>
      </w:r>
    </w:p>
    <w:p w14:paraId="688ED540">
      <w:pPr>
        <w:spacing w:afterLines="50"/>
        <w:rPr>
          <w:bCs/>
        </w:rPr>
      </w:pPr>
    </w:p>
    <w:p w14:paraId="3AA8E7A5">
      <w:pPr>
        <w:adjustRightInd w:val="0"/>
        <w:snapToGrid w:val="0"/>
        <w:spacing w:line="440" w:lineRule="exact"/>
        <w:ind w:left="6987" w:hanging="6987" w:hangingChars="2900"/>
        <w:rPr>
          <w:b/>
          <w:bCs/>
          <w:kern w:val="0"/>
          <w:sz w:val="24"/>
          <w:lang w:val="zh-CN"/>
        </w:rPr>
      </w:pPr>
      <w:r>
        <w:rPr>
          <w:b/>
          <w:bCs/>
          <w:kern w:val="0"/>
          <w:sz w:val="24"/>
          <w:lang w:val="zh-CN"/>
        </w:rPr>
        <w:t>致：青海国焱工程项目管理有限公司</w:t>
      </w:r>
    </w:p>
    <w:p w14:paraId="4556DD0F">
      <w:pPr>
        <w:spacing w:line="360" w:lineRule="auto"/>
        <w:ind w:firstLine="480"/>
      </w:pPr>
    </w:p>
    <w:p w14:paraId="60EECD10">
      <w:pPr>
        <w:adjustRightInd w:val="0"/>
        <w:snapToGrid w:val="0"/>
        <w:spacing w:line="440" w:lineRule="exact"/>
        <w:ind w:left="-4" w:leftChars="-2" w:firstLine="480" w:firstLineChars="200"/>
        <w:rPr>
          <w:sz w:val="24"/>
        </w:rPr>
      </w:pPr>
      <w:r>
        <w:rPr>
          <w:sz w:val="24"/>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14:paraId="0C6FD21F">
      <w:pPr>
        <w:adjustRightInd w:val="0"/>
        <w:snapToGrid w:val="0"/>
        <w:spacing w:line="440" w:lineRule="exact"/>
        <w:ind w:left="-4" w:leftChars="-2" w:firstLine="480" w:firstLineChars="200"/>
        <w:rPr>
          <w:sz w:val="24"/>
        </w:rPr>
      </w:pPr>
      <w:r>
        <w:rPr>
          <w:sz w:val="24"/>
        </w:rPr>
        <w:t>本单位对上述声明的真实性负责。如有虚假，将依法承担相应责任。</w:t>
      </w:r>
    </w:p>
    <w:p w14:paraId="110C2326">
      <w:pPr>
        <w:adjustRightInd w:val="0"/>
        <w:snapToGrid w:val="0"/>
        <w:spacing w:line="440" w:lineRule="exact"/>
        <w:ind w:left="-4" w:leftChars="-2" w:firstLine="480" w:firstLineChars="200"/>
        <w:rPr>
          <w:sz w:val="24"/>
        </w:rPr>
      </w:pPr>
    </w:p>
    <w:p w14:paraId="11F8316C">
      <w:pPr>
        <w:adjustRightInd w:val="0"/>
        <w:snapToGrid w:val="0"/>
        <w:spacing w:line="440" w:lineRule="exact"/>
        <w:ind w:left="-4" w:leftChars="-2" w:firstLine="480" w:firstLineChars="200"/>
        <w:rPr>
          <w:sz w:val="24"/>
        </w:rPr>
      </w:pPr>
      <w:r>
        <w:rPr>
          <w:sz w:val="24"/>
        </w:rPr>
        <w:t>注：若无此项内容，可不提供此函。</w:t>
      </w:r>
    </w:p>
    <w:p w14:paraId="3DEC1F17">
      <w:pPr>
        <w:spacing w:line="360" w:lineRule="auto"/>
        <w:ind w:firstLine="480"/>
      </w:pPr>
    </w:p>
    <w:p w14:paraId="4C96B5A3">
      <w:pPr>
        <w:spacing w:line="360" w:lineRule="auto"/>
        <w:ind w:firstLine="480"/>
      </w:pPr>
    </w:p>
    <w:p w14:paraId="31D5571A">
      <w:pPr>
        <w:spacing w:line="360" w:lineRule="auto"/>
        <w:ind w:firstLine="480"/>
      </w:pPr>
    </w:p>
    <w:p w14:paraId="57372C02">
      <w:pPr>
        <w:spacing w:line="360" w:lineRule="auto"/>
        <w:ind w:firstLine="480"/>
      </w:pPr>
    </w:p>
    <w:p w14:paraId="7636F7A3">
      <w:pPr>
        <w:spacing w:line="360" w:lineRule="auto"/>
        <w:ind w:firstLine="480"/>
      </w:pPr>
    </w:p>
    <w:p w14:paraId="25C7D0E8">
      <w:pPr>
        <w:spacing w:line="360" w:lineRule="auto"/>
        <w:ind w:firstLine="480"/>
      </w:pPr>
    </w:p>
    <w:p w14:paraId="06531CBB">
      <w:pPr>
        <w:spacing w:line="360" w:lineRule="auto"/>
        <w:ind w:firstLine="480"/>
      </w:pPr>
    </w:p>
    <w:p w14:paraId="245BC2E7">
      <w:pPr>
        <w:spacing w:line="360" w:lineRule="auto"/>
        <w:ind w:firstLine="480"/>
      </w:pPr>
    </w:p>
    <w:p w14:paraId="4D83C6BD">
      <w:pPr>
        <w:spacing w:line="360" w:lineRule="auto"/>
        <w:ind w:firstLine="480"/>
      </w:pPr>
    </w:p>
    <w:p w14:paraId="0AD3F197">
      <w:pPr>
        <w:spacing w:line="360" w:lineRule="auto"/>
        <w:ind w:firstLine="480"/>
      </w:pPr>
    </w:p>
    <w:p w14:paraId="5436AB51">
      <w:pPr>
        <w:spacing w:line="360" w:lineRule="auto"/>
        <w:ind w:firstLine="480"/>
      </w:pPr>
    </w:p>
    <w:p w14:paraId="0EB0F584">
      <w:pPr>
        <w:spacing w:line="360" w:lineRule="auto"/>
        <w:ind w:firstLine="480"/>
      </w:pPr>
    </w:p>
    <w:p w14:paraId="2E986454">
      <w:pPr>
        <w:spacing w:line="360" w:lineRule="auto"/>
        <w:ind w:firstLine="480"/>
      </w:pPr>
    </w:p>
    <w:p w14:paraId="13E724AD">
      <w:pPr>
        <w:spacing w:line="360" w:lineRule="auto"/>
        <w:ind w:firstLine="480"/>
      </w:pPr>
    </w:p>
    <w:p w14:paraId="6D400566">
      <w:pPr>
        <w:spacing w:line="360" w:lineRule="auto"/>
        <w:ind w:firstLine="480"/>
      </w:pPr>
    </w:p>
    <w:p w14:paraId="2EB20F67">
      <w:pPr>
        <w:spacing w:line="360" w:lineRule="auto"/>
        <w:ind w:firstLine="480"/>
      </w:pPr>
    </w:p>
    <w:p w14:paraId="67F2CB6A">
      <w:pPr>
        <w:spacing w:line="360" w:lineRule="auto"/>
        <w:ind w:firstLine="480"/>
      </w:pPr>
    </w:p>
    <w:p w14:paraId="51DA811C">
      <w:pPr>
        <w:autoSpaceDE w:val="0"/>
        <w:autoSpaceDN w:val="0"/>
        <w:spacing w:line="360" w:lineRule="auto"/>
        <w:jc w:val="right"/>
        <w:rPr>
          <w:bCs/>
          <w:sz w:val="24"/>
          <w:szCs w:val="28"/>
        </w:rPr>
      </w:pPr>
      <w:r>
        <w:rPr>
          <w:bCs/>
          <w:sz w:val="24"/>
          <w:szCs w:val="28"/>
        </w:rPr>
        <w:t>企业名称：       （公章）</w:t>
      </w:r>
    </w:p>
    <w:p w14:paraId="10BAE4DD">
      <w:pPr>
        <w:autoSpaceDE w:val="0"/>
        <w:autoSpaceDN w:val="0"/>
        <w:spacing w:line="360" w:lineRule="auto"/>
        <w:jc w:val="right"/>
        <w:rPr>
          <w:bCs/>
          <w:sz w:val="24"/>
          <w:szCs w:val="28"/>
        </w:rPr>
      </w:pPr>
      <w:r>
        <w:rPr>
          <w:bCs/>
          <w:sz w:val="24"/>
          <w:szCs w:val="28"/>
        </w:rPr>
        <w:t xml:space="preserve">       企业法定代表人：       （签字或盖章）</w:t>
      </w:r>
    </w:p>
    <w:p w14:paraId="300A6E33">
      <w:pPr>
        <w:autoSpaceDE w:val="0"/>
        <w:autoSpaceDN w:val="0"/>
        <w:spacing w:line="360" w:lineRule="auto"/>
        <w:jc w:val="right"/>
        <w:rPr>
          <w:bCs/>
          <w:sz w:val="24"/>
          <w:szCs w:val="28"/>
        </w:rPr>
      </w:pPr>
      <w:r>
        <w:rPr>
          <w:bCs/>
          <w:sz w:val="24"/>
          <w:szCs w:val="28"/>
        </w:rPr>
        <w:t xml:space="preserve">                                                              年   月  日</w:t>
      </w:r>
    </w:p>
    <w:p w14:paraId="60837E26">
      <w:pPr>
        <w:spacing w:line="360" w:lineRule="auto"/>
        <w:ind w:firstLine="480"/>
        <w:rPr>
          <w:rFonts w:ascii="宋体" w:hAnsi="宋体" w:cs="宋体"/>
          <w:sz w:val="24"/>
        </w:rPr>
      </w:pPr>
    </w:p>
    <w:p w14:paraId="3B8F5E88">
      <w:pPr>
        <w:spacing w:line="360" w:lineRule="auto"/>
        <w:ind w:firstLine="480"/>
        <w:rPr>
          <w:rFonts w:ascii="宋体" w:hAnsi="宋体" w:cs="宋体"/>
          <w:sz w:val="24"/>
        </w:rPr>
      </w:pPr>
    </w:p>
    <w:p w14:paraId="4804EA5D">
      <w:pPr>
        <w:pStyle w:val="5"/>
        <w:numPr>
          <w:ilvl w:val="0"/>
          <w:numId w:val="0"/>
        </w:numPr>
        <w:rPr>
          <w:rFonts w:hAnsi="宋体" w:cs="宋体"/>
          <w:sz w:val="24"/>
          <w:szCs w:val="24"/>
        </w:rPr>
      </w:pPr>
      <w:r>
        <w:rPr>
          <w:rFonts w:hAnsi="宋体"/>
          <w:bCs/>
          <w:sz w:val="24"/>
          <w:szCs w:val="24"/>
        </w:rPr>
        <w:br w:type="page"/>
      </w:r>
      <w:bookmarkStart w:id="131" w:name="_Toc18717"/>
      <w:bookmarkStart w:id="132" w:name="_Toc31287"/>
      <w:r>
        <w:rPr>
          <w:rFonts w:hint="eastAsia" w:hAnsi="宋体"/>
          <w:b/>
          <w:sz w:val="24"/>
          <w:szCs w:val="24"/>
          <w:lang w:val="zh-CN"/>
        </w:rPr>
        <w:t>格式17、磋商供应商认为在其他方面有必要说明的事项</w:t>
      </w:r>
      <w:bookmarkEnd w:id="131"/>
      <w:bookmarkEnd w:id="132"/>
    </w:p>
    <w:p w14:paraId="6FB8E235">
      <w:pPr>
        <w:autoSpaceDE w:val="0"/>
        <w:autoSpaceDN w:val="0"/>
        <w:adjustRightInd w:val="0"/>
        <w:spacing w:line="360" w:lineRule="auto"/>
        <w:rPr>
          <w:rFonts w:ascii="宋体" w:hAnsi="宋体" w:cs="宋体"/>
          <w:kern w:val="0"/>
          <w:sz w:val="24"/>
          <w:lang w:val="zh-CN"/>
        </w:rPr>
      </w:pPr>
    </w:p>
    <w:p w14:paraId="0E498C16">
      <w:pPr>
        <w:pStyle w:val="18"/>
        <w:spacing w:line="360" w:lineRule="auto"/>
        <w:jc w:val="center"/>
        <w:rPr>
          <w:rFonts w:hAnsi="宋体" w:cs="宋体"/>
          <w:b/>
          <w:bCs/>
          <w:sz w:val="24"/>
          <w:szCs w:val="24"/>
          <w:lang w:val="zh-CN"/>
        </w:rPr>
      </w:pPr>
      <w:r>
        <w:rPr>
          <w:rFonts w:hint="eastAsia" w:hAnsi="宋体" w:cs="宋体"/>
          <w:b/>
          <w:bCs/>
          <w:sz w:val="24"/>
          <w:szCs w:val="24"/>
          <w:lang w:val="zh-CN"/>
        </w:rPr>
        <w:t>磋商供应商认为在其他方面有必要说明的事项</w:t>
      </w:r>
    </w:p>
    <w:p w14:paraId="3B32C87E">
      <w:pPr>
        <w:autoSpaceDE w:val="0"/>
        <w:autoSpaceDN w:val="0"/>
        <w:adjustRightInd w:val="0"/>
        <w:spacing w:line="360" w:lineRule="auto"/>
        <w:rPr>
          <w:rFonts w:ascii="宋体" w:hAnsi="宋体" w:cs="宋体"/>
          <w:kern w:val="0"/>
          <w:sz w:val="24"/>
          <w:lang w:val="zh-CN"/>
        </w:rPr>
      </w:pPr>
    </w:p>
    <w:p w14:paraId="7E7A9A5F">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磋商供应商在参加本项目磋商中根据磋商文件的要求认为需要说明的事项。如没有说明事项，此项可忽略。（格式可自定）</w:t>
      </w:r>
    </w:p>
    <w:p w14:paraId="650FFC14">
      <w:pPr>
        <w:pStyle w:val="5"/>
        <w:numPr>
          <w:ilvl w:val="0"/>
          <w:numId w:val="0"/>
        </w:numPr>
        <w:ind w:left="709" w:hanging="709"/>
        <w:rPr>
          <w:rFonts w:hAnsi="宋体"/>
          <w:b/>
          <w:sz w:val="24"/>
          <w:szCs w:val="24"/>
          <w:lang w:val="zh-CN"/>
        </w:rPr>
      </w:pPr>
      <w:r>
        <w:rPr>
          <w:rFonts w:hAnsi="宋体"/>
          <w:bCs/>
          <w:sz w:val="24"/>
          <w:szCs w:val="24"/>
        </w:rPr>
        <w:br w:type="page"/>
      </w:r>
      <w:bookmarkStart w:id="133" w:name="_Toc16715"/>
      <w:r>
        <w:rPr>
          <w:rFonts w:hAnsi="宋体"/>
          <w:b/>
          <w:sz w:val="24"/>
          <w:szCs w:val="24"/>
          <w:lang w:val="zh-CN"/>
        </w:rPr>
        <w:t>格式</w:t>
      </w:r>
      <w:r>
        <w:rPr>
          <w:rFonts w:hint="eastAsia" w:hAnsi="宋体"/>
          <w:b/>
          <w:sz w:val="24"/>
          <w:szCs w:val="24"/>
          <w:lang w:val="zh-CN"/>
        </w:rPr>
        <w:t>18、磋商最终报价表</w:t>
      </w:r>
      <w:r>
        <w:rPr>
          <w:rFonts w:hint="eastAsia" w:hAnsi="宋体"/>
          <w:b/>
          <w:sz w:val="24"/>
          <w:szCs w:val="24"/>
        </w:rPr>
        <w:t>（单独提交）</w:t>
      </w:r>
      <w:bookmarkEnd w:id="133"/>
    </w:p>
    <w:p w14:paraId="410D5AB8">
      <w:pPr>
        <w:spacing w:line="360" w:lineRule="auto"/>
        <w:jc w:val="center"/>
        <w:rPr>
          <w:rFonts w:ascii="宋体" w:hAnsi="宋体"/>
          <w:b/>
          <w:sz w:val="24"/>
        </w:rPr>
      </w:pPr>
      <w:r>
        <w:rPr>
          <w:rFonts w:hint="eastAsia" w:ascii="宋体" w:hAnsi="宋体"/>
          <w:b/>
          <w:sz w:val="24"/>
        </w:rPr>
        <w:t>磋商最终报价表</w:t>
      </w:r>
    </w:p>
    <w:p w14:paraId="2DDE1A3B">
      <w:pPr>
        <w:spacing w:line="360" w:lineRule="auto"/>
        <w:rPr>
          <w:rFonts w:ascii="宋体" w:hAnsi="宋体"/>
          <w:b/>
          <w:sz w:val="24"/>
        </w:rPr>
      </w:pPr>
      <w:r>
        <w:rPr>
          <w:rFonts w:hint="eastAsia" w:ascii="宋体" w:hAnsi="宋体"/>
          <w:b/>
          <w:sz w:val="24"/>
        </w:rPr>
        <w:t xml:space="preserve">磋商供应商名称： </w:t>
      </w:r>
    </w:p>
    <w:p w14:paraId="670ED784">
      <w:pPr>
        <w:autoSpaceDE w:val="0"/>
        <w:autoSpaceDN w:val="0"/>
        <w:adjustRightInd w:val="0"/>
        <w:spacing w:line="360" w:lineRule="auto"/>
        <w:jc w:val="right"/>
        <w:rPr>
          <w:rFonts w:ascii="宋体" w:hAnsi="宋体" w:cs="宋体"/>
          <w:b/>
          <w:bCs/>
          <w:kern w:val="0"/>
          <w:sz w:val="24"/>
          <w:lang w:val="zh-CN"/>
        </w:rPr>
      </w:pPr>
      <w:r>
        <w:rPr>
          <w:rFonts w:hint="eastAsia" w:ascii="宋体" w:hAnsi="宋体"/>
          <w:b/>
          <w:sz w:val="24"/>
        </w:rPr>
        <w:t xml:space="preserve">                                                单位：元</w:t>
      </w:r>
    </w:p>
    <w:tbl>
      <w:tblPr>
        <w:tblStyle w:val="33"/>
        <w:tblW w:w="9968" w:type="dxa"/>
        <w:jc w:val="center"/>
        <w:tblLayout w:type="fixed"/>
        <w:tblCellMar>
          <w:top w:w="0" w:type="dxa"/>
          <w:left w:w="108" w:type="dxa"/>
          <w:bottom w:w="0" w:type="dxa"/>
          <w:right w:w="108" w:type="dxa"/>
        </w:tblCellMar>
      </w:tblPr>
      <w:tblGrid>
        <w:gridCol w:w="3458"/>
        <w:gridCol w:w="2951"/>
        <w:gridCol w:w="2313"/>
        <w:gridCol w:w="1246"/>
      </w:tblGrid>
      <w:tr w14:paraId="7582E543">
        <w:tblPrEx>
          <w:tblCellMar>
            <w:top w:w="0" w:type="dxa"/>
            <w:left w:w="108" w:type="dxa"/>
            <w:bottom w:w="0" w:type="dxa"/>
            <w:right w:w="108" w:type="dxa"/>
          </w:tblCellMar>
        </w:tblPrEx>
        <w:trPr>
          <w:trHeight w:val="699" w:hRule="atLeast"/>
          <w:jc w:val="center"/>
        </w:trPr>
        <w:tc>
          <w:tcPr>
            <w:tcW w:w="345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BD39F0">
            <w:pPr>
              <w:autoSpaceDE w:val="0"/>
              <w:autoSpaceDN w:val="0"/>
              <w:spacing w:line="360" w:lineRule="auto"/>
              <w:jc w:val="center"/>
              <w:rPr>
                <w:rFonts w:ascii="宋体" w:hAnsi="宋体" w:cs="Arial"/>
                <w:sz w:val="24"/>
                <w:lang w:val="zh-CN"/>
              </w:rPr>
            </w:pPr>
            <w:r>
              <w:rPr>
                <w:rFonts w:ascii="宋体" w:hAnsi="宋体" w:cs="Arial"/>
                <w:bCs/>
                <w:sz w:val="24"/>
                <w:lang w:val="zh-CN"/>
              </w:rPr>
              <w:t>项目名称</w:t>
            </w:r>
          </w:p>
        </w:tc>
        <w:tc>
          <w:tcPr>
            <w:tcW w:w="295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387C013">
            <w:pPr>
              <w:autoSpaceDE w:val="0"/>
              <w:autoSpaceDN w:val="0"/>
              <w:spacing w:line="360" w:lineRule="auto"/>
              <w:ind w:firstLine="482"/>
              <w:jc w:val="center"/>
              <w:rPr>
                <w:rFonts w:ascii="宋体" w:hAnsi="宋体" w:cs="Arial"/>
                <w:sz w:val="24"/>
                <w:lang w:val="zh-CN"/>
              </w:rPr>
            </w:pPr>
            <w:r>
              <w:rPr>
                <w:rFonts w:ascii="宋体" w:hAnsi="宋体" w:cs="Arial"/>
                <w:bCs/>
                <w:sz w:val="24"/>
                <w:lang w:val="zh-CN"/>
              </w:rPr>
              <w:t>投标报价</w:t>
            </w:r>
          </w:p>
        </w:tc>
        <w:tc>
          <w:tcPr>
            <w:tcW w:w="2313" w:type="dxa"/>
            <w:tcBorders>
              <w:top w:val="single" w:color="000000" w:sz="6" w:space="0"/>
              <w:left w:val="single" w:color="000000" w:sz="6" w:space="0"/>
              <w:bottom w:val="single" w:color="000000" w:sz="6" w:space="0"/>
              <w:right w:val="single" w:color="auto" w:sz="4" w:space="0"/>
            </w:tcBorders>
            <w:shd w:val="clear" w:color="000000" w:fill="FFFFFF"/>
            <w:vAlign w:val="center"/>
          </w:tcPr>
          <w:p w14:paraId="344AC5F1">
            <w:pPr>
              <w:autoSpaceDE w:val="0"/>
              <w:autoSpaceDN w:val="0"/>
              <w:spacing w:line="360" w:lineRule="auto"/>
              <w:jc w:val="center"/>
              <w:rPr>
                <w:rFonts w:ascii="宋体" w:hAnsi="宋体" w:cs="Arial"/>
                <w:bCs/>
                <w:sz w:val="24"/>
                <w:lang w:val="zh-CN"/>
              </w:rPr>
            </w:pPr>
            <w:r>
              <w:rPr>
                <w:rFonts w:ascii="宋体" w:hAnsi="宋体" w:cs="Arial"/>
                <w:bCs/>
                <w:sz w:val="24"/>
                <w:lang w:val="zh-CN"/>
              </w:rPr>
              <w:t>交货期</w:t>
            </w:r>
          </w:p>
        </w:tc>
        <w:tc>
          <w:tcPr>
            <w:tcW w:w="12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D361672">
            <w:pPr>
              <w:autoSpaceDE w:val="0"/>
              <w:autoSpaceDN w:val="0"/>
              <w:spacing w:line="360" w:lineRule="auto"/>
              <w:jc w:val="center"/>
              <w:rPr>
                <w:rFonts w:ascii="宋体" w:hAnsi="宋体" w:cs="Arial"/>
                <w:sz w:val="24"/>
                <w:lang w:val="zh-CN"/>
              </w:rPr>
            </w:pPr>
            <w:r>
              <w:rPr>
                <w:rFonts w:ascii="宋体" w:hAnsi="宋体" w:cs="Arial"/>
                <w:bCs/>
                <w:sz w:val="24"/>
                <w:lang w:val="zh-CN"/>
              </w:rPr>
              <w:t>备注</w:t>
            </w:r>
          </w:p>
        </w:tc>
      </w:tr>
      <w:tr w14:paraId="4E773BE0">
        <w:tblPrEx>
          <w:tblCellMar>
            <w:top w:w="0" w:type="dxa"/>
            <w:left w:w="108" w:type="dxa"/>
            <w:bottom w:w="0" w:type="dxa"/>
            <w:right w:w="108" w:type="dxa"/>
          </w:tblCellMar>
        </w:tblPrEx>
        <w:trPr>
          <w:trHeight w:val="749" w:hRule="atLeast"/>
          <w:jc w:val="center"/>
        </w:trPr>
        <w:tc>
          <w:tcPr>
            <w:tcW w:w="3458" w:type="dxa"/>
            <w:vMerge w:val="restart"/>
            <w:tcBorders>
              <w:top w:val="single" w:color="000000" w:sz="6" w:space="0"/>
              <w:left w:val="single" w:color="000000" w:sz="6" w:space="0"/>
              <w:right w:val="single" w:color="000000" w:sz="6" w:space="0"/>
            </w:tcBorders>
            <w:shd w:val="clear" w:color="000000" w:fill="FFFFFF"/>
            <w:vAlign w:val="center"/>
          </w:tcPr>
          <w:p w14:paraId="6C27AFB1">
            <w:pPr>
              <w:autoSpaceDE w:val="0"/>
              <w:autoSpaceDN w:val="0"/>
              <w:spacing w:line="360" w:lineRule="auto"/>
              <w:jc w:val="center"/>
              <w:rPr>
                <w:rFonts w:ascii="宋体" w:hAnsi="宋体" w:cs="Arial"/>
                <w:sz w:val="24"/>
                <w:lang w:val="zh-CN"/>
              </w:rPr>
            </w:pPr>
          </w:p>
        </w:tc>
        <w:tc>
          <w:tcPr>
            <w:tcW w:w="295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D196BB">
            <w:pPr>
              <w:autoSpaceDE w:val="0"/>
              <w:autoSpaceDN w:val="0"/>
              <w:spacing w:line="360" w:lineRule="auto"/>
              <w:rPr>
                <w:rFonts w:ascii="宋体" w:hAnsi="宋体" w:cs="Arial"/>
                <w:sz w:val="24"/>
                <w:lang w:val="zh-CN"/>
              </w:rPr>
            </w:pPr>
            <w:r>
              <w:rPr>
                <w:rFonts w:ascii="宋体" w:hAnsi="宋体" w:cs="Arial"/>
                <w:bCs/>
                <w:sz w:val="24"/>
                <w:lang w:val="zh-CN"/>
              </w:rPr>
              <w:t>大写：</w:t>
            </w:r>
          </w:p>
        </w:tc>
        <w:tc>
          <w:tcPr>
            <w:tcW w:w="2313" w:type="dxa"/>
            <w:vMerge w:val="restart"/>
            <w:tcBorders>
              <w:top w:val="single" w:color="000000" w:sz="6" w:space="0"/>
              <w:left w:val="single" w:color="000000" w:sz="6" w:space="0"/>
              <w:bottom w:val="single" w:color="000000" w:sz="6" w:space="0"/>
              <w:right w:val="single" w:color="auto" w:sz="4" w:space="0"/>
            </w:tcBorders>
            <w:shd w:val="clear" w:color="000000" w:fill="FFFFFF"/>
            <w:vAlign w:val="center"/>
          </w:tcPr>
          <w:p w14:paraId="43B67871">
            <w:pPr>
              <w:autoSpaceDE w:val="0"/>
              <w:autoSpaceDN w:val="0"/>
              <w:spacing w:line="360" w:lineRule="auto"/>
              <w:ind w:firstLine="197"/>
              <w:jc w:val="center"/>
              <w:rPr>
                <w:rFonts w:ascii="宋体" w:hAnsi="宋体" w:cs="Arial"/>
                <w:sz w:val="24"/>
                <w:lang w:val="zh-CN"/>
              </w:rPr>
            </w:pPr>
          </w:p>
        </w:tc>
        <w:tc>
          <w:tcPr>
            <w:tcW w:w="1246"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14:paraId="3ABD1FC2">
            <w:pPr>
              <w:autoSpaceDE w:val="0"/>
              <w:autoSpaceDN w:val="0"/>
              <w:spacing w:line="360" w:lineRule="auto"/>
              <w:jc w:val="center"/>
              <w:rPr>
                <w:rFonts w:ascii="宋体" w:hAnsi="宋体" w:cs="Arial"/>
                <w:sz w:val="24"/>
                <w:lang w:val="zh-CN"/>
              </w:rPr>
            </w:pPr>
          </w:p>
        </w:tc>
      </w:tr>
      <w:tr w14:paraId="10E98DA4">
        <w:tblPrEx>
          <w:tblCellMar>
            <w:top w:w="0" w:type="dxa"/>
            <w:left w:w="108" w:type="dxa"/>
            <w:bottom w:w="0" w:type="dxa"/>
            <w:right w:w="108" w:type="dxa"/>
          </w:tblCellMar>
        </w:tblPrEx>
        <w:trPr>
          <w:trHeight w:val="1026" w:hRule="atLeast"/>
          <w:jc w:val="center"/>
        </w:trPr>
        <w:tc>
          <w:tcPr>
            <w:tcW w:w="3458" w:type="dxa"/>
            <w:vMerge w:val="continue"/>
            <w:tcBorders>
              <w:left w:val="single" w:color="000000" w:sz="6" w:space="0"/>
              <w:bottom w:val="single" w:color="000000" w:sz="6" w:space="0"/>
              <w:right w:val="single" w:color="000000" w:sz="6" w:space="0"/>
            </w:tcBorders>
            <w:shd w:val="clear" w:color="000000" w:fill="FFFFFF"/>
            <w:vAlign w:val="center"/>
          </w:tcPr>
          <w:p w14:paraId="51DB2D69">
            <w:pPr>
              <w:autoSpaceDE w:val="0"/>
              <w:autoSpaceDN w:val="0"/>
              <w:spacing w:line="360" w:lineRule="auto"/>
              <w:jc w:val="center"/>
              <w:rPr>
                <w:rFonts w:ascii="宋体" w:hAnsi="宋体" w:cs="Arial"/>
                <w:sz w:val="24"/>
                <w:lang w:val="zh-CN"/>
              </w:rPr>
            </w:pPr>
          </w:p>
        </w:tc>
        <w:tc>
          <w:tcPr>
            <w:tcW w:w="295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93BA0A5">
            <w:pPr>
              <w:autoSpaceDE w:val="0"/>
              <w:autoSpaceDN w:val="0"/>
              <w:spacing w:line="360" w:lineRule="auto"/>
              <w:rPr>
                <w:rFonts w:ascii="宋体" w:hAnsi="宋体" w:cs="Arial"/>
                <w:sz w:val="24"/>
                <w:lang w:val="zh-CN"/>
              </w:rPr>
            </w:pPr>
            <w:r>
              <w:rPr>
                <w:rFonts w:ascii="宋体" w:hAnsi="宋体" w:cs="Arial"/>
                <w:bCs/>
                <w:sz w:val="24"/>
                <w:lang w:val="zh-CN"/>
              </w:rPr>
              <w:t>小写：</w:t>
            </w:r>
          </w:p>
        </w:tc>
        <w:tc>
          <w:tcPr>
            <w:tcW w:w="2313" w:type="dxa"/>
            <w:vMerge w:val="continue"/>
            <w:tcBorders>
              <w:top w:val="single" w:color="000000" w:sz="6" w:space="0"/>
              <w:left w:val="single" w:color="000000" w:sz="6" w:space="0"/>
              <w:bottom w:val="single" w:color="000000" w:sz="6" w:space="0"/>
              <w:right w:val="single" w:color="auto" w:sz="4" w:space="0"/>
            </w:tcBorders>
            <w:shd w:val="clear" w:color="000000" w:fill="FFFFFF"/>
            <w:vAlign w:val="center"/>
          </w:tcPr>
          <w:p w14:paraId="1F67699C">
            <w:pPr>
              <w:autoSpaceDE w:val="0"/>
              <w:autoSpaceDN w:val="0"/>
              <w:spacing w:line="360" w:lineRule="auto"/>
              <w:jc w:val="center"/>
              <w:rPr>
                <w:rFonts w:ascii="宋体" w:hAnsi="宋体" w:cs="Arial"/>
                <w:sz w:val="24"/>
                <w:lang w:val="zh-CN"/>
              </w:rPr>
            </w:pPr>
          </w:p>
        </w:tc>
        <w:tc>
          <w:tcPr>
            <w:tcW w:w="1246"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14:paraId="5E9563A5">
            <w:pPr>
              <w:autoSpaceDE w:val="0"/>
              <w:autoSpaceDN w:val="0"/>
              <w:spacing w:line="360" w:lineRule="auto"/>
              <w:jc w:val="center"/>
              <w:rPr>
                <w:rFonts w:ascii="宋体" w:hAnsi="宋体" w:cs="Arial"/>
                <w:sz w:val="24"/>
                <w:lang w:val="zh-CN"/>
              </w:rPr>
            </w:pPr>
          </w:p>
        </w:tc>
      </w:tr>
    </w:tbl>
    <w:p w14:paraId="4929407E">
      <w:pPr>
        <w:spacing w:line="360" w:lineRule="auto"/>
        <w:rPr>
          <w:rFonts w:ascii="宋体" w:hAnsi="宋体"/>
          <w:b/>
          <w:sz w:val="24"/>
        </w:rPr>
      </w:pPr>
    </w:p>
    <w:p w14:paraId="7A9275BF">
      <w:pPr>
        <w:spacing w:line="360" w:lineRule="auto"/>
        <w:rPr>
          <w:rFonts w:ascii="宋体" w:hAnsi="宋体"/>
          <w:b/>
        </w:rPr>
      </w:pPr>
      <w:r>
        <w:rPr>
          <w:rFonts w:hint="eastAsia" w:ascii="宋体" w:hAnsi="宋体"/>
          <w:b/>
        </w:rPr>
        <w:t>注</w:t>
      </w:r>
      <w:r>
        <w:rPr>
          <w:rFonts w:ascii="宋体" w:hAnsi="宋体"/>
          <w:b/>
        </w:rPr>
        <w:t>：</w:t>
      </w:r>
      <w:r>
        <w:rPr>
          <w:rFonts w:hint="eastAsia" w:ascii="宋体" w:hAnsi="宋体"/>
          <w:b/>
        </w:rPr>
        <w:t>此表不需装订在磋商响应文件中，磋商供应商事先须盖章、签字。在磋商期间，由磋商小组确定合格的磋商供应商现场填写。“</w:t>
      </w:r>
      <w:r>
        <w:rPr>
          <w:rFonts w:ascii="宋体" w:hAnsi="宋体"/>
          <w:b/>
        </w:rPr>
        <w:t>磋商报价</w:t>
      </w:r>
      <w:r>
        <w:rPr>
          <w:rFonts w:hint="eastAsia" w:ascii="宋体" w:hAnsi="宋体"/>
          <w:b/>
        </w:rPr>
        <w:t>”</w:t>
      </w:r>
      <w:r>
        <w:rPr>
          <w:rFonts w:ascii="宋体" w:hAnsi="宋体"/>
          <w:b/>
        </w:rPr>
        <w:t>为磋商总价。</w:t>
      </w:r>
      <w:r>
        <w:rPr>
          <w:rFonts w:hint="eastAsia" w:ascii="宋体" w:hAnsi="宋体"/>
          <w:b/>
        </w:rPr>
        <w:t>磋商报价必须包括：产品费、检验费、手续费、保险费、售后服务费、税金、招标代理费以及其他不可预见费等全部费用。</w:t>
      </w:r>
    </w:p>
    <w:p w14:paraId="4442F76A">
      <w:pPr>
        <w:tabs>
          <w:tab w:val="left" w:pos="168"/>
        </w:tabs>
        <w:adjustRightInd w:val="0"/>
        <w:spacing w:line="360" w:lineRule="auto"/>
        <w:textAlignment w:val="baseline"/>
        <w:rPr>
          <w:rFonts w:ascii="宋体" w:hAnsi="宋体"/>
          <w:b/>
          <w:bCs/>
          <w:sz w:val="24"/>
        </w:rPr>
      </w:pPr>
    </w:p>
    <w:p w14:paraId="6AC5A3B1">
      <w:pPr>
        <w:pStyle w:val="30"/>
        <w:rPr>
          <w:rFonts w:ascii="宋体" w:hAnsi="宋体"/>
          <w:sz w:val="24"/>
        </w:rPr>
      </w:pPr>
    </w:p>
    <w:p w14:paraId="31E0F48F"/>
    <w:p w14:paraId="6D42FB49">
      <w:pPr>
        <w:tabs>
          <w:tab w:val="left" w:pos="168"/>
        </w:tabs>
        <w:adjustRightInd w:val="0"/>
        <w:spacing w:line="360" w:lineRule="auto"/>
        <w:textAlignment w:val="baseline"/>
        <w:rPr>
          <w:rFonts w:ascii="宋体" w:hAnsi="宋体"/>
          <w:b/>
          <w:bCs/>
          <w:sz w:val="24"/>
        </w:rPr>
      </w:pPr>
    </w:p>
    <w:p w14:paraId="5E30F3E1">
      <w:pPr>
        <w:tabs>
          <w:tab w:val="left" w:pos="168"/>
        </w:tabs>
        <w:adjustRightInd w:val="0"/>
        <w:spacing w:line="360" w:lineRule="auto"/>
        <w:textAlignment w:val="baseline"/>
        <w:rPr>
          <w:rFonts w:ascii="宋体" w:hAnsi="宋体"/>
          <w:b/>
          <w:bCs/>
          <w:sz w:val="24"/>
        </w:rPr>
      </w:pPr>
    </w:p>
    <w:p w14:paraId="1D76ED37">
      <w:pPr>
        <w:tabs>
          <w:tab w:val="left" w:pos="168"/>
        </w:tabs>
        <w:adjustRightInd w:val="0"/>
        <w:spacing w:line="360" w:lineRule="auto"/>
        <w:textAlignment w:val="baseline"/>
        <w:rPr>
          <w:rFonts w:ascii="宋体" w:hAnsi="宋体"/>
          <w:b/>
          <w:bCs/>
          <w:sz w:val="24"/>
        </w:rPr>
      </w:pPr>
    </w:p>
    <w:p w14:paraId="0752B51A">
      <w:pPr>
        <w:tabs>
          <w:tab w:val="left" w:pos="168"/>
        </w:tabs>
        <w:adjustRightInd w:val="0"/>
        <w:spacing w:line="360" w:lineRule="auto"/>
        <w:textAlignment w:val="baseline"/>
        <w:rPr>
          <w:rFonts w:ascii="宋体" w:hAnsi="宋体"/>
          <w:bCs/>
          <w:sz w:val="24"/>
        </w:rPr>
      </w:pPr>
    </w:p>
    <w:p w14:paraId="29ED7C41">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磋商供应商：             （公章）</w:t>
      </w:r>
    </w:p>
    <w:p w14:paraId="3F5B0922">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法定代表人或委托代理人：                （签字）</w:t>
      </w:r>
    </w:p>
    <w:p w14:paraId="5863DEEE">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日期：    年   月   日</w:t>
      </w:r>
    </w:p>
    <w:p w14:paraId="31138D66">
      <w:pPr>
        <w:spacing w:line="360" w:lineRule="auto"/>
        <w:jc w:val="center"/>
        <w:rPr>
          <w:rFonts w:ascii="宋体" w:hAnsi="宋体"/>
          <w:bCs/>
          <w:sz w:val="24"/>
        </w:rPr>
      </w:pPr>
    </w:p>
    <w:p w14:paraId="6A9D0CB2">
      <w:pPr>
        <w:pStyle w:val="24"/>
        <w:spacing w:before="0" w:after="0" w:line="360" w:lineRule="auto"/>
        <w:rPr>
          <w:rFonts w:ascii="宋体" w:hAnsi="宋体"/>
          <w:sz w:val="48"/>
          <w:szCs w:val="48"/>
        </w:rPr>
      </w:pPr>
      <w:r>
        <w:rPr>
          <w:rFonts w:ascii="宋体" w:hAnsi="宋体"/>
          <w:b w:val="0"/>
          <w:sz w:val="24"/>
          <w:szCs w:val="24"/>
        </w:rPr>
        <w:br w:type="page"/>
      </w:r>
      <w:bookmarkStart w:id="134" w:name="_Toc29404"/>
      <w:bookmarkStart w:id="135" w:name="_Toc23345"/>
      <w:bookmarkStart w:id="136" w:name="_Toc444715745"/>
      <w:r>
        <w:rPr>
          <w:rFonts w:hint="eastAsia" w:ascii="宋体" w:hAnsi="宋体"/>
          <w:sz w:val="48"/>
          <w:szCs w:val="48"/>
        </w:rPr>
        <w:t>第六部分  采购项目要求及技术参数</w:t>
      </w:r>
      <w:bookmarkEnd w:id="134"/>
      <w:bookmarkEnd w:id="135"/>
      <w:bookmarkEnd w:id="136"/>
    </w:p>
    <w:p w14:paraId="542727E3">
      <w:pPr>
        <w:pStyle w:val="5"/>
        <w:keepNext/>
        <w:keepLines/>
        <w:numPr>
          <w:ilvl w:val="0"/>
          <w:numId w:val="0"/>
        </w:numPr>
        <w:tabs>
          <w:tab w:val="clear" w:pos="425"/>
        </w:tabs>
        <w:snapToGrid/>
        <w:ind w:left="567" w:hanging="567"/>
        <w:rPr>
          <w:rFonts w:hAnsi="宋体"/>
          <w:b/>
          <w:bCs/>
          <w:kern w:val="0"/>
          <w:sz w:val="24"/>
          <w:szCs w:val="24"/>
        </w:rPr>
      </w:pPr>
      <w:bookmarkStart w:id="137" w:name="_Toc428180595"/>
      <w:bookmarkStart w:id="138" w:name="_Toc22683"/>
      <w:r>
        <w:rPr>
          <w:rFonts w:hint="eastAsia" w:hAnsi="宋体"/>
          <w:b/>
          <w:bCs/>
          <w:kern w:val="0"/>
          <w:sz w:val="24"/>
          <w:szCs w:val="24"/>
        </w:rPr>
        <w:t>一、磋商要求</w:t>
      </w:r>
      <w:bookmarkEnd w:id="137"/>
      <w:bookmarkEnd w:id="138"/>
    </w:p>
    <w:p w14:paraId="62343AA4">
      <w:pPr>
        <w:adjustRightInd w:val="0"/>
        <w:snapToGrid w:val="0"/>
        <w:spacing w:line="360" w:lineRule="auto"/>
        <w:ind w:left="425" w:hanging="425"/>
        <w:rPr>
          <w:rFonts w:ascii="宋体" w:hAnsi="宋体"/>
          <w:kern w:val="0"/>
          <w:sz w:val="24"/>
        </w:rPr>
      </w:pPr>
      <w:bookmarkStart w:id="139" w:name="_Toc428180596"/>
      <w:r>
        <w:rPr>
          <w:rFonts w:ascii="宋体" w:hAnsi="宋体"/>
          <w:kern w:val="0"/>
          <w:sz w:val="24"/>
        </w:rPr>
        <w:t>1.</w:t>
      </w:r>
      <w:r>
        <w:rPr>
          <w:rFonts w:hint="eastAsia" w:ascii="宋体" w:hAnsi="宋体"/>
          <w:kern w:val="0"/>
          <w:sz w:val="24"/>
        </w:rPr>
        <w:t>磋商说明</w:t>
      </w:r>
      <w:bookmarkEnd w:id="139"/>
    </w:p>
    <w:p w14:paraId="7752A000">
      <w:pPr>
        <w:autoSpaceDE w:val="0"/>
        <w:autoSpaceDN w:val="0"/>
        <w:adjustRightInd w:val="0"/>
        <w:spacing w:line="360" w:lineRule="auto"/>
        <w:ind w:firstLine="480" w:firstLineChars="200"/>
        <w:rPr>
          <w:rFonts w:ascii="宋体" w:hAnsi="宋体" w:cs="宋体"/>
          <w:kern w:val="0"/>
          <w:sz w:val="24"/>
          <w:lang w:val="zh-CN"/>
        </w:rPr>
      </w:pPr>
      <w:r>
        <w:rPr>
          <w:rFonts w:ascii="宋体" w:hAnsi="宋体" w:cs="宋体"/>
          <w:kern w:val="0"/>
          <w:sz w:val="24"/>
          <w:lang w:val="zh-CN"/>
        </w:rPr>
        <w:t>1.1.</w:t>
      </w:r>
      <w:r>
        <w:rPr>
          <w:rFonts w:hint="eastAsia" w:ascii="宋体" w:hAnsi="宋体" w:cs="宋体"/>
          <w:kern w:val="0"/>
          <w:sz w:val="24"/>
          <w:lang w:val="zh-CN"/>
        </w:rPr>
        <w:t>磋商供应商可以按照磋商文件的规定磋商，但必须对所投包号中的所有内容作为一个整体进行磋商，不能拆分或少报。否则，磋商无效。</w:t>
      </w:r>
    </w:p>
    <w:p w14:paraId="2D22A02B">
      <w:pPr>
        <w:autoSpaceDE w:val="0"/>
        <w:autoSpaceDN w:val="0"/>
        <w:adjustRightInd w:val="0"/>
        <w:spacing w:line="360" w:lineRule="auto"/>
        <w:ind w:firstLine="480" w:firstLineChars="200"/>
        <w:rPr>
          <w:rFonts w:ascii="宋体" w:hAnsi="宋体" w:cs="宋体"/>
          <w:kern w:val="0"/>
          <w:sz w:val="24"/>
          <w:lang w:val="zh-CN"/>
        </w:rPr>
      </w:pPr>
      <w:r>
        <w:rPr>
          <w:rFonts w:ascii="宋体" w:hAnsi="宋体" w:cs="宋体"/>
          <w:kern w:val="0"/>
          <w:sz w:val="24"/>
          <w:lang w:val="zh-CN"/>
        </w:rPr>
        <w:t>1.2.</w:t>
      </w:r>
      <w:r>
        <w:rPr>
          <w:rFonts w:hint="eastAsia" w:ascii="宋体" w:hAnsi="宋体" w:cs="宋体"/>
          <w:kern w:val="0"/>
          <w:sz w:val="24"/>
          <w:lang w:val="zh-CN"/>
        </w:rPr>
        <w:t>磋商报价应包括</w:t>
      </w:r>
      <w:r>
        <w:rPr>
          <w:rFonts w:hint="eastAsia" w:ascii="宋体" w:hAnsi="宋体"/>
          <w:sz w:val="24"/>
        </w:rPr>
        <w:t>产品费</w:t>
      </w:r>
      <w:r>
        <w:rPr>
          <w:rFonts w:hint="eastAsia" w:hAnsi="宋体"/>
          <w:sz w:val="24"/>
        </w:rPr>
        <w:t>、</w:t>
      </w:r>
      <w:r>
        <w:rPr>
          <w:rFonts w:hint="eastAsia" w:ascii="宋体" w:hAnsi="宋体"/>
          <w:sz w:val="24"/>
        </w:rPr>
        <w:t>检验费、手续费、保险费、售后服务费、税金、招标代理费以及其他不可预见费等全部费用（说明：具体内容应根据项目特点实事求是的填写）</w:t>
      </w:r>
      <w:r>
        <w:rPr>
          <w:rFonts w:hint="eastAsia" w:ascii="宋体" w:hAnsi="宋体" w:cs="宋体"/>
          <w:kern w:val="0"/>
          <w:sz w:val="24"/>
          <w:lang w:val="zh-CN"/>
        </w:rPr>
        <w:t>。若磋商报价不能完全包括上述内容，该磋商将被认为非实质性响应。</w:t>
      </w:r>
    </w:p>
    <w:p w14:paraId="63E9CE1F">
      <w:pPr>
        <w:autoSpaceDE w:val="0"/>
        <w:autoSpaceDN w:val="0"/>
        <w:adjustRightInd w:val="0"/>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ascii="宋体" w:hAnsi="宋体" w:cs="宋体"/>
          <w:kern w:val="0"/>
          <w:sz w:val="24"/>
          <w:lang w:val="zh-CN"/>
        </w:rPr>
        <w:t>1.3.</w:t>
      </w:r>
      <w:r>
        <w:rPr>
          <w:rFonts w:hint="eastAsia" w:ascii="宋体" w:hAnsi="宋体" w:cs="宋体"/>
          <w:kern w:val="0"/>
          <w:sz w:val="24"/>
          <w:lang w:val="zh-CN"/>
        </w:rPr>
        <w:t>磋商供应商必须如实填写</w:t>
      </w:r>
      <w:r>
        <w:rPr>
          <w:rFonts w:ascii="宋体" w:hAnsi="宋体" w:cs="宋体"/>
          <w:kern w:val="0"/>
          <w:sz w:val="24"/>
          <w:lang w:val="zh-CN"/>
        </w:rPr>
        <w:t>“</w:t>
      </w:r>
      <w:r>
        <w:rPr>
          <w:rFonts w:hint="eastAsia" w:ascii="宋体" w:hAnsi="宋体" w:cs="宋体"/>
          <w:kern w:val="0"/>
          <w:sz w:val="24"/>
          <w:lang w:val="zh-CN"/>
        </w:rPr>
        <w:t>技术规格响应表</w:t>
      </w:r>
      <w:r>
        <w:rPr>
          <w:rFonts w:ascii="宋体" w:hAnsi="宋体" w:cs="宋体"/>
          <w:kern w:val="0"/>
          <w:sz w:val="24"/>
          <w:lang w:val="zh-CN"/>
        </w:rPr>
        <w:t>”</w:t>
      </w:r>
      <w:r>
        <w:rPr>
          <w:rFonts w:hint="eastAsia" w:ascii="宋体" w:hAnsi="宋体" w:cs="宋体"/>
          <w:kern w:val="0"/>
          <w:sz w:val="24"/>
          <w:lang w:val="zh-CN"/>
        </w:rPr>
        <w:t>，在</w:t>
      </w:r>
      <w:r>
        <w:rPr>
          <w:rFonts w:ascii="宋体" w:hAnsi="宋体" w:cs="宋体"/>
          <w:kern w:val="0"/>
          <w:sz w:val="24"/>
          <w:lang w:val="zh-CN"/>
        </w:rPr>
        <w:t>“</w:t>
      </w:r>
      <w:r>
        <w:rPr>
          <w:rFonts w:hint="eastAsia" w:ascii="宋体" w:hAnsi="宋体" w:cs="宋体"/>
          <w:kern w:val="0"/>
          <w:sz w:val="24"/>
          <w:lang w:val="zh-CN"/>
        </w:rPr>
        <w:t>磋商产品技术参数、指标</w:t>
      </w:r>
      <w:r>
        <w:rPr>
          <w:rFonts w:ascii="宋体" w:hAnsi="宋体" w:cs="宋体"/>
          <w:kern w:val="0"/>
          <w:sz w:val="24"/>
          <w:lang w:val="zh-CN"/>
        </w:rPr>
        <w:t>”</w:t>
      </w:r>
      <w:r>
        <w:rPr>
          <w:rFonts w:hint="eastAsia" w:ascii="宋体" w:hAnsi="宋体" w:cs="宋体"/>
          <w:kern w:val="0"/>
          <w:sz w:val="24"/>
          <w:lang w:val="zh-CN"/>
        </w:rPr>
        <w:t>栏中列出所投产品的具体规格型号和具体技术参数、指标；以招标人需求为最低指标要求，磋商供应商对超</w:t>
      </w:r>
      <w:r>
        <w:rPr>
          <w:rFonts w:hint="eastAsia" w:ascii="宋体" w:hAnsi="宋体" w:cs="宋体"/>
          <w:color w:val="000000" w:themeColor="text1"/>
          <w:kern w:val="0"/>
          <w:sz w:val="24"/>
          <w:lang w:val="zh-CN"/>
          <w14:textFill>
            <w14:solidFill>
              <w14:schemeClr w14:val="tx1"/>
            </w14:solidFill>
          </w14:textFill>
        </w:rPr>
        <w:t>出或不满足最低指标要求的指标需列出</w:t>
      </w:r>
      <w:r>
        <w:rPr>
          <w:rFonts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偏差。如果与磋商响应文件中提供的产品检测报告等证明材料中的实质性响应情况不一致或直接复制磋商文件</w:t>
      </w:r>
      <w:r>
        <w:rPr>
          <w:rFonts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采购需求技术参数、指标</w:t>
      </w:r>
      <w:r>
        <w:rPr>
          <w:rFonts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内容的，按无效磋商处理。</w:t>
      </w:r>
    </w:p>
    <w:p w14:paraId="5677CA22">
      <w:pPr>
        <w:autoSpaceDE w:val="0"/>
        <w:autoSpaceDN w:val="0"/>
        <w:adjustRightInd w:val="0"/>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lang w:val="zh-CN"/>
          <w14:textFill>
            <w14:solidFill>
              <w14:schemeClr w14:val="tx1"/>
            </w14:solidFill>
          </w14:textFill>
        </w:rPr>
        <w:t>4交货时间、地点：按采购单位指定的时间、地点交货并安装交付使用。</w:t>
      </w:r>
    </w:p>
    <w:p w14:paraId="14186882">
      <w:pPr>
        <w:adjustRightInd w:val="0"/>
        <w:snapToGrid w:val="0"/>
        <w:spacing w:line="360" w:lineRule="auto"/>
        <w:ind w:left="425" w:hanging="425"/>
        <w:rPr>
          <w:rFonts w:ascii="宋体" w:hAnsi="宋体"/>
          <w:color w:val="000000" w:themeColor="text1"/>
          <w:kern w:val="0"/>
          <w:sz w:val="24"/>
          <w14:textFill>
            <w14:solidFill>
              <w14:schemeClr w14:val="tx1"/>
            </w14:solidFill>
          </w14:textFill>
        </w:rPr>
      </w:pPr>
      <w:bookmarkStart w:id="140" w:name="_Toc428180597"/>
      <w:r>
        <w:rPr>
          <w:rFonts w:ascii="宋体" w:hAnsi="宋体"/>
          <w:color w:val="000000" w:themeColor="text1"/>
          <w:kern w:val="0"/>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报价说明</w:t>
      </w:r>
      <w:bookmarkEnd w:id="140"/>
    </w:p>
    <w:p w14:paraId="15F5E190">
      <w:pPr>
        <w:autoSpaceDE w:val="0"/>
        <w:autoSpaceDN w:val="0"/>
        <w:adjustRightIn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本次磋商文件中规定的采购预算额度为磋商最高限价，磋商供应商</w:t>
      </w:r>
      <w:r>
        <w:rPr>
          <w:rFonts w:hint="eastAsia" w:ascii="宋体" w:hAnsi="宋体" w:cs="宋体"/>
          <w:kern w:val="0"/>
          <w:sz w:val="24"/>
          <w:lang w:val="zh-CN"/>
        </w:rPr>
        <w:t>的磋商报价不得超出此额度。否则，</w:t>
      </w:r>
      <w:r>
        <w:rPr>
          <w:rFonts w:hint="eastAsia" w:ascii="宋体" w:hAnsi="宋体" w:cs="宋体"/>
          <w:color w:val="000000" w:themeColor="text1"/>
          <w:kern w:val="0"/>
          <w:sz w:val="24"/>
          <w:lang w:val="zh-CN"/>
          <w14:textFill>
            <w14:solidFill>
              <w14:schemeClr w14:val="tx1"/>
            </w14:solidFill>
          </w14:textFill>
        </w:rPr>
        <w:t>磋商无效。</w:t>
      </w:r>
    </w:p>
    <w:p w14:paraId="38B90C38">
      <w:pPr>
        <w:adjustRightInd w:val="0"/>
        <w:snapToGrid w:val="0"/>
        <w:spacing w:line="360" w:lineRule="auto"/>
        <w:ind w:left="425" w:hanging="425"/>
        <w:rPr>
          <w:rFonts w:ascii="宋体" w:hAnsi="宋体"/>
          <w:color w:val="000000" w:themeColor="text1"/>
          <w:kern w:val="0"/>
          <w:sz w:val="24"/>
          <w14:textFill>
            <w14:solidFill>
              <w14:schemeClr w14:val="tx1"/>
            </w14:solidFill>
          </w14:textFill>
        </w:rPr>
      </w:pPr>
      <w:bookmarkStart w:id="141" w:name="_Toc428180598"/>
      <w:r>
        <w:rPr>
          <w:rFonts w:ascii="宋体" w:hAnsi="宋体"/>
          <w:color w:val="000000" w:themeColor="text1"/>
          <w:kern w:val="0"/>
          <w:sz w:val="24"/>
          <w14:textFill>
            <w14:solidFill>
              <w14:schemeClr w14:val="tx1"/>
            </w14:solidFill>
          </w14:textFill>
        </w:rPr>
        <w:t>3.</w:t>
      </w:r>
      <w:r>
        <w:rPr>
          <w:rFonts w:hint="eastAsia" w:ascii="宋体" w:hAnsi="宋体"/>
          <w:color w:val="000000" w:themeColor="text1"/>
          <w:kern w:val="0"/>
          <w:sz w:val="24"/>
          <w14:textFill>
            <w14:solidFill>
              <w14:schemeClr w14:val="tx1"/>
            </w14:solidFill>
          </w14:textFill>
        </w:rPr>
        <w:t>重要指标</w:t>
      </w:r>
      <w:bookmarkEnd w:id="141"/>
    </w:p>
    <w:p w14:paraId="3B153F2A">
      <w:pPr>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1</w:t>
      </w:r>
      <w:r>
        <w:rPr>
          <w:rFonts w:hint="eastAsia" w:ascii="宋体" w:hAnsi="宋体"/>
          <w:sz w:val="24"/>
        </w:rPr>
        <w:t>.技术参数中除注明签订合同时提供的相关授权、服务承诺等资料以外，其余相关资料在磋商时必须附在磋</w:t>
      </w:r>
      <w:r>
        <w:rPr>
          <w:rFonts w:hint="eastAsia" w:ascii="宋体" w:hAnsi="宋体"/>
          <w:color w:val="000000" w:themeColor="text1"/>
          <w:sz w:val="24"/>
          <w14:textFill>
            <w14:solidFill>
              <w14:schemeClr w14:val="tx1"/>
            </w14:solidFill>
          </w14:textFill>
        </w:rPr>
        <w:t>商响应文</w:t>
      </w:r>
      <w:r>
        <w:rPr>
          <w:rFonts w:hint="eastAsia" w:ascii="宋体" w:hAnsi="宋体"/>
          <w:sz w:val="24"/>
        </w:rPr>
        <w:t>件中。</w:t>
      </w:r>
    </w:p>
    <w:p w14:paraId="22A20E89">
      <w:pPr>
        <w:adjustRightInd w:val="0"/>
        <w:snapToGrid w:val="0"/>
        <w:spacing w:line="360" w:lineRule="auto"/>
        <w:ind w:left="425" w:hanging="425"/>
        <w:rPr>
          <w:rFonts w:ascii="宋体" w:hAnsi="宋体"/>
          <w:color w:val="000000" w:themeColor="text1"/>
          <w:kern w:val="0"/>
          <w:sz w:val="24"/>
          <w14:textFill>
            <w14:solidFill>
              <w14:schemeClr w14:val="tx1"/>
            </w14:solidFill>
          </w14:textFill>
        </w:rPr>
      </w:pPr>
      <w:bookmarkStart w:id="142" w:name="_Toc428180599"/>
      <w:r>
        <w:rPr>
          <w:rFonts w:ascii="宋体" w:hAnsi="宋体"/>
          <w:color w:val="000000" w:themeColor="text1"/>
          <w:kern w:val="0"/>
          <w:sz w:val="24"/>
          <w14:textFill>
            <w14:solidFill>
              <w14:schemeClr w14:val="tx1"/>
            </w14:solidFill>
          </w14:textFill>
        </w:rPr>
        <w:t>4.</w:t>
      </w:r>
      <w:r>
        <w:rPr>
          <w:rFonts w:hint="eastAsia" w:ascii="宋体" w:hAnsi="宋体"/>
          <w:color w:val="000000" w:themeColor="text1"/>
          <w:kern w:val="0"/>
          <w:sz w:val="24"/>
          <w14:textFill>
            <w14:solidFill>
              <w14:schemeClr w14:val="tx1"/>
            </w14:solidFill>
          </w14:textFill>
        </w:rPr>
        <w:t>商务要求</w:t>
      </w:r>
      <w:bookmarkEnd w:id="142"/>
    </w:p>
    <w:p w14:paraId="53C7213F">
      <w:pPr>
        <w:spacing w:line="360" w:lineRule="auto"/>
        <w:ind w:firstLine="240" w:firstLineChars="100"/>
        <w:rPr>
          <w:rFonts w:ascii="宋体" w:hAnsi="宋体"/>
          <w:color w:val="000000" w:themeColor="text1"/>
          <w:sz w:val="24"/>
          <w14:textFill>
            <w14:solidFill>
              <w14:schemeClr w14:val="tx1"/>
            </w14:solidFill>
          </w14:textFill>
        </w:rPr>
      </w:pPr>
      <w:bookmarkStart w:id="143" w:name="_Toc488673674"/>
      <w:r>
        <w:rPr>
          <w:rFonts w:ascii="宋体" w:hAnsi="宋体" w:cs="宋体"/>
          <w:color w:val="000000" w:themeColor="text1"/>
          <w:kern w:val="0"/>
          <w:sz w:val="24"/>
          <w:lang w:val="zh-CN"/>
          <w14:textFill>
            <w14:solidFill>
              <w14:schemeClr w14:val="tx1"/>
            </w14:solidFill>
          </w14:textFill>
        </w:rPr>
        <w:t>4.1.</w:t>
      </w:r>
      <w:r>
        <w:rPr>
          <w:rFonts w:hint="eastAsia" w:ascii="宋体" w:hAnsi="宋体" w:cs="宋体"/>
          <w:color w:val="000000" w:themeColor="text1"/>
          <w:kern w:val="0"/>
          <w:sz w:val="24"/>
          <w:lang w:val="zh-CN"/>
          <w14:textFill>
            <w14:solidFill>
              <w14:schemeClr w14:val="tx1"/>
            </w14:solidFill>
          </w14:textFill>
        </w:rPr>
        <w:t>交货</w:t>
      </w:r>
      <w:r>
        <w:rPr>
          <w:rFonts w:hint="eastAsia" w:ascii="宋体" w:hAnsi="宋体" w:cs="宋体"/>
          <w:color w:val="000000" w:themeColor="text1"/>
          <w:kern w:val="0"/>
          <w:sz w:val="24"/>
          <w:lang w:val="en-US" w:eastAsia="zh-CN"/>
          <w14:textFill>
            <w14:solidFill>
              <w14:schemeClr w14:val="tx1"/>
            </w14:solidFill>
          </w14:textFill>
        </w:rPr>
        <w:t>及安装</w:t>
      </w:r>
      <w:r>
        <w:rPr>
          <w:rFonts w:hint="eastAsia" w:ascii="宋体" w:hAnsi="宋体" w:cs="宋体"/>
          <w:color w:val="000000" w:themeColor="text1"/>
          <w:kern w:val="0"/>
          <w:sz w:val="24"/>
          <w:lang w:val="zh-CN"/>
          <w14:textFill>
            <w14:solidFill>
              <w14:schemeClr w14:val="tx1"/>
            </w14:solidFill>
          </w14:textFill>
        </w:rPr>
        <w:t>期：</w:t>
      </w:r>
      <w:bookmarkEnd w:id="143"/>
      <w:bookmarkStart w:id="144" w:name="_Toc488673675"/>
      <w:r>
        <w:rPr>
          <w:rFonts w:hint="eastAsia" w:ascii="宋体" w:hAnsi="宋体" w:eastAsia="宋体" w:cs="宋体"/>
          <w:color w:val="000000" w:themeColor="text1"/>
          <w:sz w:val="24"/>
          <w:lang w:val="en-US" w:eastAsia="zh-CN"/>
          <w14:textFill>
            <w14:solidFill>
              <w14:schemeClr w14:val="tx1"/>
            </w14:solidFill>
          </w14:textFill>
        </w:rPr>
        <w:t>自合同签订之日起</w:t>
      </w:r>
      <w:r>
        <w:rPr>
          <w:rFonts w:hint="eastAsia" w:ascii="宋体" w:hAnsi="宋体" w:cs="宋体"/>
          <w:color w:val="000000" w:themeColor="text1"/>
          <w:kern w:val="0"/>
          <w:sz w:val="24"/>
          <w:lang w:val="en-US" w:eastAsia="zh-CN"/>
          <w14:textFill>
            <w14:solidFill>
              <w14:schemeClr w14:val="tx1"/>
            </w14:solidFill>
          </w14:textFill>
        </w:rPr>
        <w:t>10</w:t>
      </w:r>
      <w:r>
        <w:rPr>
          <w:rFonts w:hint="eastAsia" w:ascii="宋体" w:hAnsi="宋体" w:eastAsia="宋体" w:cs="宋体"/>
          <w:color w:val="000000" w:themeColor="text1"/>
          <w:kern w:val="0"/>
          <w:sz w:val="24"/>
          <w:lang w:val="en-US" w:eastAsia="zh-CN"/>
          <w14:textFill>
            <w14:solidFill>
              <w14:schemeClr w14:val="tx1"/>
            </w14:solidFill>
          </w14:textFill>
        </w:rPr>
        <w:t>个日历日</w:t>
      </w:r>
      <w:r>
        <w:rPr>
          <w:rFonts w:hint="eastAsia" w:ascii="宋体" w:hAnsi="宋体"/>
          <w:color w:val="000000" w:themeColor="text1"/>
          <w:sz w:val="24"/>
          <w14:textFill>
            <w14:solidFill>
              <w14:schemeClr w14:val="tx1"/>
            </w14:solidFill>
          </w14:textFill>
        </w:rPr>
        <w:t>；</w:t>
      </w:r>
    </w:p>
    <w:p w14:paraId="39DC8BC6">
      <w:pPr>
        <w:spacing w:line="360" w:lineRule="auto"/>
        <w:ind w:firstLine="240" w:firstLineChars="1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4.2.</w:t>
      </w:r>
      <w:r>
        <w:rPr>
          <w:rFonts w:hint="eastAsia" w:ascii="宋体" w:hAnsi="宋体"/>
          <w:color w:val="000000" w:themeColor="text1"/>
          <w:sz w:val="24"/>
          <w14:textFill>
            <w14:solidFill>
              <w14:schemeClr w14:val="tx1"/>
            </w14:solidFill>
          </w14:textFill>
        </w:rPr>
        <w:t>交货地点：</w:t>
      </w:r>
      <w:bookmarkEnd w:id="144"/>
      <w:r>
        <w:rPr>
          <w:rFonts w:hint="eastAsia" w:ascii="宋体" w:hAnsi="宋体" w:cs="宋体"/>
          <w:color w:val="000000" w:themeColor="text1"/>
          <w:sz w:val="24"/>
          <w:lang w:val="en-US" w:eastAsia="zh-CN"/>
          <w14:textFill>
            <w14:solidFill>
              <w14:schemeClr w14:val="tx1"/>
            </w14:solidFill>
          </w14:textFill>
        </w:rPr>
        <w:t>青海大学科技教育集团有限公司后勤服务分公司</w:t>
      </w:r>
      <w:r>
        <w:rPr>
          <w:rFonts w:hint="eastAsia" w:ascii="宋体" w:hAnsi="宋体"/>
          <w:color w:val="000000" w:themeColor="text1"/>
          <w:sz w:val="24"/>
          <w14:textFill>
            <w14:solidFill>
              <w14:schemeClr w14:val="tx1"/>
            </w14:solidFill>
          </w14:textFill>
        </w:rPr>
        <w:t>；</w:t>
      </w:r>
    </w:p>
    <w:p w14:paraId="0631CBFC">
      <w:pPr>
        <w:spacing w:line="360" w:lineRule="auto"/>
        <w:ind w:firstLine="240" w:firstLineChars="100"/>
        <w:rPr>
          <w:rFonts w:ascii="宋体" w:hAnsi="宋体"/>
          <w:color w:val="FF0000"/>
          <w:sz w:val="24"/>
        </w:rPr>
      </w:pPr>
      <w:r>
        <w:rPr>
          <w:rFonts w:hint="eastAsia" w:ascii="宋体" w:hAnsi="宋体"/>
          <w:color w:val="000000" w:themeColor="text1"/>
          <w:sz w:val="24"/>
          <w14:textFill>
            <w14:solidFill>
              <w14:schemeClr w14:val="tx1"/>
            </w14:solidFill>
          </w14:textFill>
        </w:rPr>
        <w:t>4.3.质保期：</w:t>
      </w:r>
      <w:r>
        <w:rPr>
          <w:rFonts w:hint="eastAsia" w:ascii="宋体" w:hAnsi="宋体"/>
          <w:color w:val="000000" w:themeColor="text1"/>
          <w:sz w:val="24"/>
          <w:lang w:val="en-US" w:eastAsia="zh-CN"/>
          <w14:textFill>
            <w14:solidFill>
              <w14:schemeClr w14:val="tx1"/>
            </w14:solidFill>
          </w14:textFill>
        </w:rPr>
        <w:t>三</w:t>
      </w:r>
      <w:r>
        <w:rPr>
          <w:rFonts w:hint="eastAsia" w:ascii="宋体" w:hAnsi="宋体"/>
          <w:color w:val="000000" w:themeColor="text1"/>
          <w:sz w:val="24"/>
          <w14:textFill>
            <w14:solidFill>
              <w14:schemeClr w14:val="tx1"/>
            </w14:solidFill>
          </w14:textFill>
        </w:rPr>
        <w:t>年；</w:t>
      </w:r>
    </w:p>
    <w:p w14:paraId="29022A72">
      <w:pPr>
        <w:autoSpaceDE w:val="0"/>
        <w:autoSpaceDN w:val="0"/>
        <w:adjustRightInd w:val="0"/>
        <w:spacing w:line="360" w:lineRule="auto"/>
        <w:ind w:firstLine="240" w:firstLineChars="100"/>
        <w:rPr>
          <w:rFonts w:ascii="宋体" w:hAnsi="宋体"/>
          <w:color w:val="000000" w:themeColor="text1"/>
          <w:kern w:val="0"/>
          <w:sz w:val="24"/>
          <w14:textFill>
            <w14:solidFill>
              <w14:schemeClr w14:val="tx1"/>
            </w14:solidFill>
          </w14:textFill>
        </w:rPr>
      </w:pPr>
      <w:bookmarkStart w:id="145" w:name="_Toc488673676"/>
      <w:r>
        <w:rPr>
          <w:rFonts w:hint="eastAsia" w:ascii="宋体" w:hAnsi="宋体" w:cs="宋体"/>
          <w:color w:val="000000" w:themeColor="text1"/>
          <w:kern w:val="0"/>
          <w:sz w:val="24"/>
          <w:lang w:val="zh-CN"/>
          <w14:textFill>
            <w14:solidFill>
              <w14:schemeClr w14:val="tx1"/>
            </w14:solidFill>
          </w14:textFill>
        </w:rPr>
        <w:t>4.4.付款方式：</w:t>
      </w:r>
      <w:bookmarkEnd w:id="145"/>
      <w:bookmarkStart w:id="146" w:name="_Hlk486599483"/>
      <w:bookmarkStart w:id="147" w:name="_Toc480468113"/>
      <w:bookmarkStart w:id="148" w:name="_Toc459377899"/>
      <w:r>
        <w:rPr>
          <w:rFonts w:ascii="宋体" w:hAnsi="宋体"/>
          <w:color w:val="000000" w:themeColor="text1"/>
          <w:kern w:val="0"/>
          <w:sz w:val="24"/>
          <w14:textFill>
            <w14:solidFill>
              <w14:schemeClr w14:val="tx1"/>
            </w14:solidFill>
          </w14:textFill>
        </w:rPr>
        <w:t>详见“第</w:t>
      </w:r>
      <w:r>
        <w:rPr>
          <w:rFonts w:hint="eastAsia" w:ascii="宋体" w:hAnsi="宋体"/>
          <w:color w:val="000000" w:themeColor="text1"/>
          <w:kern w:val="0"/>
          <w:sz w:val="24"/>
          <w14:textFill>
            <w14:solidFill>
              <w14:schemeClr w14:val="tx1"/>
            </w14:solidFill>
          </w14:textFill>
        </w:rPr>
        <w:t>四</w:t>
      </w:r>
      <w:r>
        <w:rPr>
          <w:rFonts w:ascii="宋体" w:hAnsi="宋体"/>
          <w:color w:val="000000" w:themeColor="text1"/>
          <w:kern w:val="0"/>
          <w:sz w:val="24"/>
          <w14:textFill>
            <w14:solidFill>
              <w14:schemeClr w14:val="tx1"/>
            </w14:solidFill>
          </w14:textFill>
        </w:rPr>
        <w:t>部分青海省政府采购项目合同书范本”中“四、付款方式”的规定。</w:t>
      </w:r>
    </w:p>
    <w:p w14:paraId="30D1E0CE">
      <w:pPr>
        <w:rPr>
          <w:rFonts w:ascii="宋体" w:hAnsi="宋体"/>
          <w:color w:val="FF0000"/>
          <w:kern w:val="0"/>
          <w:sz w:val="24"/>
        </w:rPr>
      </w:pPr>
      <w:r>
        <w:rPr>
          <w:rFonts w:ascii="宋体" w:hAnsi="宋体"/>
          <w:color w:val="FF0000"/>
          <w:kern w:val="0"/>
          <w:sz w:val="24"/>
        </w:rPr>
        <w:br w:type="page"/>
      </w:r>
    </w:p>
    <w:p w14:paraId="1991C266">
      <w:pPr>
        <w:pStyle w:val="5"/>
        <w:numPr>
          <w:ilvl w:val="0"/>
          <w:numId w:val="0"/>
        </w:numPr>
        <w:rPr>
          <w:rFonts w:hAnsi="宋体"/>
          <w:b/>
          <w:bCs/>
          <w:kern w:val="0"/>
          <w:sz w:val="24"/>
          <w:szCs w:val="24"/>
        </w:rPr>
      </w:pPr>
      <w:bookmarkStart w:id="149" w:name="_Toc18364"/>
      <w:r>
        <w:rPr>
          <w:rFonts w:hint="eastAsia" w:hAnsi="宋体"/>
          <w:b/>
          <w:bCs/>
          <w:kern w:val="0"/>
          <w:sz w:val="24"/>
          <w:szCs w:val="24"/>
        </w:rPr>
        <w:t>二、</w:t>
      </w:r>
      <w:bookmarkStart w:id="150" w:name="_Hlk497464497"/>
      <w:r>
        <w:rPr>
          <w:rFonts w:hint="eastAsia" w:hAnsi="宋体"/>
          <w:b/>
          <w:bCs/>
          <w:kern w:val="0"/>
          <w:sz w:val="24"/>
          <w:szCs w:val="24"/>
        </w:rPr>
        <w:t>采购项目参数及要求</w:t>
      </w:r>
      <w:bookmarkEnd w:id="146"/>
      <w:bookmarkEnd w:id="147"/>
      <w:bookmarkEnd w:id="148"/>
      <w:bookmarkEnd w:id="149"/>
      <w:bookmarkEnd w:id="150"/>
    </w:p>
    <w:p w14:paraId="1635DE44">
      <w:pPr>
        <w:autoSpaceDE w:val="0"/>
        <w:autoSpaceDN w:val="0"/>
        <w:adjustRightInd w:val="0"/>
        <w:spacing w:line="360" w:lineRule="auto"/>
        <w:jc w:val="center"/>
        <w:rPr>
          <w:rFonts w:ascii="宋体" w:hAnsi="宋体"/>
          <w:b/>
          <w:sz w:val="28"/>
          <w:szCs w:val="28"/>
          <w:lang w:val="zh-CN"/>
        </w:rPr>
      </w:pPr>
      <w:r>
        <w:rPr>
          <w:rFonts w:hint="eastAsia" w:ascii="宋体" w:hAnsi="宋体"/>
          <w:b/>
          <w:sz w:val="28"/>
          <w:szCs w:val="28"/>
          <w:lang w:val="zh-CN"/>
        </w:rPr>
        <w:t>采购一览表</w:t>
      </w:r>
    </w:p>
    <w:tbl>
      <w:tblPr>
        <w:tblStyle w:val="33"/>
        <w:tblW w:w="44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5"/>
        <w:gridCol w:w="1296"/>
        <w:gridCol w:w="1198"/>
        <w:gridCol w:w="687"/>
        <w:gridCol w:w="674"/>
        <w:gridCol w:w="2848"/>
        <w:gridCol w:w="1600"/>
      </w:tblGrid>
      <w:tr w14:paraId="3A749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CDC5E">
            <w:pPr>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编号</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EFFAC">
            <w:pPr>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设备名称</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A0EA3">
            <w:pPr>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规格(mmH)</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ADEE3">
            <w:pPr>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数量</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F2398">
            <w:pPr>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单位</w:t>
            </w:r>
          </w:p>
        </w:tc>
        <w:tc>
          <w:tcPr>
            <w:tcW w:w="1587" w:type="pct"/>
            <w:tcBorders>
              <w:top w:val="single" w:color="000000" w:sz="4" w:space="0"/>
              <w:left w:val="single" w:color="000000" w:sz="4" w:space="0"/>
              <w:bottom w:val="single" w:color="000000" w:sz="4" w:space="0"/>
              <w:right w:val="single" w:color="auto" w:sz="4" w:space="0"/>
            </w:tcBorders>
            <w:shd w:val="clear" w:color="auto" w:fill="auto"/>
            <w:vAlign w:val="center"/>
          </w:tcPr>
          <w:p w14:paraId="2623224F">
            <w:pPr>
              <w:ind w:firstLine="1054" w:firstLineChars="50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技术参数</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F236D">
            <w:pPr>
              <w:ind w:firstLine="632" w:firstLineChars="30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图片</w:t>
            </w:r>
          </w:p>
        </w:tc>
      </w:tr>
      <w:tr w14:paraId="4DE35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7" w:type="pct"/>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14:paraId="72E9F53E">
            <w:pPr>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主操作间</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2BF7">
            <w:pPr>
              <w:rPr>
                <w:rFonts w:hint="eastAsia" w:ascii="宋体" w:hAnsi="宋体" w:eastAsia="宋体" w:cs="宋体"/>
                <w:color w:val="auto"/>
                <w:highlight w:val="none"/>
              </w:rPr>
            </w:pPr>
          </w:p>
        </w:tc>
      </w:tr>
      <w:tr w14:paraId="27B73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AEB8C">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1FCBD">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炉拼台</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21482">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300*1150*800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7055F">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262BC">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台</w:t>
            </w:r>
          </w:p>
        </w:tc>
        <w:tc>
          <w:tcPr>
            <w:tcW w:w="1587" w:type="pct"/>
            <w:tcBorders>
              <w:top w:val="single" w:color="000000" w:sz="4" w:space="0"/>
              <w:left w:val="single" w:color="000000" w:sz="4" w:space="0"/>
              <w:bottom w:val="single" w:color="000000" w:sz="4" w:space="0"/>
              <w:right w:val="single" w:color="auto" w:sz="4" w:space="0"/>
            </w:tcBorders>
            <w:shd w:val="clear" w:color="auto" w:fill="auto"/>
            <w:vAlign w:val="center"/>
          </w:tcPr>
          <w:p w14:paraId="7BB3E91C">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采用优质1.0mm不锈钢，带可调节高度子弹脚。</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C067">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drawing>
                <wp:anchor distT="0" distB="0" distL="114300" distR="114300" simplePos="0" relativeHeight="251659264" behindDoc="0" locked="0" layoutInCell="1" allowOverlap="1">
                  <wp:simplePos x="0" y="0"/>
                  <wp:positionH relativeFrom="column">
                    <wp:posOffset>319405</wp:posOffset>
                  </wp:positionH>
                  <wp:positionV relativeFrom="paragraph">
                    <wp:posOffset>283210</wp:posOffset>
                  </wp:positionV>
                  <wp:extent cx="405130" cy="475615"/>
                  <wp:effectExtent l="0" t="0" r="13970" b="635"/>
                  <wp:wrapNone/>
                  <wp:docPr id="39" name="图片_106"/>
                  <wp:cNvGraphicFramePr/>
                  <a:graphic xmlns:a="http://schemas.openxmlformats.org/drawingml/2006/main">
                    <a:graphicData uri="http://schemas.openxmlformats.org/drawingml/2006/picture">
                      <pic:pic xmlns:pic="http://schemas.openxmlformats.org/drawingml/2006/picture">
                        <pic:nvPicPr>
                          <pic:cNvPr id="39" name="图片_106"/>
                          <pic:cNvPicPr/>
                        </pic:nvPicPr>
                        <pic:blipFill>
                          <a:blip r:embed="rId6"/>
                          <a:stretch>
                            <a:fillRect/>
                          </a:stretch>
                        </pic:blipFill>
                        <pic:spPr>
                          <a:xfrm>
                            <a:off x="0" y="0"/>
                            <a:ext cx="405130" cy="475615"/>
                          </a:xfrm>
                          <a:prstGeom prst="rect">
                            <a:avLst/>
                          </a:prstGeom>
                          <a:noFill/>
                          <a:ln>
                            <a:noFill/>
                          </a:ln>
                        </pic:spPr>
                      </pic:pic>
                    </a:graphicData>
                  </a:graphic>
                </wp:anchor>
              </w:drawing>
            </w:r>
          </w:p>
        </w:tc>
      </w:tr>
      <w:tr w14:paraId="7B38D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F438D">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F375A">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燃气双炒双尾小炒灶</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D2C04">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2000*1150*800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384AD">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9EDA9">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台</w:t>
            </w:r>
          </w:p>
        </w:tc>
        <w:tc>
          <w:tcPr>
            <w:tcW w:w="1587" w:type="pct"/>
            <w:tcBorders>
              <w:top w:val="single" w:color="000000" w:sz="4" w:space="0"/>
              <w:left w:val="single" w:color="000000" w:sz="4" w:space="0"/>
              <w:bottom w:val="single" w:color="000000" w:sz="4" w:space="0"/>
              <w:right w:val="single" w:color="auto" w:sz="4" w:space="0"/>
            </w:tcBorders>
            <w:shd w:val="clear" w:color="auto" w:fill="auto"/>
            <w:vAlign w:val="center"/>
          </w:tcPr>
          <w:p w14:paraId="71B1462C">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设备外部采用材质为不锈钢；</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台面厚度为1.2mm，前面板，侧板厚度1.2mm，设有来水摇摆龙头；</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前部设有排水槽；</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炉架选用50*50*4.8mm国标角钢；</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炉架面及炉胆选用2.0mm国标冷轧钢板制造，炉膛与炮台一体式设计；</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静音节能燃烧器热效率不低于40%；</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燃烧噪音≤70分贝,配安全全自动点火系统,鼓风式风机功率550w，双风机。</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DC7D">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drawing>
                <wp:anchor distT="0" distB="0" distL="114300" distR="114300" simplePos="0" relativeHeight="251659264" behindDoc="0" locked="0" layoutInCell="1" allowOverlap="1">
                  <wp:simplePos x="0" y="0"/>
                  <wp:positionH relativeFrom="column">
                    <wp:posOffset>3175</wp:posOffset>
                  </wp:positionH>
                  <wp:positionV relativeFrom="paragraph">
                    <wp:posOffset>714375</wp:posOffset>
                  </wp:positionV>
                  <wp:extent cx="885825" cy="723900"/>
                  <wp:effectExtent l="0" t="0" r="9525" b="0"/>
                  <wp:wrapNone/>
                  <wp:docPr id="40" name="Picture_47"/>
                  <wp:cNvGraphicFramePr/>
                  <a:graphic xmlns:a="http://schemas.openxmlformats.org/drawingml/2006/main">
                    <a:graphicData uri="http://schemas.openxmlformats.org/drawingml/2006/picture">
                      <pic:pic xmlns:pic="http://schemas.openxmlformats.org/drawingml/2006/picture">
                        <pic:nvPicPr>
                          <pic:cNvPr id="40" name="Picture_47"/>
                          <pic:cNvPicPr/>
                        </pic:nvPicPr>
                        <pic:blipFill>
                          <a:blip r:embed="rId7"/>
                          <a:stretch>
                            <a:fillRect/>
                          </a:stretch>
                        </pic:blipFill>
                        <pic:spPr>
                          <a:xfrm>
                            <a:off x="0" y="0"/>
                            <a:ext cx="885825" cy="723900"/>
                          </a:xfrm>
                          <a:prstGeom prst="rect">
                            <a:avLst/>
                          </a:prstGeom>
                          <a:noFill/>
                          <a:ln>
                            <a:noFill/>
                          </a:ln>
                        </pic:spPr>
                      </pic:pic>
                    </a:graphicData>
                  </a:graphic>
                </wp:anchor>
              </w:drawing>
            </w:r>
          </w:p>
        </w:tc>
      </w:tr>
      <w:tr w14:paraId="39385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4F119">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5A38E">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燃气六头煲仔炉</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A726">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1200*800*800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C031E">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84AB">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台</w:t>
            </w:r>
          </w:p>
        </w:tc>
        <w:tc>
          <w:tcPr>
            <w:tcW w:w="1587" w:type="pct"/>
            <w:tcBorders>
              <w:top w:val="single" w:color="000000" w:sz="4" w:space="0"/>
              <w:left w:val="single" w:color="000000" w:sz="4" w:space="0"/>
              <w:bottom w:val="single" w:color="000000" w:sz="4" w:space="0"/>
              <w:right w:val="single" w:color="auto" w:sz="4" w:space="0"/>
            </w:tcBorders>
            <w:shd w:val="clear" w:color="auto" w:fill="auto"/>
            <w:vAlign w:val="center"/>
          </w:tcPr>
          <w:p w14:paraId="4E68FB9D">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采用优质不锈钢板制作；</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配置电子点火，熄火保护；</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特制炉头直径200mm；</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测板高度200mm；</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背板高度150mm；</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子弹脚直径38mm；</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1D2A1">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drawing>
                <wp:anchor distT="0" distB="0" distL="114300" distR="114300" simplePos="0" relativeHeight="251659264" behindDoc="0" locked="0" layoutInCell="1" allowOverlap="1">
                  <wp:simplePos x="0" y="0"/>
                  <wp:positionH relativeFrom="column">
                    <wp:posOffset>-38100</wp:posOffset>
                  </wp:positionH>
                  <wp:positionV relativeFrom="paragraph">
                    <wp:posOffset>202565</wp:posOffset>
                  </wp:positionV>
                  <wp:extent cx="907415" cy="723900"/>
                  <wp:effectExtent l="0" t="0" r="6985" b="0"/>
                  <wp:wrapNone/>
                  <wp:docPr id="38" name="Picture_48"/>
                  <wp:cNvGraphicFramePr/>
                  <a:graphic xmlns:a="http://schemas.openxmlformats.org/drawingml/2006/main">
                    <a:graphicData uri="http://schemas.openxmlformats.org/drawingml/2006/picture">
                      <pic:pic xmlns:pic="http://schemas.openxmlformats.org/drawingml/2006/picture">
                        <pic:nvPicPr>
                          <pic:cNvPr id="38" name="Picture_48"/>
                          <pic:cNvPicPr/>
                        </pic:nvPicPr>
                        <pic:blipFill>
                          <a:blip r:embed="rId8"/>
                          <a:stretch>
                            <a:fillRect/>
                          </a:stretch>
                        </pic:blipFill>
                        <pic:spPr>
                          <a:xfrm>
                            <a:off x="0" y="0"/>
                            <a:ext cx="907415" cy="723900"/>
                          </a:xfrm>
                          <a:prstGeom prst="rect">
                            <a:avLst/>
                          </a:prstGeom>
                          <a:noFill/>
                          <a:ln>
                            <a:noFill/>
                          </a:ln>
                        </pic:spPr>
                      </pic:pic>
                    </a:graphicData>
                  </a:graphic>
                </wp:anchor>
              </w:drawing>
            </w:r>
          </w:p>
        </w:tc>
      </w:tr>
      <w:tr w14:paraId="27B21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A96B">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64429">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单头矮仔炉</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79050">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700*700*550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560E2">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B73B4">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台</w:t>
            </w:r>
          </w:p>
        </w:tc>
        <w:tc>
          <w:tcPr>
            <w:tcW w:w="1587" w:type="pct"/>
            <w:tcBorders>
              <w:top w:val="single" w:color="000000" w:sz="4" w:space="0"/>
              <w:left w:val="single" w:color="000000" w:sz="4" w:space="0"/>
              <w:bottom w:val="single" w:color="000000" w:sz="4" w:space="0"/>
              <w:right w:val="single" w:color="auto" w:sz="4" w:space="0"/>
            </w:tcBorders>
            <w:shd w:val="clear" w:color="auto" w:fill="auto"/>
            <w:vAlign w:val="center"/>
          </w:tcPr>
          <w:p w14:paraId="71AF306D">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采用优质不锈钢板制做；</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配置电子点火，熄火保护；</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面板1.5mm厚；</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采用节能炉头，比普通炉头节能55%；鼓风式风机功率550w，</w:t>
            </w:r>
            <w:r>
              <w:rPr>
                <w:rFonts w:hint="eastAsia" w:ascii="宋体" w:hAnsi="宋体" w:cs="宋体"/>
                <w:color w:val="auto"/>
                <w:highlight w:val="none"/>
                <w:lang w:val="en-US" w:eastAsia="zh-CN"/>
              </w:rPr>
              <w:t>单</w:t>
            </w:r>
            <w:r>
              <w:rPr>
                <w:rFonts w:hint="eastAsia" w:ascii="宋体" w:hAnsi="宋体" w:eastAsia="宋体" w:cs="宋体"/>
                <w:color w:val="auto"/>
                <w:highlight w:val="none"/>
                <w:lang w:val="en-US" w:eastAsia="zh-CN"/>
              </w:rPr>
              <w:t>风机。</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 xml:space="preserve">不锈钢可调节子弹脚。  </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9634B">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drawing>
                <wp:anchor distT="0" distB="0" distL="114300" distR="114300" simplePos="0" relativeHeight="251659264" behindDoc="0" locked="0" layoutInCell="1" allowOverlap="1">
                  <wp:simplePos x="0" y="0"/>
                  <wp:positionH relativeFrom="column">
                    <wp:posOffset>179070</wp:posOffset>
                  </wp:positionH>
                  <wp:positionV relativeFrom="paragraph">
                    <wp:posOffset>191135</wp:posOffset>
                  </wp:positionV>
                  <wp:extent cx="581025" cy="640080"/>
                  <wp:effectExtent l="0" t="0" r="9525" b="7620"/>
                  <wp:wrapNone/>
                  <wp:docPr id="37" name="Picture_49"/>
                  <wp:cNvGraphicFramePr/>
                  <a:graphic xmlns:a="http://schemas.openxmlformats.org/drawingml/2006/main">
                    <a:graphicData uri="http://schemas.openxmlformats.org/drawingml/2006/picture">
                      <pic:pic xmlns:pic="http://schemas.openxmlformats.org/drawingml/2006/picture">
                        <pic:nvPicPr>
                          <pic:cNvPr id="37" name="Picture_49"/>
                          <pic:cNvPicPr/>
                        </pic:nvPicPr>
                        <pic:blipFill>
                          <a:blip r:embed="rId9"/>
                          <a:stretch>
                            <a:fillRect/>
                          </a:stretch>
                        </pic:blipFill>
                        <pic:spPr>
                          <a:xfrm>
                            <a:off x="0" y="0"/>
                            <a:ext cx="581025" cy="640080"/>
                          </a:xfrm>
                          <a:prstGeom prst="rect">
                            <a:avLst/>
                          </a:prstGeom>
                          <a:noFill/>
                          <a:ln>
                            <a:noFill/>
                          </a:ln>
                        </pic:spPr>
                      </pic:pic>
                    </a:graphicData>
                  </a:graphic>
                </wp:anchor>
              </w:drawing>
            </w:r>
          </w:p>
        </w:tc>
      </w:tr>
      <w:tr w14:paraId="052B1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32DD">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4B61">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油烟净化一体机</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E1EBE">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9900*1300*1080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D954B">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9.9</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3E996">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米</w:t>
            </w:r>
          </w:p>
        </w:tc>
        <w:tc>
          <w:tcPr>
            <w:tcW w:w="1587" w:type="pct"/>
            <w:tcBorders>
              <w:top w:val="single" w:color="000000" w:sz="4" w:space="0"/>
              <w:left w:val="single" w:color="000000" w:sz="4" w:space="0"/>
              <w:bottom w:val="single" w:color="000000" w:sz="4" w:space="0"/>
              <w:right w:val="single" w:color="auto" w:sz="4" w:space="0"/>
            </w:tcBorders>
            <w:shd w:val="clear" w:color="auto" w:fill="auto"/>
            <w:vAlign w:val="center"/>
          </w:tcPr>
          <w:p w14:paraId="51E9A2A5">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用机械分离和静电净化技术，在风机的带动下含油烟的废气被吸入，进入集烟罩的分离均衡区，进行物理碰撞拦截，剩余油雾粒子进入电场离子区被荷电，带荷电的油、烟、尘受电场力的作用被吸附碳化，排除洁净的空气。一体化组合式结构及烟罩、净化、排风三合一，节省厨房工作空间，占用空间小，自动清洗，集气体收集--净化--输送于一体。</w:t>
            </w:r>
          </w:p>
          <w:p w14:paraId="34D53E4D">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01： 板材：采用不锈钢板，标厚≥1.2mm；</w:t>
            </w:r>
          </w:p>
          <w:p w14:paraId="5802E8BF">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02： 功率/电压：≥2.5KW/380V；</w:t>
            </w:r>
          </w:p>
          <w:p w14:paraId="1570B98A">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03： 规格尺寸：≥L*1300*1100；</w:t>
            </w:r>
          </w:p>
          <w:p w14:paraId="1C216922">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04： LED工作照明；</w:t>
            </w:r>
          </w:p>
          <w:p w14:paraId="3DC8A202">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05：五级净化，净化效率≥96%；</w:t>
            </w:r>
          </w:p>
          <w:p w14:paraId="4F6FB544">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06：纳米涂层动态屏蔽盘，耐高温，不变形，前端拦截，烟道无积油；</w:t>
            </w:r>
          </w:p>
          <w:p w14:paraId="20889913">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07：烟罩前沿配备独立的风幕引导装置，防止油烟外溢；</w:t>
            </w:r>
          </w:p>
          <w:p w14:paraId="042E0D50">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08：产品单元化设计，分为ABC三大部分组成，风机模块可独立拆卸。</w:t>
            </w:r>
          </w:p>
          <w:p w14:paraId="30851A29">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09：6键触控屏，各单元系统动力装置的启停独立控制，根据工作需要模块化开启，确保节能环保；</w:t>
            </w:r>
          </w:p>
          <w:p w14:paraId="0E8738FE">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10：每个模块需配有独立的高压电源，且配置静电状态可视屏，实时显示净化器工作参数；</w:t>
            </w:r>
          </w:p>
          <w:p w14:paraId="78AAE7E4">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11：设备高压电源核心部件可空载，长时间短路工作，输出高压不变化，具备放电保护、过载保护等；</w:t>
            </w:r>
          </w:p>
          <w:p w14:paraId="7FC8C20F">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12：核心部件电场吸附区采用不锈钢板式设计，耐腐蚀易清洗；</w:t>
            </w:r>
          </w:p>
          <w:p w14:paraId="1B573873">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13：自动故障检测及工作日志记录功能；</w:t>
            </w:r>
          </w:p>
          <w:p w14:paraId="4A2D9984">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14： 独立电源控制箱，</w:t>
            </w:r>
            <w:r>
              <w:rPr>
                <w:rFonts w:hint="eastAsia" w:ascii="宋体" w:hAnsi="宋体" w:cs="宋体"/>
                <w:color w:val="auto"/>
                <w:highlight w:val="none"/>
                <w:lang w:val="en-US" w:eastAsia="zh-CN"/>
              </w:rPr>
              <w:t>具</w:t>
            </w:r>
            <w:r>
              <w:rPr>
                <w:rFonts w:hint="eastAsia" w:ascii="宋体" w:hAnsi="宋体" w:eastAsia="宋体" w:cs="宋体"/>
                <w:color w:val="auto"/>
                <w:highlight w:val="none"/>
                <w:lang w:val="en-US" w:eastAsia="zh-CN"/>
              </w:rPr>
              <w:t>备缺项、过载、欠压等保护功能，实时显示风机工作状态；</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1C6B">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drawing>
                <wp:anchor distT="0" distB="0" distL="114300" distR="114300" simplePos="0" relativeHeight="251659264" behindDoc="0" locked="0" layoutInCell="1" allowOverlap="1">
                  <wp:simplePos x="0" y="0"/>
                  <wp:positionH relativeFrom="column">
                    <wp:posOffset>113030</wp:posOffset>
                  </wp:positionH>
                  <wp:positionV relativeFrom="paragraph">
                    <wp:posOffset>319405</wp:posOffset>
                  </wp:positionV>
                  <wp:extent cx="782320" cy="826135"/>
                  <wp:effectExtent l="0" t="0" r="17780" b="12065"/>
                  <wp:wrapNone/>
                  <wp:docPr id="36" name="图片_5"/>
                  <wp:cNvGraphicFramePr/>
                  <a:graphic xmlns:a="http://schemas.openxmlformats.org/drawingml/2006/main">
                    <a:graphicData uri="http://schemas.openxmlformats.org/drawingml/2006/picture">
                      <pic:pic xmlns:pic="http://schemas.openxmlformats.org/drawingml/2006/picture">
                        <pic:nvPicPr>
                          <pic:cNvPr id="36" name="图片_5"/>
                          <pic:cNvPicPr/>
                        </pic:nvPicPr>
                        <pic:blipFill>
                          <a:blip r:embed="rId10"/>
                          <a:stretch>
                            <a:fillRect/>
                          </a:stretch>
                        </pic:blipFill>
                        <pic:spPr>
                          <a:xfrm>
                            <a:off x="0" y="0"/>
                            <a:ext cx="782320" cy="826135"/>
                          </a:xfrm>
                          <a:prstGeom prst="rect">
                            <a:avLst/>
                          </a:prstGeom>
                          <a:noFill/>
                          <a:ln>
                            <a:noFill/>
                          </a:ln>
                        </pic:spPr>
                      </pic:pic>
                    </a:graphicData>
                  </a:graphic>
                </wp:anchor>
              </w:drawing>
            </w:r>
          </w:p>
        </w:tc>
      </w:tr>
      <w:tr w14:paraId="70C28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5E65">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E1EFC">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装饰板</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4A2EE">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10600*1500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11B19">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15.9</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B643E">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w:t>
            </w:r>
          </w:p>
        </w:tc>
        <w:tc>
          <w:tcPr>
            <w:tcW w:w="1587" w:type="pct"/>
            <w:tcBorders>
              <w:top w:val="single" w:color="000000" w:sz="4" w:space="0"/>
              <w:left w:val="single" w:color="000000" w:sz="4" w:space="0"/>
              <w:bottom w:val="single" w:color="000000" w:sz="4" w:space="0"/>
              <w:right w:val="single" w:color="auto" w:sz="4" w:space="0"/>
            </w:tcBorders>
            <w:shd w:val="clear" w:color="auto" w:fill="auto"/>
            <w:vAlign w:val="center"/>
          </w:tcPr>
          <w:p w14:paraId="24A9AB39">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采用优质不锈钢板制作，厚度1.0mm。</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DD144">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drawing>
                <wp:anchor distT="0" distB="0" distL="114300" distR="114300" simplePos="0" relativeHeight="251659264" behindDoc="0" locked="0" layoutInCell="1" allowOverlap="1">
                  <wp:simplePos x="0" y="0"/>
                  <wp:positionH relativeFrom="column">
                    <wp:posOffset>154940</wp:posOffset>
                  </wp:positionH>
                  <wp:positionV relativeFrom="paragraph">
                    <wp:posOffset>164465</wp:posOffset>
                  </wp:positionV>
                  <wp:extent cx="786130" cy="723900"/>
                  <wp:effectExtent l="0" t="0" r="13970" b="0"/>
                  <wp:wrapNone/>
                  <wp:docPr id="35" name="Picture_41"/>
                  <wp:cNvGraphicFramePr/>
                  <a:graphic xmlns:a="http://schemas.openxmlformats.org/drawingml/2006/main">
                    <a:graphicData uri="http://schemas.openxmlformats.org/drawingml/2006/picture">
                      <pic:pic xmlns:pic="http://schemas.openxmlformats.org/drawingml/2006/picture">
                        <pic:nvPicPr>
                          <pic:cNvPr id="35" name="Picture_41"/>
                          <pic:cNvPicPr/>
                        </pic:nvPicPr>
                        <pic:blipFill>
                          <a:blip r:embed="rId11"/>
                          <a:stretch>
                            <a:fillRect/>
                          </a:stretch>
                        </pic:blipFill>
                        <pic:spPr>
                          <a:xfrm>
                            <a:off x="0" y="0"/>
                            <a:ext cx="786130" cy="723900"/>
                          </a:xfrm>
                          <a:prstGeom prst="rect">
                            <a:avLst/>
                          </a:prstGeom>
                          <a:noFill/>
                          <a:ln>
                            <a:noFill/>
                          </a:ln>
                        </pic:spPr>
                      </pic:pic>
                    </a:graphicData>
                  </a:graphic>
                </wp:anchor>
              </w:drawing>
            </w:r>
          </w:p>
        </w:tc>
      </w:tr>
      <w:tr w14:paraId="41298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6"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07C8A">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83166">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电双门蒸饭车</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1165">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24盘</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1C193">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8BD3">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台</w:t>
            </w:r>
          </w:p>
        </w:tc>
        <w:tc>
          <w:tcPr>
            <w:tcW w:w="1587" w:type="pct"/>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14:paraId="152E1326">
            <w:pPr>
              <w:widowControl w:val="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1、设备内胆采用 304 不锈钢板，箱体为聚氨酯高压整体发泡。</w:t>
            </w:r>
          </w:p>
          <w:p w14:paraId="4E8531DA">
            <w:pPr>
              <w:widowControl w:val="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2、设备柜功率：24kw/380V。全自动电脑版，有缺水保护功能。</w:t>
            </w:r>
          </w:p>
          <w:p w14:paraId="5E426F29">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3、设备内胆顶层斜坡式设计，采用材质铜头电热管；新型多气囊，嵌入式硅胶门封，密封牢靠。</w:t>
            </w:r>
          </w:p>
          <w:p w14:paraId="0EAD8737">
            <w:pPr>
              <w:rPr>
                <w:rFonts w:hint="eastAsia" w:ascii="宋体" w:hAnsi="宋体" w:eastAsia="宋体" w:cs="宋体"/>
                <w:color w:val="auto"/>
                <w:highlight w:val="none"/>
                <w:shd w:val="clear" w:color="auto" w:fill="auto"/>
              </w:rPr>
            </w:pPr>
            <w:r>
              <w:rPr>
                <w:rFonts w:hint="eastAsia" w:ascii="宋体" w:hAnsi="宋体" w:cs="宋体"/>
                <w:color w:val="auto"/>
                <w:sz w:val="20"/>
                <w:szCs w:val="20"/>
                <w:highlight w:val="none"/>
                <w:lang w:val="en-US" w:eastAsia="zh-CN"/>
              </w:rPr>
              <w:t>4</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rPr>
              <w:t>双门内24盘制</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有孔、无孔 各12个） ；蒸盘一次 性冲压成型 ;采用万向脚轮。与人接触部位压边焊接处钝化处理。</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FDCD4">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drawing>
                <wp:anchor distT="0" distB="0" distL="114300" distR="114300" simplePos="0" relativeHeight="251659264" behindDoc="0" locked="0" layoutInCell="1" allowOverlap="1">
                  <wp:simplePos x="0" y="0"/>
                  <wp:positionH relativeFrom="column">
                    <wp:posOffset>-50800</wp:posOffset>
                  </wp:positionH>
                  <wp:positionV relativeFrom="paragraph">
                    <wp:posOffset>417195</wp:posOffset>
                  </wp:positionV>
                  <wp:extent cx="861060" cy="746760"/>
                  <wp:effectExtent l="0" t="0" r="15240" b="15240"/>
                  <wp:wrapNone/>
                  <wp:docPr id="34" name="Picture_44"/>
                  <wp:cNvGraphicFramePr/>
                  <a:graphic xmlns:a="http://schemas.openxmlformats.org/drawingml/2006/main">
                    <a:graphicData uri="http://schemas.openxmlformats.org/drawingml/2006/picture">
                      <pic:pic xmlns:pic="http://schemas.openxmlformats.org/drawingml/2006/picture">
                        <pic:nvPicPr>
                          <pic:cNvPr id="34" name="Picture_44"/>
                          <pic:cNvPicPr/>
                        </pic:nvPicPr>
                        <pic:blipFill>
                          <a:blip r:embed="rId12"/>
                          <a:stretch>
                            <a:fillRect/>
                          </a:stretch>
                        </pic:blipFill>
                        <pic:spPr>
                          <a:xfrm>
                            <a:off x="0" y="0"/>
                            <a:ext cx="861060" cy="746760"/>
                          </a:xfrm>
                          <a:prstGeom prst="rect">
                            <a:avLst/>
                          </a:prstGeom>
                          <a:noFill/>
                          <a:ln>
                            <a:noFill/>
                          </a:ln>
                        </pic:spPr>
                      </pic:pic>
                    </a:graphicData>
                  </a:graphic>
                </wp:anchor>
              </w:drawing>
            </w:r>
          </w:p>
        </w:tc>
      </w:tr>
      <w:tr w14:paraId="18C47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C5E23">
            <w:pPr>
              <w:jc w:val="center"/>
              <w:rPr>
                <w:rFonts w:hint="eastAsia" w:ascii="宋体" w:hAnsi="宋体" w:eastAsia="宋体" w:cs="宋体"/>
                <w:color w:val="auto"/>
                <w:highlight w:val="none"/>
              </w:rPr>
            </w:pPr>
            <w:r>
              <w:rPr>
                <w:rFonts w:hint="eastAsia" w:ascii="宋体" w:hAnsi="宋体" w:cs="宋体"/>
                <w:color w:val="auto"/>
                <w:highlight w:val="none"/>
                <w:lang w:val="en-US" w:eastAsia="zh-CN"/>
              </w:rPr>
              <w:t>8</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2B66F">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双通工作柜</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DC98">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1800*800*800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2ED0">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96BE8">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台</w:t>
            </w:r>
          </w:p>
        </w:tc>
        <w:tc>
          <w:tcPr>
            <w:tcW w:w="1587" w:type="pct"/>
            <w:tcBorders>
              <w:top w:val="single" w:color="000000" w:sz="4" w:space="0"/>
              <w:left w:val="single" w:color="000000" w:sz="4" w:space="0"/>
              <w:bottom w:val="single" w:color="000000" w:sz="4" w:space="0"/>
              <w:right w:val="single" w:color="auto" w:sz="4" w:space="0"/>
            </w:tcBorders>
            <w:shd w:val="clear" w:color="auto" w:fill="auto"/>
            <w:vAlign w:val="center"/>
          </w:tcPr>
          <w:p w14:paraId="6AE47E89">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整体采用优质不锈钢制作；</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台面厚度1.0mm，内衬4mm防水机制板并用1.0mm厚不锈钢板折成加强筋加固；</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层板、底板、侧板及门面采用1.0mm厚不锈钢板制作；</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加强筋厚度1.2mm；</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配置不锈钢可调子弹脚。</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95691">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drawing>
                <wp:anchor distT="0" distB="0" distL="114300" distR="114300" simplePos="0" relativeHeight="251659264" behindDoc="0" locked="0" layoutInCell="1" allowOverlap="1">
                  <wp:simplePos x="0" y="0"/>
                  <wp:positionH relativeFrom="column">
                    <wp:posOffset>14605</wp:posOffset>
                  </wp:positionH>
                  <wp:positionV relativeFrom="paragraph">
                    <wp:posOffset>244475</wp:posOffset>
                  </wp:positionV>
                  <wp:extent cx="854710" cy="601345"/>
                  <wp:effectExtent l="0" t="0" r="2540" b="8255"/>
                  <wp:wrapNone/>
                  <wp:docPr id="33" name="Picture_34"/>
                  <wp:cNvGraphicFramePr/>
                  <a:graphic xmlns:a="http://schemas.openxmlformats.org/drawingml/2006/main">
                    <a:graphicData uri="http://schemas.openxmlformats.org/drawingml/2006/picture">
                      <pic:pic xmlns:pic="http://schemas.openxmlformats.org/drawingml/2006/picture">
                        <pic:nvPicPr>
                          <pic:cNvPr id="33" name="Picture_34"/>
                          <pic:cNvPicPr/>
                        </pic:nvPicPr>
                        <pic:blipFill>
                          <a:blip r:embed="rId13"/>
                          <a:stretch>
                            <a:fillRect/>
                          </a:stretch>
                        </pic:blipFill>
                        <pic:spPr>
                          <a:xfrm>
                            <a:off x="0" y="0"/>
                            <a:ext cx="854710" cy="601345"/>
                          </a:xfrm>
                          <a:prstGeom prst="rect">
                            <a:avLst/>
                          </a:prstGeom>
                          <a:noFill/>
                          <a:ln>
                            <a:noFill/>
                          </a:ln>
                        </pic:spPr>
                      </pic:pic>
                    </a:graphicData>
                  </a:graphic>
                </wp:anchor>
              </w:drawing>
            </w:r>
          </w:p>
        </w:tc>
      </w:tr>
      <w:tr w14:paraId="38A83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BC1CF">
            <w:pPr>
              <w:jc w:val="center"/>
              <w:rPr>
                <w:rFonts w:hint="eastAsia" w:ascii="宋体" w:hAnsi="宋体" w:eastAsia="宋体" w:cs="宋体"/>
                <w:color w:val="auto"/>
                <w:highlight w:val="none"/>
              </w:rPr>
            </w:pPr>
            <w:r>
              <w:rPr>
                <w:rFonts w:hint="eastAsia" w:ascii="宋体" w:hAnsi="宋体" w:cs="宋体"/>
                <w:color w:val="auto"/>
                <w:highlight w:val="none"/>
                <w:lang w:val="en-US" w:eastAsia="zh-CN"/>
              </w:rPr>
              <w:t>9</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56C28">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保鲜工作台</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20605">
            <w:pPr>
              <w:rPr>
                <w:rFonts w:hint="eastAsia" w:ascii="宋体" w:hAnsi="宋体" w:eastAsia="宋体" w:cs="宋体"/>
                <w:color w:val="auto"/>
                <w:highlight w:val="none"/>
              </w:rPr>
            </w:pP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00*800*800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FE176">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9663F">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台</w:t>
            </w:r>
          </w:p>
        </w:tc>
        <w:tc>
          <w:tcPr>
            <w:tcW w:w="1587" w:type="pct"/>
            <w:tcBorders>
              <w:top w:val="single" w:color="000000" w:sz="4" w:space="0"/>
              <w:left w:val="single" w:color="000000" w:sz="4" w:space="0"/>
              <w:bottom w:val="single" w:color="000000" w:sz="4" w:space="0"/>
              <w:right w:val="single" w:color="auto" w:sz="4" w:space="0"/>
            </w:tcBorders>
            <w:shd w:val="clear" w:color="auto" w:fill="auto"/>
            <w:vAlign w:val="center"/>
          </w:tcPr>
          <w:p w14:paraId="44F14F90">
            <w:pPr>
              <w:keepNext w:val="0"/>
              <w:keepLines w:val="0"/>
              <w:widowControl/>
              <w:suppressLineNumbers w:val="0"/>
              <w:spacing w:line="240" w:lineRule="auto"/>
              <w:jc w:val="left"/>
              <w:textAlignment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电压：220V功率：0.20kw容量：450L；制冷方式：直冷 温度范围：保鲜-5℃～+5℃</w:t>
            </w:r>
          </w:p>
          <w:p w14:paraId="7054674E">
            <w:pPr>
              <w:keepNext w:val="0"/>
              <w:keepLines w:val="0"/>
              <w:widowControl/>
              <w:suppressLineNumbers w:val="0"/>
              <w:spacing w:line="240" w:lineRule="auto"/>
              <w:jc w:val="left"/>
              <w:textAlignment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1、板材内箱优质无磁不锈钢板，前面板优质无磁不锈钢板，门面板优质无磁不锈钢板，外侧板优质无磁不锈钢板；加厚型发泡层，提高保温性能，超大空间，冷却速度快，更节能；</w:t>
            </w:r>
          </w:p>
          <w:p w14:paraId="56AA9C22">
            <w:pPr>
              <w:keepNext w:val="0"/>
              <w:keepLines w:val="0"/>
              <w:widowControl/>
              <w:suppressLineNumbers w:val="0"/>
              <w:spacing w:line="240" w:lineRule="auto"/>
              <w:jc w:val="left"/>
              <w:textAlignment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2、采用微电脑温控器，温度显示精准，性能稳定，操作简单；</w:t>
            </w:r>
          </w:p>
          <w:p w14:paraId="462C4EEF">
            <w:pPr>
              <w:keepNext w:val="0"/>
              <w:keepLines w:val="0"/>
              <w:widowControl/>
              <w:suppressLineNumbers w:val="0"/>
              <w:spacing w:line="240" w:lineRule="auto"/>
              <w:jc w:val="left"/>
              <w:textAlignment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3、采用优质无磁不锈钢板材，全免焊设计结构；</w:t>
            </w:r>
          </w:p>
          <w:p w14:paraId="6EDB7AF0">
            <w:pPr>
              <w:keepNext w:val="0"/>
              <w:keepLines w:val="0"/>
              <w:widowControl/>
              <w:suppressLineNumbers w:val="0"/>
              <w:spacing w:line="240" w:lineRule="auto"/>
              <w:jc w:val="left"/>
              <w:textAlignment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4、多气囊可拆卸式门封条，密封性能好，便于清洁；高效制冷；</w:t>
            </w:r>
          </w:p>
          <w:p w14:paraId="3245A7D0">
            <w:pPr>
              <w:keepNext w:val="0"/>
              <w:keepLines w:val="0"/>
              <w:widowControl/>
              <w:suppressLineNumbers w:val="0"/>
              <w:spacing w:line="240" w:lineRule="auto"/>
              <w:jc w:val="left"/>
              <w:textAlignment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5、自动回归关门设计，防止门体关不严，造成食物变质；</w:t>
            </w:r>
          </w:p>
          <w:p w14:paraId="55E9A73B">
            <w:pPr>
              <w:keepNext w:val="0"/>
              <w:keepLines w:val="0"/>
              <w:widowControl/>
              <w:suppressLineNumbers w:val="0"/>
              <w:spacing w:line="240" w:lineRule="auto"/>
              <w:jc w:val="left"/>
              <w:textAlignment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6、采用环戊烷C5H10环保发泡材料；</w:t>
            </w:r>
          </w:p>
          <w:p w14:paraId="138A7017">
            <w:pPr>
              <w:keepNext w:val="0"/>
              <w:keepLines w:val="0"/>
              <w:widowControl/>
              <w:suppressLineNumbers w:val="0"/>
              <w:spacing w:line="240" w:lineRule="auto"/>
              <w:jc w:val="left"/>
              <w:textAlignment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7、接线采用JST端子插接</w:t>
            </w:r>
          </w:p>
          <w:p w14:paraId="6A5C3D1D">
            <w:pPr>
              <w:keepNext w:val="0"/>
              <w:keepLines w:val="0"/>
              <w:widowControl/>
              <w:suppressLineNumbers w:val="0"/>
              <w:spacing w:line="240" w:lineRule="auto"/>
              <w:jc w:val="left"/>
              <w:textAlignment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8、所有电器线路通过线缆槽布局，伸缩位置釆用护缆套进行保护，避免岀现电器安全。</w:t>
            </w:r>
          </w:p>
          <w:p w14:paraId="684623E8">
            <w:pPr>
              <w:widowControl w:val="0"/>
              <w:jc w:val="both"/>
              <w:rPr>
                <w:rFonts w:hint="eastAsia" w:ascii="宋体" w:hAnsi="宋体" w:eastAsia="宋体" w:cs="宋体"/>
                <w:color w:val="auto"/>
                <w:highlight w:val="none"/>
              </w:rPr>
            </w:pPr>
            <w:r>
              <w:rPr>
                <w:rFonts w:hint="eastAsia" w:ascii="宋体" w:hAnsi="宋体" w:eastAsia="宋体" w:cs="宋体"/>
                <w:b w:val="0"/>
                <w:bCs w:val="0"/>
                <w:color w:val="auto"/>
                <w:kern w:val="0"/>
                <w:sz w:val="20"/>
                <w:szCs w:val="20"/>
                <w:highlight w:val="none"/>
              </w:rPr>
              <w:t>10、纯铜蒸发器制作，采用TP2铜制作蒸发器，保证蒸发器使用寿命。</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BBE1">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drawing>
                <wp:anchor distT="0" distB="0" distL="114300" distR="114300" simplePos="0" relativeHeight="251659264" behindDoc="0" locked="0" layoutInCell="1" allowOverlap="1">
                  <wp:simplePos x="0" y="0"/>
                  <wp:positionH relativeFrom="column">
                    <wp:posOffset>12065</wp:posOffset>
                  </wp:positionH>
                  <wp:positionV relativeFrom="paragraph">
                    <wp:posOffset>2155825</wp:posOffset>
                  </wp:positionV>
                  <wp:extent cx="797560" cy="942975"/>
                  <wp:effectExtent l="0" t="0" r="2540" b="9525"/>
                  <wp:wrapNone/>
                  <wp:docPr id="32" name="Picture_35"/>
                  <wp:cNvGraphicFramePr/>
                  <a:graphic xmlns:a="http://schemas.openxmlformats.org/drawingml/2006/main">
                    <a:graphicData uri="http://schemas.openxmlformats.org/drawingml/2006/picture">
                      <pic:pic xmlns:pic="http://schemas.openxmlformats.org/drawingml/2006/picture">
                        <pic:nvPicPr>
                          <pic:cNvPr id="32" name="Picture_35"/>
                          <pic:cNvPicPr/>
                        </pic:nvPicPr>
                        <pic:blipFill>
                          <a:blip r:embed="rId14"/>
                          <a:stretch>
                            <a:fillRect/>
                          </a:stretch>
                        </pic:blipFill>
                        <pic:spPr>
                          <a:xfrm>
                            <a:off x="0" y="0"/>
                            <a:ext cx="797560" cy="942975"/>
                          </a:xfrm>
                          <a:prstGeom prst="rect">
                            <a:avLst/>
                          </a:prstGeom>
                          <a:noFill/>
                          <a:ln>
                            <a:noFill/>
                          </a:ln>
                        </pic:spPr>
                      </pic:pic>
                    </a:graphicData>
                  </a:graphic>
                </wp:anchor>
              </w:drawing>
            </w:r>
          </w:p>
        </w:tc>
      </w:tr>
      <w:tr w14:paraId="7B387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12A9A">
            <w:pPr>
              <w:jc w:val="center"/>
              <w:rPr>
                <w:rFonts w:hint="default" w:ascii="宋体" w:hAnsi="宋体" w:eastAsia="宋体" w:cs="宋体"/>
                <w:color w:val="auto"/>
                <w:highlight w:val="none"/>
                <w:lang w:val="en-US"/>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0</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94F32">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双星盆台</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46489">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1200*700*800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5DCA6">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56333">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台</w:t>
            </w:r>
          </w:p>
        </w:tc>
        <w:tc>
          <w:tcPr>
            <w:tcW w:w="1587" w:type="pct"/>
            <w:tcBorders>
              <w:top w:val="single" w:color="000000" w:sz="4" w:space="0"/>
              <w:left w:val="single" w:color="000000" w:sz="4" w:space="0"/>
              <w:bottom w:val="single" w:color="000000" w:sz="4" w:space="0"/>
              <w:right w:val="single" w:color="auto" w:sz="4" w:space="0"/>
            </w:tcBorders>
            <w:shd w:val="clear" w:color="auto" w:fill="auto"/>
            <w:vAlign w:val="center"/>
          </w:tcPr>
          <w:p w14:paraId="483DD96F">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整体优质不锈钢制作；</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台面采用1.0mm厚不锈钢板制作；</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星盆斗采用1.0mm厚不锈钢板制作；</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立柱采用38*38mm方通，配可调式子弹脚；</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014D7">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drawing>
                <wp:anchor distT="0" distB="0" distL="114300" distR="114300" simplePos="0" relativeHeight="251659264" behindDoc="0" locked="0" layoutInCell="1" allowOverlap="1">
                  <wp:simplePos x="0" y="0"/>
                  <wp:positionH relativeFrom="column">
                    <wp:posOffset>69215</wp:posOffset>
                  </wp:positionH>
                  <wp:positionV relativeFrom="paragraph">
                    <wp:posOffset>127000</wp:posOffset>
                  </wp:positionV>
                  <wp:extent cx="748665" cy="618490"/>
                  <wp:effectExtent l="0" t="0" r="13335" b="10160"/>
                  <wp:wrapNone/>
                  <wp:docPr id="31" name="图片_44"/>
                  <wp:cNvGraphicFramePr/>
                  <a:graphic xmlns:a="http://schemas.openxmlformats.org/drawingml/2006/main">
                    <a:graphicData uri="http://schemas.openxmlformats.org/drawingml/2006/picture">
                      <pic:pic xmlns:pic="http://schemas.openxmlformats.org/drawingml/2006/picture">
                        <pic:nvPicPr>
                          <pic:cNvPr id="31" name="图片_44"/>
                          <pic:cNvPicPr/>
                        </pic:nvPicPr>
                        <pic:blipFill>
                          <a:blip r:embed="rId15"/>
                          <a:stretch>
                            <a:fillRect/>
                          </a:stretch>
                        </pic:blipFill>
                        <pic:spPr>
                          <a:xfrm>
                            <a:off x="0" y="0"/>
                            <a:ext cx="748665" cy="618490"/>
                          </a:xfrm>
                          <a:prstGeom prst="rect">
                            <a:avLst/>
                          </a:prstGeom>
                          <a:noFill/>
                          <a:ln>
                            <a:noFill/>
                          </a:ln>
                        </pic:spPr>
                      </pic:pic>
                    </a:graphicData>
                  </a:graphic>
                </wp:anchor>
              </w:drawing>
            </w:r>
          </w:p>
        </w:tc>
      </w:tr>
      <w:tr w14:paraId="6A81F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6473">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1</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0BD8">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双门保鲜柜</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F242D">
            <w:pPr>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1200*700*1950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DE37">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C7823">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台</w:t>
            </w:r>
          </w:p>
        </w:tc>
        <w:tc>
          <w:tcPr>
            <w:tcW w:w="1587" w:type="pct"/>
            <w:tcBorders>
              <w:top w:val="single" w:color="000000" w:sz="4" w:space="0"/>
              <w:left w:val="single" w:color="000000" w:sz="4" w:space="0"/>
              <w:bottom w:val="single" w:color="000000" w:sz="4" w:space="0"/>
              <w:right w:val="single" w:color="auto" w:sz="4" w:space="0"/>
            </w:tcBorders>
            <w:shd w:val="clear" w:color="auto" w:fill="auto"/>
            <w:vAlign w:val="center"/>
          </w:tcPr>
          <w:p w14:paraId="3FB38924">
            <w:pPr>
              <w:widowControl w:val="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1、设备采用食品级不锈钢板制作，一次拉伸成型内胆与食品接触板材部分均采用食品级材质。</w:t>
            </w:r>
          </w:p>
          <w:p w14:paraId="392888F9">
            <w:pPr>
              <w:widowControl w:val="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2、设备封条在潮湿环境中不长霉菌，不形成菌落，易拆卸，方便清理。 </w:t>
            </w:r>
          </w:p>
          <w:p w14:paraId="0D228CDD">
            <w:pPr>
              <w:rPr>
                <w:rFonts w:hint="eastAsia" w:ascii="宋体" w:hAnsi="宋体" w:eastAsia="宋体" w:cs="宋体"/>
                <w:color w:val="auto"/>
                <w:highlight w:val="none"/>
              </w:rPr>
            </w:pP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rPr>
              <w:t>、设备温度范围：-5℃</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rPr>
              <w:t>+10℃ 。功率：220V/1KW，容积≥800L。采用重力调节腿，可上下调节。</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CBBF">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drawing>
                <wp:anchor distT="0" distB="0" distL="114300" distR="114300" simplePos="0" relativeHeight="251659264" behindDoc="0" locked="0" layoutInCell="1" allowOverlap="1">
                  <wp:simplePos x="0" y="0"/>
                  <wp:positionH relativeFrom="column">
                    <wp:posOffset>29845</wp:posOffset>
                  </wp:positionH>
                  <wp:positionV relativeFrom="paragraph">
                    <wp:posOffset>304800</wp:posOffset>
                  </wp:positionV>
                  <wp:extent cx="815975" cy="944245"/>
                  <wp:effectExtent l="0" t="0" r="0" b="0"/>
                  <wp:wrapNone/>
                  <wp:docPr id="30" name="图片_11"/>
                  <wp:cNvGraphicFramePr/>
                  <a:graphic xmlns:a="http://schemas.openxmlformats.org/drawingml/2006/main">
                    <a:graphicData uri="http://schemas.openxmlformats.org/drawingml/2006/picture">
                      <pic:pic xmlns:pic="http://schemas.openxmlformats.org/drawingml/2006/picture">
                        <pic:nvPicPr>
                          <pic:cNvPr id="30" name="图片_11"/>
                          <pic:cNvPicPr/>
                        </pic:nvPicPr>
                        <pic:blipFill>
                          <a:blip r:embed="rId16"/>
                          <a:stretch>
                            <a:fillRect/>
                          </a:stretch>
                        </pic:blipFill>
                        <pic:spPr>
                          <a:xfrm>
                            <a:off x="0" y="0"/>
                            <a:ext cx="815975" cy="944245"/>
                          </a:xfrm>
                          <a:prstGeom prst="rect">
                            <a:avLst/>
                          </a:prstGeom>
                          <a:noFill/>
                          <a:ln>
                            <a:noFill/>
                          </a:ln>
                        </pic:spPr>
                      </pic:pic>
                    </a:graphicData>
                  </a:graphic>
                </wp:anchor>
              </w:drawing>
            </w:r>
          </w:p>
        </w:tc>
      </w:tr>
      <w:tr w14:paraId="1DD6F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9B546">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8188">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四门</w:t>
            </w:r>
            <w:r>
              <w:rPr>
                <w:rFonts w:hint="eastAsia" w:ascii="宋体" w:hAnsi="宋体" w:cs="宋体"/>
                <w:color w:val="auto"/>
                <w:highlight w:val="none"/>
                <w:lang w:val="en-US" w:eastAsia="zh-CN"/>
              </w:rPr>
              <w:t>冰</w:t>
            </w:r>
            <w:r>
              <w:rPr>
                <w:rFonts w:hint="eastAsia" w:ascii="宋体" w:hAnsi="宋体" w:eastAsia="宋体" w:cs="宋体"/>
                <w:color w:val="auto"/>
                <w:highlight w:val="none"/>
                <w:lang w:val="en-US" w:eastAsia="zh-CN"/>
              </w:rPr>
              <w:t>柜</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05ADD">
            <w:pPr>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1200*700*1950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3297">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86E3">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台</w:t>
            </w:r>
          </w:p>
        </w:tc>
        <w:tc>
          <w:tcPr>
            <w:tcW w:w="1587" w:type="pct"/>
            <w:tcBorders>
              <w:top w:val="single" w:color="000000" w:sz="4" w:space="0"/>
              <w:left w:val="single" w:color="000000" w:sz="4" w:space="0"/>
              <w:bottom w:val="single" w:color="000000" w:sz="4" w:space="0"/>
              <w:right w:val="single" w:color="auto" w:sz="4" w:space="0"/>
            </w:tcBorders>
            <w:shd w:val="clear" w:color="auto" w:fill="auto"/>
            <w:vAlign w:val="center"/>
          </w:tcPr>
          <w:p w14:paraId="6D0E0B1B">
            <w:pP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电压：220V功率：0.395kw容量：940L冷藏容积470L冷冻容积470L，；制冷方式：直冷 温度范围：保鲜-5℃～+5℃冷冻0℃～-18℃。</w:t>
            </w:r>
          </w:p>
          <w:p w14:paraId="60A4D1C5">
            <w:pP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1、板材内箱优质无磁不锈钢板，前面板优质无磁不锈钢板，门面板优质无磁不锈钢板，外侧板优质无磁不锈钢板；加厚型发泡层，提高保温性能，超大空间，冷却速度快，更节能；</w:t>
            </w:r>
          </w:p>
          <w:p w14:paraId="2686565E">
            <w:pP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2、釆用独立机组双压缩机双冷凝器双冷凝风机可整体抽出机组拆卸更换，到场即可修复，无需现场检修</w:t>
            </w:r>
          </w:p>
          <w:p w14:paraId="093ECDA3">
            <w:pP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3、采用微电脑温控器，温度显示精准，性能稳定，操作简单；</w:t>
            </w:r>
          </w:p>
          <w:p w14:paraId="658E4146">
            <w:pP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4、采用优质无磁不锈钢板材，全免焊设计结构；</w:t>
            </w:r>
          </w:p>
          <w:p w14:paraId="07B5E9F4">
            <w:pP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5、多气囊可拆卸式门封条，密封性能好，便于清洁；高效制冷；</w:t>
            </w:r>
          </w:p>
          <w:p w14:paraId="6358B835">
            <w:pP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6、自动回归关门设计，防止门体关不严，造成食物变质；</w:t>
            </w:r>
          </w:p>
          <w:p w14:paraId="1DB28B6E">
            <w:pP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7、门框加热丝可更换，同时有专用开关控制，可根据温度湿度控制开关加热丝，除露除霜；</w:t>
            </w:r>
          </w:p>
          <w:p w14:paraId="1C4CBFBA">
            <w:pP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8、采用环戊烷C5H10环保发泡材料；</w:t>
            </w:r>
          </w:p>
          <w:p w14:paraId="0C7EA64B">
            <w:pP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9、接线采用JST端子插接</w:t>
            </w:r>
          </w:p>
          <w:p w14:paraId="628F6CB1">
            <w:pP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10、所有电器线路通过线缆槽布局，伸缩位置釆用护缆套进行保护，避免岀现电器安全。</w:t>
            </w:r>
          </w:p>
          <w:p w14:paraId="6B1D1F9C">
            <w:pPr>
              <w:rPr>
                <w:rFonts w:hint="eastAsia" w:ascii="宋体" w:hAnsi="宋体" w:eastAsia="宋体" w:cs="宋体"/>
                <w:color w:val="auto"/>
                <w:highlight w:val="none"/>
              </w:rPr>
            </w:pPr>
            <w:r>
              <w:rPr>
                <w:rFonts w:hint="eastAsia" w:ascii="宋体" w:hAnsi="宋体" w:eastAsia="宋体" w:cs="宋体"/>
                <w:b w:val="0"/>
                <w:bCs w:val="0"/>
                <w:color w:val="auto"/>
                <w:sz w:val="20"/>
                <w:szCs w:val="20"/>
                <w:highlight w:val="none"/>
              </w:rPr>
              <w:t>11、纯铜蒸发器制作，采用TP2铜制作蒸发器，保证蒸发器使用寿命。</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2F01">
            <w:pPr>
              <w:rPr>
                <w:rFonts w:hint="eastAsia" w:ascii="宋体" w:hAnsi="宋体" w:eastAsia="宋体" w:cs="宋体"/>
                <w:color w:val="auto"/>
                <w:highlight w:val="none"/>
              </w:rPr>
            </w:pPr>
            <w:bookmarkStart w:id="151" w:name="_GoBack"/>
            <w:bookmarkEnd w:id="151"/>
            <w:r>
              <w:rPr>
                <w:rFonts w:hint="eastAsia" w:ascii="宋体" w:hAnsi="宋体" w:eastAsia="宋体" w:cs="宋体"/>
                <w:color w:val="auto"/>
                <w:highlight w:val="none"/>
                <w:lang w:val="en-US" w:eastAsia="zh-CN"/>
              </w:rPr>
              <w:drawing>
                <wp:anchor distT="0" distB="0" distL="114300" distR="114300" simplePos="0" relativeHeight="251659264" behindDoc="0" locked="0" layoutInCell="1" allowOverlap="1">
                  <wp:simplePos x="0" y="0"/>
                  <wp:positionH relativeFrom="column">
                    <wp:posOffset>-46990</wp:posOffset>
                  </wp:positionH>
                  <wp:positionV relativeFrom="paragraph">
                    <wp:posOffset>158115</wp:posOffset>
                  </wp:positionV>
                  <wp:extent cx="848995" cy="723900"/>
                  <wp:effectExtent l="0" t="0" r="8255" b="0"/>
                  <wp:wrapNone/>
                  <wp:docPr id="29" name="Picture_36"/>
                  <wp:cNvGraphicFramePr/>
                  <a:graphic xmlns:a="http://schemas.openxmlformats.org/drawingml/2006/main">
                    <a:graphicData uri="http://schemas.openxmlformats.org/drawingml/2006/picture">
                      <pic:pic xmlns:pic="http://schemas.openxmlformats.org/drawingml/2006/picture">
                        <pic:nvPicPr>
                          <pic:cNvPr id="29" name="Picture_36"/>
                          <pic:cNvPicPr/>
                        </pic:nvPicPr>
                        <pic:blipFill>
                          <a:blip r:embed="rId17"/>
                          <a:stretch>
                            <a:fillRect/>
                          </a:stretch>
                        </pic:blipFill>
                        <pic:spPr>
                          <a:xfrm>
                            <a:off x="0" y="0"/>
                            <a:ext cx="848995" cy="723900"/>
                          </a:xfrm>
                          <a:prstGeom prst="rect">
                            <a:avLst/>
                          </a:prstGeom>
                          <a:noFill/>
                          <a:ln>
                            <a:noFill/>
                          </a:ln>
                        </pic:spPr>
                      </pic:pic>
                    </a:graphicData>
                  </a:graphic>
                </wp:anchor>
              </w:drawing>
            </w:r>
          </w:p>
        </w:tc>
      </w:tr>
      <w:tr w14:paraId="47D55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C0C51">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3</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AB425">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电开水器连底座</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9B3C">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9KW</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E3D83">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FE697">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台</w:t>
            </w:r>
          </w:p>
        </w:tc>
        <w:tc>
          <w:tcPr>
            <w:tcW w:w="1587" w:type="pct"/>
            <w:tcBorders>
              <w:top w:val="single" w:color="000000" w:sz="4" w:space="0"/>
              <w:left w:val="single" w:color="000000" w:sz="4" w:space="0"/>
              <w:bottom w:val="single" w:color="000000" w:sz="4" w:space="0"/>
              <w:right w:val="single" w:color="auto" w:sz="4" w:space="0"/>
            </w:tcBorders>
            <w:shd w:val="clear" w:color="auto" w:fill="auto"/>
            <w:vAlign w:val="center"/>
          </w:tcPr>
          <w:p w14:paraId="75542F1A">
            <w:pPr>
              <w:widowControl w:val="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1、设备采用 304 不锈钢板制作，开水器全发泡保温工艺，步进式加热方式，微电脑智能控制。</w:t>
            </w:r>
          </w:p>
          <w:p w14:paraId="3410F76A">
            <w:pPr>
              <w:widowControl w:val="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2、设备电源：380V，开水器功率：</w:t>
            </w:r>
            <w:r>
              <w:rPr>
                <w:rFonts w:hint="eastAsia" w:ascii="宋体" w:hAnsi="宋体" w:eastAsia="宋体" w:cs="宋体"/>
                <w:color w:val="auto"/>
                <w:sz w:val="20"/>
                <w:szCs w:val="20"/>
                <w:highlight w:val="none"/>
                <w:lang w:val="en-US" w:eastAsia="zh-CN"/>
              </w:rPr>
              <w:t>9</w:t>
            </w:r>
            <w:r>
              <w:rPr>
                <w:rFonts w:hint="eastAsia" w:ascii="宋体" w:hAnsi="宋体" w:eastAsia="宋体" w:cs="宋体"/>
                <w:color w:val="auto"/>
                <w:sz w:val="20"/>
                <w:szCs w:val="20"/>
                <w:highlight w:val="none"/>
              </w:rPr>
              <w:t>KW。水箱容积：≥60L。热水量≥</w:t>
            </w:r>
            <w:r>
              <w:rPr>
                <w:rFonts w:hint="eastAsia" w:ascii="宋体" w:hAnsi="宋体" w:eastAsia="宋体" w:cs="宋体"/>
                <w:color w:val="auto"/>
                <w:sz w:val="20"/>
                <w:szCs w:val="20"/>
                <w:highlight w:val="none"/>
                <w:lang w:val="en-US" w:eastAsia="zh-CN"/>
              </w:rPr>
              <w:t>9</w:t>
            </w:r>
            <w:r>
              <w:rPr>
                <w:rFonts w:hint="eastAsia" w:ascii="宋体" w:hAnsi="宋体" w:eastAsia="宋体" w:cs="宋体"/>
                <w:color w:val="auto"/>
                <w:sz w:val="20"/>
                <w:szCs w:val="20"/>
                <w:highlight w:val="none"/>
              </w:rPr>
              <w:t>0L/h。</w:t>
            </w:r>
          </w:p>
          <w:p w14:paraId="76EAAAAA">
            <w:pPr>
              <w:widowControl w:val="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3、设备采用液晶显示，能同时显示温度、水位、故障等工作状态指示。</w:t>
            </w:r>
          </w:p>
          <w:p w14:paraId="177CA82D">
            <w:pPr>
              <w:rPr>
                <w:rFonts w:hint="eastAsia" w:ascii="宋体" w:hAnsi="宋体" w:eastAsia="宋体" w:cs="宋体"/>
                <w:color w:val="auto"/>
                <w:highlight w:val="none"/>
              </w:rPr>
            </w:pPr>
            <w:r>
              <w:rPr>
                <w:rFonts w:hint="eastAsia" w:ascii="宋体" w:hAnsi="宋体" w:eastAsia="宋体" w:cs="宋体"/>
                <w:color w:val="auto"/>
                <w:sz w:val="20"/>
                <w:szCs w:val="20"/>
                <w:highlight w:val="none"/>
              </w:rPr>
              <w:t>4、设备六重防护：防漏电，防火，防干烧，放开盖，防垢，防蒸汽。</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DCE35">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drawing>
                <wp:anchor distT="0" distB="0" distL="114300" distR="114300" simplePos="0" relativeHeight="251659264" behindDoc="0" locked="0" layoutInCell="1" allowOverlap="1">
                  <wp:simplePos x="0" y="0"/>
                  <wp:positionH relativeFrom="column">
                    <wp:posOffset>257810</wp:posOffset>
                  </wp:positionH>
                  <wp:positionV relativeFrom="paragraph">
                    <wp:posOffset>636270</wp:posOffset>
                  </wp:positionV>
                  <wp:extent cx="407035" cy="627380"/>
                  <wp:effectExtent l="0" t="0" r="12065" b="1270"/>
                  <wp:wrapNone/>
                  <wp:docPr id="28" name="图片_406"/>
                  <wp:cNvGraphicFramePr/>
                  <a:graphic xmlns:a="http://schemas.openxmlformats.org/drawingml/2006/main">
                    <a:graphicData uri="http://schemas.openxmlformats.org/drawingml/2006/picture">
                      <pic:pic xmlns:pic="http://schemas.openxmlformats.org/drawingml/2006/picture">
                        <pic:nvPicPr>
                          <pic:cNvPr id="28" name="图片_406"/>
                          <pic:cNvPicPr/>
                        </pic:nvPicPr>
                        <pic:blipFill>
                          <a:blip r:embed="rId18"/>
                          <a:stretch>
                            <a:fillRect/>
                          </a:stretch>
                        </pic:blipFill>
                        <pic:spPr>
                          <a:xfrm>
                            <a:off x="0" y="0"/>
                            <a:ext cx="407035" cy="627380"/>
                          </a:xfrm>
                          <a:prstGeom prst="rect">
                            <a:avLst/>
                          </a:prstGeom>
                          <a:noFill/>
                          <a:ln>
                            <a:noFill/>
                          </a:ln>
                        </pic:spPr>
                      </pic:pic>
                    </a:graphicData>
                  </a:graphic>
                </wp:anchor>
              </w:drawing>
            </w:r>
          </w:p>
        </w:tc>
      </w:tr>
      <w:tr w14:paraId="1587C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9F1EF">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4</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11757">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灭蝇灯</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34223">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粘捕式</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3D147">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E232C">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台</w:t>
            </w:r>
          </w:p>
        </w:tc>
        <w:tc>
          <w:tcPr>
            <w:tcW w:w="1587" w:type="pct"/>
            <w:tcBorders>
              <w:top w:val="single" w:color="000000" w:sz="4" w:space="0"/>
              <w:left w:val="single" w:color="000000" w:sz="4" w:space="0"/>
              <w:bottom w:val="single" w:color="000000" w:sz="4" w:space="0"/>
              <w:right w:val="single" w:color="auto" w:sz="4" w:space="0"/>
            </w:tcBorders>
            <w:shd w:val="clear" w:color="auto" w:fill="auto"/>
            <w:vAlign w:val="center"/>
          </w:tcPr>
          <w:p w14:paraId="0A524DF0">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工作方式：粘捕式</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额定功率：0.008KW</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覆盖面积：30-50</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额定电压：220V-50HZ</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E6C0">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drawing>
                <wp:anchor distT="0" distB="0" distL="114300" distR="114300" simplePos="0" relativeHeight="251659264" behindDoc="0" locked="0" layoutInCell="1" allowOverlap="1">
                  <wp:simplePos x="0" y="0"/>
                  <wp:positionH relativeFrom="column">
                    <wp:posOffset>-6350</wp:posOffset>
                  </wp:positionH>
                  <wp:positionV relativeFrom="paragraph">
                    <wp:posOffset>198120</wp:posOffset>
                  </wp:positionV>
                  <wp:extent cx="838200" cy="589915"/>
                  <wp:effectExtent l="0" t="0" r="0" b="635"/>
                  <wp:wrapNone/>
                  <wp:docPr id="27" name="Picture_100"/>
                  <wp:cNvGraphicFramePr/>
                  <a:graphic xmlns:a="http://schemas.openxmlformats.org/drawingml/2006/main">
                    <a:graphicData uri="http://schemas.openxmlformats.org/drawingml/2006/picture">
                      <pic:pic xmlns:pic="http://schemas.openxmlformats.org/drawingml/2006/picture">
                        <pic:nvPicPr>
                          <pic:cNvPr id="27" name="Picture_100"/>
                          <pic:cNvPicPr/>
                        </pic:nvPicPr>
                        <pic:blipFill>
                          <a:blip r:embed="rId19"/>
                          <a:stretch>
                            <a:fillRect/>
                          </a:stretch>
                        </pic:blipFill>
                        <pic:spPr>
                          <a:xfrm>
                            <a:off x="0" y="0"/>
                            <a:ext cx="838200" cy="589915"/>
                          </a:xfrm>
                          <a:prstGeom prst="rect">
                            <a:avLst/>
                          </a:prstGeom>
                          <a:noFill/>
                          <a:ln>
                            <a:noFill/>
                          </a:ln>
                        </pic:spPr>
                      </pic:pic>
                    </a:graphicData>
                  </a:graphic>
                </wp:anchor>
              </w:drawing>
            </w:r>
          </w:p>
        </w:tc>
      </w:tr>
      <w:tr w14:paraId="1ECC1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4D396">
            <w:pPr>
              <w:jc w:val="center"/>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sz w:val="21"/>
                <w:szCs w:val="21"/>
                <w:highlight w:val="none"/>
                <w:lang w:val="en-US" w:eastAsia="zh-CN"/>
              </w:rPr>
              <w:t>15</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59B07">
            <w:pPr>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eastAsia="zh-CN"/>
              </w:rPr>
              <w:t>电煮面锅</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269ED">
            <w:pPr>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800*830*800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8874">
            <w:pPr>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F112">
            <w:pPr>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台</w:t>
            </w:r>
          </w:p>
        </w:tc>
        <w:tc>
          <w:tcPr>
            <w:tcW w:w="1587" w:type="pct"/>
            <w:tcBorders>
              <w:top w:val="single" w:color="000000" w:sz="4" w:space="0"/>
              <w:left w:val="single" w:color="000000" w:sz="4" w:space="0"/>
              <w:bottom w:val="single" w:color="000000" w:sz="4" w:space="0"/>
              <w:right w:val="single" w:color="auto" w:sz="4" w:space="0"/>
            </w:tcBorders>
            <w:shd w:val="clear" w:color="auto" w:fill="auto"/>
            <w:vAlign w:val="center"/>
          </w:tcPr>
          <w:p w14:paraId="0B6CF57A">
            <w:pPr>
              <w:pStyle w:val="2"/>
              <w:bidi w:val="0"/>
              <w:spacing w:line="240" w:lineRule="auto"/>
              <w:rPr>
                <w:rFonts w:hint="default"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eastAsia="zh-CN"/>
              </w:rPr>
              <w:t>外壳/锅体材质：304，内桶直径：600mm，锅底深度：550mm，钢化玻璃指示板，配置标准304内桶，智能触摸式操作，十档火力，</w:t>
            </w:r>
            <w:r>
              <w:rPr>
                <w:rFonts w:hint="eastAsia" w:ascii="宋体" w:hAnsi="宋体" w:eastAsia="宋体" w:cs="宋体"/>
                <w:b w:val="0"/>
                <w:bCs w:val="0"/>
                <w:color w:val="auto"/>
                <w:sz w:val="21"/>
                <w:szCs w:val="21"/>
                <w:highlight w:val="none"/>
                <w:lang w:val="en-US" w:eastAsia="zh-CN"/>
              </w:rPr>
              <w:t>采用覆底导热技术配有去水开关， 可自由开关，便于日常清理。用电量：380v/15kw。</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96A04">
            <w:pP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eastAsia="zh-CN"/>
              </w:rPr>
              <w:drawing>
                <wp:inline distT="0" distB="0" distL="114300" distR="114300">
                  <wp:extent cx="874395" cy="975360"/>
                  <wp:effectExtent l="0" t="0" r="1905" b="15240"/>
                  <wp:docPr id="47" name="图片 47" descr="5d43194ecfaa84658df5bec2815e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5d43194ecfaa84658df5bec2815e155"/>
                          <pic:cNvPicPr>
                            <a:picLocks noChangeAspect="1"/>
                          </pic:cNvPicPr>
                        </pic:nvPicPr>
                        <pic:blipFill>
                          <a:blip r:embed="rId20"/>
                          <a:stretch>
                            <a:fillRect/>
                          </a:stretch>
                        </pic:blipFill>
                        <pic:spPr>
                          <a:xfrm>
                            <a:off x="0" y="0"/>
                            <a:ext cx="874395" cy="975360"/>
                          </a:xfrm>
                          <a:prstGeom prst="rect">
                            <a:avLst/>
                          </a:prstGeom>
                        </pic:spPr>
                      </pic:pic>
                    </a:graphicData>
                  </a:graphic>
                </wp:inline>
              </w:drawing>
            </w:r>
          </w:p>
        </w:tc>
      </w:tr>
      <w:tr w14:paraId="71AE9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F7A24">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6</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3D17A">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双层工作台</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C42F7">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1000*800*800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40568">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E486A">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台</w:t>
            </w:r>
          </w:p>
        </w:tc>
        <w:tc>
          <w:tcPr>
            <w:tcW w:w="1587" w:type="pct"/>
            <w:tcBorders>
              <w:top w:val="single" w:color="000000" w:sz="4" w:space="0"/>
              <w:left w:val="single" w:color="000000" w:sz="4" w:space="0"/>
              <w:bottom w:val="single" w:color="000000" w:sz="4" w:space="0"/>
              <w:right w:val="single" w:color="auto" w:sz="4" w:space="0"/>
            </w:tcBorders>
            <w:shd w:val="clear" w:color="auto" w:fill="auto"/>
            <w:vAlign w:val="center"/>
          </w:tcPr>
          <w:p w14:paraId="6A7C9710">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采用优质1.0mm不锈钢，带可调节高度子弹脚。</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C4C1">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drawing>
                <wp:anchor distT="0" distB="0" distL="114300" distR="114300" simplePos="0" relativeHeight="251659264" behindDoc="0" locked="0" layoutInCell="1" allowOverlap="1">
                  <wp:simplePos x="0" y="0"/>
                  <wp:positionH relativeFrom="column">
                    <wp:posOffset>92710</wp:posOffset>
                  </wp:positionH>
                  <wp:positionV relativeFrom="paragraph">
                    <wp:posOffset>108585</wp:posOffset>
                  </wp:positionV>
                  <wp:extent cx="727075" cy="878840"/>
                  <wp:effectExtent l="0" t="0" r="15875" b="16510"/>
                  <wp:wrapNone/>
                  <wp:docPr id="26" name="Picture_70"/>
                  <wp:cNvGraphicFramePr/>
                  <a:graphic xmlns:a="http://schemas.openxmlformats.org/drawingml/2006/main">
                    <a:graphicData uri="http://schemas.openxmlformats.org/drawingml/2006/picture">
                      <pic:pic xmlns:pic="http://schemas.openxmlformats.org/drawingml/2006/picture">
                        <pic:nvPicPr>
                          <pic:cNvPr id="26" name="Picture_70"/>
                          <pic:cNvPicPr/>
                        </pic:nvPicPr>
                        <pic:blipFill>
                          <a:blip r:embed="rId21"/>
                          <a:stretch>
                            <a:fillRect/>
                          </a:stretch>
                        </pic:blipFill>
                        <pic:spPr>
                          <a:xfrm>
                            <a:off x="0" y="0"/>
                            <a:ext cx="727075" cy="878840"/>
                          </a:xfrm>
                          <a:prstGeom prst="rect">
                            <a:avLst/>
                          </a:prstGeom>
                          <a:noFill/>
                          <a:ln>
                            <a:noFill/>
                          </a:ln>
                        </pic:spPr>
                      </pic:pic>
                    </a:graphicData>
                  </a:graphic>
                </wp:anchor>
              </w:drawing>
            </w:r>
          </w:p>
        </w:tc>
      </w:tr>
      <w:tr w14:paraId="71FF1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7" w:type="pct"/>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14:paraId="499A248C">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面点间</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5328C">
            <w:pPr>
              <w:rPr>
                <w:rFonts w:hint="eastAsia" w:ascii="宋体" w:hAnsi="宋体" w:eastAsia="宋体" w:cs="宋体"/>
                <w:color w:val="auto"/>
                <w:highlight w:val="none"/>
              </w:rPr>
            </w:pPr>
          </w:p>
        </w:tc>
      </w:tr>
      <w:tr w14:paraId="1EF3D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010AA">
            <w:pPr>
              <w:jc w:val="center"/>
              <w:rPr>
                <w:rFonts w:hint="default" w:ascii="宋体" w:hAnsi="宋体" w:eastAsia="宋体" w:cs="宋体"/>
                <w:color w:val="auto"/>
                <w:highlight w:val="none"/>
                <w:lang w:val="en-US"/>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7</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3097">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电饼铛</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6C79">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5KW</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8EAA">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350A">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台</w:t>
            </w:r>
          </w:p>
        </w:tc>
        <w:tc>
          <w:tcPr>
            <w:tcW w:w="1587" w:type="pct"/>
            <w:tcBorders>
              <w:top w:val="single" w:color="000000" w:sz="4" w:space="0"/>
              <w:left w:val="single" w:color="000000" w:sz="4" w:space="0"/>
              <w:bottom w:val="single" w:color="000000" w:sz="4" w:space="0"/>
              <w:right w:val="single" w:color="auto" w:sz="4" w:space="0"/>
            </w:tcBorders>
            <w:shd w:val="clear" w:color="auto" w:fill="auto"/>
            <w:vAlign w:val="center"/>
          </w:tcPr>
          <w:p w14:paraId="70BCBEC6">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不锈钢机身、不锈钢辊轴；</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安全节能、操作简便、装备恒温装置；</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 xml:space="preserve">工作温度：50℃-300℃ </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功率：380v/5kw。</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EB733">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drawing>
                <wp:anchor distT="0" distB="0" distL="114300" distR="114300" simplePos="0" relativeHeight="251659264" behindDoc="0" locked="0" layoutInCell="1" allowOverlap="1">
                  <wp:simplePos x="0" y="0"/>
                  <wp:positionH relativeFrom="column">
                    <wp:posOffset>-60325</wp:posOffset>
                  </wp:positionH>
                  <wp:positionV relativeFrom="paragraph">
                    <wp:posOffset>143510</wp:posOffset>
                  </wp:positionV>
                  <wp:extent cx="922655" cy="647700"/>
                  <wp:effectExtent l="0" t="0" r="10795" b="0"/>
                  <wp:wrapNone/>
                  <wp:docPr id="25" name="Picture_71"/>
                  <wp:cNvGraphicFramePr/>
                  <a:graphic xmlns:a="http://schemas.openxmlformats.org/drawingml/2006/main">
                    <a:graphicData uri="http://schemas.openxmlformats.org/drawingml/2006/picture">
                      <pic:pic xmlns:pic="http://schemas.openxmlformats.org/drawingml/2006/picture">
                        <pic:nvPicPr>
                          <pic:cNvPr id="25" name="Picture_71"/>
                          <pic:cNvPicPr/>
                        </pic:nvPicPr>
                        <pic:blipFill>
                          <a:blip r:embed="rId22"/>
                          <a:stretch>
                            <a:fillRect/>
                          </a:stretch>
                        </pic:blipFill>
                        <pic:spPr>
                          <a:xfrm>
                            <a:off x="0" y="0"/>
                            <a:ext cx="922655" cy="647700"/>
                          </a:xfrm>
                          <a:prstGeom prst="rect">
                            <a:avLst/>
                          </a:prstGeom>
                          <a:noFill/>
                          <a:ln>
                            <a:noFill/>
                          </a:ln>
                        </pic:spPr>
                      </pic:pic>
                    </a:graphicData>
                  </a:graphic>
                </wp:anchor>
              </w:drawing>
            </w:r>
          </w:p>
        </w:tc>
      </w:tr>
      <w:tr w14:paraId="0B49C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6BA22">
            <w:pPr>
              <w:jc w:val="center"/>
              <w:rPr>
                <w:rFonts w:hint="default" w:ascii="宋体" w:hAnsi="宋体" w:eastAsia="宋体" w:cs="宋体"/>
                <w:color w:val="auto"/>
                <w:highlight w:val="none"/>
                <w:lang w:val="en-US"/>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8</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FEF6C">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电烤箱</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C3F52">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三层六盘</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3503B">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C7C37">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台</w:t>
            </w:r>
          </w:p>
        </w:tc>
        <w:tc>
          <w:tcPr>
            <w:tcW w:w="1587" w:type="pct"/>
            <w:tcBorders>
              <w:top w:val="single" w:color="000000" w:sz="4" w:space="0"/>
              <w:left w:val="single" w:color="000000" w:sz="4" w:space="0"/>
              <w:bottom w:val="single" w:color="000000" w:sz="4" w:space="0"/>
              <w:right w:val="single" w:color="auto" w:sz="4" w:space="0"/>
            </w:tcBorders>
            <w:shd w:val="clear" w:color="auto" w:fill="auto"/>
            <w:vAlign w:val="center"/>
          </w:tcPr>
          <w:p w14:paraId="6FC36E49">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电压: 380V；</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功率: 20.8KW；</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三层六盘。</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1023">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drawing>
                <wp:anchor distT="0" distB="0" distL="114300" distR="114300" simplePos="0" relativeHeight="251659264" behindDoc="0" locked="0" layoutInCell="1" allowOverlap="1">
                  <wp:simplePos x="0" y="0"/>
                  <wp:positionH relativeFrom="column">
                    <wp:posOffset>59055</wp:posOffset>
                  </wp:positionH>
                  <wp:positionV relativeFrom="paragraph">
                    <wp:posOffset>256540</wp:posOffset>
                  </wp:positionV>
                  <wp:extent cx="821055" cy="677545"/>
                  <wp:effectExtent l="0" t="0" r="17145" b="8255"/>
                  <wp:wrapNone/>
                  <wp:docPr id="24" name="Picture_45"/>
                  <wp:cNvGraphicFramePr/>
                  <a:graphic xmlns:a="http://schemas.openxmlformats.org/drawingml/2006/main">
                    <a:graphicData uri="http://schemas.openxmlformats.org/drawingml/2006/picture">
                      <pic:pic xmlns:pic="http://schemas.openxmlformats.org/drawingml/2006/picture">
                        <pic:nvPicPr>
                          <pic:cNvPr id="24" name="Picture_45"/>
                          <pic:cNvPicPr/>
                        </pic:nvPicPr>
                        <pic:blipFill>
                          <a:blip r:embed="rId23"/>
                          <a:stretch>
                            <a:fillRect/>
                          </a:stretch>
                        </pic:blipFill>
                        <pic:spPr>
                          <a:xfrm>
                            <a:off x="0" y="0"/>
                            <a:ext cx="821055" cy="677545"/>
                          </a:xfrm>
                          <a:prstGeom prst="rect">
                            <a:avLst/>
                          </a:prstGeom>
                          <a:noFill/>
                          <a:ln>
                            <a:noFill/>
                          </a:ln>
                        </pic:spPr>
                      </pic:pic>
                    </a:graphicData>
                  </a:graphic>
                </wp:anchor>
              </w:drawing>
            </w:r>
          </w:p>
        </w:tc>
      </w:tr>
      <w:tr w14:paraId="3C582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8408A">
            <w:pPr>
              <w:jc w:val="center"/>
              <w:rPr>
                <w:rFonts w:hint="default" w:ascii="宋体" w:hAnsi="宋体" w:eastAsia="宋体" w:cs="宋体"/>
                <w:color w:val="auto"/>
                <w:highlight w:val="none"/>
                <w:lang w:val="en-US"/>
              </w:rPr>
            </w:pPr>
            <w:r>
              <w:rPr>
                <w:rFonts w:hint="eastAsia" w:ascii="宋体" w:hAnsi="宋体" w:cs="宋体"/>
                <w:color w:val="auto"/>
                <w:highlight w:val="none"/>
                <w:lang w:val="en-US" w:eastAsia="zh-CN"/>
              </w:rPr>
              <w:t>19</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17EF">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电炸炉</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D26E8">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1000*600*800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83D6E">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99073">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台</w:t>
            </w:r>
          </w:p>
        </w:tc>
        <w:tc>
          <w:tcPr>
            <w:tcW w:w="1587" w:type="pct"/>
            <w:tcBorders>
              <w:top w:val="single" w:color="000000" w:sz="4" w:space="0"/>
              <w:left w:val="single" w:color="000000" w:sz="4" w:space="0"/>
              <w:bottom w:val="single" w:color="000000" w:sz="4" w:space="0"/>
              <w:right w:val="single" w:color="auto" w:sz="4" w:space="0"/>
            </w:tcBorders>
            <w:shd w:val="clear" w:color="auto" w:fill="auto"/>
            <w:vAlign w:val="center"/>
          </w:tcPr>
          <w:p w14:paraId="6A62C4B0">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采用优质不锈钢板制作，厚度1.0mm。380V12KW</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0134C">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drawing>
                <wp:anchor distT="0" distB="0" distL="114300" distR="114300" simplePos="0" relativeHeight="251659264" behindDoc="0" locked="0" layoutInCell="1" allowOverlap="1">
                  <wp:simplePos x="0" y="0"/>
                  <wp:positionH relativeFrom="column">
                    <wp:posOffset>142240</wp:posOffset>
                  </wp:positionH>
                  <wp:positionV relativeFrom="paragraph">
                    <wp:posOffset>271780</wp:posOffset>
                  </wp:positionV>
                  <wp:extent cx="628650" cy="629920"/>
                  <wp:effectExtent l="0" t="0" r="0" b="17780"/>
                  <wp:wrapNone/>
                  <wp:docPr id="23" name="图片_40"/>
                  <wp:cNvGraphicFramePr/>
                  <a:graphic xmlns:a="http://schemas.openxmlformats.org/drawingml/2006/main">
                    <a:graphicData uri="http://schemas.openxmlformats.org/drawingml/2006/picture">
                      <pic:pic xmlns:pic="http://schemas.openxmlformats.org/drawingml/2006/picture">
                        <pic:nvPicPr>
                          <pic:cNvPr id="23" name="图片_40"/>
                          <pic:cNvPicPr/>
                        </pic:nvPicPr>
                        <pic:blipFill>
                          <a:blip r:embed="rId24"/>
                          <a:stretch>
                            <a:fillRect/>
                          </a:stretch>
                        </pic:blipFill>
                        <pic:spPr>
                          <a:xfrm>
                            <a:off x="0" y="0"/>
                            <a:ext cx="628650" cy="629920"/>
                          </a:xfrm>
                          <a:prstGeom prst="rect">
                            <a:avLst/>
                          </a:prstGeom>
                          <a:noFill/>
                          <a:ln>
                            <a:noFill/>
                          </a:ln>
                        </pic:spPr>
                      </pic:pic>
                    </a:graphicData>
                  </a:graphic>
                </wp:anchor>
              </w:drawing>
            </w:r>
          </w:p>
        </w:tc>
      </w:tr>
      <w:tr w14:paraId="19401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8"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306C">
            <w:pPr>
              <w:jc w:val="center"/>
              <w:rPr>
                <w:rFonts w:hint="default" w:ascii="宋体" w:hAnsi="宋体" w:eastAsia="宋体" w:cs="宋体"/>
                <w:color w:val="auto"/>
                <w:highlight w:val="none"/>
                <w:lang w:val="en-US"/>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0</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E3B2">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油烟净化一体机</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0DAEF">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2630*1300*1080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124E7">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2.63</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5F20B">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米</w:t>
            </w:r>
          </w:p>
        </w:tc>
        <w:tc>
          <w:tcPr>
            <w:tcW w:w="1587" w:type="pct"/>
            <w:tcBorders>
              <w:top w:val="single" w:color="000000" w:sz="4" w:space="0"/>
              <w:left w:val="single" w:color="000000" w:sz="4" w:space="0"/>
              <w:bottom w:val="single" w:color="000000" w:sz="4" w:space="0"/>
              <w:right w:val="single" w:color="auto" w:sz="4" w:space="0"/>
            </w:tcBorders>
            <w:shd w:val="clear" w:color="auto" w:fill="auto"/>
            <w:vAlign w:val="center"/>
          </w:tcPr>
          <w:p w14:paraId="1613FABD">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用机械分离和静电净化技术，在风机的带动下含油烟的废气被吸入，进入集烟罩的分离均衡区，进行物理碰撞拦截，剩余油雾粒子进入电场离子区被荷电，带荷电的油、烟、尘受电场力的作用被吸附碳化，排除洁净的空气。一体化组合式结构及烟罩、净化、排风三合一，节省厨房工作空间，占用空间小，自动清洗，集气体收集--净化--输送于一体。</w:t>
            </w:r>
          </w:p>
          <w:p w14:paraId="79A049CA">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01： 板材：采用不锈钢板，标厚≥1.2mm；</w:t>
            </w:r>
          </w:p>
          <w:p w14:paraId="4BA52F4C">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02： 功率/电压：≥2.5KW/380V；</w:t>
            </w:r>
          </w:p>
          <w:p w14:paraId="5AFE410B">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03： 规格尺寸：≥L*1300*1100；</w:t>
            </w:r>
          </w:p>
          <w:p w14:paraId="56B3A9B0">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04： LED工作照明</w:t>
            </w:r>
            <w:r>
              <w:rPr>
                <w:rFonts w:hint="eastAsia" w:ascii="宋体" w:hAnsi="宋体" w:eastAsia="宋体" w:cs="宋体"/>
                <w:color w:val="auto"/>
                <w:highlight w:val="none"/>
                <w:lang w:val="en-US" w:eastAsia="zh-CN"/>
              </w:rPr>
              <w:t>；</w:t>
            </w:r>
          </w:p>
          <w:p w14:paraId="4EB36E59">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05：五级净化，净化效率≥96%；</w:t>
            </w:r>
          </w:p>
          <w:p w14:paraId="02DEA79E">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06：纳米涂层动态屏蔽盘，耐高温，不变形，前端拦截，烟道无积油；</w:t>
            </w:r>
          </w:p>
          <w:p w14:paraId="4E2C63DE">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07：烟罩前沿配备独立的风幕引导装置，防止油烟外溢；</w:t>
            </w:r>
          </w:p>
          <w:p w14:paraId="3DBF0909">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08：产品单元化设计，分为ABC三大部分组成，风机模块可独立拆卸。</w:t>
            </w:r>
          </w:p>
          <w:p w14:paraId="38FCF8F0">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09：6键触控屏，各单元系统动力装置的启停独立控制，根据工作需要模块化开启，确保节能环保；</w:t>
            </w:r>
          </w:p>
          <w:p w14:paraId="170023A4">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10：每个模块需配有独立的高压电源，且配置静电状态可视屏，实时显示净化器工作参数；</w:t>
            </w:r>
          </w:p>
          <w:p w14:paraId="424E137F">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11：设备高压电源核心部件可空载，长时间短路工作，输出高压不变化，具备放电保护、过载保护等；</w:t>
            </w:r>
          </w:p>
          <w:p w14:paraId="68E5B21A">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12：核心部件电场吸附区采用不锈钢板式设计，耐腐蚀易清洗；</w:t>
            </w:r>
          </w:p>
          <w:p w14:paraId="075D30EE">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13：自动故障检测及工作日志记录功能；</w:t>
            </w:r>
          </w:p>
          <w:p w14:paraId="7E48B467">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14： 独立电源控制箱，</w:t>
            </w:r>
            <w:r>
              <w:rPr>
                <w:rFonts w:hint="eastAsia" w:ascii="宋体" w:hAnsi="宋体" w:cs="宋体"/>
                <w:color w:val="auto"/>
                <w:highlight w:val="none"/>
                <w:lang w:val="en-US" w:eastAsia="zh-CN"/>
              </w:rPr>
              <w:t>具</w:t>
            </w:r>
            <w:r>
              <w:rPr>
                <w:rFonts w:hint="eastAsia" w:ascii="宋体" w:hAnsi="宋体" w:eastAsia="宋体" w:cs="宋体"/>
                <w:color w:val="auto"/>
                <w:highlight w:val="none"/>
                <w:lang w:val="en-US" w:eastAsia="zh-CN"/>
              </w:rPr>
              <w:t>备缺项、过载、欠压等保护功能，实时显示风机工作状态；</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B67D">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drawing>
                <wp:anchor distT="0" distB="0" distL="114300" distR="114300" simplePos="0" relativeHeight="251659264" behindDoc="0" locked="0" layoutInCell="1" allowOverlap="1">
                  <wp:simplePos x="0" y="0"/>
                  <wp:positionH relativeFrom="column">
                    <wp:posOffset>28575</wp:posOffset>
                  </wp:positionH>
                  <wp:positionV relativeFrom="paragraph">
                    <wp:posOffset>2800350</wp:posOffset>
                  </wp:positionV>
                  <wp:extent cx="895985" cy="528320"/>
                  <wp:effectExtent l="0" t="0" r="18415" b="5080"/>
                  <wp:wrapNone/>
                  <wp:docPr id="22" name="图片_18"/>
                  <wp:cNvGraphicFramePr/>
                  <a:graphic xmlns:a="http://schemas.openxmlformats.org/drawingml/2006/main">
                    <a:graphicData uri="http://schemas.openxmlformats.org/drawingml/2006/picture">
                      <pic:pic xmlns:pic="http://schemas.openxmlformats.org/drawingml/2006/picture">
                        <pic:nvPicPr>
                          <pic:cNvPr id="22" name="图片_18"/>
                          <pic:cNvPicPr/>
                        </pic:nvPicPr>
                        <pic:blipFill>
                          <a:blip r:embed="rId10"/>
                          <a:stretch>
                            <a:fillRect/>
                          </a:stretch>
                        </pic:blipFill>
                        <pic:spPr>
                          <a:xfrm>
                            <a:off x="0" y="0"/>
                            <a:ext cx="895985" cy="528320"/>
                          </a:xfrm>
                          <a:prstGeom prst="rect">
                            <a:avLst/>
                          </a:prstGeom>
                          <a:noFill/>
                          <a:ln>
                            <a:noFill/>
                          </a:ln>
                        </pic:spPr>
                      </pic:pic>
                    </a:graphicData>
                  </a:graphic>
                </wp:anchor>
              </w:drawing>
            </w:r>
          </w:p>
        </w:tc>
      </w:tr>
      <w:tr w14:paraId="343A3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0E9B">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1</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7064">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装饰板</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34FB">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2630*1500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E00E">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3.94</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E970">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w:t>
            </w:r>
          </w:p>
        </w:tc>
        <w:tc>
          <w:tcPr>
            <w:tcW w:w="1587" w:type="pct"/>
            <w:tcBorders>
              <w:top w:val="single" w:color="000000" w:sz="4" w:space="0"/>
              <w:left w:val="single" w:color="000000" w:sz="4" w:space="0"/>
              <w:bottom w:val="single" w:color="000000" w:sz="4" w:space="0"/>
              <w:right w:val="single" w:color="auto" w:sz="4" w:space="0"/>
            </w:tcBorders>
            <w:shd w:val="clear" w:color="auto" w:fill="auto"/>
            <w:vAlign w:val="center"/>
          </w:tcPr>
          <w:p w14:paraId="17B2C301">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采用优质不锈钢板制作，厚度1.0mm。</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B499">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drawing>
                <wp:anchor distT="0" distB="0" distL="114300" distR="114300" simplePos="0" relativeHeight="251659264" behindDoc="0" locked="0" layoutInCell="1" allowOverlap="1">
                  <wp:simplePos x="0" y="0"/>
                  <wp:positionH relativeFrom="column">
                    <wp:posOffset>71755</wp:posOffset>
                  </wp:positionH>
                  <wp:positionV relativeFrom="paragraph">
                    <wp:posOffset>211455</wp:posOffset>
                  </wp:positionV>
                  <wp:extent cx="786130" cy="723900"/>
                  <wp:effectExtent l="0" t="0" r="13970" b="0"/>
                  <wp:wrapNone/>
                  <wp:docPr id="21" name="Picture_41_SpCnt_1"/>
                  <wp:cNvGraphicFramePr/>
                  <a:graphic xmlns:a="http://schemas.openxmlformats.org/drawingml/2006/main">
                    <a:graphicData uri="http://schemas.openxmlformats.org/drawingml/2006/picture">
                      <pic:pic xmlns:pic="http://schemas.openxmlformats.org/drawingml/2006/picture">
                        <pic:nvPicPr>
                          <pic:cNvPr id="21" name="Picture_41_SpCnt_1"/>
                          <pic:cNvPicPr/>
                        </pic:nvPicPr>
                        <pic:blipFill>
                          <a:blip r:embed="rId11"/>
                          <a:stretch>
                            <a:fillRect/>
                          </a:stretch>
                        </pic:blipFill>
                        <pic:spPr>
                          <a:xfrm>
                            <a:off x="0" y="0"/>
                            <a:ext cx="786130" cy="723900"/>
                          </a:xfrm>
                          <a:prstGeom prst="rect">
                            <a:avLst/>
                          </a:prstGeom>
                          <a:noFill/>
                          <a:ln>
                            <a:noFill/>
                          </a:ln>
                        </pic:spPr>
                      </pic:pic>
                    </a:graphicData>
                  </a:graphic>
                </wp:anchor>
              </w:drawing>
            </w:r>
          </w:p>
        </w:tc>
      </w:tr>
      <w:tr w14:paraId="0170B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6EF7">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22</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B015E">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木面案工作台</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F50F">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1800*800*800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D91D5">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75349">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台</w:t>
            </w:r>
          </w:p>
        </w:tc>
        <w:tc>
          <w:tcPr>
            <w:tcW w:w="1587" w:type="pct"/>
            <w:tcBorders>
              <w:top w:val="single" w:color="000000" w:sz="4" w:space="0"/>
              <w:left w:val="single" w:color="000000" w:sz="4" w:space="0"/>
              <w:bottom w:val="single" w:color="000000" w:sz="4" w:space="0"/>
              <w:right w:val="single" w:color="auto" w:sz="4" w:space="0"/>
            </w:tcBorders>
            <w:shd w:val="clear" w:color="auto" w:fill="auto"/>
            <w:vAlign w:val="center"/>
          </w:tcPr>
          <w:p w14:paraId="01E810B7">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1、采用优质1.0mm不锈钢板；</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2、木案面板50mm水曲柳木制作；</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3、支架横通38*38*1.0mm不锈钢管。</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E7849">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drawing>
                <wp:anchor distT="0" distB="0" distL="114300" distR="114300" simplePos="0" relativeHeight="251659264" behindDoc="0" locked="0" layoutInCell="1" allowOverlap="1">
                  <wp:simplePos x="0" y="0"/>
                  <wp:positionH relativeFrom="column">
                    <wp:posOffset>115570</wp:posOffset>
                  </wp:positionH>
                  <wp:positionV relativeFrom="paragraph">
                    <wp:posOffset>275590</wp:posOffset>
                  </wp:positionV>
                  <wp:extent cx="709295" cy="504825"/>
                  <wp:effectExtent l="0" t="0" r="14605" b="9525"/>
                  <wp:wrapNone/>
                  <wp:docPr id="20" name="图片_5_SpCnt_1"/>
                  <wp:cNvGraphicFramePr/>
                  <a:graphic xmlns:a="http://schemas.openxmlformats.org/drawingml/2006/main">
                    <a:graphicData uri="http://schemas.openxmlformats.org/drawingml/2006/picture">
                      <pic:pic xmlns:pic="http://schemas.openxmlformats.org/drawingml/2006/picture">
                        <pic:nvPicPr>
                          <pic:cNvPr id="20" name="图片_5_SpCnt_1"/>
                          <pic:cNvPicPr/>
                        </pic:nvPicPr>
                        <pic:blipFill>
                          <a:blip r:embed="rId25"/>
                          <a:stretch>
                            <a:fillRect/>
                          </a:stretch>
                        </pic:blipFill>
                        <pic:spPr>
                          <a:xfrm>
                            <a:off x="0" y="0"/>
                            <a:ext cx="709295" cy="504825"/>
                          </a:xfrm>
                          <a:prstGeom prst="rect">
                            <a:avLst/>
                          </a:prstGeom>
                          <a:noFill/>
                          <a:ln>
                            <a:noFill/>
                          </a:ln>
                        </pic:spPr>
                      </pic:pic>
                    </a:graphicData>
                  </a:graphic>
                </wp:anchor>
              </w:drawing>
            </w:r>
          </w:p>
        </w:tc>
      </w:tr>
      <w:tr w14:paraId="5D9DD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0BB67">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1BD1">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翻盖式和面机</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62219">
            <w:pPr>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25KG</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AEF76">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B4835">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台</w:t>
            </w:r>
          </w:p>
        </w:tc>
        <w:tc>
          <w:tcPr>
            <w:tcW w:w="1587" w:type="pct"/>
            <w:tcBorders>
              <w:top w:val="single" w:color="000000" w:sz="4" w:space="0"/>
              <w:left w:val="single" w:color="000000" w:sz="4" w:space="0"/>
              <w:bottom w:val="single" w:color="000000" w:sz="4" w:space="0"/>
              <w:right w:val="single" w:color="auto" w:sz="4" w:space="0"/>
            </w:tcBorders>
            <w:shd w:val="clear" w:color="auto" w:fill="auto"/>
            <w:vAlign w:val="center"/>
          </w:tcPr>
          <w:p w14:paraId="16492039">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面斗里外满焊，不存面。  </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 xml:space="preserve">机架方管材质整体性强            </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整机不锈钢，边角圆弧型，美观圆润。搅杠轴和搅杠为304材质；</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重载轴承，免维护。唇形油封加纯胶油封，密封性好。</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采用链条传动；</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A款设有急停按钮，并具有掀盖即停功能；</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8F041">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drawing>
                <wp:anchor distT="0" distB="0" distL="114300" distR="114300" simplePos="0" relativeHeight="251659264" behindDoc="0" locked="0" layoutInCell="1" allowOverlap="1">
                  <wp:simplePos x="0" y="0"/>
                  <wp:positionH relativeFrom="column">
                    <wp:posOffset>119380</wp:posOffset>
                  </wp:positionH>
                  <wp:positionV relativeFrom="paragraph">
                    <wp:posOffset>500380</wp:posOffset>
                  </wp:positionV>
                  <wp:extent cx="548005" cy="678815"/>
                  <wp:effectExtent l="0" t="0" r="4445" b="6985"/>
                  <wp:wrapNone/>
                  <wp:docPr id="19" name="图片_21"/>
                  <wp:cNvGraphicFramePr/>
                  <a:graphic xmlns:a="http://schemas.openxmlformats.org/drawingml/2006/main">
                    <a:graphicData uri="http://schemas.openxmlformats.org/drawingml/2006/picture">
                      <pic:pic xmlns:pic="http://schemas.openxmlformats.org/drawingml/2006/picture">
                        <pic:nvPicPr>
                          <pic:cNvPr id="19" name="图片_21"/>
                          <pic:cNvPicPr/>
                        </pic:nvPicPr>
                        <pic:blipFill>
                          <a:blip r:embed="rId26"/>
                          <a:stretch>
                            <a:fillRect/>
                          </a:stretch>
                        </pic:blipFill>
                        <pic:spPr>
                          <a:xfrm>
                            <a:off x="0" y="0"/>
                            <a:ext cx="548005" cy="678815"/>
                          </a:xfrm>
                          <a:prstGeom prst="rect">
                            <a:avLst/>
                          </a:prstGeom>
                          <a:noFill/>
                          <a:ln>
                            <a:noFill/>
                          </a:ln>
                        </pic:spPr>
                      </pic:pic>
                    </a:graphicData>
                  </a:graphic>
                </wp:anchor>
              </w:drawing>
            </w:r>
          </w:p>
        </w:tc>
      </w:tr>
      <w:tr w14:paraId="645F7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91D16">
            <w:pPr>
              <w:jc w:val="center"/>
              <w:rPr>
                <w:rFonts w:hint="default" w:ascii="宋体" w:hAnsi="宋体" w:eastAsia="宋体" w:cs="宋体"/>
                <w:color w:val="auto"/>
                <w:highlight w:val="none"/>
                <w:lang w:val="en-US"/>
              </w:rPr>
            </w:pPr>
            <w:r>
              <w:rPr>
                <w:rFonts w:hint="eastAsia" w:ascii="宋体" w:hAnsi="宋体" w:cs="宋体"/>
                <w:color w:val="auto"/>
                <w:highlight w:val="none"/>
                <w:lang w:val="en-US" w:eastAsia="zh-CN"/>
              </w:rPr>
              <w:t>24</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72F1C">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压面机</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85E48">
            <w:pPr>
              <w:ind w:firstLine="210" w:firstLineChars="1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60</w:t>
            </w:r>
            <w:r>
              <w:rPr>
                <w:rFonts w:hint="eastAsia" w:ascii="宋体" w:hAnsi="宋体" w:cs="宋体"/>
                <w:color w:val="auto"/>
                <w:highlight w:val="none"/>
                <w:lang w:val="en-US" w:eastAsia="zh-CN"/>
              </w:rPr>
              <w:t>型</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EA9FF">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BD22A">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台</w:t>
            </w:r>
          </w:p>
        </w:tc>
        <w:tc>
          <w:tcPr>
            <w:tcW w:w="1587" w:type="pct"/>
            <w:tcBorders>
              <w:top w:val="single" w:color="000000" w:sz="4" w:space="0"/>
              <w:left w:val="single" w:color="000000" w:sz="4" w:space="0"/>
              <w:bottom w:val="single" w:color="000000" w:sz="4" w:space="0"/>
              <w:right w:val="single" w:color="auto" w:sz="4" w:space="0"/>
            </w:tcBorders>
            <w:shd w:val="clear" w:color="auto" w:fill="auto"/>
            <w:vAlign w:val="center"/>
          </w:tcPr>
          <w:p w14:paraId="263054D4">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MT系列面条机升级版</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不锈钢护罩；</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热过载防护，急停开关，内置电机</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安全护手网</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YZW防油耐磨电线</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49D5">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drawing>
                <wp:anchor distT="0" distB="0" distL="114300" distR="114300" simplePos="0" relativeHeight="251659264" behindDoc="0" locked="0" layoutInCell="1" allowOverlap="1">
                  <wp:simplePos x="0" y="0"/>
                  <wp:positionH relativeFrom="column">
                    <wp:posOffset>186690</wp:posOffset>
                  </wp:positionH>
                  <wp:positionV relativeFrom="paragraph">
                    <wp:posOffset>54610</wp:posOffset>
                  </wp:positionV>
                  <wp:extent cx="579120" cy="781050"/>
                  <wp:effectExtent l="0" t="0" r="11430" b="0"/>
                  <wp:wrapNone/>
                  <wp:docPr id="18" name="图片_22"/>
                  <wp:cNvGraphicFramePr/>
                  <a:graphic xmlns:a="http://schemas.openxmlformats.org/drawingml/2006/main">
                    <a:graphicData uri="http://schemas.openxmlformats.org/drawingml/2006/picture">
                      <pic:pic xmlns:pic="http://schemas.openxmlformats.org/drawingml/2006/picture">
                        <pic:nvPicPr>
                          <pic:cNvPr id="18" name="图片_22"/>
                          <pic:cNvPicPr/>
                        </pic:nvPicPr>
                        <pic:blipFill>
                          <a:blip r:embed="rId27"/>
                          <a:stretch>
                            <a:fillRect/>
                          </a:stretch>
                        </pic:blipFill>
                        <pic:spPr>
                          <a:xfrm>
                            <a:off x="0" y="0"/>
                            <a:ext cx="579120" cy="781050"/>
                          </a:xfrm>
                          <a:prstGeom prst="rect">
                            <a:avLst/>
                          </a:prstGeom>
                          <a:noFill/>
                          <a:ln>
                            <a:noFill/>
                          </a:ln>
                        </pic:spPr>
                      </pic:pic>
                    </a:graphicData>
                  </a:graphic>
                </wp:anchor>
              </w:drawing>
            </w:r>
          </w:p>
        </w:tc>
      </w:tr>
      <w:tr w14:paraId="101D4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6216A">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5</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9BF21">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单星盆台</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C1D1">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600*700*800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CE99C">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FC93">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台</w:t>
            </w:r>
          </w:p>
        </w:tc>
        <w:tc>
          <w:tcPr>
            <w:tcW w:w="1587" w:type="pct"/>
            <w:tcBorders>
              <w:top w:val="single" w:color="000000" w:sz="4" w:space="0"/>
              <w:left w:val="single" w:color="000000" w:sz="4" w:space="0"/>
              <w:bottom w:val="single" w:color="000000" w:sz="4" w:space="0"/>
              <w:right w:val="single" w:color="auto" w:sz="4" w:space="0"/>
            </w:tcBorders>
            <w:shd w:val="clear" w:color="auto" w:fill="auto"/>
            <w:vAlign w:val="center"/>
          </w:tcPr>
          <w:p w14:paraId="55910D9E">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整体优质不锈钢制作；</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台面采用1.0mm厚不锈钢板制作；</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星盆斗采用1.0mm厚不锈钢板制作；</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立柱采用38*38mm方通，配可调式子弹脚；</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02F78">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drawing>
                <wp:anchor distT="0" distB="0" distL="114300" distR="114300" simplePos="0" relativeHeight="251659264" behindDoc="0" locked="0" layoutInCell="1" allowOverlap="1">
                  <wp:simplePos x="0" y="0"/>
                  <wp:positionH relativeFrom="column">
                    <wp:posOffset>182245</wp:posOffset>
                  </wp:positionH>
                  <wp:positionV relativeFrom="paragraph">
                    <wp:posOffset>133350</wp:posOffset>
                  </wp:positionV>
                  <wp:extent cx="711835" cy="723900"/>
                  <wp:effectExtent l="0" t="0" r="12065" b="0"/>
                  <wp:wrapNone/>
                  <wp:docPr id="17" name="Picture_25"/>
                  <wp:cNvGraphicFramePr/>
                  <a:graphic xmlns:a="http://schemas.openxmlformats.org/drawingml/2006/main">
                    <a:graphicData uri="http://schemas.openxmlformats.org/drawingml/2006/picture">
                      <pic:pic xmlns:pic="http://schemas.openxmlformats.org/drawingml/2006/picture">
                        <pic:nvPicPr>
                          <pic:cNvPr id="17" name="Picture_25"/>
                          <pic:cNvPicPr/>
                        </pic:nvPicPr>
                        <pic:blipFill>
                          <a:blip r:embed="rId28"/>
                          <a:stretch>
                            <a:fillRect/>
                          </a:stretch>
                        </pic:blipFill>
                        <pic:spPr>
                          <a:xfrm>
                            <a:off x="0" y="0"/>
                            <a:ext cx="711835" cy="723900"/>
                          </a:xfrm>
                          <a:prstGeom prst="rect">
                            <a:avLst/>
                          </a:prstGeom>
                          <a:noFill/>
                          <a:ln>
                            <a:noFill/>
                          </a:ln>
                        </pic:spPr>
                      </pic:pic>
                    </a:graphicData>
                  </a:graphic>
                </wp:anchor>
              </w:drawing>
            </w:r>
          </w:p>
        </w:tc>
      </w:tr>
      <w:tr w14:paraId="03110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41432">
            <w:pPr>
              <w:jc w:val="center"/>
              <w:rPr>
                <w:rFonts w:hint="default" w:ascii="宋体" w:hAnsi="宋体" w:eastAsia="宋体" w:cs="宋体"/>
                <w:color w:val="auto"/>
                <w:highlight w:val="none"/>
                <w:lang w:val="en-US"/>
              </w:rPr>
            </w:pPr>
            <w:r>
              <w:rPr>
                <w:rFonts w:hint="eastAsia" w:ascii="宋体" w:hAnsi="宋体" w:cs="宋体"/>
                <w:color w:val="auto"/>
                <w:highlight w:val="none"/>
                <w:lang w:val="en-US" w:eastAsia="zh-CN"/>
              </w:rPr>
              <w:t>26</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FC87D">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四门冰箱</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9FA1">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1200*700*1950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77708">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D82A">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台</w:t>
            </w:r>
          </w:p>
        </w:tc>
        <w:tc>
          <w:tcPr>
            <w:tcW w:w="1587" w:type="pct"/>
            <w:tcBorders>
              <w:top w:val="single" w:color="000000" w:sz="4" w:space="0"/>
              <w:left w:val="single" w:color="000000" w:sz="4" w:space="0"/>
              <w:bottom w:val="single" w:color="000000" w:sz="4" w:space="0"/>
              <w:right w:val="single" w:color="auto" w:sz="4" w:space="0"/>
            </w:tcBorders>
            <w:shd w:val="clear" w:color="auto" w:fill="auto"/>
            <w:vAlign w:val="center"/>
          </w:tcPr>
          <w:p w14:paraId="5955E76C">
            <w:pP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电压：220V功率：0.395kw容量：940L冷藏容积470L冷冻容积470L，；制冷方式：直冷 温度范围：保鲜-5℃～+5℃冷冻0℃～-18℃。</w:t>
            </w:r>
          </w:p>
          <w:p w14:paraId="29421373">
            <w:pP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1、板材内箱优质无磁不锈钢板，前面板优质无磁不锈钢板，门面板优质无磁不锈钢板，外侧板优质无磁不锈钢板；加厚型发泡层，提高保温性能，超大空间，冷却速度快，更节能；</w:t>
            </w:r>
          </w:p>
          <w:p w14:paraId="696AE047">
            <w:pP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2、釆用独立机组双压缩机双冷凝器双冷凝风机可整体抽出机组拆卸更换，到场即可修复，无需现场检修</w:t>
            </w:r>
          </w:p>
          <w:p w14:paraId="06827BF4">
            <w:pP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3、采用微电脑温控器，温度显示精准，性能稳定，操作简单；</w:t>
            </w:r>
          </w:p>
          <w:p w14:paraId="2C7C25EB">
            <w:pP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4、采用优质无磁不锈钢板材，全免焊设计结构；</w:t>
            </w:r>
          </w:p>
          <w:p w14:paraId="64E1934C">
            <w:pP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5、多气囊可拆卸式门封条，密封性能好，便于清洁；高效制冷；</w:t>
            </w:r>
          </w:p>
          <w:p w14:paraId="03AEA6A5">
            <w:pP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6、自动回归关门设计，防止门体关不严，造成食物变质；</w:t>
            </w:r>
          </w:p>
          <w:p w14:paraId="20BECE36">
            <w:pP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7、门框加热丝可更换，同时有专用开关控制，可根据温度湿度控制开关加热丝，除露除霜；</w:t>
            </w:r>
          </w:p>
          <w:p w14:paraId="2649F6AF">
            <w:pP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8、采用环戊烷C5H10环保发泡材料；</w:t>
            </w:r>
          </w:p>
          <w:p w14:paraId="4D0E0B88">
            <w:pP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9、接线采用JST端子插接</w:t>
            </w:r>
          </w:p>
          <w:p w14:paraId="3C874E1C">
            <w:pP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10、所有电器线路通过线缆槽布局，伸缩位置釆用护缆套进行保护，避免岀现电器安全。</w:t>
            </w:r>
          </w:p>
          <w:p w14:paraId="57653F46">
            <w:pPr>
              <w:rPr>
                <w:rFonts w:hint="eastAsia" w:ascii="宋体" w:hAnsi="宋体" w:eastAsia="宋体" w:cs="宋体"/>
                <w:color w:val="auto"/>
                <w:highlight w:val="none"/>
              </w:rPr>
            </w:pPr>
            <w:r>
              <w:rPr>
                <w:rFonts w:hint="eastAsia" w:ascii="宋体" w:hAnsi="宋体" w:eastAsia="宋体" w:cs="宋体"/>
                <w:b w:val="0"/>
                <w:bCs w:val="0"/>
                <w:color w:val="auto"/>
                <w:sz w:val="20"/>
                <w:szCs w:val="20"/>
                <w:highlight w:val="none"/>
              </w:rPr>
              <w:t>11、纯铜蒸发器制作，采用TP2铜制作蒸发器，保证蒸发器使用寿命。</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15B4">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drawing>
                <wp:anchor distT="0" distB="0" distL="114300" distR="114300" simplePos="0" relativeHeight="251659264" behindDoc="0" locked="0" layoutInCell="1" allowOverlap="1">
                  <wp:simplePos x="0" y="0"/>
                  <wp:positionH relativeFrom="column">
                    <wp:posOffset>56515</wp:posOffset>
                  </wp:positionH>
                  <wp:positionV relativeFrom="paragraph">
                    <wp:posOffset>359410</wp:posOffset>
                  </wp:positionV>
                  <wp:extent cx="845185" cy="677545"/>
                  <wp:effectExtent l="0" t="0" r="12065" b="8255"/>
                  <wp:wrapNone/>
                  <wp:docPr id="16" name="Picture_36_SpCnt_1"/>
                  <wp:cNvGraphicFramePr/>
                  <a:graphic xmlns:a="http://schemas.openxmlformats.org/drawingml/2006/main">
                    <a:graphicData uri="http://schemas.openxmlformats.org/drawingml/2006/picture">
                      <pic:pic xmlns:pic="http://schemas.openxmlformats.org/drawingml/2006/picture">
                        <pic:nvPicPr>
                          <pic:cNvPr id="16" name="Picture_36_SpCnt_1"/>
                          <pic:cNvPicPr/>
                        </pic:nvPicPr>
                        <pic:blipFill>
                          <a:blip r:embed="rId29"/>
                          <a:stretch>
                            <a:fillRect/>
                          </a:stretch>
                        </pic:blipFill>
                        <pic:spPr>
                          <a:xfrm>
                            <a:off x="0" y="0"/>
                            <a:ext cx="845185" cy="677545"/>
                          </a:xfrm>
                          <a:prstGeom prst="rect">
                            <a:avLst/>
                          </a:prstGeom>
                          <a:noFill/>
                          <a:ln>
                            <a:noFill/>
                          </a:ln>
                        </pic:spPr>
                      </pic:pic>
                    </a:graphicData>
                  </a:graphic>
                </wp:anchor>
              </w:drawing>
            </w:r>
          </w:p>
        </w:tc>
      </w:tr>
      <w:tr w14:paraId="65353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07" w:type="pct"/>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14:paraId="180EB6B9">
            <w:pPr>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凉菜间</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F032">
            <w:pPr>
              <w:rPr>
                <w:rFonts w:hint="eastAsia" w:ascii="宋体" w:hAnsi="宋体" w:eastAsia="宋体" w:cs="宋体"/>
                <w:color w:val="auto"/>
                <w:highlight w:val="none"/>
              </w:rPr>
            </w:pPr>
          </w:p>
        </w:tc>
      </w:tr>
      <w:tr w14:paraId="163AF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6A4CF">
            <w:pPr>
              <w:jc w:val="center"/>
              <w:rPr>
                <w:rFonts w:hint="default" w:ascii="宋体" w:hAnsi="宋体" w:eastAsia="宋体" w:cs="宋体"/>
                <w:color w:val="auto"/>
                <w:highlight w:val="none"/>
                <w:lang w:val="en-US"/>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7</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5083">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双门保鲜工作台</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4D9E">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1800*</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00*800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5129">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EDC1">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台</w:t>
            </w:r>
          </w:p>
        </w:tc>
        <w:tc>
          <w:tcPr>
            <w:tcW w:w="1587" w:type="pct"/>
            <w:tcBorders>
              <w:top w:val="single" w:color="000000" w:sz="4" w:space="0"/>
              <w:left w:val="single" w:color="000000" w:sz="4" w:space="0"/>
              <w:bottom w:val="single" w:color="000000" w:sz="4" w:space="0"/>
              <w:right w:val="single" w:color="auto" w:sz="4" w:space="0"/>
            </w:tcBorders>
            <w:shd w:val="clear" w:color="auto" w:fill="auto"/>
            <w:vAlign w:val="center"/>
          </w:tcPr>
          <w:p w14:paraId="3E2D2A92">
            <w:pPr>
              <w:keepNext w:val="0"/>
              <w:keepLines w:val="0"/>
              <w:widowControl/>
              <w:suppressLineNumbers w:val="0"/>
              <w:spacing w:line="240" w:lineRule="auto"/>
              <w:jc w:val="left"/>
              <w:textAlignment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电压：220V功率：0.20kw容量：450L；制冷方式：直冷 温度范围：保鲜-5℃～+5℃</w:t>
            </w:r>
          </w:p>
          <w:p w14:paraId="58B180E4">
            <w:pPr>
              <w:keepNext w:val="0"/>
              <w:keepLines w:val="0"/>
              <w:widowControl/>
              <w:suppressLineNumbers w:val="0"/>
              <w:spacing w:line="240" w:lineRule="auto"/>
              <w:jc w:val="left"/>
              <w:textAlignment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1、板材内箱优质无磁不锈钢板，前面板优质无磁不锈钢板，门面板优质无磁不锈钢板，外侧板优质无磁不锈钢板；加厚型发泡层，提高保温性能，超大空间，冷却速度快，更节能；</w:t>
            </w:r>
          </w:p>
          <w:p w14:paraId="74EA0C72">
            <w:pPr>
              <w:keepNext w:val="0"/>
              <w:keepLines w:val="0"/>
              <w:widowControl/>
              <w:suppressLineNumbers w:val="0"/>
              <w:spacing w:line="240" w:lineRule="auto"/>
              <w:jc w:val="left"/>
              <w:textAlignment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2、采用微电脑温控器，温度显示精准，性能稳定，操作简单；</w:t>
            </w:r>
          </w:p>
          <w:p w14:paraId="7B6421CD">
            <w:pPr>
              <w:keepNext w:val="0"/>
              <w:keepLines w:val="0"/>
              <w:widowControl/>
              <w:suppressLineNumbers w:val="0"/>
              <w:spacing w:line="240" w:lineRule="auto"/>
              <w:jc w:val="left"/>
              <w:textAlignment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3、采用优质无磁不锈钢板材，全免焊设计结构；</w:t>
            </w:r>
          </w:p>
          <w:p w14:paraId="2CD46985">
            <w:pPr>
              <w:keepNext w:val="0"/>
              <w:keepLines w:val="0"/>
              <w:widowControl/>
              <w:suppressLineNumbers w:val="0"/>
              <w:spacing w:line="240" w:lineRule="auto"/>
              <w:jc w:val="left"/>
              <w:textAlignment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4、多气囊可拆卸式门封条，密封性能好，便于清洁；高效制冷；</w:t>
            </w:r>
          </w:p>
          <w:p w14:paraId="6BB31A90">
            <w:pPr>
              <w:keepNext w:val="0"/>
              <w:keepLines w:val="0"/>
              <w:widowControl/>
              <w:suppressLineNumbers w:val="0"/>
              <w:spacing w:line="240" w:lineRule="auto"/>
              <w:jc w:val="left"/>
              <w:textAlignment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5、自动回归关门设计，防止门体关不严，造成食物变质；</w:t>
            </w:r>
          </w:p>
          <w:p w14:paraId="5325446C">
            <w:pPr>
              <w:keepNext w:val="0"/>
              <w:keepLines w:val="0"/>
              <w:widowControl/>
              <w:suppressLineNumbers w:val="0"/>
              <w:spacing w:line="240" w:lineRule="auto"/>
              <w:jc w:val="left"/>
              <w:textAlignment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6、采用环戊烷C5H10环保发泡材料；</w:t>
            </w:r>
          </w:p>
          <w:p w14:paraId="6164C864">
            <w:pPr>
              <w:keepNext w:val="0"/>
              <w:keepLines w:val="0"/>
              <w:widowControl/>
              <w:suppressLineNumbers w:val="0"/>
              <w:spacing w:line="240" w:lineRule="auto"/>
              <w:jc w:val="left"/>
              <w:textAlignment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7、接线采用JST端子插接</w:t>
            </w:r>
          </w:p>
          <w:p w14:paraId="45EC6789">
            <w:pPr>
              <w:keepNext w:val="0"/>
              <w:keepLines w:val="0"/>
              <w:widowControl/>
              <w:suppressLineNumbers w:val="0"/>
              <w:spacing w:line="240" w:lineRule="auto"/>
              <w:jc w:val="left"/>
              <w:textAlignment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8、所有电器线路通过线缆槽布局，伸缩位置釆用护缆套进行保护，避免岀现电器安全。</w:t>
            </w:r>
          </w:p>
          <w:p w14:paraId="16E10276">
            <w:pPr>
              <w:rPr>
                <w:rFonts w:hint="eastAsia" w:ascii="宋体" w:hAnsi="宋体" w:eastAsia="宋体" w:cs="宋体"/>
                <w:color w:val="auto"/>
                <w:highlight w:val="none"/>
              </w:rPr>
            </w:pPr>
            <w:r>
              <w:rPr>
                <w:rFonts w:hint="eastAsia" w:ascii="宋体" w:hAnsi="宋体" w:eastAsia="宋体" w:cs="宋体"/>
                <w:b w:val="0"/>
                <w:bCs w:val="0"/>
                <w:color w:val="auto"/>
                <w:kern w:val="0"/>
                <w:sz w:val="20"/>
                <w:szCs w:val="20"/>
                <w:highlight w:val="none"/>
              </w:rPr>
              <w:t>9、纯铜蒸发器制作，采用TP2铜制作蒸发器，保证蒸发器使用寿命。</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91875">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drawing>
                <wp:anchor distT="0" distB="0" distL="114300" distR="114300" simplePos="0" relativeHeight="251659264" behindDoc="0" locked="0" layoutInCell="1" allowOverlap="1">
                  <wp:simplePos x="0" y="0"/>
                  <wp:positionH relativeFrom="column">
                    <wp:posOffset>61595</wp:posOffset>
                  </wp:positionH>
                  <wp:positionV relativeFrom="paragraph">
                    <wp:posOffset>238760</wp:posOffset>
                  </wp:positionV>
                  <wp:extent cx="723900" cy="506730"/>
                  <wp:effectExtent l="0" t="0" r="0" b="7620"/>
                  <wp:wrapNone/>
                  <wp:docPr id="15" name="Picture_35_SpCnt_1"/>
                  <wp:cNvGraphicFramePr/>
                  <a:graphic xmlns:a="http://schemas.openxmlformats.org/drawingml/2006/main">
                    <a:graphicData uri="http://schemas.openxmlformats.org/drawingml/2006/picture">
                      <pic:pic xmlns:pic="http://schemas.openxmlformats.org/drawingml/2006/picture">
                        <pic:nvPicPr>
                          <pic:cNvPr id="15" name="Picture_35_SpCnt_1"/>
                          <pic:cNvPicPr/>
                        </pic:nvPicPr>
                        <pic:blipFill>
                          <a:blip r:embed="rId30"/>
                          <a:stretch>
                            <a:fillRect/>
                          </a:stretch>
                        </pic:blipFill>
                        <pic:spPr>
                          <a:xfrm>
                            <a:off x="0" y="0"/>
                            <a:ext cx="723900" cy="506730"/>
                          </a:xfrm>
                          <a:prstGeom prst="rect">
                            <a:avLst/>
                          </a:prstGeom>
                          <a:noFill/>
                          <a:ln>
                            <a:noFill/>
                          </a:ln>
                        </pic:spPr>
                      </pic:pic>
                    </a:graphicData>
                  </a:graphic>
                </wp:anchor>
              </w:drawing>
            </w:r>
          </w:p>
        </w:tc>
      </w:tr>
      <w:tr w14:paraId="22E05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5B06F">
            <w:pPr>
              <w:jc w:val="center"/>
              <w:rPr>
                <w:rFonts w:hint="default" w:ascii="宋体" w:hAnsi="宋体" w:eastAsia="宋体" w:cs="宋体"/>
                <w:color w:val="auto"/>
                <w:highlight w:val="none"/>
                <w:lang w:val="en-US"/>
              </w:rPr>
            </w:pPr>
            <w:r>
              <w:rPr>
                <w:rFonts w:hint="eastAsia" w:ascii="宋体" w:hAnsi="宋体" w:cs="宋体"/>
                <w:color w:val="auto"/>
                <w:highlight w:val="none"/>
                <w:lang w:val="en-US" w:eastAsia="zh-CN"/>
              </w:rPr>
              <w:t>28</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7ED9">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单通工作柜</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7953">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1350*700*800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56CE">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D903B">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台</w:t>
            </w:r>
          </w:p>
        </w:tc>
        <w:tc>
          <w:tcPr>
            <w:tcW w:w="1587" w:type="pct"/>
            <w:tcBorders>
              <w:top w:val="single" w:color="000000" w:sz="4" w:space="0"/>
              <w:left w:val="single" w:color="000000" w:sz="4" w:space="0"/>
              <w:bottom w:val="single" w:color="000000" w:sz="4" w:space="0"/>
              <w:right w:val="single" w:color="auto" w:sz="4" w:space="0"/>
            </w:tcBorders>
            <w:shd w:val="clear" w:color="auto" w:fill="auto"/>
            <w:vAlign w:val="center"/>
          </w:tcPr>
          <w:p w14:paraId="11A1C8BD">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整体采用优质不锈钢制作；</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台面厚度1.0mm，内衬4mm防水机制板并用1.0mm厚不锈钢板折成加强筋加固；</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层板、底板、侧板及门面采用1.0mm厚不锈钢板制作；</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加强筋厚度1.2mm；</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配置不锈钢可调子弹脚。</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5434B">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drawing>
                <wp:anchor distT="0" distB="0" distL="114300" distR="114300" simplePos="0" relativeHeight="251659264" behindDoc="0" locked="0" layoutInCell="1" allowOverlap="1">
                  <wp:simplePos x="0" y="0"/>
                  <wp:positionH relativeFrom="column">
                    <wp:posOffset>2540</wp:posOffset>
                  </wp:positionH>
                  <wp:positionV relativeFrom="paragraph">
                    <wp:posOffset>452120</wp:posOffset>
                  </wp:positionV>
                  <wp:extent cx="715645" cy="501650"/>
                  <wp:effectExtent l="0" t="0" r="8255" b="12700"/>
                  <wp:wrapNone/>
                  <wp:docPr id="14" name="Picture_34_SpCnt_1"/>
                  <wp:cNvGraphicFramePr/>
                  <a:graphic xmlns:a="http://schemas.openxmlformats.org/drawingml/2006/main">
                    <a:graphicData uri="http://schemas.openxmlformats.org/drawingml/2006/picture">
                      <pic:pic xmlns:pic="http://schemas.openxmlformats.org/drawingml/2006/picture">
                        <pic:nvPicPr>
                          <pic:cNvPr id="14" name="Picture_34_SpCnt_1"/>
                          <pic:cNvPicPr/>
                        </pic:nvPicPr>
                        <pic:blipFill>
                          <a:blip r:embed="rId31"/>
                          <a:stretch>
                            <a:fillRect/>
                          </a:stretch>
                        </pic:blipFill>
                        <pic:spPr>
                          <a:xfrm>
                            <a:off x="0" y="0"/>
                            <a:ext cx="715645" cy="501650"/>
                          </a:xfrm>
                          <a:prstGeom prst="rect">
                            <a:avLst/>
                          </a:prstGeom>
                          <a:noFill/>
                          <a:ln>
                            <a:noFill/>
                          </a:ln>
                        </pic:spPr>
                      </pic:pic>
                    </a:graphicData>
                  </a:graphic>
                </wp:anchor>
              </w:drawing>
            </w:r>
          </w:p>
        </w:tc>
      </w:tr>
      <w:tr w14:paraId="4F2D1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7E398">
            <w:pPr>
              <w:jc w:val="center"/>
              <w:rPr>
                <w:rFonts w:hint="default" w:ascii="宋体" w:hAnsi="宋体" w:eastAsia="宋体" w:cs="宋体"/>
                <w:color w:val="auto"/>
                <w:highlight w:val="none"/>
                <w:lang w:val="en-US"/>
              </w:rPr>
            </w:pPr>
            <w:r>
              <w:rPr>
                <w:rFonts w:hint="eastAsia" w:ascii="宋体" w:hAnsi="宋体" w:cs="宋体"/>
                <w:color w:val="auto"/>
                <w:highlight w:val="none"/>
                <w:lang w:val="en-US" w:eastAsia="zh-CN"/>
              </w:rPr>
              <w:t>29</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17DDD">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双星盆台</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8551A">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1200*700*800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2DE3">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B0559">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台</w:t>
            </w:r>
          </w:p>
        </w:tc>
        <w:tc>
          <w:tcPr>
            <w:tcW w:w="1587" w:type="pct"/>
            <w:tcBorders>
              <w:top w:val="single" w:color="000000" w:sz="4" w:space="0"/>
              <w:left w:val="single" w:color="000000" w:sz="4" w:space="0"/>
              <w:bottom w:val="single" w:color="000000" w:sz="4" w:space="0"/>
              <w:right w:val="single" w:color="auto" w:sz="4" w:space="0"/>
            </w:tcBorders>
            <w:shd w:val="clear" w:color="auto" w:fill="auto"/>
            <w:vAlign w:val="center"/>
          </w:tcPr>
          <w:p w14:paraId="2203E59A">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整体优质不锈钢制作；</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台面采用1.0mm厚不锈钢板制作；</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星盆斗采用1.0mm厚不锈钢板制作；</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立柱采用38*38mm方通，配可调式子弹脚；</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D30D">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drawing>
                <wp:anchor distT="0" distB="0" distL="114300" distR="114300" simplePos="0" relativeHeight="251659264" behindDoc="0" locked="0" layoutInCell="1" allowOverlap="1">
                  <wp:simplePos x="0" y="0"/>
                  <wp:positionH relativeFrom="column">
                    <wp:posOffset>269875</wp:posOffset>
                  </wp:positionH>
                  <wp:positionV relativeFrom="paragraph">
                    <wp:posOffset>292735</wp:posOffset>
                  </wp:positionV>
                  <wp:extent cx="568960" cy="469900"/>
                  <wp:effectExtent l="0" t="0" r="2540" b="6350"/>
                  <wp:wrapNone/>
                  <wp:docPr id="13" name="图片_44_SpCnt_1"/>
                  <wp:cNvGraphicFramePr/>
                  <a:graphic xmlns:a="http://schemas.openxmlformats.org/drawingml/2006/main">
                    <a:graphicData uri="http://schemas.openxmlformats.org/drawingml/2006/picture">
                      <pic:pic xmlns:pic="http://schemas.openxmlformats.org/drawingml/2006/picture">
                        <pic:nvPicPr>
                          <pic:cNvPr id="13" name="图片_44_SpCnt_1"/>
                          <pic:cNvPicPr/>
                        </pic:nvPicPr>
                        <pic:blipFill>
                          <a:blip r:embed="rId32"/>
                          <a:stretch>
                            <a:fillRect/>
                          </a:stretch>
                        </pic:blipFill>
                        <pic:spPr>
                          <a:xfrm>
                            <a:off x="0" y="0"/>
                            <a:ext cx="568960" cy="469900"/>
                          </a:xfrm>
                          <a:prstGeom prst="rect">
                            <a:avLst/>
                          </a:prstGeom>
                          <a:noFill/>
                          <a:ln>
                            <a:noFill/>
                          </a:ln>
                        </pic:spPr>
                      </pic:pic>
                    </a:graphicData>
                  </a:graphic>
                </wp:anchor>
              </w:drawing>
            </w:r>
          </w:p>
        </w:tc>
      </w:tr>
      <w:tr w14:paraId="1A839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7" w:type="pct"/>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14:paraId="52E7B2F0">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洗消间</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001F">
            <w:pPr>
              <w:rPr>
                <w:rFonts w:hint="eastAsia" w:ascii="宋体" w:hAnsi="宋体" w:eastAsia="宋体" w:cs="宋体"/>
                <w:color w:val="auto"/>
                <w:highlight w:val="none"/>
              </w:rPr>
            </w:pPr>
          </w:p>
        </w:tc>
      </w:tr>
      <w:tr w14:paraId="74A08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C1AF0">
            <w:pPr>
              <w:jc w:val="center"/>
              <w:rPr>
                <w:rFonts w:hint="default" w:ascii="宋体" w:hAnsi="宋体" w:eastAsia="宋体" w:cs="宋体"/>
                <w:color w:val="auto"/>
                <w:highlight w:val="none"/>
                <w:lang w:val="en-US"/>
              </w:rPr>
            </w:pPr>
            <w:r>
              <w:rPr>
                <w:rFonts w:hint="eastAsia" w:ascii="宋体" w:hAnsi="宋体" w:cs="宋体"/>
                <w:color w:val="auto"/>
                <w:highlight w:val="none"/>
                <w:lang w:val="en-US" w:eastAsia="zh-CN"/>
              </w:rPr>
              <w:t>30</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728FB">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双门热风消毒柜</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BF736">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双门</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2FE8">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96D48">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台</w:t>
            </w:r>
          </w:p>
        </w:tc>
        <w:tc>
          <w:tcPr>
            <w:tcW w:w="1587" w:type="pct"/>
            <w:tcBorders>
              <w:top w:val="single" w:color="000000" w:sz="4" w:space="0"/>
              <w:left w:val="single" w:color="000000" w:sz="4" w:space="0"/>
              <w:bottom w:val="single" w:color="000000" w:sz="4" w:space="0"/>
              <w:right w:val="single" w:color="auto" w:sz="4" w:space="0"/>
            </w:tcBorders>
            <w:shd w:val="clear" w:color="auto" w:fill="auto"/>
            <w:vAlign w:val="center"/>
          </w:tcPr>
          <w:p w14:paraId="3D08BD2F">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消毒温度范围125度，能有效的消除了臭氧、蒸汽、紫外线等方式难免的消毒死角，对肝炎病毒（大三阳和小三阳）、芽胞杆菌、金黄色葡萄球体、大肠杆菌等多种较难杀灭的细菌病毒，干式高温消毒使餐具无残留水迹，集餐具消毒与烘干及无菌储存功能于一身。</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2、采用优质不锈钢201板材。</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3、电源电压：220V。额定功率：2.2KW*2。控制方式：机械式。容积：720L。</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0989B">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drawing>
                <wp:anchor distT="0" distB="0" distL="114300" distR="114300" simplePos="0" relativeHeight="251659264" behindDoc="0" locked="0" layoutInCell="1" allowOverlap="1">
                  <wp:simplePos x="0" y="0"/>
                  <wp:positionH relativeFrom="column">
                    <wp:posOffset>200025</wp:posOffset>
                  </wp:positionH>
                  <wp:positionV relativeFrom="paragraph">
                    <wp:posOffset>548005</wp:posOffset>
                  </wp:positionV>
                  <wp:extent cx="645160" cy="723900"/>
                  <wp:effectExtent l="0" t="0" r="2540" b="0"/>
                  <wp:wrapNone/>
                  <wp:docPr id="12" name="Picture_93"/>
                  <wp:cNvGraphicFramePr/>
                  <a:graphic xmlns:a="http://schemas.openxmlformats.org/drawingml/2006/main">
                    <a:graphicData uri="http://schemas.openxmlformats.org/drawingml/2006/picture">
                      <pic:pic xmlns:pic="http://schemas.openxmlformats.org/drawingml/2006/picture">
                        <pic:nvPicPr>
                          <pic:cNvPr id="12" name="Picture_93"/>
                          <pic:cNvPicPr/>
                        </pic:nvPicPr>
                        <pic:blipFill>
                          <a:blip r:embed="rId33"/>
                          <a:stretch>
                            <a:fillRect/>
                          </a:stretch>
                        </pic:blipFill>
                        <pic:spPr>
                          <a:xfrm>
                            <a:off x="0" y="0"/>
                            <a:ext cx="645160" cy="723900"/>
                          </a:xfrm>
                          <a:prstGeom prst="rect">
                            <a:avLst/>
                          </a:prstGeom>
                          <a:noFill/>
                          <a:ln>
                            <a:noFill/>
                          </a:ln>
                        </pic:spPr>
                      </pic:pic>
                    </a:graphicData>
                  </a:graphic>
                </wp:anchor>
              </w:drawing>
            </w:r>
          </w:p>
        </w:tc>
      </w:tr>
      <w:tr w14:paraId="334CD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2EA6">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1</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0B93">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污碟台</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D2ADF">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1000*830*850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882E9">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5AF89">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台</w:t>
            </w:r>
          </w:p>
        </w:tc>
        <w:tc>
          <w:tcPr>
            <w:tcW w:w="1587" w:type="pct"/>
            <w:tcBorders>
              <w:top w:val="single" w:color="000000" w:sz="4" w:space="0"/>
              <w:left w:val="single" w:color="000000" w:sz="4" w:space="0"/>
              <w:bottom w:val="single" w:color="000000" w:sz="4" w:space="0"/>
              <w:right w:val="single" w:color="auto" w:sz="4" w:space="0"/>
            </w:tcBorders>
            <w:shd w:val="clear" w:color="auto" w:fill="auto"/>
            <w:vAlign w:val="center"/>
          </w:tcPr>
          <w:p w14:paraId="41609DE3">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面板： 201  1.0mm 4号贴塑拉丝板，星盆： 201-1.0mm 贴塑拉丝板，不锈钢包铸钢调节脚，设备折边采用防划伤工艺处理。</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8B51B">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drawing>
                <wp:anchor distT="0" distB="0" distL="114300" distR="114300" simplePos="0" relativeHeight="251659264" behindDoc="0" locked="0" layoutInCell="1" allowOverlap="1">
                  <wp:simplePos x="0" y="0"/>
                  <wp:positionH relativeFrom="column">
                    <wp:posOffset>137160</wp:posOffset>
                  </wp:positionH>
                  <wp:positionV relativeFrom="paragraph">
                    <wp:posOffset>429260</wp:posOffset>
                  </wp:positionV>
                  <wp:extent cx="631825" cy="431165"/>
                  <wp:effectExtent l="0" t="0" r="15875" b="6985"/>
                  <wp:wrapNone/>
                  <wp:docPr id="11" name="图片_91"/>
                  <wp:cNvGraphicFramePr/>
                  <a:graphic xmlns:a="http://schemas.openxmlformats.org/drawingml/2006/main">
                    <a:graphicData uri="http://schemas.openxmlformats.org/drawingml/2006/picture">
                      <pic:pic xmlns:pic="http://schemas.openxmlformats.org/drawingml/2006/picture">
                        <pic:nvPicPr>
                          <pic:cNvPr id="11" name="图片_91"/>
                          <pic:cNvPicPr/>
                        </pic:nvPicPr>
                        <pic:blipFill>
                          <a:blip r:embed="rId34"/>
                          <a:stretch>
                            <a:fillRect/>
                          </a:stretch>
                        </pic:blipFill>
                        <pic:spPr>
                          <a:xfrm>
                            <a:off x="0" y="0"/>
                            <a:ext cx="631825" cy="431165"/>
                          </a:xfrm>
                          <a:prstGeom prst="rect">
                            <a:avLst/>
                          </a:prstGeom>
                          <a:noFill/>
                          <a:ln>
                            <a:noFill/>
                          </a:ln>
                        </pic:spPr>
                      </pic:pic>
                    </a:graphicData>
                  </a:graphic>
                </wp:anchor>
              </w:drawing>
            </w:r>
          </w:p>
        </w:tc>
      </w:tr>
      <w:tr w14:paraId="1D962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79A3">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2</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77C5">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单孔收残台</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0C282">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700*760*850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ED92">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CA0D">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台</w:t>
            </w:r>
          </w:p>
        </w:tc>
        <w:tc>
          <w:tcPr>
            <w:tcW w:w="1587" w:type="pct"/>
            <w:tcBorders>
              <w:top w:val="single" w:color="000000" w:sz="4" w:space="0"/>
              <w:left w:val="single" w:color="000000" w:sz="4" w:space="0"/>
              <w:bottom w:val="single" w:color="000000" w:sz="4" w:space="0"/>
              <w:right w:val="single" w:color="auto" w:sz="4" w:space="0"/>
            </w:tcBorders>
            <w:shd w:val="clear" w:color="auto" w:fill="auto"/>
            <w:vAlign w:val="center"/>
          </w:tcPr>
          <w:p w14:paraId="049F86A7">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1、选用优质1.0mm厚不锈钢板；</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2、支架横通38*1.0mm不锈钢管，配不锈钢可调子弹脚。</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7EBE7">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drawing>
                <wp:anchor distT="0" distB="0" distL="114300" distR="114300" simplePos="0" relativeHeight="251659264" behindDoc="0" locked="0" layoutInCell="1" allowOverlap="1">
                  <wp:simplePos x="0" y="0"/>
                  <wp:positionH relativeFrom="column">
                    <wp:posOffset>59690</wp:posOffset>
                  </wp:positionH>
                  <wp:positionV relativeFrom="paragraph">
                    <wp:posOffset>257810</wp:posOffset>
                  </wp:positionV>
                  <wp:extent cx="713105" cy="657860"/>
                  <wp:effectExtent l="0" t="0" r="10795" b="8890"/>
                  <wp:wrapNone/>
                  <wp:docPr id="10" name="图片_30"/>
                  <wp:cNvGraphicFramePr/>
                  <a:graphic xmlns:a="http://schemas.openxmlformats.org/drawingml/2006/main">
                    <a:graphicData uri="http://schemas.openxmlformats.org/drawingml/2006/picture">
                      <pic:pic xmlns:pic="http://schemas.openxmlformats.org/drawingml/2006/picture">
                        <pic:nvPicPr>
                          <pic:cNvPr id="10" name="图片_30"/>
                          <pic:cNvPicPr/>
                        </pic:nvPicPr>
                        <pic:blipFill>
                          <a:blip r:embed="rId35"/>
                          <a:stretch>
                            <a:fillRect/>
                          </a:stretch>
                        </pic:blipFill>
                        <pic:spPr>
                          <a:xfrm>
                            <a:off x="0" y="0"/>
                            <a:ext cx="713105" cy="657860"/>
                          </a:xfrm>
                          <a:prstGeom prst="rect">
                            <a:avLst/>
                          </a:prstGeom>
                          <a:noFill/>
                          <a:ln>
                            <a:noFill/>
                          </a:ln>
                        </pic:spPr>
                      </pic:pic>
                    </a:graphicData>
                  </a:graphic>
                </wp:anchor>
              </w:drawing>
            </w:r>
          </w:p>
        </w:tc>
      </w:tr>
      <w:tr w14:paraId="2BB8B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7FBA">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3</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24B6">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洗碗机</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55C7">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提拉式</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E8FCA">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952C5">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台</w:t>
            </w:r>
          </w:p>
        </w:tc>
        <w:tc>
          <w:tcPr>
            <w:tcW w:w="1587" w:type="pct"/>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14:paraId="0EE4FC13">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1、功率参数：整机功率≤10KW(380V/50Hz）。</w:t>
            </w:r>
          </w:p>
          <w:p w14:paraId="462D82C0">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2、规格参数：整机规格≥715*830*1400mm，耗水量≤1.2L/框。</w:t>
            </w:r>
          </w:p>
          <w:p w14:paraId="57ADF0FC">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3、水箱配置：高温清洗箱+导水循环即热高温水箱。                                                                                                                                                     </w:t>
            </w:r>
          </w:p>
          <w:p w14:paraId="2DAA1890">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4、清洗数量：300-500件/小时。</w:t>
            </w:r>
          </w:p>
          <w:p w14:paraId="31FAD984">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5、机身材质选配：钢板、万向轮重力脚、紧固件、均采用国标A级304不锈钢、SYS316不锈钢三角翻边发热管。</w:t>
            </w:r>
          </w:p>
          <w:p w14:paraId="705F4E63">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6、节能装置：多组特定的红外光电感应开关，有效节水装置。                                                                                                                                                        </w:t>
            </w:r>
          </w:p>
          <w:p w14:paraId="5227DCC0">
            <w:pP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7、清洗结构特点：可拆卸式喷淋管便于清洗，整体水箱瀑布式回水结构，减少热水流失。                                                                                  8、电箱保护装置：电箱顶部双层设计，坚实耐用，有效隔热，防水，保障电箱安全。</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C06C">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drawing>
                <wp:anchor distT="0" distB="0" distL="114300" distR="114300" simplePos="0" relativeHeight="251659264" behindDoc="0" locked="0" layoutInCell="1" allowOverlap="1">
                  <wp:simplePos x="0" y="0"/>
                  <wp:positionH relativeFrom="column">
                    <wp:posOffset>73025</wp:posOffset>
                  </wp:positionH>
                  <wp:positionV relativeFrom="paragraph">
                    <wp:posOffset>1044575</wp:posOffset>
                  </wp:positionV>
                  <wp:extent cx="499110" cy="843915"/>
                  <wp:effectExtent l="0" t="0" r="15240" b="13335"/>
                  <wp:wrapNone/>
                  <wp:docPr id="9" name="图片_31"/>
                  <wp:cNvGraphicFramePr/>
                  <a:graphic xmlns:a="http://schemas.openxmlformats.org/drawingml/2006/main">
                    <a:graphicData uri="http://schemas.openxmlformats.org/drawingml/2006/picture">
                      <pic:pic xmlns:pic="http://schemas.openxmlformats.org/drawingml/2006/picture">
                        <pic:nvPicPr>
                          <pic:cNvPr id="9" name="图片_31"/>
                          <pic:cNvPicPr/>
                        </pic:nvPicPr>
                        <pic:blipFill>
                          <a:blip r:embed="rId36"/>
                          <a:stretch>
                            <a:fillRect/>
                          </a:stretch>
                        </pic:blipFill>
                        <pic:spPr>
                          <a:xfrm>
                            <a:off x="0" y="0"/>
                            <a:ext cx="499110" cy="843915"/>
                          </a:xfrm>
                          <a:prstGeom prst="rect">
                            <a:avLst/>
                          </a:prstGeom>
                          <a:noFill/>
                          <a:ln>
                            <a:noFill/>
                          </a:ln>
                        </pic:spPr>
                      </pic:pic>
                    </a:graphicData>
                  </a:graphic>
                </wp:anchor>
              </w:drawing>
            </w:r>
          </w:p>
        </w:tc>
      </w:tr>
      <w:tr w14:paraId="4880B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8D61">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4</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AED4F">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洁碟台</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F3BC5">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800*830*850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A7EB">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2E2C5">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台</w:t>
            </w:r>
          </w:p>
        </w:tc>
        <w:tc>
          <w:tcPr>
            <w:tcW w:w="1587" w:type="pct"/>
            <w:tcBorders>
              <w:top w:val="single" w:color="000000" w:sz="4" w:space="0"/>
              <w:left w:val="single" w:color="000000" w:sz="4" w:space="0"/>
              <w:bottom w:val="single" w:color="000000" w:sz="4" w:space="0"/>
              <w:right w:val="single" w:color="auto" w:sz="4" w:space="0"/>
            </w:tcBorders>
            <w:shd w:val="clear" w:color="auto" w:fill="auto"/>
            <w:vAlign w:val="center"/>
          </w:tcPr>
          <w:p w14:paraId="12745F2C">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面板：201  1.0mm  4号贴塑拉丝板</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 xml:space="preserve">加强筋：201  1.0mm </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带不锈钢可调子弹脚，调节范围20mm</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设备折边采用防划伤工艺处理</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3E27">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drawing>
                <wp:anchor distT="0" distB="0" distL="114300" distR="114300" simplePos="0" relativeHeight="251659264" behindDoc="0" locked="0" layoutInCell="1" allowOverlap="1">
                  <wp:simplePos x="0" y="0"/>
                  <wp:positionH relativeFrom="column">
                    <wp:posOffset>153035</wp:posOffset>
                  </wp:positionH>
                  <wp:positionV relativeFrom="paragraph">
                    <wp:posOffset>340360</wp:posOffset>
                  </wp:positionV>
                  <wp:extent cx="783590" cy="497840"/>
                  <wp:effectExtent l="0" t="0" r="16510" b="16510"/>
                  <wp:wrapNone/>
                  <wp:docPr id="8" name="图片_2"/>
                  <wp:cNvGraphicFramePr/>
                  <a:graphic xmlns:a="http://schemas.openxmlformats.org/drawingml/2006/main">
                    <a:graphicData uri="http://schemas.openxmlformats.org/drawingml/2006/picture">
                      <pic:pic xmlns:pic="http://schemas.openxmlformats.org/drawingml/2006/picture">
                        <pic:nvPicPr>
                          <pic:cNvPr id="8" name="图片_2"/>
                          <pic:cNvPicPr/>
                        </pic:nvPicPr>
                        <pic:blipFill>
                          <a:blip r:embed="rId37"/>
                          <a:stretch>
                            <a:fillRect/>
                          </a:stretch>
                        </pic:blipFill>
                        <pic:spPr>
                          <a:xfrm>
                            <a:off x="0" y="0"/>
                            <a:ext cx="783590" cy="497840"/>
                          </a:xfrm>
                          <a:prstGeom prst="rect">
                            <a:avLst/>
                          </a:prstGeom>
                          <a:noFill/>
                          <a:ln>
                            <a:noFill/>
                          </a:ln>
                        </pic:spPr>
                      </pic:pic>
                    </a:graphicData>
                  </a:graphic>
                </wp:anchor>
              </w:drawing>
            </w:r>
          </w:p>
        </w:tc>
      </w:tr>
      <w:tr w14:paraId="06F67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48A2C">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5</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BB6A0">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集气罩</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63FFB">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1000*1000*500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E3705">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1F4A5">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台</w:t>
            </w:r>
          </w:p>
        </w:tc>
        <w:tc>
          <w:tcPr>
            <w:tcW w:w="1587" w:type="pct"/>
            <w:tcBorders>
              <w:top w:val="single" w:color="000000" w:sz="4" w:space="0"/>
              <w:left w:val="single" w:color="000000" w:sz="4" w:space="0"/>
              <w:bottom w:val="single" w:color="000000" w:sz="4" w:space="0"/>
              <w:right w:val="single" w:color="auto" w:sz="4" w:space="0"/>
            </w:tcBorders>
            <w:shd w:val="clear" w:color="auto" w:fill="auto"/>
            <w:vAlign w:val="center"/>
          </w:tcPr>
          <w:p w14:paraId="53927C68">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采用优质不锈钢板制作；</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面板厚度1.0MM；</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配置油杯；</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配置防潮、防爆灯。</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28EC5">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drawing>
                <wp:anchor distT="0" distB="0" distL="114300" distR="114300" simplePos="0" relativeHeight="251659264" behindDoc="0" locked="0" layoutInCell="1" allowOverlap="1">
                  <wp:simplePos x="0" y="0"/>
                  <wp:positionH relativeFrom="column">
                    <wp:posOffset>58420</wp:posOffset>
                  </wp:positionH>
                  <wp:positionV relativeFrom="paragraph">
                    <wp:posOffset>276225</wp:posOffset>
                  </wp:positionV>
                  <wp:extent cx="687070" cy="572770"/>
                  <wp:effectExtent l="0" t="0" r="17780" b="17780"/>
                  <wp:wrapNone/>
                  <wp:docPr id="7" name="Picture_42"/>
                  <wp:cNvGraphicFramePr/>
                  <a:graphic xmlns:a="http://schemas.openxmlformats.org/drawingml/2006/main">
                    <a:graphicData uri="http://schemas.openxmlformats.org/drawingml/2006/picture">
                      <pic:pic xmlns:pic="http://schemas.openxmlformats.org/drawingml/2006/picture">
                        <pic:nvPicPr>
                          <pic:cNvPr id="7" name="Picture_42"/>
                          <pic:cNvPicPr/>
                        </pic:nvPicPr>
                        <pic:blipFill>
                          <a:blip r:embed="rId38"/>
                          <a:stretch>
                            <a:fillRect/>
                          </a:stretch>
                        </pic:blipFill>
                        <pic:spPr>
                          <a:xfrm>
                            <a:off x="0" y="0"/>
                            <a:ext cx="687070" cy="572770"/>
                          </a:xfrm>
                          <a:prstGeom prst="rect">
                            <a:avLst/>
                          </a:prstGeom>
                          <a:noFill/>
                          <a:ln>
                            <a:noFill/>
                          </a:ln>
                        </pic:spPr>
                      </pic:pic>
                    </a:graphicData>
                  </a:graphic>
                </wp:anchor>
              </w:drawing>
            </w:r>
          </w:p>
        </w:tc>
      </w:tr>
      <w:tr w14:paraId="26790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8B8ED">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6</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D1EFE">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高压花洒</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91BC5">
            <w:pPr>
              <w:rPr>
                <w:rFonts w:hint="eastAsia" w:ascii="宋体" w:hAnsi="宋体" w:eastAsia="宋体" w:cs="宋体"/>
                <w:color w:val="auto"/>
                <w:highlight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CAD51">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7A786">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台</w:t>
            </w:r>
          </w:p>
        </w:tc>
        <w:tc>
          <w:tcPr>
            <w:tcW w:w="1587" w:type="pct"/>
            <w:tcBorders>
              <w:top w:val="single" w:color="000000" w:sz="4" w:space="0"/>
              <w:left w:val="single" w:color="000000" w:sz="4" w:space="0"/>
              <w:bottom w:val="single" w:color="000000" w:sz="4" w:space="0"/>
              <w:right w:val="single" w:color="auto" w:sz="4" w:space="0"/>
            </w:tcBorders>
            <w:shd w:val="clear" w:color="auto" w:fill="auto"/>
            <w:vAlign w:val="center"/>
          </w:tcPr>
          <w:p w14:paraId="58D0D56E">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产品工艺：重力压塑；</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喷阀流量：1.42GPM；</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开孔尺寸：32mm；</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进水口：4分进水口；</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花洒龙头主体、底座采用黄铜打造；</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FF8C">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drawing>
                <wp:anchor distT="0" distB="0" distL="114300" distR="114300" simplePos="0" relativeHeight="251659264" behindDoc="0" locked="0" layoutInCell="1" allowOverlap="1">
                  <wp:simplePos x="0" y="0"/>
                  <wp:positionH relativeFrom="column">
                    <wp:posOffset>335280</wp:posOffset>
                  </wp:positionH>
                  <wp:positionV relativeFrom="paragraph">
                    <wp:posOffset>140335</wp:posOffset>
                  </wp:positionV>
                  <wp:extent cx="305435" cy="939800"/>
                  <wp:effectExtent l="0" t="0" r="18415" b="12700"/>
                  <wp:wrapNone/>
                  <wp:docPr id="6" name="图片_32"/>
                  <wp:cNvGraphicFramePr/>
                  <a:graphic xmlns:a="http://schemas.openxmlformats.org/drawingml/2006/main">
                    <a:graphicData uri="http://schemas.openxmlformats.org/drawingml/2006/picture">
                      <pic:pic xmlns:pic="http://schemas.openxmlformats.org/drawingml/2006/picture">
                        <pic:nvPicPr>
                          <pic:cNvPr id="6" name="图片_32"/>
                          <pic:cNvPicPr/>
                        </pic:nvPicPr>
                        <pic:blipFill>
                          <a:blip r:embed="rId39"/>
                          <a:stretch>
                            <a:fillRect/>
                          </a:stretch>
                        </pic:blipFill>
                        <pic:spPr>
                          <a:xfrm>
                            <a:off x="0" y="0"/>
                            <a:ext cx="305435" cy="939800"/>
                          </a:xfrm>
                          <a:prstGeom prst="rect">
                            <a:avLst/>
                          </a:prstGeom>
                          <a:noFill/>
                          <a:ln>
                            <a:noFill/>
                          </a:ln>
                        </pic:spPr>
                      </pic:pic>
                    </a:graphicData>
                  </a:graphic>
                </wp:anchor>
              </w:drawing>
            </w:r>
          </w:p>
        </w:tc>
      </w:tr>
      <w:tr w14:paraId="59DCA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B517">
            <w:pPr>
              <w:jc w:val="center"/>
              <w:rPr>
                <w:rFonts w:hint="default" w:ascii="宋体" w:hAnsi="宋体" w:eastAsia="宋体" w:cs="宋体"/>
                <w:color w:val="auto"/>
                <w:highlight w:val="none"/>
                <w:lang w:val="en-US"/>
              </w:rPr>
            </w:pP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7</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FB6E">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双星盆台</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270E">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1200*700*800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935D7">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A5788">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台</w:t>
            </w:r>
          </w:p>
        </w:tc>
        <w:tc>
          <w:tcPr>
            <w:tcW w:w="1587" w:type="pct"/>
            <w:tcBorders>
              <w:top w:val="single" w:color="000000" w:sz="4" w:space="0"/>
              <w:left w:val="single" w:color="000000" w:sz="4" w:space="0"/>
              <w:bottom w:val="single" w:color="000000" w:sz="4" w:space="0"/>
              <w:right w:val="single" w:color="auto" w:sz="4" w:space="0"/>
            </w:tcBorders>
            <w:shd w:val="clear" w:color="auto" w:fill="auto"/>
            <w:vAlign w:val="center"/>
          </w:tcPr>
          <w:p w14:paraId="3981C89E">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整体优质不锈钢制作；</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台面采用1.0mm厚不锈钢板制作；</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星盆斗采用1.0mm厚不锈钢板制作；</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立柱采用38*38mm方通，配可调式子弹脚；</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F8D7">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drawing>
                <wp:anchor distT="0" distB="0" distL="114300" distR="114300" simplePos="0" relativeHeight="251659264" behindDoc="0" locked="0" layoutInCell="1" allowOverlap="1">
                  <wp:simplePos x="0" y="0"/>
                  <wp:positionH relativeFrom="column">
                    <wp:posOffset>112395</wp:posOffset>
                  </wp:positionH>
                  <wp:positionV relativeFrom="paragraph">
                    <wp:posOffset>350520</wp:posOffset>
                  </wp:positionV>
                  <wp:extent cx="729615" cy="602615"/>
                  <wp:effectExtent l="0" t="0" r="13335" b="6985"/>
                  <wp:wrapNone/>
                  <wp:docPr id="5" name="图片_44_SpCnt_2"/>
                  <wp:cNvGraphicFramePr/>
                  <a:graphic xmlns:a="http://schemas.openxmlformats.org/drawingml/2006/main">
                    <a:graphicData uri="http://schemas.openxmlformats.org/drawingml/2006/picture">
                      <pic:pic xmlns:pic="http://schemas.openxmlformats.org/drawingml/2006/picture">
                        <pic:nvPicPr>
                          <pic:cNvPr id="5" name="图片_44_SpCnt_2"/>
                          <pic:cNvPicPr/>
                        </pic:nvPicPr>
                        <pic:blipFill>
                          <a:blip r:embed="rId40"/>
                          <a:stretch>
                            <a:fillRect/>
                          </a:stretch>
                        </pic:blipFill>
                        <pic:spPr>
                          <a:xfrm>
                            <a:off x="0" y="0"/>
                            <a:ext cx="729615" cy="602615"/>
                          </a:xfrm>
                          <a:prstGeom prst="rect">
                            <a:avLst/>
                          </a:prstGeom>
                          <a:noFill/>
                          <a:ln>
                            <a:noFill/>
                          </a:ln>
                        </pic:spPr>
                      </pic:pic>
                    </a:graphicData>
                  </a:graphic>
                </wp:anchor>
              </w:drawing>
            </w:r>
          </w:p>
        </w:tc>
      </w:tr>
      <w:tr w14:paraId="767B3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7" w:type="pct"/>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14:paraId="4A87B20D">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库房</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4C938">
            <w:pPr>
              <w:rPr>
                <w:rFonts w:hint="eastAsia" w:ascii="宋体" w:hAnsi="宋体" w:eastAsia="宋体" w:cs="宋体"/>
                <w:color w:val="auto"/>
                <w:highlight w:val="none"/>
              </w:rPr>
            </w:pPr>
          </w:p>
        </w:tc>
      </w:tr>
      <w:tr w14:paraId="01899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9"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4362D">
            <w:pPr>
              <w:jc w:val="center"/>
              <w:rPr>
                <w:rFonts w:hint="default" w:ascii="宋体" w:hAnsi="宋体" w:eastAsia="宋体" w:cs="宋体"/>
                <w:color w:val="auto"/>
                <w:highlight w:val="none"/>
                <w:lang w:val="en-US"/>
              </w:rPr>
            </w:pP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8</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C13EC">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四层平板货架</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A603F">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1200*500*1550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AF364">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B5339">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台</w:t>
            </w:r>
          </w:p>
        </w:tc>
        <w:tc>
          <w:tcPr>
            <w:tcW w:w="1587" w:type="pct"/>
            <w:tcBorders>
              <w:top w:val="single" w:color="000000" w:sz="4" w:space="0"/>
              <w:left w:val="single" w:color="000000" w:sz="4" w:space="0"/>
              <w:bottom w:val="single" w:color="000000" w:sz="4" w:space="0"/>
              <w:right w:val="single" w:color="auto" w:sz="4" w:space="0"/>
            </w:tcBorders>
            <w:shd w:val="clear" w:color="auto" w:fill="auto"/>
            <w:vAlign w:val="center"/>
          </w:tcPr>
          <w:p w14:paraId="04742A24">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整体采用优质锈钢制作，平板厚度1.2mm；</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立柱采用φ48mm，1.0mm厚不锈钢圆管；</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配不锈钢可调子弹脚。</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6CD8">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drawing>
                <wp:anchor distT="0" distB="0" distL="114300" distR="114300" simplePos="0" relativeHeight="251659264" behindDoc="0" locked="0" layoutInCell="1" allowOverlap="1">
                  <wp:simplePos x="0" y="0"/>
                  <wp:positionH relativeFrom="column">
                    <wp:posOffset>231775</wp:posOffset>
                  </wp:positionH>
                  <wp:positionV relativeFrom="paragraph">
                    <wp:posOffset>241300</wp:posOffset>
                  </wp:positionV>
                  <wp:extent cx="678180" cy="725170"/>
                  <wp:effectExtent l="0" t="0" r="7620" b="17780"/>
                  <wp:wrapNone/>
                  <wp:docPr id="4" name="Picture_5"/>
                  <wp:cNvGraphicFramePr/>
                  <a:graphic xmlns:a="http://schemas.openxmlformats.org/drawingml/2006/main">
                    <a:graphicData uri="http://schemas.openxmlformats.org/drawingml/2006/picture">
                      <pic:pic xmlns:pic="http://schemas.openxmlformats.org/drawingml/2006/picture">
                        <pic:nvPicPr>
                          <pic:cNvPr id="4" name="Picture_5"/>
                          <pic:cNvPicPr/>
                        </pic:nvPicPr>
                        <pic:blipFill>
                          <a:blip r:embed="rId41"/>
                          <a:stretch>
                            <a:fillRect/>
                          </a:stretch>
                        </pic:blipFill>
                        <pic:spPr>
                          <a:xfrm>
                            <a:off x="0" y="0"/>
                            <a:ext cx="678180" cy="725170"/>
                          </a:xfrm>
                          <a:prstGeom prst="rect">
                            <a:avLst/>
                          </a:prstGeom>
                          <a:noFill/>
                          <a:ln>
                            <a:noFill/>
                          </a:ln>
                        </pic:spPr>
                      </pic:pic>
                    </a:graphicData>
                  </a:graphic>
                </wp:anchor>
              </w:drawing>
            </w:r>
          </w:p>
        </w:tc>
      </w:tr>
      <w:tr w14:paraId="0D1B8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3"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37BD4">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39</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6DA0">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单层地架</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4BE4">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1200*500*300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0DAE4">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860AC">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台</w:t>
            </w:r>
          </w:p>
        </w:tc>
        <w:tc>
          <w:tcPr>
            <w:tcW w:w="1587" w:type="pct"/>
            <w:tcBorders>
              <w:top w:val="single" w:color="000000" w:sz="4" w:space="0"/>
              <w:left w:val="single" w:color="000000" w:sz="4" w:space="0"/>
              <w:bottom w:val="single" w:color="000000" w:sz="4" w:space="0"/>
              <w:right w:val="single" w:color="auto" w:sz="4" w:space="0"/>
            </w:tcBorders>
            <w:shd w:val="clear" w:color="auto" w:fill="auto"/>
            <w:vAlign w:val="center"/>
          </w:tcPr>
          <w:p w14:paraId="3C9B1E55">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1、优质201/1.0mm厚不锈钢板；</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2、配不锈钢可调子弹脚。</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6DF9D">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drawing>
                <wp:anchor distT="0" distB="0" distL="114300" distR="114300" simplePos="0" relativeHeight="251659264" behindDoc="0" locked="0" layoutInCell="1" allowOverlap="1">
                  <wp:simplePos x="0" y="0"/>
                  <wp:positionH relativeFrom="column">
                    <wp:posOffset>182880</wp:posOffset>
                  </wp:positionH>
                  <wp:positionV relativeFrom="paragraph">
                    <wp:posOffset>232410</wp:posOffset>
                  </wp:positionV>
                  <wp:extent cx="653415" cy="455295"/>
                  <wp:effectExtent l="0" t="0" r="13335" b="1905"/>
                  <wp:wrapNone/>
                  <wp:docPr id="3" name="图片_35"/>
                  <wp:cNvGraphicFramePr/>
                  <a:graphic xmlns:a="http://schemas.openxmlformats.org/drawingml/2006/main">
                    <a:graphicData uri="http://schemas.openxmlformats.org/drawingml/2006/picture">
                      <pic:pic xmlns:pic="http://schemas.openxmlformats.org/drawingml/2006/picture">
                        <pic:nvPicPr>
                          <pic:cNvPr id="3" name="图片_35"/>
                          <pic:cNvPicPr/>
                        </pic:nvPicPr>
                        <pic:blipFill>
                          <a:blip r:embed="rId42"/>
                          <a:stretch>
                            <a:fillRect/>
                          </a:stretch>
                        </pic:blipFill>
                        <pic:spPr>
                          <a:xfrm>
                            <a:off x="0" y="0"/>
                            <a:ext cx="653415" cy="455295"/>
                          </a:xfrm>
                          <a:prstGeom prst="rect">
                            <a:avLst/>
                          </a:prstGeom>
                          <a:noFill/>
                          <a:ln>
                            <a:noFill/>
                          </a:ln>
                        </pic:spPr>
                      </pic:pic>
                    </a:graphicData>
                  </a:graphic>
                </wp:anchor>
              </w:drawing>
            </w:r>
          </w:p>
        </w:tc>
      </w:tr>
      <w:tr w14:paraId="479F5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2"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82B7">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cs="宋体"/>
                <w:color w:val="auto"/>
                <w:highlight w:val="none"/>
                <w:lang w:val="en-US" w:eastAsia="zh-CN"/>
              </w:rPr>
              <w:t>0</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37A3">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平板车</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777F">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600*900*850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607FD">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A972">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台</w:t>
            </w:r>
          </w:p>
        </w:tc>
        <w:tc>
          <w:tcPr>
            <w:tcW w:w="1587" w:type="pct"/>
            <w:tcBorders>
              <w:top w:val="single" w:color="000000" w:sz="4" w:space="0"/>
              <w:left w:val="single" w:color="000000" w:sz="4" w:space="0"/>
              <w:bottom w:val="single" w:color="000000" w:sz="4" w:space="0"/>
              <w:right w:val="single" w:color="auto" w:sz="4" w:space="0"/>
            </w:tcBorders>
            <w:shd w:val="clear" w:color="auto" w:fill="auto"/>
            <w:vAlign w:val="center"/>
          </w:tcPr>
          <w:p w14:paraId="50AA3FCE">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板材采用优质 1.0mm不锈钢板；万向聚氨酯轮四个，其中两个定向两个转向带刹车。</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7324B">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drawing>
                <wp:anchor distT="0" distB="0" distL="114300" distR="114300" simplePos="0" relativeHeight="251659264" behindDoc="0" locked="0" layoutInCell="1" allowOverlap="1">
                  <wp:simplePos x="0" y="0"/>
                  <wp:positionH relativeFrom="column">
                    <wp:posOffset>59055</wp:posOffset>
                  </wp:positionH>
                  <wp:positionV relativeFrom="paragraph">
                    <wp:posOffset>46990</wp:posOffset>
                  </wp:positionV>
                  <wp:extent cx="742950" cy="552450"/>
                  <wp:effectExtent l="0" t="0" r="0" b="0"/>
                  <wp:wrapNone/>
                  <wp:docPr id="2" name="Picture_69"/>
                  <wp:cNvGraphicFramePr/>
                  <a:graphic xmlns:a="http://schemas.openxmlformats.org/drawingml/2006/main">
                    <a:graphicData uri="http://schemas.openxmlformats.org/drawingml/2006/picture">
                      <pic:pic xmlns:pic="http://schemas.openxmlformats.org/drawingml/2006/picture">
                        <pic:nvPicPr>
                          <pic:cNvPr id="2" name="Picture_69"/>
                          <pic:cNvPicPr/>
                        </pic:nvPicPr>
                        <pic:blipFill>
                          <a:blip r:embed="rId43"/>
                          <a:stretch>
                            <a:fillRect/>
                          </a:stretch>
                        </pic:blipFill>
                        <pic:spPr>
                          <a:xfrm>
                            <a:off x="0" y="0"/>
                            <a:ext cx="742950" cy="552450"/>
                          </a:xfrm>
                          <a:prstGeom prst="rect">
                            <a:avLst/>
                          </a:prstGeom>
                          <a:noFill/>
                          <a:ln>
                            <a:noFill/>
                          </a:ln>
                        </pic:spPr>
                      </pic:pic>
                    </a:graphicData>
                  </a:graphic>
                </wp:anchor>
              </w:drawing>
            </w:r>
          </w:p>
        </w:tc>
      </w:tr>
      <w:tr w14:paraId="2051F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07" w:type="pct"/>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14:paraId="4DBDF4E6">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排烟管道</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9EF2">
            <w:pPr>
              <w:rPr>
                <w:rFonts w:hint="eastAsia" w:ascii="宋体" w:hAnsi="宋体" w:eastAsia="宋体" w:cs="宋体"/>
                <w:color w:val="auto"/>
                <w:highlight w:val="none"/>
              </w:rPr>
            </w:pPr>
          </w:p>
        </w:tc>
      </w:tr>
      <w:tr w14:paraId="4CD40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5739">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896B">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排烟管道</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1F8F3">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不锈钢板1.0mm</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44762">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65</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20073">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w:t>
            </w:r>
          </w:p>
        </w:tc>
        <w:tc>
          <w:tcPr>
            <w:tcW w:w="1587" w:type="pct"/>
            <w:tcBorders>
              <w:top w:val="single" w:color="000000" w:sz="4" w:space="0"/>
              <w:left w:val="single" w:color="000000" w:sz="4" w:space="0"/>
              <w:bottom w:val="single" w:color="000000" w:sz="4" w:space="0"/>
              <w:right w:val="single" w:color="auto" w:sz="4" w:space="0"/>
            </w:tcBorders>
            <w:shd w:val="clear" w:color="auto" w:fill="auto"/>
            <w:vAlign w:val="center"/>
          </w:tcPr>
          <w:p w14:paraId="2632E3E6">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采用1.0mm厚不锈纲板制作；</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9890D">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drawing>
                <wp:anchor distT="0" distB="0" distL="114300" distR="114300" simplePos="0" relativeHeight="251659264" behindDoc="0" locked="0" layoutInCell="1" allowOverlap="1">
                  <wp:simplePos x="0" y="0"/>
                  <wp:positionH relativeFrom="column">
                    <wp:posOffset>-33655</wp:posOffset>
                  </wp:positionH>
                  <wp:positionV relativeFrom="paragraph">
                    <wp:posOffset>81915</wp:posOffset>
                  </wp:positionV>
                  <wp:extent cx="844550" cy="618490"/>
                  <wp:effectExtent l="0" t="0" r="12700" b="10160"/>
                  <wp:wrapNone/>
                  <wp:docPr id="1" name="图片_84"/>
                  <wp:cNvGraphicFramePr/>
                  <a:graphic xmlns:a="http://schemas.openxmlformats.org/drawingml/2006/main">
                    <a:graphicData uri="http://schemas.openxmlformats.org/drawingml/2006/picture">
                      <pic:pic xmlns:pic="http://schemas.openxmlformats.org/drawingml/2006/picture">
                        <pic:nvPicPr>
                          <pic:cNvPr id="1" name="图片_84"/>
                          <pic:cNvPicPr/>
                        </pic:nvPicPr>
                        <pic:blipFill>
                          <a:blip r:embed="rId44"/>
                          <a:stretch>
                            <a:fillRect/>
                          </a:stretch>
                        </pic:blipFill>
                        <pic:spPr>
                          <a:xfrm>
                            <a:off x="0" y="0"/>
                            <a:ext cx="844550" cy="618490"/>
                          </a:xfrm>
                          <a:prstGeom prst="rect">
                            <a:avLst/>
                          </a:prstGeom>
                          <a:noFill/>
                          <a:ln>
                            <a:noFill/>
                          </a:ln>
                        </pic:spPr>
                      </pic:pic>
                    </a:graphicData>
                  </a:graphic>
                </wp:anchor>
              </w:drawing>
            </w:r>
          </w:p>
        </w:tc>
      </w:tr>
    </w:tbl>
    <w:p w14:paraId="06035534">
      <w:pPr>
        <w:spacing w:line="360" w:lineRule="auto"/>
        <w:rPr>
          <w:rFonts w:ascii="宋体" w:hAnsi="宋体"/>
          <w:sz w:val="24"/>
        </w:rPr>
      </w:pPr>
    </w:p>
    <w:sectPr>
      <w:headerReference r:id="rId3" w:type="default"/>
      <w:footerReference r:id="rId4" w:type="default"/>
      <w:pgSz w:w="11906" w:h="16838"/>
      <w:pgMar w:top="1440" w:right="1077" w:bottom="1440" w:left="1077" w:header="851" w:footer="992" w:gutter="0"/>
      <w:pgBorders w:display="notFirstPage" w:offsetFrom="page">
        <w:top w:val="single" w:color="4472C4" w:sz="12" w:space="24"/>
        <w:left w:val="single" w:color="4472C4" w:sz="12" w:space="24"/>
        <w:bottom w:val="single" w:color="4472C4" w:sz="12" w:space="24"/>
        <w:right w:val="single" w:color="4472C4" w:sz="12" w:space="24"/>
      </w:pgBorders>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GE Inspira Pitch">
    <w:altName w:val="微软雅黑"/>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ヒラギノ角ゴ Pro W3">
    <w:altName w:val="MS Gothic"/>
    <w:panose1 w:val="00000000000000000000"/>
    <w:charset w:val="80"/>
    <w:family w:val="auto"/>
    <w:pitch w:val="default"/>
    <w:sig w:usb0="00000000" w:usb1="00000000" w:usb2="00000012" w:usb3="00000000" w:csb0="0002000D"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D2B5F">
    <w:pPr>
      <w:pStyle w:val="21"/>
      <w:jc w:val="center"/>
      <w:rPr>
        <w:rFonts w:ascii="宋体" w:hAnsi="宋体"/>
        <w:b/>
        <w:sz w:val="21"/>
      </w:rPr>
    </w:pPr>
    <w:r>
      <w:rPr>
        <w:rFonts w:ascii="宋体" w:hAnsi="宋体"/>
        <w:b/>
        <w:sz w:val="21"/>
      </w:rPr>
      <w:fldChar w:fldCharType="begin"/>
    </w:r>
    <w:r>
      <w:rPr>
        <w:rFonts w:ascii="宋体" w:hAnsi="宋体"/>
        <w:b/>
        <w:sz w:val="21"/>
      </w:rPr>
      <w:instrText xml:space="preserve">PAGE   \* MERGEFORMAT</w:instrText>
    </w:r>
    <w:r>
      <w:rPr>
        <w:rFonts w:ascii="宋体" w:hAnsi="宋体"/>
        <w:b/>
        <w:sz w:val="21"/>
      </w:rPr>
      <w:fldChar w:fldCharType="separate"/>
    </w:r>
    <w:r>
      <w:rPr>
        <w:rFonts w:ascii="宋体" w:hAnsi="宋体"/>
        <w:b/>
        <w:sz w:val="21"/>
        <w:lang w:val="zh-CN"/>
      </w:rPr>
      <w:t>4</w:t>
    </w:r>
    <w:r>
      <w:rPr>
        <w:rFonts w:ascii="宋体" w:hAnsi="宋体"/>
        <w:b/>
        <w:sz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2F5D1">
    <w:pPr>
      <w:pStyle w:val="22"/>
      <w:ind w:firstLine="89" w:firstLineChars="49"/>
      <w:jc w:val="both"/>
      <w:rPr>
        <w:rFonts w:ascii="楷体" w:hAnsi="楷体" w:eastAsia="楷体"/>
        <w:sz w:val="15"/>
      </w:rPr>
    </w:pPr>
    <w:r>
      <w:rPr>
        <w:rFonts w:hint="eastAsia" w:ascii="楷体" w:hAnsi="楷体" w:eastAsia="楷体"/>
        <w:b/>
        <w:szCs w:val="21"/>
        <w:lang w:eastAsia="zh-CN"/>
      </w:rPr>
      <w:t>丁香园(清真)后厨设备</w:t>
    </w:r>
    <w:r>
      <w:rPr>
        <w:rFonts w:hint="eastAsia" w:ascii="楷体" w:hAnsi="楷体" w:eastAsia="楷体"/>
        <w:b/>
        <w:szCs w:val="21"/>
      </w:rPr>
      <w:t xml:space="preserve">                       </w:t>
    </w:r>
    <w:r>
      <w:rPr>
        <w:rFonts w:hint="eastAsia" w:ascii="楷体" w:hAnsi="楷体" w:eastAsia="楷体"/>
        <w:b/>
        <w:szCs w:val="21"/>
        <w:lang w:val="en-US" w:eastAsia="zh-CN"/>
      </w:rPr>
      <w:t xml:space="preserve">               </w:t>
    </w:r>
    <w:r>
      <w:rPr>
        <w:rFonts w:hint="eastAsia" w:ascii="楷体" w:hAnsi="楷体" w:eastAsia="楷体"/>
        <w:b/>
        <w:szCs w:val="21"/>
      </w:rPr>
      <w:t xml:space="preserve">                             </w:t>
    </w:r>
    <w:r>
      <w:rPr>
        <w:rFonts w:hint="eastAsia" w:ascii="楷体" w:hAnsi="楷体" w:eastAsia="楷体"/>
        <w:b/>
        <w:szCs w:val="21"/>
        <w:lang w:val="en-US" w:eastAsia="zh-CN"/>
      </w:rPr>
      <w:t xml:space="preserve">        </w:t>
    </w:r>
    <w:r>
      <w:rPr>
        <w:rFonts w:hint="eastAsia" w:ascii="楷体" w:hAnsi="楷体" w:eastAsia="楷体"/>
        <w:b/>
        <w:szCs w:val="21"/>
      </w:rPr>
      <w:t xml:space="preserve">  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59505D"/>
    <w:multiLevelType w:val="singleLevel"/>
    <w:tmpl w:val="C159505D"/>
    <w:lvl w:ilvl="0" w:tentative="0">
      <w:start w:val="1"/>
      <w:numFmt w:val="decimal"/>
      <w:lvlText w:val="%1."/>
      <w:lvlJc w:val="left"/>
      <w:pPr>
        <w:tabs>
          <w:tab w:val="left" w:pos="420"/>
        </w:tabs>
        <w:ind w:left="845" w:hanging="425"/>
      </w:pPr>
      <w:rPr>
        <w:rFonts w:hint="default"/>
      </w:rPr>
    </w:lvl>
  </w:abstractNum>
  <w:abstractNum w:abstractNumId="1">
    <w:nsid w:val="005C669B"/>
    <w:multiLevelType w:val="multilevel"/>
    <w:tmpl w:val="005C669B"/>
    <w:lvl w:ilvl="0" w:tentative="0">
      <w:start w:val="1"/>
      <w:numFmt w:val="decimal"/>
      <w:lvlText w:val="（%1）"/>
      <w:lvlJc w:val="left"/>
      <w:pPr>
        <w:ind w:left="1041" w:hanging="420"/>
      </w:pPr>
      <w:rPr>
        <w:rFonts w:hint="default"/>
      </w:r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2">
    <w:nsid w:val="02400DDE"/>
    <w:multiLevelType w:val="multilevel"/>
    <w:tmpl w:val="02400DD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4C0B88"/>
    <w:multiLevelType w:val="multilevel"/>
    <w:tmpl w:val="084C0B88"/>
    <w:lvl w:ilvl="0" w:tentative="0">
      <w:start w:val="1"/>
      <w:numFmt w:val="decimal"/>
      <w:lvlText w:val="%1."/>
      <w:lvlJc w:val="left"/>
      <w:pPr>
        <w:ind w:left="360" w:hanging="360"/>
      </w:pPr>
      <w:rPr>
        <w:rFonts w:hint="default"/>
        <w:b/>
      </w:rPr>
    </w:lvl>
    <w:lvl w:ilvl="1" w:tentative="0">
      <w:start w:val="1"/>
      <w:numFmt w:val="decimal"/>
      <w:isLgl/>
      <w:lvlText w:val="%1.%2"/>
      <w:lvlJc w:val="left"/>
      <w:pPr>
        <w:ind w:left="480" w:hanging="480"/>
      </w:pPr>
      <w:rPr>
        <w:rFonts w:hint="default"/>
        <w:b w:val="0"/>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4">
    <w:nsid w:val="09372158"/>
    <w:multiLevelType w:val="multilevel"/>
    <w:tmpl w:val="09372158"/>
    <w:lvl w:ilvl="0" w:tentative="0">
      <w:start w:val="1"/>
      <w:numFmt w:val="decimal"/>
      <w:lvlText w:val="%1."/>
      <w:lvlJc w:val="left"/>
      <w:pPr>
        <w:ind w:left="1041" w:hanging="420"/>
      </w:p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5">
    <w:nsid w:val="0B143627"/>
    <w:multiLevelType w:val="multilevel"/>
    <w:tmpl w:val="0B143627"/>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0B21349E"/>
    <w:multiLevelType w:val="multilevel"/>
    <w:tmpl w:val="0B21349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7">
    <w:nsid w:val="0FD92A73"/>
    <w:multiLevelType w:val="multilevel"/>
    <w:tmpl w:val="0FD92A73"/>
    <w:lvl w:ilvl="0" w:tentative="0">
      <w:start w:val="2"/>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8">
    <w:nsid w:val="18814C8C"/>
    <w:multiLevelType w:val="multilevel"/>
    <w:tmpl w:val="18814C8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9">
    <w:nsid w:val="1BF0B91D"/>
    <w:multiLevelType w:val="singleLevel"/>
    <w:tmpl w:val="1BF0B91D"/>
    <w:lvl w:ilvl="0" w:tentative="0">
      <w:start w:val="1"/>
      <w:numFmt w:val="decimal"/>
      <w:lvlText w:val="%1."/>
      <w:lvlJc w:val="left"/>
      <w:pPr>
        <w:tabs>
          <w:tab w:val="left" w:pos="420"/>
        </w:tabs>
        <w:ind w:left="845" w:hanging="425"/>
      </w:pPr>
      <w:rPr>
        <w:rFonts w:hint="default"/>
        <w:b w:val="0"/>
        <w:bCs w:val="0"/>
      </w:rPr>
    </w:lvl>
  </w:abstractNum>
  <w:abstractNum w:abstractNumId="10">
    <w:nsid w:val="25933C0A"/>
    <w:multiLevelType w:val="multilevel"/>
    <w:tmpl w:val="25933C0A"/>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1">
    <w:nsid w:val="2A583DFB"/>
    <w:multiLevelType w:val="multilevel"/>
    <w:tmpl w:val="2A583DFB"/>
    <w:lvl w:ilvl="0" w:tentative="0">
      <w:start w:val="1"/>
      <w:numFmt w:val="decimal"/>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12">
    <w:nsid w:val="30EB525F"/>
    <w:multiLevelType w:val="multilevel"/>
    <w:tmpl w:val="30EB525F"/>
    <w:lvl w:ilvl="0" w:tentative="0">
      <w:start w:val="13"/>
      <w:numFmt w:val="decimal"/>
      <w:lvlText w:val="%1"/>
      <w:lvlJc w:val="left"/>
      <w:pPr>
        <w:ind w:left="480" w:hanging="480"/>
      </w:pPr>
      <w:rPr>
        <w:rFonts w:hint="default"/>
      </w:rPr>
    </w:lvl>
    <w:lvl w:ilvl="1" w:tentative="0">
      <w:start w:val="1"/>
      <w:numFmt w:val="decimal"/>
      <w:lvlText w:val="%1.%2"/>
      <w:lvlJc w:val="left"/>
      <w:pPr>
        <w:ind w:left="621"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3">
    <w:nsid w:val="3298278A"/>
    <w:multiLevelType w:val="multilevel"/>
    <w:tmpl w:val="3298278A"/>
    <w:lvl w:ilvl="0" w:tentative="0">
      <w:start w:val="1"/>
      <w:numFmt w:val="decimal"/>
      <w:lvlText w:val="%1"/>
      <w:lvlJc w:val="left"/>
      <w:pPr>
        <w:tabs>
          <w:tab w:val="left" w:pos="420"/>
        </w:tabs>
        <w:ind w:left="840" w:hanging="420"/>
      </w:pPr>
      <w:rPr>
        <w:rFonts w:hint="eastAsia"/>
      </w:rPr>
    </w:lvl>
    <w:lvl w:ilvl="1" w:tentative="0">
      <w:start w:val="4"/>
      <w:numFmt w:val="decimal"/>
      <w:isLgl/>
      <w:lvlText w:val="%1.%2."/>
      <w:lvlJc w:val="left"/>
      <w:pPr>
        <w:tabs>
          <w:tab w:val="left" w:pos="420"/>
        </w:tabs>
        <w:ind w:left="1620" w:hanging="720"/>
      </w:pPr>
      <w:rPr>
        <w:rFonts w:hint="default" w:hAnsi="Calibri" w:cs="宋体"/>
      </w:rPr>
    </w:lvl>
    <w:lvl w:ilvl="2" w:tentative="0">
      <w:start w:val="1"/>
      <w:numFmt w:val="decimal"/>
      <w:isLgl/>
      <w:lvlText w:val="%1.%2.%3."/>
      <w:lvlJc w:val="left"/>
      <w:pPr>
        <w:tabs>
          <w:tab w:val="left" w:pos="420"/>
        </w:tabs>
        <w:ind w:left="2100" w:hanging="720"/>
      </w:pPr>
      <w:rPr>
        <w:rFonts w:hint="default" w:hAnsi="Calibri" w:cs="宋体"/>
      </w:rPr>
    </w:lvl>
    <w:lvl w:ilvl="3" w:tentative="0">
      <w:start w:val="1"/>
      <w:numFmt w:val="decimal"/>
      <w:isLgl/>
      <w:lvlText w:val="%1.%2.%3.%4."/>
      <w:lvlJc w:val="left"/>
      <w:pPr>
        <w:tabs>
          <w:tab w:val="left" w:pos="420"/>
        </w:tabs>
        <w:ind w:left="2940" w:hanging="1080"/>
      </w:pPr>
      <w:rPr>
        <w:rFonts w:hint="default" w:hAnsi="Calibri" w:cs="宋体"/>
      </w:rPr>
    </w:lvl>
    <w:lvl w:ilvl="4" w:tentative="0">
      <w:start w:val="1"/>
      <w:numFmt w:val="decimal"/>
      <w:isLgl/>
      <w:lvlText w:val="%1.%2.%3.%4.%5."/>
      <w:lvlJc w:val="left"/>
      <w:pPr>
        <w:tabs>
          <w:tab w:val="left" w:pos="420"/>
        </w:tabs>
        <w:ind w:left="3780" w:hanging="1440"/>
      </w:pPr>
      <w:rPr>
        <w:rFonts w:hint="default" w:hAnsi="Calibri" w:cs="宋体"/>
      </w:rPr>
    </w:lvl>
    <w:lvl w:ilvl="5" w:tentative="0">
      <w:start w:val="1"/>
      <w:numFmt w:val="decimal"/>
      <w:isLgl/>
      <w:lvlText w:val="%1.%2.%3.%4.%5.%6."/>
      <w:lvlJc w:val="left"/>
      <w:pPr>
        <w:tabs>
          <w:tab w:val="left" w:pos="420"/>
        </w:tabs>
        <w:ind w:left="4260" w:hanging="1440"/>
      </w:pPr>
      <w:rPr>
        <w:rFonts w:hint="default" w:hAnsi="Calibri" w:cs="宋体"/>
      </w:rPr>
    </w:lvl>
    <w:lvl w:ilvl="6" w:tentative="0">
      <w:start w:val="1"/>
      <w:numFmt w:val="decimal"/>
      <w:isLgl/>
      <w:lvlText w:val="%1.%2.%3.%4.%5.%6.%7."/>
      <w:lvlJc w:val="left"/>
      <w:pPr>
        <w:tabs>
          <w:tab w:val="left" w:pos="420"/>
        </w:tabs>
        <w:ind w:left="5100" w:hanging="1800"/>
      </w:pPr>
      <w:rPr>
        <w:rFonts w:hint="default" w:hAnsi="Calibri" w:cs="宋体"/>
      </w:rPr>
    </w:lvl>
    <w:lvl w:ilvl="7" w:tentative="0">
      <w:start w:val="1"/>
      <w:numFmt w:val="decimal"/>
      <w:isLgl/>
      <w:lvlText w:val="%1.%2.%3.%4.%5.%6.%7.%8."/>
      <w:lvlJc w:val="left"/>
      <w:pPr>
        <w:tabs>
          <w:tab w:val="left" w:pos="420"/>
        </w:tabs>
        <w:ind w:left="5940" w:hanging="2160"/>
      </w:pPr>
      <w:rPr>
        <w:rFonts w:hint="default" w:hAnsi="Calibri" w:cs="宋体"/>
      </w:rPr>
    </w:lvl>
    <w:lvl w:ilvl="8" w:tentative="0">
      <w:start w:val="1"/>
      <w:numFmt w:val="decimal"/>
      <w:isLgl/>
      <w:lvlText w:val="%1.%2.%3.%4.%5.%6.%7.%8.%9."/>
      <w:lvlJc w:val="left"/>
      <w:pPr>
        <w:tabs>
          <w:tab w:val="left" w:pos="420"/>
        </w:tabs>
        <w:ind w:left="6420" w:hanging="2160"/>
      </w:pPr>
      <w:rPr>
        <w:rFonts w:hint="default" w:hAnsi="Calibri" w:cs="宋体"/>
      </w:rPr>
    </w:lvl>
  </w:abstractNum>
  <w:abstractNum w:abstractNumId="14">
    <w:nsid w:val="40512C37"/>
    <w:multiLevelType w:val="multilevel"/>
    <w:tmpl w:val="40512C37"/>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40CF13D4"/>
    <w:multiLevelType w:val="multilevel"/>
    <w:tmpl w:val="40CF13D4"/>
    <w:lvl w:ilvl="0" w:tentative="0">
      <w:start w:val="1"/>
      <w:numFmt w:val="decimal"/>
      <w:pStyle w:val="2"/>
      <w:lvlText w:val="%1."/>
      <w:lvlJc w:val="left"/>
      <w:pPr>
        <w:tabs>
          <w:tab w:val="left" w:pos="425"/>
        </w:tabs>
        <w:ind w:left="425" w:hanging="425"/>
      </w:pPr>
      <w:rPr>
        <w:rFonts w:hint="eastAsia"/>
      </w:rPr>
    </w:lvl>
    <w:lvl w:ilvl="1" w:tentative="0">
      <w:start w:val="1"/>
      <w:numFmt w:val="decimal"/>
      <w:pStyle w:val="3"/>
      <w:lvlText w:val="%1.%2."/>
      <w:lvlJc w:val="left"/>
      <w:pPr>
        <w:tabs>
          <w:tab w:val="left" w:pos="720"/>
        </w:tabs>
        <w:ind w:left="567" w:hanging="567"/>
      </w:pPr>
      <w:rPr>
        <w:rFonts w:hint="eastAsia"/>
      </w:rPr>
    </w:lvl>
    <w:lvl w:ilvl="2" w:tentative="0">
      <w:start w:val="1"/>
      <w:numFmt w:val="chineseCountingThousand"/>
      <w:pStyle w:val="5"/>
      <w:lvlText w:val="%3、"/>
      <w:lvlJc w:val="left"/>
      <w:pPr>
        <w:tabs>
          <w:tab w:val="left" w:pos="2836"/>
        </w:tabs>
        <w:ind w:left="2836" w:hanging="709"/>
      </w:pPr>
      <w:rPr>
        <w:rFonts w:hint="eastAsia"/>
        <w:b/>
        <w:spacing w:val="-20"/>
        <w:lang w:val="en-US"/>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6">
    <w:nsid w:val="433044D6"/>
    <w:multiLevelType w:val="multilevel"/>
    <w:tmpl w:val="433044D6"/>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7">
    <w:nsid w:val="46C71494"/>
    <w:multiLevelType w:val="multilevel"/>
    <w:tmpl w:val="46C71494"/>
    <w:lvl w:ilvl="0" w:tentative="0">
      <w:start w:val="1"/>
      <w:numFmt w:val="decimal"/>
      <w:lvlText w:val="%1)"/>
      <w:lvlJc w:val="left"/>
      <w:pPr>
        <w:ind w:left="1461" w:hanging="420"/>
      </w:pPr>
    </w:lvl>
    <w:lvl w:ilvl="1" w:tentative="0">
      <w:start w:val="1"/>
      <w:numFmt w:val="lowerLetter"/>
      <w:lvlText w:val="%2)"/>
      <w:lvlJc w:val="left"/>
      <w:pPr>
        <w:ind w:left="1881" w:hanging="420"/>
      </w:pPr>
    </w:lvl>
    <w:lvl w:ilvl="2" w:tentative="0">
      <w:start w:val="1"/>
      <w:numFmt w:val="lowerRoman"/>
      <w:lvlText w:val="%3."/>
      <w:lvlJc w:val="right"/>
      <w:pPr>
        <w:ind w:left="2301" w:hanging="420"/>
      </w:pPr>
    </w:lvl>
    <w:lvl w:ilvl="3" w:tentative="0">
      <w:start w:val="1"/>
      <w:numFmt w:val="decimal"/>
      <w:lvlText w:val="%4."/>
      <w:lvlJc w:val="left"/>
      <w:pPr>
        <w:ind w:left="2721" w:hanging="420"/>
      </w:pPr>
    </w:lvl>
    <w:lvl w:ilvl="4" w:tentative="0">
      <w:start w:val="1"/>
      <w:numFmt w:val="lowerLetter"/>
      <w:lvlText w:val="%5)"/>
      <w:lvlJc w:val="left"/>
      <w:pPr>
        <w:ind w:left="3141" w:hanging="420"/>
      </w:pPr>
    </w:lvl>
    <w:lvl w:ilvl="5" w:tentative="0">
      <w:start w:val="1"/>
      <w:numFmt w:val="lowerRoman"/>
      <w:lvlText w:val="%6."/>
      <w:lvlJc w:val="right"/>
      <w:pPr>
        <w:ind w:left="3561" w:hanging="420"/>
      </w:pPr>
    </w:lvl>
    <w:lvl w:ilvl="6" w:tentative="0">
      <w:start w:val="1"/>
      <w:numFmt w:val="decimal"/>
      <w:lvlText w:val="%7."/>
      <w:lvlJc w:val="left"/>
      <w:pPr>
        <w:ind w:left="3981" w:hanging="420"/>
      </w:pPr>
    </w:lvl>
    <w:lvl w:ilvl="7" w:tentative="0">
      <w:start w:val="1"/>
      <w:numFmt w:val="lowerLetter"/>
      <w:lvlText w:val="%8)"/>
      <w:lvlJc w:val="left"/>
      <w:pPr>
        <w:ind w:left="4401" w:hanging="420"/>
      </w:pPr>
    </w:lvl>
    <w:lvl w:ilvl="8" w:tentative="0">
      <w:start w:val="1"/>
      <w:numFmt w:val="lowerRoman"/>
      <w:lvlText w:val="%9."/>
      <w:lvlJc w:val="right"/>
      <w:pPr>
        <w:ind w:left="4821" w:hanging="420"/>
      </w:pPr>
    </w:lvl>
  </w:abstractNum>
  <w:abstractNum w:abstractNumId="18">
    <w:nsid w:val="4E1B30F7"/>
    <w:multiLevelType w:val="multilevel"/>
    <w:tmpl w:val="4E1B30F7"/>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9">
    <w:nsid w:val="4FE725AC"/>
    <w:multiLevelType w:val="multilevel"/>
    <w:tmpl w:val="4FE725A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0">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21">
    <w:nsid w:val="56222FB0"/>
    <w:multiLevelType w:val="multilevel"/>
    <w:tmpl w:val="56222FB0"/>
    <w:lvl w:ilvl="0" w:tentative="0">
      <w:start w:val="14"/>
      <w:numFmt w:val="decimal"/>
      <w:lvlText w:val="%1"/>
      <w:lvlJc w:val="left"/>
      <w:pPr>
        <w:ind w:left="480" w:hanging="480"/>
      </w:pPr>
      <w:rPr>
        <w:rFonts w:hint="default"/>
      </w:rPr>
    </w:lvl>
    <w:lvl w:ilvl="1" w:tentative="0">
      <w:start w:val="1"/>
      <w:numFmt w:val="decimal"/>
      <w:lvlText w:val="%1.%2"/>
      <w:lvlJc w:val="left"/>
      <w:pPr>
        <w:ind w:left="621"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2">
    <w:nsid w:val="5670449B"/>
    <w:multiLevelType w:val="multilevel"/>
    <w:tmpl w:val="5670449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6997346"/>
    <w:multiLevelType w:val="multilevel"/>
    <w:tmpl w:val="56997346"/>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4">
    <w:nsid w:val="57693060"/>
    <w:multiLevelType w:val="multilevel"/>
    <w:tmpl w:val="57693060"/>
    <w:lvl w:ilvl="0" w:tentative="0">
      <w:start w:val="1"/>
      <w:numFmt w:val="decimal"/>
      <w:lvlText w:val="（%1）"/>
      <w:lvlJc w:val="left"/>
      <w:pPr>
        <w:tabs>
          <w:tab w:val="left" w:pos="420"/>
        </w:tabs>
        <w:ind w:left="1320" w:hanging="420"/>
      </w:pPr>
      <w:rPr>
        <w:rFonts w:hint="default"/>
      </w:rPr>
    </w:lvl>
    <w:lvl w:ilvl="1" w:tentative="0">
      <w:start w:val="1"/>
      <w:numFmt w:val="lowerLetter"/>
      <w:lvlText w:val="%2)"/>
      <w:lvlJc w:val="left"/>
      <w:pPr>
        <w:tabs>
          <w:tab w:val="left" w:pos="420"/>
        </w:tabs>
        <w:ind w:left="1740" w:hanging="420"/>
      </w:pPr>
    </w:lvl>
    <w:lvl w:ilvl="2" w:tentative="0">
      <w:start w:val="1"/>
      <w:numFmt w:val="lowerRoman"/>
      <w:lvlText w:val="%3."/>
      <w:lvlJc w:val="right"/>
      <w:pPr>
        <w:tabs>
          <w:tab w:val="left" w:pos="420"/>
        </w:tabs>
        <w:ind w:left="2160" w:hanging="420"/>
      </w:pPr>
    </w:lvl>
    <w:lvl w:ilvl="3" w:tentative="0">
      <w:start w:val="1"/>
      <w:numFmt w:val="decimal"/>
      <w:lvlText w:val="%4."/>
      <w:lvlJc w:val="left"/>
      <w:pPr>
        <w:tabs>
          <w:tab w:val="left" w:pos="420"/>
        </w:tabs>
        <w:ind w:left="2580" w:hanging="420"/>
      </w:pPr>
    </w:lvl>
    <w:lvl w:ilvl="4" w:tentative="0">
      <w:start w:val="1"/>
      <w:numFmt w:val="lowerLetter"/>
      <w:lvlText w:val="%5)"/>
      <w:lvlJc w:val="left"/>
      <w:pPr>
        <w:tabs>
          <w:tab w:val="left" w:pos="420"/>
        </w:tabs>
        <w:ind w:left="3000" w:hanging="420"/>
      </w:pPr>
    </w:lvl>
    <w:lvl w:ilvl="5" w:tentative="0">
      <w:start w:val="1"/>
      <w:numFmt w:val="lowerRoman"/>
      <w:lvlText w:val="%6."/>
      <w:lvlJc w:val="right"/>
      <w:pPr>
        <w:tabs>
          <w:tab w:val="left" w:pos="420"/>
        </w:tabs>
        <w:ind w:left="3420" w:hanging="420"/>
      </w:pPr>
    </w:lvl>
    <w:lvl w:ilvl="6" w:tentative="0">
      <w:start w:val="1"/>
      <w:numFmt w:val="decimal"/>
      <w:lvlText w:val="%7."/>
      <w:lvlJc w:val="left"/>
      <w:pPr>
        <w:tabs>
          <w:tab w:val="left" w:pos="420"/>
        </w:tabs>
        <w:ind w:left="3840" w:hanging="420"/>
      </w:pPr>
    </w:lvl>
    <w:lvl w:ilvl="7" w:tentative="0">
      <w:start w:val="1"/>
      <w:numFmt w:val="lowerLetter"/>
      <w:lvlText w:val="%8)"/>
      <w:lvlJc w:val="left"/>
      <w:pPr>
        <w:tabs>
          <w:tab w:val="left" w:pos="420"/>
        </w:tabs>
        <w:ind w:left="4260" w:hanging="420"/>
      </w:pPr>
    </w:lvl>
    <w:lvl w:ilvl="8" w:tentative="0">
      <w:start w:val="1"/>
      <w:numFmt w:val="lowerRoman"/>
      <w:lvlText w:val="%9."/>
      <w:lvlJc w:val="right"/>
      <w:pPr>
        <w:tabs>
          <w:tab w:val="left" w:pos="420"/>
        </w:tabs>
        <w:ind w:left="4680" w:hanging="420"/>
      </w:pPr>
    </w:lvl>
  </w:abstractNum>
  <w:abstractNum w:abstractNumId="25">
    <w:nsid w:val="59FC3E95"/>
    <w:multiLevelType w:val="singleLevel"/>
    <w:tmpl w:val="59FC3E95"/>
    <w:lvl w:ilvl="0" w:tentative="0">
      <w:start w:val="1"/>
      <w:numFmt w:val="decimal"/>
      <w:lvlText w:val="(%1)"/>
      <w:lvlJc w:val="left"/>
      <w:pPr>
        <w:tabs>
          <w:tab w:val="left" w:pos="312"/>
        </w:tabs>
      </w:pPr>
    </w:lvl>
  </w:abstractNum>
  <w:abstractNum w:abstractNumId="26">
    <w:nsid w:val="63AA4A1E"/>
    <w:multiLevelType w:val="multilevel"/>
    <w:tmpl w:val="63AA4A1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7">
    <w:nsid w:val="647E01AF"/>
    <w:multiLevelType w:val="multilevel"/>
    <w:tmpl w:val="647E01AF"/>
    <w:lvl w:ilvl="0" w:tentative="0">
      <w:start w:val="6"/>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8">
    <w:nsid w:val="654040F7"/>
    <w:multiLevelType w:val="singleLevel"/>
    <w:tmpl w:val="654040F7"/>
    <w:lvl w:ilvl="0" w:tentative="0">
      <w:start w:val="1"/>
      <w:numFmt w:val="decimal"/>
      <w:lvlText w:val="%1."/>
      <w:lvlJc w:val="left"/>
      <w:pPr>
        <w:tabs>
          <w:tab w:val="left" w:pos="420"/>
        </w:tabs>
        <w:ind w:left="845" w:hanging="425"/>
      </w:pPr>
      <w:rPr>
        <w:rFonts w:hint="default"/>
      </w:rPr>
    </w:lvl>
  </w:abstractNum>
  <w:abstractNum w:abstractNumId="29">
    <w:nsid w:val="6BC93FB5"/>
    <w:multiLevelType w:val="multilevel"/>
    <w:tmpl w:val="6BC93FB5"/>
    <w:lvl w:ilvl="0" w:tentative="0">
      <w:start w:val="8"/>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0">
    <w:nsid w:val="6C525B9F"/>
    <w:multiLevelType w:val="multilevel"/>
    <w:tmpl w:val="6C525B9F"/>
    <w:lvl w:ilvl="0" w:tentative="0">
      <w:start w:val="5"/>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1">
    <w:nsid w:val="719C3F02"/>
    <w:multiLevelType w:val="multilevel"/>
    <w:tmpl w:val="719C3F02"/>
    <w:lvl w:ilvl="0" w:tentative="0">
      <w:start w:val="7"/>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2">
    <w:nsid w:val="72C135E4"/>
    <w:multiLevelType w:val="multilevel"/>
    <w:tmpl w:val="72C135E4"/>
    <w:lvl w:ilvl="0" w:tentative="0">
      <w:start w:val="9"/>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3">
    <w:nsid w:val="75300036"/>
    <w:multiLevelType w:val="multilevel"/>
    <w:tmpl w:val="75300036"/>
    <w:lvl w:ilvl="0" w:tentative="0">
      <w:start w:val="4"/>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4">
    <w:nsid w:val="776B3290"/>
    <w:multiLevelType w:val="singleLevel"/>
    <w:tmpl w:val="776B3290"/>
    <w:lvl w:ilvl="0" w:tentative="0">
      <w:start w:val="1"/>
      <w:numFmt w:val="decimal"/>
      <w:lvlText w:val="%1."/>
      <w:lvlJc w:val="left"/>
      <w:pPr>
        <w:tabs>
          <w:tab w:val="left" w:pos="420"/>
        </w:tabs>
        <w:ind w:left="845" w:hanging="425"/>
      </w:pPr>
      <w:rPr>
        <w:rFonts w:hint="default"/>
      </w:rPr>
    </w:lvl>
  </w:abstractNum>
  <w:abstractNum w:abstractNumId="35">
    <w:nsid w:val="7A113608"/>
    <w:multiLevelType w:val="multilevel"/>
    <w:tmpl w:val="7A113608"/>
    <w:lvl w:ilvl="0" w:tentative="0">
      <w:start w:val="1"/>
      <w:numFmt w:val="decimal"/>
      <w:lvlText w:val="（%1）"/>
      <w:lvlJc w:val="left"/>
      <w:pPr>
        <w:tabs>
          <w:tab w:val="left" w:pos="420"/>
        </w:tabs>
        <w:ind w:left="1320" w:hanging="420"/>
      </w:pPr>
      <w:rPr>
        <w:rFonts w:hint="default"/>
      </w:rPr>
    </w:lvl>
    <w:lvl w:ilvl="1" w:tentative="0">
      <w:start w:val="1"/>
      <w:numFmt w:val="lowerLetter"/>
      <w:lvlText w:val="%2)"/>
      <w:lvlJc w:val="left"/>
      <w:pPr>
        <w:tabs>
          <w:tab w:val="left" w:pos="420"/>
        </w:tabs>
        <w:ind w:left="1740" w:hanging="420"/>
      </w:pPr>
    </w:lvl>
    <w:lvl w:ilvl="2" w:tentative="0">
      <w:start w:val="1"/>
      <w:numFmt w:val="lowerRoman"/>
      <w:lvlText w:val="%3."/>
      <w:lvlJc w:val="right"/>
      <w:pPr>
        <w:tabs>
          <w:tab w:val="left" w:pos="420"/>
        </w:tabs>
        <w:ind w:left="2160" w:hanging="420"/>
      </w:pPr>
    </w:lvl>
    <w:lvl w:ilvl="3" w:tentative="0">
      <w:start w:val="1"/>
      <w:numFmt w:val="decimal"/>
      <w:lvlText w:val="%4."/>
      <w:lvlJc w:val="left"/>
      <w:pPr>
        <w:tabs>
          <w:tab w:val="left" w:pos="420"/>
        </w:tabs>
        <w:ind w:left="2580" w:hanging="420"/>
      </w:pPr>
    </w:lvl>
    <w:lvl w:ilvl="4" w:tentative="0">
      <w:start w:val="1"/>
      <w:numFmt w:val="lowerLetter"/>
      <w:lvlText w:val="%5)"/>
      <w:lvlJc w:val="left"/>
      <w:pPr>
        <w:tabs>
          <w:tab w:val="left" w:pos="420"/>
        </w:tabs>
        <w:ind w:left="3000" w:hanging="420"/>
      </w:pPr>
    </w:lvl>
    <w:lvl w:ilvl="5" w:tentative="0">
      <w:start w:val="1"/>
      <w:numFmt w:val="lowerRoman"/>
      <w:lvlText w:val="%6."/>
      <w:lvlJc w:val="right"/>
      <w:pPr>
        <w:tabs>
          <w:tab w:val="left" w:pos="420"/>
        </w:tabs>
        <w:ind w:left="3420" w:hanging="420"/>
      </w:pPr>
    </w:lvl>
    <w:lvl w:ilvl="6" w:tentative="0">
      <w:start w:val="1"/>
      <w:numFmt w:val="decimal"/>
      <w:lvlText w:val="%7."/>
      <w:lvlJc w:val="left"/>
      <w:pPr>
        <w:tabs>
          <w:tab w:val="left" w:pos="420"/>
        </w:tabs>
        <w:ind w:left="3840" w:hanging="420"/>
      </w:pPr>
    </w:lvl>
    <w:lvl w:ilvl="7" w:tentative="0">
      <w:start w:val="1"/>
      <w:numFmt w:val="lowerLetter"/>
      <w:lvlText w:val="%8)"/>
      <w:lvlJc w:val="left"/>
      <w:pPr>
        <w:tabs>
          <w:tab w:val="left" w:pos="420"/>
        </w:tabs>
        <w:ind w:left="4260" w:hanging="420"/>
      </w:pPr>
    </w:lvl>
    <w:lvl w:ilvl="8" w:tentative="0">
      <w:start w:val="1"/>
      <w:numFmt w:val="lowerRoman"/>
      <w:lvlText w:val="%9."/>
      <w:lvlJc w:val="right"/>
      <w:pPr>
        <w:tabs>
          <w:tab w:val="left" w:pos="420"/>
        </w:tabs>
        <w:ind w:left="4680" w:hanging="420"/>
      </w:pPr>
    </w:lvl>
  </w:abstractNum>
  <w:abstractNum w:abstractNumId="36">
    <w:nsid w:val="7AA846C6"/>
    <w:multiLevelType w:val="multilevel"/>
    <w:tmpl w:val="7AA846C6"/>
    <w:lvl w:ilvl="0" w:tentative="0">
      <w:start w:val="12"/>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7">
    <w:nsid w:val="7CA10DD4"/>
    <w:multiLevelType w:val="multilevel"/>
    <w:tmpl w:val="7CA10DD4"/>
    <w:lvl w:ilvl="0" w:tentative="0">
      <w:start w:val="1"/>
      <w:numFmt w:val="decimal"/>
      <w:lvlText w:val="（%1）"/>
      <w:lvlJc w:val="left"/>
      <w:pPr>
        <w:ind w:left="845" w:hanging="420"/>
      </w:pPr>
    </w:lvl>
    <w:lvl w:ilvl="1" w:tentative="0">
      <w:start w:val="1"/>
      <w:numFmt w:val="decimal"/>
      <w:lvlText w:val="%2."/>
      <w:lvlJc w:val="left"/>
      <w:pPr>
        <w:ind w:left="988" w:hanging="420"/>
      </w:pPr>
      <w:rPr>
        <w:rFonts w:hint="eastAsia"/>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15"/>
  </w:num>
  <w:num w:numId="2">
    <w:abstractNumId w:val="20"/>
  </w:num>
  <w:num w:numId="3">
    <w:abstractNumId w:val="2"/>
  </w:num>
  <w:num w:numId="4">
    <w:abstractNumId w:val="7"/>
  </w:num>
  <w:num w:numId="5">
    <w:abstractNumId w:val="14"/>
  </w:num>
  <w:num w:numId="6">
    <w:abstractNumId w:val="11"/>
  </w:num>
  <w:num w:numId="7">
    <w:abstractNumId w:val="33"/>
  </w:num>
  <w:num w:numId="8">
    <w:abstractNumId w:val="6"/>
  </w:num>
  <w:num w:numId="9">
    <w:abstractNumId w:val="30"/>
  </w:num>
  <w:num w:numId="10">
    <w:abstractNumId w:val="8"/>
  </w:num>
  <w:num w:numId="11">
    <w:abstractNumId w:val="27"/>
  </w:num>
  <w:num w:numId="12">
    <w:abstractNumId w:val="31"/>
  </w:num>
  <w:num w:numId="13">
    <w:abstractNumId w:val="29"/>
  </w:num>
  <w:num w:numId="14">
    <w:abstractNumId w:val="32"/>
  </w:num>
  <w:num w:numId="15">
    <w:abstractNumId w:val="19"/>
  </w:num>
  <w:num w:numId="16">
    <w:abstractNumId w:val="10"/>
  </w:num>
  <w:num w:numId="17">
    <w:abstractNumId w:val="36"/>
  </w:num>
  <w:num w:numId="18">
    <w:abstractNumId w:val="12"/>
  </w:num>
  <w:num w:numId="19">
    <w:abstractNumId w:val="37"/>
  </w:num>
  <w:num w:numId="20">
    <w:abstractNumId w:val="21"/>
  </w:num>
  <w:num w:numId="21">
    <w:abstractNumId w:val="13"/>
  </w:num>
  <w:num w:numId="22">
    <w:abstractNumId w:val="25"/>
  </w:num>
  <w:num w:numId="23">
    <w:abstractNumId w:val="35"/>
  </w:num>
  <w:num w:numId="24">
    <w:abstractNumId w:val="24"/>
  </w:num>
  <w:num w:numId="25">
    <w:abstractNumId w:val="18"/>
  </w:num>
  <w:num w:numId="26">
    <w:abstractNumId w:val="26"/>
  </w:num>
  <w:num w:numId="27">
    <w:abstractNumId w:val="5"/>
  </w:num>
  <w:num w:numId="28">
    <w:abstractNumId w:val="16"/>
  </w:num>
  <w:num w:numId="29">
    <w:abstractNumId w:val="34"/>
  </w:num>
  <w:num w:numId="30">
    <w:abstractNumId w:val="0"/>
  </w:num>
  <w:num w:numId="31">
    <w:abstractNumId w:val="1"/>
  </w:num>
  <w:num w:numId="32">
    <w:abstractNumId w:val="9"/>
  </w:num>
  <w:num w:numId="33">
    <w:abstractNumId w:val="28"/>
  </w:num>
  <w:num w:numId="34">
    <w:abstractNumId w:val="23"/>
  </w:num>
  <w:num w:numId="35">
    <w:abstractNumId w:val="4"/>
  </w:num>
  <w:num w:numId="36">
    <w:abstractNumId w:val="17"/>
  </w:num>
  <w:num w:numId="37">
    <w:abstractNumId w:val="3"/>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4OTE2YWVmMzhjZmQxOWE3MzIxYzYyMzc4ZmM2NDUifQ=="/>
  </w:docVars>
  <w:rsids>
    <w:rsidRoot w:val="00B64A69"/>
    <w:rsid w:val="00002BF7"/>
    <w:rsid w:val="000038F3"/>
    <w:rsid w:val="0000523C"/>
    <w:rsid w:val="00005A48"/>
    <w:rsid w:val="000067C2"/>
    <w:rsid w:val="00006833"/>
    <w:rsid w:val="00007EA5"/>
    <w:rsid w:val="00010612"/>
    <w:rsid w:val="0001239E"/>
    <w:rsid w:val="000138A2"/>
    <w:rsid w:val="00014941"/>
    <w:rsid w:val="000150EB"/>
    <w:rsid w:val="00015785"/>
    <w:rsid w:val="0001710E"/>
    <w:rsid w:val="0001758F"/>
    <w:rsid w:val="00020295"/>
    <w:rsid w:val="0002211A"/>
    <w:rsid w:val="000224C6"/>
    <w:rsid w:val="00023E42"/>
    <w:rsid w:val="0002411A"/>
    <w:rsid w:val="00024EED"/>
    <w:rsid w:val="00025E8C"/>
    <w:rsid w:val="000270B5"/>
    <w:rsid w:val="00030AFF"/>
    <w:rsid w:val="0003102F"/>
    <w:rsid w:val="0003112F"/>
    <w:rsid w:val="000337CD"/>
    <w:rsid w:val="00033C36"/>
    <w:rsid w:val="00033CB3"/>
    <w:rsid w:val="00034AC1"/>
    <w:rsid w:val="00037BC9"/>
    <w:rsid w:val="000436A5"/>
    <w:rsid w:val="00043AA4"/>
    <w:rsid w:val="00044157"/>
    <w:rsid w:val="000446E2"/>
    <w:rsid w:val="000457A3"/>
    <w:rsid w:val="00045810"/>
    <w:rsid w:val="00046F57"/>
    <w:rsid w:val="00047649"/>
    <w:rsid w:val="00047F62"/>
    <w:rsid w:val="00051006"/>
    <w:rsid w:val="00051784"/>
    <w:rsid w:val="00053076"/>
    <w:rsid w:val="000532B7"/>
    <w:rsid w:val="00053663"/>
    <w:rsid w:val="00053BD8"/>
    <w:rsid w:val="00053D3B"/>
    <w:rsid w:val="0005473E"/>
    <w:rsid w:val="00054D79"/>
    <w:rsid w:val="00054EB9"/>
    <w:rsid w:val="000558CC"/>
    <w:rsid w:val="000562AC"/>
    <w:rsid w:val="00057DDD"/>
    <w:rsid w:val="00060656"/>
    <w:rsid w:val="0006091D"/>
    <w:rsid w:val="00060A80"/>
    <w:rsid w:val="00060CCE"/>
    <w:rsid w:val="00061A61"/>
    <w:rsid w:val="00064C22"/>
    <w:rsid w:val="00067AEA"/>
    <w:rsid w:val="00070389"/>
    <w:rsid w:val="00071AFA"/>
    <w:rsid w:val="00071E6B"/>
    <w:rsid w:val="0007370E"/>
    <w:rsid w:val="0007472D"/>
    <w:rsid w:val="00075EB8"/>
    <w:rsid w:val="0007617E"/>
    <w:rsid w:val="00076F9D"/>
    <w:rsid w:val="000806B7"/>
    <w:rsid w:val="00081442"/>
    <w:rsid w:val="00081E42"/>
    <w:rsid w:val="00082C27"/>
    <w:rsid w:val="00083F67"/>
    <w:rsid w:val="000846AA"/>
    <w:rsid w:val="0008494D"/>
    <w:rsid w:val="000872D0"/>
    <w:rsid w:val="00090332"/>
    <w:rsid w:val="00091565"/>
    <w:rsid w:val="00091938"/>
    <w:rsid w:val="0009193B"/>
    <w:rsid w:val="00092BBF"/>
    <w:rsid w:val="00094715"/>
    <w:rsid w:val="00095A45"/>
    <w:rsid w:val="00095B69"/>
    <w:rsid w:val="00095B6F"/>
    <w:rsid w:val="00095F54"/>
    <w:rsid w:val="000A2FE2"/>
    <w:rsid w:val="000A34B2"/>
    <w:rsid w:val="000A3E69"/>
    <w:rsid w:val="000A4266"/>
    <w:rsid w:val="000A4A29"/>
    <w:rsid w:val="000A5B2E"/>
    <w:rsid w:val="000A5D96"/>
    <w:rsid w:val="000A5E33"/>
    <w:rsid w:val="000A63AE"/>
    <w:rsid w:val="000A6482"/>
    <w:rsid w:val="000A670C"/>
    <w:rsid w:val="000A6B77"/>
    <w:rsid w:val="000A79BC"/>
    <w:rsid w:val="000A7AA9"/>
    <w:rsid w:val="000A7E78"/>
    <w:rsid w:val="000B04C5"/>
    <w:rsid w:val="000B0C19"/>
    <w:rsid w:val="000B1F19"/>
    <w:rsid w:val="000B46FC"/>
    <w:rsid w:val="000B4836"/>
    <w:rsid w:val="000B6728"/>
    <w:rsid w:val="000B6C24"/>
    <w:rsid w:val="000C18FF"/>
    <w:rsid w:val="000C2843"/>
    <w:rsid w:val="000C3092"/>
    <w:rsid w:val="000C336D"/>
    <w:rsid w:val="000C3CC9"/>
    <w:rsid w:val="000C4278"/>
    <w:rsid w:val="000C43F0"/>
    <w:rsid w:val="000C57AF"/>
    <w:rsid w:val="000C60A4"/>
    <w:rsid w:val="000C6505"/>
    <w:rsid w:val="000C6B3B"/>
    <w:rsid w:val="000D019E"/>
    <w:rsid w:val="000D0A99"/>
    <w:rsid w:val="000D19A1"/>
    <w:rsid w:val="000D1FC0"/>
    <w:rsid w:val="000D3929"/>
    <w:rsid w:val="000D64A4"/>
    <w:rsid w:val="000D6DF6"/>
    <w:rsid w:val="000D7068"/>
    <w:rsid w:val="000D7CD3"/>
    <w:rsid w:val="000E0567"/>
    <w:rsid w:val="000E09CB"/>
    <w:rsid w:val="000E0E00"/>
    <w:rsid w:val="000E1298"/>
    <w:rsid w:val="000E346D"/>
    <w:rsid w:val="000E4967"/>
    <w:rsid w:val="000E4C8C"/>
    <w:rsid w:val="000E791D"/>
    <w:rsid w:val="000F00E5"/>
    <w:rsid w:val="000F03C2"/>
    <w:rsid w:val="000F095F"/>
    <w:rsid w:val="000F3469"/>
    <w:rsid w:val="000F5C6D"/>
    <w:rsid w:val="00100215"/>
    <w:rsid w:val="001003FB"/>
    <w:rsid w:val="00100A96"/>
    <w:rsid w:val="00101C28"/>
    <w:rsid w:val="001033A1"/>
    <w:rsid w:val="0010348C"/>
    <w:rsid w:val="001039CF"/>
    <w:rsid w:val="00103A39"/>
    <w:rsid w:val="001042F0"/>
    <w:rsid w:val="00104CCA"/>
    <w:rsid w:val="0010631C"/>
    <w:rsid w:val="001068A3"/>
    <w:rsid w:val="00107D30"/>
    <w:rsid w:val="001100C2"/>
    <w:rsid w:val="0011027C"/>
    <w:rsid w:val="00110842"/>
    <w:rsid w:val="00110AF9"/>
    <w:rsid w:val="00110EB7"/>
    <w:rsid w:val="00110EE4"/>
    <w:rsid w:val="0011125A"/>
    <w:rsid w:val="0011163B"/>
    <w:rsid w:val="00112CB9"/>
    <w:rsid w:val="001135A0"/>
    <w:rsid w:val="00114C0A"/>
    <w:rsid w:val="00114D98"/>
    <w:rsid w:val="001164D8"/>
    <w:rsid w:val="00117E99"/>
    <w:rsid w:val="001209A9"/>
    <w:rsid w:val="00120EB7"/>
    <w:rsid w:val="00120F9A"/>
    <w:rsid w:val="00121135"/>
    <w:rsid w:val="0012381B"/>
    <w:rsid w:val="00123F0F"/>
    <w:rsid w:val="00124055"/>
    <w:rsid w:val="001254F6"/>
    <w:rsid w:val="00125A2E"/>
    <w:rsid w:val="0012666C"/>
    <w:rsid w:val="001309C1"/>
    <w:rsid w:val="00130B08"/>
    <w:rsid w:val="00130E28"/>
    <w:rsid w:val="00132691"/>
    <w:rsid w:val="00133612"/>
    <w:rsid w:val="001337D1"/>
    <w:rsid w:val="00134A4A"/>
    <w:rsid w:val="00135CE1"/>
    <w:rsid w:val="0013606C"/>
    <w:rsid w:val="00137081"/>
    <w:rsid w:val="00141D84"/>
    <w:rsid w:val="0014227A"/>
    <w:rsid w:val="0014346E"/>
    <w:rsid w:val="00143668"/>
    <w:rsid w:val="00144745"/>
    <w:rsid w:val="00144849"/>
    <w:rsid w:val="00144F80"/>
    <w:rsid w:val="00146FA2"/>
    <w:rsid w:val="001509BD"/>
    <w:rsid w:val="00150B55"/>
    <w:rsid w:val="00151434"/>
    <w:rsid w:val="00153051"/>
    <w:rsid w:val="001538F6"/>
    <w:rsid w:val="00153B72"/>
    <w:rsid w:val="00157CBF"/>
    <w:rsid w:val="001605B9"/>
    <w:rsid w:val="00161442"/>
    <w:rsid w:val="001624DE"/>
    <w:rsid w:val="00163370"/>
    <w:rsid w:val="00164B21"/>
    <w:rsid w:val="00165018"/>
    <w:rsid w:val="001655A7"/>
    <w:rsid w:val="001659BA"/>
    <w:rsid w:val="001673A5"/>
    <w:rsid w:val="001702B3"/>
    <w:rsid w:val="00170482"/>
    <w:rsid w:val="001714CB"/>
    <w:rsid w:val="00171BAC"/>
    <w:rsid w:val="00172D02"/>
    <w:rsid w:val="00173A17"/>
    <w:rsid w:val="00174D3A"/>
    <w:rsid w:val="00174F7A"/>
    <w:rsid w:val="00175689"/>
    <w:rsid w:val="00176770"/>
    <w:rsid w:val="001773F2"/>
    <w:rsid w:val="00177C16"/>
    <w:rsid w:val="001801DD"/>
    <w:rsid w:val="00180A83"/>
    <w:rsid w:val="001810DF"/>
    <w:rsid w:val="00181301"/>
    <w:rsid w:val="001829C0"/>
    <w:rsid w:val="0018443D"/>
    <w:rsid w:val="00184ADA"/>
    <w:rsid w:val="00185FA7"/>
    <w:rsid w:val="00187489"/>
    <w:rsid w:val="0018749E"/>
    <w:rsid w:val="00187629"/>
    <w:rsid w:val="0018786E"/>
    <w:rsid w:val="00191300"/>
    <w:rsid w:val="00191B3C"/>
    <w:rsid w:val="00194DC7"/>
    <w:rsid w:val="00197375"/>
    <w:rsid w:val="001A1F4C"/>
    <w:rsid w:val="001A27B9"/>
    <w:rsid w:val="001A589B"/>
    <w:rsid w:val="001A5D19"/>
    <w:rsid w:val="001A6164"/>
    <w:rsid w:val="001A6395"/>
    <w:rsid w:val="001A7AF7"/>
    <w:rsid w:val="001B1AB2"/>
    <w:rsid w:val="001B258F"/>
    <w:rsid w:val="001B290C"/>
    <w:rsid w:val="001B3668"/>
    <w:rsid w:val="001B3A0B"/>
    <w:rsid w:val="001B5289"/>
    <w:rsid w:val="001B5A29"/>
    <w:rsid w:val="001B6849"/>
    <w:rsid w:val="001B6AEF"/>
    <w:rsid w:val="001C100B"/>
    <w:rsid w:val="001C12BF"/>
    <w:rsid w:val="001C1E19"/>
    <w:rsid w:val="001C3362"/>
    <w:rsid w:val="001C3EEB"/>
    <w:rsid w:val="001C4112"/>
    <w:rsid w:val="001C4B2F"/>
    <w:rsid w:val="001C5860"/>
    <w:rsid w:val="001C7E11"/>
    <w:rsid w:val="001D0224"/>
    <w:rsid w:val="001D0BB0"/>
    <w:rsid w:val="001D20DD"/>
    <w:rsid w:val="001D2B64"/>
    <w:rsid w:val="001D5003"/>
    <w:rsid w:val="001D5386"/>
    <w:rsid w:val="001D6048"/>
    <w:rsid w:val="001D67A1"/>
    <w:rsid w:val="001D704B"/>
    <w:rsid w:val="001D7FF7"/>
    <w:rsid w:val="001E08C0"/>
    <w:rsid w:val="001E1452"/>
    <w:rsid w:val="001E1C73"/>
    <w:rsid w:val="001E3597"/>
    <w:rsid w:val="001E3D4B"/>
    <w:rsid w:val="001E4FBC"/>
    <w:rsid w:val="001E62CF"/>
    <w:rsid w:val="001E78D7"/>
    <w:rsid w:val="001F06E7"/>
    <w:rsid w:val="001F15AA"/>
    <w:rsid w:val="001F165B"/>
    <w:rsid w:val="001F197B"/>
    <w:rsid w:val="001F263D"/>
    <w:rsid w:val="001F37EE"/>
    <w:rsid w:val="001F4C47"/>
    <w:rsid w:val="001F5EF3"/>
    <w:rsid w:val="001F6128"/>
    <w:rsid w:val="001F63F1"/>
    <w:rsid w:val="001F6CA1"/>
    <w:rsid w:val="001F7EBE"/>
    <w:rsid w:val="002002AB"/>
    <w:rsid w:val="00200B28"/>
    <w:rsid w:val="00202142"/>
    <w:rsid w:val="00202149"/>
    <w:rsid w:val="002027BC"/>
    <w:rsid w:val="002032A7"/>
    <w:rsid w:val="002062BB"/>
    <w:rsid w:val="00206488"/>
    <w:rsid w:val="002069D8"/>
    <w:rsid w:val="00206D2B"/>
    <w:rsid w:val="00210596"/>
    <w:rsid w:val="00210EAD"/>
    <w:rsid w:val="00210EEA"/>
    <w:rsid w:val="00211082"/>
    <w:rsid w:val="00211346"/>
    <w:rsid w:val="0021138A"/>
    <w:rsid w:val="002118EC"/>
    <w:rsid w:val="00212E60"/>
    <w:rsid w:val="002136BF"/>
    <w:rsid w:val="00213F9D"/>
    <w:rsid w:val="00215C84"/>
    <w:rsid w:val="00221B90"/>
    <w:rsid w:val="002229E0"/>
    <w:rsid w:val="00224136"/>
    <w:rsid w:val="0022430C"/>
    <w:rsid w:val="002249FE"/>
    <w:rsid w:val="00224B53"/>
    <w:rsid w:val="002250D0"/>
    <w:rsid w:val="002307FD"/>
    <w:rsid w:val="0023168C"/>
    <w:rsid w:val="0023487E"/>
    <w:rsid w:val="00234B46"/>
    <w:rsid w:val="00234FAA"/>
    <w:rsid w:val="0023585A"/>
    <w:rsid w:val="00235CAF"/>
    <w:rsid w:val="00235ED3"/>
    <w:rsid w:val="00237D6B"/>
    <w:rsid w:val="00240485"/>
    <w:rsid w:val="002411CA"/>
    <w:rsid w:val="00242D84"/>
    <w:rsid w:val="002461F4"/>
    <w:rsid w:val="002471F8"/>
    <w:rsid w:val="002475F8"/>
    <w:rsid w:val="00247938"/>
    <w:rsid w:val="00250300"/>
    <w:rsid w:val="00250602"/>
    <w:rsid w:val="00250E1D"/>
    <w:rsid w:val="00250E41"/>
    <w:rsid w:val="00250E43"/>
    <w:rsid w:val="0025211E"/>
    <w:rsid w:val="00253C8B"/>
    <w:rsid w:val="00253CA5"/>
    <w:rsid w:val="002550B8"/>
    <w:rsid w:val="002554DC"/>
    <w:rsid w:val="002565A6"/>
    <w:rsid w:val="00256BE3"/>
    <w:rsid w:val="00260023"/>
    <w:rsid w:val="0026098D"/>
    <w:rsid w:val="002612E7"/>
    <w:rsid w:val="00262A92"/>
    <w:rsid w:val="002634E7"/>
    <w:rsid w:val="00263995"/>
    <w:rsid w:val="00263C2D"/>
    <w:rsid w:val="00263CBE"/>
    <w:rsid w:val="00263CC7"/>
    <w:rsid w:val="00264625"/>
    <w:rsid w:val="00264E70"/>
    <w:rsid w:val="00265C78"/>
    <w:rsid w:val="00266104"/>
    <w:rsid w:val="00266513"/>
    <w:rsid w:val="00267C26"/>
    <w:rsid w:val="00270623"/>
    <w:rsid w:val="00271723"/>
    <w:rsid w:val="0027217E"/>
    <w:rsid w:val="00273870"/>
    <w:rsid w:val="00273EF6"/>
    <w:rsid w:val="0027411F"/>
    <w:rsid w:val="002759C5"/>
    <w:rsid w:val="00275ED0"/>
    <w:rsid w:val="0027632C"/>
    <w:rsid w:val="00280EEC"/>
    <w:rsid w:val="002812BE"/>
    <w:rsid w:val="00281F11"/>
    <w:rsid w:val="0028262A"/>
    <w:rsid w:val="002839E2"/>
    <w:rsid w:val="00284776"/>
    <w:rsid w:val="00285653"/>
    <w:rsid w:val="00286271"/>
    <w:rsid w:val="002863DA"/>
    <w:rsid w:val="002867B9"/>
    <w:rsid w:val="00287023"/>
    <w:rsid w:val="00287946"/>
    <w:rsid w:val="00292A1E"/>
    <w:rsid w:val="0029314E"/>
    <w:rsid w:val="0029318E"/>
    <w:rsid w:val="00293A57"/>
    <w:rsid w:val="00293AFC"/>
    <w:rsid w:val="002948C0"/>
    <w:rsid w:val="00294A2B"/>
    <w:rsid w:val="00295B9A"/>
    <w:rsid w:val="002965BE"/>
    <w:rsid w:val="002A0F8E"/>
    <w:rsid w:val="002A23E3"/>
    <w:rsid w:val="002A252B"/>
    <w:rsid w:val="002A4AFC"/>
    <w:rsid w:val="002A5FC8"/>
    <w:rsid w:val="002B0774"/>
    <w:rsid w:val="002B0B5B"/>
    <w:rsid w:val="002B3906"/>
    <w:rsid w:val="002B3C13"/>
    <w:rsid w:val="002B3D73"/>
    <w:rsid w:val="002B3D9A"/>
    <w:rsid w:val="002B3E7B"/>
    <w:rsid w:val="002B40F9"/>
    <w:rsid w:val="002B4366"/>
    <w:rsid w:val="002B67F7"/>
    <w:rsid w:val="002B6CF5"/>
    <w:rsid w:val="002B7080"/>
    <w:rsid w:val="002C03FE"/>
    <w:rsid w:val="002C0A84"/>
    <w:rsid w:val="002C1B1B"/>
    <w:rsid w:val="002C225A"/>
    <w:rsid w:val="002C59C7"/>
    <w:rsid w:val="002C5A13"/>
    <w:rsid w:val="002C68CB"/>
    <w:rsid w:val="002C6A48"/>
    <w:rsid w:val="002C6AFF"/>
    <w:rsid w:val="002C709C"/>
    <w:rsid w:val="002C7491"/>
    <w:rsid w:val="002C7F49"/>
    <w:rsid w:val="002D26C0"/>
    <w:rsid w:val="002D471D"/>
    <w:rsid w:val="002D49D1"/>
    <w:rsid w:val="002D5143"/>
    <w:rsid w:val="002D56ED"/>
    <w:rsid w:val="002D7C5E"/>
    <w:rsid w:val="002E0050"/>
    <w:rsid w:val="002E00A6"/>
    <w:rsid w:val="002E120E"/>
    <w:rsid w:val="002E18F2"/>
    <w:rsid w:val="002E27F1"/>
    <w:rsid w:val="002E2E37"/>
    <w:rsid w:val="002E3341"/>
    <w:rsid w:val="002E5582"/>
    <w:rsid w:val="002E5C15"/>
    <w:rsid w:val="002E6972"/>
    <w:rsid w:val="002F1F0A"/>
    <w:rsid w:val="002F29A0"/>
    <w:rsid w:val="002F2BA1"/>
    <w:rsid w:val="002F3442"/>
    <w:rsid w:val="002F3D64"/>
    <w:rsid w:val="002F45B9"/>
    <w:rsid w:val="002F4602"/>
    <w:rsid w:val="002F4AE4"/>
    <w:rsid w:val="002F5A06"/>
    <w:rsid w:val="002F611D"/>
    <w:rsid w:val="002F750C"/>
    <w:rsid w:val="002F7D44"/>
    <w:rsid w:val="002F7F12"/>
    <w:rsid w:val="00301408"/>
    <w:rsid w:val="00301577"/>
    <w:rsid w:val="003015BD"/>
    <w:rsid w:val="00301D59"/>
    <w:rsid w:val="00301D7F"/>
    <w:rsid w:val="003028D3"/>
    <w:rsid w:val="00302F31"/>
    <w:rsid w:val="003035D3"/>
    <w:rsid w:val="003035EC"/>
    <w:rsid w:val="00305706"/>
    <w:rsid w:val="00305E0E"/>
    <w:rsid w:val="003072F8"/>
    <w:rsid w:val="003103AB"/>
    <w:rsid w:val="003106A7"/>
    <w:rsid w:val="00310A22"/>
    <w:rsid w:val="00310E13"/>
    <w:rsid w:val="00311075"/>
    <w:rsid w:val="003110B2"/>
    <w:rsid w:val="0031377B"/>
    <w:rsid w:val="00314AA7"/>
    <w:rsid w:val="00315066"/>
    <w:rsid w:val="003158A9"/>
    <w:rsid w:val="00315EC4"/>
    <w:rsid w:val="003163D0"/>
    <w:rsid w:val="0031651E"/>
    <w:rsid w:val="00317608"/>
    <w:rsid w:val="0031780A"/>
    <w:rsid w:val="00317891"/>
    <w:rsid w:val="00320182"/>
    <w:rsid w:val="00321269"/>
    <w:rsid w:val="00321E99"/>
    <w:rsid w:val="003233E5"/>
    <w:rsid w:val="00324D72"/>
    <w:rsid w:val="00326CD6"/>
    <w:rsid w:val="0032741F"/>
    <w:rsid w:val="003304B9"/>
    <w:rsid w:val="0033150D"/>
    <w:rsid w:val="00331ABE"/>
    <w:rsid w:val="0033290B"/>
    <w:rsid w:val="00333D06"/>
    <w:rsid w:val="0034157D"/>
    <w:rsid w:val="00341D0D"/>
    <w:rsid w:val="00342F14"/>
    <w:rsid w:val="003440F7"/>
    <w:rsid w:val="00344401"/>
    <w:rsid w:val="00345385"/>
    <w:rsid w:val="00345721"/>
    <w:rsid w:val="0034606E"/>
    <w:rsid w:val="00346740"/>
    <w:rsid w:val="00347405"/>
    <w:rsid w:val="0034743D"/>
    <w:rsid w:val="00347C5C"/>
    <w:rsid w:val="0035056F"/>
    <w:rsid w:val="003529E5"/>
    <w:rsid w:val="00353663"/>
    <w:rsid w:val="00354055"/>
    <w:rsid w:val="00355C6E"/>
    <w:rsid w:val="003560BD"/>
    <w:rsid w:val="00356255"/>
    <w:rsid w:val="0035748A"/>
    <w:rsid w:val="00357C79"/>
    <w:rsid w:val="003612B2"/>
    <w:rsid w:val="0036137E"/>
    <w:rsid w:val="00361505"/>
    <w:rsid w:val="003628E3"/>
    <w:rsid w:val="00362A2D"/>
    <w:rsid w:val="00362BCC"/>
    <w:rsid w:val="00363694"/>
    <w:rsid w:val="0036418A"/>
    <w:rsid w:val="00370C11"/>
    <w:rsid w:val="00370F9B"/>
    <w:rsid w:val="00372C89"/>
    <w:rsid w:val="00373EBB"/>
    <w:rsid w:val="00374189"/>
    <w:rsid w:val="00374879"/>
    <w:rsid w:val="00375A67"/>
    <w:rsid w:val="00376663"/>
    <w:rsid w:val="00377A32"/>
    <w:rsid w:val="00380B68"/>
    <w:rsid w:val="00381CA9"/>
    <w:rsid w:val="00382732"/>
    <w:rsid w:val="00386E74"/>
    <w:rsid w:val="003871E6"/>
    <w:rsid w:val="003873A3"/>
    <w:rsid w:val="00390084"/>
    <w:rsid w:val="00390AF1"/>
    <w:rsid w:val="00393A63"/>
    <w:rsid w:val="00393E2C"/>
    <w:rsid w:val="00394D96"/>
    <w:rsid w:val="00395FBC"/>
    <w:rsid w:val="00396783"/>
    <w:rsid w:val="00396A62"/>
    <w:rsid w:val="0039788F"/>
    <w:rsid w:val="003A0AF6"/>
    <w:rsid w:val="003A0C81"/>
    <w:rsid w:val="003A0E91"/>
    <w:rsid w:val="003A11A4"/>
    <w:rsid w:val="003A1C5A"/>
    <w:rsid w:val="003A2B4C"/>
    <w:rsid w:val="003A2CEB"/>
    <w:rsid w:val="003A39C0"/>
    <w:rsid w:val="003A3CBB"/>
    <w:rsid w:val="003A4B5B"/>
    <w:rsid w:val="003A54E9"/>
    <w:rsid w:val="003A70E5"/>
    <w:rsid w:val="003A7E68"/>
    <w:rsid w:val="003B0ABE"/>
    <w:rsid w:val="003B45D2"/>
    <w:rsid w:val="003B4D0F"/>
    <w:rsid w:val="003B6101"/>
    <w:rsid w:val="003C0201"/>
    <w:rsid w:val="003C4D8F"/>
    <w:rsid w:val="003C644F"/>
    <w:rsid w:val="003C7A96"/>
    <w:rsid w:val="003D0248"/>
    <w:rsid w:val="003D041C"/>
    <w:rsid w:val="003D0529"/>
    <w:rsid w:val="003D1776"/>
    <w:rsid w:val="003D1CBD"/>
    <w:rsid w:val="003D322B"/>
    <w:rsid w:val="003D4271"/>
    <w:rsid w:val="003D4506"/>
    <w:rsid w:val="003D46EA"/>
    <w:rsid w:val="003D4CB9"/>
    <w:rsid w:val="003D5661"/>
    <w:rsid w:val="003D5817"/>
    <w:rsid w:val="003D6B4E"/>
    <w:rsid w:val="003D7DDD"/>
    <w:rsid w:val="003E02F7"/>
    <w:rsid w:val="003E0378"/>
    <w:rsid w:val="003E0459"/>
    <w:rsid w:val="003E0BFB"/>
    <w:rsid w:val="003E1052"/>
    <w:rsid w:val="003E416E"/>
    <w:rsid w:val="003E4F99"/>
    <w:rsid w:val="003E536F"/>
    <w:rsid w:val="003E625F"/>
    <w:rsid w:val="003E68AA"/>
    <w:rsid w:val="003E7FCD"/>
    <w:rsid w:val="003F1EDC"/>
    <w:rsid w:val="003F6B9A"/>
    <w:rsid w:val="003F70BB"/>
    <w:rsid w:val="003F7545"/>
    <w:rsid w:val="003F7710"/>
    <w:rsid w:val="003F78B4"/>
    <w:rsid w:val="003F794B"/>
    <w:rsid w:val="00400FFB"/>
    <w:rsid w:val="00402BE9"/>
    <w:rsid w:val="004049D9"/>
    <w:rsid w:val="004060D8"/>
    <w:rsid w:val="004066EF"/>
    <w:rsid w:val="00411025"/>
    <w:rsid w:val="004116F3"/>
    <w:rsid w:val="004152C0"/>
    <w:rsid w:val="00415784"/>
    <w:rsid w:val="00415A34"/>
    <w:rsid w:val="004165A2"/>
    <w:rsid w:val="00416962"/>
    <w:rsid w:val="004172E0"/>
    <w:rsid w:val="00417367"/>
    <w:rsid w:val="0041793E"/>
    <w:rsid w:val="00417C36"/>
    <w:rsid w:val="004204FB"/>
    <w:rsid w:val="00420E67"/>
    <w:rsid w:val="004216E2"/>
    <w:rsid w:val="004239FA"/>
    <w:rsid w:val="004245B7"/>
    <w:rsid w:val="00425183"/>
    <w:rsid w:val="00426720"/>
    <w:rsid w:val="00426906"/>
    <w:rsid w:val="004273F5"/>
    <w:rsid w:val="004318C5"/>
    <w:rsid w:val="00432419"/>
    <w:rsid w:val="004325F1"/>
    <w:rsid w:val="00433A07"/>
    <w:rsid w:val="00436011"/>
    <w:rsid w:val="00437DE0"/>
    <w:rsid w:val="004429E4"/>
    <w:rsid w:val="004435F8"/>
    <w:rsid w:val="00443800"/>
    <w:rsid w:val="00443869"/>
    <w:rsid w:val="004443A4"/>
    <w:rsid w:val="00446641"/>
    <w:rsid w:val="0044682A"/>
    <w:rsid w:val="00447F80"/>
    <w:rsid w:val="00450E42"/>
    <w:rsid w:val="00451525"/>
    <w:rsid w:val="00451913"/>
    <w:rsid w:val="00451ED2"/>
    <w:rsid w:val="0045206A"/>
    <w:rsid w:val="00452B6F"/>
    <w:rsid w:val="00452FAD"/>
    <w:rsid w:val="00454BA4"/>
    <w:rsid w:val="004569F1"/>
    <w:rsid w:val="0045707F"/>
    <w:rsid w:val="00457735"/>
    <w:rsid w:val="00457D5F"/>
    <w:rsid w:val="00461142"/>
    <w:rsid w:val="00461184"/>
    <w:rsid w:val="00461E9F"/>
    <w:rsid w:val="0046364C"/>
    <w:rsid w:val="00463BB6"/>
    <w:rsid w:val="00464556"/>
    <w:rsid w:val="00464C20"/>
    <w:rsid w:val="0046591C"/>
    <w:rsid w:val="00466044"/>
    <w:rsid w:val="004704BB"/>
    <w:rsid w:val="004714C6"/>
    <w:rsid w:val="004719A0"/>
    <w:rsid w:val="00471ACC"/>
    <w:rsid w:val="00472193"/>
    <w:rsid w:val="004737FD"/>
    <w:rsid w:val="00473DDA"/>
    <w:rsid w:val="00475DE5"/>
    <w:rsid w:val="00475E8E"/>
    <w:rsid w:val="00475FE2"/>
    <w:rsid w:val="00476424"/>
    <w:rsid w:val="004766AB"/>
    <w:rsid w:val="004773FB"/>
    <w:rsid w:val="004777F0"/>
    <w:rsid w:val="004802FC"/>
    <w:rsid w:val="00480C84"/>
    <w:rsid w:val="00481C49"/>
    <w:rsid w:val="00482614"/>
    <w:rsid w:val="00482CF8"/>
    <w:rsid w:val="00482F1A"/>
    <w:rsid w:val="004844D1"/>
    <w:rsid w:val="00487974"/>
    <w:rsid w:val="00490F61"/>
    <w:rsid w:val="004938FF"/>
    <w:rsid w:val="00494755"/>
    <w:rsid w:val="004955F0"/>
    <w:rsid w:val="0049591A"/>
    <w:rsid w:val="00496CD5"/>
    <w:rsid w:val="0049768E"/>
    <w:rsid w:val="004A070E"/>
    <w:rsid w:val="004A1B0D"/>
    <w:rsid w:val="004A2070"/>
    <w:rsid w:val="004A2FAE"/>
    <w:rsid w:val="004A3ED2"/>
    <w:rsid w:val="004A4982"/>
    <w:rsid w:val="004A732D"/>
    <w:rsid w:val="004A7887"/>
    <w:rsid w:val="004A7B50"/>
    <w:rsid w:val="004A7C28"/>
    <w:rsid w:val="004B08FC"/>
    <w:rsid w:val="004B244C"/>
    <w:rsid w:val="004B2D23"/>
    <w:rsid w:val="004B489F"/>
    <w:rsid w:val="004B52B3"/>
    <w:rsid w:val="004B5A65"/>
    <w:rsid w:val="004B5C58"/>
    <w:rsid w:val="004B6399"/>
    <w:rsid w:val="004C0CD5"/>
    <w:rsid w:val="004C1069"/>
    <w:rsid w:val="004C366C"/>
    <w:rsid w:val="004C37FF"/>
    <w:rsid w:val="004C6759"/>
    <w:rsid w:val="004D162B"/>
    <w:rsid w:val="004D1921"/>
    <w:rsid w:val="004D249E"/>
    <w:rsid w:val="004D282F"/>
    <w:rsid w:val="004D2858"/>
    <w:rsid w:val="004D3CFB"/>
    <w:rsid w:val="004E0FA5"/>
    <w:rsid w:val="004E131E"/>
    <w:rsid w:val="004E1822"/>
    <w:rsid w:val="004E229C"/>
    <w:rsid w:val="004E26CF"/>
    <w:rsid w:val="004E3E7D"/>
    <w:rsid w:val="004E4BA3"/>
    <w:rsid w:val="004E6363"/>
    <w:rsid w:val="004E6710"/>
    <w:rsid w:val="004E6FBE"/>
    <w:rsid w:val="004F0575"/>
    <w:rsid w:val="004F193D"/>
    <w:rsid w:val="004F24AD"/>
    <w:rsid w:val="004F2EB9"/>
    <w:rsid w:val="004F305B"/>
    <w:rsid w:val="004F3214"/>
    <w:rsid w:val="004F3B9C"/>
    <w:rsid w:val="004F4D1B"/>
    <w:rsid w:val="004F5D79"/>
    <w:rsid w:val="004F6F8B"/>
    <w:rsid w:val="004F7309"/>
    <w:rsid w:val="004F7C4F"/>
    <w:rsid w:val="004F7C5A"/>
    <w:rsid w:val="004F7E68"/>
    <w:rsid w:val="00500775"/>
    <w:rsid w:val="00500AC0"/>
    <w:rsid w:val="00504944"/>
    <w:rsid w:val="005053C9"/>
    <w:rsid w:val="00505B0A"/>
    <w:rsid w:val="00505F31"/>
    <w:rsid w:val="00506FCA"/>
    <w:rsid w:val="00510EB0"/>
    <w:rsid w:val="00511E57"/>
    <w:rsid w:val="00511FD7"/>
    <w:rsid w:val="0051425A"/>
    <w:rsid w:val="005146F9"/>
    <w:rsid w:val="005151EB"/>
    <w:rsid w:val="0051535D"/>
    <w:rsid w:val="00515EE5"/>
    <w:rsid w:val="00515EF3"/>
    <w:rsid w:val="005166FC"/>
    <w:rsid w:val="005167CD"/>
    <w:rsid w:val="00521E96"/>
    <w:rsid w:val="00522BAA"/>
    <w:rsid w:val="005234AC"/>
    <w:rsid w:val="00525A2F"/>
    <w:rsid w:val="005278AC"/>
    <w:rsid w:val="00527F7E"/>
    <w:rsid w:val="005315A3"/>
    <w:rsid w:val="0053187E"/>
    <w:rsid w:val="00531A76"/>
    <w:rsid w:val="0053263F"/>
    <w:rsid w:val="00532D7A"/>
    <w:rsid w:val="005345CD"/>
    <w:rsid w:val="005354DE"/>
    <w:rsid w:val="00535DA6"/>
    <w:rsid w:val="00536BD8"/>
    <w:rsid w:val="00541737"/>
    <w:rsid w:val="00541B49"/>
    <w:rsid w:val="00541D7E"/>
    <w:rsid w:val="00542A0D"/>
    <w:rsid w:val="00542DED"/>
    <w:rsid w:val="00545FD8"/>
    <w:rsid w:val="00546516"/>
    <w:rsid w:val="005468E9"/>
    <w:rsid w:val="00546EDF"/>
    <w:rsid w:val="005476BB"/>
    <w:rsid w:val="0055015E"/>
    <w:rsid w:val="00552132"/>
    <w:rsid w:val="005527D5"/>
    <w:rsid w:val="00552880"/>
    <w:rsid w:val="0055309F"/>
    <w:rsid w:val="005530FE"/>
    <w:rsid w:val="00553AC2"/>
    <w:rsid w:val="00553E6B"/>
    <w:rsid w:val="00554665"/>
    <w:rsid w:val="00554E99"/>
    <w:rsid w:val="005553DD"/>
    <w:rsid w:val="00556754"/>
    <w:rsid w:val="00557648"/>
    <w:rsid w:val="00561DC2"/>
    <w:rsid w:val="00562FD5"/>
    <w:rsid w:val="00563186"/>
    <w:rsid w:val="0056552C"/>
    <w:rsid w:val="005657BF"/>
    <w:rsid w:val="00570371"/>
    <w:rsid w:val="005707E0"/>
    <w:rsid w:val="00574582"/>
    <w:rsid w:val="00574777"/>
    <w:rsid w:val="00574CC1"/>
    <w:rsid w:val="00576FFD"/>
    <w:rsid w:val="005825C6"/>
    <w:rsid w:val="00582885"/>
    <w:rsid w:val="00583185"/>
    <w:rsid w:val="005831E3"/>
    <w:rsid w:val="00584921"/>
    <w:rsid w:val="00585198"/>
    <w:rsid w:val="00585F1B"/>
    <w:rsid w:val="0058630A"/>
    <w:rsid w:val="005864CE"/>
    <w:rsid w:val="00586E2B"/>
    <w:rsid w:val="00586FC3"/>
    <w:rsid w:val="00591B28"/>
    <w:rsid w:val="00592C00"/>
    <w:rsid w:val="00592F25"/>
    <w:rsid w:val="0059310B"/>
    <w:rsid w:val="005936E2"/>
    <w:rsid w:val="005A075B"/>
    <w:rsid w:val="005A0DD0"/>
    <w:rsid w:val="005A0E7D"/>
    <w:rsid w:val="005A196F"/>
    <w:rsid w:val="005A2653"/>
    <w:rsid w:val="005A36AE"/>
    <w:rsid w:val="005A3726"/>
    <w:rsid w:val="005A3934"/>
    <w:rsid w:val="005A4403"/>
    <w:rsid w:val="005A47D2"/>
    <w:rsid w:val="005A4B0F"/>
    <w:rsid w:val="005A61A6"/>
    <w:rsid w:val="005A7358"/>
    <w:rsid w:val="005A79D9"/>
    <w:rsid w:val="005B11B1"/>
    <w:rsid w:val="005B19E3"/>
    <w:rsid w:val="005B1A5F"/>
    <w:rsid w:val="005B22A0"/>
    <w:rsid w:val="005B2A68"/>
    <w:rsid w:val="005B2E24"/>
    <w:rsid w:val="005B2E8A"/>
    <w:rsid w:val="005B3715"/>
    <w:rsid w:val="005B4000"/>
    <w:rsid w:val="005B4707"/>
    <w:rsid w:val="005B583F"/>
    <w:rsid w:val="005B6F0F"/>
    <w:rsid w:val="005B71FE"/>
    <w:rsid w:val="005B7FD5"/>
    <w:rsid w:val="005C0030"/>
    <w:rsid w:val="005C1590"/>
    <w:rsid w:val="005C16B4"/>
    <w:rsid w:val="005C23CC"/>
    <w:rsid w:val="005C3128"/>
    <w:rsid w:val="005C3AFA"/>
    <w:rsid w:val="005C519E"/>
    <w:rsid w:val="005C5AFA"/>
    <w:rsid w:val="005C77E3"/>
    <w:rsid w:val="005C7CEC"/>
    <w:rsid w:val="005C7E66"/>
    <w:rsid w:val="005D0243"/>
    <w:rsid w:val="005D1809"/>
    <w:rsid w:val="005D2508"/>
    <w:rsid w:val="005D43E8"/>
    <w:rsid w:val="005D62D3"/>
    <w:rsid w:val="005D6984"/>
    <w:rsid w:val="005D7465"/>
    <w:rsid w:val="005D79B3"/>
    <w:rsid w:val="005D7FE4"/>
    <w:rsid w:val="005E10F4"/>
    <w:rsid w:val="005E4535"/>
    <w:rsid w:val="005E70AC"/>
    <w:rsid w:val="005E713D"/>
    <w:rsid w:val="005E76A8"/>
    <w:rsid w:val="005F1FE4"/>
    <w:rsid w:val="005F20E0"/>
    <w:rsid w:val="005F449B"/>
    <w:rsid w:val="005F47F0"/>
    <w:rsid w:val="005F489F"/>
    <w:rsid w:val="005F4AC9"/>
    <w:rsid w:val="005F50B1"/>
    <w:rsid w:val="005F51C8"/>
    <w:rsid w:val="005F54A6"/>
    <w:rsid w:val="005F5C48"/>
    <w:rsid w:val="005F6F5E"/>
    <w:rsid w:val="005F7412"/>
    <w:rsid w:val="005F76F1"/>
    <w:rsid w:val="00600293"/>
    <w:rsid w:val="0060118C"/>
    <w:rsid w:val="00601782"/>
    <w:rsid w:val="00601B0F"/>
    <w:rsid w:val="00604F61"/>
    <w:rsid w:val="00605754"/>
    <w:rsid w:val="00607D57"/>
    <w:rsid w:val="00610616"/>
    <w:rsid w:val="00610BBD"/>
    <w:rsid w:val="00612183"/>
    <w:rsid w:val="00615373"/>
    <w:rsid w:val="0061611B"/>
    <w:rsid w:val="00617319"/>
    <w:rsid w:val="0061747E"/>
    <w:rsid w:val="00617B01"/>
    <w:rsid w:val="00617C82"/>
    <w:rsid w:val="00617E12"/>
    <w:rsid w:val="00620D6A"/>
    <w:rsid w:val="006212DE"/>
    <w:rsid w:val="006222CF"/>
    <w:rsid w:val="00623CEE"/>
    <w:rsid w:val="00623FB7"/>
    <w:rsid w:val="0062417C"/>
    <w:rsid w:val="0062460E"/>
    <w:rsid w:val="006259AB"/>
    <w:rsid w:val="00625C34"/>
    <w:rsid w:val="00627D6F"/>
    <w:rsid w:val="00627E81"/>
    <w:rsid w:val="00630182"/>
    <w:rsid w:val="00630504"/>
    <w:rsid w:val="00631565"/>
    <w:rsid w:val="00633C11"/>
    <w:rsid w:val="006341AF"/>
    <w:rsid w:val="006348D7"/>
    <w:rsid w:val="00637049"/>
    <w:rsid w:val="00640890"/>
    <w:rsid w:val="00640AEB"/>
    <w:rsid w:val="00640CB5"/>
    <w:rsid w:val="00641042"/>
    <w:rsid w:val="006412F8"/>
    <w:rsid w:val="00643FA8"/>
    <w:rsid w:val="00645286"/>
    <w:rsid w:val="00645415"/>
    <w:rsid w:val="006461C6"/>
    <w:rsid w:val="0065005F"/>
    <w:rsid w:val="006503EB"/>
    <w:rsid w:val="006509E1"/>
    <w:rsid w:val="0065116F"/>
    <w:rsid w:val="0065148E"/>
    <w:rsid w:val="00651C89"/>
    <w:rsid w:val="00652325"/>
    <w:rsid w:val="0065351A"/>
    <w:rsid w:val="00654177"/>
    <w:rsid w:val="00654E30"/>
    <w:rsid w:val="006552D2"/>
    <w:rsid w:val="006553E6"/>
    <w:rsid w:val="00656667"/>
    <w:rsid w:val="006613FE"/>
    <w:rsid w:val="006629DD"/>
    <w:rsid w:val="00662A00"/>
    <w:rsid w:val="00663BC1"/>
    <w:rsid w:val="00664BB0"/>
    <w:rsid w:val="00664EBE"/>
    <w:rsid w:val="00665CD3"/>
    <w:rsid w:val="0066628F"/>
    <w:rsid w:val="00667584"/>
    <w:rsid w:val="00670377"/>
    <w:rsid w:val="0067134C"/>
    <w:rsid w:val="0067228E"/>
    <w:rsid w:val="00672F27"/>
    <w:rsid w:val="006730A4"/>
    <w:rsid w:val="006730CA"/>
    <w:rsid w:val="006734DC"/>
    <w:rsid w:val="00677B8E"/>
    <w:rsid w:val="00680F53"/>
    <w:rsid w:val="006823C9"/>
    <w:rsid w:val="00682AAA"/>
    <w:rsid w:val="00683DB1"/>
    <w:rsid w:val="00684781"/>
    <w:rsid w:val="0068487D"/>
    <w:rsid w:val="006856F1"/>
    <w:rsid w:val="00685850"/>
    <w:rsid w:val="00685DC3"/>
    <w:rsid w:val="00690057"/>
    <w:rsid w:val="006911C8"/>
    <w:rsid w:val="006915A7"/>
    <w:rsid w:val="00691E36"/>
    <w:rsid w:val="006923A3"/>
    <w:rsid w:val="00692C09"/>
    <w:rsid w:val="0069396F"/>
    <w:rsid w:val="006939DB"/>
    <w:rsid w:val="00693AFF"/>
    <w:rsid w:val="0069447F"/>
    <w:rsid w:val="00694FA6"/>
    <w:rsid w:val="00695987"/>
    <w:rsid w:val="0069635D"/>
    <w:rsid w:val="006968BC"/>
    <w:rsid w:val="006977B3"/>
    <w:rsid w:val="006A13F2"/>
    <w:rsid w:val="006A2514"/>
    <w:rsid w:val="006A4AEA"/>
    <w:rsid w:val="006A5AF6"/>
    <w:rsid w:val="006A5C90"/>
    <w:rsid w:val="006A757E"/>
    <w:rsid w:val="006A7D4C"/>
    <w:rsid w:val="006B011C"/>
    <w:rsid w:val="006B1E3B"/>
    <w:rsid w:val="006B2D82"/>
    <w:rsid w:val="006B489C"/>
    <w:rsid w:val="006B7A72"/>
    <w:rsid w:val="006C00C2"/>
    <w:rsid w:val="006C0BFD"/>
    <w:rsid w:val="006C17EB"/>
    <w:rsid w:val="006C3BB6"/>
    <w:rsid w:val="006C498A"/>
    <w:rsid w:val="006C58B9"/>
    <w:rsid w:val="006C722E"/>
    <w:rsid w:val="006C76D2"/>
    <w:rsid w:val="006C7D4B"/>
    <w:rsid w:val="006D0531"/>
    <w:rsid w:val="006D08B1"/>
    <w:rsid w:val="006D23BD"/>
    <w:rsid w:val="006D2F46"/>
    <w:rsid w:val="006D5378"/>
    <w:rsid w:val="006D6A3A"/>
    <w:rsid w:val="006D6A9B"/>
    <w:rsid w:val="006D7AB0"/>
    <w:rsid w:val="006D7AF3"/>
    <w:rsid w:val="006E07CE"/>
    <w:rsid w:val="006E17F0"/>
    <w:rsid w:val="006E2449"/>
    <w:rsid w:val="006E2581"/>
    <w:rsid w:val="006E2C48"/>
    <w:rsid w:val="006E2CE6"/>
    <w:rsid w:val="006E3235"/>
    <w:rsid w:val="006E3F95"/>
    <w:rsid w:val="006E46B1"/>
    <w:rsid w:val="006E4D3F"/>
    <w:rsid w:val="006E62FC"/>
    <w:rsid w:val="006E747E"/>
    <w:rsid w:val="006E74BE"/>
    <w:rsid w:val="006E78EB"/>
    <w:rsid w:val="006E7AD5"/>
    <w:rsid w:val="006F0558"/>
    <w:rsid w:val="006F1138"/>
    <w:rsid w:val="006F1885"/>
    <w:rsid w:val="006F2461"/>
    <w:rsid w:val="006F285E"/>
    <w:rsid w:val="006F2CDB"/>
    <w:rsid w:val="006F488A"/>
    <w:rsid w:val="006F51CD"/>
    <w:rsid w:val="006F53C1"/>
    <w:rsid w:val="006F6C19"/>
    <w:rsid w:val="006F6EE3"/>
    <w:rsid w:val="006F73D2"/>
    <w:rsid w:val="00702BE3"/>
    <w:rsid w:val="00704D43"/>
    <w:rsid w:val="00704F3F"/>
    <w:rsid w:val="00706038"/>
    <w:rsid w:val="007060D2"/>
    <w:rsid w:val="00706D7A"/>
    <w:rsid w:val="007073CA"/>
    <w:rsid w:val="0071067E"/>
    <w:rsid w:val="007147AC"/>
    <w:rsid w:val="00716145"/>
    <w:rsid w:val="007161D7"/>
    <w:rsid w:val="007173C3"/>
    <w:rsid w:val="00721E68"/>
    <w:rsid w:val="00721ED0"/>
    <w:rsid w:val="00722462"/>
    <w:rsid w:val="0072511C"/>
    <w:rsid w:val="00725686"/>
    <w:rsid w:val="00725CB3"/>
    <w:rsid w:val="00727D04"/>
    <w:rsid w:val="00731069"/>
    <w:rsid w:val="00731F3C"/>
    <w:rsid w:val="00732CB0"/>
    <w:rsid w:val="00733BE5"/>
    <w:rsid w:val="007344C1"/>
    <w:rsid w:val="007355A5"/>
    <w:rsid w:val="00736326"/>
    <w:rsid w:val="00736341"/>
    <w:rsid w:val="007364E9"/>
    <w:rsid w:val="00737626"/>
    <w:rsid w:val="007376A4"/>
    <w:rsid w:val="0074048C"/>
    <w:rsid w:val="0074198E"/>
    <w:rsid w:val="00741F64"/>
    <w:rsid w:val="00743A70"/>
    <w:rsid w:val="007444D7"/>
    <w:rsid w:val="007449A3"/>
    <w:rsid w:val="007457F3"/>
    <w:rsid w:val="00747B55"/>
    <w:rsid w:val="00747D95"/>
    <w:rsid w:val="007503A1"/>
    <w:rsid w:val="007511E0"/>
    <w:rsid w:val="0075218F"/>
    <w:rsid w:val="007521B4"/>
    <w:rsid w:val="0075230D"/>
    <w:rsid w:val="0075345E"/>
    <w:rsid w:val="00754CA7"/>
    <w:rsid w:val="0075612C"/>
    <w:rsid w:val="0075640C"/>
    <w:rsid w:val="00756511"/>
    <w:rsid w:val="00757391"/>
    <w:rsid w:val="00757473"/>
    <w:rsid w:val="007574F7"/>
    <w:rsid w:val="00757975"/>
    <w:rsid w:val="00761D4E"/>
    <w:rsid w:val="007625B4"/>
    <w:rsid w:val="00763072"/>
    <w:rsid w:val="007636B2"/>
    <w:rsid w:val="00765424"/>
    <w:rsid w:val="00766562"/>
    <w:rsid w:val="00770111"/>
    <w:rsid w:val="007716E5"/>
    <w:rsid w:val="00775E29"/>
    <w:rsid w:val="0077662D"/>
    <w:rsid w:val="00777E33"/>
    <w:rsid w:val="00781110"/>
    <w:rsid w:val="007828D0"/>
    <w:rsid w:val="00784E87"/>
    <w:rsid w:val="007857CA"/>
    <w:rsid w:val="00786C50"/>
    <w:rsid w:val="00786E76"/>
    <w:rsid w:val="00790229"/>
    <w:rsid w:val="00790933"/>
    <w:rsid w:val="007915B0"/>
    <w:rsid w:val="00793135"/>
    <w:rsid w:val="007946C1"/>
    <w:rsid w:val="007965CC"/>
    <w:rsid w:val="00796C6D"/>
    <w:rsid w:val="0079732D"/>
    <w:rsid w:val="00797DEF"/>
    <w:rsid w:val="007A04A0"/>
    <w:rsid w:val="007A1690"/>
    <w:rsid w:val="007A1AE0"/>
    <w:rsid w:val="007A3EC8"/>
    <w:rsid w:val="007A4F27"/>
    <w:rsid w:val="007A6867"/>
    <w:rsid w:val="007A6A33"/>
    <w:rsid w:val="007B0205"/>
    <w:rsid w:val="007B0EBE"/>
    <w:rsid w:val="007B1510"/>
    <w:rsid w:val="007B1E2E"/>
    <w:rsid w:val="007B33D6"/>
    <w:rsid w:val="007B4264"/>
    <w:rsid w:val="007B43E9"/>
    <w:rsid w:val="007B6126"/>
    <w:rsid w:val="007B628D"/>
    <w:rsid w:val="007B663F"/>
    <w:rsid w:val="007B6896"/>
    <w:rsid w:val="007B6E26"/>
    <w:rsid w:val="007B71CF"/>
    <w:rsid w:val="007B7DFC"/>
    <w:rsid w:val="007C012C"/>
    <w:rsid w:val="007C04BF"/>
    <w:rsid w:val="007C08A8"/>
    <w:rsid w:val="007C13B5"/>
    <w:rsid w:val="007C1D0A"/>
    <w:rsid w:val="007C2716"/>
    <w:rsid w:val="007C2854"/>
    <w:rsid w:val="007C299B"/>
    <w:rsid w:val="007C3F17"/>
    <w:rsid w:val="007C541F"/>
    <w:rsid w:val="007C5D11"/>
    <w:rsid w:val="007C5EEB"/>
    <w:rsid w:val="007C6874"/>
    <w:rsid w:val="007C6F59"/>
    <w:rsid w:val="007D440C"/>
    <w:rsid w:val="007D452A"/>
    <w:rsid w:val="007D4AC6"/>
    <w:rsid w:val="007D510B"/>
    <w:rsid w:val="007D6EA0"/>
    <w:rsid w:val="007E14CA"/>
    <w:rsid w:val="007E1910"/>
    <w:rsid w:val="007E1990"/>
    <w:rsid w:val="007E378F"/>
    <w:rsid w:val="007E3A0B"/>
    <w:rsid w:val="007E3CEB"/>
    <w:rsid w:val="007E4B54"/>
    <w:rsid w:val="007E4D18"/>
    <w:rsid w:val="007E6A9F"/>
    <w:rsid w:val="007E6FBA"/>
    <w:rsid w:val="007E75C5"/>
    <w:rsid w:val="007F040A"/>
    <w:rsid w:val="007F1082"/>
    <w:rsid w:val="007F2DE5"/>
    <w:rsid w:val="007F39A1"/>
    <w:rsid w:val="007F5058"/>
    <w:rsid w:val="007F71F0"/>
    <w:rsid w:val="007F77E1"/>
    <w:rsid w:val="007F79F5"/>
    <w:rsid w:val="007F7A13"/>
    <w:rsid w:val="00802677"/>
    <w:rsid w:val="00802AB0"/>
    <w:rsid w:val="00802F71"/>
    <w:rsid w:val="00803213"/>
    <w:rsid w:val="00803E4F"/>
    <w:rsid w:val="0080415B"/>
    <w:rsid w:val="008043DC"/>
    <w:rsid w:val="00806850"/>
    <w:rsid w:val="00807336"/>
    <w:rsid w:val="00813AD2"/>
    <w:rsid w:val="008146D3"/>
    <w:rsid w:val="00814F4D"/>
    <w:rsid w:val="008152A0"/>
    <w:rsid w:val="0081697B"/>
    <w:rsid w:val="00817241"/>
    <w:rsid w:val="00817A13"/>
    <w:rsid w:val="008251D4"/>
    <w:rsid w:val="00825455"/>
    <w:rsid w:val="008255A3"/>
    <w:rsid w:val="00826813"/>
    <w:rsid w:val="00834EEF"/>
    <w:rsid w:val="00836013"/>
    <w:rsid w:val="00836A7A"/>
    <w:rsid w:val="00842137"/>
    <w:rsid w:val="0084233F"/>
    <w:rsid w:val="008423D9"/>
    <w:rsid w:val="0084267A"/>
    <w:rsid w:val="008441EC"/>
    <w:rsid w:val="0084557F"/>
    <w:rsid w:val="0084590C"/>
    <w:rsid w:val="008470AC"/>
    <w:rsid w:val="0084772E"/>
    <w:rsid w:val="00855577"/>
    <w:rsid w:val="00855832"/>
    <w:rsid w:val="00856A9B"/>
    <w:rsid w:val="00861847"/>
    <w:rsid w:val="00861D6D"/>
    <w:rsid w:val="0086215A"/>
    <w:rsid w:val="008625C7"/>
    <w:rsid w:val="00863419"/>
    <w:rsid w:val="00863D0C"/>
    <w:rsid w:val="00866226"/>
    <w:rsid w:val="0087022A"/>
    <w:rsid w:val="0087096E"/>
    <w:rsid w:val="0087111C"/>
    <w:rsid w:val="0087147A"/>
    <w:rsid w:val="00871CDC"/>
    <w:rsid w:val="00872472"/>
    <w:rsid w:val="00873425"/>
    <w:rsid w:val="00877BF5"/>
    <w:rsid w:val="0088147A"/>
    <w:rsid w:val="00882BF7"/>
    <w:rsid w:val="00882C8F"/>
    <w:rsid w:val="00882D04"/>
    <w:rsid w:val="00884917"/>
    <w:rsid w:val="0088681B"/>
    <w:rsid w:val="00886D76"/>
    <w:rsid w:val="00887206"/>
    <w:rsid w:val="00887706"/>
    <w:rsid w:val="0089181E"/>
    <w:rsid w:val="0089572A"/>
    <w:rsid w:val="008958F5"/>
    <w:rsid w:val="00897386"/>
    <w:rsid w:val="0089797F"/>
    <w:rsid w:val="008A02DB"/>
    <w:rsid w:val="008A2660"/>
    <w:rsid w:val="008A35BE"/>
    <w:rsid w:val="008A3E2F"/>
    <w:rsid w:val="008A46F7"/>
    <w:rsid w:val="008A560A"/>
    <w:rsid w:val="008A6B8E"/>
    <w:rsid w:val="008A7E5E"/>
    <w:rsid w:val="008B3C23"/>
    <w:rsid w:val="008B3D37"/>
    <w:rsid w:val="008B54D7"/>
    <w:rsid w:val="008B57CD"/>
    <w:rsid w:val="008B5E77"/>
    <w:rsid w:val="008B5E94"/>
    <w:rsid w:val="008B6A4E"/>
    <w:rsid w:val="008C0630"/>
    <w:rsid w:val="008C3631"/>
    <w:rsid w:val="008C4B00"/>
    <w:rsid w:val="008C5683"/>
    <w:rsid w:val="008C748A"/>
    <w:rsid w:val="008C74AF"/>
    <w:rsid w:val="008D02C8"/>
    <w:rsid w:val="008D0DE3"/>
    <w:rsid w:val="008D1E9D"/>
    <w:rsid w:val="008D267D"/>
    <w:rsid w:val="008D2A93"/>
    <w:rsid w:val="008D3380"/>
    <w:rsid w:val="008D5F9D"/>
    <w:rsid w:val="008D72FE"/>
    <w:rsid w:val="008D7A9C"/>
    <w:rsid w:val="008E004E"/>
    <w:rsid w:val="008E2AD5"/>
    <w:rsid w:val="008E389D"/>
    <w:rsid w:val="008E4609"/>
    <w:rsid w:val="008E5310"/>
    <w:rsid w:val="008E5FAD"/>
    <w:rsid w:val="008E61A9"/>
    <w:rsid w:val="008E673D"/>
    <w:rsid w:val="008F1533"/>
    <w:rsid w:val="008F1D46"/>
    <w:rsid w:val="008F3DCD"/>
    <w:rsid w:val="008F51A5"/>
    <w:rsid w:val="008F6925"/>
    <w:rsid w:val="008F6F19"/>
    <w:rsid w:val="008F72EF"/>
    <w:rsid w:val="008F730B"/>
    <w:rsid w:val="008F7A5D"/>
    <w:rsid w:val="00900D9A"/>
    <w:rsid w:val="00901DE2"/>
    <w:rsid w:val="0090236C"/>
    <w:rsid w:val="009026AD"/>
    <w:rsid w:val="00903D22"/>
    <w:rsid w:val="0090541D"/>
    <w:rsid w:val="009054B8"/>
    <w:rsid w:val="009101C1"/>
    <w:rsid w:val="00910519"/>
    <w:rsid w:val="00910B88"/>
    <w:rsid w:val="00911107"/>
    <w:rsid w:val="0091331B"/>
    <w:rsid w:val="00913443"/>
    <w:rsid w:val="00913919"/>
    <w:rsid w:val="00914219"/>
    <w:rsid w:val="0091458B"/>
    <w:rsid w:val="009149DA"/>
    <w:rsid w:val="00914C82"/>
    <w:rsid w:val="00915FF3"/>
    <w:rsid w:val="00917D96"/>
    <w:rsid w:val="00920A97"/>
    <w:rsid w:val="00921BBA"/>
    <w:rsid w:val="00923521"/>
    <w:rsid w:val="00923BFF"/>
    <w:rsid w:val="00924654"/>
    <w:rsid w:val="0092580E"/>
    <w:rsid w:val="009261BF"/>
    <w:rsid w:val="009268CF"/>
    <w:rsid w:val="00926B75"/>
    <w:rsid w:val="009276A8"/>
    <w:rsid w:val="009301E4"/>
    <w:rsid w:val="00930A61"/>
    <w:rsid w:val="00930D70"/>
    <w:rsid w:val="00932FB4"/>
    <w:rsid w:val="009335A7"/>
    <w:rsid w:val="00934652"/>
    <w:rsid w:val="00934E60"/>
    <w:rsid w:val="0093621F"/>
    <w:rsid w:val="009375C4"/>
    <w:rsid w:val="00937DD0"/>
    <w:rsid w:val="00940C26"/>
    <w:rsid w:val="00940ED1"/>
    <w:rsid w:val="0094161D"/>
    <w:rsid w:val="00942C2C"/>
    <w:rsid w:val="00943987"/>
    <w:rsid w:val="00944FFC"/>
    <w:rsid w:val="00950149"/>
    <w:rsid w:val="00951B84"/>
    <w:rsid w:val="00952A67"/>
    <w:rsid w:val="00956908"/>
    <w:rsid w:val="0095717A"/>
    <w:rsid w:val="00957DE8"/>
    <w:rsid w:val="00960790"/>
    <w:rsid w:val="00960E06"/>
    <w:rsid w:val="00961428"/>
    <w:rsid w:val="00963271"/>
    <w:rsid w:val="009639A1"/>
    <w:rsid w:val="00966D4C"/>
    <w:rsid w:val="009674BE"/>
    <w:rsid w:val="00970037"/>
    <w:rsid w:val="009719EB"/>
    <w:rsid w:val="00973A76"/>
    <w:rsid w:val="00975B67"/>
    <w:rsid w:val="00976557"/>
    <w:rsid w:val="0097741C"/>
    <w:rsid w:val="00977562"/>
    <w:rsid w:val="0097795F"/>
    <w:rsid w:val="009828B4"/>
    <w:rsid w:val="00982F4D"/>
    <w:rsid w:val="00985A6C"/>
    <w:rsid w:val="00985FB9"/>
    <w:rsid w:val="009869B9"/>
    <w:rsid w:val="009873DE"/>
    <w:rsid w:val="009915BB"/>
    <w:rsid w:val="00993AF9"/>
    <w:rsid w:val="0099454B"/>
    <w:rsid w:val="0099627A"/>
    <w:rsid w:val="009975EF"/>
    <w:rsid w:val="00997DE3"/>
    <w:rsid w:val="009A5600"/>
    <w:rsid w:val="009A718F"/>
    <w:rsid w:val="009B0593"/>
    <w:rsid w:val="009B2F53"/>
    <w:rsid w:val="009B5C2D"/>
    <w:rsid w:val="009B6178"/>
    <w:rsid w:val="009B6658"/>
    <w:rsid w:val="009B6D0A"/>
    <w:rsid w:val="009B756E"/>
    <w:rsid w:val="009C03D7"/>
    <w:rsid w:val="009C25BA"/>
    <w:rsid w:val="009C3E03"/>
    <w:rsid w:val="009C40F6"/>
    <w:rsid w:val="009C42D4"/>
    <w:rsid w:val="009C48AA"/>
    <w:rsid w:val="009C4AFD"/>
    <w:rsid w:val="009C7CA6"/>
    <w:rsid w:val="009C7DED"/>
    <w:rsid w:val="009D297C"/>
    <w:rsid w:val="009D2CDA"/>
    <w:rsid w:val="009D6249"/>
    <w:rsid w:val="009D6CAB"/>
    <w:rsid w:val="009D71F5"/>
    <w:rsid w:val="009D7643"/>
    <w:rsid w:val="009E296C"/>
    <w:rsid w:val="009E3F8B"/>
    <w:rsid w:val="009E3FE4"/>
    <w:rsid w:val="009E4D06"/>
    <w:rsid w:val="009E6666"/>
    <w:rsid w:val="009E6B13"/>
    <w:rsid w:val="009E6C38"/>
    <w:rsid w:val="009E74F3"/>
    <w:rsid w:val="009E7ABE"/>
    <w:rsid w:val="009F0213"/>
    <w:rsid w:val="009F0DD2"/>
    <w:rsid w:val="009F0F68"/>
    <w:rsid w:val="009F14AA"/>
    <w:rsid w:val="009F29D6"/>
    <w:rsid w:val="009F2B3A"/>
    <w:rsid w:val="009F4D27"/>
    <w:rsid w:val="009F5CA3"/>
    <w:rsid w:val="009F61B2"/>
    <w:rsid w:val="009F683A"/>
    <w:rsid w:val="00A00AE9"/>
    <w:rsid w:val="00A01C46"/>
    <w:rsid w:val="00A01FB1"/>
    <w:rsid w:val="00A047DC"/>
    <w:rsid w:val="00A04A8C"/>
    <w:rsid w:val="00A11B77"/>
    <w:rsid w:val="00A124DF"/>
    <w:rsid w:val="00A128E0"/>
    <w:rsid w:val="00A12AD7"/>
    <w:rsid w:val="00A1312D"/>
    <w:rsid w:val="00A13BC5"/>
    <w:rsid w:val="00A14D97"/>
    <w:rsid w:val="00A16C28"/>
    <w:rsid w:val="00A171B4"/>
    <w:rsid w:val="00A1777E"/>
    <w:rsid w:val="00A17C8F"/>
    <w:rsid w:val="00A20362"/>
    <w:rsid w:val="00A20614"/>
    <w:rsid w:val="00A21327"/>
    <w:rsid w:val="00A21E8B"/>
    <w:rsid w:val="00A223C2"/>
    <w:rsid w:val="00A26A7D"/>
    <w:rsid w:val="00A27724"/>
    <w:rsid w:val="00A27E65"/>
    <w:rsid w:val="00A27EEB"/>
    <w:rsid w:val="00A34447"/>
    <w:rsid w:val="00A348F7"/>
    <w:rsid w:val="00A3544C"/>
    <w:rsid w:val="00A37371"/>
    <w:rsid w:val="00A40343"/>
    <w:rsid w:val="00A40760"/>
    <w:rsid w:val="00A415F3"/>
    <w:rsid w:val="00A416E7"/>
    <w:rsid w:val="00A4197A"/>
    <w:rsid w:val="00A423F8"/>
    <w:rsid w:val="00A435B7"/>
    <w:rsid w:val="00A43CEB"/>
    <w:rsid w:val="00A440F7"/>
    <w:rsid w:val="00A44FCA"/>
    <w:rsid w:val="00A45044"/>
    <w:rsid w:val="00A4547C"/>
    <w:rsid w:val="00A459EE"/>
    <w:rsid w:val="00A50462"/>
    <w:rsid w:val="00A50BA2"/>
    <w:rsid w:val="00A51AFC"/>
    <w:rsid w:val="00A54024"/>
    <w:rsid w:val="00A5428B"/>
    <w:rsid w:val="00A54DFA"/>
    <w:rsid w:val="00A552A0"/>
    <w:rsid w:val="00A5540B"/>
    <w:rsid w:val="00A556BC"/>
    <w:rsid w:val="00A60436"/>
    <w:rsid w:val="00A60C9B"/>
    <w:rsid w:val="00A619FF"/>
    <w:rsid w:val="00A621C5"/>
    <w:rsid w:val="00A63CB1"/>
    <w:rsid w:val="00A646A6"/>
    <w:rsid w:val="00A64B39"/>
    <w:rsid w:val="00A65348"/>
    <w:rsid w:val="00A6568B"/>
    <w:rsid w:val="00A662CA"/>
    <w:rsid w:val="00A700C1"/>
    <w:rsid w:val="00A71155"/>
    <w:rsid w:val="00A71750"/>
    <w:rsid w:val="00A72050"/>
    <w:rsid w:val="00A73684"/>
    <w:rsid w:val="00A736AD"/>
    <w:rsid w:val="00A73900"/>
    <w:rsid w:val="00A74CA3"/>
    <w:rsid w:val="00A773C2"/>
    <w:rsid w:val="00A77C28"/>
    <w:rsid w:val="00A81823"/>
    <w:rsid w:val="00A81829"/>
    <w:rsid w:val="00A8257C"/>
    <w:rsid w:val="00A83458"/>
    <w:rsid w:val="00A8349D"/>
    <w:rsid w:val="00A84448"/>
    <w:rsid w:val="00A848CA"/>
    <w:rsid w:val="00A8710E"/>
    <w:rsid w:val="00A87FBA"/>
    <w:rsid w:val="00A901F7"/>
    <w:rsid w:val="00A91005"/>
    <w:rsid w:val="00A912AD"/>
    <w:rsid w:val="00A945DD"/>
    <w:rsid w:val="00A94898"/>
    <w:rsid w:val="00A94B27"/>
    <w:rsid w:val="00A94B69"/>
    <w:rsid w:val="00A94C40"/>
    <w:rsid w:val="00A94FB1"/>
    <w:rsid w:val="00A95687"/>
    <w:rsid w:val="00A9680C"/>
    <w:rsid w:val="00A97031"/>
    <w:rsid w:val="00A97775"/>
    <w:rsid w:val="00A97E05"/>
    <w:rsid w:val="00AA0200"/>
    <w:rsid w:val="00AA02BE"/>
    <w:rsid w:val="00AA1ABB"/>
    <w:rsid w:val="00AA1C23"/>
    <w:rsid w:val="00AA4361"/>
    <w:rsid w:val="00AA4700"/>
    <w:rsid w:val="00AA4C43"/>
    <w:rsid w:val="00AA672B"/>
    <w:rsid w:val="00AB2871"/>
    <w:rsid w:val="00AB2A08"/>
    <w:rsid w:val="00AB2A35"/>
    <w:rsid w:val="00AB2BD5"/>
    <w:rsid w:val="00AB3145"/>
    <w:rsid w:val="00AB317D"/>
    <w:rsid w:val="00AB3751"/>
    <w:rsid w:val="00AB4A16"/>
    <w:rsid w:val="00AB51B3"/>
    <w:rsid w:val="00AB5DBA"/>
    <w:rsid w:val="00AB5EF9"/>
    <w:rsid w:val="00AB6A3E"/>
    <w:rsid w:val="00AB6D16"/>
    <w:rsid w:val="00AB720B"/>
    <w:rsid w:val="00AC1C92"/>
    <w:rsid w:val="00AC3302"/>
    <w:rsid w:val="00AC6E70"/>
    <w:rsid w:val="00AC74BF"/>
    <w:rsid w:val="00AD01D4"/>
    <w:rsid w:val="00AD20C4"/>
    <w:rsid w:val="00AD385A"/>
    <w:rsid w:val="00AD3FC7"/>
    <w:rsid w:val="00AD47C8"/>
    <w:rsid w:val="00AD5D1E"/>
    <w:rsid w:val="00AD6081"/>
    <w:rsid w:val="00AD72EB"/>
    <w:rsid w:val="00AE02A9"/>
    <w:rsid w:val="00AE0954"/>
    <w:rsid w:val="00AE130E"/>
    <w:rsid w:val="00AE161C"/>
    <w:rsid w:val="00AE4A3B"/>
    <w:rsid w:val="00AE51B0"/>
    <w:rsid w:val="00AE5F1F"/>
    <w:rsid w:val="00AE67E5"/>
    <w:rsid w:val="00AF1295"/>
    <w:rsid w:val="00AF1588"/>
    <w:rsid w:val="00AF22E0"/>
    <w:rsid w:val="00AF2438"/>
    <w:rsid w:val="00AF3224"/>
    <w:rsid w:val="00AF4B5B"/>
    <w:rsid w:val="00B02254"/>
    <w:rsid w:val="00B04E1D"/>
    <w:rsid w:val="00B05826"/>
    <w:rsid w:val="00B059F4"/>
    <w:rsid w:val="00B0621B"/>
    <w:rsid w:val="00B0638F"/>
    <w:rsid w:val="00B07F2F"/>
    <w:rsid w:val="00B10ABF"/>
    <w:rsid w:val="00B12831"/>
    <w:rsid w:val="00B13683"/>
    <w:rsid w:val="00B13CBF"/>
    <w:rsid w:val="00B13E9E"/>
    <w:rsid w:val="00B14E75"/>
    <w:rsid w:val="00B15173"/>
    <w:rsid w:val="00B15E51"/>
    <w:rsid w:val="00B16183"/>
    <w:rsid w:val="00B167C9"/>
    <w:rsid w:val="00B20452"/>
    <w:rsid w:val="00B20740"/>
    <w:rsid w:val="00B2088A"/>
    <w:rsid w:val="00B2323D"/>
    <w:rsid w:val="00B2366B"/>
    <w:rsid w:val="00B23916"/>
    <w:rsid w:val="00B2428A"/>
    <w:rsid w:val="00B2652E"/>
    <w:rsid w:val="00B26A9F"/>
    <w:rsid w:val="00B273F1"/>
    <w:rsid w:val="00B274E3"/>
    <w:rsid w:val="00B300A5"/>
    <w:rsid w:val="00B34B22"/>
    <w:rsid w:val="00B34D80"/>
    <w:rsid w:val="00B3682F"/>
    <w:rsid w:val="00B369DB"/>
    <w:rsid w:val="00B408B8"/>
    <w:rsid w:val="00B40F0D"/>
    <w:rsid w:val="00B438A2"/>
    <w:rsid w:val="00B469A4"/>
    <w:rsid w:val="00B4732C"/>
    <w:rsid w:val="00B51B59"/>
    <w:rsid w:val="00B51C9E"/>
    <w:rsid w:val="00B51D27"/>
    <w:rsid w:val="00B53B19"/>
    <w:rsid w:val="00B53FB6"/>
    <w:rsid w:val="00B54AA4"/>
    <w:rsid w:val="00B56EAB"/>
    <w:rsid w:val="00B573B8"/>
    <w:rsid w:val="00B575A6"/>
    <w:rsid w:val="00B615F5"/>
    <w:rsid w:val="00B61E76"/>
    <w:rsid w:val="00B62512"/>
    <w:rsid w:val="00B637DC"/>
    <w:rsid w:val="00B63876"/>
    <w:rsid w:val="00B64A69"/>
    <w:rsid w:val="00B703C9"/>
    <w:rsid w:val="00B708D8"/>
    <w:rsid w:val="00B7155D"/>
    <w:rsid w:val="00B71C5F"/>
    <w:rsid w:val="00B728BB"/>
    <w:rsid w:val="00B73B3C"/>
    <w:rsid w:val="00B740AE"/>
    <w:rsid w:val="00B74A90"/>
    <w:rsid w:val="00B76BB1"/>
    <w:rsid w:val="00B80BB1"/>
    <w:rsid w:val="00B80E7E"/>
    <w:rsid w:val="00B81EC6"/>
    <w:rsid w:val="00B82083"/>
    <w:rsid w:val="00B83CEA"/>
    <w:rsid w:val="00B84AA6"/>
    <w:rsid w:val="00B855A5"/>
    <w:rsid w:val="00B8715D"/>
    <w:rsid w:val="00B92AAF"/>
    <w:rsid w:val="00B92CE2"/>
    <w:rsid w:val="00B953CD"/>
    <w:rsid w:val="00B95544"/>
    <w:rsid w:val="00B96459"/>
    <w:rsid w:val="00B96E1A"/>
    <w:rsid w:val="00B97CDB"/>
    <w:rsid w:val="00B97D84"/>
    <w:rsid w:val="00BA02C4"/>
    <w:rsid w:val="00BA06DE"/>
    <w:rsid w:val="00BA13FA"/>
    <w:rsid w:val="00BA2610"/>
    <w:rsid w:val="00BA2C35"/>
    <w:rsid w:val="00BA3189"/>
    <w:rsid w:val="00BA4E56"/>
    <w:rsid w:val="00BA5209"/>
    <w:rsid w:val="00BA7388"/>
    <w:rsid w:val="00BB29A0"/>
    <w:rsid w:val="00BB3A70"/>
    <w:rsid w:val="00BB48F2"/>
    <w:rsid w:val="00BB4F06"/>
    <w:rsid w:val="00BB564A"/>
    <w:rsid w:val="00BB6646"/>
    <w:rsid w:val="00BB7194"/>
    <w:rsid w:val="00BB7E4E"/>
    <w:rsid w:val="00BB7F5E"/>
    <w:rsid w:val="00BC21FF"/>
    <w:rsid w:val="00BC38C0"/>
    <w:rsid w:val="00BC4190"/>
    <w:rsid w:val="00BC429B"/>
    <w:rsid w:val="00BC5685"/>
    <w:rsid w:val="00BC7C40"/>
    <w:rsid w:val="00BD107F"/>
    <w:rsid w:val="00BD2868"/>
    <w:rsid w:val="00BD3873"/>
    <w:rsid w:val="00BD3C3F"/>
    <w:rsid w:val="00BD4955"/>
    <w:rsid w:val="00BD56EE"/>
    <w:rsid w:val="00BD6AB1"/>
    <w:rsid w:val="00BE00AE"/>
    <w:rsid w:val="00BE0C25"/>
    <w:rsid w:val="00BE0E79"/>
    <w:rsid w:val="00BE1010"/>
    <w:rsid w:val="00BF0F1D"/>
    <w:rsid w:val="00BF2453"/>
    <w:rsid w:val="00BF252F"/>
    <w:rsid w:val="00BF29BD"/>
    <w:rsid w:val="00BF303B"/>
    <w:rsid w:val="00BF3A9B"/>
    <w:rsid w:val="00BF41B3"/>
    <w:rsid w:val="00BF52B7"/>
    <w:rsid w:val="00BF6684"/>
    <w:rsid w:val="00BF739E"/>
    <w:rsid w:val="00BF7442"/>
    <w:rsid w:val="00BF76F9"/>
    <w:rsid w:val="00BF7DC4"/>
    <w:rsid w:val="00BF7E77"/>
    <w:rsid w:val="00C00EB6"/>
    <w:rsid w:val="00C02CDD"/>
    <w:rsid w:val="00C035D4"/>
    <w:rsid w:val="00C04555"/>
    <w:rsid w:val="00C048D5"/>
    <w:rsid w:val="00C05D98"/>
    <w:rsid w:val="00C0668E"/>
    <w:rsid w:val="00C076D8"/>
    <w:rsid w:val="00C1140D"/>
    <w:rsid w:val="00C11C36"/>
    <w:rsid w:val="00C1234B"/>
    <w:rsid w:val="00C13FD0"/>
    <w:rsid w:val="00C1647E"/>
    <w:rsid w:val="00C16FED"/>
    <w:rsid w:val="00C173FB"/>
    <w:rsid w:val="00C17C0C"/>
    <w:rsid w:val="00C17C46"/>
    <w:rsid w:val="00C203B8"/>
    <w:rsid w:val="00C20400"/>
    <w:rsid w:val="00C2056C"/>
    <w:rsid w:val="00C209BD"/>
    <w:rsid w:val="00C22117"/>
    <w:rsid w:val="00C244C2"/>
    <w:rsid w:val="00C24756"/>
    <w:rsid w:val="00C24764"/>
    <w:rsid w:val="00C26D03"/>
    <w:rsid w:val="00C26EC5"/>
    <w:rsid w:val="00C30ADD"/>
    <w:rsid w:val="00C319FD"/>
    <w:rsid w:val="00C32130"/>
    <w:rsid w:val="00C3338E"/>
    <w:rsid w:val="00C34BD8"/>
    <w:rsid w:val="00C364B0"/>
    <w:rsid w:val="00C3714A"/>
    <w:rsid w:val="00C41A7D"/>
    <w:rsid w:val="00C422C2"/>
    <w:rsid w:val="00C426E1"/>
    <w:rsid w:val="00C42A87"/>
    <w:rsid w:val="00C44494"/>
    <w:rsid w:val="00C44B37"/>
    <w:rsid w:val="00C4514F"/>
    <w:rsid w:val="00C45893"/>
    <w:rsid w:val="00C46213"/>
    <w:rsid w:val="00C46BF5"/>
    <w:rsid w:val="00C50234"/>
    <w:rsid w:val="00C507E6"/>
    <w:rsid w:val="00C5177F"/>
    <w:rsid w:val="00C52C62"/>
    <w:rsid w:val="00C53499"/>
    <w:rsid w:val="00C57973"/>
    <w:rsid w:val="00C57BB8"/>
    <w:rsid w:val="00C57C50"/>
    <w:rsid w:val="00C60B36"/>
    <w:rsid w:val="00C61328"/>
    <w:rsid w:val="00C626DC"/>
    <w:rsid w:val="00C63BB4"/>
    <w:rsid w:val="00C6442A"/>
    <w:rsid w:val="00C64D9E"/>
    <w:rsid w:val="00C659CE"/>
    <w:rsid w:val="00C66EFD"/>
    <w:rsid w:val="00C675A6"/>
    <w:rsid w:val="00C703BD"/>
    <w:rsid w:val="00C71456"/>
    <w:rsid w:val="00C71599"/>
    <w:rsid w:val="00C71DCD"/>
    <w:rsid w:val="00C720A9"/>
    <w:rsid w:val="00C73244"/>
    <w:rsid w:val="00C75470"/>
    <w:rsid w:val="00C75C88"/>
    <w:rsid w:val="00C75DC6"/>
    <w:rsid w:val="00C76992"/>
    <w:rsid w:val="00C774D6"/>
    <w:rsid w:val="00C7769A"/>
    <w:rsid w:val="00C77A03"/>
    <w:rsid w:val="00C77D83"/>
    <w:rsid w:val="00C8015D"/>
    <w:rsid w:val="00C80213"/>
    <w:rsid w:val="00C80A7A"/>
    <w:rsid w:val="00C80B98"/>
    <w:rsid w:val="00C810B6"/>
    <w:rsid w:val="00C81676"/>
    <w:rsid w:val="00C817EB"/>
    <w:rsid w:val="00C840B7"/>
    <w:rsid w:val="00C84C9A"/>
    <w:rsid w:val="00C854C8"/>
    <w:rsid w:val="00C8556B"/>
    <w:rsid w:val="00C864FA"/>
    <w:rsid w:val="00C8720D"/>
    <w:rsid w:val="00C87AA4"/>
    <w:rsid w:val="00C91AF0"/>
    <w:rsid w:val="00C922CC"/>
    <w:rsid w:val="00C9234F"/>
    <w:rsid w:val="00C92394"/>
    <w:rsid w:val="00C92C12"/>
    <w:rsid w:val="00C93443"/>
    <w:rsid w:val="00C93F2B"/>
    <w:rsid w:val="00C94B4B"/>
    <w:rsid w:val="00CA4273"/>
    <w:rsid w:val="00CA5E08"/>
    <w:rsid w:val="00CA79B5"/>
    <w:rsid w:val="00CB042E"/>
    <w:rsid w:val="00CB082D"/>
    <w:rsid w:val="00CB11F5"/>
    <w:rsid w:val="00CB2357"/>
    <w:rsid w:val="00CB2E01"/>
    <w:rsid w:val="00CB3DF0"/>
    <w:rsid w:val="00CB434F"/>
    <w:rsid w:val="00CB49BC"/>
    <w:rsid w:val="00CB4A65"/>
    <w:rsid w:val="00CB5B01"/>
    <w:rsid w:val="00CB6A73"/>
    <w:rsid w:val="00CB747B"/>
    <w:rsid w:val="00CB754D"/>
    <w:rsid w:val="00CC00A9"/>
    <w:rsid w:val="00CC1EAF"/>
    <w:rsid w:val="00CC23F6"/>
    <w:rsid w:val="00CC24CC"/>
    <w:rsid w:val="00CC2CE4"/>
    <w:rsid w:val="00CC307B"/>
    <w:rsid w:val="00CC3F73"/>
    <w:rsid w:val="00CC5B22"/>
    <w:rsid w:val="00CC5B72"/>
    <w:rsid w:val="00CC5E24"/>
    <w:rsid w:val="00CC5F73"/>
    <w:rsid w:val="00CC6C0B"/>
    <w:rsid w:val="00CD0766"/>
    <w:rsid w:val="00CD0F39"/>
    <w:rsid w:val="00CD2294"/>
    <w:rsid w:val="00CD24E8"/>
    <w:rsid w:val="00CD3105"/>
    <w:rsid w:val="00CD428D"/>
    <w:rsid w:val="00CD4F1F"/>
    <w:rsid w:val="00CD4F9B"/>
    <w:rsid w:val="00CD5D8A"/>
    <w:rsid w:val="00CD67EF"/>
    <w:rsid w:val="00CE0062"/>
    <w:rsid w:val="00CE274E"/>
    <w:rsid w:val="00CE410A"/>
    <w:rsid w:val="00CE5BC0"/>
    <w:rsid w:val="00CE67C0"/>
    <w:rsid w:val="00CE78DF"/>
    <w:rsid w:val="00CE7E82"/>
    <w:rsid w:val="00CF181E"/>
    <w:rsid w:val="00CF2690"/>
    <w:rsid w:val="00D00C1C"/>
    <w:rsid w:val="00D019FE"/>
    <w:rsid w:val="00D01A2B"/>
    <w:rsid w:val="00D03459"/>
    <w:rsid w:val="00D038BD"/>
    <w:rsid w:val="00D04FAA"/>
    <w:rsid w:val="00D052C7"/>
    <w:rsid w:val="00D05DDF"/>
    <w:rsid w:val="00D077DF"/>
    <w:rsid w:val="00D11D09"/>
    <w:rsid w:val="00D120C5"/>
    <w:rsid w:val="00D12AD0"/>
    <w:rsid w:val="00D1720C"/>
    <w:rsid w:val="00D2087D"/>
    <w:rsid w:val="00D21155"/>
    <w:rsid w:val="00D2152B"/>
    <w:rsid w:val="00D22568"/>
    <w:rsid w:val="00D22C37"/>
    <w:rsid w:val="00D24E43"/>
    <w:rsid w:val="00D24EFD"/>
    <w:rsid w:val="00D25417"/>
    <w:rsid w:val="00D25E80"/>
    <w:rsid w:val="00D264DF"/>
    <w:rsid w:val="00D30074"/>
    <w:rsid w:val="00D333FD"/>
    <w:rsid w:val="00D34B01"/>
    <w:rsid w:val="00D34E96"/>
    <w:rsid w:val="00D352F6"/>
    <w:rsid w:val="00D35BB3"/>
    <w:rsid w:val="00D4019B"/>
    <w:rsid w:val="00D41775"/>
    <w:rsid w:val="00D46659"/>
    <w:rsid w:val="00D469F5"/>
    <w:rsid w:val="00D46E50"/>
    <w:rsid w:val="00D47322"/>
    <w:rsid w:val="00D47F14"/>
    <w:rsid w:val="00D50684"/>
    <w:rsid w:val="00D50B93"/>
    <w:rsid w:val="00D50E50"/>
    <w:rsid w:val="00D56943"/>
    <w:rsid w:val="00D5791C"/>
    <w:rsid w:val="00D57BBF"/>
    <w:rsid w:val="00D623F0"/>
    <w:rsid w:val="00D636E4"/>
    <w:rsid w:val="00D640C3"/>
    <w:rsid w:val="00D6426D"/>
    <w:rsid w:val="00D648D1"/>
    <w:rsid w:val="00D65475"/>
    <w:rsid w:val="00D66787"/>
    <w:rsid w:val="00D67014"/>
    <w:rsid w:val="00D716AA"/>
    <w:rsid w:val="00D71830"/>
    <w:rsid w:val="00D72D4B"/>
    <w:rsid w:val="00D74BFD"/>
    <w:rsid w:val="00D76370"/>
    <w:rsid w:val="00D766E2"/>
    <w:rsid w:val="00D779CB"/>
    <w:rsid w:val="00D80175"/>
    <w:rsid w:val="00D80FB0"/>
    <w:rsid w:val="00D82045"/>
    <w:rsid w:val="00D8324F"/>
    <w:rsid w:val="00D8437A"/>
    <w:rsid w:val="00D854AA"/>
    <w:rsid w:val="00D87241"/>
    <w:rsid w:val="00D87345"/>
    <w:rsid w:val="00D9131E"/>
    <w:rsid w:val="00D918F7"/>
    <w:rsid w:val="00D91CF5"/>
    <w:rsid w:val="00D952AA"/>
    <w:rsid w:val="00D976CD"/>
    <w:rsid w:val="00D97BAF"/>
    <w:rsid w:val="00D97C77"/>
    <w:rsid w:val="00DA0F99"/>
    <w:rsid w:val="00DA17E9"/>
    <w:rsid w:val="00DA1FF7"/>
    <w:rsid w:val="00DA476B"/>
    <w:rsid w:val="00DA4D53"/>
    <w:rsid w:val="00DA58FB"/>
    <w:rsid w:val="00DA65FD"/>
    <w:rsid w:val="00DA726B"/>
    <w:rsid w:val="00DB1B9F"/>
    <w:rsid w:val="00DB2057"/>
    <w:rsid w:val="00DB3397"/>
    <w:rsid w:val="00DB3ADD"/>
    <w:rsid w:val="00DB640C"/>
    <w:rsid w:val="00DB6C1F"/>
    <w:rsid w:val="00DC1256"/>
    <w:rsid w:val="00DC13ED"/>
    <w:rsid w:val="00DC2156"/>
    <w:rsid w:val="00DC2A7A"/>
    <w:rsid w:val="00DC3828"/>
    <w:rsid w:val="00DC472A"/>
    <w:rsid w:val="00DC490C"/>
    <w:rsid w:val="00DC50A3"/>
    <w:rsid w:val="00DC7A94"/>
    <w:rsid w:val="00DD0A67"/>
    <w:rsid w:val="00DD17A9"/>
    <w:rsid w:val="00DD2D34"/>
    <w:rsid w:val="00DD2ED1"/>
    <w:rsid w:val="00DD37B9"/>
    <w:rsid w:val="00DD3F6D"/>
    <w:rsid w:val="00DD40DE"/>
    <w:rsid w:val="00DD5399"/>
    <w:rsid w:val="00DD5B38"/>
    <w:rsid w:val="00DD5BF5"/>
    <w:rsid w:val="00DD7DCF"/>
    <w:rsid w:val="00DE026E"/>
    <w:rsid w:val="00DE1C04"/>
    <w:rsid w:val="00DE2173"/>
    <w:rsid w:val="00DE2316"/>
    <w:rsid w:val="00DE3FB4"/>
    <w:rsid w:val="00DE4CAE"/>
    <w:rsid w:val="00DE5B86"/>
    <w:rsid w:val="00DE5DD3"/>
    <w:rsid w:val="00DE7ED3"/>
    <w:rsid w:val="00DF28E7"/>
    <w:rsid w:val="00DF3580"/>
    <w:rsid w:val="00DF3B1E"/>
    <w:rsid w:val="00DF46B3"/>
    <w:rsid w:val="00DF56B6"/>
    <w:rsid w:val="00DF57FE"/>
    <w:rsid w:val="00DF62BB"/>
    <w:rsid w:val="00DF6345"/>
    <w:rsid w:val="00DF6742"/>
    <w:rsid w:val="00DF7194"/>
    <w:rsid w:val="00E001EA"/>
    <w:rsid w:val="00E01198"/>
    <w:rsid w:val="00E02E1D"/>
    <w:rsid w:val="00E03C78"/>
    <w:rsid w:val="00E04515"/>
    <w:rsid w:val="00E0603E"/>
    <w:rsid w:val="00E063A0"/>
    <w:rsid w:val="00E066B7"/>
    <w:rsid w:val="00E06791"/>
    <w:rsid w:val="00E10C55"/>
    <w:rsid w:val="00E11399"/>
    <w:rsid w:val="00E137C3"/>
    <w:rsid w:val="00E13C8E"/>
    <w:rsid w:val="00E15F4A"/>
    <w:rsid w:val="00E160FD"/>
    <w:rsid w:val="00E1650E"/>
    <w:rsid w:val="00E16611"/>
    <w:rsid w:val="00E175D1"/>
    <w:rsid w:val="00E205D8"/>
    <w:rsid w:val="00E22299"/>
    <w:rsid w:val="00E22AB6"/>
    <w:rsid w:val="00E22C3A"/>
    <w:rsid w:val="00E25ABF"/>
    <w:rsid w:val="00E26D9D"/>
    <w:rsid w:val="00E32DDB"/>
    <w:rsid w:val="00E32F66"/>
    <w:rsid w:val="00E34872"/>
    <w:rsid w:val="00E3515E"/>
    <w:rsid w:val="00E4041F"/>
    <w:rsid w:val="00E4106A"/>
    <w:rsid w:val="00E41B77"/>
    <w:rsid w:val="00E428A4"/>
    <w:rsid w:val="00E42E05"/>
    <w:rsid w:val="00E42E3F"/>
    <w:rsid w:val="00E43626"/>
    <w:rsid w:val="00E43BDB"/>
    <w:rsid w:val="00E471C9"/>
    <w:rsid w:val="00E47254"/>
    <w:rsid w:val="00E50214"/>
    <w:rsid w:val="00E50999"/>
    <w:rsid w:val="00E51289"/>
    <w:rsid w:val="00E51566"/>
    <w:rsid w:val="00E51E31"/>
    <w:rsid w:val="00E523AA"/>
    <w:rsid w:val="00E523D3"/>
    <w:rsid w:val="00E5353D"/>
    <w:rsid w:val="00E53721"/>
    <w:rsid w:val="00E53E51"/>
    <w:rsid w:val="00E54143"/>
    <w:rsid w:val="00E54494"/>
    <w:rsid w:val="00E56C6B"/>
    <w:rsid w:val="00E56DBD"/>
    <w:rsid w:val="00E6152A"/>
    <w:rsid w:val="00E629B0"/>
    <w:rsid w:val="00E629C2"/>
    <w:rsid w:val="00E6339F"/>
    <w:rsid w:val="00E63B15"/>
    <w:rsid w:val="00E6407B"/>
    <w:rsid w:val="00E64F05"/>
    <w:rsid w:val="00E66CEF"/>
    <w:rsid w:val="00E6724A"/>
    <w:rsid w:val="00E676AC"/>
    <w:rsid w:val="00E70005"/>
    <w:rsid w:val="00E71966"/>
    <w:rsid w:val="00E739D3"/>
    <w:rsid w:val="00E73A44"/>
    <w:rsid w:val="00E7503E"/>
    <w:rsid w:val="00E75194"/>
    <w:rsid w:val="00E76345"/>
    <w:rsid w:val="00E7754C"/>
    <w:rsid w:val="00E807B0"/>
    <w:rsid w:val="00E80A49"/>
    <w:rsid w:val="00E81042"/>
    <w:rsid w:val="00E850EA"/>
    <w:rsid w:val="00E85497"/>
    <w:rsid w:val="00E85F02"/>
    <w:rsid w:val="00E863E4"/>
    <w:rsid w:val="00E903F3"/>
    <w:rsid w:val="00E91FDC"/>
    <w:rsid w:val="00E94002"/>
    <w:rsid w:val="00E94594"/>
    <w:rsid w:val="00E9488F"/>
    <w:rsid w:val="00E94CFB"/>
    <w:rsid w:val="00E94E2B"/>
    <w:rsid w:val="00E9526F"/>
    <w:rsid w:val="00E96018"/>
    <w:rsid w:val="00E975C9"/>
    <w:rsid w:val="00E97934"/>
    <w:rsid w:val="00EA07FD"/>
    <w:rsid w:val="00EA08BE"/>
    <w:rsid w:val="00EA2E63"/>
    <w:rsid w:val="00EA4BE2"/>
    <w:rsid w:val="00EA4FD4"/>
    <w:rsid w:val="00EB05A8"/>
    <w:rsid w:val="00EB155B"/>
    <w:rsid w:val="00EB32DF"/>
    <w:rsid w:val="00EB3B69"/>
    <w:rsid w:val="00EB453C"/>
    <w:rsid w:val="00EC33AB"/>
    <w:rsid w:val="00EC3658"/>
    <w:rsid w:val="00EC3783"/>
    <w:rsid w:val="00EC3F72"/>
    <w:rsid w:val="00EC4AE2"/>
    <w:rsid w:val="00EC5FA5"/>
    <w:rsid w:val="00ED00C2"/>
    <w:rsid w:val="00ED11C5"/>
    <w:rsid w:val="00ED13D2"/>
    <w:rsid w:val="00ED2034"/>
    <w:rsid w:val="00ED2B6B"/>
    <w:rsid w:val="00ED69EA"/>
    <w:rsid w:val="00ED6D93"/>
    <w:rsid w:val="00ED76EB"/>
    <w:rsid w:val="00EE0FA3"/>
    <w:rsid w:val="00EE12FB"/>
    <w:rsid w:val="00EE1CC1"/>
    <w:rsid w:val="00EE2BDA"/>
    <w:rsid w:val="00EE3D8E"/>
    <w:rsid w:val="00EE4DAC"/>
    <w:rsid w:val="00EE5AE5"/>
    <w:rsid w:val="00EE65FC"/>
    <w:rsid w:val="00EE69CB"/>
    <w:rsid w:val="00EF0785"/>
    <w:rsid w:val="00EF24B6"/>
    <w:rsid w:val="00EF2894"/>
    <w:rsid w:val="00EF352F"/>
    <w:rsid w:val="00EF7276"/>
    <w:rsid w:val="00F01A98"/>
    <w:rsid w:val="00F0360C"/>
    <w:rsid w:val="00F03990"/>
    <w:rsid w:val="00F0406C"/>
    <w:rsid w:val="00F040F9"/>
    <w:rsid w:val="00F05964"/>
    <w:rsid w:val="00F06065"/>
    <w:rsid w:val="00F06FDA"/>
    <w:rsid w:val="00F10E2E"/>
    <w:rsid w:val="00F14DDC"/>
    <w:rsid w:val="00F1551E"/>
    <w:rsid w:val="00F1566D"/>
    <w:rsid w:val="00F16A51"/>
    <w:rsid w:val="00F17B79"/>
    <w:rsid w:val="00F17CD3"/>
    <w:rsid w:val="00F20904"/>
    <w:rsid w:val="00F20CAA"/>
    <w:rsid w:val="00F23E16"/>
    <w:rsid w:val="00F24004"/>
    <w:rsid w:val="00F24250"/>
    <w:rsid w:val="00F2591F"/>
    <w:rsid w:val="00F2646C"/>
    <w:rsid w:val="00F26FA3"/>
    <w:rsid w:val="00F307EE"/>
    <w:rsid w:val="00F32226"/>
    <w:rsid w:val="00F331F2"/>
    <w:rsid w:val="00F33B79"/>
    <w:rsid w:val="00F35D0E"/>
    <w:rsid w:val="00F40076"/>
    <w:rsid w:val="00F40354"/>
    <w:rsid w:val="00F40436"/>
    <w:rsid w:val="00F40AE3"/>
    <w:rsid w:val="00F414AB"/>
    <w:rsid w:val="00F41A6C"/>
    <w:rsid w:val="00F435A4"/>
    <w:rsid w:val="00F43D6A"/>
    <w:rsid w:val="00F44A0B"/>
    <w:rsid w:val="00F45240"/>
    <w:rsid w:val="00F50184"/>
    <w:rsid w:val="00F513DB"/>
    <w:rsid w:val="00F52472"/>
    <w:rsid w:val="00F52B42"/>
    <w:rsid w:val="00F5320D"/>
    <w:rsid w:val="00F545E6"/>
    <w:rsid w:val="00F54911"/>
    <w:rsid w:val="00F5607B"/>
    <w:rsid w:val="00F56300"/>
    <w:rsid w:val="00F5647B"/>
    <w:rsid w:val="00F565AD"/>
    <w:rsid w:val="00F63C45"/>
    <w:rsid w:val="00F63F44"/>
    <w:rsid w:val="00F64E03"/>
    <w:rsid w:val="00F6717C"/>
    <w:rsid w:val="00F67930"/>
    <w:rsid w:val="00F67FB6"/>
    <w:rsid w:val="00F70B79"/>
    <w:rsid w:val="00F71700"/>
    <w:rsid w:val="00F71AC7"/>
    <w:rsid w:val="00F7303F"/>
    <w:rsid w:val="00F73226"/>
    <w:rsid w:val="00F736B7"/>
    <w:rsid w:val="00F738C7"/>
    <w:rsid w:val="00F7660C"/>
    <w:rsid w:val="00F83881"/>
    <w:rsid w:val="00F84B06"/>
    <w:rsid w:val="00F86599"/>
    <w:rsid w:val="00F8784A"/>
    <w:rsid w:val="00F87FC7"/>
    <w:rsid w:val="00F904DE"/>
    <w:rsid w:val="00F909FE"/>
    <w:rsid w:val="00F90CA3"/>
    <w:rsid w:val="00F92111"/>
    <w:rsid w:val="00F93087"/>
    <w:rsid w:val="00F93535"/>
    <w:rsid w:val="00F96460"/>
    <w:rsid w:val="00F96834"/>
    <w:rsid w:val="00F969AA"/>
    <w:rsid w:val="00FA3153"/>
    <w:rsid w:val="00FA4299"/>
    <w:rsid w:val="00FA4582"/>
    <w:rsid w:val="00FA5A06"/>
    <w:rsid w:val="00FA6451"/>
    <w:rsid w:val="00FB0738"/>
    <w:rsid w:val="00FB1454"/>
    <w:rsid w:val="00FB1504"/>
    <w:rsid w:val="00FB260D"/>
    <w:rsid w:val="00FB3A04"/>
    <w:rsid w:val="00FB3BEB"/>
    <w:rsid w:val="00FB5063"/>
    <w:rsid w:val="00FB7EE7"/>
    <w:rsid w:val="00FC1155"/>
    <w:rsid w:val="00FC13A8"/>
    <w:rsid w:val="00FC296D"/>
    <w:rsid w:val="00FC2B56"/>
    <w:rsid w:val="00FC31C0"/>
    <w:rsid w:val="00FC3B2E"/>
    <w:rsid w:val="00FC4E85"/>
    <w:rsid w:val="00FC53FC"/>
    <w:rsid w:val="00FC60C2"/>
    <w:rsid w:val="00FC7019"/>
    <w:rsid w:val="00FD0A4E"/>
    <w:rsid w:val="00FD1E2C"/>
    <w:rsid w:val="00FD3B08"/>
    <w:rsid w:val="00FD45C7"/>
    <w:rsid w:val="00FD5632"/>
    <w:rsid w:val="00FD6E57"/>
    <w:rsid w:val="00FD74CC"/>
    <w:rsid w:val="00FE18DB"/>
    <w:rsid w:val="00FE1D0D"/>
    <w:rsid w:val="00FE1FC5"/>
    <w:rsid w:val="00FE4B4B"/>
    <w:rsid w:val="00FE5BFA"/>
    <w:rsid w:val="00FE749B"/>
    <w:rsid w:val="00FF1031"/>
    <w:rsid w:val="00FF3A7D"/>
    <w:rsid w:val="00FF3BC6"/>
    <w:rsid w:val="00FF529F"/>
    <w:rsid w:val="00FF7082"/>
    <w:rsid w:val="015F78F1"/>
    <w:rsid w:val="01625D24"/>
    <w:rsid w:val="018F0027"/>
    <w:rsid w:val="01BF19D1"/>
    <w:rsid w:val="020804A4"/>
    <w:rsid w:val="028C5F19"/>
    <w:rsid w:val="029455AD"/>
    <w:rsid w:val="034675D0"/>
    <w:rsid w:val="035E0DBD"/>
    <w:rsid w:val="0374586D"/>
    <w:rsid w:val="03E406E3"/>
    <w:rsid w:val="03FD680B"/>
    <w:rsid w:val="041D6970"/>
    <w:rsid w:val="0442248D"/>
    <w:rsid w:val="04BB07E6"/>
    <w:rsid w:val="057468B6"/>
    <w:rsid w:val="057C07A9"/>
    <w:rsid w:val="05C23925"/>
    <w:rsid w:val="05FB4A52"/>
    <w:rsid w:val="06B64C67"/>
    <w:rsid w:val="06DA5D19"/>
    <w:rsid w:val="06E13B82"/>
    <w:rsid w:val="06E24D21"/>
    <w:rsid w:val="0749688F"/>
    <w:rsid w:val="075E40BB"/>
    <w:rsid w:val="079F0861"/>
    <w:rsid w:val="07BA1D83"/>
    <w:rsid w:val="08564997"/>
    <w:rsid w:val="08F301FA"/>
    <w:rsid w:val="0A3854DD"/>
    <w:rsid w:val="0AA42F62"/>
    <w:rsid w:val="0AAC1E5E"/>
    <w:rsid w:val="0AD74E5E"/>
    <w:rsid w:val="0ADF6FA6"/>
    <w:rsid w:val="0B2D4F70"/>
    <w:rsid w:val="0C59767E"/>
    <w:rsid w:val="0C9475FE"/>
    <w:rsid w:val="0CDE2F05"/>
    <w:rsid w:val="0CE97D42"/>
    <w:rsid w:val="0D091F4F"/>
    <w:rsid w:val="0D423770"/>
    <w:rsid w:val="0E3A3B6B"/>
    <w:rsid w:val="0E687A3B"/>
    <w:rsid w:val="0E963B01"/>
    <w:rsid w:val="10020AD0"/>
    <w:rsid w:val="110922CB"/>
    <w:rsid w:val="11E87002"/>
    <w:rsid w:val="11ED6917"/>
    <w:rsid w:val="12040B48"/>
    <w:rsid w:val="12107727"/>
    <w:rsid w:val="1252082F"/>
    <w:rsid w:val="12C543F6"/>
    <w:rsid w:val="133B2B8B"/>
    <w:rsid w:val="1365144E"/>
    <w:rsid w:val="13983E78"/>
    <w:rsid w:val="13DA7FEC"/>
    <w:rsid w:val="143E0385"/>
    <w:rsid w:val="145F6743"/>
    <w:rsid w:val="146548AF"/>
    <w:rsid w:val="14893727"/>
    <w:rsid w:val="14D3666F"/>
    <w:rsid w:val="15BF56EC"/>
    <w:rsid w:val="15C307E5"/>
    <w:rsid w:val="15FC19AC"/>
    <w:rsid w:val="15FF7E6C"/>
    <w:rsid w:val="16BC0F4E"/>
    <w:rsid w:val="17290CBC"/>
    <w:rsid w:val="172E7EC2"/>
    <w:rsid w:val="1796247C"/>
    <w:rsid w:val="18364045"/>
    <w:rsid w:val="18B46F8C"/>
    <w:rsid w:val="18BE53BE"/>
    <w:rsid w:val="18EE0FF5"/>
    <w:rsid w:val="1968700C"/>
    <w:rsid w:val="19815355"/>
    <w:rsid w:val="19EB139B"/>
    <w:rsid w:val="1A417530"/>
    <w:rsid w:val="1A6E4810"/>
    <w:rsid w:val="1A8B2106"/>
    <w:rsid w:val="1AE51725"/>
    <w:rsid w:val="1AF20311"/>
    <w:rsid w:val="1B3C333B"/>
    <w:rsid w:val="1BB12787"/>
    <w:rsid w:val="1BC47DF2"/>
    <w:rsid w:val="1C534DE0"/>
    <w:rsid w:val="1C6052B0"/>
    <w:rsid w:val="1C8F70B2"/>
    <w:rsid w:val="1D5D57EA"/>
    <w:rsid w:val="1D6C5259"/>
    <w:rsid w:val="1D951CB1"/>
    <w:rsid w:val="1D9B470A"/>
    <w:rsid w:val="1D9C4C6D"/>
    <w:rsid w:val="1DC93198"/>
    <w:rsid w:val="1F681F5F"/>
    <w:rsid w:val="1FF73CD4"/>
    <w:rsid w:val="20074AC3"/>
    <w:rsid w:val="20285CD0"/>
    <w:rsid w:val="202D2A69"/>
    <w:rsid w:val="2039388E"/>
    <w:rsid w:val="206862FD"/>
    <w:rsid w:val="208C2AF3"/>
    <w:rsid w:val="20C3193B"/>
    <w:rsid w:val="20D70139"/>
    <w:rsid w:val="20DF1A81"/>
    <w:rsid w:val="21DA33D9"/>
    <w:rsid w:val="22371E1E"/>
    <w:rsid w:val="22853819"/>
    <w:rsid w:val="22DC4764"/>
    <w:rsid w:val="230230BC"/>
    <w:rsid w:val="2369313B"/>
    <w:rsid w:val="239B2561"/>
    <w:rsid w:val="248919ED"/>
    <w:rsid w:val="24E43AF1"/>
    <w:rsid w:val="250E4644"/>
    <w:rsid w:val="25801CD3"/>
    <w:rsid w:val="25907302"/>
    <w:rsid w:val="260F4DA8"/>
    <w:rsid w:val="26D14BE0"/>
    <w:rsid w:val="27401E28"/>
    <w:rsid w:val="27414C32"/>
    <w:rsid w:val="277C7BFE"/>
    <w:rsid w:val="27E86D24"/>
    <w:rsid w:val="286B0675"/>
    <w:rsid w:val="286D2C2F"/>
    <w:rsid w:val="287F4EBD"/>
    <w:rsid w:val="289E1564"/>
    <w:rsid w:val="28C12209"/>
    <w:rsid w:val="28F121C9"/>
    <w:rsid w:val="290607AD"/>
    <w:rsid w:val="292F2935"/>
    <w:rsid w:val="2983407D"/>
    <w:rsid w:val="29A8221F"/>
    <w:rsid w:val="29DC7068"/>
    <w:rsid w:val="29E943DD"/>
    <w:rsid w:val="2A5874ED"/>
    <w:rsid w:val="2A8236F9"/>
    <w:rsid w:val="2A866EAD"/>
    <w:rsid w:val="2B5D3585"/>
    <w:rsid w:val="2B8605FF"/>
    <w:rsid w:val="2B9B6E7A"/>
    <w:rsid w:val="2BB60EE7"/>
    <w:rsid w:val="2BE71A4E"/>
    <w:rsid w:val="2C087541"/>
    <w:rsid w:val="2C3B29A6"/>
    <w:rsid w:val="2C477D91"/>
    <w:rsid w:val="2C726454"/>
    <w:rsid w:val="2C7E6EC0"/>
    <w:rsid w:val="2CAA43CA"/>
    <w:rsid w:val="2DAE2509"/>
    <w:rsid w:val="2E693FEF"/>
    <w:rsid w:val="2EA702F2"/>
    <w:rsid w:val="2EA95118"/>
    <w:rsid w:val="2EBC3D59"/>
    <w:rsid w:val="2EC7085D"/>
    <w:rsid w:val="2ECD6C74"/>
    <w:rsid w:val="2EF7683B"/>
    <w:rsid w:val="2F025581"/>
    <w:rsid w:val="2F7465A7"/>
    <w:rsid w:val="2FA9067B"/>
    <w:rsid w:val="2FB010A7"/>
    <w:rsid w:val="2FF17810"/>
    <w:rsid w:val="30F47A27"/>
    <w:rsid w:val="31242D00"/>
    <w:rsid w:val="31811153"/>
    <w:rsid w:val="32081D71"/>
    <w:rsid w:val="328A2480"/>
    <w:rsid w:val="32D5191B"/>
    <w:rsid w:val="32F0601D"/>
    <w:rsid w:val="33244988"/>
    <w:rsid w:val="33622CC4"/>
    <w:rsid w:val="33C550B4"/>
    <w:rsid w:val="341E08CC"/>
    <w:rsid w:val="342F62F6"/>
    <w:rsid w:val="345B1B06"/>
    <w:rsid w:val="34BF1578"/>
    <w:rsid w:val="34F56C01"/>
    <w:rsid w:val="362E26F6"/>
    <w:rsid w:val="363E4EDB"/>
    <w:rsid w:val="369B31B3"/>
    <w:rsid w:val="37115432"/>
    <w:rsid w:val="37356E6D"/>
    <w:rsid w:val="37C30C14"/>
    <w:rsid w:val="37DF6525"/>
    <w:rsid w:val="37F35FAD"/>
    <w:rsid w:val="384E1043"/>
    <w:rsid w:val="38A80A21"/>
    <w:rsid w:val="390A723C"/>
    <w:rsid w:val="39105002"/>
    <w:rsid w:val="39C907F7"/>
    <w:rsid w:val="3A700088"/>
    <w:rsid w:val="3A765BAE"/>
    <w:rsid w:val="3A8D3755"/>
    <w:rsid w:val="3B194FEF"/>
    <w:rsid w:val="3BFE66BE"/>
    <w:rsid w:val="3C1577B1"/>
    <w:rsid w:val="3C195B71"/>
    <w:rsid w:val="3C221B9E"/>
    <w:rsid w:val="3C357E53"/>
    <w:rsid w:val="3C8138E7"/>
    <w:rsid w:val="3C956475"/>
    <w:rsid w:val="3CCA7406"/>
    <w:rsid w:val="3D6040CD"/>
    <w:rsid w:val="3D691E7B"/>
    <w:rsid w:val="3D6F043D"/>
    <w:rsid w:val="3E0A11D3"/>
    <w:rsid w:val="3E5B013D"/>
    <w:rsid w:val="3EA3354D"/>
    <w:rsid w:val="3EA926D2"/>
    <w:rsid w:val="3EB946D3"/>
    <w:rsid w:val="3EF92BC7"/>
    <w:rsid w:val="3F023BCC"/>
    <w:rsid w:val="3FD95863"/>
    <w:rsid w:val="3FDB71DF"/>
    <w:rsid w:val="4038660A"/>
    <w:rsid w:val="41114402"/>
    <w:rsid w:val="4126289F"/>
    <w:rsid w:val="416C1B62"/>
    <w:rsid w:val="41B24FF3"/>
    <w:rsid w:val="420325CD"/>
    <w:rsid w:val="4239611D"/>
    <w:rsid w:val="4254472C"/>
    <w:rsid w:val="42F00D2B"/>
    <w:rsid w:val="430711AD"/>
    <w:rsid w:val="43351D02"/>
    <w:rsid w:val="43B86F03"/>
    <w:rsid w:val="43E97C54"/>
    <w:rsid w:val="43EA6609"/>
    <w:rsid w:val="442D57E5"/>
    <w:rsid w:val="44AF02B6"/>
    <w:rsid w:val="455E60F0"/>
    <w:rsid w:val="45CF4C28"/>
    <w:rsid w:val="45E816B7"/>
    <w:rsid w:val="45EA0448"/>
    <w:rsid w:val="46200992"/>
    <w:rsid w:val="473D2589"/>
    <w:rsid w:val="47C8032A"/>
    <w:rsid w:val="487F6336"/>
    <w:rsid w:val="492D2E04"/>
    <w:rsid w:val="4A4D10FA"/>
    <w:rsid w:val="4A592E3B"/>
    <w:rsid w:val="4AA344B3"/>
    <w:rsid w:val="4AE07F17"/>
    <w:rsid w:val="4AE57112"/>
    <w:rsid w:val="4B426D6F"/>
    <w:rsid w:val="4C335D8A"/>
    <w:rsid w:val="4C940979"/>
    <w:rsid w:val="4D070944"/>
    <w:rsid w:val="4D886C44"/>
    <w:rsid w:val="4DD042F2"/>
    <w:rsid w:val="4DDA6B87"/>
    <w:rsid w:val="4E374BEF"/>
    <w:rsid w:val="4E4E1648"/>
    <w:rsid w:val="4E4E191B"/>
    <w:rsid w:val="4E9B1B4B"/>
    <w:rsid w:val="4E9B6657"/>
    <w:rsid w:val="4EEC05F8"/>
    <w:rsid w:val="4F0F00BF"/>
    <w:rsid w:val="4F1D0113"/>
    <w:rsid w:val="4F374ABE"/>
    <w:rsid w:val="4F9F58D6"/>
    <w:rsid w:val="4FD95020"/>
    <w:rsid w:val="4FDE4134"/>
    <w:rsid w:val="4FEC6794"/>
    <w:rsid w:val="505B3C87"/>
    <w:rsid w:val="506C1094"/>
    <w:rsid w:val="5097052E"/>
    <w:rsid w:val="51532BB1"/>
    <w:rsid w:val="517F7502"/>
    <w:rsid w:val="519C0687"/>
    <w:rsid w:val="51C9452A"/>
    <w:rsid w:val="51DC0CD4"/>
    <w:rsid w:val="52326683"/>
    <w:rsid w:val="52B97E69"/>
    <w:rsid w:val="52C51423"/>
    <w:rsid w:val="53166FF5"/>
    <w:rsid w:val="531B2857"/>
    <w:rsid w:val="532C41E9"/>
    <w:rsid w:val="53A12D82"/>
    <w:rsid w:val="53C945FB"/>
    <w:rsid w:val="54333971"/>
    <w:rsid w:val="543E75CC"/>
    <w:rsid w:val="548B00E5"/>
    <w:rsid w:val="549876F9"/>
    <w:rsid w:val="54EB627C"/>
    <w:rsid w:val="559770A6"/>
    <w:rsid w:val="560B6F0D"/>
    <w:rsid w:val="561065A1"/>
    <w:rsid w:val="56686CA8"/>
    <w:rsid w:val="56B927C0"/>
    <w:rsid w:val="56D61F84"/>
    <w:rsid w:val="56EE0C86"/>
    <w:rsid w:val="57413CA8"/>
    <w:rsid w:val="57AC5CC1"/>
    <w:rsid w:val="58D27FFF"/>
    <w:rsid w:val="58DA63FA"/>
    <w:rsid w:val="593A19F0"/>
    <w:rsid w:val="59411541"/>
    <w:rsid w:val="597E4AFB"/>
    <w:rsid w:val="598B0010"/>
    <w:rsid w:val="59987307"/>
    <w:rsid w:val="5A174D6B"/>
    <w:rsid w:val="5A1F73D0"/>
    <w:rsid w:val="5A3B477C"/>
    <w:rsid w:val="5A7539E6"/>
    <w:rsid w:val="5BDE1D97"/>
    <w:rsid w:val="5C4D3844"/>
    <w:rsid w:val="5CCE3AC3"/>
    <w:rsid w:val="5CD03307"/>
    <w:rsid w:val="5D306882"/>
    <w:rsid w:val="5D414205"/>
    <w:rsid w:val="5D7067F8"/>
    <w:rsid w:val="5D7616D1"/>
    <w:rsid w:val="5D7D09D6"/>
    <w:rsid w:val="5DE35530"/>
    <w:rsid w:val="5E9A15F3"/>
    <w:rsid w:val="5EAC6562"/>
    <w:rsid w:val="5F321485"/>
    <w:rsid w:val="5F487ACD"/>
    <w:rsid w:val="5F8E6C0B"/>
    <w:rsid w:val="613D1187"/>
    <w:rsid w:val="618A6458"/>
    <w:rsid w:val="61C1676D"/>
    <w:rsid w:val="61C86CA3"/>
    <w:rsid w:val="622A2EA4"/>
    <w:rsid w:val="62315D38"/>
    <w:rsid w:val="62A02C94"/>
    <w:rsid w:val="6312369C"/>
    <w:rsid w:val="63624ED5"/>
    <w:rsid w:val="639030FC"/>
    <w:rsid w:val="63E55E3D"/>
    <w:rsid w:val="64033FC2"/>
    <w:rsid w:val="64375256"/>
    <w:rsid w:val="645E37CD"/>
    <w:rsid w:val="64D5039D"/>
    <w:rsid w:val="653B59DE"/>
    <w:rsid w:val="6615324D"/>
    <w:rsid w:val="663E0E60"/>
    <w:rsid w:val="665151C5"/>
    <w:rsid w:val="666C02D2"/>
    <w:rsid w:val="668D26EF"/>
    <w:rsid w:val="66E162E3"/>
    <w:rsid w:val="66EA7895"/>
    <w:rsid w:val="66EC1666"/>
    <w:rsid w:val="674B4EF9"/>
    <w:rsid w:val="676043F9"/>
    <w:rsid w:val="67A04447"/>
    <w:rsid w:val="67C70996"/>
    <w:rsid w:val="67F15358"/>
    <w:rsid w:val="69554983"/>
    <w:rsid w:val="6979382E"/>
    <w:rsid w:val="697F233D"/>
    <w:rsid w:val="69D168ED"/>
    <w:rsid w:val="6A7259FE"/>
    <w:rsid w:val="6AC16EF6"/>
    <w:rsid w:val="6AF16C29"/>
    <w:rsid w:val="6BEE3F6B"/>
    <w:rsid w:val="6C083ECD"/>
    <w:rsid w:val="6C256AA0"/>
    <w:rsid w:val="6CA32054"/>
    <w:rsid w:val="6D4142E7"/>
    <w:rsid w:val="6D87324C"/>
    <w:rsid w:val="6DA27ACC"/>
    <w:rsid w:val="6DB02BA2"/>
    <w:rsid w:val="6DFE351E"/>
    <w:rsid w:val="6E731D44"/>
    <w:rsid w:val="6EE5105C"/>
    <w:rsid w:val="6F021872"/>
    <w:rsid w:val="6F1F338C"/>
    <w:rsid w:val="6FAB69B9"/>
    <w:rsid w:val="70022FC2"/>
    <w:rsid w:val="703E5D1A"/>
    <w:rsid w:val="70512711"/>
    <w:rsid w:val="70991CEF"/>
    <w:rsid w:val="70E01B82"/>
    <w:rsid w:val="70F73796"/>
    <w:rsid w:val="711F7F62"/>
    <w:rsid w:val="71536AB4"/>
    <w:rsid w:val="717520A8"/>
    <w:rsid w:val="718F2801"/>
    <w:rsid w:val="71D84CE0"/>
    <w:rsid w:val="724315AE"/>
    <w:rsid w:val="727C60DF"/>
    <w:rsid w:val="728C6382"/>
    <w:rsid w:val="729E0C75"/>
    <w:rsid w:val="734C72DA"/>
    <w:rsid w:val="738823DD"/>
    <w:rsid w:val="738D4A3C"/>
    <w:rsid w:val="74151D55"/>
    <w:rsid w:val="747F57CA"/>
    <w:rsid w:val="74A92964"/>
    <w:rsid w:val="74D86DA5"/>
    <w:rsid w:val="75450BB9"/>
    <w:rsid w:val="759A4470"/>
    <w:rsid w:val="76631A40"/>
    <w:rsid w:val="768F5B89"/>
    <w:rsid w:val="76FC3A86"/>
    <w:rsid w:val="781474DC"/>
    <w:rsid w:val="781F2AEE"/>
    <w:rsid w:val="7831145A"/>
    <w:rsid w:val="78E0626B"/>
    <w:rsid w:val="78F47DF9"/>
    <w:rsid w:val="78FA51F4"/>
    <w:rsid w:val="798412AA"/>
    <w:rsid w:val="799A7EFC"/>
    <w:rsid w:val="79AB75DA"/>
    <w:rsid w:val="79C93160"/>
    <w:rsid w:val="79DD5495"/>
    <w:rsid w:val="7A2B1FDC"/>
    <w:rsid w:val="7A651918"/>
    <w:rsid w:val="7A6F1F5A"/>
    <w:rsid w:val="7AB0297C"/>
    <w:rsid w:val="7ADC1DBC"/>
    <w:rsid w:val="7B1C052F"/>
    <w:rsid w:val="7BAC4AE8"/>
    <w:rsid w:val="7C794503"/>
    <w:rsid w:val="7C853EB1"/>
    <w:rsid w:val="7D714BF8"/>
    <w:rsid w:val="7D752C71"/>
    <w:rsid w:val="7D9046C1"/>
    <w:rsid w:val="7D9648D2"/>
    <w:rsid w:val="7DC31396"/>
    <w:rsid w:val="7E6F077A"/>
    <w:rsid w:val="7E80705E"/>
    <w:rsid w:val="7E8135B3"/>
    <w:rsid w:val="7F142A4D"/>
    <w:rsid w:val="7FEA27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paragraph" w:styleId="2">
    <w:name w:val="heading 1"/>
    <w:basedOn w:val="1"/>
    <w:next w:val="1"/>
    <w:link w:val="61"/>
    <w:qFormat/>
    <w:uiPriority w:val="0"/>
    <w:pPr>
      <w:keepNext/>
      <w:keepLines/>
      <w:numPr>
        <w:ilvl w:val="0"/>
        <w:numId w:val="1"/>
      </w:numPr>
      <w:snapToGrid w:val="0"/>
      <w:spacing w:line="400" w:lineRule="atLeast"/>
      <w:outlineLvl w:val="0"/>
    </w:pPr>
    <w:rPr>
      <w:rFonts w:ascii="宋体" w:eastAsia="黑体"/>
      <w:kern w:val="28"/>
      <w:sz w:val="28"/>
      <w:szCs w:val="20"/>
    </w:rPr>
  </w:style>
  <w:style w:type="paragraph" w:styleId="3">
    <w:name w:val="heading 2"/>
    <w:basedOn w:val="1"/>
    <w:next w:val="4"/>
    <w:link w:val="66"/>
    <w:qFormat/>
    <w:uiPriority w:val="0"/>
    <w:pPr>
      <w:numPr>
        <w:ilvl w:val="1"/>
        <w:numId w:val="1"/>
      </w:numPr>
      <w:tabs>
        <w:tab w:val="left" w:pos="425"/>
      </w:tabs>
      <w:snapToGrid w:val="0"/>
      <w:spacing w:line="360" w:lineRule="auto"/>
      <w:outlineLvl w:val="1"/>
    </w:pPr>
    <w:rPr>
      <w:rFonts w:ascii="宋体"/>
      <w:sz w:val="28"/>
      <w:szCs w:val="20"/>
    </w:rPr>
  </w:style>
  <w:style w:type="paragraph" w:styleId="5">
    <w:name w:val="heading 3"/>
    <w:basedOn w:val="3"/>
    <w:next w:val="1"/>
    <w:link w:val="74"/>
    <w:qFormat/>
    <w:uiPriority w:val="0"/>
    <w:pPr>
      <w:numPr>
        <w:ilvl w:val="2"/>
      </w:numPr>
      <w:tabs>
        <w:tab w:val="left" w:pos="1985"/>
        <w:tab w:val="left" w:pos="7088"/>
      </w:tabs>
      <w:outlineLvl w:val="2"/>
    </w:pPr>
  </w:style>
  <w:style w:type="paragraph" w:styleId="6">
    <w:name w:val="heading 4"/>
    <w:basedOn w:val="1"/>
    <w:next w:val="1"/>
    <w:link w:val="69"/>
    <w:qFormat/>
    <w:uiPriority w:val="0"/>
    <w:pPr>
      <w:keepNext/>
      <w:keepLines/>
      <w:spacing w:before="280" w:after="290" w:line="376" w:lineRule="auto"/>
      <w:outlineLvl w:val="3"/>
    </w:pPr>
    <w:rPr>
      <w:rFonts w:ascii="Calibri Light" w:hAnsi="Calibri Light"/>
      <w:b/>
      <w:bCs/>
      <w:kern w:val="0"/>
      <w:sz w:val="28"/>
      <w:szCs w:val="28"/>
    </w:rPr>
  </w:style>
  <w:style w:type="paragraph" w:styleId="7">
    <w:name w:val="heading 5"/>
    <w:basedOn w:val="1"/>
    <w:next w:val="1"/>
    <w:link w:val="72"/>
    <w:qFormat/>
    <w:uiPriority w:val="0"/>
    <w:pPr>
      <w:keepNext/>
      <w:keepLines/>
      <w:spacing w:before="280" w:after="290" w:line="376" w:lineRule="auto"/>
      <w:outlineLvl w:val="4"/>
    </w:pPr>
    <w:rPr>
      <w:b/>
      <w:bCs/>
      <w:kern w:val="0"/>
      <w:sz w:val="28"/>
      <w:szCs w:val="28"/>
    </w:rPr>
  </w:style>
  <w:style w:type="paragraph" w:styleId="8">
    <w:name w:val="heading 6"/>
    <w:basedOn w:val="1"/>
    <w:next w:val="1"/>
    <w:link w:val="65"/>
    <w:qFormat/>
    <w:uiPriority w:val="0"/>
    <w:pPr>
      <w:keepNext/>
      <w:keepLines/>
      <w:spacing w:before="240" w:after="64" w:line="320" w:lineRule="auto"/>
      <w:outlineLvl w:val="5"/>
    </w:pPr>
    <w:rPr>
      <w:rFonts w:ascii="Calibri Light" w:hAnsi="Calibri Light"/>
      <w:b/>
      <w:bCs/>
      <w:kern w:val="0"/>
      <w:sz w:val="24"/>
    </w:rPr>
  </w:style>
  <w:style w:type="paragraph" w:styleId="9">
    <w:name w:val="heading 7"/>
    <w:basedOn w:val="1"/>
    <w:next w:val="1"/>
    <w:link w:val="82"/>
    <w:qFormat/>
    <w:uiPriority w:val="9"/>
    <w:pPr>
      <w:keepNext/>
      <w:keepLines/>
      <w:spacing w:before="240" w:after="64" w:line="320" w:lineRule="auto"/>
      <w:outlineLvl w:val="6"/>
    </w:pPr>
    <w:rPr>
      <w:b/>
      <w:bCs/>
      <w:sz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17"/>
    <w:qFormat/>
    <w:uiPriority w:val="0"/>
    <w:pPr>
      <w:ind w:firstLine="420" w:firstLineChars="200"/>
    </w:pPr>
  </w:style>
  <w:style w:type="paragraph" w:styleId="10">
    <w:name w:val="Document Map"/>
    <w:basedOn w:val="1"/>
    <w:link w:val="67"/>
    <w:unhideWhenUsed/>
    <w:qFormat/>
    <w:uiPriority w:val="99"/>
    <w:rPr>
      <w:rFonts w:ascii="Microsoft YaHei UI" w:eastAsia="Microsoft YaHei UI"/>
      <w:kern w:val="0"/>
      <w:sz w:val="18"/>
      <w:szCs w:val="18"/>
    </w:rPr>
  </w:style>
  <w:style w:type="paragraph" w:styleId="11">
    <w:name w:val="annotation text"/>
    <w:basedOn w:val="1"/>
    <w:link w:val="83"/>
    <w:qFormat/>
    <w:uiPriority w:val="0"/>
    <w:rPr>
      <w:kern w:val="0"/>
      <w:sz w:val="20"/>
    </w:rPr>
  </w:style>
  <w:style w:type="paragraph" w:styleId="12">
    <w:name w:val="Body Text"/>
    <w:basedOn w:val="1"/>
    <w:next w:val="13"/>
    <w:link w:val="76"/>
    <w:qFormat/>
    <w:uiPriority w:val="0"/>
    <w:pPr>
      <w:spacing w:after="120"/>
    </w:pPr>
    <w:rPr>
      <w:kern w:val="0"/>
      <w:sz w:val="20"/>
    </w:rPr>
  </w:style>
  <w:style w:type="paragraph" w:styleId="13">
    <w:name w:val="Body Text First Indent 2"/>
    <w:basedOn w:val="14"/>
    <w:next w:val="1"/>
    <w:unhideWhenUsed/>
    <w:qFormat/>
    <w:uiPriority w:val="99"/>
    <w:pPr>
      <w:tabs>
        <w:tab w:val="left" w:pos="2160"/>
      </w:tabs>
      <w:ind w:firstLine="420" w:firstLineChars="200"/>
    </w:pPr>
  </w:style>
  <w:style w:type="paragraph" w:styleId="14">
    <w:name w:val="Body Text Indent"/>
    <w:basedOn w:val="1"/>
    <w:next w:val="15"/>
    <w:link w:val="85"/>
    <w:qFormat/>
    <w:uiPriority w:val="0"/>
    <w:pPr>
      <w:tabs>
        <w:tab w:val="left" w:pos="2160"/>
      </w:tabs>
      <w:ind w:left="2159" w:leftChars="1028" w:firstLine="1"/>
    </w:pPr>
    <w:rPr>
      <w:rFonts w:ascii="宋体" w:hAnsi="宋体"/>
      <w:kern w:val="0"/>
      <w:sz w:val="20"/>
      <w:szCs w:val="21"/>
    </w:rPr>
  </w:style>
  <w:style w:type="paragraph" w:styleId="15">
    <w:name w:val="envelope return"/>
    <w:basedOn w:val="1"/>
    <w:qFormat/>
    <w:uiPriority w:val="0"/>
    <w:pPr>
      <w:snapToGrid w:val="0"/>
    </w:pPr>
    <w:rPr>
      <w:rFonts w:ascii="Arial" w:hAnsi="Arial" w:eastAsia="宋体" w:cs="Times New Roman"/>
    </w:rPr>
  </w:style>
  <w:style w:type="paragraph" w:styleId="16">
    <w:name w:val="index 4"/>
    <w:basedOn w:val="1"/>
    <w:next w:val="1"/>
    <w:semiHidden/>
    <w:unhideWhenUsed/>
    <w:qFormat/>
    <w:uiPriority w:val="99"/>
    <w:pPr>
      <w:ind w:left="600" w:leftChars="600"/>
    </w:pPr>
  </w:style>
  <w:style w:type="paragraph" w:styleId="17">
    <w:name w:val="toc 3"/>
    <w:basedOn w:val="1"/>
    <w:next w:val="1"/>
    <w:unhideWhenUsed/>
    <w:qFormat/>
    <w:uiPriority w:val="39"/>
    <w:pPr>
      <w:spacing w:after="100" w:line="259" w:lineRule="auto"/>
      <w:ind w:left="440"/>
    </w:pPr>
    <w:rPr>
      <w:rFonts w:ascii="Calibri" w:hAnsi="Calibri"/>
      <w:kern w:val="0"/>
      <w:sz w:val="22"/>
      <w:szCs w:val="22"/>
    </w:rPr>
  </w:style>
  <w:style w:type="paragraph" w:styleId="18">
    <w:name w:val="Plain Text"/>
    <w:basedOn w:val="1"/>
    <w:link w:val="78"/>
    <w:qFormat/>
    <w:uiPriority w:val="0"/>
    <w:rPr>
      <w:rFonts w:ascii="宋体" w:hAnsi="Courier New"/>
      <w:kern w:val="0"/>
      <w:sz w:val="20"/>
      <w:szCs w:val="20"/>
    </w:rPr>
  </w:style>
  <w:style w:type="paragraph" w:styleId="19">
    <w:name w:val="Date"/>
    <w:basedOn w:val="1"/>
    <w:next w:val="1"/>
    <w:link w:val="86"/>
    <w:qFormat/>
    <w:uiPriority w:val="0"/>
    <w:pPr>
      <w:ind w:left="100" w:leftChars="2500"/>
    </w:pPr>
    <w:rPr>
      <w:kern w:val="0"/>
      <w:sz w:val="20"/>
    </w:rPr>
  </w:style>
  <w:style w:type="paragraph" w:styleId="20">
    <w:name w:val="Balloon Text"/>
    <w:basedOn w:val="1"/>
    <w:link w:val="63"/>
    <w:qFormat/>
    <w:uiPriority w:val="99"/>
    <w:rPr>
      <w:kern w:val="0"/>
      <w:sz w:val="18"/>
      <w:szCs w:val="18"/>
    </w:rPr>
  </w:style>
  <w:style w:type="paragraph" w:styleId="21">
    <w:name w:val="footer"/>
    <w:basedOn w:val="1"/>
    <w:link w:val="62"/>
    <w:qFormat/>
    <w:uiPriority w:val="0"/>
    <w:pPr>
      <w:tabs>
        <w:tab w:val="center" w:pos="4153"/>
        <w:tab w:val="right" w:pos="8306"/>
      </w:tabs>
      <w:snapToGrid w:val="0"/>
    </w:pPr>
    <w:rPr>
      <w:kern w:val="0"/>
      <w:sz w:val="18"/>
      <w:szCs w:val="20"/>
    </w:rPr>
  </w:style>
  <w:style w:type="paragraph" w:styleId="22">
    <w:name w:val="header"/>
    <w:basedOn w:val="1"/>
    <w:link w:val="81"/>
    <w:qFormat/>
    <w:uiPriority w:val="0"/>
    <w:pPr>
      <w:pBdr>
        <w:bottom w:val="single" w:color="auto" w:sz="6" w:space="1"/>
      </w:pBdr>
      <w:tabs>
        <w:tab w:val="center" w:pos="4153"/>
        <w:tab w:val="right" w:pos="8306"/>
      </w:tabs>
      <w:snapToGrid w:val="0"/>
      <w:jc w:val="center"/>
    </w:pPr>
    <w:rPr>
      <w:kern w:val="0"/>
      <w:sz w:val="18"/>
      <w:szCs w:val="20"/>
    </w:rPr>
  </w:style>
  <w:style w:type="paragraph" w:styleId="23">
    <w:name w:val="toc 1"/>
    <w:basedOn w:val="1"/>
    <w:next w:val="1"/>
    <w:qFormat/>
    <w:uiPriority w:val="39"/>
    <w:pPr>
      <w:tabs>
        <w:tab w:val="right" w:leader="dot" w:pos="8296"/>
      </w:tabs>
    </w:pPr>
  </w:style>
  <w:style w:type="paragraph" w:styleId="24">
    <w:name w:val="Subtitle"/>
    <w:basedOn w:val="1"/>
    <w:next w:val="1"/>
    <w:link w:val="68"/>
    <w:qFormat/>
    <w:uiPriority w:val="0"/>
    <w:pPr>
      <w:spacing w:before="240" w:after="60" w:line="312" w:lineRule="auto"/>
      <w:jc w:val="center"/>
      <w:outlineLvl w:val="1"/>
    </w:pPr>
    <w:rPr>
      <w:rFonts w:ascii="Calibri Light" w:hAnsi="Calibri Light"/>
      <w:b/>
      <w:bCs/>
      <w:kern w:val="28"/>
      <w:sz w:val="32"/>
      <w:szCs w:val="32"/>
    </w:rPr>
  </w:style>
  <w:style w:type="paragraph" w:styleId="25">
    <w:name w:val="Body Text Indent 3"/>
    <w:basedOn w:val="1"/>
    <w:link w:val="64"/>
    <w:qFormat/>
    <w:uiPriority w:val="0"/>
    <w:pPr>
      <w:spacing w:after="120"/>
      <w:ind w:left="420" w:leftChars="200"/>
    </w:pPr>
    <w:rPr>
      <w:kern w:val="0"/>
      <w:sz w:val="16"/>
      <w:szCs w:val="16"/>
    </w:rPr>
  </w:style>
  <w:style w:type="paragraph" w:styleId="26">
    <w:name w:val="toc 2"/>
    <w:basedOn w:val="1"/>
    <w:next w:val="1"/>
    <w:unhideWhenUsed/>
    <w:qFormat/>
    <w:uiPriority w:val="39"/>
    <w:pPr>
      <w:spacing w:after="100" w:line="259" w:lineRule="auto"/>
      <w:ind w:left="220"/>
    </w:pPr>
    <w:rPr>
      <w:rFonts w:ascii="Calibri" w:hAnsi="Calibri"/>
      <w:kern w:val="0"/>
      <w:sz w:val="22"/>
      <w:szCs w:val="22"/>
    </w:rPr>
  </w:style>
  <w:style w:type="paragraph" w:styleId="27">
    <w:name w:val="toc 9"/>
    <w:basedOn w:val="1"/>
    <w:next w:val="1"/>
    <w:qFormat/>
    <w:uiPriority w:val="0"/>
    <w:pPr>
      <w:ind w:left="3360" w:leftChars="1600"/>
    </w:pPr>
  </w:style>
  <w:style w:type="paragraph" w:styleId="28">
    <w:name w:val="HTML Preformatted"/>
    <w:basedOn w:val="1"/>
    <w:link w:val="108"/>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kern w:val="0"/>
      <w:sz w:val="24"/>
    </w:rPr>
  </w:style>
  <w:style w:type="paragraph" w:styleId="29">
    <w:name w:val="Normal (Web)"/>
    <w:basedOn w:val="1"/>
    <w:unhideWhenUsed/>
    <w:qFormat/>
    <w:uiPriority w:val="0"/>
    <w:pPr>
      <w:spacing w:before="100" w:beforeAutospacing="1" w:after="100" w:afterAutospacing="1"/>
    </w:pPr>
    <w:rPr>
      <w:rFonts w:ascii="宋体" w:hAnsi="宋体" w:cs="宋体"/>
      <w:kern w:val="0"/>
      <w:sz w:val="24"/>
    </w:rPr>
  </w:style>
  <w:style w:type="paragraph" w:styleId="30">
    <w:name w:val="Title"/>
    <w:basedOn w:val="1"/>
    <w:next w:val="1"/>
    <w:link w:val="84"/>
    <w:qFormat/>
    <w:uiPriority w:val="0"/>
    <w:pPr>
      <w:spacing w:before="240" w:after="60"/>
      <w:jc w:val="center"/>
      <w:outlineLvl w:val="0"/>
    </w:pPr>
    <w:rPr>
      <w:rFonts w:ascii="Cambria" w:hAnsi="Cambria"/>
      <w:b/>
      <w:bCs/>
      <w:kern w:val="0"/>
      <w:sz w:val="36"/>
      <w:szCs w:val="32"/>
    </w:rPr>
  </w:style>
  <w:style w:type="paragraph" w:styleId="31">
    <w:name w:val="annotation subject"/>
    <w:basedOn w:val="11"/>
    <w:next w:val="11"/>
    <w:link w:val="60"/>
    <w:qFormat/>
    <w:uiPriority w:val="99"/>
    <w:rPr>
      <w:b/>
      <w:bCs/>
    </w:rPr>
  </w:style>
  <w:style w:type="paragraph" w:styleId="32">
    <w:name w:val="Body Text First Indent"/>
    <w:basedOn w:val="12"/>
    <w:link w:val="75"/>
    <w:qFormat/>
    <w:uiPriority w:val="0"/>
    <w:pPr>
      <w:ind w:firstLine="420" w:firstLineChars="100"/>
    </w:pPr>
  </w:style>
  <w:style w:type="table" w:styleId="34">
    <w:name w:val="Table Grid"/>
    <w:basedOn w:val="3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0"/>
    <w:rPr>
      <w:b/>
      <w:bCs/>
    </w:rPr>
  </w:style>
  <w:style w:type="character" w:styleId="37">
    <w:name w:val="page number"/>
    <w:qFormat/>
    <w:uiPriority w:val="0"/>
  </w:style>
  <w:style w:type="character" w:styleId="38">
    <w:name w:val="FollowedHyperlink"/>
    <w:qFormat/>
    <w:uiPriority w:val="99"/>
    <w:rPr>
      <w:color w:val="0000FF"/>
      <w:u w:val="single"/>
    </w:rPr>
  </w:style>
  <w:style w:type="character" w:styleId="39">
    <w:name w:val="Emphasis"/>
    <w:qFormat/>
    <w:uiPriority w:val="20"/>
    <w:rPr>
      <w:i/>
      <w:iCs/>
    </w:rPr>
  </w:style>
  <w:style w:type="character" w:styleId="40">
    <w:name w:val="Hyperlink"/>
    <w:qFormat/>
    <w:uiPriority w:val="99"/>
    <w:rPr>
      <w:color w:val="000099"/>
      <w:u w:val="none"/>
    </w:rPr>
  </w:style>
  <w:style w:type="character" w:styleId="41">
    <w:name w:val="annotation reference"/>
    <w:qFormat/>
    <w:uiPriority w:val="99"/>
    <w:rPr>
      <w:sz w:val="21"/>
      <w:szCs w:val="21"/>
    </w:rPr>
  </w:style>
  <w:style w:type="character" w:styleId="42">
    <w:name w:val="HTML Cite"/>
    <w:unhideWhenUsed/>
    <w:qFormat/>
    <w:uiPriority w:val="99"/>
    <w:rPr>
      <w:color w:val="008000"/>
    </w:rPr>
  </w:style>
  <w:style w:type="paragraph" w:customStyle="1" w:styleId="43">
    <w:name w:val="Body Text 21"/>
    <w:basedOn w:val="1"/>
    <w:next w:val="12"/>
    <w:unhideWhenUsed/>
    <w:qFormat/>
    <w:uiPriority w:val="0"/>
    <w:pPr>
      <w:spacing w:before="240" w:line="400" w:lineRule="exact"/>
      <w:ind w:firstLine="357"/>
    </w:pPr>
    <w:rPr>
      <w:sz w:val="28"/>
    </w:rPr>
  </w:style>
  <w:style w:type="paragraph" w:customStyle="1" w:styleId="44">
    <w:name w:val="_Style 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0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46">
    <w:name w:val="3"/>
    <w:basedOn w:val="1"/>
    <w:qFormat/>
    <w:uiPriority w:val="34"/>
    <w:pPr>
      <w:ind w:firstLine="420" w:firstLineChars="200"/>
    </w:pPr>
  </w:style>
  <w:style w:type="paragraph" w:customStyle="1" w:styleId="47">
    <w:name w:val="xl54"/>
    <w:basedOn w:val="1"/>
    <w:qFormat/>
    <w:uiPriority w:val="0"/>
    <w:pPr>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48">
    <w:name w:val="_Style 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2"/>
    <w:link w:val="8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xl52"/>
    <w:basedOn w:val="1"/>
    <w:qFormat/>
    <w:uiPriority w:val="0"/>
    <w:pPr>
      <w:spacing w:before="100" w:beforeAutospacing="1" w:after="100" w:afterAutospacing="1"/>
      <w:jc w:val="center"/>
      <w:textAlignment w:val="top"/>
    </w:pPr>
    <w:rPr>
      <w:kern w:val="0"/>
      <w:sz w:val="20"/>
      <w:szCs w:val="20"/>
    </w:rPr>
  </w:style>
  <w:style w:type="paragraph" w:customStyle="1" w:styleId="51">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52">
    <w:name w:val="_Style 3"/>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Char1"/>
    <w:basedOn w:val="10"/>
    <w:qFormat/>
    <w:uiPriority w:val="0"/>
    <w:pPr>
      <w:shd w:val="clear" w:color="auto" w:fill="000080"/>
    </w:pPr>
    <w:rPr>
      <w:rFonts w:ascii="Times New Roman" w:eastAsia="宋体"/>
      <w:sz w:val="21"/>
      <w:szCs w:val="20"/>
      <w:shd w:val="clear" w:color="auto" w:fill="000080"/>
    </w:rPr>
  </w:style>
  <w:style w:type="paragraph" w:customStyle="1" w:styleId="54">
    <w:name w:val="Table Text"/>
    <w:basedOn w:val="1"/>
    <w:qFormat/>
    <w:uiPriority w:val="0"/>
    <w:pPr>
      <w:tabs>
        <w:tab w:val="decimal" w:pos="0"/>
      </w:tabs>
      <w:autoSpaceDE w:val="0"/>
      <w:autoSpaceDN w:val="0"/>
      <w:adjustRightInd w:val="0"/>
      <w:spacing w:before="80" w:after="80"/>
    </w:pPr>
    <w:rPr>
      <w:rFonts w:ascii="Arial" w:hAnsi="Arial"/>
      <w:kern w:val="0"/>
      <w:sz w:val="18"/>
      <w:szCs w:val="20"/>
    </w:rPr>
  </w:style>
  <w:style w:type="paragraph" w:customStyle="1" w:styleId="55">
    <w:name w:val="列出段落111"/>
    <w:basedOn w:val="1"/>
    <w:qFormat/>
    <w:uiPriority w:val="0"/>
    <w:pPr>
      <w:ind w:firstLine="420" w:firstLineChars="200"/>
    </w:pPr>
    <w:rPr>
      <w:rFonts w:ascii="Calibri" w:hAnsi="Calibri"/>
      <w:sz w:val="28"/>
    </w:rPr>
  </w:style>
  <w:style w:type="paragraph" w:customStyle="1" w:styleId="56">
    <w:name w:val="样式1"/>
    <w:basedOn w:val="1"/>
    <w:qFormat/>
    <w:uiPriority w:val="0"/>
    <w:rPr>
      <w:rFonts w:eastAsia="仿宋_GB2312"/>
      <w:kern w:val="0"/>
      <w:sz w:val="32"/>
      <w:szCs w:val="20"/>
    </w:rPr>
  </w:style>
  <w:style w:type="paragraph" w:customStyle="1" w:styleId="57">
    <w:name w:val="1"/>
    <w:basedOn w:val="2"/>
    <w:next w:val="1"/>
    <w:qFormat/>
    <w:uiPriority w:val="39"/>
    <w:pPr>
      <w:numPr>
        <w:numId w:val="0"/>
      </w:numPr>
      <w:snapToGrid/>
      <w:spacing w:before="240" w:line="259" w:lineRule="auto"/>
      <w:outlineLvl w:val="9"/>
    </w:pPr>
    <w:rPr>
      <w:rFonts w:ascii="Calibri Light" w:hAnsi="Calibri Light" w:eastAsia="宋体"/>
      <w:color w:val="2E74B5"/>
      <w:kern w:val="0"/>
      <w:sz w:val="32"/>
      <w:szCs w:val="32"/>
    </w:rPr>
  </w:style>
  <w:style w:type="paragraph" w:customStyle="1" w:styleId="58">
    <w:name w:val="列出段落11"/>
    <w:basedOn w:val="1"/>
    <w:qFormat/>
    <w:uiPriority w:val="0"/>
    <w:pPr>
      <w:ind w:firstLine="420" w:firstLineChars="200"/>
    </w:pPr>
  </w:style>
  <w:style w:type="paragraph" w:customStyle="1" w:styleId="59">
    <w:name w:val="正文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character" w:customStyle="1" w:styleId="60">
    <w:name w:val="批注主题 Char1"/>
    <w:link w:val="31"/>
    <w:qFormat/>
    <w:uiPriority w:val="99"/>
    <w:rPr>
      <w:rFonts w:ascii="Times New Roman" w:hAnsi="Times New Roman" w:eastAsia="宋体" w:cs="Times New Roman"/>
      <w:b/>
      <w:bCs/>
      <w:szCs w:val="24"/>
    </w:rPr>
  </w:style>
  <w:style w:type="character" w:customStyle="1" w:styleId="61">
    <w:name w:val="标题 1 Char"/>
    <w:link w:val="2"/>
    <w:qFormat/>
    <w:uiPriority w:val="0"/>
    <w:rPr>
      <w:rFonts w:ascii="宋体" w:eastAsia="黑体"/>
      <w:kern w:val="28"/>
      <w:sz w:val="28"/>
    </w:rPr>
  </w:style>
  <w:style w:type="character" w:customStyle="1" w:styleId="62">
    <w:name w:val="页脚 Char"/>
    <w:link w:val="21"/>
    <w:qFormat/>
    <w:uiPriority w:val="99"/>
    <w:rPr>
      <w:rFonts w:ascii="Times New Roman" w:hAnsi="Times New Roman" w:eastAsia="宋体" w:cs="Times New Roman"/>
      <w:sz w:val="18"/>
      <w:szCs w:val="20"/>
    </w:rPr>
  </w:style>
  <w:style w:type="character" w:customStyle="1" w:styleId="63">
    <w:name w:val="批注框文本 Char"/>
    <w:link w:val="20"/>
    <w:qFormat/>
    <w:uiPriority w:val="99"/>
    <w:rPr>
      <w:rFonts w:ascii="Times New Roman" w:hAnsi="Times New Roman" w:eastAsia="宋体" w:cs="Times New Roman"/>
      <w:sz w:val="18"/>
      <w:szCs w:val="18"/>
    </w:rPr>
  </w:style>
  <w:style w:type="character" w:customStyle="1" w:styleId="64">
    <w:name w:val="正文文本缩进 3 Char"/>
    <w:link w:val="25"/>
    <w:qFormat/>
    <w:uiPriority w:val="0"/>
    <w:rPr>
      <w:rFonts w:ascii="Times New Roman" w:hAnsi="Times New Roman" w:eastAsia="宋体" w:cs="Times New Roman"/>
      <w:sz w:val="16"/>
      <w:szCs w:val="16"/>
    </w:rPr>
  </w:style>
  <w:style w:type="character" w:customStyle="1" w:styleId="65">
    <w:name w:val="标题 6 Char"/>
    <w:link w:val="8"/>
    <w:qFormat/>
    <w:uiPriority w:val="0"/>
    <w:rPr>
      <w:rFonts w:ascii="Calibri Light" w:hAnsi="Calibri Light" w:eastAsia="宋体" w:cs="Times New Roman"/>
      <w:b/>
      <w:bCs/>
      <w:sz w:val="24"/>
      <w:szCs w:val="24"/>
    </w:rPr>
  </w:style>
  <w:style w:type="character" w:customStyle="1" w:styleId="66">
    <w:name w:val="标题 2 Char"/>
    <w:link w:val="3"/>
    <w:qFormat/>
    <w:uiPriority w:val="0"/>
    <w:rPr>
      <w:rFonts w:ascii="宋体"/>
      <w:kern w:val="2"/>
      <w:sz w:val="28"/>
    </w:rPr>
  </w:style>
  <w:style w:type="character" w:customStyle="1" w:styleId="67">
    <w:name w:val="文档结构图 Char"/>
    <w:link w:val="10"/>
    <w:semiHidden/>
    <w:qFormat/>
    <w:uiPriority w:val="99"/>
    <w:rPr>
      <w:rFonts w:ascii="Microsoft YaHei UI" w:hAnsi="Times New Roman" w:eastAsia="Microsoft YaHei UI" w:cs="Times New Roman"/>
      <w:sz w:val="18"/>
      <w:szCs w:val="18"/>
    </w:rPr>
  </w:style>
  <w:style w:type="character" w:customStyle="1" w:styleId="68">
    <w:name w:val="副标题 Char"/>
    <w:link w:val="24"/>
    <w:qFormat/>
    <w:uiPriority w:val="0"/>
    <w:rPr>
      <w:rFonts w:ascii="Calibri Light" w:hAnsi="Calibri Light" w:eastAsia="宋体" w:cs="Times New Roman"/>
      <w:b/>
      <w:bCs/>
      <w:kern w:val="28"/>
      <w:sz w:val="32"/>
      <w:szCs w:val="32"/>
    </w:rPr>
  </w:style>
  <w:style w:type="character" w:customStyle="1" w:styleId="69">
    <w:name w:val="标题 4 Char"/>
    <w:link w:val="6"/>
    <w:qFormat/>
    <w:uiPriority w:val="0"/>
    <w:rPr>
      <w:rFonts w:ascii="Calibri Light" w:hAnsi="Calibri Light" w:eastAsia="宋体" w:cs="Times New Roman"/>
      <w:b/>
      <w:bCs/>
      <w:sz w:val="28"/>
      <w:szCs w:val="28"/>
    </w:rPr>
  </w:style>
  <w:style w:type="character" w:customStyle="1" w:styleId="70">
    <w:name w:val="标题 Char1"/>
    <w:qFormat/>
    <w:uiPriority w:val="0"/>
    <w:rPr>
      <w:rFonts w:ascii="Calibri Light" w:hAnsi="Calibri Light" w:eastAsia="宋体" w:cs="Times New Roman"/>
      <w:b/>
      <w:bCs/>
      <w:sz w:val="32"/>
      <w:szCs w:val="32"/>
    </w:rPr>
  </w:style>
  <w:style w:type="character" w:customStyle="1" w:styleId="71">
    <w:name w:val="批注文字 Char"/>
    <w:qFormat/>
    <w:uiPriority w:val="0"/>
    <w:rPr>
      <w:rFonts w:ascii="Times New Roman" w:hAnsi="Times New Roman" w:eastAsia="宋体" w:cs="Times New Roman"/>
      <w:szCs w:val="24"/>
    </w:rPr>
  </w:style>
  <w:style w:type="character" w:customStyle="1" w:styleId="72">
    <w:name w:val="标题 5 Char"/>
    <w:link w:val="7"/>
    <w:qFormat/>
    <w:uiPriority w:val="0"/>
    <w:rPr>
      <w:rFonts w:ascii="Times New Roman" w:hAnsi="Times New Roman" w:eastAsia="宋体" w:cs="Times New Roman"/>
      <w:b/>
      <w:bCs/>
      <w:sz w:val="28"/>
      <w:szCs w:val="28"/>
    </w:rPr>
  </w:style>
  <w:style w:type="character" w:customStyle="1" w:styleId="73">
    <w:name w:val="Table Text Char Char Char"/>
    <w:qFormat/>
    <w:uiPriority w:val="0"/>
    <w:rPr>
      <w:rFonts w:ascii="Arial" w:hAnsi="Arial" w:eastAsia="宋体" w:cs="Arial"/>
      <w:sz w:val="18"/>
      <w:szCs w:val="18"/>
      <w:lang w:val="en-US" w:eastAsia="zh-CN" w:bidi="ar-SA"/>
    </w:rPr>
  </w:style>
  <w:style w:type="character" w:customStyle="1" w:styleId="74">
    <w:name w:val="标题 3 Char"/>
    <w:link w:val="5"/>
    <w:qFormat/>
    <w:uiPriority w:val="0"/>
    <w:rPr>
      <w:rFonts w:ascii="宋体"/>
      <w:kern w:val="2"/>
      <w:sz w:val="28"/>
    </w:rPr>
  </w:style>
  <w:style w:type="character" w:customStyle="1" w:styleId="75">
    <w:name w:val="正文首行缩进 Char"/>
    <w:link w:val="32"/>
    <w:qFormat/>
    <w:uiPriority w:val="0"/>
    <w:rPr>
      <w:rFonts w:ascii="Times New Roman" w:hAnsi="Times New Roman" w:eastAsia="宋体" w:cs="Times New Roman"/>
      <w:szCs w:val="24"/>
    </w:rPr>
  </w:style>
  <w:style w:type="character" w:customStyle="1" w:styleId="76">
    <w:name w:val="正文文本 Char"/>
    <w:link w:val="12"/>
    <w:qFormat/>
    <w:uiPriority w:val="0"/>
    <w:rPr>
      <w:rFonts w:ascii="Times New Roman" w:hAnsi="Times New Roman" w:eastAsia="宋体" w:cs="Times New Roman"/>
      <w:szCs w:val="24"/>
    </w:rPr>
  </w:style>
  <w:style w:type="character" w:customStyle="1" w:styleId="77">
    <w:name w:val="纯文本 Char"/>
    <w:qFormat/>
    <w:uiPriority w:val="0"/>
    <w:rPr>
      <w:rFonts w:ascii="宋体" w:hAnsi="Courier New" w:eastAsia="宋体" w:cs="Courier New"/>
      <w:szCs w:val="21"/>
    </w:rPr>
  </w:style>
  <w:style w:type="character" w:customStyle="1" w:styleId="78">
    <w:name w:val="纯文本 Char2"/>
    <w:link w:val="18"/>
    <w:qFormat/>
    <w:uiPriority w:val="0"/>
    <w:rPr>
      <w:rFonts w:ascii="宋体" w:hAnsi="Courier New" w:eastAsia="宋体" w:cs="Times New Roman"/>
      <w:szCs w:val="20"/>
    </w:rPr>
  </w:style>
  <w:style w:type="character" w:customStyle="1" w:styleId="79">
    <w:name w:val="Table Text Char"/>
    <w:qFormat/>
    <w:uiPriority w:val="0"/>
    <w:rPr>
      <w:rFonts w:ascii="Arial" w:hAnsi="Arial" w:eastAsia="宋体"/>
      <w:sz w:val="18"/>
      <w:lang w:val="en-US" w:eastAsia="zh-CN" w:bidi="ar-SA"/>
    </w:rPr>
  </w:style>
  <w:style w:type="character" w:customStyle="1" w:styleId="80">
    <w:name w:val="无间隔 Char"/>
    <w:link w:val="49"/>
    <w:qFormat/>
    <w:uiPriority w:val="1"/>
    <w:rPr>
      <w:rFonts w:ascii="Times New Roman" w:hAnsi="Times New Roman"/>
      <w:kern w:val="2"/>
      <w:sz w:val="21"/>
      <w:szCs w:val="24"/>
      <w:lang w:val="en-US" w:eastAsia="zh-CN" w:bidi="ar-SA"/>
    </w:rPr>
  </w:style>
  <w:style w:type="character" w:customStyle="1" w:styleId="81">
    <w:name w:val="页眉 Char1"/>
    <w:link w:val="22"/>
    <w:qFormat/>
    <w:uiPriority w:val="99"/>
    <w:rPr>
      <w:rFonts w:ascii="Times New Roman" w:hAnsi="Times New Roman" w:eastAsia="宋体" w:cs="Times New Roman"/>
      <w:sz w:val="18"/>
      <w:szCs w:val="20"/>
    </w:rPr>
  </w:style>
  <w:style w:type="character" w:customStyle="1" w:styleId="82">
    <w:name w:val="标题 7 Char"/>
    <w:link w:val="9"/>
    <w:semiHidden/>
    <w:qFormat/>
    <w:uiPriority w:val="9"/>
    <w:rPr>
      <w:rFonts w:ascii="Times New Roman" w:hAnsi="Times New Roman"/>
      <w:b/>
      <w:bCs/>
      <w:kern w:val="2"/>
      <w:sz w:val="24"/>
      <w:szCs w:val="24"/>
    </w:rPr>
  </w:style>
  <w:style w:type="character" w:customStyle="1" w:styleId="83">
    <w:name w:val="批注文字 Char1"/>
    <w:link w:val="11"/>
    <w:qFormat/>
    <w:uiPriority w:val="0"/>
    <w:rPr>
      <w:rFonts w:ascii="Times New Roman" w:hAnsi="Times New Roman" w:eastAsia="宋体" w:cs="Times New Roman"/>
      <w:szCs w:val="24"/>
    </w:rPr>
  </w:style>
  <w:style w:type="character" w:customStyle="1" w:styleId="84">
    <w:name w:val="标题 Char"/>
    <w:link w:val="30"/>
    <w:qFormat/>
    <w:uiPriority w:val="0"/>
    <w:rPr>
      <w:rFonts w:ascii="Cambria" w:hAnsi="Cambria"/>
      <w:b/>
      <w:bCs/>
      <w:sz w:val="36"/>
      <w:szCs w:val="32"/>
    </w:rPr>
  </w:style>
  <w:style w:type="character" w:customStyle="1" w:styleId="85">
    <w:name w:val="正文文本缩进 Char"/>
    <w:link w:val="14"/>
    <w:qFormat/>
    <w:uiPriority w:val="0"/>
    <w:rPr>
      <w:rFonts w:ascii="宋体" w:hAnsi="宋体" w:eastAsia="宋体" w:cs="Times New Roman"/>
      <w:szCs w:val="21"/>
    </w:rPr>
  </w:style>
  <w:style w:type="character" w:customStyle="1" w:styleId="86">
    <w:name w:val="日期 Char"/>
    <w:link w:val="19"/>
    <w:qFormat/>
    <w:uiPriority w:val="0"/>
    <w:rPr>
      <w:rFonts w:ascii="Times New Roman" w:hAnsi="Times New Roman" w:eastAsia="宋体" w:cs="Times New Roman"/>
      <w:szCs w:val="24"/>
    </w:rPr>
  </w:style>
  <w:style w:type="character" w:customStyle="1" w:styleId="87">
    <w:name w:val="批注主题 Char"/>
    <w:semiHidden/>
    <w:qFormat/>
    <w:uiPriority w:val="99"/>
    <w:rPr>
      <w:rFonts w:ascii="Times New Roman" w:hAnsi="Times New Roman" w:eastAsia="宋体" w:cs="Times New Roman"/>
      <w:b/>
      <w:bCs/>
      <w:szCs w:val="24"/>
    </w:rPr>
  </w:style>
  <w:style w:type="paragraph" w:customStyle="1" w:styleId="88">
    <w:name w:val="p16"/>
    <w:basedOn w:val="1"/>
    <w:qFormat/>
    <w:uiPriority w:val="0"/>
    <w:rPr>
      <w:rFonts w:ascii="宋体" w:hAnsi="宋体" w:cs="宋体"/>
      <w:kern w:val="0"/>
      <w:szCs w:val="21"/>
    </w:rPr>
  </w:style>
  <w:style w:type="paragraph" w:styleId="89">
    <w:name w:val="List Paragraph"/>
    <w:basedOn w:val="1"/>
    <w:link w:val="124"/>
    <w:unhideWhenUsed/>
    <w:qFormat/>
    <w:uiPriority w:val="34"/>
    <w:pPr>
      <w:ind w:firstLine="420" w:firstLineChars="200"/>
    </w:pPr>
  </w:style>
  <w:style w:type="paragraph" w:customStyle="1" w:styleId="90">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91">
    <w:name w:val="列出段落1"/>
    <w:basedOn w:val="1"/>
    <w:qFormat/>
    <w:uiPriority w:val="0"/>
    <w:pPr>
      <w:ind w:firstLine="420" w:firstLineChars="200"/>
    </w:pPr>
    <w:rPr>
      <w:rFonts w:ascii="Calibri" w:hAnsi="Calibri" w:cs="黑体"/>
      <w:szCs w:val="22"/>
    </w:rPr>
  </w:style>
  <w:style w:type="paragraph" w:styleId="92">
    <w:name w:val="No Spacing"/>
    <w:link w:val="107"/>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3">
    <w:name w:val="段 Char Char"/>
    <w:link w:val="94"/>
    <w:qFormat/>
    <w:uiPriority w:val="0"/>
    <w:rPr>
      <w:rFonts w:ascii="宋体"/>
      <w:sz w:val="21"/>
      <w:lang w:val="en-US" w:eastAsia="zh-CN" w:bidi="ar-SA"/>
    </w:rPr>
  </w:style>
  <w:style w:type="paragraph" w:customStyle="1" w:styleId="94">
    <w:name w:val="段"/>
    <w:link w:val="93"/>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95">
    <w:name w:val="三级条标题 Char Char"/>
    <w:link w:val="96"/>
    <w:qFormat/>
    <w:uiPriority w:val="0"/>
    <w:rPr>
      <w:rFonts w:ascii="黑体" w:eastAsia="黑体"/>
      <w:sz w:val="21"/>
    </w:rPr>
  </w:style>
  <w:style w:type="paragraph" w:customStyle="1" w:styleId="96">
    <w:name w:val="三级条标题"/>
    <w:basedOn w:val="97"/>
    <w:next w:val="94"/>
    <w:link w:val="95"/>
    <w:qFormat/>
    <w:uiPriority w:val="0"/>
    <w:pPr>
      <w:tabs>
        <w:tab w:val="left" w:pos="720"/>
        <w:tab w:val="left" w:pos="992"/>
      </w:tabs>
      <w:ind w:left="992" w:hanging="992"/>
      <w:outlineLvl w:val="4"/>
    </w:pPr>
  </w:style>
  <w:style w:type="paragraph" w:customStyle="1" w:styleId="97">
    <w:name w:val="二级条标题"/>
    <w:basedOn w:val="98"/>
    <w:next w:val="94"/>
    <w:link w:val="100"/>
    <w:qFormat/>
    <w:uiPriority w:val="0"/>
    <w:pPr>
      <w:tabs>
        <w:tab w:val="left" w:pos="720"/>
      </w:tabs>
      <w:outlineLvl w:val="3"/>
    </w:pPr>
  </w:style>
  <w:style w:type="paragraph" w:customStyle="1" w:styleId="98">
    <w:name w:val="一级条标题"/>
    <w:basedOn w:val="99"/>
    <w:next w:val="94"/>
    <w:link w:val="102"/>
    <w:qFormat/>
    <w:uiPriority w:val="0"/>
    <w:pPr>
      <w:tabs>
        <w:tab w:val="left" w:pos="720"/>
      </w:tabs>
      <w:spacing w:beforeLines="0" w:afterLines="0"/>
      <w:outlineLvl w:val="2"/>
    </w:pPr>
  </w:style>
  <w:style w:type="paragraph" w:customStyle="1" w:styleId="99">
    <w:name w:val="章标题"/>
    <w:next w:val="94"/>
    <w:link w:val="101"/>
    <w:qFormat/>
    <w:uiPriority w:val="0"/>
    <w:pPr>
      <w:tabs>
        <w:tab w:val="left" w:pos="720"/>
      </w:tabs>
      <w:spacing w:beforeLines="50" w:afterLines="50"/>
      <w:ind w:left="567" w:hanging="567"/>
      <w:jc w:val="both"/>
      <w:outlineLvl w:val="1"/>
    </w:pPr>
    <w:rPr>
      <w:rFonts w:ascii="黑体" w:hAnsi="Calibri" w:eastAsia="黑体" w:cs="Times New Roman"/>
      <w:sz w:val="21"/>
      <w:lang w:val="en-US" w:eastAsia="zh-CN" w:bidi="ar-SA"/>
    </w:rPr>
  </w:style>
  <w:style w:type="character" w:customStyle="1" w:styleId="100">
    <w:name w:val="二级条标题 Char Char"/>
    <w:link w:val="97"/>
    <w:qFormat/>
    <w:uiPriority w:val="0"/>
    <w:rPr>
      <w:rFonts w:ascii="黑体" w:eastAsia="黑体"/>
      <w:sz w:val="21"/>
    </w:rPr>
  </w:style>
  <w:style w:type="character" w:customStyle="1" w:styleId="101">
    <w:name w:val="章标题 Char Char"/>
    <w:link w:val="99"/>
    <w:qFormat/>
    <w:uiPriority w:val="0"/>
    <w:rPr>
      <w:rFonts w:ascii="黑体" w:eastAsia="黑体"/>
      <w:sz w:val="21"/>
      <w:lang w:val="en-US" w:eastAsia="zh-CN" w:bidi="ar-SA"/>
    </w:rPr>
  </w:style>
  <w:style w:type="character" w:customStyle="1" w:styleId="102">
    <w:name w:val="一级条标题 Char Char"/>
    <w:link w:val="98"/>
    <w:qFormat/>
    <w:uiPriority w:val="0"/>
    <w:rPr>
      <w:rFonts w:ascii="黑体" w:eastAsia="黑体"/>
      <w:sz w:val="21"/>
    </w:rPr>
  </w:style>
  <w:style w:type="paragraph" w:customStyle="1" w:styleId="103">
    <w:name w:val="正文图标题"/>
    <w:next w:val="94"/>
    <w:qFormat/>
    <w:uiPriority w:val="0"/>
    <w:pPr>
      <w:ind w:left="360" w:hanging="360"/>
      <w:jc w:val="center"/>
    </w:pPr>
    <w:rPr>
      <w:rFonts w:ascii="黑体" w:hAnsi="Times New Roman" w:eastAsia="黑体" w:cs="Times New Roman"/>
      <w:sz w:val="21"/>
      <w:lang w:val="en-US" w:eastAsia="zh-CN" w:bidi="ar-SA"/>
    </w:rPr>
  </w:style>
  <w:style w:type="paragraph" w:customStyle="1" w:styleId="104">
    <w:name w:val="正文表标题"/>
    <w:next w:val="94"/>
    <w:qFormat/>
    <w:uiPriority w:val="0"/>
    <w:pPr>
      <w:ind w:left="360" w:hanging="360"/>
      <w:jc w:val="center"/>
    </w:pPr>
    <w:rPr>
      <w:rFonts w:ascii="黑体" w:hAnsi="Times New Roman" w:eastAsia="黑体" w:cs="Times New Roman"/>
      <w:sz w:val="21"/>
      <w:lang w:val="en-US" w:eastAsia="zh-CN" w:bidi="ar-SA"/>
    </w:rPr>
  </w:style>
  <w:style w:type="paragraph" w:customStyle="1" w:styleId="105">
    <w:name w:val="目次、标准名称标题"/>
    <w:basedOn w:val="1"/>
    <w:next w:val="94"/>
    <w:qFormat/>
    <w:uiPriority w:val="0"/>
    <w:pPr>
      <w:shd w:val="clear" w:color="FFFFFF" w:fill="FFFFFF"/>
      <w:spacing w:before="640" w:after="560" w:line="460" w:lineRule="exact"/>
      <w:jc w:val="center"/>
      <w:outlineLvl w:val="0"/>
    </w:pPr>
    <w:rPr>
      <w:rFonts w:ascii="黑体" w:eastAsia="黑体"/>
      <w:kern w:val="0"/>
      <w:sz w:val="32"/>
      <w:szCs w:val="20"/>
    </w:rPr>
  </w:style>
  <w:style w:type="character" w:customStyle="1" w:styleId="106">
    <w:name w:val="纯文本 Char1"/>
    <w:qFormat/>
    <w:uiPriority w:val="0"/>
    <w:rPr>
      <w:rFonts w:ascii="宋体" w:hAnsi="Courier New" w:eastAsia="宋体" w:cs="Courier New"/>
      <w:sz w:val="21"/>
      <w:szCs w:val="21"/>
    </w:rPr>
  </w:style>
  <w:style w:type="character" w:customStyle="1" w:styleId="107">
    <w:name w:val="无间隔 Char1"/>
    <w:link w:val="92"/>
    <w:qFormat/>
    <w:uiPriority w:val="1"/>
    <w:rPr>
      <w:rFonts w:ascii="Times New Roman" w:hAnsi="Times New Roman"/>
      <w:kern w:val="2"/>
      <w:sz w:val="21"/>
      <w:szCs w:val="24"/>
      <w:lang w:bidi="ar-SA"/>
    </w:rPr>
  </w:style>
  <w:style w:type="character" w:customStyle="1" w:styleId="108">
    <w:name w:val="HTML 预设格式 Char"/>
    <w:link w:val="28"/>
    <w:qFormat/>
    <w:uiPriority w:val="99"/>
    <w:rPr>
      <w:rFonts w:ascii="宋体" w:hAnsi="宋体" w:cs="宋体"/>
      <w:sz w:val="24"/>
      <w:szCs w:val="24"/>
    </w:rPr>
  </w:style>
  <w:style w:type="character" w:customStyle="1" w:styleId="109">
    <w:name w:val="页眉 Char"/>
    <w:qFormat/>
    <w:uiPriority w:val="99"/>
    <w:rPr>
      <w:lang w:eastAsia="zh-CN"/>
    </w:rPr>
  </w:style>
  <w:style w:type="character" w:customStyle="1" w:styleId="110">
    <w:name w:val="textcontents"/>
    <w:qFormat/>
    <w:uiPriority w:val="0"/>
    <w:rPr>
      <w:rFonts w:cs="Times New Roman"/>
    </w:rPr>
  </w:style>
  <w:style w:type="character" w:customStyle="1" w:styleId="111">
    <w:name w:val="标题4 Char Char"/>
    <w:link w:val="112"/>
    <w:qFormat/>
    <w:uiPriority w:val="0"/>
    <w:rPr>
      <w:rFonts w:ascii="Arial" w:hAnsi="Arial"/>
      <w:b/>
      <w:bCs/>
      <w:sz w:val="24"/>
      <w:szCs w:val="32"/>
    </w:rPr>
  </w:style>
  <w:style w:type="paragraph" w:customStyle="1" w:styleId="112">
    <w:name w:val="标题4"/>
    <w:basedOn w:val="3"/>
    <w:next w:val="16"/>
    <w:link w:val="111"/>
    <w:qFormat/>
    <w:uiPriority w:val="0"/>
    <w:pPr>
      <w:numPr>
        <w:ilvl w:val="0"/>
        <w:numId w:val="0"/>
      </w:numPr>
      <w:tabs>
        <w:tab w:val="clear" w:pos="425"/>
        <w:tab w:val="clear" w:pos="720"/>
      </w:tabs>
      <w:snapToGrid/>
      <w:spacing w:before="260" w:after="260" w:line="413" w:lineRule="auto"/>
    </w:pPr>
    <w:rPr>
      <w:rFonts w:ascii="Arial" w:hAnsi="Arial"/>
      <w:b/>
      <w:bCs/>
      <w:kern w:val="0"/>
      <w:sz w:val="24"/>
      <w:szCs w:val="32"/>
    </w:rPr>
  </w:style>
  <w:style w:type="character" w:customStyle="1" w:styleId="113">
    <w:name w:val="tabg"/>
    <w:qFormat/>
    <w:uiPriority w:val="0"/>
    <w:rPr>
      <w:rFonts w:ascii="微软雅黑" w:hAnsi="微软雅黑" w:eastAsia="微软雅黑" w:cs="微软雅黑"/>
      <w:color w:val="FFFFFF"/>
      <w:sz w:val="27"/>
      <w:szCs w:val="27"/>
    </w:rPr>
  </w:style>
  <w:style w:type="paragraph" w:customStyle="1" w:styleId="114">
    <w:name w:val="xl154"/>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textAlignment w:val="center"/>
    </w:pPr>
    <w:rPr>
      <w:rFonts w:ascii="Arial" w:hAnsi="Arial" w:cs="Arial"/>
      <w:b/>
      <w:bCs/>
      <w:i/>
      <w:iCs/>
      <w:kern w:val="0"/>
      <w:sz w:val="20"/>
      <w:szCs w:val="20"/>
    </w:rPr>
  </w:style>
  <w:style w:type="paragraph" w:customStyle="1" w:styleId="115">
    <w:name w:val="表内文字  居左"/>
    <w:basedOn w:val="1"/>
    <w:qFormat/>
    <w:uiPriority w:val="0"/>
    <w:rPr>
      <w:snapToGrid w:val="0"/>
      <w:szCs w:val="20"/>
    </w:rPr>
  </w:style>
  <w:style w:type="paragraph" w:customStyle="1" w:styleId="116">
    <w:name w:val="_Style 32"/>
    <w:qFormat/>
    <w:uiPriority w:val="1"/>
    <w:pPr>
      <w:widowControl w:val="0"/>
      <w:jc w:val="both"/>
    </w:pPr>
    <w:rPr>
      <w:rFonts w:ascii="Calibri" w:hAnsi="Calibri" w:eastAsia="微软雅黑" w:cs="Times New Roman"/>
      <w:kern w:val="2"/>
      <w:sz w:val="21"/>
      <w:szCs w:val="24"/>
      <w:lang w:val="en-US" w:eastAsia="zh-CN" w:bidi="ar-SA"/>
    </w:rPr>
  </w:style>
  <w:style w:type="character" w:customStyle="1" w:styleId="117">
    <w:name w:val="正文缩进 Char"/>
    <w:link w:val="4"/>
    <w:qFormat/>
    <w:uiPriority w:val="0"/>
    <w:rPr>
      <w:kern w:val="2"/>
      <w:sz w:val="21"/>
      <w:szCs w:val="24"/>
    </w:rPr>
  </w:style>
  <w:style w:type="character" w:customStyle="1" w:styleId="118">
    <w:name w:val="font41"/>
    <w:qFormat/>
    <w:uiPriority w:val="0"/>
    <w:rPr>
      <w:rFonts w:hint="default" w:ascii="GE Inspira Pitch" w:hAnsi="GE Inspira Pitch" w:eastAsia="GE Inspira Pitch" w:cs="GE Inspira Pitch"/>
      <w:color w:val="FF0000"/>
      <w:sz w:val="22"/>
      <w:szCs w:val="22"/>
      <w:u w:val="none"/>
    </w:rPr>
  </w:style>
  <w:style w:type="character" w:customStyle="1" w:styleId="119">
    <w:name w:val="日期 Char1"/>
    <w:semiHidden/>
    <w:qFormat/>
    <w:uiPriority w:val="99"/>
    <w:rPr>
      <w:kern w:val="2"/>
      <w:sz w:val="21"/>
      <w:szCs w:val="24"/>
    </w:rPr>
  </w:style>
  <w:style w:type="character" w:customStyle="1" w:styleId="120">
    <w:name w:val="font21"/>
    <w:qFormat/>
    <w:uiPriority w:val="0"/>
    <w:rPr>
      <w:rFonts w:hint="default" w:ascii="GE Inspira Pitch" w:hAnsi="GE Inspira Pitch" w:eastAsia="GE Inspira Pitch" w:cs="GE Inspira Pitch"/>
      <w:b/>
      <w:color w:val="000000"/>
      <w:sz w:val="22"/>
      <w:szCs w:val="22"/>
      <w:u w:val="none"/>
    </w:rPr>
  </w:style>
  <w:style w:type="character" w:customStyle="1" w:styleId="121">
    <w:name w:val="font01"/>
    <w:qFormat/>
    <w:uiPriority w:val="0"/>
    <w:rPr>
      <w:rFonts w:hint="eastAsia" w:ascii="宋体" w:hAnsi="宋体" w:eastAsia="宋体" w:cs="宋体"/>
      <w:color w:val="000000"/>
      <w:sz w:val="22"/>
      <w:szCs w:val="22"/>
      <w:u w:val="none"/>
    </w:rPr>
  </w:style>
  <w:style w:type="character" w:customStyle="1" w:styleId="122">
    <w:name w:val="font61"/>
    <w:qFormat/>
    <w:uiPriority w:val="0"/>
    <w:rPr>
      <w:rFonts w:hint="default" w:ascii="GE Inspira Pitch" w:hAnsi="GE Inspira Pitch" w:eastAsia="GE Inspira Pitch" w:cs="GE Inspira Pitch"/>
      <w:color w:val="000000"/>
      <w:sz w:val="22"/>
      <w:szCs w:val="22"/>
      <w:u w:val="none"/>
    </w:rPr>
  </w:style>
  <w:style w:type="character" w:customStyle="1" w:styleId="123">
    <w:name w:val="font71"/>
    <w:qFormat/>
    <w:uiPriority w:val="0"/>
    <w:rPr>
      <w:rFonts w:hint="default" w:ascii="幼圆" w:hAnsi="幼圆" w:eastAsia="幼圆" w:cs="幼圆"/>
      <w:color w:val="000000"/>
      <w:sz w:val="22"/>
      <w:szCs w:val="22"/>
      <w:u w:val="none"/>
    </w:rPr>
  </w:style>
  <w:style w:type="character" w:customStyle="1" w:styleId="124">
    <w:name w:val="列出段落 Char"/>
    <w:link w:val="89"/>
    <w:qFormat/>
    <w:uiPriority w:val="34"/>
    <w:rPr>
      <w:kern w:val="2"/>
      <w:sz w:val="21"/>
      <w:szCs w:val="24"/>
    </w:rPr>
  </w:style>
  <w:style w:type="character" w:customStyle="1" w:styleId="125">
    <w:name w:val="font51"/>
    <w:qFormat/>
    <w:uiPriority w:val="0"/>
    <w:rPr>
      <w:rFonts w:hint="default" w:ascii="幼圆" w:hAnsi="幼圆" w:eastAsia="幼圆" w:cs="幼圆"/>
      <w:color w:val="FF0000"/>
      <w:sz w:val="22"/>
      <w:szCs w:val="22"/>
      <w:u w:val="none"/>
    </w:rPr>
  </w:style>
  <w:style w:type="character" w:customStyle="1" w:styleId="126">
    <w:name w:val="font101"/>
    <w:qFormat/>
    <w:uiPriority w:val="0"/>
    <w:rPr>
      <w:rFonts w:hint="default" w:ascii="GE Inspira Pitch" w:hAnsi="GE Inspira Pitch" w:eastAsia="GE Inspira Pitch" w:cs="GE Inspira Pitch"/>
      <w:color w:val="0000FF"/>
      <w:sz w:val="22"/>
      <w:szCs w:val="22"/>
      <w:u w:val="none"/>
    </w:rPr>
  </w:style>
  <w:style w:type="character" w:customStyle="1" w:styleId="127">
    <w:name w:val="font91"/>
    <w:qFormat/>
    <w:uiPriority w:val="0"/>
    <w:rPr>
      <w:rFonts w:hint="default" w:ascii="幼圆" w:hAnsi="幼圆" w:eastAsia="幼圆" w:cs="幼圆"/>
      <w:b/>
      <w:color w:val="000000"/>
      <w:sz w:val="32"/>
      <w:szCs w:val="32"/>
      <w:u w:val="none"/>
    </w:rPr>
  </w:style>
  <w:style w:type="character" w:customStyle="1" w:styleId="128">
    <w:name w:val="font11"/>
    <w:basedOn w:val="35"/>
    <w:qFormat/>
    <w:uiPriority w:val="0"/>
    <w:rPr>
      <w:rFonts w:hint="eastAsia" w:ascii="宋体" w:hAnsi="宋体" w:eastAsia="宋体" w:cs="宋体"/>
      <w:color w:val="333333"/>
      <w:sz w:val="13"/>
      <w:szCs w:val="13"/>
      <w:u w:val="none"/>
    </w:rPr>
  </w:style>
  <w:style w:type="character" w:customStyle="1" w:styleId="129">
    <w:name w:val="font31"/>
    <w:qFormat/>
    <w:uiPriority w:val="0"/>
    <w:rPr>
      <w:rFonts w:ascii="幼圆" w:hAnsi="幼圆" w:eastAsia="幼圆" w:cs="幼圆"/>
      <w:b/>
      <w:color w:val="000000"/>
      <w:sz w:val="22"/>
      <w:szCs w:val="22"/>
      <w:u w:val="none"/>
    </w:rPr>
  </w:style>
  <w:style w:type="paragraph" w:customStyle="1" w:styleId="130">
    <w:name w:val="新正文"/>
    <w:basedOn w:val="1"/>
    <w:qFormat/>
    <w:uiPriority w:val="0"/>
    <w:pPr>
      <w:spacing w:line="440" w:lineRule="exact"/>
    </w:pPr>
    <w:rPr>
      <w:rFonts w:hAnsi="宋体" w:cs="Arial"/>
      <w:sz w:val="28"/>
      <w:szCs w:val="28"/>
    </w:rPr>
  </w:style>
  <w:style w:type="paragraph" w:customStyle="1" w:styleId="131">
    <w:name w:val="Char"/>
    <w:basedOn w:val="1"/>
    <w:qFormat/>
    <w:uiPriority w:val="0"/>
  </w:style>
  <w:style w:type="paragraph" w:customStyle="1" w:styleId="132">
    <w:name w:val="List Paragraph1"/>
    <w:basedOn w:val="1"/>
    <w:qFormat/>
    <w:uiPriority w:val="0"/>
    <w:pPr>
      <w:ind w:firstLine="420" w:firstLineChars="200"/>
    </w:pPr>
    <w:rPr>
      <w:szCs w:val="20"/>
    </w:rPr>
  </w:style>
  <w:style w:type="paragraph" w:customStyle="1" w:styleId="133">
    <w:name w:val="Free Form"/>
    <w:qFormat/>
    <w:uiPriority w:val="0"/>
    <w:rPr>
      <w:rFonts w:ascii="Helvetica" w:hAnsi="Helvetica" w:eastAsia="ヒラギノ角ゴ Pro W3" w:cs="Times New Roman"/>
      <w:color w:val="000000"/>
      <w:sz w:val="24"/>
      <w:lang w:val="en-US" w:eastAsia="en-US" w:bidi="ar-SA"/>
    </w:rPr>
  </w:style>
  <w:style w:type="paragraph" w:customStyle="1" w:styleId="134">
    <w:name w:val="Char Char"/>
    <w:basedOn w:val="1"/>
    <w:qFormat/>
    <w:uiPriority w:val="0"/>
    <w:pPr>
      <w:spacing w:after="160" w:line="240" w:lineRule="exact"/>
    </w:pPr>
  </w:style>
  <w:style w:type="paragraph" w:customStyle="1" w:styleId="135">
    <w:name w:val="Body"/>
    <w:qFormat/>
    <w:uiPriority w:val="0"/>
    <w:rPr>
      <w:rFonts w:ascii="Helvetica" w:hAnsi="Helvetica" w:eastAsia="ヒラギノ角ゴ Pro W3" w:cs="Times New Roman"/>
      <w:color w:val="000000"/>
      <w:sz w:val="24"/>
      <w:lang w:val="en-US" w:eastAsia="en-US" w:bidi="ar-SA"/>
    </w:rPr>
  </w:style>
  <w:style w:type="character" w:customStyle="1" w:styleId="136">
    <w:name w:val="apple-converted-spac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7" Type="http://schemas.openxmlformats.org/officeDocument/2006/relationships/fontTable" Target="fontTable.xml"/><Relationship Id="rId46" Type="http://schemas.openxmlformats.org/officeDocument/2006/relationships/customXml" Target="../customXml/item1.xml"/><Relationship Id="rId45" Type="http://schemas.openxmlformats.org/officeDocument/2006/relationships/numbering" Target="numbering.xml"/><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footer" Target="footer1.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header" Target="head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D2913-8674-4585-8C5A-3EA32BC0DA6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75</Pages>
  <Words>34883</Words>
  <Characters>37042</Characters>
  <Lines>339</Lines>
  <Paragraphs>95</Paragraphs>
  <TotalTime>1</TotalTime>
  <ScaleCrop>false</ScaleCrop>
  <LinksUpToDate>false</LinksUpToDate>
  <CharactersWithSpaces>39110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2023-08-07T06:45:00Z</dcterms:created>
  <dc:creator>李青</dc:creator>
  <cp:lastModifiedBy>Administrator</cp:lastModifiedBy>
  <cp:lastPrinted>2020-09-25T06:32:00Z</cp:lastPrinted>
  <dcterms:modified xsi:type="dcterms:W3CDTF">2024-08-04T13:30:16Z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8A8AAF2DD9294D14A94EB808258FC840</vt:lpwstr>
  </property>
</Properties>
</file>