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4AD653A">
      <w:pPr>
        <w:pStyle w:val="37"/>
        <w:tabs>
          <w:tab w:val="left" w:pos="2771"/>
          <w:tab w:val="clear" w:pos="900"/>
          <w:tab w:val="clear" w:pos="2740"/>
          <w:tab w:val="clear" w:pos="4580"/>
          <w:tab w:val="clear" w:pos="6400"/>
          <w:tab w:val="clear" w:pos="8240"/>
          <w:tab w:val="clear" w:pos="10060"/>
          <w:tab w:val="clear" w:pos="11900"/>
          <w:tab w:val="clear" w:pos="13740"/>
        </w:tabs>
        <w:spacing w:line="360" w:lineRule="auto"/>
        <w:rPr>
          <w:rFonts w:hint="eastAsia" w:ascii="宋体" w:hAnsi="宋体" w:eastAsia="宋体" w:cs="宋体"/>
          <w:b/>
          <w:color w:val="auto"/>
          <w:kern w:val="2"/>
          <w:sz w:val="30"/>
          <w:szCs w:val="30"/>
          <w:highlight w:val="none"/>
        </w:rPr>
      </w:pPr>
      <w:bookmarkStart w:id="828" w:name="_GoBack"/>
      <w:bookmarkEnd w:id="828"/>
      <w:r>
        <w:rPr>
          <w:rFonts w:hint="eastAsia" w:ascii="宋体" w:hAnsi="宋体" w:eastAsia="宋体" w:cs="宋体"/>
          <w:b/>
          <w:color w:val="auto"/>
          <w:kern w:val="2"/>
          <w:sz w:val="30"/>
          <w:szCs w:val="30"/>
          <w:highlight w:val="none"/>
        </w:rPr>
        <w:tab/>
      </w:r>
    </w:p>
    <w:p w14:paraId="24B5BB23">
      <w:pPr>
        <w:pStyle w:val="37"/>
        <w:spacing w:line="360" w:lineRule="auto"/>
        <w:rPr>
          <w:rFonts w:hint="eastAsia" w:ascii="宋体" w:hAnsi="宋体" w:eastAsia="宋体" w:cs="宋体"/>
          <w:b/>
          <w:color w:val="auto"/>
          <w:kern w:val="2"/>
          <w:sz w:val="30"/>
          <w:szCs w:val="30"/>
          <w:highlight w:val="none"/>
        </w:rPr>
      </w:pPr>
    </w:p>
    <w:p w14:paraId="6451DEEE">
      <w:pPr>
        <w:spacing w:line="360" w:lineRule="auto"/>
        <w:jc w:val="left"/>
        <w:rPr>
          <w:rFonts w:hint="eastAsia" w:ascii="宋体" w:hAnsi="宋体" w:eastAsia="宋体" w:cs="宋体"/>
          <w:b/>
          <w:color w:val="auto"/>
          <w:spacing w:val="26"/>
          <w:kern w:val="2"/>
          <w:sz w:val="72"/>
          <w:szCs w:val="72"/>
          <w:highlight w:val="none"/>
        </w:rPr>
      </w:pPr>
    </w:p>
    <w:p w14:paraId="5633AB10">
      <w:pPr>
        <w:spacing w:line="360" w:lineRule="auto"/>
        <w:jc w:val="center"/>
        <w:rPr>
          <w:rFonts w:hint="eastAsia" w:ascii="宋体" w:hAnsi="宋体" w:eastAsia="宋体" w:cs="宋体"/>
          <w:b/>
          <w:color w:val="auto"/>
          <w:spacing w:val="26"/>
          <w:kern w:val="2"/>
          <w:sz w:val="52"/>
          <w:szCs w:val="52"/>
          <w:highlight w:val="none"/>
        </w:rPr>
      </w:pPr>
      <w:r>
        <w:rPr>
          <w:rFonts w:hint="eastAsia" w:ascii="宋体" w:hAnsi="宋体" w:eastAsia="宋体" w:cs="宋体"/>
          <w:b/>
          <w:color w:val="auto"/>
          <w:spacing w:val="26"/>
          <w:kern w:val="2"/>
          <w:sz w:val="72"/>
          <w:szCs w:val="72"/>
          <w:highlight w:val="none"/>
        </w:rPr>
        <w:t>竞 争 性 磋 商 文 件</w:t>
      </w:r>
    </w:p>
    <w:p w14:paraId="536ADBC4">
      <w:pPr>
        <w:spacing w:line="360" w:lineRule="auto"/>
        <w:jc w:val="left"/>
        <w:rPr>
          <w:rFonts w:hint="eastAsia" w:ascii="宋体" w:hAnsi="宋体" w:eastAsia="宋体" w:cs="宋体"/>
          <w:color w:val="auto"/>
          <w:kern w:val="2"/>
          <w:sz w:val="28"/>
          <w:szCs w:val="28"/>
          <w:highlight w:val="none"/>
        </w:rPr>
      </w:pPr>
    </w:p>
    <w:p w14:paraId="35B915E9">
      <w:pPr>
        <w:pStyle w:val="37"/>
        <w:spacing w:line="360" w:lineRule="auto"/>
        <w:rPr>
          <w:rFonts w:hint="eastAsia" w:ascii="宋体" w:hAnsi="宋体" w:eastAsia="宋体" w:cs="宋体"/>
          <w:color w:val="auto"/>
          <w:highlight w:val="none"/>
        </w:rPr>
      </w:pPr>
    </w:p>
    <w:p w14:paraId="651AA2BD">
      <w:pPr>
        <w:pStyle w:val="37"/>
        <w:spacing w:line="360" w:lineRule="auto"/>
        <w:rPr>
          <w:rFonts w:hint="eastAsia" w:ascii="宋体" w:hAnsi="宋体" w:eastAsia="宋体" w:cs="宋体"/>
          <w:color w:val="auto"/>
          <w:highlight w:val="none"/>
        </w:rPr>
      </w:pPr>
    </w:p>
    <w:p w14:paraId="03EE585D">
      <w:pPr>
        <w:pStyle w:val="37"/>
        <w:spacing w:line="360" w:lineRule="auto"/>
        <w:rPr>
          <w:rFonts w:hint="eastAsia" w:ascii="宋体" w:hAnsi="宋体" w:eastAsia="宋体" w:cs="宋体"/>
          <w:color w:val="auto"/>
          <w:highlight w:val="none"/>
        </w:rPr>
      </w:pPr>
    </w:p>
    <w:p w14:paraId="2BD170FE">
      <w:pPr>
        <w:pStyle w:val="37"/>
        <w:spacing w:line="360" w:lineRule="auto"/>
        <w:rPr>
          <w:rFonts w:hint="eastAsia" w:ascii="宋体" w:hAnsi="宋体" w:eastAsia="宋体" w:cs="宋体"/>
          <w:color w:val="auto"/>
          <w:kern w:val="2"/>
          <w:sz w:val="32"/>
          <w:szCs w:val="32"/>
          <w:highlight w:val="none"/>
        </w:rPr>
      </w:pPr>
    </w:p>
    <w:p w14:paraId="5B817B26">
      <w:pPr>
        <w:autoSpaceDE w:val="0"/>
        <w:autoSpaceDN w:val="0"/>
        <w:adjustRightInd w:val="0"/>
        <w:spacing w:line="360" w:lineRule="auto"/>
        <w:ind w:left="2527" w:leftChars="171" w:hanging="2168" w:hangingChars="600"/>
        <w:jc w:val="left"/>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lang w:val="zh-CN"/>
        </w:rPr>
        <w:t>采购项目编号：QHZX-竞磋（服务）2024-043</w:t>
      </w:r>
    </w:p>
    <w:p w14:paraId="11428396">
      <w:pPr>
        <w:autoSpaceDE w:val="0"/>
        <w:autoSpaceDN w:val="0"/>
        <w:adjustRightInd w:val="0"/>
        <w:spacing w:line="360" w:lineRule="auto"/>
        <w:ind w:left="2530" w:hanging="2530" w:hangingChars="700"/>
        <w:jc w:val="left"/>
        <w:rPr>
          <w:rFonts w:hint="eastAsia" w:ascii="宋体" w:hAnsi="宋体" w:eastAsia="宋体" w:cs="宋体"/>
          <w:b/>
          <w:bCs/>
          <w:color w:val="auto"/>
          <w:sz w:val="36"/>
          <w:szCs w:val="36"/>
          <w:highlight w:val="none"/>
          <w:lang w:val="zh-CN"/>
        </w:rPr>
      </w:pPr>
    </w:p>
    <w:p w14:paraId="5B8FD02C">
      <w:pPr>
        <w:autoSpaceDE w:val="0"/>
        <w:autoSpaceDN w:val="0"/>
        <w:adjustRightInd w:val="0"/>
        <w:spacing w:line="360" w:lineRule="auto"/>
        <w:ind w:firstLine="361" w:firstLineChars="100"/>
        <w:jc w:val="left"/>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lang w:val="zh-CN"/>
        </w:rPr>
        <w:t>采购项目名称：青海民族大学高等教育人才培养模式改革创新项目</w:t>
      </w:r>
    </w:p>
    <w:p w14:paraId="3E315769">
      <w:pPr>
        <w:autoSpaceDE w:val="0"/>
        <w:autoSpaceDN w:val="0"/>
        <w:adjustRightInd w:val="0"/>
        <w:spacing w:line="360" w:lineRule="auto"/>
        <w:ind w:left="2530" w:hanging="2530" w:hangingChars="700"/>
        <w:jc w:val="left"/>
        <w:rPr>
          <w:rFonts w:hint="eastAsia" w:ascii="宋体" w:hAnsi="宋体" w:eastAsia="宋体" w:cs="宋体"/>
          <w:b/>
          <w:bCs/>
          <w:color w:val="auto"/>
          <w:sz w:val="36"/>
          <w:szCs w:val="36"/>
          <w:highlight w:val="none"/>
          <w:lang w:val="zh-CN"/>
        </w:rPr>
      </w:pPr>
    </w:p>
    <w:p w14:paraId="2B0140D5">
      <w:pPr>
        <w:autoSpaceDE w:val="0"/>
        <w:autoSpaceDN w:val="0"/>
        <w:adjustRightInd w:val="0"/>
        <w:spacing w:line="360" w:lineRule="auto"/>
        <w:ind w:firstLine="361" w:firstLineChars="100"/>
        <w:jc w:val="left"/>
        <w:rPr>
          <w:rFonts w:hint="eastAsia" w:ascii="宋体" w:hAnsi="宋体" w:eastAsia="宋体" w:cs="宋体"/>
          <w:b/>
          <w:bCs/>
          <w:color w:val="auto"/>
          <w:sz w:val="36"/>
          <w:szCs w:val="36"/>
          <w:highlight w:val="none"/>
          <w:lang w:val="en-US" w:eastAsia="zh-CN"/>
        </w:rPr>
      </w:pPr>
      <w:r>
        <w:rPr>
          <w:rFonts w:hint="eastAsia" w:ascii="宋体" w:hAnsi="宋体" w:eastAsia="宋体" w:cs="宋体"/>
          <w:b/>
          <w:bCs/>
          <w:color w:val="auto"/>
          <w:sz w:val="36"/>
          <w:szCs w:val="36"/>
          <w:highlight w:val="none"/>
          <w:lang w:val="zh-CN"/>
        </w:rPr>
        <w:t>采   购   人：</w:t>
      </w:r>
      <w:r>
        <w:rPr>
          <w:rFonts w:hint="eastAsia" w:ascii="宋体" w:hAnsi="宋体" w:eastAsia="宋体" w:cs="宋体"/>
          <w:b/>
          <w:bCs/>
          <w:color w:val="auto"/>
          <w:sz w:val="36"/>
          <w:szCs w:val="36"/>
          <w:highlight w:val="none"/>
          <w:lang w:eastAsia="zh-CN"/>
        </w:rPr>
        <w:t>青海民族大学</w:t>
      </w:r>
    </w:p>
    <w:p w14:paraId="04DAB812">
      <w:pPr>
        <w:autoSpaceDE w:val="0"/>
        <w:autoSpaceDN w:val="0"/>
        <w:adjustRightInd w:val="0"/>
        <w:spacing w:line="360" w:lineRule="auto"/>
        <w:ind w:left="2530" w:hanging="2530" w:hangingChars="700"/>
        <w:jc w:val="left"/>
        <w:rPr>
          <w:rFonts w:hint="eastAsia" w:ascii="宋体" w:hAnsi="宋体" w:eastAsia="宋体" w:cs="宋体"/>
          <w:b/>
          <w:bCs/>
          <w:color w:val="auto"/>
          <w:sz w:val="36"/>
          <w:szCs w:val="36"/>
          <w:highlight w:val="none"/>
          <w:lang w:val="zh-CN"/>
        </w:rPr>
      </w:pPr>
    </w:p>
    <w:p w14:paraId="185D3DA5">
      <w:pPr>
        <w:autoSpaceDE w:val="0"/>
        <w:autoSpaceDN w:val="0"/>
        <w:adjustRightInd w:val="0"/>
        <w:spacing w:line="360" w:lineRule="auto"/>
        <w:ind w:firstLine="361" w:firstLineChars="100"/>
        <w:jc w:val="left"/>
        <w:rPr>
          <w:rFonts w:hint="eastAsia" w:ascii="宋体" w:hAnsi="宋体" w:eastAsia="宋体" w:cs="宋体"/>
          <w:b/>
          <w:bCs/>
          <w:color w:val="auto"/>
          <w:sz w:val="36"/>
          <w:szCs w:val="36"/>
          <w:highlight w:val="none"/>
          <w:lang w:val="zh-CN"/>
        </w:rPr>
      </w:pPr>
      <w:r>
        <w:rPr>
          <w:rFonts w:hint="eastAsia" w:ascii="宋体" w:hAnsi="宋体" w:eastAsia="宋体" w:cs="宋体"/>
          <w:b/>
          <w:bCs/>
          <w:color w:val="auto"/>
          <w:sz w:val="36"/>
          <w:szCs w:val="36"/>
          <w:highlight w:val="none"/>
          <w:lang w:val="zh-CN"/>
        </w:rPr>
        <w:t>采购代理机构：青海中旭工程项目管理有限公司</w:t>
      </w:r>
    </w:p>
    <w:p w14:paraId="759AF699">
      <w:pPr>
        <w:spacing w:line="360" w:lineRule="auto"/>
        <w:jc w:val="left"/>
        <w:rPr>
          <w:rFonts w:hint="eastAsia" w:ascii="宋体" w:hAnsi="宋体" w:eastAsia="宋体" w:cs="宋体"/>
          <w:b/>
          <w:color w:val="auto"/>
          <w:kern w:val="2"/>
          <w:sz w:val="32"/>
          <w:szCs w:val="32"/>
          <w:highlight w:val="none"/>
        </w:rPr>
      </w:pPr>
    </w:p>
    <w:p w14:paraId="1C89E195">
      <w:pPr>
        <w:autoSpaceDE w:val="0"/>
        <w:autoSpaceDN w:val="0"/>
        <w:adjustRightInd w:val="0"/>
        <w:spacing w:line="360" w:lineRule="auto"/>
        <w:ind w:firstLine="361" w:firstLineChars="100"/>
        <w:jc w:val="left"/>
        <w:rPr>
          <w:rFonts w:hint="eastAsia" w:ascii="宋体" w:hAnsi="宋体" w:eastAsia="宋体" w:cs="宋体"/>
          <w:b/>
          <w:bCs/>
          <w:color w:val="auto"/>
          <w:sz w:val="36"/>
          <w:szCs w:val="36"/>
          <w:highlight w:val="none"/>
          <w:lang w:val="zh-CN"/>
        </w:rPr>
        <w:sectPr>
          <w:headerReference r:id="rId7" w:type="first"/>
          <w:headerReference r:id="rId5" w:type="default"/>
          <w:footerReference r:id="rId8" w:type="default"/>
          <w:headerReference r:id="rId6" w:type="even"/>
          <w:footerReference r:id="rId9" w:type="even"/>
          <w:pgSz w:w="11905" w:h="16838"/>
          <w:pgMar w:top="1440" w:right="1803" w:bottom="1440" w:left="1803" w:header="1020" w:footer="867" w:gutter="0"/>
          <w:paperSrc/>
          <w:pgNumType w:start="1"/>
          <w:cols w:space="720" w:num="1"/>
          <w:rtlGutter w:val="0"/>
          <w:docGrid w:linePitch="312" w:charSpace="0"/>
        </w:sectPr>
      </w:pPr>
      <w:r>
        <w:rPr>
          <w:rFonts w:hint="eastAsia" w:ascii="宋体" w:hAnsi="宋体" w:eastAsia="宋体" w:cs="宋体"/>
          <w:b/>
          <w:bCs/>
          <w:color w:val="auto"/>
          <w:sz w:val="36"/>
          <w:szCs w:val="36"/>
          <w:highlight w:val="none"/>
          <w:lang w:val="zh-CN"/>
        </w:rPr>
        <w:t>日         期：202</w:t>
      </w:r>
      <w:r>
        <w:rPr>
          <w:rFonts w:hint="eastAsia" w:ascii="宋体" w:hAnsi="宋体" w:eastAsia="宋体" w:cs="宋体"/>
          <w:b/>
          <w:bCs/>
          <w:color w:val="auto"/>
          <w:sz w:val="36"/>
          <w:szCs w:val="36"/>
          <w:highlight w:val="none"/>
          <w:lang w:val="en-US" w:eastAsia="zh-CN"/>
        </w:rPr>
        <w:t>4</w:t>
      </w:r>
      <w:r>
        <w:rPr>
          <w:rFonts w:hint="eastAsia" w:ascii="宋体" w:hAnsi="宋体" w:eastAsia="宋体" w:cs="宋体"/>
          <w:b/>
          <w:bCs/>
          <w:color w:val="auto"/>
          <w:sz w:val="36"/>
          <w:szCs w:val="36"/>
          <w:highlight w:val="none"/>
          <w:lang w:val="zh-CN"/>
        </w:rPr>
        <w:t>年</w:t>
      </w:r>
      <w:r>
        <w:rPr>
          <w:rFonts w:hint="eastAsia" w:eastAsia="宋体" w:cs="宋体"/>
          <w:b/>
          <w:bCs/>
          <w:color w:val="auto"/>
          <w:sz w:val="36"/>
          <w:szCs w:val="36"/>
          <w:highlight w:val="none"/>
          <w:lang w:val="en-US" w:eastAsia="zh-CN"/>
        </w:rPr>
        <w:t>10</w:t>
      </w:r>
      <w:r>
        <w:rPr>
          <w:rFonts w:hint="eastAsia" w:ascii="宋体" w:hAnsi="宋体" w:eastAsia="宋体" w:cs="宋体"/>
          <w:b/>
          <w:bCs/>
          <w:color w:val="auto"/>
          <w:sz w:val="36"/>
          <w:szCs w:val="36"/>
          <w:highlight w:val="none"/>
          <w:lang w:val="zh-CN"/>
        </w:rPr>
        <w:t>月</w:t>
      </w:r>
    </w:p>
    <w:p w14:paraId="5D036B05">
      <w:pPr>
        <w:pStyle w:val="16"/>
        <w:tabs>
          <w:tab w:val="right" w:leader="dot" w:pos="8299"/>
        </w:tabs>
        <w:jc w:val="center"/>
        <w:rPr>
          <w:rFonts w:hint="eastAsia" w:ascii="宋体" w:hAnsi="宋体" w:eastAsia="宋体" w:cs="宋体"/>
          <w:b/>
          <w:color w:val="auto"/>
          <w:sz w:val="32"/>
          <w:szCs w:val="32"/>
          <w:highlight w:val="none"/>
          <w:lang w:val="en-US" w:eastAsia="zh-CN"/>
        </w:rPr>
      </w:pPr>
      <w:bookmarkStart w:id="0" w:name="_Toc10494"/>
      <w:bookmarkStart w:id="1" w:name="_Toc7616"/>
      <w:bookmarkStart w:id="2" w:name="_Toc495567938"/>
      <w:bookmarkStart w:id="3" w:name="_Toc4344"/>
      <w:bookmarkStart w:id="4" w:name="_Toc495666255"/>
      <w:bookmarkStart w:id="5" w:name="_Toc1801"/>
      <w:bookmarkStart w:id="6" w:name="_Toc325725996"/>
      <w:r>
        <w:rPr>
          <w:rFonts w:hint="eastAsia" w:ascii="宋体" w:hAnsi="宋体" w:eastAsia="宋体" w:cs="宋体"/>
          <w:b/>
          <w:color w:val="auto"/>
          <w:sz w:val="32"/>
          <w:szCs w:val="32"/>
          <w:highlight w:val="none"/>
          <w:lang w:val="en-US" w:eastAsia="zh-CN"/>
        </w:rPr>
        <w:t>目  录</w:t>
      </w:r>
    </w:p>
    <w:p w14:paraId="1EC28D4A">
      <w:pPr>
        <w:pStyle w:val="16"/>
        <w:tabs>
          <w:tab w:val="right" w:leader="dot" w:pos="8299"/>
        </w:tabs>
        <w:rPr>
          <w:rFonts w:hint="eastAsia" w:ascii="宋体" w:hAnsi="宋体" w:eastAsia="宋体" w:cs="宋体"/>
          <w:b/>
          <w:color w:val="auto"/>
          <w:sz w:val="24"/>
          <w:szCs w:val="24"/>
          <w:highlight w:val="none"/>
          <w:lang w:val="zh-CN"/>
        </w:rPr>
      </w:pPr>
    </w:p>
    <w:p w14:paraId="3A262506">
      <w:pPr>
        <w:pStyle w:val="16"/>
        <w:tabs>
          <w:tab w:val="right" w:leader="dot" w:pos="8299"/>
        </w:tabs>
        <w:rPr>
          <w:rFonts w:hint="eastAsia" w:ascii="宋体" w:hAnsi="宋体" w:eastAsia="宋体" w:cs="宋体"/>
          <w:b/>
          <w:color w:val="auto"/>
          <w:sz w:val="24"/>
          <w:szCs w:val="24"/>
          <w:highlight w:val="none"/>
          <w:lang w:val="zh-CN"/>
        </w:rPr>
      </w:pPr>
    </w:p>
    <w:p w14:paraId="17C34E8F">
      <w:pPr>
        <w:pStyle w:val="16"/>
        <w:keepNext w:val="0"/>
        <w:keepLines w:val="0"/>
        <w:pageBreakBefore w:val="0"/>
        <w:widowControl w:val="0"/>
        <w:tabs>
          <w:tab w:val="right" w:leader="dot" w:pos="8299"/>
        </w:tabs>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b/>
          <w:color w:val="auto"/>
          <w:sz w:val="24"/>
          <w:szCs w:val="24"/>
          <w:highlight w:val="none"/>
          <w:lang w:val="zh-CN"/>
        </w:rPr>
        <w:fldChar w:fldCharType="begin"/>
      </w:r>
      <w:r>
        <w:rPr>
          <w:rFonts w:hint="eastAsia" w:ascii="宋体" w:hAnsi="宋体" w:eastAsia="宋体" w:cs="宋体"/>
          <w:b/>
          <w:color w:val="auto"/>
          <w:sz w:val="24"/>
          <w:szCs w:val="24"/>
          <w:highlight w:val="none"/>
          <w:lang w:val="zh-CN"/>
        </w:rPr>
        <w:instrText xml:space="preserve">TOC \o "1-2" \h \u </w:instrText>
      </w:r>
      <w:r>
        <w:rPr>
          <w:rFonts w:hint="eastAsia" w:ascii="宋体" w:hAnsi="宋体" w:eastAsia="宋体" w:cs="宋体"/>
          <w:b/>
          <w:color w:val="auto"/>
          <w:sz w:val="24"/>
          <w:szCs w:val="24"/>
          <w:highlight w:val="none"/>
          <w:lang w:val="zh-CN"/>
        </w:rPr>
        <w:fldChar w:fldCharType="separate"/>
      </w:r>
      <w:r>
        <w:rPr>
          <w:rFonts w:hint="eastAsia" w:ascii="宋体" w:hAnsi="宋体" w:eastAsia="宋体" w:cs="宋体"/>
          <w:color w:val="auto"/>
          <w:sz w:val="24"/>
          <w:szCs w:val="24"/>
          <w:highlight w:val="none"/>
          <w:lang w:val="zh-CN"/>
        </w:rPr>
        <w:fldChar w:fldCharType="begin"/>
      </w:r>
      <w:r>
        <w:rPr>
          <w:rFonts w:hint="eastAsia" w:ascii="宋体" w:hAnsi="宋体" w:eastAsia="宋体" w:cs="宋体"/>
          <w:sz w:val="24"/>
          <w:szCs w:val="24"/>
          <w:highlight w:val="none"/>
          <w:lang w:val="zh-CN"/>
        </w:rPr>
        <w:instrText xml:space="preserve"> HYPERLINK \l _Toc16983 </w:instrText>
      </w:r>
      <w:r>
        <w:rPr>
          <w:rFonts w:hint="eastAsia" w:ascii="宋体" w:hAnsi="宋体" w:eastAsia="宋体" w:cs="宋体"/>
          <w:sz w:val="24"/>
          <w:szCs w:val="24"/>
          <w:highlight w:val="none"/>
          <w:lang w:val="zh-CN"/>
        </w:rPr>
        <w:fldChar w:fldCharType="separate"/>
      </w:r>
      <w:r>
        <w:rPr>
          <w:rFonts w:hint="eastAsia" w:ascii="宋体" w:hAnsi="宋体" w:eastAsia="宋体" w:cs="宋体"/>
          <w:bCs/>
          <w:sz w:val="24"/>
          <w:szCs w:val="24"/>
          <w:lang w:val="zh-CN"/>
        </w:rPr>
        <w:t xml:space="preserve">第一部分 </w:t>
      </w:r>
      <w:r>
        <w:rPr>
          <w:rFonts w:hint="eastAsia" w:ascii="宋体" w:hAnsi="宋体" w:eastAsia="宋体" w:cs="宋体"/>
          <w:bCs/>
          <w:sz w:val="24"/>
          <w:szCs w:val="24"/>
          <w:highlight w:val="none"/>
          <w:lang w:val="zh-CN"/>
        </w:rPr>
        <w:t>竞争性磋商公告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_Toc16983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zh-CN"/>
        </w:rPr>
        <w:fldChar w:fldCharType="end"/>
      </w:r>
    </w:p>
    <w:p w14:paraId="5BD0BC56">
      <w:pPr>
        <w:pStyle w:val="16"/>
        <w:keepNext w:val="0"/>
        <w:keepLines w:val="0"/>
        <w:pageBreakBefore w:val="0"/>
        <w:widowControl w:val="0"/>
        <w:tabs>
          <w:tab w:val="right" w:leader="dot" w:pos="8299"/>
        </w:tabs>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lang w:val="zh-CN"/>
        </w:rPr>
        <w:fldChar w:fldCharType="begin"/>
      </w:r>
      <w:r>
        <w:rPr>
          <w:rFonts w:hint="eastAsia" w:ascii="宋体" w:hAnsi="宋体" w:eastAsia="宋体" w:cs="宋体"/>
          <w:sz w:val="24"/>
          <w:szCs w:val="24"/>
          <w:highlight w:val="none"/>
          <w:lang w:val="zh-CN"/>
        </w:rPr>
        <w:instrText xml:space="preserve"> HYPERLINK \l _Toc23686 </w:instrText>
      </w:r>
      <w:r>
        <w:rPr>
          <w:rFonts w:hint="eastAsia" w:ascii="宋体" w:hAnsi="宋体" w:eastAsia="宋体" w:cs="宋体"/>
          <w:sz w:val="24"/>
          <w:szCs w:val="24"/>
          <w:highlight w:val="none"/>
          <w:lang w:val="zh-CN"/>
        </w:rPr>
        <w:fldChar w:fldCharType="separate"/>
      </w:r>
      <w:r>
        <w:rPr>
          <w:rFonts w:hint="eastAsia" w:ascii="宋体" w:hAnsi="宋体" w:eastAsia="宋体" w:cs="宋体"/>
          <w:sz w:val="24"/>
          <w:szCs w:val="24"/>
          <w:highlight w:val="none"/>
          <w:lang w:val="zh-CN"/>
        </w:rPr>
        <w:t>第二部分 供应商须知前附表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_Toc23686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zh-CN"/>
        </w:rPr>
        <w:fldChar w:fldCharType="end"/>
      </w:r>
    </w:p>
    <w:p w14:paraId="0EDAF5FF">
      <w:pPr>
        <w:pStyle w:val="16"/>
        <w:keepNext w:val="0"/>
        <w:keepLines w:val="0"/>
        <w:pageBreakBefore w:val="0"/>
        <w:widowControl w:val="0"/>
        <w:tabs>
          <w:tab w:val="right" w:leader="dot" w:pos="8299"/>
        </w:tabs>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lang w:val="zh-CN"/>
        </w:rPr>
        <w:fldChar w:fldCharType="begin"/>
      </w:r>
      <w:r>
        <w:rPr>
          <w:rFonts w:hint="eastAsia" w:ascii="宋体" w:hAnsi="宋体" w:eastAsia="宋体" w:cs="宋体"/>
          <w:sz w:val="24"/>
          <w:szCs w:val="24"/>
          <w:highlight w:val="none"/>
          <w:lang w:val="zh-CN"/>
        </w:rPr>
        <w:instrText xml:space="preserve"> HYPERLINK \l _Toc12709 </w:instrText>
      </w:r>
      <w:r>
        <w:rPr>
          <w:rFonts w:hint="eastAsia" w:ascii="宋体" w:hAnsi="宋体" w:eastAsia="宋体" w:cs="宋体"/>
          <w:sz w:val="24"/>
          <w:szCs w:val="24"/>
          <w:highlight w:val="none"/>
          <w:lang w:val="zh-CN"/>
        </w:rPr>
        <w:fldChar w:fldCharType="separate"/>
      </w:r>
      <w:r>
        <w:rPr>
          <w:rFonts w:hint="eastAsia" w:ascii="宋体" w:hAnsi="宋体" w:eastAsia="宋体" w:cs="宋体"/>
          <w:kern w:val="28"/>
          <w:sz w:val="24"/>
          <w:szCs w:val="24"/>
          <w:highlight w:val="none"/>
        </w:rPr>
        <w:t>第三部分 供应商须知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_Toc12709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zh-CN"/>
        </w:rPr>
        <w:fldChar w:fldCharType="end"/>
      </w:r>
    </w:p>
    <w:p w14:paraId="3AECB612">
      <w:pPr>
        <w:pStyle w:val="16"/>
        <w:keepNext w:val="0"/>
        <w:keepLines w:val="0"/>
        <w:pageBreakBefore w:val="0"/>
        <w:widowControl w:val="0"/>
        <w:tabs>
          <w:tab w:val="right" w:leader="dot" w:pos="8299"/>
        </w:tabs>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lang w:val="zh-CN"/>
        </w:rPr>
        <w:fldChar w:fldCharType="begin"/>
      </w:r>
      <w:r>
        <w:rPr>
          <w:rFonts w:hint="eastAsia" w:ascii="宋体" w:hAnsi="宋体" w:eastAsia="宋体" w:cs="宋体"/>
          <w:sz w:val="24"/>
          <w:szCs w:val="24"/>
          <w:highlight w:val="none"/>
          <w:lang w:val="zh-CN"/>
        </w:rPr>
        <w:instrText xml:space="preserve"> HYPERLINK \l _Toc9782 </w:instrText>
      </w:r>
      <w:r>
        <w:rPr>
          <w:rFonts w:hint="eastAsia" w:ascii="宋体" w:hAnsi="宋体" w:eastAsia="宋体" w:cs="宋体"/>
          <w:sz w:val="24"/>
          <w:szCs w:val="24"/>
          <w:highlight w:val="none"/>
          <w:lang w:val="zh-CN"/>
        </w:rPr>
        <w:fldChar w:fldCharType="separate"/>
      </w:r>
      <w:r>
        <w:rPr>
          <w:rFonts w:hint="eastAsia" w:ascii="宋体" w:hAnsi="宋体" w:eastAsia="宋体" w:cs="宋体"/>
          <w:sz w:val="24"/>
          <w:szCs w:val="24"/>
          <w:highlight w:val="none"/>
        </w:rPr>
        <w:t>一、说  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_Toc9782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zh-CN"/>
        </w:rPr>
        <w:fldChar w:fldCharType="end"/>
      </w:r>
    </w:p>
    <w:p w14:paraId="3DCBE0D0">
      <w:pPr>
        <w:pStyle w:val="16"/>
        <w:keepNext w:val="0"/>
        <w:keepLines w:val="0"/>
        <w:pageBreakBefore w:val="0"/>
        <w:widowControl w:val="0"/>
        <w:tabs>
          <w:tab w:val="right" w:leader="dot" w:pos="8299"/>
        </w:tabs>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lang w:val="zh-CN"/>
        </w:rPr>
        <w:fldChar w:fldCharType="begin"/>
      </w:r>
      <w:r>
        <w:rPr>
          <w:rFonts w:hint="eastAsia" w:ascii="宋体" w:hAnsi="宋体" w:eastAsia="宋体" w:cs="宋体"/>
          <w:sz w:val="24"/>
          <w:szCs w:val="24"/>
          <w:highlight w:val="none"/>
          <w:lang w:val="zh-CN"/>
        </w:rPr>
        <w:instrText xml:space="preserve"> HYPERLINK \l _Toc17716 </w:instrText>
      </w:r>
      <w:r>
        <w:rPr>
          <w:rFonts w:hint="eastAsia" w:ascii="宋体" w:hAnsi="宋体" w:eastAsia="宋体" w:cs="宋体"/>
          <w:sz w:val="24"/>
          <w:szCs w:val="24"/>
          <w:highlight w:val="none"/>
          <w:lang w:val="zh-CN"/>
        </w:rPr>
        <w:fldChar w:fldCharType="separate"/>
      </w:r>
      <w:r>
        <w:rPr>
          <w:rFonts w:hint="eastAsia" w:ascii="宋体" w:hAnsi="宋体" w:eastAsia="宋体" w:cs="宋体"/>
          <w:sz w:val="24"/>
          <w:szCs w:val="24"/>
          <w:highlight w:val="none"/>
          <w:lang w:val="zh-CN"/>
        </w:rPr>
        <w:t>二、磋商文件说明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_Toc17716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zh-CN"/>
        </w:rPr>
        <w:fldChar w:fldCharType="end"/>
      </w:r>
    </w:p>
    <w:p w14:paraId="1BE5DFEC">
      <w:pPr>
        <w:pStyle w:val="16"/>
        <w:keepNext w:val="0"/>
        <w:keepLines w:val="0"/>
        <w:pageBreakBefore w:val="0"/>
        <w:widowControl w:val="0"/>
        <w:tabs>
          <w:tab w:val="right" w:leader="dot" w:pos="8299"/>
        </w:tabs>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lang w:val="zh-CN"/>
        </w:rPr>
        <w:fldChar w:fldCharType="begin"/>
      </w:r>
      <w:r>
        <w:rPr>
          <w:rFonts w:hint="eastAsia" w:ascii="宋体" w:hAnsi="宋体" w:eastAsia="宋体" w:cs="宋体"/>
          <w:sz w:val="24"/>
          <w:szCs w:val="24"/>
          <w:highlight w:val="none"/>
          <w:lang w:val="zh-CN"/>
        </w:rPr>
        <w:instrText xml:space="preserve"> HYPERLINK \l _Toc827 </w:instrText>
      </w:r>
      <w:r>
        <w:rPr>
          <w:rFonts w:hint="eastAsia" w:ascii="宋体" w:hAnsi="宋体" w:eastAsia="宋体" w:cs="宋体"/>
          <w:sz w:val="24"/>
          <w:szCs w:val="24"/>
          <w:highlight w:val="none"/>
          <w:lang w:val="zh-CN"/>
        </w:rPr>
        <w:fldChar w:fldCharType="separate"/>
      </w:r>
      <w:r>
        <w:rPr>
          <w:rFonts w:hint="eastAsia" w:ascii="宋体" w:hAnsi="宋体" w:eastAsia="宋体" w:cs="宋体"/>
          <w:sz w:val="24"/>
          <w:szCs w:val="24"/>
          <w:highlight w:val="none"/>
        </w:rPr>
        <w:t>三、响应文件的编制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_Toc827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zh-CN"/>
        </w:rPr>
        <w:fldChar w:fldCharType="end"/>
      </w:r>
    </w:p>
    <w:p w14:paraId="3E987BEA">
      <w:pPr>
        <w:pStyle w:val="16"/>
        <w:keepNext w:val="0"/>
        <w:keepLines w:val="0"/>
        <w:pageBreakBefore w:val="0"/>
        <w:widowControl w:val="0"/>
        <w:tabs>
          <w:tab w:val="right" w:leader="dot" w:pos="8299"/>
        </w:tabs>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lang w:val="zh-CN"/>
        </w:rPr>
        <w:fldChar w:fldCharType="begin"/>
      </w:r>
      <w:r>
        <w:rPr>
          <w:rFonts w:hint="eastAsia" w:ascii="宋体" w:hAnsi="宋体" w:eastAsia="宋体" w:cs="宋体"/>
          <w:sz w:val="24"/>
          <w:szCs w:val="24"/>
          <w:highlight w:val="none"/>
          <w:lang w:val="zh-CN"/>
        </w:rPr>
        <w:instrText xml:space="preserve"> HYPERLINK \l _Toc6858 </w:instrText>
      </w:r>
      <w:r>
        <w:rPr>
          <w:rFonts w:hint="eastAsia" w:ascii="宋体" w:hAnsi="宋体" w:eastAsia="宋体" w:cs="宋体"/>
          <w:sz w:val="24"/>
          <w:szCs w:val="24"/>
          <w:highlight w:val="none"/>
          <w:lang w:val="zh-CN"/>
        </w:rPr>
        <w:fldChar w:fldCharType="separate"/>
      </w:r>
      <w:r>
        <w:rPr>
          <w:rFonts w:hint="eastAsia" w:ascii="宋体" w:hAnsi="宋体" w:eastAsia="宋体" w:cs="宋体"/>
          <w:sz w:val="24"/>
          <w:szCs w:val="24"/>
          <w:highlight w:val="none"/>
          <w:lang w:val="zh-CN"/>
        </w:rPr>
        <w:t>四、响应文件的递交</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_Toc6858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zh-CN"/>
        </w:rPr>
        <w:fldChar w:fldCharType="end"/>
      </w:r>
    </w:p>
    <w:p w14:paraId="26A159DC">
      <w:pPr>
        <w:pStyle w:val="16"/>
        <w:keepNext w:val="0"/>
        <w:keepLines w:val="0"/>
        <w:pageBreakBefore w:val="0"/>
        <w:widowControl w:val="0"/>
        <w:tabs>
          <w:tab w:val="right" w:leader="dot" w:pos="8299"/>
        </w:tabs>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lang w:val="zh-CN"/>
        </w:rPr>
        <w:fldChar w:fldCharType="begin"/>
      </w:r>
      <w:r>
        <w:rPr>
          <w:rFonts w:hint="eastAsia" w:ascii="宋体" w:hAnsi="宋体" w:eastAsia="宋体" w:cs="宋体"/>
          <w:sz w:val="24"/>
          <w:szCs w:val="24"/>
          <w:highlight w:val="none"/>
          <w:lang w:val="zh-CN"/>
        </w:rPr>
        <w:instrText xml:space="preserve"> HYPERLINK \l _Toc2320 </w:instrText>
      </w:r>
      <w:r>
        <w:rPr>
          <w:rFonts w:hint="eastAsia" w:ascii="宋体" w:hAnsi="宋体" w:eastAsia="宋体" w:cs="宋体"/>
          <w:sz w:val="24"/>
          <w:szCs w:val="24"/>
          <w:highlight w:val="none"/>
          <w:lang w:val="zh-CN"/>
        </w:rPr>
        <w:fldChar w:fldCharType="separate"/>
      </w:r>
      <w:r>
        <w:rPr>
          <w:rFonts w:hint="eastAsia" w:ascii="宋体" w:hAnsi="宋体" w:eastAsia="宋体" w:cs="宋体"/>
          <w:sz w:val="24"/>
          <w:szCs w:val="24"/>
          <w:highlight w:val="none"/>
          <w:lang w:val="zh-CN"/>
        </w:rPr>
        <w:t>五、磋商过程</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_Toc2320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zh-CN"/>
        </w:rPr>
        <w:fldChar w:fldCharType="end"/>
      </w:r>
    </w:p>
    <w:p w14:paraId="32F406D3">
      <w:pPr>
        <w:pStyle w:val="16"/>
        <w:keepNext w:val="0"/>
        <w:keepLines w:val="0"/>
        <w:pageBreakBefore w:val="0"/>
        <w:widowControl w:val="0"/>
        <w:tabs>
          <w:tab w:val="right" w:leader="dot" w:pos="8299"/>
        </w:tabs>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lang w:val="zh-CN"/>
        </w:rPr>
        <w:fldChar w:fldCharType="begin"/>
      </w:r>
      <w:r>
        <w:rPr>
          <w:rFonts w:hint="eastAsia" w:ascii="宋体" w:hAnsi="宋体" w:eastAsia="宋体" w:cs="宋体"/>
          <w:sz w:val="24"/>
          <w:szCs w:val="24"/>
          <w:highlight w:val="none"/>
          <w:lang w:val="zh-CN"/>
        </w:rPr>
        <w:instrText xml:space="preserve"> HYPERLINK \l _Toc17176 </w:instrText>
      </w:r>
      <w:r>
        <w:rPr>
          <w:rFonts w:hint="eastAsia" w:ascii="宋体" w:hAnsi="宋体" w:eastAsia="宋体" w:cs="宋体"/>
          <w:sz w:val="24"/>
          <w:szCs w:val="24"/>
          <w:highlight w:val="none"/>
          <w:lang w:val="zh-CN"/>
        </w:rPr>
        <w:fldChar w:fldCharType="separate"/>
      </w:r>
      <w:r>
        <w:rPr>
          <w:rFonts w:hint="eastAsia" w:ascii="宋体" w:hAnsi="宋体" w:eastAsia="宋体" w:cs="宋体"/>
          <w:sz w:val="24"/>
          <w:szCs w:val="24"/>
          <w:highlight w:val="none"/>
          <w:lang w:val="zh-CN"/>
        </w:rPr>
        <w:t>六、磋商程序及方法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_Toc17176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zh-CN"/>
        </w:rPr>
        <w:fldChar w:fldCharType="end"/>
      </w:r>
    </w:p>
    <w:p w14:paraId="0B67DEDF">
      <w:pPr>
        <w:pStyle w:val="16"/>
        <w:keepNext w:val="0"/>
        <w:keepLines w:val="0"/>
        <w:pageBreakBefore w:val="0"/>
        <w:widowControl w:val="0"/>
        <w:tabs>
          <w:tab w:val="right" w:leader="dot" w:pos="8299"/>
        </w:tabs>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lang w:val="zh-CN"/>
        </w:rPr>
        <w:fldChar w:fldCharType="begin"/>
      </w:r>
      <w:r>
        <w:rPr>
          <w:rFonts w:hint="eastAsia" w:ascii="宋体" w:hAnsi="宋体" w:eastAsia="宋体" w:cs="宋体"/>
          <w:sz w:val="24"/>
          <w:szCs w:val="24"/>
          <w:highlight w:val="none"/>
          <w:lang w:val="zh-CN"/>
        </w:rPr>
        <w:instrText xml:space="preserve"> HYPERLINK \l _Toc29574 </w:instrText>
      </w:r>
      <w:r>
        <w:rPr>
          <w:rFonts w:hint="eastAsia" w:ascii="宋体" w:hAnsi="宋体" w:eastAsia="宋体" w:cs="宋体"/>
          <w:sz w:val="24"/>
          <w:szCs w:val="24"/>
          <w:highlight w:val="none"/>
          <w:lang w:val="zh-CN"/>
        </w:rPr>
        <w:fldChar w:fldCharType="separate"/>
      </w:r>
      <w:r>
        <w:rPr>
          <w:rFonts w:hint="eastAsia" w:ascii="宋体" w:hAnsi="宋体" w:eastAsia="宋体" w:cs="宋体"/>
          <w:sz w:val="24"/>
          <w:szCs w:val="24"/>
          <w:highlight w:val="none"/>
        </w:rPr>
        <w:t>七、确定成交供应商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_Toc29574 \h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zh-CN"/>
        </w:rPr>
        <w:fldChar w:fldCharType="end"/>
      </w:r>
    </w:p>
    <w:p w14:paraId="583C761B">
      <w:pPr>
        <w:pStyle w:val="16"/>
        <w:keepNext w:val="0"/>
        <w:keepLines w:val="0"/>
        <w:pageBreakBefore w:val="0"/>
        <w:widowControl w:val="0"/>
        <w:tabs>
          <w:tab w:val="right" w:leader="dot" w:pos="8299"/>
        </w:tabs>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lang w:val="zh-CN"/>
        </w:rPr>
        <w:fldChar w:fldCharType="begin"/>
      </w:r>
      <w:r>
        <w:rPr>
          <w:rFonts w:hint="eastAsia" w:ascii="宋体" w:hAnsi="宋体" w:eastAsia="宋体" w:cs="宋体"/>
          <w:sz w:val="24"/>
          <w:szCs w:val="24"/>
          <w:highlight w:val="none"/>
          <w:lang w:val="zh-CN"/>
        </w:rPr>
        <w:instrText xml:space="preserve"> HYPERLINK \l _Toc23928 </w:instrText>
      </w:r>
      <w:r>
        <w:rPr>
          <w:rFonts w:hint="eastAsia" w:ascii="宋体" w:hAnsi="宋体" w:eastAsia="宋体" w:cs="宋体"/>
          <w:sz w:val="24"/>
          <w:szCs w:val="24"/>
          <w:highlight w:val="none"/>
          <w:lang w:val="zh-CN"/>
        </w:rPr>
        <w:fldChar w:fldCharType="separate"/>
      </w:r>
      <w:r>
        <w:rPr>
          <w:rFonts w:hint="eastAsia" w:ascii="宋体" w:hAnsi="宋体" w:eastAsia="宋体" w:cs="宋体"/>
          <w:sz w:val="24"/>
          <w:szCs w:val="24"/>
          <w:highlight w:val="none"/>
          <w:lang w:val="zh-CN"/>
        </w:rPr>
        <w:t>八、授予合同</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_Toc23928 \h </w:instrText>
      </w:r>
      <w:r>
        <w:rPr>
          <w:rFonts w:hint="eastAsia" w:ascii="宋体" w:hAnsi="宋体" w:eastAsia="宋体" w:cs="宋体"/>
          <w:sz w:val="24"/>
          <w:szCs w:val="24"/>
        </w:rPr>
        <w:fldChar w:fldCharType="separate"/>
      </w:r>
      <w:r>
        <w:rPr>
          <w:rFonts w:hint="eastAsia" w:ascii="宋体" w:hAnsi="宋体" w:eastAsia="宋体" w:cs="宋体"/>
          <w:sz w:val="24"/>
          <w:szCs w:val="24"/>
        </w:rPr>
        <w:t>15</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zh-CN"/>
        </w:rPr>
        <w:fldChar w:fldCharType="end"/>
      </w:r>
    </w:p>
    <w:p w14:paraId="1B1CABCE">
      <w:pPr>
        <w:pStyle w:val="16"/>
        <w:keepNext w:val="0"/>
        <w:keepLines w:val="0"/>
        <w:pageBreakBefore w:val="0"/>
        <w:widowControl w:val="0"/>
        <w:tabs>
          <w:tab w:val="right" w:leader="dot" w:pos="8299"/>
        </w:tabs>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lang w:val="zh-CN"/>
        </w:rPr>
        <w:fldChar w:fldCharType="begin"/>
      </w:r>
      <w:r>
        <w:rPr>
          <w:rFonts w:hint="eastAsia" w:ascii="宋体" w:hAnsi="宋体" w:eastAsia="宋体" w:cs="宋体"/>
          <w:sz w:val="24"/>
          <w:szCs w:val="24"/>
          <w:highlight w:val="none"/>
          <w:lang w:val="zh-CN"/>
        </w:rPr>
        <w:instrText xml:space="preserve"> HYPERLINK \l _Toc18787 </w:instrText>
      </w:r>
      <w:r>
        <w:rPr>
          <w:rFonts w:hint="eastAsia" w:ascii="宋体" w:hAnsi="宋体" w:eastAsia="宋体" w:cs="宋体"/>
          <w:sz w:val="24"/>
          <w:szCs w:val="24"/>
          <w:highlight w:val="none"/>
          <w:lang w:val="zh-CN"/>
        </w:rPr>
        <w:fldChar w:fldCharType="separate"/>
      </w:r>
      <w:r>
        <w:rPr>
          <w:rFonts w:hint="eastAsia" w:ascii="宋体" w:hAnsi="宋体" w:eastAsia="宋体" w:cs="宋体"/>
          <w:sz w:val="24"/>
          <w:szCs w:val="24"/>
          <w:highlight w:val="none"/>
          <w:lang w:val="zh-CN"/>
        </w:rPr>
        <w:t>九、磋商活动终止</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_Toc18787 \h </w:instrText>
      </w:r>
      <w:r>
        <w:rPr>
          <w:rFonts w:hint="eastAsia" w:ascii="宋体" w:hAnsi="宋体" w:eastAsia="宋体" w:cs="宋体"/>
          <w:sz w:val="24"/>
          <w:szCs w:val="24"/>
        </w:rPr>
        <w:fldChar w:fldCharType="separate"/>
      </w:r>
      <w:r>
        <w:rPr>
          <w:rFonts w:hint="eastAsia" w:ascii="宋体" w:hAnsi="宋体" w:eastAsia="宋体" w:cs="宋体"/>
          <w:sz w:val="24"/>
          <w:szCs w:val="24"/>
        </w:rPr>
        <w:t>15</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zh-CN"/>
        </w:rPr>
        <w:fldChar w:fldCharType="end"/>
      </w:r>
    </w:p>
    <w:p w14:paraId="0FF1900D">
      <w:pPr>
        <w:pStyle w:val="16"/>
        <w:keepNext w:val="0"/>
        <w:keepLines w:val="0"/>
        <w:pageBreakBefore w:val="0"/>
        <w:widowControl w:val="0"/>
        <w:tabs>
          <w:tab w:val="right" w:leader="dot" w:pos="8299"/>
        </w:tabs>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lang w:val="zh-CN"/>
        </w:rPr>
        <w:fldChar w:fldCharType="begin"/>
      </w:r>
      <w:r>
        <w:rPr>
          <w:rFonts w:hint="eastAsia" w:ascii="宋体" w:hAnsi="宋体" w:eastAsia="宋体" w:cs="宋体"/>
          <w:sz w:val="24"/>
          <w:szCs w:val="24"/>
          <w:highlight w:val="none"/>
          <w:lang w:val="zh-CN"/>
        </w:rPr>
        <w:instrText xml:space="preserve"> HYPERLINK \l _Toc1924 </w:instrText>
      </w:r>
      <w:r>
        <w:rPr>
          <w:rFonts w:hint="eastAsia" w:ascii="宋体" w:hAnsi="宋体" w:eastAsia="宋体" w:cs="宋体"/>
          <w:sz w:val="24"/>
          <w:szCs w:val="24"/>
          <w:highlight w:val="none"/>
          <w:lang w:val="zh-CN"/>
        </w:rPr>
        <w:fldChar w:fldCharType="separate"/>
      </w:r>
      <w:r>
        <w:rPr>
          <w:rFonts w:hint="eastAsia" w:ascii="宋体" w:hAnsi="宋体" w:eastAsia="宋体" w:cs="宋体"/>
          <w:sz w:val="24"/>
          <w:szCs w:val="24"/>
          <w:highlight w:val="none"/>
          <w:lang w:val="zh-CN"/>
        </w:rPr>
        <w:t>十、处罚</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_Toc1924 \h </w:instrText>
      </w:r>
      <w:r>
        <w:rPr>
          <w:rFonts w:hint="eastAsia" w:ascii="宋体" w:hAnsi="宋体" w:eastAsia="宋体" w:cs="宋体"/>
          <w:sz w:val="24"/>
          <w:szCs w:val="24"/>
        </w:rPr>
        <w:fldChar w:fldCharType="separate"/>
      </w:r>
      <w:r>
        <w:rPr>
          <w:rFonts w:hint="eastAsia" w:ascii="宋体" w:hAnsi="宋体" w:eastAsia="宋体" w:cs="宋体"/>
          <w:sz w:val="24"/>
          <w:szCs w:val="24"/>
        </w:rPr>
        <w:t>15</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zh-CN"/>
        </w:rPr>
        <w:fldChar w:fldCharType="end"/>
      </w:r>
    </w:p>
    <w:p w14:paraId="605A1F48">
      <w:pPr>
        <w:pStyle w:val="16"/>
        <w:keepNext w:val="0"/>
        <w:keepLines w:val="0"/>
        <w:pageBreakBefore w:val="0"/>
        <w:widowControl w:val="0"/>
        <w:tabs>
          <w:tab w:val="right" w:leader="dot" w:pos="8299"/>
        </w:tabs>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lang w:val="zh-CN"/>
        </w:rPr>
        <w:fldChar w:fldCharType="begin"/>
      </w:r>
      <w:r>
        <w:rPr>
          <w:rFonts w:hint="eastAsia" w:ascii="宋体" w:hAnsi="宋体" w:eastAsia="宋体" w:cs="宋体"/>
          <w:sz w:val="24"/>
          <w:szCs w:val="24"/>
          <w:highlight w:val="none"/>
          <w:lang w:val="zh-CN"/>
        </w:rPr>
        <w:instrText xml:space="preserve"> HYPERLINK \l _Toc6887 </w:instrText>
      </w:r>
      <w:r>
        <w:rPr>
          <w:rFonts w:hint="eastAsia" w:ascii="宋体" w:hAnsi="宋体" w:eastAsia="宋体" w:cs="宋体"/>
          <w:sz w:val="24"/>
          <w:szCs w:val="24"/>
          <w:highlight w:val="none"/>
          <w:lang w:val="zh-CN"/>
        </w:rPr>
        <w:fldChar w:fldCharType="separate"/>
      </w:r>
      <w:r>
        <w:rPr>
          <w:rFonts w:hint="eastAsia" w:ascii="宋体" w:hAnsi="宋体" w:eastAsia="宋体" w:cs="宋体"/>
          <w:sz w:val="24"/>
          <w:szCs w:val="24"/>
          <w:highlight w:val="none"/>
          <w:lang w:val="zh-CN"/>
        </w:rPr>
        <w:t>十一、其他</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_Toc6887 \h </w:instrText>
      </w:r>
      <w:r>
        <w:rPr>
          <w:rFonts w:hint="eastAsia" w:ascii="宋体" w:hAnsi="宋体" w:eastAsia="宋体" w:cs="宋体"/>
          <w:sz w:val="24"/>
          <w:szCs w:val="24"/>
        </w:rPr>
        <w:fldChar w:fldCharType="separate"/>
      </w:r>
      <w:r>
        <w:rPr>
          <w:rFonts w:hint="eastAsia" w:ascii="宋体" w:hAnsi="宋体" w:eastAsia="宋体" w:cs="宋体"/>
          <w:sz w:val="24"/>
          <w:szCs w:val="24"/>
        </w:rPr>
        <w:t>16</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zh-CN"/>
        </w:rPr>
        <w:fldChar w:fldCharType="end"/>
      </w:r>
    </w:p>
    <w:p w14:paraId="0FA3C6A1">
      <w:pPr>
        <w:pStyle w:val="16"/>
        <w:keepNext w:val="0"/>
        <w:keepLines w:val="0"/>
        <w:pageBreakBefore w:val="0"/>
        <w:widowControl w:val="0"/>
        <w:tabs>
          <w:tab w:val="right" w:leader="dot" w:pos="8299"/>
        </w:tabs>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lang w:val="zh-CN"/>
        </w:rPr>
        <w:fldChar w:fldCharType="begin"/>
      </w:r>
      <w:r>
        <w:rPr>
          <w:rFonts w:hint="eastAsia" w:ascii="宋体" w:hAnsi="宋体" w:eastAsia="宋体" w:cs="宋体"/>
          <w:sz w:val="24"/>
          <w:szCs w:val="24"/>
          <w:highlight w:val="none"/>
          <w:lang w:val="zh-CN"/>
        </w:rPr>
        <w:instrText xml:space="preserve"> HYPERLINK \l _Toc13582 </w:instrText>
      </w:r>
      <w:r>
        <w:rPr>
          <w:rFonts w:hint="eastAsia" w:ascii="宋体" w:hAnsi="宋体" w:eastAsia="宋体" w:cs="宋体"/>
          <w:sz w:val="24"/>
          <w:szCs w:val="24"/>
          <w:highlight w:val="none"/>
          <w:lang w:val="zh-CN"/>
        </w:rPr>
        <w:fldChar w:fldCharType="separate"/>
      </w:r>
      <w:r>
        <w:rPr>
          <w:rFonts w:hint="eastAsia" w:ascii="宋体" w:hAnsi="宋体" w:eastAsia="宋体" w:cs="宋体"/>
          <w:kern w:val="28"/>
          <w:sz w:val="24"/>
          <w:szCs w:val="24"/>
          <w:highlight w:val="none"/>
        </w:rPr>
        <w:t>第四部分 采购项目合同书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_Toc13582 \h </w:instrText>
      </w:r>
      <w:r>
        <w:rPr>
          <w:rFonts w:hint="eastAsia" w:ascii="宋体" w:hAnsi="宋体" w:eastAsia="宋体" w:cs="宋体"/>
          <w:sz w:val="24"/>
          <w:szCs w:val="24"/>
        </w:rPr>
        <w:fldChar w:fldCharType="separate"/>
      </w:r>
      <w:r>
        <w:rPr>
          <w:rFonts w:hint="eastAsia" w:ascii="宋体" w:hAnsi="宋体" w:eastAsia="宋体" w:cs="宋体"/>
          <w:sz w:val="24"/>
          <w:szCs w:val="24"/>
        </w:rPr>
        <w:t>17</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zh-CN"/>
        </w:rPr>
        <w:fldChar w:fldCharType="end"/>
      </w:r>
    </w:p>
    <w:p w14:paraId="48E2BD6C">
      <w:pPr>
        <w:pStyle w:val="16"/>
        <w:keepNext w:val="0"/>
        <w:keepLines w:val="0"/>
        <w:pageBreakBefore w:val="0"/>
        <w:widowControl w:val="0"/>
        <w:tabs>
          <w:tab w:val="right" w:leader="dot" w:pos="8299"/>
        </w:tabs>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lang w:val="zh-CN"/>
        </w:rPr>
        <w:fldChar w:fldCharType="begin"/>
      </w:r>
      <w:r>
        <w:rPr>
          <w:rFonts w:hint="eastAsia" w:ascii="宋体" w:hAnsi="宋体" w:eastAsia="宋体" w:cs="宋体"/>
          <w:sz w:val="24"/>
          <w:szCs w:val="24"/>
          <w:highlight w:val="none"/>
          <w:lang w:val="zh-CN"/>
        </w:rPr>
        <w:instrText xml:space="preserve"> HYPERLINK \l _Toc15345 </w:instrText>
      </w:r>
      <w:r>
        <w:rPr>
          <w:rFonts w:hint="eastAsia" w:ascii="宋体" w:hAnsi="宋体" w:eastAsia="宋体" w:cs="宋体"/>
          <w:sz w:val="24"/>
          <w:szCs w:val="24"/>
          <w:highlight w:val="none"/>
          <w:lang w:val="zh-CN"/>
        </w:rPr>
        <w:fldChar w:fldCharType="separate"/>
      </w:r>
      <w:r>
        <w:rPr>
          <w:rFonts w:hint="eastAsia" w:ascii="宋体" w:hAnsi="宋体" w:eastAsia="宋体" w:cs="宋体"/>
          <w:sz w:val="24"/>
          <w:szCs w:val="24"/>
          <w:highlight w:val="none"/>
        </w:rPr>
        <w:t>第五部分 磋商响应文件格式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_Toc15345 \h </w:instrText>
      </w:r>
      <w:r>
        <w:rPr>
          <w:rFonts w:hint="eastAsia" w:ascii="宋体" w:hAnsi="宋体" w:eastAsia="宋体" w:cs="宋体"/>
          <w:sz w:val="24"/>
          <w:szCs w:val="24"/>
        </w:rPr>
        <w:fldChar w:fldCharType="separate"/>
      </w:r>
      <w:r>
        <w:rPr>
          <w:rFonts w:hint="eastAsia" w:ascii="宋体" w:hAnsi="宋体" w:eastAsia="宋体" w:cs="宋体"/>
          <w:sz w:val="24"/>
          <w:szCs w:val="24"/>
        </w:rPr>
        <w:t>21</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zh-CN"/>
        </w:rPr>
        <w:fldChar w:fldCharType="end"/>
      </w:r>
    </w:p>
    <w:p w14:paraId="755D215A">
      <w:pPr>
        <w:pStyle w:val="16"/>
        <w:keepNext w:val="0"/>
        <w:keepLines w:val="0"/>
        <w:pageBreakBefore w:val="0"/>
        <w:widowControl w:val="0"/>
        <w:tabs>
          <w:tab w:val="right" w:leader="dot" w:pos="8299"/>
        </w:tabs>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lang w:val="zh-CN"/>
        </w:rPr>
        <w:fldChar w:fldCharType="begin"/>
      </w:r>
      <w:r>
        <w:rPr>
          <w:rFonts w:hint="eastAsia" w:ascii="宋体" w:hAnsi="宋体" w:eastAsia="宋体" w:cs="宋体"/>
          <w:sz w:val="24"/>
          <w:szCs w:val="24"/>
          <w:highlight w:val="none"/>
          <w:lang w:val="zh-CN"/>
        </w:rPr>
        <w:instrText xml:space="preserve"> HYPERLINK \l _Toc2606 </w:instrText>
      </w:r>
      <w:r>
        <w:rPr>
          <w:rFonts w:hint="eastAsia" w:ascii="宋体" w:hAnsi="宋体" w:eastAsia="宋体" w:cs="宋体"/>
          <w:sz w:val="24"/>
          <w:szCs w:val="24"/>
          <w:highlight w:val="none"/>
          <w:lang w:val="zh-CN"/>
        </w:rPr>
        <w:fldChar w:fldCharType="separate"/>
      </w:r>
      <w:r>
        <w:rPr>
          <w:rFonts w:hint="eastAsia" w:ascii="宋体" w:hAnsi="宋体" w:eastAsia="宋体" w:cs="宋体"/>
          <w:kern w:val="28"/>
          <w:sz w:val="24"/>
          <w:szCs w:val="24"/>
          <w:lang w:val="zh-CN"/>
        </w:rPr>
        <w:t xml:space="preserve">第六部分 </w:t>
      </w:r>
      <w:r>
        <w:rPr>
          <w:rFonts w:hint="eastAsia" w:ascii="宋体" w:hAnsi="宋体" w:eastAsia="宋体" w:cs="宋体"/>
          <w:kern w:val="28"/>
          <w:sz w:val="24"/>
          <w:szCs w:val="24"/>
          <w:highlight w:val="none"/>
          <w:lang w:val="zh-CN"/>
        </w:rPr>
        <w:t>采购项目服务要求及技术参数</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_Toc2606 \h </w:instrText>
      </w:r>
      <w:r>
        <w:rPr>
          <w:rFonts w:hint="eastAsia" w:ascii="宋体" w:hAnsi="宋体" w:eastAsia="宋体" w:cs="宋体"/>
          <w:sz w:val="24"/>
          <w:szCs w:val="24"/>
        </w:rPr>
        <w:fldChar w:fldCharType="separate"/>
      </w:r>
      <w:r>
        <w:rPr>
          <w:rFonts w:hint="eastAsia" w:ascii="宋体" w:hAnsi="宋体" w:eastAsia="宋体" w:cs="宋体"/>
          <w:sz w:val="24"/>
          <w:szCs w:val="24"/>
        </w:rPr>
        <w:t>42</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zh-CN"/>
        </w:rPr>
        <w:fldChar w:fldCharType="end"/>
      </w:r>
    </w:p>
    <w:p w14:paraId="7C24F42D">
      <w:pPr>
        <w:pStyle w:val="16"/>
        <w:tabs>
          <w:tab w:val="right" w:leader="dot" w:pos="8299"/>
        </w:tabs>
        <w:rPr>
          <w:rFonts w:hint="eastAsia" w:ascii="宋体" w:hAnsi="宋体" w:eastAsia="宋体" w:cs="宋体"/>
          <w:sz w:val="24"/>
          <w:szCs w:val="24"/>
        </w:rPr>
      </w:pPr>
    </w:p>
    <w:p w14:paraId="1E350357">
      <w:pPr>
        <w:spacing w:line="360" w:lineRule="auto"/>
        <w:jc w:val="left"/>
        <w:rPr>
          <w:rFonts w:hint="eastAsia" w:ascii="宋体" w:hAnsi="宋体" w:eastAsia="宋体" w:cs="宋体"/>
          <w:b/>
          <w:color w:val="auto"/>
          <w:sz w:val="24"/>
          <w:szCs w:val="24"/>
          <w:highlight w:val="none"/>
          <w:lang w:val="zh-CN"/>
        </w:rPr>
      </w:pPr>
      <w:r>
        <w:rPr>
          <w:rFonts w:hint="eastAsia" w:ascii="宋体" w:hAnsi="宋体" w:eastAsia="宋体" w:cs="宋体"/>
          <w:color w:val="auto"/>
          <w:sz w:val="24"/>
          <w:szCs w:val="24"/>
          <w:highlight w:val="none"/>
          <w:lang w:val="zh-CN"/>
        </w:rPr>
        <w:fldChar w:fldCharType="end"/>
      </w:r>
    </w:p>
    <w:p w14:paraId="455CDACA">
      <w:pPr>
        <w:pStyle w:val="44"/>
        <w:tabs>
          <w:tab w:val="right" w:leader="dot" w:pos="9880"/>
        </w:tabs>
        <w:rPr>
          <w:rFonts w:hint="eastAsia" w:ascii="宋体" w:hAnsi="宋体" w:eastAsia="宋体" w:cs="宋体"/>
          <w:b/>
          <w:color w:val="auto"/>
          <w:sz w:val="24"/>
          <w:szCs w:val="24"/>
          <w:highlight w:val="none"/>
        </w:rPr>
        <w:sectPr>
          <w:footerReference r:id="rId10" w:type="default"/>
          <w:pgSz w:w="11905" w:h="16838"/>
          <w:pgMar w:top="1440" w:right="1803" w:bottom="1440" w:left="1803" w:header="1020" w:footer="867" w:gutter="0"/>
          <w:paperSrc/>
          <w:pgBorders w:offsetFrom="page">
            <w:top w:val="single" w:color="auto" w:sz="12" w:space="24"/>
            <w:left w:val="single" w:color="auto" w:sz="12" w:space="24"/>
            <w:bottom w:val="single" w:color="auto" w:sz="12" w:space="24"/>
            <w:right w:val="single" w:color="auto" w:sz="12" w:space="24"/>
          </w:pgBorders>
          <w:pgNumType w:start="1"/>
          <w:cols w:space="720" w:num="1"/>
          <w:rtlGutter w:val="0"/>
          <w:docGrid w:linePitch="0" w:charSpace="0"/>
        </w:sectPr>
      </w:pPr>
      <w:bookmarkStart w:id="7" w:name="_Toc9794"/>
    </w:p>
    <w:bookmarkEnd w:id="0"/>
    <w:p w14:paraId="3A6AC358">
      <w:pPr>
        <w:pStyle w:val="44"/>
        <w:numPr>
          <w:ilvl w:val="0"/>
          <w:numId w:val="0"/>
        </w:numPr>
        <w:tabs>
          <w:tab w:val="right" w:leader="dot" w:pos="9880"/>
        </w:tabs>
        <w:jc w:val="center"/>
        <w:outlineLvl w:val="0"/>
        <w:rPr>
          <w:rFonts w:hint="eastAsia" w:ascii="宋体" w:hAnsi="宋体" w:eastAsia="宋体" w:cs="宋体"/>
          <w:b/>
          <w:bCs/>
          <w:color w:val="auto"/>
          <w:sz w:val="36"/>
          <w:szCs w:val="32"/>
          <w:highlight w:val="none"/>
          <w:lang w:val="zh-CN"/>
        </w:rPr>
      </w:pPr>
      <w:bookmarkStart w:id="8" w:name="_Toc16983"/>
      <w:r>
        <w:rPr>
          <w:rFonts w:hint="eastAsia" w:ascii="宋体" w:hAnsi="宋体" w:cs="宋体"/>
          <w:b/>
          <w:bCs/>
          <w:color w:val="auto"/>
          <w:sz w:val="36"/>
          <w:szCs w:val="32"/>
          <w:highlight w:val="none"/>
          <w:lang w:val="en-US" w:eastAsia="zh-CN"/>
        </w:rPr>
        <w:t xml:space="preserve">第一部分 </w:t>
      </w:r>
      <w:r>
        <w:rPr>
          <w:rFonts w:hint="eastAsia" w:ascii="宋体" w:hAnsi="宋体" w:eastAsia="宋体" w:cs="宋体"/>
          <w:b/>
          <w:bCs/>
          <w:color w:val="auto"/>
          <w:sz w:val="36"/>
          <w:szCs w:val="32"/>
          <w:highlight w:val="none"/>
          <w:lang w:val="zh-CN"/>
        </w:rPr>
        <w:t>竞争性磋商公告</w:t>
      </w:r>
      <w:bookmarkEnd w:id="1"/>
      <w:bookmarkEnd w:id="2"/>
      <w:bookmarkEnd w:id="3"/>
      <w:bookmarkEnd w:id="4"/>
      <w:bookmarkEnd w:id="5"/>
      <w:bookmarkEnd w:id="7"/>
      <w:bookmarkEnd w:id="8"/>
    </w:p>
    <w:p w14:paraId="6A02B22E">
      <w:pPr>
        <w:pStyle w:val="44"/>
        <w:numPr>
          <w:ilvl w:val="0"/>
          <w:numId w:val="0"/>
        </w:numPr>
        <w:tabs>
          <w:tab w:val="right" w:leader="dot" w:pos="9880"/>
        </w:tabs>
        <w:jc w:val="left"/>
        <w:outlineLvl w:val="0"/>
        <w:rPr>
          <w:rFonts w:hint="eastAsia" w:ascii="宋体" w:hAnsi="宋体" w:eastAsia="宋体" w:cs="宋体"/>
          <w:b/>
          <w:bCs/>
          <w:color w:val="auto"/>
          <w:sz w:val="36"/>
          <w:szCs w:val="32"/>
          <w:highlight w:val="none"/>
          <w:lang w:val="zh-CN"/>
        </w:rPr>
      </w:pPr>
    </w:p>
    <w:p w14:paraId="790F9735">
      <w:pPr>
        <w:spacing w:after="240" w:afterLines="0" w:line="360" w:lineRule="auto"/>
        <w:ind w:firstLine="482"/>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青海中旭工程项目管理有限公司受</w:t>
      </w:r>
      <w:r>
        <w:rPr>
          <w:rFonts w:hint="eastAsia" w:ascii="宋体" w:hAnsi="宋体" w:eastAsia="宋体" w:cs="宋体"/>
          <w:color w:val="auto"/>
          <w:sz w:val="24"/>
          <w:szCs w:val="24"/>
          <w:highlight w:val="none"/>
          <w:u w:val="single"/>
          <w:lang w:eastAsia="zh-CN"/>
        </w:rPr>
        <w:t>青海民族大学</w:t>
      </w:r>
      <w:r>
        <w:rPr>
          <w:rFonts w:hint="eastAsia" w:ascii="宋体" w:hAnsi="宋体" w:eastAsia="宋体" w:cs="宋体"/>
          <w:color w:val="auto"/>
          <w:sz w:val="24"/>
          <w:szCs w:val="24"/>
          <w:highlight w:val="none"/>
          <w:lang w:val="zh-CN"/>
        </w:rPr>
        <w:t>委托，拟对</w:t>
      </w:r>
      <w:r>
        <w:rPr>
          <w:rFonts w:hint="eastAsia" w:ascii="宋体" w:hAnsi="宋体" w:eastAsia="宋体" w:cs="宋体"/>
          <w:color w:val="auto"/>
          <w:sz w:val="24"/>
          <w:szCs w:val="24"/>
          <w:highlight w:val="none"/>
          <w:u w:val="single"/>
          <w:lang w:val="zh-CN"/>
        </w:rPr>
        <w:t>“青海民族大学高等教育人才培养模式改革创新项目</w:t>
      </w:r>
      <w:r>
        <w:rPr>
          <w:rFonts w:hint="eastAsia" w:ascii="宋体" w:hAnsi="宋体" w:eastAsia="宋体" w:cs="宋体"/>
          <w:color w:val="auto"/>
          <w:sz w:val="24"/>
          <w:szCs w:val="24"/>
          <w:highlight w:val="none"/>
          <w:u w:val="single"/>
        </w:rPr>
        <w:t>”（项目编号：</w:t>
      </w:r>
      <w:r>
        <w:rPr>
          <w:rFonts w:hint="eastAsia" w:ascii="宋体" w:hAnsi="宋体" w:eastAsia="宋体" w:cs="宋体"/>
          <w:color w:val="auto"/>
          <w:sz w:val="24"/>
          <w:szCs w:val="24"/>
          <w:highlight w:val="none"/>
          <w:u w:val="single"/>
          <w:lang w:eastAsia="zh-CN"/>
        </w:rPr>
        <w:t>QHZX-竞磋（服务）2024-043</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zh-CN"/>
        </w:rPr>
        <w:t>，</w:t>
      </w:r>
      <w:r>
        <w:rPr>
          <w:rFonts w:hint="eastAsia" w:ascii="宋体" w:hAnsi="宋体" w:eastAsia="宋体" w:cs="宋体"/>
          <w:color w:val="auto"/>
          <w:sz w:val="24"/>
          <w:szCs w:val="24"/>
          <w:highlight w:val="none"/>
          <w:lang w:val="zh-CN"/>
        </w:rPr>
        <w:t>进行国内竞争性磋商采购。现予以公告，欢迎符合条件的供应商前来参加</w:t>
      </w:r>
      <w:r>
        <w:rPr>
          <w:rFonts w:hint="eastAsia" w:ascii="宋体" w:hAnsi="宋体" w:eastAsia="宋体" w:cs="宋体"/>
          <w:color w:val="auto"/>
          <w:sz w:val="24"/>
          <w:szCs w:val="24"/>
          <w:highlight w:val="none"/>
        </w:rPr>
        <w:t>此次</w:t>
      </w:r>
      <w:r>
        <w:rPr>
          <w:rFonts w:hint="eastAsia" w:ascii="宋体" w:hAnsi="宋体" w:eastAsia="宋体" w:cs="宋体"/>
          <w:color w:val="auto"/>
          <w:sz w:val="24"/>
          <w:szCs w:val="24"/>
          <w:highlight w:val="none"/>
          <w:lang w:val="zh-CN"/>
        </w:rPr>
        <w:t>磋商。</w:t>
      </w:r>
    </w:p>
    <w:tbl>
      <w:tblPr>
        <w:tblStyle w:val="2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057"/>
        <w:gridCol w:w="6166"/>
      </w:tblGrid>
      <w:tr w14:paraId="16851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 w:hRule="atLeast"/>
          <w:jc w:val="center"/>
        </w:trPr>
        <w:tc>
          <w:tcPr>
            <w:tcW w:w="305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AD642A5">
            <w:pPr>
              <w:autoSpaceDE w:val="0"/>
              <w:autoSpaceDN w:val="0"/>
              <w:adjustRightInd w:val="0"/>
              <w:spacing w:line="360" w:lineRule="auto"/>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采购</w:t>
            </w:r>
            <w:r>
              <w:rPr>
                <w:rFonts w:hint="eastAsia" w:ascii="宋体" w:hAnsi="宋体" w:eastAsia="宋体" w:cs="宋体"/>
                <w:color w:val="auto"/>
                <w:sz w:val="24"/>
                <w:highlight w:val="none"/>
                <w:lang w:val="zh-CN"/>
              </w:rPr>
              <w:t>项目名称</w:t>
            </w:r>
          </w:p>
        </w:tc>
        <w:tc>
          <w:tcPr>
            <w:tcW w:w="616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D7DA9D1">
            <w:pPr>
              <w:pStyle w:val="30"/>
              <w:widowControl w:val="0"/>
              <w:autoSpaceDE w:val="0"/>
              <w:autoSpaceDN w:val="0"/>
              <w:adjustRightInd w:val="0"/>
              <w:spacing w:before="0" w:beforeLines="0" w:after="0" w:afterLines="0" w:line="360" w:lineRule="auto"/>
              <w:jc w:val="left"/>
              <w:rPr>
                <w:rFonts w:hint="eastAsia" w:ascii="宋体" w:hAnsi="宋体" w:eastAsia="宋体" w:cs="宋体"/>
                <w:color w:val="auto"/>
                <w:sz w:val="24"/>
                <w:highlight w:val="none"/>
                <w:lang w:val="zh-CN"/>
              </w:rPr>
            </w:pPr>
            <w:r>
              <w:rPr>
                <w:rFonts w:hint="eastAsia" w:ascii="宋体" w:hAnsi="宋体" w:eastAsia="宋体" w:cs="宋体"/>
                <w:color w:val="auto"/>
                <w:sz w:val="24"/>
                <w:szCs w:val="24"/>
                <w:highlight w:val="none"/>
                <w:lang w:val="zh-CN" w:eastAsia="zh-CN"/>
              </w:rPr>
              <w:t>青海民族大学高等教育人才培养模式改革创新项目</w:t>
            </w:r>
          </w:p>
        </w:tc>
      </w:tr>
      <w:tr w14:paraId="2197A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jc w:val="center"/>
        </w:trPr>
        <w:tc>
          <w:tcPr>
            <w:tcW w:w="305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ACEC3C2">
            <w:pPr>
              <w:autoSpaceDE w:val="0"/>
              <w:autoSpaceDN w:val="0"/>
              <w:adjustRightInd w:val="0"/>
              <w:spacing w:line="360" w:lineRule="auto"/>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采购</w:t>
            </w:r>
            <w:r>
              <w:rPr>
                <w:rFonts w:hint="eastAsia" w:ascii="宋体" w:hAnsi="宋体" w:eastAsia="宋体" w:cs="宋体"/>
                <w:color w:val="auto"/>
                <w:sz w:val="24"/>
                <w:highlight w:val="none"/>
                <w:lang w:val="zh-CN"/>
              </w:rPr>
              <w:t>项目编号</w:t>
            </w:r>
          </w:p>
        </w:tc>
        <w:tc>
          <w:tcPr>
            <w:tcW w:w="616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160A690">
            <w:pPr>
              <w:pStyle w:val="30"/>
              <w:widowControl w:val="0"/>
              <w:autoSpaceDE w:val="0"/>
              <w:autoSpaceDN w:val="0"/>
              <w:adjustRightInd w:val="0"/>
              <w:spacing w:before="0" w:beforeLines="0" w:after="0" w:afterLines="0" w:line="36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val="en-US" w:eastAsia="zh-CN"/>
              </w:rPr>
              <w:t>QHZX-竞磋（服务）2024-043</w:t>
            </w:r>
          </w:p>
        </w:tc>
      </w:tr>
      <w:tr w14:paraId="5D1D7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jc w:val="center"/>
        </w:trPr>
        <w:tc>
          <w:tcPr>
            <w:tcW w:w="305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FF50A2D">
            <w:pPr>
              <w:autoSpaceDE w:val="0"/>
              <w:autoSpaceDN w:val="0"/>
              <w:adjustRightInd w:val="0"/>
              <w:spacing w:line="360" w:lineRule="auto"/>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采购</w:t>
            </w:r>
            <w:r>
              <w:rPr>
                <w:rFonts w:hint="eastAsia" w:ascii="宋体" w:hAnsi="宋体" w:eastAsia="宋体" w:cs="宋体"/>
                <w:color w:val="auto"/>
                <w:sz w:val="24"/>
                <w:highlight w:val="none"/>
                <w:lang w:val="zh-CN"/>
              </w:rPr>
              <w:t>方式</w:t>
            </w:r>
          </w:p>
        </w:tc>
        <w:tc>
          <w:tcPr>
            <w:tcW w:w="616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E37323A">
            <w:pPr>
              <w:pStyle w:val="30"/>
              <w:widowControl w:val="0"/>
              <w:autoSpaceDE w:val="0"/>
              <w:autoSpaceDN w:val="0"/>
              <w:adjustRightInd w:val="0"/>
              <w:spacing w:before="0" w:beforeLines="0" w:after="0" w:afterLines="0" w:line="360" w:lineRule="auto"/>
              <w:jc w:val="left"/>
              <w:rPr>
                <w:rFonts w:hint="eastAsia" w:ascii="宋体" w:hAnsi="宋体" w:eastAsia="宋体" w:cs="宋体"/>
                <w:color w:val="auto"/>
                <w:sz w:val="24"/>
                <w:highlight w:val="none"/>
                <w:lang w:val="zh-CN"/>
              </w:rPr>
            </w:pPr>
            <w:r>
              <w:rPr>
                <w:rFonts w:hint="eastAsia" w:ascii="宋体" w:hAnsi="宋体" w:eastAsia="宋体" w:cs="宋体"/>
                <w:color w:val="auto"/>
                <w:sz w:val="24"/>
                <w:szCs w:val="24"/>
                <w:highlight w:val="none"/>
                <w:lang w:val="en-US" w:eastAsia="zh-CN"/>
              </w:rPr>
              <w:t>竞争性</w:t>
            </w:r>
            <w:r>
              <w:rPr>
                <w:rFonts w:hint="eastAsia" w:ascii="宋体" w:hAnsi="宋体" w:eastAsia="宋体" w:cs="宋体"/>
                <w:color w:val="auto"/>
                <w:sz w:val="24"/>
                <w:szCs w:val="24"/>
                <w:highlight w:val="none"/>
                <w:lang w:val="zh-CN" w:eastAsia="zh-CN"/>
              </w:rPr>
              <w:t>磋商</w:t>
            </w:r>
          </w:p>
        </w:tc>
      </w:tr>
      <w:tr w14:paraId="56646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05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CD6E7EE">
            <w:pPr>
              <w:autoSpaceDE w:val="0"/>
              <w:autoSpaceDN w:val="0"/>
              <w:adjustRightIn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采购预算控制额度</w:t>
            </w:r>
          </w:p>
        </w:tc>
        <w:tc>
          <w:tcPr>
            <w:tcW w:w="616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DFA41B4">
            <w:pPr>
              <w:pStyle w:val="30"/>
              <w:widowControl w:val="0"/>
              <w:autoSpaceDE w:val="0"/>
              <w:autoSpaceDN w:val="0"/>
              <w:adjustRightInd w:val="0"/>
              <w:spacing w:before="0" w:beforeLines="0" w:after="0" w:afterLines="0"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en-US" w:eastAsia="zh-CN"/>
              </w:rPr>
              <w:t>人民币45万元</w:t>
            </w:r>
          </w:p>
        </w:tc>
      </w:tr>
      <w:tr w14:paraId="721F4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05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8101FAB">
            <w:pPr>
              <w:autoSpaceDE w:val="0"/>
              <w:autoSpaceDN w:val="0"/>
              <w:adjustRightInd w:val="0"/>
              <w:spacing w:line="36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分包个数</w:t>
            </w:r>
          </w:p>
        </w:tc>
        <w:tc>
          <w:tcPr>
            <w:tcW w:w="616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ADA1A5D">
            <w:pPr>
              <w:pStyle w:val="30"/>
              <w:widowControl w:val="0"/>
              <w:autoSpaceDE w:val="0"/>
              <w:autoSpaceDN w:val="0"/>
              <w:adjustRightInd w:val="0"/>
              <w:spacing w:before="0" w:beforeLines="0" w:after="0" w:afterLines="0"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1个</w:t>
            </w:r>
          </w:p>
        </w:tc>
      </w:tr>
      <w:tr w14:paraId="63CBE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305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18A43AA">
            <w:pPr>
              <w:pStyle w:val="30"/>
              <w:widowControl w:val="0"/>
              <w:autoSpaceDE w:val="0"/>
              <w:autoSpaceDN w:val="0"/>
              <w:adjustRightInd w:val="0"/>
              <w:spacing w:before="0" w:beforeLines="0" w:after="0" w:afterLines="0" w:line="360" w:lineRule="auto"/>
              <w:jc w:val="left"/>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项目要求</w:t>
            </w:r>
          </w:p>
        </w:tc>
        <w:tc>
          <w:tcPr>
            <w:tcW w:w="616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CB0FC3D">
            <w:pPr>
              <w:pStyle w:val="30"/>
              <w:widowControl w:val="0"/>
              <w:autoSpaceDE w:val="0"/>
              <w:autoSpaceDN w:val="0"/>
              <w:adjustRightInd w:val="0"/>
              <w:spacing w:before="0" w:beforeLines="0" w:after="0" w:afterLines="0" w:line="360" w:lineRule="auto"/>
              <w:jc w:val="left"/>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青海民族大学高等教育人才培养模式改革创新</w:t>
            </w:r>
            <w:r>
              <w:rPr>
                <w:rFonts w:hint="eastAsia" w:ascii="宋体" w:hAnsi="宋体" w:eastAsia="宋体" w:cs="宋体"/>
                <w:color w:val="auto"/>
                <w:sz w:val="24"/>
                <w:szCs w:val="24"/>
                <w:highlight w:val="none"/>
                <w:lang w:val="en-US" w:eastAsia="zh-CN"/>
              </w:rPr>
              <w:t>。（具体详见采购文件）</w:t>
            </w:r>
          </w:p>
        </w:tc>
      </w:tr>
      <w:tr w14:paraId="74787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305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0E2F72A">
            <w:pPr>
              <w:autoSpaceDE w:val="0"/>
              <w:autoSpaceDN w:val="0"/>
              <w:adjustRightInd w:val="0"/>
              <w:spacing w:line="360" w:lineRule="auto"/>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供应商资格条件、能力和信誉</w:t>
            </w:r>
          </w:p>
        </w:tc>
        <w:tc>
          <w:tcPr>
            <w:tcW w:w="616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C9036FD">
            <w:pPr>
              <w:pStyle w:val="48"/>
              <w:spacing w:line="360" w:lineRule="auto"/>
              <w:ind w:firstLine="0" w:firstLineChars="0"/>
              <w:jc w:val="left"/>
              <w:rPr>
                <w:rFonts w:hint="eastAsia" w:ascii="宋体" w:hAnsi="宋体" w:eastAsia="宋体" w:cs="宋体"/>
                <w:bCs w:val="0"/>
                <w:color w:val="auto"/>
                <w:szCs w:val="24"/>
                <w:highlight w:val="none"/>
                <w:lang w:val="zh-CN"/>
              </w:rPr>
            </w:pPr>
            <w:r>
              <w:rPr>
                <w:rFonts w:hint="eastAsia" w:ascii="宋体" w:hAnsi="宋体" w:eastAsia="宋体" w:cs="宋体"/>
                <w:bCs w:val="0"/>
                <w:color w:val="auto"/>
                <w:szCs w:val="24"/>
                <w:highlight w:val="none"/>
                <w:lang w:val="zh-CN"/>
              </w:rPr>
              <w:t>1、符合《政府采购法》第22条条件，并提供以下材料：</w:t>
            </w:r>
          </w:p>
          <w:p w14:paraId="1EA21AE1">
            <w:pPr>
              <w:pStyle w:val="48"/>
              <w:spacing w:line="360" w:lineRule="auto"/>
              <w:ind w:firstLine="0" w:firstLineChars="0"/>
              <w:jc w:val="left"/>
              <w:rPr>
                <w:rFonts w:hint="eastAsia" w:ascii="宋体" w:hAnsi="宋体" w:eastAsia="宋体" w:cs="宋体"/>
                <w:bCs w:val="0"/>
                <w:color w:val="auto"/>
                <w:szCs w:val="24"/>
                <w:highlight w:val="none"/>
                <w:lang w:val="zh-CN"/>
              </w:rPr>
            </w:pPr>
            <w:r>
              <w:rPr>
                <w:rFonts w:hint="eastAsia" w:ascii="宋体" w:hAnsi="宋体" w:eastAsia="宋体" w:cs="宋体"/>
                <w:bCs w:val="0"/>
                <w:color w:val="auto"/>
                <w:szCs w:val="24"/>
                <w:highlight w:val="none"/>
                <w:lang w:val="zh-CN"/>
              </w:rPr>
              <w:t xml:space="preserve">（1）供应商的营业执照等证明文件，自然人的身份证明； </w:t>
            </w:r>
          </w:p>
          <w:p w14:paraId="28AB1C4B">
            <w:pPr>
              <w:pStyle w:val="48"/>
              <w:spacing w:line="360" w:lineRule="auto"/>
              <w:ind w:firstLine="0" w:firstLineChars="0"/>
              <w:jc w:val="left"/>
              <w:rPr>
                <w:rFonts w:hint="eastAsia" w:ascii="宋体" w:hAnsi="宋体" w:eastAsia="宋体" w:cs="宋体"/>
                <w:bCs w:val="0"/>
                <w:color w:val="auto"/>
                <w:szCs w:val="24"/>
                <w:highlight w:val="none"/>
                <w:lang w:val="zh-CN"/>
              </w:rPr>
            </w:pPr>
            <w:r>
              <w:rPr>
                <w:rFonts w:hint="eastAsia" w:ascii="宋体" w:hAnsi="宋体" w:eastAsia="宋体" w:cs="宋体"/>
                <w:bCs w:val="0"/>
                <w:color w:val="auto"/>
                <w:szCs w:val="24"/>
                <w:highlight w:val="none"/>
                <w:lang w:val="zh-CN"/>
              </w:rPr>
              <w:t xml:space="preserve">（2）财务状况报告和依法缴纳税收和社会保障资金的相关材料； </w:t>
            </w:r>
          </w:p>
          <w:p w14:paraId="6D31EA1C">
            <w:pPr>
              <w:pStyle w:val="48"/>
              <w:spacing w:line="360" w:lineRule="auto"/>
              <w:ind w:firstLine="0" w:firstLineChars="0"/>
              <w:jc w:val="left"/>
              <w:rPr>
                <w:rFonts w:hint="eastAsia" w:ascii="宋体" w:hAnsi="宋体" w:eastAsia="宋体" w:cs="宋体"/>
                <w:bCs w:val="0"/>
                <w:color w:val="auto"/>
                <w:szCs w:val="24"/>
                <w:highlight w:val="none"/>
                <w:lang w:val="zh-CN"/>
              </w:rPr>
            </w:pPr>
            <w:r>
              <w:rPr>
                <w:rFonts w:hint="eastAsia" w:ascii="宋体" w:hAnsi="宋体" w:eastAsia="宋体" w:cs="宋体"/>
                <w:bCs w:val="0"/>
                <w:color w:val="auto"/>
                <w:szCs w:val="24"/>
                <w:highlight w:val="none"/>
                <w:lang w:val="zh-CN"/>
              </w:rPr>
              <w:t xml:space="preserve">（3）具备履行合同所必须的设备和专业技术能力的证明材料； </w:t>
            </w:r>
          </w:p>
          <w:p w14:paraId="0FD5B184">
            <w:pPr>
              <w:pStyle w:val="48"/>
              <w:spacing w:line="360" w:lineRule="auto"/>
              <w:ind w:firstLine="0" w:firstLineChars="0"/>
              <w:jc w:val="left"/>
              <w:rPr>
                <w:rFonts w:hint="eastAsia" w:ascii="宋体" w:hAnsi="宋体" w:eastAsia="宋体" w:cs="宋体"/>
                <w:bCs w:val="0"/>
                <w:color w:val="auto"/>
                <w:szCs w:val="24"/>
                <w:highlight w:val="none"/>
                <w:lang w:val="zh-CN"/>
              </w:rPr>
            </w:pPr>
            <w:r>
              <w:rPr>
                <w:rFonts w:hint="eastAsia" w:ascii="宋体" w:hAnsi="宋体" w:eastAsia="宋体" w:cs="宋体"/>
                <w:bCs w:val="0"/>
                <w:color w:val="auto"/>
                <w:szCs w:val="24"/>
                <w:highlight w:val="none"/>
                <w:lang w:val="zh-CN"/>
              </w:rPr>
              <w:t>（4）参加政府采购活动前3年内在经营活动中没有重大违法记录的书面声明；</w:t>
            </w:r>
          </w:p>
          <w:p w14:paraId="6F75B132">
            <w:pPr>
              <w:pStyle w:val="48"/>
              <w:spacing w:line="360" w:lineRule="auto"/>
              <w:ind w:firstLine="0" w:firstLineChars="0"/>
              <w:jc w:val="left"/>
              <w:rPr>
                <w:rFonts w:hint="eastAsia" w:ascii="宋体" w:hAnsi="宋体" w:eastAsia="宋体" w:cs="宋体"/>
                <w:bCs w:val="0"/>
                <w:color w:val="auto"/>
                <w:szCs w:val="24"/>
                <w:highlight w:val="none"/>
                <w:lang w:val="zh-CN"/>
              </w:rPr>
            </w:pPr>
            <w:r>
              <w:rPr>
                <w:rFonts w:hint="eastAsia" w:ascii="宋体" w:hAnsi="宋体" w:eastAsia="宋体" w:cs="宋体"/>
                <w:bCs w:val="0"/>
                <w:color w:val="auto"/>
                <w:szCs w:val="24"/>
                <w:highlight w:val="none"/>
                <w:lang w:val="zh-CN"/>
              </w:rPr>
              <w:t>（5）具备法律、行政法规规定的其他条件的证明材料。</w:t>
            </w:r>
          </w:p>
          <w:p w14:paraId="7B710E58">
            <w:pPr>
              <w:pStyle w:val="48"/>
              <w:spacing w:line="360" w:lineRule="auto"/>
              <w:ind w:firstLine="0" w:firstLineChars="0"/>
              <w:jc w:val="left"/>
              <w:rPr>
                <w:rFonts w:hint="eastAsia" w:ascii="宋体" w:hAnsi="宋体" w:eastAsia="宋体" w:cs="宋体"/>
                <w:bCs w:val="0"/>
                <w:color w:val="auto"/>
                <w:szCs w:val="24"/>
                <w:highlight w:val="none"/>
                <w:lang w:val="zh-CN"/>
              </w:rPr>
            </w:pPr>
            <w:r>
              <w:rPr>
                <w:rFonts w:hint="eastAsia" w:ascii="宋体" w:hAnsi="宋体" w:eastAsia="宋体" w:cs="宋体"/>
                <w:bCs w:val="0"/>
                <w:color w:val="auto"/>
                <w:szCs w:val="24"/>
                <w:highlight w:val="none"/>
                <w:lang w:val="zh-CN"/>
              </w:rPr>
              <w:t>2、单位负责人为同一人或者存在直接控股、管理关系的不同供应商，不得参加同一合同项下的政府采购活动。否则，皆取消投标资格。</w:t>
            </w:r>
          </w:p>
          <w:p w14:paraId="7D4F1054">
            <w:pPr>
              <w:pStyle w:val="48"/>
              <w:spacing w:line="360" w:lineRule="auto"/>
              <w:ind w:firstLine="0" w:firstLineChars="0"/>
              <w:jc w:val="left"/>
              <w:rPr>
                <w:rFonts w:hint="eastAsia" w:ascii="宋体" w:hAnsi="宋体" w:eastAsia="宋体" w:cs="宋体"/>
                <w:bCs w:val="0"/>
                <w:color w:val="auto"/>
                <w:szCs w:val="24"/>
                <w:highlight w:val="none"/>
                <w:lang w:val="zh-CN"/>
              </w:rPr>
            </w:pPr>
            <w:r>
              <w:rPr>
                <w:rFonts w:hint="eastAsia" w:ascii="宋体" w:hAnsi="宋体" w:eastAsia="宋体" w:cs="宋体"/>
                <w:bCs w:val="0"/>
                <w:color w:val="auto"/>
                <w:szCs w:val="24"/>
                <w:highlight w:val="none"/>
                <w:lang w:val="zh-CN"/>
              </w:rPr>
              <w:t>3、为本采购项目提供整体设计、规范编制或者项目管理、监理、检测等服务的供应商，不得再参加该采购项目的其他采购活动。</w:t>
            </w:r>
          </w:p>
          <w:p w14:paraId="05D5E683">
            <w:pPr>
              <w:pStyle w:val="48"/>
              <w:spacing w:line="360" w:lineRule="auto"/>
              <w:ind w:firstLine="0" w:firstLineChars="0"/>
              <w:jc w:val="left"/>
              <w:rPr>
                <w:rFonts w:hint="eastAsia" w:ascii="宋体" w:hAnsi="宋体" w:eastAsia="宋体" w:cs="宋体"/>
                <w:bCs w:val="0"/>
                <w:color w:val="auto"/>
                <w:szCs w:val="24"/>
                <w:highlight w:val="none"/>
                <w:lang w:val="zh-CN"/>
              </w:rPr>
            </w:pPr>
            <w:r>
              <w:rPr>
                <w:rFonts w:hint="eastAsia" w:ascii="宋体" w:hAnsi="宋体" w:eastAsia="宋体" w:cs="宋体"/>
                <w:bCs w:val="0"/>
                <w:color w:val="auto"/>
                <w:szCs w:val="24"/>
                <w:highlight w:val="none"/>
                <w:lang w:val="zh-CN"/>
              </w:rPr>
              <w:t>4、本项目不接受供应商以联合体方式进行投标。</w:t>
            </w:r>
          </w:p>
          <w:p w14:paraId="291D8947">
            <w:pPr>
              <w:pStyle w:val="52"/>
              <w:widowControl w:val="0"/>
              <w:autoSpaceDE w:val="0"/>
              <w:autoSpaceDN w:val="0"/>
              <w:adjustRightInd w:val="0"/>
              <w:spacing w:before="0" w:beforeLines="0" w:after="0" w:afterLines="0" w:line="360" w:lineRule="auto"/>
              <w:jc w:val="left"/>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5、</w:t>
            </w:r>
            <w:r>
              <w:rPr>
                <w:rFonts w:hint="eastAsia" w:ascii="宋体" w:hAnsi="宋体" w:eastAsia="宋体" w:cs="宋体"/>
                <w:color w:val="auto"/>
                <w:sz w:val="24"/>
                <w:highlight w:val="none"/>
                <w:lang w:eastAsia="zh-CN"/>
              </w:rPr>
              <w:t>经信用中国（www.creditchina.gov.cn）、中国政府采购（www.ccgp.gov.cn）等渠道查询后，列入失信被执行人、重大税收违法失信主体、政府采购严重违法失信行为记录名单的，取消投标资格。（提供“信用中国”“中国政府采购网”网站的查询截图，时间为磋商截止时间前</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lang w:eastAsia="zh-CN"/>
              </w:rPr>
              <w:t>天内）。</w:t>
            </w:r>
          </w:p>
          <w:p w14:paraId="4F286B05">
            <w:pPr>
              <w:autoSpaceDE w:val="0"/>
              <w:autoSpaceDN w:val="0"/>
              <w:adjustRightInd w:val="0"/>
              <w:spacing w:line="360" w:lineRule="auto"/>
              <w:jc w:val="left"/>
              <w:rPr>
                <w:rFonts w:hint="eastAsia" w:ascii="宋体" w:hAnsi="宋体" w:eastAsia="宋体" w:cs="宋体"/>
                <w:color w:val="auto"/>
                <w:highlight w:val="none"/>
              </w:rPr>
            </w:pPr>
            <w:r>
              <w:rPr>
                <w:rFonts w:hint="eastAsia" w:ascii="宋体" w:hAnsi="宋体" w:eastAsia="宋体" w:cs="宋体"/>
                <w:color w:val="auto"/>
                <w:sz w:val="24"/>
                <w:szCs w:val="22"/>
                <w:highlight w:val="none"/>
                <w:lang w:val="zh-CN" w:eastAsia="zh-CN"/>
              </w:rPr>
              <w:t>6、其他资质条件：本次采购要求供应商具有合法的营业</w:t>
            </w:r>
            <w:r>
              <w:rPr>
                <w:rFonts w:hint="eastAsia" w:ascii="宋体" w:hAnsi="宋体" w:eastAsia="宋体" w:cs="宋体"/>
                <w:color w:val="auto"/>
                <w:sz w:val="24"/>
                <w:szCs w:val="24"/>
                <w:highlight w:val="none"/>
                <w:lang w:val="zh-CN" w:eastAsia="zh-CN"/>
              </w:rPr>
              <w:t>执照，并在人员、设备、资金等方面具有相应的服务能力。</w:t>
            </w:r>
          </w:p>
        </w:tc>
      </w:tr>
      <w:tr w14:paraId="7763D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jc w:val="center"/>
        </w:trPr>
        <w:tc>
          <w:tcPr>
            <w:tcW w:w="305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0A580BD">
            <w:pPr>
              <w:autoSpaceDE w:val="0"/>
              <w:autoSpaceDN w:val="0"/>
              <w:adjustRightInd w:val="0"/>
              <w:spacing w:line="360" w:lineRule="auto"/>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采购</w:t>
            </w:r>
            <w:r>
              <w:rPr>
                <w:rFonts w:hint="eastAsia" w:ascii="宋体" w:hAnsi="宋体" w:eastAsia="宋体" w:cs="宋体"/>
                <w:color w:val="auto"/>
                <w:sz w:val="24"/>
                <w:highlight w:val="none"/>
                <w:lang w:val="en-US" w:eastAsia="zh-CN"/>
              </w:rPr>
              <w:t>公告</w:t>
            </w:r>
            <w:r>
              <w:rPr>
                <w:rFonts w:hint="eastAsia" w:ascii="宋体" w:hAnsi="宋体" w:eastAsia="宋体" w:cs="宋体"/>
                <w:color w:val="auto"/>
                <w:sz w:val="24"/>
                <w:highlight w:val="none"/>
                <w:lang w:val="zh-CN"/>
              </w:rPr>
              <w:t>发出时间</w:t>
            </w:r>
          </w:p>
        </w:tc>
        <w:tc>
          <w:tcPr>
            <w:tcW w:w="616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F4B6C0A">
            <w:pPr>
              <w:autoSpaceDE w:val="0"/>
              <w:autoSpaceDN w:val="0"/>
              <w:adjustRightIn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202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年</w:t>
            </w:r>
            <w:r>
              <w:rPr>
                <w:rFonts w:hint="eastAsia" w:eastAsia="宋体" w:cs="宋体"/>
                <w:color w:val="auto"/>
                <w:sz w:val="24"/>
                <w:highlight w:val="none"/>
                <w:lang w:val="en-US" w:eastAsia="zh-CN"/>
              </w:rPr>
              <w:t>10</w:t>
            </w:r>
            <w:r>
              <w:rPr>
                <w:rFonts w:hint="eastAsia" w:ascii="宋体" w:hAnsi="宋体" w:eastAsia="宋体" w:cs="宋体"/>
                <w:color w:val="auto"/>
                <w:sz w:val="24"/>
                <w:highlight w:val="none"/>
              </w:rPr>
              <w:t>月</w:t>
            </w:r>
            <w:r>
              <w:rPr>
                <w:rFonts w:hint="eastAsia" w:eastAsia="宋体" w:cs="宋体"/>
                <w:color w:val="auto"/>
                <w:sz w:val="24"/>
                <w:highlight w:val="none"/>
                <w:lang w:val="en-US" w:eastAsia="zh-CN"/>
              </w:rPr>
              <w:t>10</w:t>
            </w:r>
            <w:r>
              <w:rPr>
                <w:rFonts w:hint="eastAsia" w:ascii="宋体" w:hAnsi="宋体" w:eastAsia="宋体" w:cs="宋体"/>
                <w:color w:val="auto"/>
                <w:sz w:val="24"/>
                <w:highlight w:val="none"/>
              </w:rPr>
              <w:t>日</w:t>
            </w:r>
          </w:p>
        </w:tc>
      </w:tr>
      <w:tr w14:paraId="5CD96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jc w:val="center"/>
        </w:trPr>
        <w:tc>
          <w:tcPr>
            <w:tcW w:w="305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BE84E8C">
            <w:pPr>
              <w:autoSpaceDE w:val="0"/>
              <w:autoSpaceDN w:val="0"/>
              <w:adjustRightInd w:val="0"/>
              <w:spacing w:line="360" w:lineRule="auto"/>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采购文件发售起止</w:t>
            </w:r>
            <w:r>
              <w:rPr>
                <w:rFonts w:hint="eastAsia" w:ascii="宋体" w:hAnsi="宋体" w:eastAsia="宋体" w:cs="宋体"/>
                <w:color w:val="auto"/>
                <w:sz w:val="24"/>
                <w:highlight w:val="none"/>
              </w:rPr>
              <w:t>时</w:t>
            </w:r>
            <w:r>
              <w:rPr>
                <w:rFonts w:hint="eastAsia" w:ascii="宋体" w:hAnsi="宋体" w:eastAsia="宋体" w:cs="宋体"/>
                <w:color w:val="auto"/>
                <w:sz w:val="24"/>
                <w:highlight w:val="none"/>
                <w:lang w:val="zh-CN"/>
              </w:rPr>
              <w:t>间</w:t>
            </w:r>
          </w:p>
        </w:tc>
        <w:tc>
          <w:tcPr>
            <w:tcW w:w="616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385B048">
            <w:pPr>
              <w:autoSpaceDE w:val="0"/>
              <w:autoSpaceDN w:val="0"/>
              <w:adjustRightInd w:val="0"/>
              <w:spacing w:line="360" w:lineRule="auto"/>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zh-CN"/>
              </w:rPr>
              <w:t>202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val="zh-CN"/>
              </w:rPr>
              <w:t>年</w:t>
            </w:r>
            <w:r>
              <w:rPr>
                <w:rFonts w:hint="eastAsia" w:eastAsia="宋体" w:cs="宋体"/>
                <w:color w:val="auto"/>
                <w:sz w:val="24"/>
                <w:highlight w:val="none"/>
                <w:lang w:val="en-US" w:eastAsia="zh-CN"/>
              </w:rPr>
              <w:t>10</w:t>
            </w:r>
            <w:r>
              <w:rPr>
                <w:rFonts w:hint="eastAsia" w:ascii="宋体" w:hAnsi="宋体" w:eastAsia="宋体" w:cs="宋体"/>
                <w:color w:val="auto"/>
                <w:sz w:val="24"/>
                <w:highlight w:val="none"/>
                <w:lang w:val="zh-CN"/>
              </w:rPr>
              <w:t>月</w:t>
            </w:r>
            <w:r>
              <w:rPr>
                <w:rFonts w:hint="eastAsia" w:eastAsia="宋体" w:cs="宋体"/>
                <w:color w:val="auto"/>
                <w:sz w:val="24"/>
                <w:highlight w:val="none"/>
                <w:lang w:val="en-US" w:eastAsia="zh-CN"/>
              </w:rPr>
              <w:t>10</w:t>
            </w:r>
            <w:r>
              <w:rPr>
                <w:rFonts w:hint="eastAsia" w:ascii="宋体" w:hAnsi="宋体" w:eastAsia="宋体" w:cs="宋体"/>
                <w:color w:val="auto"/>
                <w:sz w:val="24"/>
                <w:highlight w:val="none"/>
                <w:lang w:val="zh-CN"/>
              </w:rPr>
              <w:t>日至202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val="zh-CN"/>
              </w:rPr>
              <w:t>年</w:t>
            </w:r>
            <w:r>
              <w:rPr>
                <w:rFonts w:hint="eastAsia" w:eastAsia="宋体" w:cs="宋体"/>
                <w:color w:val="auto"/>
                <w:sz w:val="24"/>
                <w:highlight w:val="none"/>
                <w:lang w:val="en-US" w:eastAsia="zh-CN"/>
              </w:rPr>
              <w:t>10</w:t>
            </w:r>
            <w:r>
              <w:rPr>
                <w:rFonts w:hint="eastAsia" w:ascii="宋体" w:hAnsi="宋体" w:eastAsia="宋体" w:cs="宋体"/>
                <w:color w:val="auto"/>
                <w:sz w:val="24"/>
                <w:highlight w:val="none"/>
                <w:lang w:val="zh-CN"/>
              </w:rPr>
              <w:t>月</w:t>
            </w:r>
            <w:r>
              <w:rPr>
                <w:rFonts w:hint="eastAsia" w:eastAsia="宋体" w:cs="宋体"/>
                <w:color w:val="auto"/>
                <w:sz w:val="24"/>
                <w:highlight w:val="none"/>
                <w:lang w:val="en-US" w:eastAsia="zh-CN"/>
              </w:rPr>
              <w:t>16</w:t>
            </w:r>
            <w:r>
              <w:rPr>
                <w:rFonts w:hint="eastAsia" w:ascii="宋体" w:hAnsi="宋体" w:eastAsia="宋体" w:cs="宋体"/>
                <w:color w:val="auto"/>
                <w:sz w:val="24"/>
                <w:highlight w:val="none"/>
                <w:lang w:val="zh-CN"/>
              </w:rPr>
              <w:t>日，上午9：</w:t>
            </w:r>
            <w:r>
              <w:rPr>
                <w:rFonts w:hint="eastAsia" w:ascii="宋体" w:hAnsi="宋体" w:eastAsia="宋体" w:cs="宋体"/>
                <w:color w:val="auto"/>
                <w:sz w:val="24"/>
                <w:highlight w:val="none"/>
              </w:rPr>
              <w:t>30</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11</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30</w:t>
            </w:r>
            <w:r>
              <w:rPr>
                <w:rFonts w:hint="eastAsia" w:ascii="宋体" w:hAnsi="宋体" w:eastAsia="宋体" w:cs="宋体"/>
                <w:color w:val="auto"/>
                <w:sz w:val="24"/>
                <w:highlight w:val="none"/>
                <w:lang w:val="zh-CN"/>
              </w:rPr>
              <w:t>,下午</w:t>
            </w:r>
            <w:r>
              <w:rPr>
                <w:rFonts w:hint="eastAsia" w:ascii="宋体" w:hAnsi="宋体" w:eastAsia="宋体" w:cs="宋体"/>
                <w:color w:val="auto"/>
                <w:sz w:val="24"/>
                <w:highlight w:val="none"/>
              </w:rPr>
              <w:t>14</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zh-CN"/>
              </w:rPr>
              <w:t>0-17：</w:t>
            </w:r>
            <w:r>
              <w:rPr>
                <w:rFonts w:hint="eastAsia" w:ascii="宋体" w:hAnsi="宋体" w:eastAsia="宋体" w:cs="宋体"/>
                <w:color w:val="auto"/>
                <w:sz w:val="24"/>
                <w:highlight w:val="none"/>
              </w:rPr>
              <w:t>30</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法定节假日除外</w:t>
            </w:r>
            <w:r>
              <w:rPr>
                <w:rFonts w:hint="eastAsia" w:ascii="宋体" w:hAnsi="宋体" w:eastAsia="宋体" w:cs="宋体"/>
                <w:color w:val="auto"/>
                <w:sz w:val="24"/>
                <w:highlight w:val="none"/>
                <w:lang w:eastAsia="zh-CN"/>
              </w:rPr>
              <w:t>）</w:t>
            </w:r>
          </w:p>
        </w:tc>
      </w:tr>
      <w:tr w14:paraId="2C59C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05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37E8D97">
            <w:pPr>
              <w:autoSpaceDE w:val="0"/>
              <w:autoSpaceDN w:val="0"/>
              <w:adjustRightInd w:val="0"/>
              <w:spacing w:line="360" w:lineRule="auto"/>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采购文件发售方式</w:t>
            </w:r>
          </w:p>
        </w:tc>
        <w:tc>
          <w:tcPr>
            <w:tcW w:w="616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0D274CD">
            <w:pPr>
              <w:autoSpaceDE w:val="0"/>
              <w:autoSpaceDN w:val="0"/>
              <w:adjustRightIn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现场</w:t>
            </w:r>
            <w:r>
              <w:rPr>
                <w:rFonts w:hint="eastAsia" w:ascii="宋体" w:hAnsi="宋体" w:eastAsia="宋体" w:cs="宋体"/>
                <w:color w:val="auto"/>
                <w:sz w:val="24"/>
                <w:highlight w:val="none"/>
              </w:rPr>
              <w:t>购买</w:t>
            </w:r>
          </w:p>
        </w:tc>
      </w:tr>
      <w:tr w14:paraId="73078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jc w:val="center"/>
        </w:trPr>
        <w:tc>
          <w:tcPr>
            <w:tcW w:w="305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BE6ABAF">
            <w:pPr>
              <w:autoSpaceDE w:val="0"/>
              <w:autoSpaceDN w:val="0"/>
              <w:adjustRightInd w:val="0"/>
              <w:spacing w:line="360" w:lineRule="auto"/>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采购文件售价</w:t>
            </w:r>
          </w:p>
        </w:tc>
        <w:tc>
          <w:tcPr>
            <w:tcW w:w="616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6A94BF2">
            <w:pPr>
              <w:autoSpaceDE w:val="0"/>
              <w:autoSpaceDN w:val="0"/>
              <w:adjustRightIn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00.00元/份（采购文件售后不退,响应资格不能转让）</w:t>
            </w:r>
          </w:p>
        </w:tc>
      </w:tr>
      <w:tr w14:paraId="4BD13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6" w:hRule="atLeast"/>
          <w:jc w:val="center"/>
        </w:trPr>
        <w:tc>
          <w:tcPr>
            <w:tcW w:w="305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98D6678">
            <w:pPr>
              <w:autoSpaceDE w:val="0"/>
              <w:autoSpaceDN w:val="0"/>
              <w:adjustRightIn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购买采购文件时应提供材料</w:t>
            </w:r>
          </w:p>
        </w:tc>
        <w:tc>
          <w:tcPr>
            <w:tcW w:w="616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3CB4B75">
            <w:pPr>
              <w:autoSpaceDE w:val="0"/>
              <w:autoSpaceDN w:val="0"/>
              <w:adjustRightIn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请于文件发售起止时间</w:t>
            </w:r>
            <w:r>
              <w:rPr>
                <w:rFonts w:hint="eastAsia" w:ascii="宋体" w:hAnsi="宋体" w:eastAsia="宋体" w:cs="宋体"/>
                <w:color w:val="auto"/>
                <w:kern w:val="0"/>
                <w:sz w:val="24"/>
                <w:highlight w:val="none"/>
              </w:rPr>
              <w:t>内报名。应提供以下资料：</w:t>
            </w:r>
          </w:p>
          <w:p w14:paraId="0272F55C">
            <w:pPr>
              <w:autoSpaceDE w:val="0"/>
              <w:autoSpaceDN w:val="0"/>
              <w:adjustRightIn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1、供应商的营业执照（副本）复印件。</w:t>
            </w:r>
          </w:p>
          <w:p w14:paraId="149315E0">
            <w:pPr>
              <w:autoSpaceDE w:val="0"/>
              <w:autoSpaceDN w:val="0"/>
              <w:adjustRightIn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2、法人授权委托书（原件）。</w:t>
            </w:r>
          </w:p>
          <w:p w14:paraId="650CED1D">
            <w:pPr>
              <w:autoSpaceDE w:val="0"/>
              <w:autoSpaceDN w:val="0"/>
              <w:adjustRightIn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3、法人身份证复印件、被授权人身份证复印件。</w:t>
            </w:r>
          </w:p>
          <w:p w14:paraId="18C75465">
            <w:pPr>
              <w:autoSpaceDE w:val="0"/>
              <w:autoSpaceDN w:val="0"/>
              <w:adjustRightIn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4、开户许可证复印件。</w:t>
            </w:r>
          </w:p>
          <w:p w14:paraId="0ED7620B">
            <w:pPr>
              <w:autoSpaceDE w:val="0"/>
              <w:autoSpaceDN w:val="0"/>
              <w:adjustRightIn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（注：以上资料除原件外均需加盖公章（采购代理机构对以上资料留存备案）</w:t>
            </w:r>
          </w:p>
          <w:p w14:paraId="6F0C9DD2">
            <w:pPr>
              <w:autoSpaceDE w:val="0"/>
              <w:autoSpaceDN w:val="0"/>
              <w:adjustRightIn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联系人：</w:t>
            </w:r>
            <w:r>
              <w:rPr>
                <w:rFonts w:hint="eastAsia" w:ascii="宋体" w:hAnsi="宋体" w:eastAsia="宋体" w:cs="宋体"/>
                <w:color w:val="auto"/>
                <w:sz w:val="24"/>
                <w:highlight w:val="none"/>
              </w:rPr>
              <w:t xml:space="preserve">余女士  </w:t>
            </w:r>
            <w:r>
              <w:rPr>
                <w:rFonts w:hint="eastAsia" w:ascii="宋体" w:hAnsi="宋体" w:eastAsia="宋体" w:cs="宋体"/>
                <w:color w:val="auto"/>
                <w:sz w:val="24"/>
                <w:highlight w:val="none"/>
                <w:lang w:val="zh-CN"/>
              </w:rPr>
              <w:t>联系电话：0971-</w:t>
            </w:r>
            <w:r>
              <w:rPr>
                <w:rFonts w:hint="eastAsia" w:ascii="宋体" w:hAnsi="宋体" w:eastAsia="宋体" w:cs="宋体"/>
                <w:color w:val="auto"/>
                <w:sz w:val="24"/>
                <w:highlight w:val="none"/>
              </w:rPr>
              <w:t>5218441</w:t>
            </w:r>
          </w:p>
          <w:p w14:paraId="23DC91B2">
            <w:pPr>
              <w:autoSpaceDE w:val="0"/>
              <w:autoSpaceDN w:val="0"/>
              <w:adjustRightIn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邮箱账号：</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"mailto:qhzhongxu@163.com" </w:instrText>
            </w:r>
            <w:r>
              <w:rPr>
                <w:rFonts w:hint="eastAsia" w:ascii="宋体" w:hAnsi="宋体" w:eastAsia="宋体" w:cs="宋体"/>
                <w:color w:val="auto"/>
                <w:highlight w:val="none"/>
              </w:rPr>
              <w:fldChar w:fldCharType="separate"/>
            </w:r>
            <w:r>
              <w:rPr>
                <w:rStyle w:val="24"/>
                <w:rFonts w:hint="eastAsia" w:ascii="宋体" w:hAnsi="宋体" w:eastAsia="宋体" w:cs="宋体"/>
                <w:color w:val="auto"/>
                <w:sz w:val="24"/>
                <w:highlight w:val="none"/>
              </w:rPr>
              <w:t>qhzhongxu@163.com</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联系地址</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西宁市城西区西川南路万达中心</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zh-CN"/>
              </w:rPr>
              <w:t>号写字楼</w:t>
            </w:r>
            <w:r>
              <w:rPr>
                <w:rFonts w:hint="eastAsia" w:ascii="宋体" w:hAnsi="宋体" w:eastAsia="宋体" w:cs="宋体"/>
                <w:color w:val="auto"/>
                <w:sz w:val="24"/>
                <w:highlight w:val="none"/>
              </w:rPr>
              <w:t>20层12014</w:t>
            </w:r>
            <w:r>
              <w:rPr>
                <w:rFonts w:hint="eastAsia" w:ascii="宋体" w:hAnsi="宋体" w:eastAsia="宋体" w:cs="宋体"/>
                <w:color w:val="auto"/>
                <w:sz w:val="24"/>
                <w:highlight w:val="none"/>
                <w:lang w:val="zh-CN"/>
              </w:rPr>
              <w:t>室</w:t>
            </w:r>
          </w:p>
        </w:tc>
      </w:tr>
      <w:tr w14:paraId="7CD10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jc w:val="center"/>
        </w:trPr>
        <w:tc>
          <w:tcPr>
            <w:tcW w:w="305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AB324FD">
            <w:pPr>
              <w:autoSpaceDE w:val="0"/>
              <w:autoSpaceDN w:val="0"/>
              <w:adjustRightInd w:val="0"/>
              <w:spacing w:line="360" w:lineRule="auto"/>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响应</w:t>
            </w:r>
            <w:r>
              <w:rPr>
                <w:rFonts w:hint="eastAsia" w:ascii="宋体" w:hAnsi="宋体" w:eastAsia="宋体" w:cs="宋体"/>
                <w:color w:val="auto"/>
                <w:sz w:val="24"/>
                <w:highlight w:val="none"/>
                <w:lang w:val="zh-CN"/>
              </w:rPr>
              <w:t>截止时间</w:t>
            </w:r>
          </w:p>
        </w:tc>
        <w:tc>
          <w:tcPr>
            <w:tcW w:w="616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193620B">
            <w:pPr>
              <w:autoSpaceDE w:val="0"/>
              <w:autoSpaceDN w:val="0"/>
              <w:adjustRightInd w:val="0"/>
              <w:spacing w:line="360" w:lineRule="auto"/>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202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val="zh-CN"/>
              </w:rPr>
              <w:t>年</w:t>
            </w:r>
            <w:r>
              <w:rPr>
                <w:rFonts w:hint="eastAsia" w:eastAsia="宋体" w:cs="宋体"/>
                <w:color w:val="auto"/>
                <w:sz w:val="24"/>
                <w:highlight w:val="none"/>
                <w:lang w:val="en-US" w:eastAsia="zh-CN"/>
              </w:rPr>
              <w:t>10</w:t>
            </w:r>
            <w:r>
              <w:rPr>
                <w:rFonts w:hint="eastAsia" w:ascii="宋体" w:hAnsi="宋体" w:eastAsia="宋体" w:cs="宋体"/>
                <w:color w:val="auto"/>
                <w:sz w:val="24"/>
                <w:highlight w:val="none"/>
                <w:lang w:val="zh-CN"/>
              </w:rPr>
              <w:t>月</w:t>
            </w:r>
            <w:r>
              <w:rPr>
                <w:rFonts w:hint="eastAsia" w:eastAsia="宋体" w:cs="宋体"/>
                <w:color w:val="auto"/>
                <w:sz w:val="24"/>
                <w:highlight w:val="none"/>
                <w:lang w:val="en-US" w:eastAsia="zh-CN"/>
              </w:rPr>
              <w:t>22</w:t>
            </w:r>
            <w:r>
              <w:rPr>
                <w:rFonts w:hint="eastAsia" w:ascii="宋体" w:hAnsi="宋体" w:eastAsia="宋体" w:cs="宋体"/>
                <w:color w:val="auto"/>
                <w:sz w:val="24"/>
                <w:highlight w:val="none"/>
                <w:lang w:val="zh-CN"/>
              </w:rPr>
              <w:t>日</w:t>
            </w:r>
            <w:r>
              <w:rPr>
                <w:rFonts w:hint="eastAsia" w:eastAsia="宋体" w:cs="宋体"/>
                <w:color w:val="auto"/>
                <w:sz w:val="24"/>
                <w:highlight w:val="none"/>
                <w:lang w:val="en-US" w:eastAsia="zh-CN"/>
              </w:rPr>
              <w:t>上午09</w:t>
            </w:r>
            <w:r>
              <w:rPr>
                <w:rFonts w:hint="eastAsia" w:ascii="宋体" w:hAnsi="宋体" w:eastAsia="宋体" w:cs="宋体"/>
                <w:color w:val="auto"/>
                <w:sz w:val="24"/>
                <w:highlight w:val="none"/>
                <w:lang w:val="zh-CN"/>
              </w:rPr>
              <w:t>时30分（北京时间）</w:t>
            </w:r>
          </w:p>
        </w:tc>
      </w:tr>
      <w:tr w14:paraId="44572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305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067BE98">
            <w:pPr>
              <w:autoSpaceDE w:val="0"/>
              <w:autoSpaceDN w:val="0"/>
              <w:adjustRightInd w:val="0"/>
              <w:spacing w:line="360" w:lineRule="auto"/>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开标</w:t>
            </w:r>
            <w:r>
              <w:rPr>
                <w:rFonts w:hint="eastAsia" w:ascii="宋体" w:hAnsi="宋体" w:eastAsia="宋体" w:cs="宋体"/>
                <w:color w:val="auto"/>
                <w:sz w:val="24"/>
                <w:highlight w:val="none"/>
                <w:lang w:val="zh-CN"/>
              </w:rPr>
              <w:t>时间</w:t>
            </w:r>
          </w:p>
        </w:tc>
        <w:tc>
          <w:tcPr>
            <w:tcW w:w="616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92B3100">
            <w:pPr>
              <w:autoSpaceDE w:val="0"/>
              <w:autoSpaceDN w:val="0"/>
              <w:adjustRightInd w:val="0"/>
              <w:spacing w:line="360" w:lineRule="auto"/>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202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val="zh-CN"/>
              </w:rPr>
              <w:t>年</w:t>
            </w:r>
            <w:r>
              <w:rPr>
                <w:rFonts w:hint="eastAsia" w:eastAsia="宋体" w:cs="宋体"/>
                <w:color w:val="auto"/>
                <w:sz w:val="24"/>
                <w:highlight w:val="none"/>
                <w:lang w:val="en-US" w:eastAsia="zh-CN"/>
              </w:rPr>
              <w:t>10</w:t>
            </w:r>
            <w:r>
              <w:rPr>
                <w:rFonts w:hint="eastAsia" w:ascii="宋体" w:hAnsi="宋体" w:eastAsia="宋体" w:cs="宋体"/>
                <w:color w:val="auto"/>
                <w:sz w:val="24"/>
                <w:highlight w:val="none"/>
                <w:lang w:val="zh-CN"/>
              </w:rPr>
              <w:t>月</w:t>
            </w:r>
            <w:r>
              <w:rPr>
                <w:rFonts w:hint="eastAsia" w:eastAsia="宋体" w:cs="宋体"/>
                <w:color w:val="auto"/>
                <w:sz w:val="24"/>
                <w:highlight w:val="none"/>
                <w:lang w:val="en-US" w:eastAsia="zh-CN"/>
              </w:rPr>
              <w:t>22</w:t>
            </w:r>
            <w:r>
              <w:rPr>
                <w:rFonts w:hint="eastAsia" w:ascii="宋体" w:hAnsi="宋体" w:eastAsia="宋体" w:cs="宋体"/>
                <w:color w:val="auto"/>
                <w:sz w:val="24"/>
                <w:highlight w:val="none"/>
                <w:lang w:val="zh-CN"/>
              </w:rPr>
              <w:t>日</w:t>
            </w:r>
            <w:r>
              <w:rPr>
                <w:rFonts w:hint="eastAsia" w:eastAsia="宋体" w:cs="宋体"/>
                <w:color w:val="auto"/>
                <w:sz w:val="24"/>
                <w:highlight w:val="none"/>
                <w:lang w:val="en-US" w:eastAsia="zh-CN"/>
              </w:rPr>
              <w:t>上午09</w:t>
            </w:r>
            <w:r>
              <w:rPr>
                <w:rFonts w:hint="eastAsia" w:ascii="宋体" w:hAnsi="宋体" w:eastAsia="宋体" w:cs="宋体"/>
                <w:color w:val="auto"/>
                <w:sz w:val="24"/>
                <w:highlight w:val="none"/>
                <w:lang w:val="zh-CN"/>
              </w:rPr>
              <w:t>时30分（北京时间）</w:t>
            </w:r>
          </w:p>
        </w:tc>
      </w:tr>
      <w:tr w14:paraId="67291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jc w:val="center"/>
        </w:trPr>
        <w:tc>
          <w:tcPr>
            <w:tcW w:w="305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E4332ED">
            <w:pPr>
              <w:autoSpaceDE w:val="0"/>
              <w:autoSpaceDN w:val="0"/>
              <w:adjustRightInd w:val="0"/>
              <w:spacing w:line="360" w:lineRule="auto"/>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开标地点</w:t>
            </w:r>
          </w:p>
        </w:tc>
        <w:tc>
          <w:tcPr>
            <w:tcW w:w="616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581C312">
            <w:pPr>
              <w:autoSpaceDE w:val="0"/>
              <w:autoSpaceDN w:val="0"/>
              <w:adjustRightIn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西宁市城西区西川南路万达中心</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zh-CN"/>
              </w:rPr>
              <w:t>号写字楼</w:t>
            </w:r>
            <w:r>
              <w:rPr>
                <w:rFonts w:hint="eastAsia" w:ascii="宋体" w:hAnsi="宋体" w:eastAsia="宋体" w:cs="宋体"/>
                <w:color w:val="auto"/>
                <w:sz w:val="24"/>
                <w:highlight w:val="none"/>
              </w:rPr>
              <w:t>20层12014</w:t>
            </w:r>
            <w:r>
              <w:rPr>
                <w:rFonts w:hint="eastAsia" w:ascii="宋体" w:hAnsi="宋体" w:eastAsia="宋体" w:cs="宋体"/>
                <w:color w:val="auto"/>
                <w:sz w:val="24"/>
                <w:highlight w:val="none"/>
                <w:lang w:val="zh-CN"/>
              </w:rPr>
              <w:t>室</w:t>
            </w:r>
          </w:p>
        </w:tc>
      </w:tr>
      <w:tr w14:paraId="0953F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05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77DE8F6">
            <w:pPr>
              <w:autoSpaceDE w:val="0"/>
              <w:autoSpaceDN w:val="0"/>
              <w:adjustRightInd w:val="0"/>
              <w:spacing w:line="360" w:lineRule="auto"/>
              <w:jc w:val="left"/>
              <w:rPr>
                <w:rFonts w:hint="eastAsia" w:ascii="宋体" w:hAnsi="宋体" w:eastAsia="宋体" w:cs="宋体"/>
                <w:color w:val="auto"/>
                <w:sz w:val="24"/>
                <w:highlight w:val="none"/>
                <w:lang w:val="zh-CN"/>
              </w:rPr>
            </w:pPr>
            <w:r>
              <w:rPr>
                <w:rFonts w:hint="eastAsia" w:ascii="宋体" w:hAnsi="宋体" w:eastAsia="宋体" w:cs="宋体"/>
                <w:color w:val="auto"/>
                <w:kern w:val="0"/>
                <w:sz w:val="24"/>
                <w:szCs w:val="24"/>
                <w:highlight w:val="none"/>
              </w:rPr>
              <w:t>采购人</w:t>
            </w:r>
            <w:r>
              <w:rPr>
                <w:rFonts w:hint="eastAsia" w:ascii="宋体" w:hAnsi="宋体" w:eastAsia="宋体" w:cs="宋体"/>
                <w:color w:val="auto"/>
                <w:kern w:val="0"/>
                <w:sz w:val="24"/>
                <w:szCs w:val="24"/>
                <w:highlight w:val="none"/>
                <w:lang w:val="zh-CN"/>
              </w:rPr>
              <w:t>及联系人电话</w:t>
            </w:r>
          </w:p>
        </w:tc>
        <w:tc>
          <w:tcPr>
            <w:tcW w:w="616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99906E2">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采购人：青海民族大学</w:t>
            </w:r>
          </w:p>
          <w:p w14:paraId="72A8B699">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联系人：</w:t>
            </w:r>
            <w:r>
              <w:rPr>
                <w:rFonts w:hint="eastAsia" w:eastAsia="宋体" w:cs="宋体"/>
                <w:color w:val="auto"/>
                <w:sz w:val="24"/>
                <w:szCs w:val="24"/>
                <w:highlight w:val="none"/>
                <w:lang w:val="en-US" w:eastAsia="zh-CN"/>
              </w:rPr>
              <w:t>李先生</w:t>
            </w:r>
            <w:r>
              <w:rPr>
                <w:rFonts w:hint="eastAsia" w:ascii="宋体" w:hAnsi="宋体" w:eastAsia="宋体" w:cs="宋体"/>
                <w:color w:val="auto"/>
                <w:sz w:val="24"/>
                <w:szCs w:val="24"/>
                <w:highlight w:val="none"/>
                <w:lang w:val="en-US" w:eastAsia="zh-CN"/>
              </w:rPr>
              <w:t xml:space="preserve"> </w:t>
            </w:r>
          </w:p>
          <w:p w14:paraId="70B848EB">
            <w:pPr>
              <w:spacing w:line="360" w:lineRule="auto"/>
              <w:jc w:val="left"/>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联系电话：</w:t>
            </w:r>
            <w:r>
              <w:rPr>
                <w:rFonts w:hint="eastAsia" w:ascii="宋体" w:hAnsi="宋体" w:eastAsia="宋体" w:cs="宋体"/>
                <w:i w:val="0"/>
                <w:iCs w:val="0"/>
                <w:caps w:val="0"/>
                <w:color w:val="000000"/>
                <w:spacing w:val="0"/>
                <w:sz w:val="24"/>
                <w:szCs w:val="24"/>
                <w:highlight w:val="none"/>
                <w:shd w:val="clear" w:color="auto" w:fill="FFFFFF"/>
              </w:rPr>
              <w:t>0971-8802687</w:t>
            </w:r>
          </w:p>
          <w:p w14:paraId="367FEBC1">
            <w:pPr>
              <w:autoSpaceDE w:val="0"/>
              <w:autoSpaceDN w:val="0"/>
              <w:adjustRightInd w:val="0"/>
              <w:spacing w:line="36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val="en-US" w:eastAsia="zh-CN"/>
              </w:rPr>
              <w:t>联系地址：</w:t>
            </w:r>
            <w:r>
              <w:rPr>
                <w:rFonts w:hint="eastAsia" w:ascii="宋体" w:hAnsi="宋体" w:eastAsia="宋体" w:cs="宋体"/>
                <w:i w:val="0"/>
                <w:iCs w:val="0"/>
                <w:caps w:val="0"/>
                <w:color w:val="000000"/>
                <w:spacing w:val="0"/>
                <w:sz w:val="24"/>
                <w:szCs w:val="24"/>
                <w:shd w:val="clear" w:color="auto" w:fill="FFFFFF"/>
              </w:rPr>
              <w:t>西宁市城东区八一中路3号</w:t>
            </w:r>
          </w:p>
        </w:tc>
      </w:tr>
      <w:tr w14:paraId="3E684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jc w:val="center"/>
        </w:trPr>
        <w:tc>
          <w:tcPr>
            <w:tcW w:w="305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B0CAB49">
            <w:pPr>
              <w:autoSpaceDE w:val="0"/>
              <w:autoSpaceDN w:val="0"/>
              <w:adjustRightInd w:val="0"/>
              <w:spacing w:line="360" w:lineRule="auto"/>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采购人</w:t>
            </w:r>
          </w:p>
        </w:tc>
        <w:tc>
          <w:tcPr>
            <w:tcW w:w="616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67A346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en-US" w:eastAsia="zh-CN"/>
              </w:rPr>
              <w:t>青海民族大学</w:t>
            </w:r>
          </w:p>
        </w:tc>
      </w:tr>
      <w:tr w14:paraId="51D5C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jc w:val="center"/>
        </w:trPr>
        <w:tc>
          <w:tcPr>
            <w:tcW w:w="305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1C178D4">
            <w:pPr>
              <w:autoSpaceDE w:val="0"/>
              <w:autoSpaceDN w:val="0"/>
              <w:adjustRightInd w:val="0"/>
              <w:spacing w:line="360" w:lineRule="auto"/>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采购</w:t>
            </w:r>
            <w:r>
              <w:rPr>
                <w:rFonts w:hint="eastAsia" w:ascii="宋体" w:hAnsi="宋体" w:eastAsia="宋体" w:cs="宋体"/>
                <w:color w:val="auto"/>
                <w:sz w:val="24"/>
                <w:highlight w:val="none"/>
                <w:lang w:val="zh-CN"/>
              </w:rPr>
              <w:t>代理机构及联系人电话</w:t>
            </w:r>
          </w:p>
        </w:tc>
        <w:tc>
          <w:tcPr>
            <w:tcW w:w="616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412CEEE">
            <w:pPr>
              <w:autoSpaceDE w:val="0"/>
              <w:autoSpaceDN w:val="0"/>
              <w:adjustRightIn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采购代理机构：青海中旭工程项目管理有限公司</w:t>
            </w:r>
          </w:p>
          <w:p w14:paraId="2C4E29FE">
            <w:pPr>
              <w:autoSpaceDE w:val="0"/>
              <w:autoSpaceDN w:val="0"/>
              <w:adjustRightInd w:val="0"/>
              <w:spacing w:line="36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lang w:val="en-US" w:eastAsia="zh-CN"/>
              </w:rPr>
              <w:t>喇成静</w:t>
            </w:r>
          </w:p>
          <w:p w14:paraId="37765588">
            <w:pPr>
              <w:autoSpaceDE w:val="0"/>
              <w:autoSpaceDN w:val="0"/>
              <w:adjustRightIn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联系电话：0971-5218441</w:t>
            </w:r>
          </w:p>
          <w:p w14:paraId="023361DA">
            <w:pPr>
              <w:autoSpaceDE w:val="0"/>
              <w:autoSpaceDN w:val="0"/>
              <w:adjustRightIn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lang w:val="zh-CN"/>
              </w:rPr>
              <w:t>西宁市城西区西川南路万达中心</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zh-CN"/>
              </w:rPr>
              <w:t>号写字楼</w:t>
            </w:r>
            <w:r>
              <w:rPr>
                <w:rFonts w:hint="eastAsia" w:ascii="宋体" w:hAnsi="宋体" w:eastAsia="宋体" w:cs="宋体"/>
                <w:color w:val="auto"/>
                <w:sz w:val="24"/>
                <w:highlight w:val="none"/>
              </w:rPr>
              <w:t>20层12014</w:t>
            </w:r>
            <w:r>
              <w:rPr>
                <w:rFonts w:hint="eastAsia" w:ascii="宋体" w:hAnsi="宋体" w:eastAsia="宋体" w:cs="宋体"/>
                <w:color w:val="auto"/>
                <w:sz w:val="24"/>
                <w:highlight w:val="none"/>
                <w:lang w:val="zh-CN"/>
              </w:rPr>
              <w:t>室</w:t>
            </w:r>
          </w:p>
        </w:tc>
      </w:tr>
      <w:tr w14:paraId="6072E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jc w:val="center"/>
        </w:trPr>
        <w:tc>
          <w:tcPr>
            <w:tcW w:w="305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C1CE085">
            <w:pPr>
              <w:autoSpaceDE w:val="0"/>
              <w:autoSpaceDN w:val="0"/>
              <w:adjustRightInd w:val="0"/>
              <w:spacing w:line="360" w:lineRule="auto"/>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采购</w:t>
            </w:r>
            <w:r>
              <w:rPr>
                <w:rFonts w:hint="eastAsia" w:ascii="宋体" w:hAnsi="宋体" w:eastAsia="宋体" w:cs="宋体"/>
                <w:color w:val="auto"/>
                <w:sz w:val="24"/>
                <w:highlight w:val="none"/>
                <w:lang w:val="zh-CN"/>
              </w:rPr>
              <w:t>代理机构开户银行</w:t>
            </w:r>
          </w:p>
        </w:tc>
        <w:tc>
          <w:tcPr>
            <w:tcW w:w="616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D886BB5">
            <w:pPr>
              <w:autoSpaceDE w:val="0"/>
              <w:autoSpaceDN w:val="0"/>
              <w:adjustRightIn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兴业银行西宁分行营业部</w:t>
            </w:r>
          </w:p>
        </w:tc>
      </w:tr>
      <w:tr w14:paraId="34172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jc w:val="center"/>
        </w:trPr>
        <w:tc>
          <w:tcPr>
            <w:tcW w:w="305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BD24646">
            <w:pPr>
              <w:autoSpaceDE w:val="0"/>
              <w:autoSpaceDN w:val="0"/>
              <w:adjustRightInd w:val="0"/>
              <w:spacing w:line="360" w:lineRule="auto"/>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收款人</w:t>
            </w:r>
          </w:p>
        </w:tc>
        <w:tc>
          <w:tcPr>
            <w:tcW w:w="616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C1AAE16">
            <w:pPr>
              <w:autoSpaceDE w:val="0"/>
              <w:autoSpaceDN w:val="0"/>
              <w:adjustRightIn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青海中旭工程项目管理有限公司</w:t>
            </w:r>
          </w:p>
        </w:tc>
      </w:tr>
      <w:tr w14:paraId="243AE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jc w:val="center"/>
        </w:trPr>
        <w:tc>
          <w:tcPr>
            <w:tcW w:w="305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5194D11">
            <w:pPr>
              <w:autoSpaceDE w:val="0"/>
              <w:autoSpaceDN w:val="0"/>
              <w:adjustRightInd w:val="0"/>
              <w:spacing w:line="360" w:lineRule="auto"/>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银行账号</w:t>
            </w:r>
          </w:p>
        </w:tc>
        <w:tc>
          <w:tcPr>
            <w:tcW w:w="616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CE1F50F">
            <w:pPr>
              <w:autoSpaceDE w:val="0"/>
              <w:autoSpaceDN w:val="0"/>
              <w:adjustRightIn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6320 1010 0100 3762 99（开户行号：309851000028（响应保证金专用账号）</w:t>
            </w:r>
          </w:p>
        </w:tc>
      </w:tr>
      <w:tr w14:paraId="10F00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0" w:hRule="atLeast"/>
          <w:jc w:val="center"/>
        </w:trPr>
        <w:tc>
          <w:tcPr>
            <w:tcW w:w="305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8D05C31">
            <w:pPr>
              <w:autoSpaceDE w:val="0"/>
              <w:autoSpaceDN w:val="0"/>
              <w:adjustRightInd w:val="0"/>
              <w:spacing w:line="360" w:lineRule="auto"/>
              <w:jc w:val="left"/>
              <w:rPr>
                <w:rFonts w:hint="eastAsia" w:ascii="宋体" w:hAnsi="宋体" w:eastAsia="宋体" w:cs="宋体"/>
                <w:color w:val="auto"/>
                <w:sz w:val="24"/>
                <w:highlight w:val="none"/>
                <w:lang w:val="zh-CN"/>
              </w:rPr>
            </w:pPr>
            <w:r>
              <w:rPr>
                <w:rFonts w:hint="eastAsia" w:ascii="宋体" w:hAnsi="宋体" w:eastAsia="宋体" w:cs="宋体"/>
                <w:color w:val="auto"/>
                <w:kern w:val="0"/>
                <w:sz w:val="24"/>
                <w:szCs w:val="24"/>
                <w:highlight w:val="none"/>
              </w:rPr>
              <w:t>响应</w:t>
            </w:r>
            <w:r>
              <w:rPr>
                <w:rFonts w:hint="eastAsia" w:ascii="宋体" w:hAnsi="宋体" w:eastAsia="宋体" w:cs="宋体"/>
                <w:color w:val="auto"/>
                <w:kern w:val="0"/>
                <w:sz w:val="24"/>
                <w:szCs w:val="24"/>
                <w:highlight w:val="none"/>
                <w:lang w:val="zh-CN"/>
              </w:rPr>
              <w:t>保证金</w:t>
            </w:r>
          </w:p>
        </w:tc>
        <w:tc>
          <w:tcPr>
            <w:tcW w:w="616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E5B764A">
            <w:pPr>
              <w:autoSpaceDE w:val="0"/>
              <w:autoSpaceDN w:val="0"/>
              <w:adjustRightInd w:val="0"/>
              <w:spacing w:line="360" w:lineRule="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响应</w:t>
            </w:r>
            <w:r>
              <w:rPr>
                <w:rFonts w:hint="eastAsia" w:ascii="宋体" w:hAnsi="宋体" w:eastAsia="宋体" w:cs="宋体"/>
                <w:b/>
                <w:bCs/>
                <w:color w:val="auto"/>
                <w:sz w:val="24"/>
                <w:szCs w:val="24"/>
                <w:highlight w:val="none"/>
                <w:lang w:val="zh-CN"/>
              </w:rPr>
              <w:t>保证金：</w:t>
            </w:r>
            <w:r>
              <w:rPr>
                <w:rFonts w:hint="eastAsia" w:eastAsia="宋体" w:cs="宋体"/>
                <w:b/>
                <w:bCs/>
                <w:color w:val="auto"/>
                <w:sz w:val="24"/>
                <w:szCs w:val="24"/>
                <w:highlight w:val="none"/>
                <w:lang w:val="en-US" w:eastAsia="zh-CN"/>
              </w:rPr>
              <w:t>本项目不收取保证金</w:t>
            </w:r>
          </w:p>
          <w:p w14:paraId="13A6678E">
            <w:pPr>
              <w:autoSpaceDE w:val="0"/>
              <w:autoSpaceDN w:val="0"/>
              <w:adjustRightIn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收款单位：青海中旭工程项目管理有限公司</w:t>
            </w:r>
          </w:p>
          <w:p w14:paraId="566F4507">
            <w:pPr>
              <w:autoSpaceDE w:val="0"/>
              <w:autoSpaceDN w:val="0"/>
              <w:adjustRightIn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开户银行：兴业银行西宁分行营业部</w:t>
            </w:r>
          </w:p>
          <w:p w14:paraId="1FB305AD">
            <w:pPr>
              <w:autoSpaceDE w:val="0"/>
              <w:autoSpaceDN w:val="0"/>
              <w:adjustRightInd w:val="0"/>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val="zh-CN"/>
              </w:rPr>
              <w:t>保证金账号：</w:t>
            </w:r>
            <w:r>
              <w:rPr>
                <w:rFonts w:hint="eastAsia" w:ascii="宋体" w:hAnsi="宋体" w:eastAsia="宋体" w:cs="宋体"/>
                <w:color w:val="auto"/>
                <w:sz w:val="24"/>
                <w:szCs w:val="24"/>
                <w:highlight w:val="none"/>
              </w:rPr>
              <w:t>6320 1010 0100 3762 99（</w:t>
            </w:r>
            <w:r>
              <w:rPr>
                <w:rFonts w:hint="eastAsia" w:ascii="宋体" w:hAnsi="宋体" w:eastAsia="宋体" w:cs="宋体"/>
                <w:color w:val="auto"/>
                <w:kern w:val="0"/>
                <w:sz w:val="24"/>
                <w:szCs w:val="24"/>
                <w:highlight w:val="none"/>
              </w:rPr>
              <w:t>开户行号：309851000028（响应保证金专用账号））</w:t>
            </w:r>
          </w:p>
          <w:p w14:paraId="5DBF89DA">
            <w:pPr>
              <w:autoSpaceDE w:val="0"/>
              <w:autoSpaceDN w:val="0"/>
              <w:adjustRightIn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zh-CN"/>
              </w:rPr>
              <w:t>缴费时间：同截止日期前，以银行到账时间为准，递交保证金时需注明项目名称以及编号。</w:t>
            </w:r>
          </w:p>
        </w:tc>
      </w:tr>
      <w:tr w14:paraId="0F5BC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5" w:hRule="atLeast"/>
          <w:jc w:val="center"/>
        </w:trPr>
        <w:tc>
          <w:tcPr>
            <w:tcW w:w="305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D561205">
            <w:pPr>
              <w:autoSpaceDE w:val="0"/>
              <w:autoSpaceDN w:val="0"/>
              <w:adjustRightInd w:val="0"/>
              <w:spacing w:line="360" w:lineRule="auto"/>
              <w:jc w:val="both"/>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其他事项</w:t>
            </w:r>
          </w:p>
        </w:tc>
        <w:tc>
          <w:tcPr>
            <w:tcW w:w="616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7FD17CB">
            <w:pPr>
              <w:autoSpaceDE w:val="0"/>
              <w:autoSpaceDN w:val="0"/>
              <w:adjustRightInd w:val="0"/>
              <w:spacing w:line="360" w:lineRule="auto"/>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szCs w:val="24"/>
                <w:highlight w:val="none"/>
                <w:lang w:val="zh-CN"/>
              </w:rPr>
              <w:t>公告发布于</w:t>
            </w:r>
            <w:r>
              <w:rPr>
                <w:rFonts w:hint="eastAsia" w:ascii="宋体" w:hAnsi="宋体" w:eastAsia="宋体" w:cs="宋体"/>
                <w:color w:val="auto"/>
                <w:sz w:val="24"/>
                <w:szCs w:val="24"/>
                <w:highlight w:val="none"/>
                <w:lang w:val="en-US" w:eastAsia="zh-CN"/>
              </w:rPr>
              <w:t>《青海项目信息网》、《中国采购与招标网》</w:t>
            </w:r>
          </w:p>
        </w:tc>
      </w:tr>
    </w:tbl>
    <w:p w14:paraId="0F03EE70">
      <w:pPr>
        <w:pStyle w:val="3"/>
        <w:rPr>
          <w:rFonts w:hint="eastAsia" w:ascii="宋体" w:hAnsi="宋体" w:eastAsia="宋体" w:cs="宋体"/>
          <w:color w:val="auto"/>
          <w:highlight w:val="none"/>
          <w:lang w:val="zh-CN"/>
        </w:rPr>
      </w:pPr>
    </w:p>
    <w:p w14:paraId="50A6B731">
      <w:pPr>
        <w:tabs>
          <w:tab w:val="left" w:pos="8306"/>
        </w:tabs>
        <w:spacing w:before="240" w:beforeLines="0" w:after="240" w:afterLines="0" w:line="360" w:lineRule="auto"/>
        <w:ind w:right="640" w:firstLine="199" w:firstLineChars="83"/>
        <w:jc w:val="right"/>
        <w:rPr>
          <w:rFonts w:hint="eastAsia" w:ascii="宋体" w:hAnsi="宋体" w:eastAsia="宋体" w:cs="宋体"/>
          <w:color w:val="auto"/>
          <w:sz w:val="24"/>
          <w:szCs w:val="24"/>
          <w:highlight w:val="none"/>
          <w:lang w:val="zh-CN"/>
        </w:rPr>
      </w:pPr>
      <w:r>
        <w:rPr>
          <w:rFonts w:hint="eastAsia"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青海中旭工程项目管理有限公司</w:t>
      </w:r>
    </w:p>
    <w:p w14:paraId="6C7712DE">
      <w:pPr>
        <w:spacing w:before="240" w:beforeLines="0" w:after="240" w:afterLines="0"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年</w:t>
      </w:r>
      <w:r>
        <w:rPr>
          <w:rFonts w:hint="eastAsia"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月</w:t>
      </w:r>
      <w:r>
        <w:rPr>
          <w:rFonts w:hint="eastAsia"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日</w:t>
      </w:r>
    </w:p>
    <w:p w14:paraId="6543AE8A">
      <w:pPr>
        <w:pStyle w:val="20"/>
        <w:spacing w:before="0" w:beforeLines="0" w:after="0" w:afterLines="0"/>
        <w:rPr>
          <w:rFonts w:hint="eastAsia" w:ascii="宋体" w:hAnsi="宋体" w:eastAsia="宋体" w:cs="宋体"/>
          <w:color w:val="auto"/>
          <w:highlight w:val="none"/>
          <w:lang w:val="zh-CN"/>
        </w:rPr>
      </w:pPr>
      <w:r>
        <w:rPr>
          <w:rFonts w:hint="eastAsia" w:ascii="宋体" w:hAnsi="宋体" w:eastAsia="宋体" w:cs="宋体"/>
          <w:color w:val="auto"/>
          <w:sz w:val="24"/>
          <w:szCs w:val="24"/>
          <w:highlight w:val="none"/>
        </w:rPr>
        <w:br w:type="page"/>
      </w:r>
      <w:bookmarkStart w:id="9" w:name="_Toc14075"/>
      <w:bookmarkStart w:id="10" w:name="_Toc9821"/>
      <w:bookmarkStart w:id="11" w:name="_Toc27773"/>
      <w:bookmarkStart w:id="12" w:name="_Toc3201"/>
      <w:bookmarkStart w:id="13" w:name="_Toc21471"/>
      <w:bookmarkStart w:id="14" w:name="_Toc23686"/>
      <w:bookmarkStart w:id="15" w:name="_Toc495567939"/>
      <w:bookmarkStart w:id="16" w:name="_Toc6982"/>
      <w:bookmarkStart w:id="17" w:name="_Toc495666256"/>
      <w:r>
        <w:rPr>
          <w:rFonts w:hint="eastAsia" w:ascii="宋体" w:hAnsi="宋体" w:eastAsia="宋体" w:cs="宋体"/>
          <w:color w:val="auto"/>
          <w:highlight w:val="none"/>
          <w:lang w:val="zh-CN"/>
        </w:rPr>
        <w:t>第二部分 供应商须知前附表</w:t>
      </w:r>
      <w:bookmarkEnd w:id="9"/>
      <w:bookmarkEnd w:id="10"/>
      <w:bookmarkEnd w:id="11"/>
      <w:bookmarkEnd w:id="12"/>
      <w:bookmarkEnd w:id="13"/>
      <w:bookmarkEnd w:id="14"/>
      <w:bookmarkEnd w:id="15"/>
      <w:bookmarkEnd w:id="16"/>
      <w:bookmarkEnd w:id="17"/>
    </w:p>
    <w:tbl>
      <w:tblPr>
        <w:tblStyle w:val="2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7" w:type="dxa"/>
          <w:bottom w:w="0" w:type="dxa"/>
          <w:right w:w="57" w:type="dxa"/>
        </w:tblCellMar>
      </w:tblPr>
      <w:tblGrid>
        <w:gridCol w:w="785"/>
        <w:gridCol w:w="2093"/>
        <w:gridCol w:w="6215"/>
      </w:tblGrid>
      <w:tr w14:paraId="3807D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345"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950FD32">
            <w:pPr>
              <w:autoSpaceDE w:val="0"/>
              <w:autoSpaceDN w:val="0"/>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序号</w:t>
            </w:r>
          </w:p>
        </w:tc>
        <w:tc>
          <w:tcPr>
            <w:tcW w:w="8308" w:type="dxa"/>
            <w:gridSpan w:val="2"/>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5BB99BF">
            <w:pPr>
              <w:autoSpaceDE w:val="0"/>
              <w:autoSpaceDN w:val="0"/>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内 容</w:t>
            </w:r>
          </w:p>
        </w:tc>
      </w:tr>
      <w:tr w14:paraId="4DFD4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7"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6472594">
            <w:pPr>
              <w:numPr>
                <w:ilvl w:val="0"/>
                <w:numId w:val="3"/>
              </w:numPr>
              <w:autoSpaceDE w:val="0"/>
              <w:autoSpaceDN w:val="0"/>
              <w:spacing w:line="360" w:lineRule="auto"/>
              <w:jc w:val="left"/>
              <w:rPr>
                <w:rFonts w:hint="eastAsia" w:ascii="宋体" w:hAnsi="宋体" w:eastAsia="宋体" w:cs="宋体"/>
                <w:color w:val="auto"/>
                <w:sz w:val="24"/>
                <w:szCs w:val="24"/>
                <w:highlight w:val="none"/>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403D214">
            <w:pPr>
              <w:autoSpaceDE w:val="0"/>
              <w:autoSpaceDN w:val="0"/>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采购项目编号</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E0D3FEC">
            <w:pPr>
              <w:autoSpaceDE w:val="0"/>
              <w:autoSpaceDN w:val="0"/>
              <w:adjustRightInd w:val="0"/>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QHZX-竞磋（服务）2024-043</w:t>
            </w:r>
          </w:p>
        </w:tc>
      </w:tr>
      <w:tr w14:paraId="5199C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564"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A8C8B45">
            <w:pPr>
              <w:numPr>
                <w:ilvl w:val="0"/>
                <w:numId w:val="3"/>
              </w:numPr>
              <w:autoSpaceDE w:val="0"/>
              <w:autoSpaceDN w:val="0"/>
              <w:spacing w:line="360" w:lineRule="auto"/>
              <w:jc w:val="left"/>
              <w:rPr>
                <w:rFonts w:hint="eastAsia" w:ascii="宋体" w:hAnsi="宋体" w:eastAsia="宋体" w:cs="宋体"/>
                <w:color w:val="auto"/>
                <w:sz w:val="24"/>
                <w:szCs w:val="24"/>
                <w:highlight w:val="none"/>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DF32FDD">
            <w:pPr>
              <w:autoSpaceDE w:val="0"/>
              <w:autoSpaceDN w:val="0"/>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采购项目名称</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518DA7D">
            <w:pPr>
              <w:autoSpaceDE w:val="0"/>
              <w:autoSpaceDN w:val="0"/>
              <w:adjustRightInd w:val="0"/>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青海民族大学高等教育人才培养模式改革创新项目</w:t>
            </w:r>
          </w:p>
        </w:tc>
      </w:tr>
      <w:tr w14:paraId="7096C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90"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C7CB108">
            <w:pPr>
              <w:numPr>
                <w:ilvl w:val="0"/>
                <w:numId w:val="3"/>
              </w:numPr>
              <w:autoSpaceDE w:val="0"/>
              <w:autoSpaceDN w:val="0"/>
              <w:spacing w:line="360" w:lineRule="auto"/>
              <w:jc w:val="left"/>
              <w:rPr>
                <w:rFonts w:hint="eastAsia" w:ascii="宋体" w:hAnsi="宋体" w:eastAsia="宋体" w:cs="宋体"/>
                <w:color w:val="auto"/>
                <w:sz w:val="24"/>
                <w:szCs w:val="24"/>
                <w:highlight w:val="none"/>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78DD73E">
            <w:pPr>
              <w:autoSpaceDE w:val="0"/>
              <w:autoSpaceDN w:val="0"/>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采购人</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50E60D5">
            <w:pPr>
              <w:autoSpaceDE w:val="0"/>
              <w:autoSpaceDN w:val="0"/>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青海民族大学</w:t>
            </w:r>
          </w:p>
        </w:tc>
      </w:tr>
      <w:tr w14:paraId="33DAA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7"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E427755">
            <w:pPr>
              <w:numPr>
                <w:ilvl w:val="0"/>
                <w:numId w:val="3"/>
              </w:numPr>
              <w:autoSpaceDE w:val="0"/>
              <w:autoSpaceDN w:val="0"/>
              <w:spacing w:line="360" w:lineRule="auto"/>
              <w:jc w:val="left"/>
              <w:rPr>
                <w:rFonts w:hint="eastAsia" w:ascii="宋体" w:hAnsi="宋体" w:eastAsia="宋体" w:cs="宋体"/>
                <w:color w:val="auto"/>
                <w:sz w:val="24"/>
                <w:szCs w:val="24"/>
                <w:highlight w:val="none"/>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D161162">
            <w:pPr>
              <w:autoSpaceDE w:val="0"/>
              <w:autoSpaceDN w:val="0"/>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采购代理机构</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68A001D">
            <w:pPr>
              <w:autoSpaceDE w:val="0"/>
              <w:autoSpaceDN w:val="0"/>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青海中旭工程项目管理有限公司</w:t>
            </w:r>
          </w:p>
        </w:tc>
      </w:tr>
      <w:tr w14:paraId="58F49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7"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736C14A">
            <w:pPr>
              <w:numPr>
                <w:ilvl w:val="0"/>
                <w:numId w:val="3"/>
              </w:numPr>
              <w:autoSpaceDE w:val="0"/>
              <w:autoSpaceDN w:val="0"/>
              <w:spacing w:line="360" w:lineRule="auto"/>
              <w:jc w:val="left"/>
              <w:rPr>
                <w:rFonts w:hint="eastAsia" w:ascii="宋体" w:hAnsi="宋体" w:eastAsia="宋体" w:cs="宋体"/>
                <w:color w:val="auto"/>
                <w:sz w:val="24"/>
                <w:szCs w:val="24"/>
                <w:highlight w:val="none"/>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C1DF52C">
            <w:pPr>
              <w:autoSpaceDE w:val="0"/>
              <w:autoSpaceDN w:val="0"/>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采购方式</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49026E0">
            <w:pPr>
              <w:autoSpaceDE w:val="0"/>
              <w:autoSpaceDN w:val="0"/>
              <w:adjustRightInd w:val="0"/>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竞争性磋商</w:t>
            </w:r>
          </w:p>
        </w:tc>
      </w:tr>
      <w:tr w14:paraId="5CBCB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7"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70F4B9C">
            <w:pPr>
              <w:numPr>
                <w:ilvl w:val="0"/>
                <w:numId w:val="3"/>
              </w:numPr>
              <w:autoSpaceDE w:val="0"/>
              <w:autoSpaceDN w:val="0"/>
              <w:spacing w:line="360" w:lineRule="auto"/>
              <w:jc w:val="left"/>
              <w:rPr>
                <w:rFonts w:hint="eastAsia" w:ascii="宋体" w:hAnsi="宋体" w:eastAsia="宋体" w:cs="宋体"/>
                <w:color w:val="auto"/>
                <w:sz w:val="24"/>
                <w:szCs w:val="24"/>
                <w:highlight w:val="none"/>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06B0481">
            <w:pPr>
              <w:autoSpaceDE w:val="0"/>
              <w:autoSpaceDN w:val="0"/>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评分办法</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5EF37A3">
            <w:pPr>
              <w:autoSpaceDE w:val="0"/>
              <w:autoSpaceDN w:val="0"/>
              <w:adjustRightInd w:val="0"/>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综合评分法</w:t>
            </w:r>
          </w:p>
        </w:tc>
      </w:tr>
      <w:tr w14:paraId="19A48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515"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1FE44D9">
            <w:pPr>
              <w:numPr>
                <w:ilvl w:val="0"/>
                <w:numId w:val="3"/>
              </w:numPr>
              <w:autoSpaceDE w:val="0"/>
              <w:autoSpaceDN w:val="0"/>
              <w:spacing w:line="360" w:lineRule="auto"/>
              <w:jc w:val="left"/>
              <w:rPr>
                <w:rFonts w:hint="eastAsia" w:ascii="宋体" w:hAnsi="宋体" w:eastAsia="宋体" w:cs="宋体"/>
                <w:color w:val="auto"/>
                <w:sz w:val="24"/>
                <w:szCs w:val="24"/>
                <w:highlight w:val="none"/>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14F406C">
            <w:pPr>
              <w:autoSpaceDE w:val="0"/>
              <w:autoSpaceDN w:val="0"/>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采购预算控制额度</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EA3CAED">
            <w:pPr>
              <w:autoSpaceDE w:val="0"/>
              <w:autoSpaceDN w:val="0"/>
              <w:adjustRightInd w:val="0"/>
              <w:spacing w:line="360" w:lineRule="auto"/>
              <w:jc w:val="left"/>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人民币45万元</w:t>
            </w:r>
          </w:p>
        </w:tc>
      </w:tr>
      <w:tr w14:paraId="0C684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7"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861352A">
            <w:pPr>
              <w:numPr>
                <w:ilvl w:val="0"/>
                <w:numId w:val="3"/>
              </w:numPr>
              <w:autoSpaceDE w:val="0"/>
              <w:autoSpaceDN w:val="0"/>
              <w:spacing w:line="360" w:lineRule="auto"/>
              <w:jc w:val="left"/>
              <w:rPr>
                <w:rFonts w:hint="eastAsia" w:ascii="宋体" w:hAnsi="宋体" w:eastAsia="宋体" w:cs="宋体"/>
                <w:color w:val="auto"/>
                <w:sz w:val="24"/>
                <w:szCs w:val="24"/>
                <w:highlight w:val="none"/>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E02A33E">
            <w:pPr>
              <w:autoSpaceDE w:val="0"/>
              <w:autoSpaceDN w:val="0"/>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采购要求</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70F2D60">
            <w:pPr>
              <w:autoSpaceDE w:val="0"/>
              <w:autoSpaceDN w:val="0"/>
              <w:adjustRightInd w:val="0"/>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青海民族大学高等教育人才培养模式改革创新</w:t>
            </w:r>
            <w:r>
              <w:rPr>
                <w:rFonts w:hint="eastAsia" w:ascii="宋体" w:hAnsi="宋体" w:eastAsia="宋体" w:cs="宋体"/>
                <w:color w:val="auto"/>
                <w:sz w:val="24"/>
                <w:szCs w:val="24"/>
                <w:highlight w:val="none"/>
                <w:lang w:val="en-US" w:eastAsia="zh-CN"/>
              </w:rPr>
              <w:t>，具体内容详见竞争性磋商文件。</w:t>
            </w:r>
          </w:p>
        </w:tc>
      </w:tr>
      <w:tr w14:paraId="13B85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978"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8C167A0">
            <w:pPr>
              <w:numPr>
                <w:ilvl w:val="0"/>
                <w:numId w:val="3"/>
              </w:numPr>
              <w:autoSpaceDE w:val="0"/>
              <w:autoSpaceDN w:val="0"/>
              <w:spacing w:line="360" w:lineRule="auto"/>
              <w:jc w:val="left"/>
              <w:rPr>
                <w:rFonts w:hint="eastAsia" w:ascii="宋体" w:hAnsi="宋体" w:eastAsia="宋体" w:cs="宋体"/>
                <w:color w:val="auto"/>
                <w:sz w:val="24"/>
                <w:szCs w:val="24"/>
                <w:highlight w:val="none"/>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EED737A">
            <w:pPr>
              <w:autoSpaceDE w:val="0"/>
              <w:autoSpaceDN w:val="0"/>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磋商保证金</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6F7EEFC">
            <w:pPr>
              <w:autoSpaceDE w:val="0"/>
              <w:autoSpaceDN w:val="0"/>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磋商保证金：</w:t>
            </w:r>
            <w:r>
              <w:rPr>
                <w:rFonts w:hint="eastAsia" w:ascii="宋体" w:hAnsi="宋体" w:eastAsia="宋体" w:cs="宋体"/>
                <w:color w:val="auto"/>
                <w:sz w:val="24"/>
                <w:szCs w:val="24"/>
                <w:highlight w:val="none"/>
                <w:lang w:val="en-US" w:eastAsia="zh-CN"/>
              </w:rPr>
              <w:t>本项目不收取保证金</w:t>
            </w:r>
          </w:p>
          <w:p w14:paraId="41DB9A77">
            <w:pPr>
              <w:autoSpaceDE w:val="0"/>
              <w:autoSpaceDN w:val="0"/>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收款单位：青海中旭工程项目管理有限公司</w:t>
            </w:r>
          </w:p>
          <w:p w14:paraId="6EEC8EAB">
            <w:pPr>
              <w:autoSpaceDE w:val="0"/>
              <w:autoSpaceDN w:val="0"/>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开 户 行：兴业银行西宁分行营业部</w:t>
            </w:r>
          </w:p>
          <w:p w14:paraId="7146A2FE">
            <w:pPr>
              <w:autoSpaceDE w:val="0"/>
              <w:autoSpaceDN w:val="0"/>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银行账号：632010100100376299</w:t>
            </w:r>
          </w:p>
          <w:p w14:paraId="482CCEB6">
            <w:pPr>
              <w:autoSpaceDE w:val="0"/>
              <w:autoSpaceDN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开户行号：</w:t>
            </w:r>
            <w:r>
              <w:rPr>
                <w:rFonts w:hint="eastAsia" w:ascii="宋体" w:hAnsi="宋体" w:eastAsia="宋体" w:cs="宋体"/>
                <w:color w:val="auto"/>
                <w:sz w:val="24"/>
                <w:szCs w:val="24"/>
                <w:highlight w:val="none"/>
              </w:rPr>
              <w:t>309851000028</w:t>
            </w:r>
          </w:p>
          <w:p w14:paraId="72EC68E2">
            <w:pPr>
              <w:autoSpaceDE w:val="0"/>
              <w:autoSpaceDN w:val="0"/>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缴费时间：磋商截止期前，以银行到账时间为准。</w:t>
            </w:r>
          </w:p>
        </w:tc>
      </w:tr>
      <w:tr w14:paraId="7DF72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1590"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93D6D92">
            <w:pPr>
              <w:numPr>
                <w:ilvl w:val="0"/>
                <w:numId w:val="3"/>
              </w:numPr>
              <w:autoSpaceDE w:val="0"/>
              <w:autoSpaceDN w:val="0"/>
              <w:spacing w:line="360" w:lineRule="auto"/>
              <w:jc w:val="left"/>
              <w:rPr>
                <w:rFonts w:hint="eastAsia" w:ascii="宋体" w:hAnsi="宋体" w:eastAsia="宋体" w:cs="宋体"/>
                <w:color w:val="auto"/>
                <w:sz w:val="24"/>
                <w:szCs w:val="24"/>
                <w:highlight w:val="none"/>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A572844">
            <w:pPr>
              <w:autoSpaceDE w:val="0"/>
              <w:autoSpaceDN w:val="0"/>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缴费方式</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FB14004">
            <w:pPr>
              <w:autoSpaceDE w:val="0"/>
              <w:autoSpaceDN w:val="0"/>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磋商保证金缴纳形式：转账、电汇（不接受现金）、</w:t>
            </w:r>
            <w:r>
              <w:rPr>
                <w:rFonts w:hint="eastAsia" w:ascii="宋体" w:hAnsi="宋体" w:eastAsia="宋体" w:cs="宋体"/>
                <w:color w:val="auto"/>
                <w:sz w:val="24"/>
                <w:szCs w:val="24"/>
                <w:highlight w:val="none"/>
                <w:lang w:val="en-US" w:eastAsia="zh-CN"/>
              </w:rPr>
              <w:t>保函、保单等非现金形式</w:t>
            </w:r>
            <w:r>
              <w:rPr>
                <w:rFonts w:hint="eastAsia" w:ascii="宋体" w:hAnsi="宋体" w:eastAsia="宋体" w:cs="宋体"/>
                <w:color w:val="auto"/>
                <w:sz w:val="24"/>
                <w:szCs w:val="24"/>
                <w:highlight w:val="none"/>
                <w:lang w:val="zh-CN"/>
              </w:rPr>
              <w:t>，须由供应商从其基本账户转入指定专用账户，汇单附言栏内注明项目名称及用途，附基本账户开户许可证复印件；</w:t>
            </w:r>
          </w:p>
        </w:tc>
      </w:tr>
      <w:tr w14:paraId="12848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328"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D92C0B2">
            <w:pPr>
              <w:numPr>
                <w:ilvl w:val="0"/>
                <w:numId w:val="3"/>
              </w:numPr>
              <w:autoSpaceDE w:val="0"/>
              <w:autoSpaceDN w:val="0"/>
              <w:spacing w:line="360" w:lineRule="auto"/>
              <w:jc w:val="left"/>
              <w:rPr>
                <w:rFonts w:hint="eastAsia" w:ascii="宋体" w:hAnsi="宋体" w:eastAsia="宋体" w:cs="宋体"/>
                <w:color w:val="auto"/>
                <w:sz w:val="24"/>
                <w:szCs w:val="24"/>
                <w:highlight w:val="none"/>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2829E3D">
            <w:pPr>
              <w:autoSpaceDE w:val="0"/>
              <w:autoSpaceDN w:val="0"/>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磋商保证金退还</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6D15A75">
            <w:pPr>
              <w:autoSpaceDE w:val="0"/>
              <w:autoSpaceDN w:val="0"/>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未成交供应商的磋商保证金在成交通知书发出后5个工作日内退还，成交供应商的磋商保证金在采购合同签订后5个工作日内退还。</w:t>
            </w:r>
          </w:p>
        </w:tc>
      </w:tr>
      <w:tr w14:paraId="477CC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328"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E90FD5E">
            <w:pPr>
              <w:numPr>
                <w:ilvl w:val="0"/>
                <w:numId w:val="3"/>
              </w:numPr>
              <w:autoSpaceDE w:val="0"/>
              <w:autoSpaceDN w:val="0"/>
              <w:spacing w:line="360" w:lineRule="auto"/>
              <w:jc w:val="left"/>
              <w:rPr>
                <w:rFonts w:hint="eastAsia" w:ascii="宋体" w:hAnsi="宋体" w:eastAsia="宋体" w:cs="宋体"/>
                <w:color w:val="auto"/>
                <w:sz w:val="24"/>
                <w:szCs w:val="24"/>
                <w:highlight w:val="none"/>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D3B1BBE">
            <w:pPr>
              <w:autoSpaceDE w:val="0"/>
              <w:autoSpaceDN w:val="0"/>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响应文件编制要求</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E8FCAB7">
            <w:pPr>
              <w:autoSpaceDE w:val="0"/>
              <w:autoSpaceDN w:val="0"/>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1、磋商响应文件中的扫描或复印件内容应清晰可辨，且要求正向放置。</w:t>
            </w:r>
          </w:p>
          <w:p w14:paraId="351AB90F">
            <w:pPr>
              <w:autoSpaceDE w:val="0"/>
              <w:autoSpaceDN w:val="0"/>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、磋商响应文件要求签字、盖章的地方必须由供应商的法定代表人或委托代理人按要求签字、盖章；磋商供应商提供的扫描（或复印）件均需加盖公章。</w:t>
            </w:r>
          </w:p>
          <w:p w14:paraId="4B18462F">
            <w:pPr>
              <w:autoSpaceDE w:val="0"/>
              <w:autoSpaceDN w:val="0"/>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、供应商应在递交磋商响应文件截止时间前递交磋商响应文件。</w:t>
            </w:r>
          </w:p>
        </w:tc>
      </w:tr>
      <w:tr w14:paraId="1AF50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7"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A072D35">
            <w:pPr>
              <w:numPr>
                <w:ilvl w:val="0"/>
                <w:numId w:val="3"/>
              </w:numPr>
              <w:autoSpaceDE w:val="0"/>
              <w:autoSpaceDN w:val="0"/>
              <w:spacing w:line="360" w:lineRule="auto"/>
              <w:jc w:val="left"/>
              <w:rPr>
                <w:rFonts w:hint="eastAsia" w:ascii="宋体" w:hAnsi="宋体" w:eastAsia="宋体" w:cs="宋体"/>
                <w:color w:val="auto"/>
                <w:sz w:val="24"/>
                <w:szCs w:val="24"/>
                <w:highlight w:val="none"/>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97449FC">
            <w:pPr>
              <w:pageBreakBefore w:val="0"/>
              <w:kinsoku/>
              <w:overflowPunct/>
              <w:topLinePunct w:val="0"/>
              <w:autoSpaceDE w:val="0"/>
              <w:autoSpaceDN w:val="0"/>
              <w:bidi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递交响应文件方式</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81D6B1A">
            <w:pPr>
              <w:autoSpaceDE w:val="0"/>
              <w:autoSpaceDN w:val="0"/>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现场递交，不接受邮寄投标。</w:t>
            </w:r>
          </w:p>
        </w:tc>
      </w:tr>
      <w:tr w14:paraId="53820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538"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68E8511">
            <w:pPr>
              <w:numPr>
                <w:ilvl w:val="0"/>
                <w:numId w:val="3"/>
              </w:numPr>
              <w:autoSpaceDE w:val="0"/>
              <w:autoSpaceDN w:val="0"/>
              <w:spacing w:line="360" w:lineRule="auto"/>
              <w:jc w:val="left"/>
              <w:rPr>
                <w:rFonts w:hint="eastAsia" w:ascii="宋体" w:hAnsi="宋体" w:eastAsia="宋体" w:cs="宋体"/>
                <w:color w:val="auto"/>
                <w:sz w:val="24"/>
                <w:szCs w:val="24"/>
                <w:highlight w:val="none"/>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78DEFD0">
            <w:pPr>
              <w:pageBreakBefore w:val="0"/>
              <w:kinsoku/>
              <w:overflowPunct/>
              <w:topLinePunct w:val="0"/>
              <w:autoSpaceDE w:val="0"/>
              <w:autoSpaceDN w:val="0"/>
              <w:bidi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答疑澄清方式</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EFE02F4">
            <w:pPr>
              <w:pageBreakBefore w:val="0"/>
              <w:kinsoku/>
              <w:overflowPunct/>
              <w:topLinePunct w:val="0"/>
              <w:autoSpaceDE w:val="0"/>
              <w:autoSpaceDN w:val="0"/>
              <w:bidi w:val="0"/>
              <w:adjustRightIn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采用现场答疑。供应商须提供准确的联系方式（手机和固定电话），应在规定的时间内到达评审现场进行答疑澄清，如在规定的时间内联系无果或未按时到达的，视同放弃答疑。</w:t>
            </w:r>
          </w:p>
        </w:tc>
      </w:tr>
      <w:tr w14:paraId="0DC71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1040"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DA273D9">
            <w:pPr>
              <w:numPr>
                <w:ilvl w:val="0"/>
                <w:numId w:val="3"/>
              </w:numPr>
              <w:autoSpaceDE w:val="0"/>
              <w:autoSpaceDN w:val="0"/>
              <w:spacing w:line="360" w:lineRule="auto"/>
              <w:jc w:val="left"/>
              <w:rPr>
                <w:rFonts w:hint="eastAsia" w:ascii="宋体" w:hAnsi="宋体" w:eastAsia="宋体" w:cs="宋体"/>
                <w:color w:val="auto"/>
                <w:sz w:val="24"/>
                <w:szCs w:val="24"/>
                <w:highlight w:val="none"/>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F7049D4">
            <w:pPr>
              <w:autoSpaceDE w:val="0"/>
              <w:autoSpaceDN w:val="0"/>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代理服务费收取</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B7DD869">
            <w:pPr>
              <w:autoSpaceDE w:val="0"/>
              <w:autoSpaceDN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收取对象：</w:t>
            </w:r>
            <w:r>
              <w:rPr>
                <w:rFonts w:hint="eastAsia" w:ascii="宋体" w:hAnsi="宋体" w:eastAsia="宋体" w:cs="宋体"/>
                <w:b/>
                <w:bCs/>
                <w:color w:val="auto"/>
                <w:sz w:val="24"/>
                <w:szCs w:val="24"/>
                <w:highlight w:val="none"/>
              </w:rPr>
              <w:t>成交供应商</w:t>
            </w:r>
          </w:p>
          <w:p w14:paraId="1E7582D0">
            <w:pPr>
              <w:autoSpaceDE w:val="0"/>
              <w:autoSpaceDN w:val="0"/>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收取方式：按《关于进一步放开建设项目专业服务价格的通知》（发改价格〔2015〕299号）。</w:t>
            </w:r>
          </w:p>
          <w:p w14:paraId="3B4A3F2F">
            <w:pPr>
              <w:autoSpaceDE w:val="0"/>
              <w:autoSpaceDN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zh-CN"/>
              </w:rPr>
              <w:t>收取金额：小写金额：¥</w:t>
            </w:r>
            <w:r>
              <w:rPr>
                <w:rFonts w:hint="eastAsia" w:ascii="宋体" w:hAnsi="宋体" w:eastAsia="宋体" w:cs="宋体"/>
                <w:b/>
                <w:bCs/>
                <w:color w:val="auto"/>
                <w:sz w:val="24"/>
                <w:szCs w:val="24"/>
                <w:highlight w:val="none"/>
                <w:lang w:val="en-US" w:eastAsia="zh-CN"/>
              </w:rPr>
              <w:t xml:space="preserve"> </w:t>
            </w:r>
            <w:r>
              <w:rPr>
                <w:rFonts w:hint="eastAsia" w:eastAsia="宋体" w:cs="宋体"/>
                <w:b/>
                <w:bCs/>
                <w:color w:val="auto"/>
                <w:sz w:val="24"/>
                <w:szCs w:val="24"/>
                <w:highlight w:val="none"/>
                <w:lang w:val="en-US" w:eastAsia="zh-CN"/>
              </w:rPr>
              <w:t>5000</w:t>
            </w:r>
            <w:r>
              <w:rPr>
                <w:rFonts w:hint="eastAsia" w:ascii="宋体" w:hAnsi="宋体" w:eastAsia="宋体" w:cs="宋体"/>
                <w:b/>
                <w:bCs/>
                <w:color w:val="auto"/>
                <w:sz w:val="24"/>
                <w:szCs w:val="24"/>
                <w:highlight w:val="none"/>
              </w:rPr>
              <w:t>.00元</w:t>
            </w:r>
          </w:p>
          <w:p w14:paraId="0E113AEC">
            <w:pPr>
              <w:autoSpaceDE w:val="0"/>
              <w:autoSpaceDN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大写金额：</w:t>
            </w:r>
            <w:r>
              <w:rPr>
                <w:rFonts w:hint="eastAsia" w:eastAsia="宋体" w:cs="宋体"/>
                <w:b/>
                <w:bCs/>
                <w:color w:val="auto"/>
                <w:sz w:val="24"/>
                <w:szCs w:val="24"/>
                <w:highlight w:val="none"/>
                <w:lang w:val="en-US" w:eastAsia="zh-CN"/>
              </w:rPr>
              <w:t>伍仟</w:t>
            </w:r>
            <w:r>
              <w:rPr>
                <w:rFonts w:hint="eastAsia" w:ascii="宋体" w:hAnsi="宋体" w:eastAsia="宋体" w:cs="宋体"/>
                <w:b/>
                <w:bCs/>
                <w:color w:val="auto"/>
                <w:sz w:val="24"/>
                <w:szCs w:val="24"/>
                <w:highlight w:val="none"/>
                <w:lang w:val="en-US" w:eastAsia="zh-CN"/>
              </w:rPr>
              <w:t>元整</w:t>
            </w:r>
          </w:p>
          <w:p w14:paraId="454EEE41">
            <w:pPr>
              <w:autoSpaceDE w:val="0"/>
              <w:autoSpaceDN w:val="0"/>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收取单位：青海中旭工程项目管理有限公司</w:t>
            </w:r>
          </w:p>
          <w:p w14:paraId="496D8330">
            <w:pPr>
              <w:autoSpaceDE w:val="0"/>
              <w:autoSpaceDN w:val="0"/>
              <w:spacing w:line="360" w:lineRule="auto"/>
              <w:jc w:val="left"/>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rPr>
              <w:t>开户银行：中国农业银行股份有限公司西宁城西区万达</w:t>
            </w:r>
            <w:r>
              <w:rPr>
                <w:rFonts w:hint="eastAsia" w:ascii="宋体" w:hAnsi="宋体" w:eastAsia="宋体" w:cs="宋体"/>
                <w:color w:val="auto"/>
                <w:sz w:val="24"/>
                <w:szCs w:val="24"/>
                <w:highlight w:val="none"/>
                <w:lang w:val="en-US" w:eastAsia="zh-CN"/>
              </w:rPr>
              <w:t>广场支行</w:t>
            </w:r>
          </w:p>
          <w:p w14:paraId="0F6328A9">
            <w:pPr>
              <w:autoSpaceDE w:val="0"/>
              <w:autoSpaceDN w:val="0"/>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代理服务费账号：28043001040001791</w:t>
            </w:r>
          </w:p>
          <w:p w14:paraId="1E5BD907">
            <w:pPr>
              <w:autoSpaceDE w:val="0"/>
              <w:autoSpaceDN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（开户行号：103851004307）</w:t>
            </w:r>
          </w:p>
        </w:tc>
      </w:tr>
      <w:tr w14:paraId="722FC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7"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04C4247">
            <w:pPr>
              <w:numPr>
                <w:ilvl w:val="0"/>
                <w:numId w:val="3"/>
              </w:numPr>
              <w:autoSpaceDE w:val="0"/>
              <w:autoSpaceDN w:val="0"/>
              <w:spacing w:line="360" w:lineRule="auto"/>
              <w:jc w:val="left"/>
              <w:rPr>
                <w:rFonts w:hint="eastAsia" w:ascii="宋体" w:hAnsi="宋体" w:eastAsia="宋体" w:cs="宋体"/>
                <w:color w:val="auto"/>
                <w:sz w:val="24"/>
                <w:szCs w:val="24"/>
                <w:highlight w:val="none"/>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262C3B6">
            <w:pPr>
              <w:autoSpaceDE w:val="0"/>
              <w:autoSpaceDN w:val="0"/>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合同签订有效期</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A15BB63">
            <w:pPr>
              <w:autoSpaceDE w:val="0"/>
              <w:autoSpaceDN w:val="0"/>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自成交通知书发出之日起30日内与采购人签订合同</w:t>
            </w:r>
          </w:p>
        </w:tc>
      </w:tr>
      <w:tr w14:paraId="6954C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893"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19B474F">
            <w:pPr>
              <w:numPr>
                <w:ilvl w:val="0"/>
                <w:numId w:val="3"/>
              </w:numPr>
              <w:autoSpaceDE w:val="0"/>
              <w:autoSpaceDN w:val="0"/>
              <w:spacing w:line="360" w:lineRule="auto"/>
              <w:jc w:val="left"/>
              <w:rPr>
                <w:rFonts w:hint="eastAsia" w:ascii="宋体" w:hAnsi="宋体" w:eastAsia="宋体" w:cs="宋体"/>
                <w:color w:val="auto"/>
                <w:sz w:val="24"/>
                <w:szCs w:val="24"/>
                <w:highlight w:val="none"/>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EF2002E">
            <w:pPr>
              <w:autoSpaceDE w:val="0"/>
              <w:autoSpaceDN w:val="0"/>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政府采购合同备案</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09ACB59">
            <w:pPr>
              <w:autoSpaceDE w:val="0"/>
              <w:autoSpaceDN w:val="0"/>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采购合同全数返回采购代理机构鉴证，盖章。</w:t>
            </w:r>
          </w:p>
          <w:p w14:paraId="5F4549B3">
            <w:pPr>
              <w:autoSpaceDE w:val="0"/>
              <w:autoSpaceDN w:val="0"/>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采购代理机构留存</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val="zh-CN"/>
              </w:rPr>
              <w:t>份原件备案。</w:t>
            </w:r>
          </w:p>
        </w:tc>
      </w:tr>
      <w:tr w14:paraId="16199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7"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182247A">
            <w:pPr>
              <w:numPr>
                <w:ilvl w:val="0"/>
                <w:numId w:val="3"/>
              </w:numPr>
              <w:autoSpaceDE w:val="0"/>
              <w:autoSpaceDN w:val="0"/>
              <w:spacing w:line="360" w:lineRule="auto"/>
              <w:jc w:val="left"/>
              <w:rPr>
                <w:rFonts w:hint="eastAsia" w:ascii="宋体" w:hAnsi="宋体" w:eastAsia="宋体" w:cs="宋体"/>
                <w:color w:val="auto"/>
                <w:sz w:val="24"/>
                <w:szCs w:val="24"/>
                <w:highlight w:val="none"/>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E346521">
            <w:pPr>
              <w:autoSpaceDE w:val="0"/>
              <w:autoSpaceDN w:val="0"/>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磋商有效期</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F8988D8">
            <w:pPr>
              <w:autoSpaceDE w:val="0"/>
              <w:autoSpaceDN w:val="0"/>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磋商有效期为自磋商开始之日起60日历日</w:t>
            </w:r>
          </w:p>
        </w:tc>
      </w:tr>
      <w:tr w14:paraId="509F8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84"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73C09C5">
            <w:pPr>
              <w:numPr>
                <w:ilvl w:val="0"/>
                <w:numId w:val="3"/>
              </w:numPr>
              <w:autoSpaceDE w:val="0"/>
              <w:autoSpaceDN w:val="0"/>
              <w:spacing w:line="360" w:lineRule="auto"/>
              <w:jc w:val="left"/>
              <w:rPr>
                <w:rFonts w:hint="eastAsia" w:ascii="宋体" w:hAnsi="宋体" w:eastAsia="宋体" w:cs="宋体"/>
                <w:color w:val="auto"/>
                <w:sz w:val="24"/>
                <w:szCs w:val="24"/>
                <w:highlight w:val="none"/>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A5661FE">
            <w:pPr>
              <w:autoSpaceDE w:val="0"/>
              <w:autoSpaceDN w:val="0"/>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其他事项</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B24C179">
            <w:pPr>
              <w:autoSpaceDE w:val="0"/>
              <w:autoSpaceDN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bl>
    <w:p w14:paraId="70CA7EC1">
      <w:pPr>
        <w:spacing w:line="360" w:lineRule="auto"/>
        <w:jc w:val="left"/>
        <w:rPr>
          <w:rFonts w:hint="eastAsia" w:ascii="宋体" w:hAnsi="宋体" w:eastAsia="宋体" w:cs="宋体"/>
          <w:color w:val="auto"/>
          <w:sz w:val="24"/>
          <w:szCs w:val="24"/>
          <w:highlight w:val="none"/>
        </w:rPr>
      </w:pPr>
    </w:p>
    <w:bookmarkEnd w:id="6"/>
    <w:p w14:paraId="3B7737F2">
      <w:pPr>
        <w:pStyle w:val="20"/>
        <w:rPr>
          <w:rFonts w:hint="eastAsia" w:ascii="宋体" w:hAnsi="宋体" w:eastAsia="宋体" w:cs="宋体"/>
          <w:color w:val="auto"/>
          <w:kern w:val="28"/>
          <w:highlight w:val="none"/>
        </w:rPr>
      </w:pPr>
      <w:bookmarkStart w:id="18" w:name="_Toc495567940"/>
      <w:bookmarkStart w:id="19" w:name="_Toc495666257"/>
      <w:bookmarkStart w:id="20" w:name="_Toc325725997"/>
      <w:r>
        <w:rPr>
          <w:rFonts w:hint="eastAsia" w:ascii="宋体" w:hAnsi="宋体" w:eastAsia="宋体" w:cs="宋体"/>
          <w:color w:val="auto"/>
          <w:kern w:val="28"/>
          <w:highlight w:val="none"/>
        </w:rPr>
        <w:br w:type="page"/>
      </w:r>
      <w:bookmarkStart w:id="21" w:name="_Toc24529"/>
      <w:bookmarkStart w:id="22" w:name="_Toc3237"/>
      <w:bookmarkStart w:id="23" w:name="_Toc13839"/>
      <w:bookmarkStart w:id="24" w:name="_Toc26091"/>
      <w:bookmarkStart w:id="25" w:name="_Toc16642"/>
      <w:bookmarkStart w:id="26" w:name="_Toc12709"/>
      <w:r>
        <w:rPr>
          <w:rFonts w:hint="eastAsia" w:ascii="宋体" w:hAnsi="宋体" w:eastAsia="宋体" w:cs="宋体"/>
          <w:color w:val="auto"/>
          <w:kern w:val="28"/>
          <w:highlight w:val="none"/>
        </w:rPr>
        <w:t>第三部分 供应商须知</w:t>
      </w:r>
      <w:bookmarkEnd w:id="18"/>
      <w:bookmarkEnd w:id="19"/>
      <w:bookmarkEnd w:id="21"/>
      <w:bookmarkEnd w:id="22"/>
      <w:bookmarkEnd w:id="23"/>
      <w:bookmarkEnd w:id="24"/>
      <w:bookmarkEnd w:id="25"/>
      <w:bookmarkEnd w:id="26"/>
    </w:p>
    <w:p w14:paraId="6689577F">
      <w:pPr>
        <w:pStyle w:val="2"/>
        <w:rPr>
          <w:rFonts w:hint="eastAsia" w:ascii="宋体" w:hAnsi="宋体" w:eastAsia="宋体" w:cs="宋体"/>
          <w:color w:val="auto"/>
          <w:highlight w:val="none"/>
        </w:rPr>
      </w:pPr>
      <w:bookmarkStart w:id="27" w:name="_Toc9782"/>
      <w:bookmarkStart w:id="28" w:name="_Toc14943"/>
      <w:bookmarkStart w:id="29" w:name="_Toc27514"/>
      <w:bookmarkStart w:id="30" w:name="_Toc10822"/>
      <w:bookmarkStart w:id="31" w:name="_Toc25088"/>
      <w:bookmarkStart w:id="32" w:name="_Toc4558"/>
      <w:bookmarkStart w:id="33" w:name="_Toc376936728"/>
      <w:bookmarkStart w:id="34" w:name="_Toc16101"/>
      <w:bookmarkStart w:id="35" w:name="_Toc24622"/>
      <w:r>
        <w:rPr>
          <w:rFonts w:hint="eastAsia" w:ascii="宋体" w:hAnsi="宋体" w:eastAsia="宋体" w:cs="宋体"/>
          <w:color w:val="auto"/>
          <w:highlight w:val="none"/>
        </w:rPr>
        <w:t>一、说  明</w:t>
      </w:r>
      <w:bookmarkEnd w:id="20"/>
      <w:bookmarkEnd w:id="27"/>
      <w:bookmarkEnd w:id="28"/>
      <w:bookmarkEnd w:id="29"/>
      <w:bookmarkEnd w:id="30"/>
      <w:bookmarkEnd w:id="31"/>
      <w:bookmarkEnd w:id="32"/>
      <w:bookmarkEnd w:id="33"/>
      <w:bookmarkEnd w:id="34"/>
      <w:bookmarkEnd w:id="35"/>
    </w:p>
    <w:p w14:paraId="0266D6EF">
      <w:pPr>
        <w:pStyle w:val="3"/>
        <w:rPr>
          <w:rFonts w:hint="eastAsia" w:ascii="宋体" w:hAnsi="宋体" w:eastAsia="宋体" w:cs="宋体"/>
          <w:color w:val="auto"/>
          <w:highlight w:val="none"/>
        </w:rPr>
      </w:pPr>
      <w:bookmarkStart w:id="36" w:name="_Toc29862"/>
      <w:bookmarkStart w:id="37" w:name="_Toc10415"/>
      <w:bookmarkStart w:id="38" w:name="_Toc26944"/>
      <w:bookmarkStart w:id="39" w:name="_Toc4069"/>
      <w:bookmarkStart w:id="40" w:name="_Toc495666258"/>
      <w:bookmarkStart w:id="41" w:name="_Toc495567941"/>
      <w:bookmarkStart w:id="42" w:name="_Toc325725998"/>
      <w:bookmarkStart w:id="43" w:name="_Toc4801"/>
      <w:bookmarkStart w:id="44" w:name="_Toc376936729"/>
      <w:bookmarkStart w:id="45" w:name="_Toc6162"/>
      <w:bookmarkStart w:id="46" w:name="_Toc9770"/>
      <w:r>
        <w:rPr>
          <w:rFonts w:hint="eastAsia" w:ascii="宋体" w:hAnsi="宋体" w:eastAsia="宋体" w:cs="宋体"/>
          <w:color w:val="auto"/>
          <w:highlight w:val="none"/>
        </w:rPr>
        <w:t>1.适用范围</w:t>
      </w:r>
      <w:bookmarkEnd w:id="36"/>
      <w:bookmarkEnd w:id="37"/>
      <w:bookmarkEnd w:id="38"/>
      <w:bookmarkEnd w:id="39"/>
      <w:bookmarkEnd w:id="40"/>
      <w:bookmarkEnd w:id="41"/>
      <w:bookmarkEnd w:id="42"/>
      <w:bookmarkEnd w:id="43"/>
      <w:bookmarkEnd w:id="44"/>
      <w:bookmarkEnd w:id="45"/>
      <w:bookmarkEnd w:id="46"/>
    </w:p>
    <w:p w14:paraId="21664844">
      <w:pPr>
        <w:spacing w:line="360" w:lineRule="auto"/>
        <w:ind w:firstLine="480" w:firstLineChars="200"/>
        <w:jc w:val="left"/>
        <w:rPr>
          <w:rFonts w:hint="eastAsia" w:ascii="宋体" w:hAnsi="宋体" w:eastAsia="宋体" w:cs="宋体"/>
          <w:color w:val="auto"/>
          <w:sz w:val="24"/>
          <w:szCs w:val="24"/>
          <w:highlight w:val="none"/>
          <w:lang w:val="zh-CN"/>
        </w:rPr>
      </w:pPr>
      <w:bookmarkStart w:id="47" w:name="_Toc376936730"/>
      <w:bookmarkStart w:id="48" w:name="_Toc325725999"/>
      <w:bookmarkStart w:id="49" w:name="_Toc21998"/>
      <w:bookmarkStart w:id="50" w:name="_Toc31556"/>
      <w:r>
        <w:rPr>
          <w:rFonts w:hint="eastAsia" w:ascii="宋体" w:hAnsi="宋体" w:eastAsia="宋体" w:cs="宋体"/>
          <w:color w:val="auto"/>
          <w:sz w:val="24"/>
          <w:szCs w:val="24"/>
          <w:highlight w:val="none"/>
          <w:lang w:val="zh-CN"/>
        </w:rPr>
        <w:t>1.1本次磋商活动依据采购人的采购计划，仅适用于本磋商文件中所叙述的项目。</w:t>
      </w:r>
    </w:p>
    <w:p w14:paraId="5EA90BFA">
      <w:pPr>
        <w:pStyle w:val="3"/>
        <w:rPr>
          <w:rFonts w:hint="eastAsia" w:ascii="宋体" w:hAnsi="宋体" w:eastAsia="宋体" w:cs="宋体"/>
          <w:color w:val="auto"/>
          <w:highlight w:val="none"/>
        </w:rPr>
      </w:pPr>
      <w:bookmarkStart w:id="51" w:name="_Toc495666259"/>
      <w:bookmarkStart w:id="52" w:name="_Toc495567942"/>
      <w:bookmarkStart w:id="53" w:name="_Toc3225"/>
      <w:bookmarkStart w:id="54" w:name="_Toc8780"/>
      <w:bookmarkStart w:id="55" w:name="_Toc3862"/>
      <w:bookmarkStart w:id="56" w:name="_Toc21280"/>
      <w:bookmarkStart w:id="57" w:name="_Toc6012"/>
      <w:r>
        <w:rPr>
          <w:rFonts w:hint="eastAsia" w:ascii="宋体" w:hAnsi="宋体" w:eastAsia="宋体" w:cs="宋体"/>
          <w:color w:val="auto"/>
          <w:highlight w:val="none"/>
        </w:rPr>
        <w:t>2.采购方式、合格的</w:t>
      </w:r>
      <w:bookmarkEnd w:id="47"/>
      <w:bookmarkEnd w:id="48"/>
      <w:bookmarkEnd w:id="49"/>
      <w:r>
        <w:rPr>
          <w:rFonts w:hint="eastAsia" w:ascii="宋体" w:hAnsi="宋体" w:eastAsia="宋体" w:cs="宋体"/>
          <w:color w:val="auto"/>
          <w:highlight w:val="none"/>
        </w:rPr>
        <w:t>供应商</w:t>
      </w:r>
      <w:bookmarkEnd w:id="50"/>
      <w:bookmarkEnd w:id="51"/>
      <w:bookmarkEnd w:id="52"/>
      <w:bookmarkEnd w:id="53"/>
      <w:bookmarkEnd w:id="54"/>
      <w:bookmarkEnd w:id="55"/>
      <w:bookmarkEnd w:id="56"/>
      <w:bookmarkEnd w:id="57"/>
    </w:p>
    <w:p w14:paraId="149C5236">
      <w:pPr>
        <w:tabs>
          <w:tab w:val="left" w:pos="840"/>
        </w:tabs>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2.1本次采购采取竞争性磋商。</w:t>
      </w:r>
    </w:p>
    <w:p w14:paraId="307539EA">
      <w:pPr>
        <w:tabs>
          <w:tab w:val="left" w:pos="840"/>
        </w:tabs>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2.2合格的供应商：详见第一部分“供应商资格条件”。</w:t>
      </w:r>
    </w:p>
    <w:p w14:paraId="321900F9">
      <w:pPr>
        <w:pStyle w:val="3"/>
        <w:rPr>
          <w:rFonts w:hint="eastAsia" w:ascii="宋体" w:hAnsi="宋体" w:eastAsia="宋体" w:cs="宋体"/>
          <w:color w:val="auto"/>
          <w:highlight w:val="none"/>
        </w:rPr>
      </w:pPr>
      <w:bookmarkStart w:id="58" w:name="_Toc495567943"/>
      <w:bookmarkStart w:id="59" w:name="_Toc325726000"/>
      <w:bookmarkStart w:id="60" w:name="_Toc10317"/>
      <w:bookmarkStart w:id="61" w:name="_Toc17736"/>
      <w:bookmarkStart w:id="62" w:name="_Toc8805"/>
      <w:bookmarkStart w:id="63" w:name="_Toc4392"/>
      <w:bookmarkStart w:id="64" w:name="_Toc376936731"/>
      <w:bookmarkStart w:id="65" w:name="_Toc28381"/>
      <w:bookmarkStart w:id="66" w:name="_Toc495666260"/>
      <w:bookmarkStart w:id="67" w:name="_Toc8820"/>
      <w:bookmarkStart w:id="68" w:name="_Toc9402"/>
      <w:r>
        <w:rPr>
          <w:rFonts w:hint="eastAsia" w:ascii="宋体" w:hAnsi="宋体" w:eastAsia="宋体" w:cs="宋体"/>
          <w:color w:val="auto"/>
          <w:highlight w:val="none"/>
        </w:rPr>
        <w:t>3.磋商费用</w:t>
      </w:r>
      <w:bookmarkEnd w:id="58"/>
      <w:bookmarkEnd w:id="59"/>
      <w:bookmarkEnd w:id="60"/>
      <w:bookmarkEnd w:id="61"/>
      <w:bookmarkEnd w:id="62"/>
      <w:bookmarkEnd w:id="63"/>
      <w:bookmarkEnd w:id="64"/>
      <w:bookmarkEnd w:id="65"/>
      <w:bookmarkEnd w:id="66"/>
      <w:bookmarkEnd w:id="67"/>
      <w:bookmarkEnd w:id="68"/>
    </w:p>
    <w:p w14:paraId="34EE9449">
      <w:pPr>
        <w:tabs>
          <w:tab w:val="left" w:pos="840"/>
        </w:tabs>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供应商应自愿承担与参加本次磋商有关的费用。采购代理机构对供应商发生的费用不承担任何责任。</w:t>
      </w:r>
      <w:bookmarkStart w:id="69" w:name="_Toc18155"/>
      <w:bookmarkStart w:id="70" w:name="_Toc325726001"/>
      <w:bookmarkStart w:id="71" w:name="_Toc376936732"/>
    </w:p>
    <w:p w14:paraId="01C03BE5">
      <w:pPr>
        <w:pStyle w:val="2"/>
        <w:rPr>
          <w:rFonts w:hint="eastAsia" w:ascii="宋体" w:hAnsi="宋体" w:eastAsia="宋体" w:cs="宋体"/>
          <w:color w:val="auto"/>
          <w:highlight w:val="none"/>
          <w:lang w:val="zh-CN"/>
        </w:rPr>
      </w:pPr>
      <w:bookmarkStart w:id="72" w:name="_Toc23474"/>
      <w:bookmarkStart w:id="73" w:name="_Toc10686"/>
      <w:bookmarkStart w:id="74" w:name="_Toc9067"/>
      <w:bookmarkStart w:id="75" w:name="_Toc3406"/>
      <w:bookmarkStart w:id="76" w:name="_Toc14238"/>
      <w:bookmarkStart w:id="77" w:name="_Toc17716"/>
      <w:r>
        <w:rPr>
          <w:rFonts w:hint="eastAsia" w:ascii="宋体" w:hAnsi="宋体" w:eastAsia="宋体" w:cs="宋体"/>
          <w:color w:val="auto"/>
          <w:highlight w:val="none"/>
          <w:lang w:val="zh-CN"/>
        </w:rPr>
        <w:t>二、磋商文件说明</w:t>
      </w:r>
      <w:bookmarkEnd w:id="69"/>
      <w:bookmarkEnd w:id="70"/>
      <w:bookmarkEnd w:id="71"/>
      <w:bookmarkEnd w:id="72"/>
      <w:bookmarkEnd w:id="73"/>
      <w:bookmarkEnd w:id="74"/>
      <w:bookmarkEnd w:id="75"/>
      <w:bookmarkEnd w:id="76"/>
      <w:bookmarkEnd w:id="77"/>
    </w:p>
    <w:p w14:paraId="66005A56">
      <w:pPr>
        <w:pStyle w:val="3"/>
        <w:rPr>
          <w:rFonts w:hint="eastAsia" w:ascii="宋体" w:hAnsi="宋体" w:eastAsia="宋体" w:cs="宋体"/>
          <w:color w:val="auto"/>
          <w:highlight w:val="none"/>
        </w:rPr>
      </w:pPr>
      <w:bookmarkStart w:id="78" w:name="_Toc495666261"/>
      <w:bookmarkStart w:id="79" w:name="_Toc15063"/>
      <w:bookmarkStart w:id="80" w:name="_Toc495567944"/>
      <w:bookmarkStart w:id="81" w:name="_Toc325726002"/>
      <w:bookmarkStart w:id="82" w:name="_Toc14931"/>
      <w:bookmarkStart w:id="83" w:name="_Toc14153"/>
      <w:bookmarkStart w:id="84" w:name="_Toc376936733"/>
      <w:bookmarkStart w:id="85" w:name="_Toc14225"/>
      <w:bookmarkStart w:id="86" w:name="_Toc771"/>
      <w:bookmarkStart w:id="87" w:name="_Toc25704"/>
      <w:bookmarkStart w:id="88" w:name="_Toc10649"/>
      <w:r>
        <w:rPr>
          <w:rFonts w:hint="eastAsia" w:ascii="宋体" w:hAnsi="宋体" w:eastAsia="宋体" w:cs="宋体"/>
          <w:color w:val="auto"/>
          <w:highlight w:val="none"/>
        </w:rPr>
        <w:t>4.磋商文件的构成</w:t>
      </w:r>
      <w:bookmarkEnd w:id="78"/>
      <w:bookmarkEnd w:id="79"/>
      <w:bookmarkEnd w:id="80"/>
      <w:bookmarkEnd w:id="81"/>
      <w:bookmarkEnd w:id="82"/>
      <w:bookmarkEnd w:id="83"/>
      <w:bookmarkEnd w:id="84"/>
      <w:bookmarkEnd w:id="85"/>
      <w:bookmarkEnd w:id="86"/>
      <w:bookmarkEnd w:id="87"/>
      <w:bookmarkEnd w:id="88"/>
    </w:p>
    <w:p w14:paraId="420234BB">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4.1磋商文件包括：</w:t>
      </w:r>
    </w:p>
    <w:p w14:paraId="0004F993">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（1）竞争性磋商公告</w:t>
      </w:r>
    </w:p>
    <w:p w14:paraId="3C133334">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供应商须知前附表</w:t>
      </w:r>
    </w:p>
    <w:p w14:paraId="6B57F658">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（3）供应商须知</w:t>
      </w:r>
    </w:p>
    <w:p w14:paraId="729F6DD3">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（4）采购项目合同书</w:t>
      </w:r>
    </w:p>
    <w:p w14:paraId="3E2BF47C">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（5）响应文件格式（相关附件）</w:t>
      </w:r>
    </w:p>
    <w:p w14:paraId="5F53393A">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（6）采购项目服务要求</w:t>
      </w:r>
    </w:p>
    <w:p w14:paraId="26AB124F">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（7）磋商过程中发生的澄清、变更和补充文件</w:t>
      </w:r>
    </w:p>
    <w:p w14:paraId="1CAD0F44">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4.2供应商应认真阅读磋商文件中列示的事项、格式、条款和要求等内容。如果供应商未按磋商文件要求提交全部资料，或者对磋商文件未作出实质性响应的，将视为无效响应。</w:t>
      </w:r>
    </w:p>
    <w:p w14:paraId="4577E06C">
      <w:pPr>
        <w:pStyle w:val="3"/>
        <w:rPr>
          <w:rFonts w:hint="eastAsia" w:ascii="宋体" w:hAnsi="宋体" w:eastAsia="宋体" w:cs="宋体"/>
          <w:color w:val="auto"/>
          <w:highlight w:val="none"/>
        </w:rPr>
      </w:pPr>
      <w:bookmarkStart w:id="89" w:name="_Toc325726003"/>
      <w:bookmarkStart w:id="90" w:name="_Toc376936734"/>
      <w:bookmarkStart w:id="91" w:name="_Toc6482"/>
      <w:bookmarkStart w:id="92" w:name="_Toc9720"/>
      <w:bookmarkStart w:id="93" w:name="_Toc3451"/>
      <w:bookmarkStart w:id="94" w:name="_Toc5235"/>
      <w:bookmarkStart w:id="95" w:name="_Toc495567945"/>
      <w:bookmarkStart w:id="96" w:name="_Toc16793"/>
      <w:bookmarkStart w:id="97" w:name="_Toc495666262"/>
      <w:bookmarkStart w:id="98" w:name="_Toc19933"/>
      <w:bookmarkStart w:id="99" w:name="_Toc3574"/>
      <w:r>
        <w:rPr>
          <w:rFonts w:hint="eastAsia" w:ascii="宋体" w:hAnsi="宋体" w:eastAsia="宋体" w:cs="宋体"/>
          <w:color w:val="auto"/>
          <w:highlight w:val="none"/>
        </w:rPr>
        <w:t>5.磋商文件的</w:t>
      </w:r>
      <w:bookmarkEnd w:id="89"/>
      <w:bookmarkEnd w:id="90"/>
      <w:r>
        <w:rPr>
          <w:rFonts w:hint="eastAsia" w:ascii="宋体" w:hAnsi="宋体" w:eastAsia="宋体" w:cs="宋体"/>
          <w:color w:val="auto"/>
          <w:highlight w:val="none"/>
        </w:rPr>
        <w:t>质疑</w:t>
      </w:r>
      <w:bookmarkEnd w:id="91"/>
      <w:bookmarkEnd w:id="92"/>
      <w:bookmarkEnd w:id="93"/>
      <w:bookmarkEnd w:id="94"/>
      <w:bookmarkEnd w:id="95"/>
      <w:bookmarkEnd w:id="96"/>
      <w:bookmarkEnd w:id="97"/>
      <w:bookmarkEnd w:id="98"/>
      <w:bookmarkEnd w:id="99"/>
    </w:p>
    <w:p w14:paraId="664EEC4C">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供应商对磋商文件有异议的，应在提交首次响应文件截止时间至少3日前以书面形式（邮寄）提出（不接受匿名质疑），采购代理机构在收到供应商的书面质疑后视情况予以答复，并将变更事宜在</w:t>
      </w:r>
      <w:r>
        <w:rPr>
          <w:rFonts w:hint="eastAsia" w:ascii="宋体" w:hAnsi="宋体" w:eastAsia="宋体" w:cs="宋体"/>
          <w:color w:val="auto"/>
          <w:sz w:val="24"/>
          <w:szCs w:val="24"/>
          <w:highlight w:val="none"/>
          <w:lang w:val="en-US" w:eastAsia="zh-CN"/>
        </w:rPr>
        <w:t>《青海项目信息网》、《中国采购与招标网》</w:t>
      </w:r>
      <w:r>
        <w:rPr>
          <w:rFonts w:hint="eastAsia" w:ascii="宋体" w:hAnsi="宋体" w:eastAsia="宋体" w:cs="宋体"/>
          <w:color w:val="auto"/>
          <w:sz w:val="24"/>
          <w:szCs w:val="24"/>
          <w:highlight w:val="none"/>
        </w:rPr>
        <w:t>上发布公告，告知本项目的所有潜在供应商。</w:t>
      </w:r>
    </w:p>
    <w:p w14:paraId="4E46BE51">
      <w:pPr>
        <w:pStyle w:val="3"/>
        <w:rPr>
          <w:rFonts w:hint="eastAsia" w:ascii="宋体" w:hAnsi="宋体" w:eastAsia="宋体" w:cs="宋体"/>
          <w:color w:val="auto"/>
          <w:szCs w:val="24"/>
          <w:highlight w:val="none"/>
        </w:rPr>
      </w:pPr>
      <w:bookmarkStart w:id="100" w:name="_Toc29772"/>
      <w:bookmarkStart w:id="101" w:name="_Toc325726004"/>
      <w:bookmarkStart w:id="102" w:name="_Toc26515"/>
      <w:bookmarkStart w:id="103" w:name="_Toc21821"/>
      <w:bookmarkStart w:id="104" w:name="_Toc13050"/>
      <w:bookmarkStart w:id="105" w:name="_Toc495567946"/>
      <w:bookmarkStart w:id="106" w:name="_Toc1452"/>
      <w:bookmarkStart w:id="107" w:name="_Toc3484"/>
      <w:bookmarkStart w:id="108" w:name="_Toc376936735"/>
      <w:bookmarkStart w:id="109" w:name="_Toc31827"/>
      <w:bookmarkStart w:id="110" w:name="_Toc495666263"/>
      <w:r>
        <w:rPr>
          <w:rFonts w:hint="eastAsia" w:ascii="宋体" w:hAnsi="宋体" w:eastAsia="宋体" w:cs="宋体"/>
          <w:color w:val="auto"/>
          <w:szCs w:val="24"/>
          <w:highlight w:val="none"/>
        </w:rPr>
        <w:t>6.磋商文件的澄清、修改</w:t>
      </w:r>
      <w:bookmarkEnd w:id="100"/>
      <w:bookmarkEnd w:id="101"/>
      <w:bookmarkEnd w:id="102"/>
      <w:bookmarkEnd w:id="103"/>
      <w:bookmarkEnd w:id="104"/>
      <w:bookmarkEnd w:id="105"/>
      <w:bookmarkEnd w:id="106"/>
      <w:bookmarkEnd w:id="107"/>
      <w:bookmarkEnd w:id="108"/>
      <w:bookmarkEnd w:id="109"/>
      <w:bookmarkEnd w:id="110"/>
    </w:p>
    <w:p w14:paraId="4CF9F48A">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w:t>
      </w:r>
      <w:r>
        <w:rPr>
          <w:rFonts w:hint="eastAsia" w:ascii="宋体" w:hAnsi="宋体" w:eastAsia="宋体" w:cs="宋体"/>
          <w:snapToGrid w:val="0"/>
          <w:color w:val="auto"/>
          <w:sz w:val="24"/>
          <w:szCs w:val="24"/>
          <w:highlight w:val="none"/>
        </w:rPr>
        <w:t>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5日前，以书面形式通知所有获取磋商文件的供应商；不足5日的，采购代理机构应当顺延提交首次响应文件截止时间。</w:t>
      </w:r>
    </w:p>
    <w:p w14:paraId="5B7F6A2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在提交响应文件截止时间前，采购代理机构可以视采购具体情况，延长提交响应文件截止时间和开启时间，并在磋商文件中要求的提交响应文件截止时间和开启时间的三日前，将变更公告发布在磋商公告同一媒介。</w:t>
      </w:r>
      <w:bookmarkStart w:id="111" w:name="_Toc376936736"/>
      <w:bookmarkStart w:id="112" w:name="_Toc325726005"/>
      <w:bookmarkStart w:id="113" w:name="_Toc23340"/>
    </w:p>
    <w:p w14:paraId="37BFAF4B">
      <w:pPr>
        <w:pStyle w:val="2"/>
        <w:rPr>
          <w:rFonts w:hint="eastAsia" w:ascii="宋体" w:hAnsi="宋体" w:eastAsia="宋体" w:cs="宋体"/>
          <w:color w:val="auto"/>
          <w:highlight w:val="none"/>
        </w:rPr>
      </w:pPr>
      <w:bookmarkStart w:id="114" w:name="_Toc17842"/>
      <w:bookmarkStart w:id="115" w:name="_Toc21406"/>
      <w:bookmarkStart w:id="116" w:name="_Toc827"/>
      <w:bookmarkStart w:id="117" w:name="_Toc2872"/>
      <w:bookmarkStart w:id="118" w:name="_Toc16601"/>
      <w:bookmarkStart w:id="119" w:name="_Toc9495"/>
      <w:r>
        <w:rPr>
          <w:rFonts w:hint="eastAsia" w:ascii="宋体" w:hAnsi="宋体" w:eastAsia="宋体" w:cs="宋体"/>
          <w:color w:val="auto"/>
          <w:highlight w:val="none"/>
        </w:rPr>
        <w:t>三、响应文件的编制</w:t>
      </w:r>
      <w:bookmarkEnd w:id="111"/>
      <w:bookmarkEnd w:id="112"/>
      <w:bookmarkEnd w:id="113"/>
      <w:bookmarkEnd w:id="114"/>
      <w:bookmarkEnd w:id="115"/>
      <w:bookmarkEnd w:id="116"/>
      <w:bookmarkEnd w:id="117"/>
      <w:bookmarkEnd w:id="118"/>
      <w:bookmarkEnd w:id="119"/>
    </w:p>
    <w:p w14:paraId="3A74F26E">
      <w:pPr>
        <w:pStyle w:val="3"/>
        <w:rPr>
          <w:rFonts w:hint="eastAsia" w:ascii="宋体" w:hAnsi="宋体" w:eastAsia="宋体" w:cs="宋体"/>
          <w:color w:val="auto"/>
          <w:highlight w:val="none"/>
        </w:rPr>
      </w:pPr>
      <w:bookmarkStart w:id="120" w:name="_Toc11086"/>
      <w:bookmarkStart w:id="121" w:name="_Toc9674"/>
      <w:bookmarkStart w:id="122" w:name="_Toc376936737"/>
      <w:bookmarkStart w:id="123" w:name="_Toc13057"/>
      <w:bookmarkStart w:id="124" w:name="_Toc12260"/>
      <w:bookmarkStart w:id="125" w:name="_Toc5438"/>
      <w:bookmarkStart w:id="126" w:name="_Toc325726006"/>
      <w:bookmarkStart w:id="127" w:name="_Toc30951"/>
      <w:bookmarkStart w:id="128" w:name="_Toc495567947"/>
      <w:bookmarkStart w:id="129" w:name="_Toc495666264"/>
      <w:bookmarkStart w:id="130" w:name="_Toc25531"/>
      <w:r>
        <w:rPr>
          <w:rFonts w:hint="eastAsia" w:ascii="宋体" w:hAnsi="宋体" w:eastAsia="宋体" w:cs="宋体"/>
          <w:color w:val="auto"/>
          <w:highlight w:val="none"/>
        </w:rPr>
        <w:t>7.响应文件的语言及度量衡单位</w:t>
      </w:r>
      <w:bookmarkEnd w:id="120"/>
      <w:bookmarkEnd w:id="121"/>
      <w:bookmarkEnd w:id="122"/>
      <w:bookmarkEnd w:id="123"/>
      <w:bookmarkEnd w:id="124"/>
      <w:bookmarkEnd w:id="125"/>
      <w:bookmarkEnd w:id="126"/>
      <w:bookmarkEnd w:id="127"/>
      <w:bookmarkEnd w:id="128"/>
      <w:bookmarkEnd w:id="129"/>
      <w:bookmarkEnd w:id="130"/>
    </w:p>
    <w:p w14:paraId="6813046E">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7.1供应商提交的响应文件以及供应商与采购代理机构就此磋商发生的所有来往函电均应使用简体中文。</w:t>
      </w:r>
    </w:p>
    <w:p w14:paraId="047591EB">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 除磋商文件中另有规定外，响应文件所使用的度量衡单位，均须采用国家法定计量单位。</w:t>
      </w:r>
    </w:p>
    <w:p w14:paraId="3AB2557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7.3附有外文资料的，须翻译成中文并加盖供应商公章，如果翻译的中文资料与外文资料存在差异和矛盾时，以中文资料为准。其准确性由供应商负责。</w:t>
      </w:r>
    </w:p>
    <w:p w14:paraId="5C6FD596">
      <w:pPr>
        <w:pStyle w:val="3"/>
        <w:rPr>
          <w:rFonts w:hint="eastAsia" w:ascii="宋体" w:hAnsi="宋体" w:eastAsia="宋体" w:cs="宋体"/>
          <w:color w:val="auto"/>
          <w:highlight w:val="none"/>
        </w:rPr>
      </w:pPr>
      <w:bookmarkStart w:id="131" w:name="_Toc17093"/>
      <w:bookmarkStart w:id="132" w:name="_Toc495567948"/>
      <w:bookmarkStart w:id="133" w:name="_Toc21569"/>
      <w:bookmarkStart w:id="134" w:name="_Toc8155"/>
      <w:bookmarkStart w:id="135" w:name="_Toc14844"/>
      <w:bookmarkStart w:id="136" w:name="_Toc29754"/>
      <w:bookmarkStart w:id="137" w:name="_Toc4187"/>
      <w:bookmarkStart w:id="138" w:name="_Toc325726012"/>
      <w:bookmarkStart w:id="139" w:name="_Toc376936743"/>
      <w:bookmarkStart w:id="140" w:name="_Toc11426"/>
      <w:bookmarkStart w:id="141" w:name="_Toc495666265"/>
      <w:r>
        <w:rPr>
          <w:rFonts w:hint="eastAsia" w:ascii="宋体" w:hAnsi="宋体" w:eastAsia="宋体" w:cs="宋体"/>
          <w:color w:val="auto"/>
          <w:highlight w:val="none"/>
        </w:rPr>
        <w:t>8.磋商保证金</w:t>
      </w:r>
      <w:bookmarkEnd w:id="131"/>
      <w:bookmarkEnd w:id="132"/>
      <w:bookmarkEnd w:id="133"/>
      <w:bookmarkEnd w:id="134"/>
      <w:bookmarkEnd w:id="135"/>
      <w:bookmarkEnd w:id="136"/>
      <w:bookmarkEnd w:id="137"/>
      <w:bookmarkEnd w:id="138"/>
      <w:bookmarkEnd w:id="139"/>
      <w:bookmarkEnd w:id="140"/>
      <w:bookmarkEnd w:id="141"/>
    </w:p>
    <w:p w14:paraId="51659E56">
      <w:pPr>
        <w:autoSpaceDE w:val="0"/>
        <w:autoSpaceDN w:val="0"/>
        <w:spacing w:line="360" w:lineRule="auto"/>
        <w:ind w:firstLine="480" w:firstLineChars="20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zh-CN"/>
        </w:rPr>
        <w:t>.1供应商须在磋商文件开启时间前缴纳磋商保证金；未成交供应商的磋商保证金在成交通知书发出后5个工作日内退还，成交供应商的磋商保证金在采购合同签订后5个工作日内退还。</w:t>
      </w:r>
    </w:p>
    <w:p w14:paraId="5E3C6DC0">
      <w:pPr>
        <w:autoSpaceDE w:val="0"/>
        <w:autoSpaceDN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8.2磋商保证金由供应商的基本账户以转款方式直接缴入“青海中旭工程项目管理有限公司”指定账户</w:t>
      </w:r>
      <w:r>
        <w:rPr>
          <w:rFonts w:hint="eastAsia" w:ascii="宋体" w:hAnsi="宋体" w:eastAsia="宋体" w:cs="宋体"/>
          <w:color w:val="auto"/>
          <w:sz w:val="24"/>
          <w:szCs w:val="24"/>
          <w:highlight w:val="none"/>
        </w:rPr>
        <w:t>。</w:t>
      </w:r>
    </w:p>
    <w:p w14:paraId="26FD08F8">
      <w:pPr>
        <w:autoSpaceDE w:val="0"/>
        <w:autoSpaceDN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8.3有下列情形之一的，磋商保证金不予退还：</w:t>
      </w:r>
    </w:p>
    <w:p w14:paraId="287AE49C">
      <w:pPr>
        <w:autoSpaceDE w:val="0"/>
        <w:autoSpaceDN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（1）供应商在提交响应文件截止时间后撤回响应文件的；</w:t>
      </w:r>
    </w:p>
    <w:p w14:paraId="5895FAC1">
      <w:pPr>
        <w:autoSpaceDE w:val="0"/>
        <w:autoSpaceDN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（2）供应商在响应文件中提供虚假材料的；</w:t>
      </w:r>
    </w:p>
    <w:p w14:paraId="56BDB0B1">
      <w:pPr>
        <w:autoSpaceDE w:val="0"/>
        <w:autoSpaceDN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（3）除因不可抗力或磋商文件认可的情形以外，成交供应商不与采购人签订合同的；</w:t>
      </w:r>
    </w:p>
    <w:p w14:paraId="3B8BE9DC">
      <w:pPr>
        <w:autoSpaceDE w:val="0"/>
        <w:autoSpaceDN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（4）供应商与采购人、其他供应商或者采购代理机构恶意串通的；</w:t>
      </w:r>
    </w:p>
    <w:p w14:paraId="78B3B6F6">
      <w:pPr>
        <w:autoSpaceDE w:val="0"/>
        <w:autoSpaceDN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（5）磋商文件规定的其他情形。</w:t>
      </w:r>
    </w:p>
    <w:p w14:paraId="77D23A9B">
      <w:pPr>
        <w:pStyle w:val="3"/>
        <w:rPr>
          <w:rFonts w:hint="eastAsia" w:ascii="宋体" w:hAnsi="宋体" w:eastAsia="宋体" w:cs="宋体"/>
          <w:color w:val="auto"/>
          <w:highlight w:val="none"/>
        </w:rPr>
      </w:pPr>
      <w:bookmarkStart w:id="142" w:name="_Toc376936744"/>
      <w:bookmarkStart w:id="143" w:name="_Toc12375"/>
      <w:bookmarkStart w:id="144" w:name="_Toc25550"/>
      <w:bookmarkStart w:id="145" w:name="_Toc1565"/>
      <w:bookmarkStart w:id="146" w:name="_Toc23692"/>
      <w:bookmarkStart w:id="147" w:name="_Toc495666266"/>
      <w:bookmarkStart w:id="148" w:name="_Toc22044"/>
      <w:bookmarkStart w:id="149" w:name="_Toc495567949"/>
      <w:bookmarkStart w:id="150" w:name="_Toc27692"/>
      <w:bookmarkStart w:id="151" w:name="_Toc325726013"/>
      <w:bookmarkStart w:id="152" w:name="_Toc32704"/>
      <w:r>
        <w:rPr>
          <w:rFonts w:hint="eastAsia" w:ascii="宋体" w:hAnsi="宋体" w:eastAsia="宋体" w:cs="宋体"/>
          <w:color w:val="auto"/>
          <w:highlight w:val="none"/>
        </w:rPr>
        <w:t>9.磋商有效期</w:t>
      </w:r>
      <w:bookmarkEnd w:id="142"/>
      <w:bookmarkEnd w:id="143"/>
      <w:bookmarkEnd w:id="144"/>
      <w:bookmarkEnd w:id="145"/>
      <w:bookmarkEnd w:id="146"/>
      <w:bookmarkEnd w:id="147"/>
      <w:bookmarkEnd w:id="148"/>
      <w:bookmarkEnd w:id="149"/>
      <w:bookmarkEnd w:id="150"/>
      <w:bookmarkEnd w:id="151"/>
      <w:bookmarkEnd w:id="152"/>
    </w:p>
    <w:p w14:paraId="4359FD8A">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 磋商有效期为自磋商开始之日起60日历日。</w:t>
      </w:r>
    </w:p>
    <w:p w14:paraId="2653F08C">
      <w:pPr>
        <w:pStyle w:val="3"/>
        <w:rPr>
          <w:rFonts w:hint="eastAsia" w:ascii="宋体" w:hAnsi="宋体" w:eastAsia="宋体" w:cs="宋体"/>
          <w:color w:val="auto"/>
          <w:highlight w:val="none"/>
        </w:rPr>
      </w:pPr>
      <w:bookmarkStart w:id="153" w:name="_Toc16445"/>
      <w:bookmarkStart w:id="154" w:name="_Toc9321"/>
      <w:bookmarkStart w:id="155" w:name="_Toc325726008"/>
      <w:bookmarkStart w:id="156" w:name="_Toc22217"/>
      <w:bookmarkStart w:id="157" w:name="_Toc19708"/>
      <w:bookmarkStart w:id="158" w:name="_Toc495567950"/>
      <w:bookmarkStart w:id="159" w:name="_Toc31915"/>
      <w:bookmarkStart w:id="160" w:name="_Toc495666267"/>
      <w:bookmarkStart w:id="161" w:name="_Toc7850"/>
      <w:bookmarkStart w:id="162" w:name="_Toc4717"/>
      <w:bookmarkStart w:id="163" w:name="_Toc376936739"/>
      <w:r>
        <w:rPr>
          <w:rFonts w:hint="eastAsia" w:ascii="宋体" w:hAnsi="宋体" w:eastAsia="宋体" w:cs="宋体"/>
          <w:color w:val="auto"/>
          <w:highlight w:val="none"/>
        </w:rPr>
        <w:t>10.响应文件构成</w:t>
      </w:r>
      <w:bookmarkEnd w:id="153"/>
      <w:bookmarkEnd w:id="154"/>
      <w:bookmarkEnd w:id="155"/>
      <w:bookmarkEnd w:id="156"/>
      <w:bookmarkEnd w:id="157"/>
      <w:bookmarkEnd w:id="158"/>
      <w:bookmarkEnd w:id="159"/>
      <w:bookmarkEnd w:id="160"/>
      <w:bookmarkEnd w:id="161"/>
      <w:bookmarkEnd w:id="162"/>
      <w:bookmarkEnd w:id="163"/>
    </w:p>
    <w:p w14:paraId="3D419A1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供应商应提交相关证明材料，作为其参加磋商和成交后有能力履行合同的证明。编写的响应文件须包括以下内容（格式详见磋商文件第五部分内容）：</w:t>
      </w:r>
    </w:p>
    <w:p w14:paraId="51B27908">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10.1.1磋商响应文件；</w:t>
      </w:r>
    </w:p>
    <w:p w14:paraId="5ED19F2D">
      <w:pPr>
        <w:pStyle w:val="44"/>
        <w:keepNext w:val="0"/>
        <w:keepLines w:val="0"/>
        <w:pageBreakBefore w:val="0"/>
        <w:tabs>
          <w:tab w:val="right" w:leader="dot" w:pos="8306"/>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highlight w:val="none"/>
          <w:lang w:val="zh-CN"/>
        </w:rPr>
      </w:pPr>
      <w:r>
        <w:rPr>
          <w:rFonts w:hint="eastAsia" w:ascii="宋体" w:hAnsi="宋体" w:eastAsia="宋体" w:cs="宋体"/>
          <w:color w:val="auto"/>
          <w:sz w:val="24"/>
          <w:szCs w:val="22"/>
          <w:highlight w:val="none"/>
        </w:rPr>
        <w:fldChar w:fldCharType="begin"/>
      </w:r>
      <w:r>
        <w:rPr>
          <w:rFonts w:hint="eastAsia" w:ascii="宋体" w:hAnsi="宋体" w:eastAsia="宋体" w:cs="宋体"/>
          <w:color w:val="auto"/>
          <w:sz w:val="24"/>
          <w:szCs w:val="22"/>
          <w:highlight w:val="none"/>
        </w:rPr>
        <w:instrText xml:space="preserve"> HYPERLINK \l "_Toc24100" </w:instrText>
      </w:r>
      <w:r>
        <w:rPr>
          <w:rFonts w:hint="eastAsia" w:ascii="宋体" w:hAnsi="宋体" w:eastAsia="宋体" w:cs="宋体"/>
          <w:color w:val="auto"/>
          <w:sz w:val="24"/>
          <w:szCs w:val="22"/>
          <w:highlight w:val="none"/>
        </w:rPr>
        <w:fldChar w:fldCharType="separate"/>
      </w:r>
      <w:r>
        <w:rPr>
          <w:rFonts w:hint="eastAsia" w:ascii="宋体" w:hAnsi="宋体" w:eastAsia="宋体" w:cs="宋体"/>
          <w:color w:val="auto"/>
          <w:sz w:val="24"/>
          <w:szCs w:val="22"/>
          <w:highlight w:val="none"/>
          <w:lang w:val="zh-CN"/>
        </w:rPr>
        <w:t>1、磋商函</w:t>
      </w:r>
      <w:r>
        <w:rPr>
          <w:rFonts w:hint="eastAsia" w:ascii="宋体" w:hAnsi="宋体" w:eastAsia="宋体" w:cs="宋体"/>
          <w:color w:val="auto"/>
          <w:sz w:val="24"/>
          <w:szCs w:val="22"/>
          <w:highlight w:val="none"/>
          <w:lang w:val="zh-CN"/>
        </w:rPr>
        <w:fldChar w:fldCharType="end"/>
      </w:r>
    </w:p>
    <w:p w14:paraId="0AB583A4">
      <w:pPr>
        <w:pStyle w:val="44"/>
        <w:keepNext w:val="0"/>
        <w:keepLines w:val="0"/>
        <w:pageBreakBefore w:val="0"/>
        <w:tabs>
          <w:tab w:val="right" w:leader="dot" w:pos="8306"/>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highlight w:val="none"/>
          <w:lang w:val="zh-CN"/>
        </w:rPr>
      </w:pPr>
      <w:r>
        <w:rPr>
          <w:rFonts w:hint="eastAsia" w:ascii="宋体" w:hAnsi="宋体" w:eastAsia="宋体" w:cs="宋体"/>
          <w:color w:val="auto"/>
          <w:sz w:val="24"/>
          <w:szCs w:val="22"/>
          <w:highlight w:val="none"/>
        </w:rPr>
        <w:fldChar w:fldCharType="begin"/>
      </w:r>
      <w:r>
        <w:rPr>
          <w:rFonts w:hint="eastAsia" w:ascii="宋体" w:hAnsi="宋体" w:eastAsia="宋体" w:cs="宋体"/>
          <w:color w:val="auto"/>
          <w:sz w:val="24"/>
          <w:szCs w:val="22"/>
          <w:highlight w:val="none"/>
        </w:rPr>
        <w:instrText xml:space="preserve"> HYPERLINK \l "_Toc15138" </w:instrText>
      </w:r>
      <w:r>
        <w:rPr>
          <w:rFonts w:hint="eastAsia" w:ascii="宋体" w:hAnsi="宋体" w:eastAsia="宋体" w:cs="宋体"/>
          <w:color w:val="auto"/>
          <w:sz w:val="24"/>
          <w:szCs w:val="22"/>
          <w:highlight w:val="none"/>
        </w:rPr>
        <w:fldChar w:fldCharType="separate"/>
      </w:r>
      <w:r>
        <w:rPr>
          <w:rFonts w:hint="eastAsia" w:ascii="宋体" w:hAnsi="宋体" w:eastAsia="宋体" w:cs="宋体"/>
          <w:color w:val="auto"/>
          <w:sz w:val="24"/>
          <w:szCs w:val="22"/>
          <w:highlight w:val="none"/>
          <w:lang w:val="zh-CN"/>
        </w:rPr>
        <w:t>2、法定代表人证明书</w:t>
      </w:r>
      <w:r>
        <w:rPr>
          <w:rFonts w:hint="eastAsia" w:ascii="宋体" w:hAnsi="宋体" w:eastAsia="宋体" w:cs="宋体"/>
          <w:color w:val="auto"/>
          <w:sz w:val="24"/>
          <w:szCs w:val="22"/>
          <w:highlight w:val="none"/>
          <w:lang w:val="zh-CN"/>
        </w:rPr>
        <w:fldChar w:fldCharType="end"/>
      </w:r>
    </w:p>
    <w:p w14:paraId="1B4BEBD0">
      <w:pPr>
        <w:pStyle w:val="44"/>
        <w:keepNext w:val="0"/>
        <w:keepLines w:val="0"/>
        <w:pageBreakBefore w:val="0"/>
        <w:tabs>
          <w:tab w:val="right" w:leader="dot" w:pos="8306"/>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highlight w:val="none"/>
          <w:lang w:val="zh-CN"/>
        </w:rPr>
      </w:pPr>
      <w:r>
        <w:rPr>
          <w:rFonts w:hint="eastAsia" w:ascii="宋体" w:hAnsi="宋体" w:eastAsia="宋体" w:cs="宋体"/>
          <w:color w:val="auto"/>
          <w:sz w:val="24"/>
          <w:szCs w:val="22"/>
          <w:highlight w:val="none"/>
        </w:rPr>
        <w:fldChar w:fldCharType="begin"/>
      </w:r>
      <w:r>
        <w:rPr>
          <w:rFonts w:hint="eastAsia" w:ascii="宋体" w:hAnsi="宋体" w:eastAsia="宋体" w:cs="宋体"/>
          <w:color w:val="auto"/>
          <w:sz w:val="24"/>
          <w:szCs w:val="22"/>
          <w:highlight w:val="none"/>
        </w:rPr>
        <w:instrText xml:space="preserve"> HYPERLINK \l "_Toc27402" </w:instrText>
      </w:r>
      <w:r>
        <w:rPr>
          <w:rFonts w:hint="eastAsia" w:ascii="宋体" w:hAnsi="宋体" w:eastAsia="宋体" w:cs="宋体"/>
          <w:color w:val="auto"/>
          <w:sz w:val="24"/>
          <w:szCs w:val="22"/>
          <w:highlight w:val="none"/>
        </w:rPr>
        <w:fldChar w:fldCharType="separate"/>
      </w:r>
      <w:r>
        <w:rPr>
          <w:rFonts w:hint="eastAsia" w:ascii="宋体" w:hAnsi="宋体" w:eastAsia="宋体" w:cs="宋体"/>
          <w:color w:val="auto"/>
          <w:sz w:val="24"/>
          <w:szCs w:val="22"/>
          <w:highlight w:val="none"/>
          <w:lang w:val="zh-CN"/>
        </w:rPr>
        <w:t>3、法定代表人授权书</w:t>
      </w:r>
      <w:r>
        <w:rPr>
          <w:rFonts w:hint="eastAsia" w:ascii="宋体" w:hAnsi="宋体" w:eastAsia="宋体" w:cs="宋体"/>
          <w:color w:val="auto"/>
          <w:sz w:val="24"/>
          <w:szCs w:val="22"/>
          <w:highlight w:val="none"/>
          <w:lang w:val="zh-CN"/>
        </w:rPr>
        <w:fldChar w:fldCharType="end"/>
      </w:r>
    </w:p>
    <w:p w14:paraId="19E52573">
      <w:pPr>
        <w:pStyle w:val="44"/>
        <w:keepNext w:val="0"/>
        <w:keepLines w:val="0"/>
        <w:pageBreakBefore w:val="0"/>
        <w:tabs>
          <w:tab w:val="right" w:leader="dot" w:pos="8306"/>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highlight w:val="none"/>
          <w:lang w:val="zh-CN"/>
        </w:rPr>
      </w:pPr>
      <w:r>
        <w:rPr>
          <w:rFonts w:hint="eastAsia" w:ascii="宋体" w:hAnsi="宋体" w:eastAsia="宋体" w:cs="宋体"/>
          <w:color w:val="auto"/>
          <w:sz w:val="24"/>
          <w:szCs w:val="22"/>
          <w:highlight w:val="none"/>
        </w:rPr>
        <w:fldChar w:fldCharType="begin"/>
      </w:r>
      <w:r>
        <w:rPr>
          <w:rFonts w:hint="eastAsia" w:ascii="宋体" w:hAnsi="宋体" w:eastAsia="宋体" w:cs="宋体"/>
          <w:color w:val="auto"/>
          <w:sz w:val="24"/>
          <w:szCs w:val="22"/>
          <w:highlight w:val="none"/>
        </w:rPr>
        <w:instrText xml:space="preserve"> HYPERLINK \l "_Toc14487" </w:instrText>
      </w:r>
      <w:r>
        <w:rPr>
          <w:rFonts w:hint="eastAsia" w:ascii="宋体" w:hAnsi="宋体" w:eastAsia="宋体" w:cs="宋体"/>
          <w:color w:val="auto"/>
          <w:sz w:val="24"/>
          <w:szCs w:val="22"/>
          <w:highlight w:val="none"/>
        </w:rPr>
        <w:fldChar w:fldCharType="separate"/>
      </w:r>
      <w:r>
        <w:rPr>
          <w:rFonts w:hint="eastAsia" w:ascii="宋体" w:hAnsi="宋体" w:eastAsia="宋体" w:cs="宋体"/>
          <w:color w:val="auto"/>
          <w:sz w:val="24"/>
          <w:szCs w:val="22"/>
          <w:highlight w:val="none"/>
          <w:lang w:val="zh-CN"/>
        </w:rPr>
        <w:t>4、供应商承诺书</w:t>
      </w:r>
      <w:r>
        <w:rPr>
          <w:rFonts w:hint="eastAsia" w:ascii="宋体" w:hAnsi="宋体" w:eastAsia="宋体" w:cs="宋体"/>
          <w:color w:val="auto"/>
          <w:sz w:val="24"/>
          <w:szCs w:val="22"/>
          <w:highlight w:val="none"/>
          <w:lang w:val="zh-CN"/>
        </w:rPr>
        <w:fldChar w:fldCharType="end"/>
      </w:r>
    </w:p>
    <w:p w14:paraId="2A2A4101">
      <w:pPr>
        <w:pStyle w:val="44"/>
        <w:keepNext w:val="0"/>
        <w:keepLines w:val="0"/>
        <w:pageBreakBefore w:val="0"/>
        <w:tabs>
          <w:tab w:val="right" w:leader="dot" w:pos="8306"/>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highlight w:val="none"/>
          <w:lang w:val="zh-CN"/>
        </w:rPr>
      </w:pPr>
      <w:r>
        <w:rPr>
          <w:rFonts w:hint="eastAsia" w:ascii="宋体" w:hAnsi="宋体" w:eastAsia="宋体" w:cs="宋体"/>
          <w:color w:val="auto"/>
          <w:sz w:val="24"/>
          <w:szCs w:val="22"/>
          <w:highlight w:val="none"/>
        </w:rPr>
        <w:fldChar w:fldCharType="begin"/>
      </w:r>
      <w:r>
        <w:rPr>
          <w:rFonts w:hint="eastAsia" w:ascii="宋体" w:hAnsi="宋体" w:eastAsia="宋体" w:cs="宋体"/>
          <w:color w:val="auto"/>
          <w:sz w:val="24"/>
          <w:szCs w:val="22"/>
          <w:highlight w:val="none"/>
        </w:rPr>
        <w:instrText xml:space="preserve"> HYPERLINK \l "_Toc25171" </w:instrText>
      </w:r>
      <w:r>
        <w:rPr>
          <w:rFonts w:hint="eastAsia" w:ascii="宋体" w:hAnsi="宋体" w:eastAsia="宋体" w:cs="宋体"/>
          <w:color w:val="auto"/>
          <w:sz w:val="24"/>
          <w:szCs w:val="22"/>
          <w:highlight w:val="none"/>
        </w:rPr>
        <w:fldChar w:fldCharType="separate"/>
      </w:r>
      <w:r>
        <w:rPr>
          <w:rFonts w:hint="eastAsia" w:ascii="宋体" w:hAnsi="宋体" w:eastAsia="宋体" w:cs="宋体"/>
          <w:color w:val="auto"/>
          <w:sz w:val="24"/>
          <w:szCs w:val="22"/>
          <w:highlight w:val="none"/>
          <w:lang w:val="zh-CN"/>
        </w:rPr>
        <w:t>5、供应商诚信承诺书</w:t>
      </w:r>
      <w:r>
        <w:rPr>
          <w:rFonts w:hint="eastAsia" w:ascii="宋体" w:hAnsi="宋体" w:eastAsia="宋体" w:cs="宋体"/>
          <w:color w:val="auto"/>
          <w:sz w:val="24"/>
          <w:szCs w:val="22"/>
          <w:highlight w:val="none"/>
          <w:lang w:val="zh-CN"/>
        </w:rPr>
        <w:fldChar w:fldCharType="end"/>
      </w:r>
    </w:p>
    <w:p w14:paraId="7A5ABD78">
      <w:pPr>
        <w:pStyle w:val="44"/>
        <w:keepNext w:val="0"/>
        <w:keepLines w:val="0"/>
        <w:pageBreakBefore w:val="0"/>
        <w:tabs>
          <w:tab w:val="right" w:leader="dot" w:pos="8306"/>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highlight w:val="none"/>
          <w:lang w:val="zh-CN"/>
        </w:rPr>
      </w:pPr>
      <w:r>
        <w:rPr>
          <w:rFonts w:hint="eastAsia" w:ascii="宋体" w:hAnsi="宋体" w:eastAsia="宋体" w:cs="宋体"/>
          <w:color w:val="auto"/>
          <w:sz w:val="24"/>
          <w:szCs w:val="22"/>
          <w:highlight w:val="none"/>
        </w:rPr>
        <w:fldChar w:fldCharType="begin"/>
      </w:r>
      <w:r>
        <w:rPr>
          <w:rFonts w:hint="eastAsia" w:ascii="宋体" w:hAnsi="宋体" w:eastAsia="宋体" w:cs="宋体"/>
          <w:color w:val="auto"/>
          <w:sz w:val="24"/>
          <w:szCs w:val="22"/>
          <w:highlight w:val="none"/>
        </w:rPr>
        <w:instrText xml:space="preserve"> HYPERLINK \l "_Toc28522" </w:instrText>
      </w:r>
      <w:r>
        <w:rPr>
          <w:rFonts w:hint="eastAsia" w:ascii="宋体" w:hAnsi="宋体" w:eastAsia="宋体" w:cs="宋体"/>
          <w:color w:val="auto"/>
          <w:sz w:val="24"/>
          <w:szCs w:val="22"/>
          <w:highlight w:val="none"/>
        </w:rPr>
        <w:fldChar w:fldCharType="separate"/>
      </w:r>
      <w:r>
        <w:rPr>
          <w:rFonts w:hint="eastAsia" w:ascii="宋体" w:hAnsi="宋体" w:eastAsia="宋体" w:cs="宋体"/>
          <w:color w:val="auto"/>
          <w:sz w:val="24"/>
          <w:szCs w:val="22"/>
          <w:highlight w:val="none"/>
          <w:lang w:val="zh-CN"/>
        </w:rPr>
        <w:t>6、资格证明材料</w:t>
      </w:r>
      <w:r>
        <w:rPr>
          <w:rFonts w:hint="eastAsia" w:ascii="宋体" w:hAnsi="宋体" w:eastAsia="宋体" w:cs="宋体"/>
          <w:color w:val="auto"/>
          <w:sz w:val="24"/>
          <w:szCs w:val="22"/>
          <w:highlight w:val="none"/>
          <w:lang w:val="zh-CN"/>
        </w:rPr>
        <w:fldChar w:fldCharType="end"/>
      </w:r>
    </w:p>
    <w:p w14:paraId="7A991950">
      <w:pPr>
        <w:pStyle w:val="44"/>
        <w:keepNext w:val="0"/>
        <w:keepLines w:val="0"/>
        <w:pageBreakBefore w:val="0"/>
        <w:tabs>
          <w:tab w:val="right" w:leader="dot" w:pos="8306"/>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highlight w:val="none"/>
          <w:lang w:val="zh-CN"/>
        </w:rPr>
      </w:pPr>
      <w:r>
        <w:rPr>
          <w:rFonts w:hint="eastAsia" w:ascii="宋体" w:hAnsi="宋体" w:eastAsia="宋体" w:cs="宋体"/>
          <w:color w:val="auto"/>
          <w:sz w:val="24"/>
          <w:szCs w:val="22"/>
          <w:highlight w:val="none"/>
        </w:rPr>
        <w:fldChar w:fldCharType="begin"/>
      </w:r>
      <w:r>
        <w:rPr>
          <w:rFonts w:hint="eastAsia" w:ascii="宋体" w:hAnsi="宋体" w:eastAsia="宋体" w:cs="宋体"/>
          <w:color w:val="auto"/>
          <w:sz w:val="24"/>
          <w:szCs w:val="22"/>
          <w:highlight w:val="none"/>
        </w:rPr>
        <w:instrText xml:space="preserve"> HYPERLINK \l "_Toc9458" </w:instrText>
      </w:r>
      <w:r>
        <w:rPr>
          <w:rFonts w:hint="eastAsia" w:ascii="宋体" w:hAnsi="宋体" w:eastAsia="宋体" w:cs="宋体"/>
          <w:color w:val="auto"/>
          <w:sz w:val="24"/>
          <w:szCs w:val="22"/>
          <w:highlight w:val="none"/>
        </w:rPr>
        <w:fldChar w:fldCharType="separate"/>
      </w:r>
      <w:r>
        <w:rPr>
          <w:rFonts w:hint="eastAsia" w:ascii="宋体" w:hAnsi="宋体" w:eastAsia="宋体" w:cs="宋体"/>
          <w:color w:val="auto"/>
          <w:sz w:val="24"/>
          <w:szCs w:val="22"/>
          <w:highlight w:val="none"/>
          <w:lang w:val="zh-CN"/>
        </w:rPr>
        <w:t>7、财务状况、缴纳税收和社会保障资金证明</w:t>
      </w:r>
      <w:r>
        <w:rPr>
          <w:rFonts w:hint="eastAsia" w:ascii="宋体" w:hAnsi="宋体" w:eastAsia="宋体" w:cs="宋体"/>
          <w:color w:val="auto"/>
          <w:sz w:val="24"/>
          <w:szCs w:val="22"/>
          <w:highlight w:val="none"/>
          <w:lang w:val="zh-CN"/>
        </w:rPr>
        <w:fldChar w:fldCharType="end"/>
      </w:r>
    </w:p>
    <w:p w14:paraId="6AD6A993">
      <w:pPr>
        <w:pStyle w:val="44"/>
        <w:keepNext w:val="0"/>
        <w:keepLines w:val="0"/>
        <w:pageBreakBefore w:val="0"/>
        <w:tabs>
          <w:tab w:val="right" w:leader="dot" w:pos="8306"/>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highlight w:val="none"/>
          <w:lang w:val="zh-CN"/>
        </w:rPr>
      </w:pPr>
      <w:r>
        <w:rPr>
          <w:rFonts w:hint="eastAsia" w:ascii="宋体" w:hAnsi="宋体" w:eastAsia="宋体" w:cs="宋体"/>
          <w:color w:val="auto"/>
          <w:sz w:val="24"/>
          <w:szCs w:val="22"/>
          <w:highlight w:val="none"/>
          <w:lang w:val="zh-CN"/>
        </w:rPr>
        <w:fldChar w:fldCharType="begin"/>
      </w:r>
      <w:r>
        <w:rPr>
          <w:rFonts w:hint="eastAsia" w:ascii="宋体" w:hAnsi="宋体" w:eastAsia="宋体" w:cs="宋体"/>
          <w:color w:val="auto"/>
          <w:sz w:val="24"/>
          <w:szCs w:val="22"/>
          <w:highlight w:val="none"/>
          <w:lang w:val="zh-CN"/>
        </w:rPr>
        <w:instrText xml:space="preserve"> HYPERLINK \l _Toc15071 </w:instrText>
      </w:r>
      <w:r>
        <w:rPr>
          <w:rFonts w:hint="eastAsia" w:ascii="宋体" w:hAnsi="宋体" w:eastAsia="宋体" w:cs="宋体"/>
          <w:color w:val="auto"/>
          <w:sz w:val="24"/>
          <w:szCs w:val="22"/>
          <w:highlight w:val="none"/>
          <w:lang w:val="zh-CN"/>
        </w:rPr>
        <w:fldChar w:fldCharType="separate"/>
      </w:r>
      <w:r>
        <w:rPr>
          <w:rFonts w:hint="eastAsia" w:ascii="宋体" w:hAnsi="宋体" w:eastAsia="宋体" w:cs="宋体"/>
          <w:color w:val="auto"/>
          <w:sz w:val="24"/>
          <w:szCs w:val="22"/>
          <w:highlight w:val="none"/>
          <w:lang w:val="zh-CN"/>
        </w:rPr>
        <w:t>8、具备履行合同所必须的设备和专业技术能力证明</w:t>
      </w:r>
    </w:p>
    <w:p w14:paraId="72E9FE41">
      <w:pPr>
        <w:pStyle w:val="44"/>
        <w:keepNext w:val="0"/>
        <w:keepLines w:val="0"/>
        <w:pageBreakBefore w:val="0"/>
        <w:tabs>
          <w:tab w:val="right" w:leader="dot" w:pos="8306"/>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highlight w:val="none"/>
          <w:lang w:val="zh-CN"/>
        </w:rPr>
      </w:pPr>
      <w:r>
        <w:rPr>
          <w:rFonts w:hint="eastAsia" w:ascii="宋体" w:hAnsi="宋体" w:eastAsia="宋体" w:cs="宋体"/>
          <w:color w:val="auto"/>
          <w:sz w:val="24"/>
          <w:szCs w:val="22"/>
          <w:highlight w:val="none"/>
          <w:lang w:val="zh-CN"/>
        </w:rPr>
        <w:fldChar w:fldCharType="end"/>
      </w:r>
      <w:r>
        <w:rPr>
          <w:rFonts w:hint="eastAsia" w:ascii="宋体" w:hAnsi="宋体" w:eastAsia="宋体" w:cs="宋体"/>
          <w:color w:val="auto"/>
          <w:sz w:val="24"/>
          <w:szCs w:val="22"/>
          <w:highlight w:val="none"/>
        </w:rPr>
        <w:t>9、磋商保证金证明</w:t>
      </w:r>
    </w:p>
    <w:p w14:paraId="7FF6916C">
      <w:pPr>
        <w:pStyle w:val="44"/>
        <w:keepNext w:val="0"/>
        <w:keepLines w:val="0"/>
        <w:pageBreakBefore w:val="0"/>
        <w:tabs>
          <w:tab w:val="right" w:leader="dot" w:pos="8306"/>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highlight w:val="none"/>
          <w:lang w:val="zh-CN"/>
        </w:rPr>
      </w:pPr>
      <w:r>
        <w:rPr>
          <w:rFonts w:hint="eastAsia" w:ascii="宋体" w:hAnsi="宋体" w:eastAsia="宋体" w:cs="宋体"/>
          <w:color w:val="auto"/>
          <w:sz w:val="24"/>
          <w:szCs w:val="22"/>
          <w:highlight w:val="none"/>
          <w:lang w:val="zh-CN"/>
        </w:rPr>
        <w:fldChar w:fldCharType="begin"/>
      </w:r>
      <w:r>
        <w:rPr>
          <w:rFonts w:hint="eastAsia" w:ascii="宋体" w:hAnsi="宋体" w:eastAsia="宋体" w:cs="宋体"/>
          <w:color w:val="auto"/>
          <w:sz w:val="24"/>
          <w:szCs w:val="22"/>
          <w:highlight w:val="none"/>
          <w:lang w:val="zh-CN"/>
        </w:rPr>
        <w:instrText xml:space="preserve"> HYPERLINK \l "_Toc11963" </w:instrText>
      </w:r>
      <w:r>
        <w:rPr>
          <w:rFonts w:hint="eastAsia" w:ascii="宋体" w:hAnsi="宋体" w:eastAsia="宋体" w:cs="宋体"/>
          <w:color w:val="auto"/>
          <w:sz w:val="24"/>
          <w:szCs w:val="22"/>
          <w:highlight w:val="none"/>
          <w:lang w:val="zh-CN"/>
        </w:rPr>
        <w:fldChar w:fldCharType="separate"/>
      </w:r>
      <w:r>
        <w:rPr>
          <w:rFonts w:hint="eastAsia" w:ascii="宋体" w:hAnsi="宋体" w:eastAsia="宋体" w:cs="宋体"/>
          <w:color w:val="auto"/>
          <w:sz w:val="24"/>
          <w:szCs w:val="22"/>
          <w:highlight w:val="none"/>
          <w:lang w:val="zh-CN"/>
        </w:rPr>
        <w:t>10、无重大违法记录声明</w:t>
      </w:r>
      <w:r>
        <w:rPr>
          <w:rFonts w:hint="eastAsia" w:ascii="宋体" w:hAnsi="宋体" w:eastAsia="宋体" w:cs="宋体"/>
          <w:color w:val="auto"/>
          <w:sz w:val="24"/>
          <w:szCs w:val="22"/>
          <w:highlight w:val="none"/>
          <w:lang w:val="zh-CN"/>
        </w:rPr>
        <w:fldChar w:fldCharType="end"/>
      </w:r>
    </w:p>
    <w:p w14:paraId="65102410">
      <w:pPr>
        <w:pStyle w:val="44"/>
        <w:keepNext w:val="0"/>
        <w:keepLines w:val="0"/>
        <w:pageBreakBefore w:val="0"/>
        <w:tabs>
          <w:tab w:val="right" w:leader="dot" w:pos="8306"/>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highlight w:val="none"/>
          <w:lang w:val="zh-CN"/>
        </w:rPr>
      </w:pPr>
      <w:r>
        <w:rPr>
          <w:rFonts w:hint="eastAsia" w:ascii="宋体" w:hAnsi="宋体" w:eastAsia="宋体" w:cs="宋体"/>
          <w:color w:val="auto"/>
          <w:sz w:val="24"/>
          <w:szCs w:val="22"/>
          <w:highlight w:val="none"/>
          <w:lang w:val="en-US" w:eastAsia="zh-CN"/>
        </w:rPr>
        <w:t>11、</w:t>
      </w:r>
      <w:r>
        <w:rPr>
          <w:rFonts w:hint="eastAsia" w:ascii="宋体" w:hAnsi="宋体" w:eastAsia="宋体" w:cs="宋体"/>
          <w:color w:val="auto"/>
          <w:sz w:val="24"/>
          <w:szCs w:val="22"/>
          <w:highlight w:val="none"/>
        </w:rPr>
        <w:fldChar w:fldCharType="begin"/>
      </w:r>
      <w:r>
        <w:rPr>
          <w:rFonts w:hint="eastAsia" w:ascii="宋体" w:hAnsi="宋体" w:eastAsia="宋体" w:cs="宋体"/>
          <w:color w:val="auto"/>
          <w:sz w:val="24"/>
          <w:szCs w:val="22"/>
          <w:highlight w:val="none"/>
        </w:rPr>
        <w:instrText xml:space="preserve"> HYPERLINK \l "_Toc1532" </w:instrText>
      </w:r>
      <w:r>
        <w:rPr>
          <w:rFonts w:hint="eastAsia" w:ascii="宋体" w:hAnsi="宋体" w:eastAsia="宋体" w:cs="宋体"/>
          <w:color w:val="auto"/>
          <w:sz w:val="24"/>
          <w:szCs w:val="22"/>
          <w:highlight w:val="none"/>
        </w:rPr>
        <w:fldChar w:fldCharType="separate"/>
      </w:r>
      <w:r>
        <w:rPr>
          <w:rFonts w:hint="eastAsia" w:ascii="宋体" w:hAnsi="宋体" w:eastAsia="宋体" w:cs="宋体"/>
          <w:color w:val="auto"/>
          <w:sz w:val="24"/>
          <w:szCs w:val="22"/>
          <w:highlight w:val="none"/>
          <w:lang w:val="zh-CN"/>
        </w:rPr>
        <w:t>竞争性磋商首次报价表</w:t>
      </w:r>
      <w:r>
        <w:rPr>
          <w:rFonts w:hint="eastAsia" w:ascii="宋体" w:hAnsi="宋体" w:eastAsia="宋体" w:cs="宋体"/>
          <w:color w:val="auto"/>
          <w:sz w:val="24"/>
          <w:szCs w:val="22"/>
          <w:highlight w:val="none"/>
          <w:lang w:val="zh-CN"/>
        </w:rPr>
        <w:fldChar w:fldCharType="end"/>
      </w:r>
    </w:p>
    <w:p w14:paraId="05361613">
      <w:pPr>
        <w:pStyle w:val="44"/>
        <w:keepNext w:val="0"/>
        <w:keepLines w:val="0"/>
        <w:pageBreakBefore w:val="0"/>
        <w:tabs>
          <w:tab w:val="right" w:leader="dot" w:pos="8306"/>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highlight w:val="none"/>
          <w:lang w:val="zh-CN"/>
        </w:rPr>
      </w:pPr>
      <w:r>
        <w:rPr>
          <w:rFonts w:hint="eastAsia" w:ascii="宋体" w:hAnsi="宋体" w:eastAsia="宋体" w:cs="宋体"/>
          <w:color w:val="auto"/>
          <w:sz w:val="24"/>
          <w:szCs w:val="22"/>
          <w:highlight w:val="none"/>
        </w:rPr>
        <w:fldChar w:fldCharType="begin"/>
      </w:r>
      <w:r>
        <w:rPr>
          <w:rFonts w:hint="eastAsia" w:ascii="宋体" w:hAnsi="宋体" w:eastAsia="宋体" w:cs="宋体"/>
          <w:color w:val="auto"/>
          <w:sz w:val="24"/>
          <w:szCs w:val="22"/>
          <w:highlight w:val="none"/>
        </w:rPr>
        <w:instrText xml:space="preserve"> HYPERLINK \l "_Toc6753" </w:instrText>
      </w:r>
      <w:r>
        <w:rPr>
          <w:rFonts w:hint="eastAsia" w:ascii="宋体" w:hAnsi="宋体" w:eastAsia="宋体" w:cs="宋体"/>
          <w:color w:val="auto"/>
          <w:sz w:val="24"/>
          <w:szCs w:val="22"/>
          <w:highlight w:val="none"/>
        </w:rPr>
        <w:fldChar w:fldCharType="separate"/>
      </w:r>
      <w:r>
        <w:rPr>
          <w:rFonts w:hint="eastAsia" w:ascii="宋体" w:hAnsi="宋体" w:eastAsia="宋体" w:cs="宋体"/>
          <w:color w:val="auto"/>
          <w:sz w:val="24"/>
          <w:szCs w:val="22"/>
          <w:highlight w:val="none"/>
          <w:lang w:val="zh-CN"/>
        </w:rPr>
        <w:t>1</w:t>
      </w:r>
      <w:r>
        <w:rPr>
          <w:rFonts w:hint="eastAsia" w:ascii="宋体" w:hAnsi="宋体" w:eastAsia="宋体" w:cs="宋体"/>
          <w:color w:val="auto"/>
          <w:sz w:val="24"/>
          <w:szCs w:val="22"/>
          <w:highlight w:val="none"/>
          <w:lang w:val="en-US" w:eastAsia="zh-CN"/>
        </w:rPr>
        <w:t>2</w:t>
      </w:r>
      <w:r>
        <w:rPr>
          <w:rFonts w:hint="eastAsia" w:ascii="宋体" w:hAnsi="宋体" w:eastAsia="宋体" w:cs="宋体"/>
          <w:color w:val="auto"/>
          <w:sz w:val="24"/>
          <w:szCs w:val="22"/>
          <w:highlight w:val="none"/>
          <w:lang w:val="zh-CN"/>
        </w:rPr>
        <w:t>、实施方案</w:t>
      </w:r>
      <w:r>
        <w:rPr>
          <w:rFonts w:hint="eastAsia" w:ascii="宋体" w:hAnsi="宋体" w:eastAsia="宋体" w:cs="宋体"/>
          <w:color w:val="auto"/>
          <w:sz w:val="24"/>
          <w:szCs w:val="22"/>
          <w:highlight w:val="none"/>
          <w:lang w:val="zh-CN"/>
        </w:rPr>
        <w:fldChar w:fldCharType="end"/>
      </w:r>
    </w:p>
    <w:p w14:paraId="3349155D">
      <w:pPr>
        <w:pStyle w:val="44"/>
        <w:keepNext w:val="0"/>
        <w:keepLines w:val="0"/>
        <w:pageBreakBefore w:val="0"/>
        <w:tabs>
          <w:tab w:val="right" w:leader="dot" w:pos="8306"/>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highlight w:val="none"/>
          <w:lang w:val="zh-CN"/>
        </w:rPr>
      </w:pPr>
      <w:r>
        <w:rPr>
          <w:rFonts w:hint="eastAsia" w:ascii="宋体" w:hAnsi="宋体" w:eastAsia="宋体" w:cs="宋体"/>
          <w:color w:val="auto"/>
          <w:sz w:val="24"/>
          <w:szCs w:val="22"/>
          <w:highlight w:val="none"/>
        </w:rPr>
        <w:fldChar w:fldCharType="begin"/>
      </w:r>
      <w:r>
        <w:rPr>
          <w:rFonts w:hint="eastAsia" w:ascii="宋体" w:hAnsi="宋体" w:eastAsia="宋体" w:cs="宋体"/>
          <w:color w:val="auto"/>
          <w:sz w:val="24"/>
          <w:szCs w:val="22"/>
          <w:highlight w:val="none"/>
        </w:rPr>
        <w:instrText xml:space="preserve"> HYPERLINK \l "_Toc26157" </w:instrText>
      </w:r>
      <w:r>
        <w:rPr>
          <w:rFonts w:hint="eastAsia" w:ascii="宋体" w:hAnsi="宋体" w:eastAsia="宋体" w:cs="宋体"/>
          <w:color w:val="auto"/>
          <w:sz w:val="24"/>
          <w:szCs w:val="22"/>
          <w:highlight w:val="none"/>
        </w:rPr>
        <w:fldChar w:fldCharType="separate"/>
      </w:r>
      <w:r>
        <w:rPr>
          <w:rFonts w:hint="eastAsia" w:ascii="宋体" w:hAnsi="宋体" w:eastAsia="宋体" w:cs="宋体"/>
          <w:color w:val="auto"/>
          <w:sz w:val="24"/>
          <w:szCs w:val="22"/>
          <w:highlight w:val="none"/>
          <w:lang w:val="zh-CN"/>
        </w:rPr>
        <w:t>1</w:t>
      </w:r>
      <w:r>
        <w:rPr>
          <w:rFonts w:hint="eastAsia" w:ascii="宋体" w:hAnsi="宋体" w:eastAsia="宋体" w:cs="宋体"/>
          <w:color w:val="auto"/>
          <w:sz w:val="24"/>
          <w:szCs w:val="22"/>
          <w:highlight w:val="none"/>
          <w:lang w:val="en-US" w:eastAsia="zh-CN"/>
        </w:rPr>
        <w:t>3</w:t>
      </w:r>
      <w:r>
        <w:rPr>
          <w:rFonts w:hint="eastAsia" w:ascii="宋体" w:hAnsi="宋体" w:eastAsia="宋体" w:cs="宋体"/>
          <w:color w:val="auto"/>
          <w:sz w:val="24"/>
          <w:szCs w:val="22"/>
          <w:highlight w:val="none"/>
          <w:lang w:val="zh-CN"/>
        </w:rPr>
        <w:t>、供应商的业绩证明材料</w:t>
      </w:r>
      <w:r>
        <w:rPr>
          <w:rFonts w:hint="eastAsia" w:ascii="宋体" w:hAnsi="宋体" w:eastAsia="宋体" w:cs="宋体"/>
          <w:color w:val="auto"/>
          <w:sz w:val="24"/>
          <w:szCs w:val="22"/>
          <w:highlight w:val="none"/>
          <w:lang w:val="zh-CN"/>
        </w:rPr>
        <w:fldChar w:fldCharType="end"/>
      </w:r>
    </w:p>
    <w:p w14:paraId="73661995">
      <w:pPr>
        <w:pStyle w:val="44"/>
        <w:keepNext w:val="0"/>
        <w:keepLines w:val="0"/>
        <w:pageBreakBefore w:val="0"/>
        <w:tabs>
          <w:tab w:val="right" w:leader="dot" w:pos="8306"/>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zh-CN"/>
        </w:rPr>
        <w:fldChar w:fldCharType="begin"/>
      </w:r>
      <w:r>
        <w:rPr>
          <w:rFonts w:hint="eastAsia" w:ascii="宋体" w:hAnsi="宋体" w:eastAsia="宋体" w:cs="宋体"/>
          <w:color w:val="auto"/>
          <w:sz w:val="24"/>
          <w:szCs w:val="22"/>
          <w:highlight w:val="none"/>
          <w:lang w:val="zh-CN"/>
        </w:rPr>
        <w:instrText xml:space="preserve"> HYPERLINK \l _Toc22397 </w:instrText>
      </w:r>
      <w:r>
        <w:rPr>
          <w:rFonts w:hint="eastAsia" w:ascii="宋体" w:hAnsi="宋体" w:eastAsia="宋体" w:cs="宋体"/>
          <w:color w:val="auto"/>
          <w:sz w:val="24"/>
          <w:szCs w:val="22"/>
          <w:highlight w:val="none"/>
          <w:lang w:val="zh-CN"/>
        </w:rPr>
        <w:fldChar w:fldCharType="separate"/>
      </w:r>
      <w:r>
        <w:rPr>
          <w:rFonts w:hint="eastAsia" w:ascii="宋体" w:hAnsi="宋体" w:eastAsia="宋体" w:cs="宋体"/>
          <w:color w:val="auto"/>
          <w:sz w:val="24"/>
          <w:szCs w:val="22"/>
          <w:highlight w:val="none"/>
          <w:lang w:val="zh-CN"/>
        </w:rPr>
        <w:t>1</w:t>
      </w:r>
      <w:r>
        <w:rPr>
          <w:rFonts w:hint="eastAsia" w:ascii="宋体" w:hAnsi="宋体" w:eastAsia="宋体" w:cs="宋体"/>
          <w:color w:val="auto"/>
          <w:sz w:val="24"/>
          <w:szCs w:val="22"/>
          <w:highlight w:val="none"/>
          <w:lang w:val="en-US" w:eastAsia="zh-CN"/>
        </w:rPr>
        <w:t>4</w:t>
      </w:r>
      <w:r>
        <w:rPr>
          <w:rFonts w:hint="eastAsia" w:ascii="宋体" w:hAnsi="宋体" w:eastAsia="宋体" w:cs="宋体"/>
          <w:color w:val="auto"/>
          <w:sz w:val="24"/>
          <w:szCs w:val="22"/>
          <w:highlight w:val="none"/>
          <w:lang w:val="zh-CN"/>
        </w:rPr>
        <w:t>、</w:t>
      </w:r>
      <w:r>
        <w:rPr>
          <w:rFonts w:hint="eastAsia" w:ascii="宋体" w:hAnsi="宋体" w:eastAsia="宋体" w:cs="宋体"/>
          <w:color w:val="auto"/>
          <w:sz w:val="24"/>
          <w:szCs w:val="22"/>
          <w:highlight w:val="none"/>
          <w:lang w:val="en-US" w:eastAsia="zh-CN"/>
        </w:rPr>
        <w:t>保密承诺书</w:t>
      </w:r>
    </w:p>
    <w:p w14:paraId="41A3BA4A">
      <w:pPr>
        <w:pStyle w:val="44"/>
        <w:keepNext w:val="0"/>
        <w:keepLines w:val="0"/>
        <w:pageBreakBefore w:val="0"/>
        <w:tabs>
          <w:tab w:val="right" w:leader="dot" w:pos="8306"/>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highlight w:val="none"/>
          <w:lang w:val="zh-CN"/>
        </w:rPr>
      </w:pPr>
      <w:r>
        <w:rPr>
          <w:rFonts w:hint="eastAsia" w:ascii="宋体" w:hAnsi="宋体" w:eastAsia="宋体" w:cs="宋体"/>
          <w:color w:val="auto"/>
          <w:sz w:val="24"/>
          <w:szCs w:val="22"/>
          <w:highlight w:val="none"/>
          <w:lang w:val="zh-CN"/>
        </w:rPr>
        <w:t>1</w:t>
      </w:r>
      <w:r>
        <w:rPr>
          <w:rFonts w:hint="eastAsia" w:ascii="宋体" w:hAnsi="宋体" w:eastAsia="宋体" w:cs="宋体"/>
          <w:color w:val="auto"/>
          <w:sz w:val="24"/>
          <w:szCs w:val="22"/>
          <w:highlight w:val="none"/>
          <w:lang w:val="en-US" w:eastAsia="zh-CN"/>
        </w:rPr>
        <w:t>5、</w:t>
      </w:r>
      <w:r>
        <w:rPr>
          <w:rFonts w:hint="eastAsia" w:ascii="宋体" w:hAnsi="宋体" w:eastAsia="宋体" w:cs="宋体"/>
          <w:color w:val="auto"/>
          <w:sz w:val="24"/>
          <w:szCs w:val="22"/>
          <w:highlight w:val="none"/>
          <w:lang w:val="zh-CN"/>
        </w:rPr>
        <w:t>磋商供应商认为在其他方面有必要说明的事项</w:t>
      </w:r>
      <w:r>
        <w:rPr>
          <w:rFonts w:hint="eastAsia" w:ascii="宋体" w:hAnsi="宋体" w:eastAsia="宋体" w:cs="宋体"/>
          <w:color w:val="auto"/>
          <w:sz w:val="24"/>
          <w:szCs w:val="22"/>
          <w:highlight w:val="none"/>
          <w:lang w:val="zh-CN"/>
        </w:rPr>
        <w:fldChar w:fldCharType="end"/>
      </w:r>
    </w:p>
    <w:p w14:paraId="31F0417F">
      <w:pPr>
        <w:pStyle w:val="44"/>
        <w:keepNext w:val="0"/>
        <w:keepLines w:val="0"/>
        <w:pageBreakBefore w:val="0"/>
        <w:tabs>
          <w:tab w:val="right" w:leader="dot" w:pos="8306"/>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16、</w:t>
      </w:r>
      <w:r>
        <w:rPr>
          <w:rFonts w:hint="eastAsia" w:ascii="宋体" w:hAnsi="宋体" w:eastAsia="宋体" w:cs="宋体"/>
          <w:color w:val="auto"/>
          <w:sz w:val="24"/>
          <w:szCs w:val="22"/>
          <w:highlight w:val="none"/>
          <w:lang w:val="zh-CN"/>
        </w:rPr>
        <w:t>磋商最终报价表</w:t>
      </w:r>
      <w:r>
        <w:rPr>
          <w:rFonts w:hint="eastAsia" w:ascii="宋体" w:hAnsi="宋体" w:eastAsia="宋体" w:cs="宋体"/>
          <w:color w:val="auto"/>
          <w:sz w:val="24"/>
          <w:szCs w:val="22"/>
          <w:highlight w:val="none"/>
        </w:rPr>
        <w:t>（单独提交）</w:t>
      </w:r>
    </w:p>
    <w:p w14:paraId="7618A770">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磋商文件要求签字、盖章的地方必须由供应商的法定代表人或委托代理人按要求签字、盖章；供应商提供的扫描（或复印）件均需加盖公章。供应商须按上述内容、顺序和格式编制响应文件，并按要求编制目录、页码。</w:t>
      </w:r>
    </w:p>
    <w:p w14:paraId="59E33392">
      <w:pPr>
        <w:pStyle w:val="3"/>
        <w:rPr>
          <w:rFonts w:hint="eastAsia" w:ascii="宋体" w:hAnsi="宋体" w:eastAsia="宋体" w:cs="宋体"/>
          <w:color w:val="auto"/>
          <w:highlight w:val="none"/>
        </w:rPr>
      </w:pPr>
      <w:bookmarkStart w:id="164" w:name="_Toc495567951"/>
      <w:bookmarkStart w:id="165" w:name="_Toc16453"/>
      <w:bookmarkStart w:id="166" w:name="_Toc495666268"/>
      <w:bookmarkStart w:id="167" w:name="_Toc25178"/>
      <w:bookmarkStart w:id="168" w:name="_Toc412617729"/>
      <w:bookmarkStart w:id="169" w:name="_Toc5022"/>
      <w:bookmarkStart w:id="170" w:name="_Toc28365"/>
      <w:bookmarkStart w:id="171" w:name="_Toc21997"/>
      <w:bookmarkStart w:id="172" w:name="_Toc373392580"/>
      <w:bookmarkStart w:id="173" w:name="_Toc11377"/>
      <w:bookmarkStart w:id="174" w:name="_Toc21957"/>
      <w:r>
        <w:rPr>
          <w:rFonts w:hint="eastAsia" w:ascii="宋体" w:hAnsi="宋体" w:eastAsia="宋体" w:cs="宋体"/>
          <w:color w:val="auto"/>
          <w:highlight w:val="none"/>
        </w:rPr>
        <w:t>11.响应文件编印和签署</w:t>
      </w:r>
      <w:bookmarkEnd w:id="164"/>
      <w:bookmarkEnd w:id="165"/>
      <w:bookmarkEnd w:id="166"/>
      <w:bookmarkEnd w:id="167"/>
      <w:bookmarkEnd w:id="168"/>
      <w:bookmarkEnd w:id="169"/>
      <w:bookmarkEnd w:id="170"/>
      <w:bookmarkEnd w:id="171"/>
      <w:bookmarkEnd w:id="172"/>
      <w:bookmarkEnd w:id="173"/>
      <w:bookmarkEnd w:id="174"/>
    </w:p>
    <w:p w14:paraId="71F8741C">
      <w:pPr>
        <w:pageBreakBefore w:val="0"/>
        <w:kinsoku/>
        <w:overflowPunct/>
        <w:topLinePunct w:val="0"/>
        <w:bidi w:val="0"/>
        <w:spacing w:line="360" w:lineRule="auto"/>
        <w:ind w:firstLine="480"/>
        <w:rPr>
          <w:rFonts w:hint="eastAsia" w:ascii="宋体" w:hAnsi="宋体" w:eastAsia="宋体" w:cs="宋体"/>
          <w:color w:val="auto"/>
          <w:sz w:val="24"/>
          <w:szCs w:val="24"/>
          <w:highlight w:val="none"/>
        </w:rPr>
      </w:pPr>
      <w:bookmarkStart w:id="175" w:name="_Toc8763"/>
      <w:bookmarkStart w:id="176" w:name="_Toc32124"/>
      <w:bookmarkStart w:id="177" w:name="_Toc15102"/>
      <w:bookmarkStart w:id="178" w:name="_Toc17564"/>
      <w:bookmarkStart w:id="179" w:name="_Toc412617730"/>
      <w:bookmarkStart w:id="180" w:name="_Toc22193"/>
      <w:bookmarkStart w:id="181" w:name="_Toc16165"/>
      <w:bookmarkStart w:id="182" w:name="_Toc371090029"/>
      <w:bookmarkStart w:id="183" w:name="_Toc376936748"/>
      <w:r>
        <w:rPr>
          <w:rFonts w:hint="eastAsia" w:ascii="宋体" w:hAnsi="宋体" w:eastAsia="宋体" w:cs="宋体"/>
          <w:color w:val="auto"/>
          <w:sz w:val="24"/>
          <w:szCs w:val="24"/>
          <w:highlight w:val="none"/>
        </w:rPr>
        <w:t>（1）供应商须依据本文件内容和响应文件格式的要求编制响应文件。</w:t>
      </w:r>
    </w:p>
    <w:p w14:paraId="7CCAF59E">
      <w:pPr>
        <w:spacing w:line="360" w:lineRule="auto"/>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磋商供应商应按磋商文件要求准备磋商响应文件1份正本、2份副本和相应的电子文档1份，用于单独提交的“竞争性磋商首次报价表”1份。每份磋商响应文件都必须清楚地标明“正本”或“副本”等字样。若发生正本和副本不符，以正本磋商响应文件为准。磋商响应文件统一使用A4幅面的纸张印制，必须胶装成册并编码，不得采用活页夹等可随时拆换的方式装订。</w:t>
      </w:r>
    </w:p>
    <w:p w14:paraId="6CC50858">
      <w:pPr>
        <w:pageBreakBefore w:val="0"/>
        <w:kinsoku/>
        <w:overflowPunct/>
        <w:topLinePunct w:val="0"/>
        <w:bidi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）磋商响应文件的正本和副本均需打印或用不褪色、不变质的墨水书写并由磋商供应商的委托代理人逐页加盖公章。磋商响应文件副本可采用正本的复印件，若不满足以上条件，按无效磋商处理。</w:t>
      </w:r>
    </w:p>
    <w:p w14:paraId="48988BD9">
      <w:pPr>
        <w:pageBreakBefore w:val="0"/>
        <w:kinsoku/>
        <w:overflowPunct/>
        <w:topLinePunct w:val="0"/>
        <w:bidi w:val="0"/>
        <w:spacing w:line="360" w:lineRule="auto"/>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电子文档采用可读的U盘编制，须写明采购项目名称、供应商名称及磋商日期，电子文档为纸质版磋商响应文件正本的扫描件，需采用不可修改文档格式，电子文档与纸质版磋商响应文件正本内容必须完全一致，包括盖章和签字，并与书面磋商响应文件一并提交，否则，视为无效磋商。</w:t>
      </w:r>
    </w:p>
    <w:p w14:paraId="25D72BB1">
      <w:pPr>
        <w:pageBreakBefore w:val="0"/>
        <w:kinsoku/>
        <w:overflowPunct/>
        <w:topLinePunct w:val="0"/>
        <w:bidi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（4）磋商响应文件中不得行间插字、涂改或增删，如有修改错漏处，须由磋商供应商法人或其委托代理人签字或盖个人印鉴。</w:t>
      </w:r>
    </w:p>
    <w:p w14:paraId="219FF8D7">
      <w:pPr>
        <w:pageBreakBefore w:val="0"/>
        <w:kinsoku/>
        <w:overflowPunct/>
        <w:topLinePunct w:val="0"/>
        <w:bidi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（5）即正本的彩色扫描（必须是签盖企业公章及法人代表或授权人签字后待胶装的正本的彩色扫描），若电子标书与正本内容不符，按无效文件处理。</w:t>
      </w:r>
    </w:p>
    <w:p w14:paraId="719E7A88">
      <w:pPr>
        <w:pStyle w:val="2"/>
        <w:rPr>
          <w:rFonts w:hint="eastAsia" w:ascii="宋体" w:hAnsi="宋体" w:eastAsia="宋体" w:cs="宋体"/>
          <w:color w:val="auto"/>
          <w:highlight w:val="none"/>
          <w:lang w:val="zh-CN"/>
        </w:rPr>
      </w:pPr>
      <w:bookmarkStart w:id="184" w:name="_Toc6858"/>
      <w:r>
        <w:rPr>
          <w:rFonts w:hint="eastAsia" w:ascii="宋体" w:hAnsi="宋体" w:eastAsia="宋体" w:cs="宋体"/>
          <w:color w:val="auto"/>
          <w:highlight w:val="none"/>
          <w:lang w:val="zh-CN"/>
        </w:rPr>
        <w:t>四、响应文件的递交</w:t>
      </w:r>
      <w:bookmarkEnd w:id="175"/>
      <w:bookmarkEnd w:id="176"/>
      <w:bookmarkEnd w:id="177"/>
      <w:bookmarkEnd w:id="178"/>
      <w:bookmarkEnd w:id="179"/>
      <w:bookmarkEnd w:id="180"/>
      <w:bookmarkEnd w:id="181"/>
      <w:bookmarkEnd w:id="184"/>
    </w:p>
    <w:bookmarkEnd w:id="182"/>
    <w:bookmarkEnd w:id="183"/>
    <w:p w14:paraId="70FFE3B5">
      <w:pPr>
        <w:pStyle w:val="3"/>
        <w:pageBreakBefore w:val="0"/>
        <w:kinsoku/>
        <w:overflowPunct/>
        <w:topLinePunct w:val="0"/>
        <w:bidi w:val="0"/>
        <w:spacing w:line="360" w:lineRule="auto"/>
        <w:rPr>
          <w:rFonts w:hint="eastAsia" w:ascii="宋体" w:hAnsi="宋体" w:eastAsia="宋体" w:cs="宋体"/>
          <w:color w:val="auto"/>
          <w:highlight w:val="none"/>
        </w:rPr>
      </w:pPr>
      <w:bookmarkStart w:id="185" w:name="_Toc325726016"/>
      <w:bookmarkStart w:id="186" w:name="_Toc495567952"/>
      <w:bookmarkStart w:id="187" w:name="_Toc373392582"/>
      <w:bookmarkStart w:id="188" w:name="_Toc495666269"/>
      <w:bookmarkStart w:id="189" w:name="_Toc1176"/>
      <w:bookmarkStart w:id="190" w:name="_Toc23823"/>
      <w:bookmarkStart w:id="191" w:name="_Toc31259"/>
      <w:bookmarkStart w:id="192" w:name="_Toc15582"/>
      <w:bookmarkStart w:id="193" w:name="_Toc412617731"/>
      <w:bookmarkStart w:id="194" w:name="_Toc376936750"/>
      <w:bookmarkStart w:id="195" w:name="_Toc325726019"/>
      <w:bookmarkStart w:id="196" w:name="_Toc31387"/>
      <w:bookmarkStart w:id="197" w:name="_Toc5644"/>
      <w:bookmarkStart w:id="198" w:name="_Toc22539"/>
      <w:bookmarkStart w:id="199" w:name="_Toc6481"/>
      <w:bookmarkStart w:id="200" w:name="_Toc4288"/>
      <w:bookmarkStart w:id="201" w:name="_Toc30174"/>
      <w:bookmarkStart w:id="202" w:name="_Toc9147"/>
      <w:r>
        <w:rPr>
          <w:rFonts w:hint="eastAsia" w:ascii="宋体" w:hAnsi="宋体" w:eastAsia="宋体" w:cs="宋体"/>
          <w:color w:val="auto"/>
          <w:highlight w:val="none"/>
        </w:rPr>
        <w:t>12.响应文件的密封和标记</w:t>
      </w:r>
      <w:bookmarkEnd w:id="185"/>
      <w:bookmarkEnd w:id="186"/>
      <w:bookmarkEnd w:id="187"/>
      <w:bookmarkEnd w:id="188"/>
      <w:bookmarkEnd w:id="189"/>
      <w:bookmarkEnd w:id="190"/>
      <w:bookmarkEnd w:id="191"/>
      <w:bookmarkEnd w:id="192"/>
      <w:bookmarkEnd w:id="193"/>
    </w:p>
    <w:p w14:paraId="20DF6FC7">
      <w:pPr>
        <w:pStyle w:val="12"/>
        <w:pageBreakBefore w:val="0"/>
        <w:kinsoku/>
        <w:overflowPunct/>
        <w:topLinePunct w:val="0"/>
        <w:bidi w:val="0"/>
        <w:spacing w:line="360" w:lineRule="auto"/>
        <w:rPr>
          <w:rFonts w:hint="eastAsia" w:ascii="宋体" w:hAnsi="宋体" w:eastAsia="宋体" w:cs="宋体"/>
          <w:color w:val="auto"/>
          <w:sz w:val="24"/>
          <w:szCs w:val="24"/>
          <w:highlight w:val="none"/>
          <w:lang w:val="ru-RU"/>
        </w:rPr>
      </w:pPr>
      <w:r>
        <w:rPr>
          <w:rFonts w:hint="eastAsia" w:ascii="宋体" w:hAnsi="宋体" w:eastAsia="宋体" w:cs="宋体"/>
          <w:color w:val="auto"/>
          <w:sz w:val="24"/>
          <w:szCs w:val="24"/>
          <w:highlight w:val="none"/>
        </w:rPr>
        <w:t>12.1供应商应将响应文件</w:t>
      </w:r>
      <w:r>
        <w:rPr>
          <w:rFonts w:hint="eastAsia" w:ascii="宋体" w:hAnsi="宋体" w:eastAsia="宋体" w:cs="宋体"/>
          <w:color w:val="auto"/>
          <w:sz w:val="24"/>
          <w:szCs w:val="24"/>
          <w:highlight w:val="none"/>
          <w:lang w:val="ru-RU"/>
        </w:rPr>
        <w:t>“正本”、“副本”、“电子文档”、“竞争性磋商首次报价表”须分别装封于不同的密封袋中，加贴密封条，并在密封包装的封口处加盖供应商公章和法定代表人章；响应文件的封套上应标记“正本”、“副本”、“电</w:t>
      </w:r>
      <w:r>
        <w:rPr>
          <w:rFonts w:hint="eastAsia" w:ascii="宋体" w:hAnsi="宋体" w:eastAsia="宋体" w:cs="宋体"/>
          <w:color w:val="auto"/>
          <w:sz w:val="24"/>
          <w:szCs w:val="24"/>
          <w:highlight w:val="none"/>
        </w:rPr>
        <w:t>子文档”、“</w:t>
      </w:r>
      <w:r>
        <w:rPr>
          <w:rFonts w:hint="eastAsia" w:ascii="宋体" w:hAnsi="宋体" w:eastAsia="宋体" w:cs="宋体"/>
          <w:color w:val="auto"/>
          <w:sz w:val="24"/>
          <w:szCs w:val="24"/>
          <w:highlight w:val="none"/>
          <w:lang w:val="ru-RU"/>
        </w:rPr>
        <w:t>竞争性磋商首次报价表</w:t>
      </w:r>
      <w:r>
        <w:rPr>
          <w:rFonts w:hint="eastAsia" w:ascii="宋体" w:hAnsi="宋体" w:eastAsia="宋体" w:cs="宋体"/>
          <w:color w:val="auto"/>
          <w:sz w:val="24"/>
          <w:szCs w:val="24"/>
          <w:highlight w:val="none"/>
        </w:rPr>
        <w:t>”字样，并注明供应商名称、采购项目</w:t>
      </w:r>
      <w:r>
        <w:rPr>
          <w:rFonts w:hint="eastAsia" w:ascii="宋体" w:hAnsi="宋体" w:eastAsia="宋体" w:cs="宋体"/>
          <w:color w:val="auto"/>
          <w:sz w:val="24"/>
          <w:szCs w:val="24"/>
          <w:highlight w:val="none"/>
          <w:lang w:eastAsia="zh-CN"/>
        </w:rPr>
        <w:t>名称及</w:t>
      </w:r>
      <w:r>
        <w:rPr>
          <w:rFonts w:hint="eastAsia" w:ascii="宋体" w:hAnsi="宋体" w:eastAsia="宋体" w:cs="宋体"/>
          <w:color w:val="auto"/>
          <w:sz w:val="24"/>
          <w:szCs w:val="24"/>
          <w:highlight w:val="none"/>
        </w:rPr>
        <w:t>编号 。</w:t>
      </w:r>
    </w:p>
    <w:p w14:paraId="07F6E092">
      <w:pPr>
        <w:pStyle w:val="12"/>
        <w:pageBreakBefore w:val="0"/>
        <w:kinsoku/>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12.2密封后的响应文件均应：</w:t>
      </w:r>
    </w:p>
    <w:p w14:paraId="7D606B78">
      <w:pPr>
        <w:pStyle w:val="12"/>
        <w:pageBreakBefore w:val="0"/>
        <w:kinsoku/>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（1）按“供应商须知前附表”中注明的时间、地址送达；</w:t>
      </w:r>
    </w:p>
    <w:p w14:paraId="56D8E483">
      <w:pPr>
        <w:pStyle w:val="12"/>
        <w:pageBreakBefore w:val="0"/>
        <w:kinsoku/>
        <w:overflowPunct/>
        <w:topLinePunct w:val="0"/>
        <w:bidi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（2）密封袋写明“</w:t>
      </w:r>
      <w:r>
        <w:rPr>
          <w:rFonts w:hint="eastAsia" w:ascii="宋体" w:hAnsi="宋体" w:eastAsia="宋体" w:cs="宋体"/>
          <w:b/>
          <w:color w:val="auto"/>
          <w:sz w:val="24"/>
          <w:szCs w:val="24"/>
          <w:highlight w:val="none"/>
        </w:rPr>
        <w:t>于</w:t>
      </w:r>
      <w:r>
        <w:rPr>
          <w:rFonts w:hint="eastAsia" w:ascii="宋体" w:hAnsi="宋体" w:eastAsia="宋体" w:cs="宋体"/>
          <w:b/>
          <w:bCs w:val="0"/>
          <w:color w:val="auto"/>
          <w:sz w:val="24"/>
          <w:szCs w:val="22"/>
          <w:highlight w:val="none"/>
          <w:lang w:val="en-US" w:eastAsia="zh-CN"/>
        </w:rPr>
        <w:t>**</w:t>
      </w:r>
      <w:r>
        <w:rPr>
          <w:rFonts w:hint="eastAsia" w:ascii="宋体" w:hAnsi="宋体" w:eastAsia="宋体" w:cs="宋体"/>
          <w:b/>
          <w:bCs w:val="0"/>
          <w:color w:val="auto"/>
          <w:sz w:val="24"/>
          <w:szCs w:val="22"/>
          <w:highlight w:val="none"/>
          <w:lang w:val="zh-CN"/>
        </w:rPr>
        <w:t>年</w:t>
      </w:r>
      <w:r>
        <w:rPr>
          <w:rFonts w:hint="eastAsia" w:ascii="宋体" w:hAnsi="宋体" w:eastAsia="宋体" w:cs="宋体"/>
          <w:b/>
          <w:bCs w:val="0"/>
          <w:color w:val="auto"/>
          <w:sz w:val="24"/>
          <w:szCs w:val="22"/>
          <w:highlight w:val="none"/>
          <w:lang w:val="en-US" w:eastAsia="zh-CN"/>
        </w:rPr>
        <w:t>**</w:t>
      </w:r>
      <w:r>
        <w:rPr>
          <w:rFonts w:hint="eastAsia" w:ascii="宋体" w:hAnsi="宋体" w:eastAsia="宋体" w:cs="宋体"/>
          <w:b/>
          <w:bCs w:val="0"/>
          <w:color w:val="auto"/>
          <w:sz w:val="24"/>
          <w:szCs w:val="22"/>
          <w:highlight w:val="none"/>
          <w:lang w:val="zh-CN"/>
        </w:rPr>
        <w:t>月</w:t>
      </w:r>
      <w:r>
        <w:rPr>
          <w:rFonts w:hint="eastAsia" w:ascii="宋体" w:hAnsi="宋体" w:eastAsia="宋体" w:cs="宋体"/>
          <w:b/>
          <w:bCs w:val="0"/>
          <w:color w:val="auto"/>
          <w:sz w:val="24"/>
          <w:szCs w:val="22"/>
          <w:highlight w:val="none"/>
          <w:lang w:val="en-US" w:eastAsia="zh-CN"/>
        </w:rPr>
        <w:t>**</w:t>
      </w:r>
      <w:r>
        <w:rPr>
          <w:rFonts w:hint="eastAsia" w:ascii="宋体" w:hAnsi="宋体" w:eastAsia="宋体" w:cs="宋体"/>
          <w:b/>
          <w:bCs w:val="0"/>
          <w:color w:val="auto"/>
          <w:sz w:val="24"/>
          <w:szCs w:val="22"/>
          <w:highlight w:val="none"/>
          <w:lang w:val="zh-CN"/>
        </w:rPr>
        <w:t>日上</w:t>
      </w:r>
      <w:r>
        <w:rPr>
          <w:rFonts w:hint="eastAsia" w:ascii="宋体" w:hAnsi="宋体" w:eastAsia="宋体" w:cs="宋体"/>
          <w:b/>
          <w:bCs w:val="0"/>
          <w:color w:val="auto"/>
          <w:sz w:val="24"/>
          <w:szCs w:val="22"/>
          <w:highlight w:val="none"/>
          <w:lang w:val="en-US" w:eastAsia="zh-CN"/>
        </w:rPr>
        <w:t>/下</w:t>
      </w:r>
      <w:r>
        <w:rPr>
          <w:rFonts w:hint="eastAsia" w:ascii="宋体" w:hAnsi="宋体" w:eastAsia="宋体" w:cs="宋体"/>
          <w:b/>
          <w:bCs w:val="0"/>
          <w:color w:val="auto"/>
          <w:sz w:val="24"/>
          <w:szCs w:val="22"/>
          <w:highlight w:val="none"/>
          <w:lang w:val="zh-CN"/>
        </w:rPr>
        <w:t>午</w:t>
      </w:r>
      <w:r>
        <w:rPr>
          <w:rFonts w:hint="eastAsia" w:ascii="宋体" w:hAnsi="宋体" w:eastAsia="宋体" w:cs="宋体"/>
          <w:b/>
          <w:bCs w:val="0"/>
          <w:color w:val="auto"/>
          <w:sz w:val="24"/>
          <w:szCs w:val="22"/>
          <w:highlight w:val="none"/>
          <w:lang w:val="en-US" w:eastAsia="zh-CN"/>
        </w:rPr>
        <w:t>**</w:t>
      </w:r>
      <w:r>
        <w:rPr>
          <w:rFonts w:hint="eastAsia" w:ascii="宋体" w:hAnsi="宋体" w:eastAsia="宋体" w:cs="宋体"/>
          <w:b/>
          <w:bCs w:val="0"/>
          <w:color w:val="auto"/>
          <w:sz w:val="24"/>
          <w:szCs w:val="22"/>
          <w:highlight w:val="none"/>
          <w:lang w:val="zh-CN"/>
        </w:rPr>
        <w:t>时</w:t>
      </w:r>
      <w:r>
        <w:rPr>
          <w:rFonts w:hint="eastAsia" w:ascii="宋体" w:hAnsi="宋体" w:eastAsia="宋体" w:cs="宋体"/>
          <w:b/>
          <w:bCs w:val="0"/>
          <w:color w:val="auto"/>
          <w:sz w:val="24"/>
          <w:szCs w:val="22"/>
          <w:highlight w:val="none"/>
          <w:lang w:val="en-US" w:eastAsia="zh-CN"/>
        </w:rPr>
        <w:t>**</w:t>
      </w:r>
      <w:r>
        <w:rPr>
          <w:rFonts w:hint="eastAsia" w:ascii="宋体" w:hAnsi="宋体" w:eastAsia="宋体" w:cs="宋体"/>
          <w:b/>
          <w:bCs w:val="0"/>
          <w:color w:val="auto"/>
          <w:sz w:val="24"/>
          <w:szCs w:val="22"/>
          <w:highlight w:val="none"/>
          <w:lang w:val="zh-CN"/>
        </w:rPr>
        <w:t>分（北京时间）</w:t>
      </w:r>
      <w:r>
        <w:rPr>
          <w:rFonts w:hint="eastAsia" w:ascii="宋体" w:hAnsi="宋体" w:eastAsia="宋体" w:cs="宋体"/>
          <w:b/>
          <w:bCs w:val="0"/>
          <w:color w:val="auto"/>
          <w:sz w:val="24"/>
          <w:szCs w:val="24"/>
          <w:highlight w:val="none"/>
        </w:rPr>
        <w:t>之</w:t>
      </w:r>
      <w:r>
        <w:rPr>
          <w:rFonts w:hint="eastAsia" w:ascii="宋体" w:hAnsi="宋体" w:eastAsia="宋体" w:cs="宋体"/>
          <w:b/>
          <w:color w:val="auto"/>
          <w:sz w:val="24"/>
          <w:szCs w:val="24"/>
          <w:highlight w:val="none"/>
        </w:rPr>
        <w:t>前不准启封</w:t>
      </w:r>
      <w:r>
        <w:rPr>
          <w:rFonts w:hint="eastAsia" w:ascii="宋体" w:hAnsi="宋体" w:eastAsia="宋体" w:cs="宋体"/>
          <w:color w:val="auto"/>
          <w:sz w:val="24"/>
          <w:szCs w:val="24"/>
          <w:highlight w:val="none"/>
        </w:rPr>
        <w:t>”标签。</w:t>
      </w:r>
      <w:r>
        <w:rPr>
          <w:rFonts w:hint="eastAsia" w:ascii="宋体" w:hAnsi="宋体" w:eastAsia="宋体" w:cs="宋体"/>
          <w:color w:val="auto"/>
          <w:sz w:val="24"/>
          <w:szCs w:val="24"/>
          <w:highlight w:val="none"/>
          <w:lang w:eastAsia="zh-CN"/>
        </w:rPr>
        <w:t>（同开标时间）</w:t>
      </w:r>
    </w:p>
    <w:p w14:paraId="0FDA7F61">
      <w:pPr>
        <w:pStyle w:val="12"/>
        <w:pageBreakBefore w:val="0"/>
        <w:kinsoku/>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（3）供应商如投多个包，响应文件每包分别按上述规定装订（如果有）。</w:t>
      </w:r>
    </w:p>
    <w:p w14:paraId="3D0189A3">
      <w:pPr>
        <w:pStyle w:val="12"/>
        <w:pageBreakBefore w:val="0"/>
        <w:kinsoku/>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12.3如果供应商未按第12.1-12.2条要求将响应文件密封或在密封袋上加写标记的，采购代理机构将不予受理。</w:t>
      </w:r>
    </w:p>
    <w:p w14:paraId="674C92E2">
      <w:pPr>
        <w:pStyle w:val="12"/>
        <w:pageBreakBefore w:val="0"/>
        <w:kinsoku/>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12.4供应商以电报、电话、传真形式投标的，采购代理机构概不接受。</w:t>
      </w:r>
    </w:p>
    <w:p w14:paraId="08D8E6F9">
      <w:pPr>
        <w:pStyle w:val="3"/>
        <w:pageBreakBefore w:val="0"/>
        <w:kinsoku/>
        <w:overflowPunct/>
        <w:topLinePunct w:val="0"/>
        <w:bidi w:val="0"/>
        <w:spacing w:line="360" w:lineRule="auto"/>
        <w:rPr>
          <w:rFonts w:hint="eastAsia" w:ascii="宋体" w:hAnsi="宋体" w:eastAsia="宋体" w:cs="宋体"/>
          <w:color w:val="auto"/>
          <w:highlight w:val="none"/>
        </w:rPr>
      </w:pPr>
      <w:bookmarkStart w:id="203" w:name="_Toc325726017"/>
      <w:bookmarkStart w:id="204" w:name="_Toc373392583"/>
      <w:bookmarkStart w:id="205" w:name="_Toc30756"/>
      <w:bookmarkStart w:id="206" w:name="_Toc412617732"/>
      <w:bookmarkStart w:id="207" w:name="_Toc4009"/>
      <w:bookmarkStart w:id="208" w:name="_Toc22324"/>
      <w:bookmarkStart w:id="209" w:name="_Toc495567953"/>
      <w:bookmarkStart w:id="210" w:name="_Toc495666270"/>
      <w:bookmarkStart w:id="211" w:name="_Toc13910"/>
      <w:bookmarkStart w:id="212" w:name="_Toc376936749"/>
      <w:bookmarkStart w:id="213" w:name="_Toc371090030"/>
      <w:r>
        <w:rPr>
          <w:rFonts w:hint="eastAsia" w:ascii="宋体" w:hAnsi="宋体" w:eastAsia="宋体" w:cs="宋体"/>
          <w:color w:val="auto"/>
          <w:highlight w:val="none"/>
        </w:rPr>
        <w:t>13.</w:t>
      </w:r>
      <w:bookmarkEnd w:id="203"/>
      <w:bookmarkEnd w:id="204"/>
      <w:bookmarkEnd w:id="205"/>
      <w:bookmarkEnd w:id="206"/>
      <w:bookmarkEnd w:id="207"/>
      <w:r>
        <w:rPr>
          <w:rFonts w:hint="eastAsia" w:ascii="宋体" w:hAnsi="宋体" w:eastAsia="宋体" w:cs="宋体"/>
          <w:color w:val="auto"/>
          <w:highlight w:val="none"/>
        </w:rPr>
        <w:t>提交响应文件截止时间、地点</w:t>
      </w:r>
      <w:bookmarkEnd w:id="208"/>
      <w:bookmarkEnd w:id="209"/>
      <w:bookmarkEnd w:id="210"/>
      <w:bookmarkEnd w:id="211"/>
    </w:p>
    <w:p w14:paraId="4DAC23D7">
      <w:pPr>
        <w:pStyle w:val="12"/>
        <w:pageBreakBefore w:val="0"/>
        <w:kinsoku/>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13.1响应文件提交的截止时间及地点详见“供应商须知前附表”。</w:t>
      </w:r>
    </w:p>
    <w:p w14:paraId="4F6F0776">
      <w:pPr>
        <w:pStyle w:val="12"/>
        <w:pageBreakBefore w:val="0"/>
        <w:kinsoku/>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13.2采购代理机构将拒绝接受在提交首次响应文件截止时间之后送达的响应文件。</w:t>
      </w:r>
      <w:bookmarkEnd w:id="212"/>
      <w:bookmarkEnd w:id="213"/>
    </w:p>
    <w:p w14:paraId="0858C8F7">
      <w:pPr>
        <w:pStyle w:val="2"/>
        <w:rPr>
          <w:rFonts w:hint="eastAsia" w:ascii="宋体" w:hAnsi="宋体" w:eastAsia="宋体" w:cs="宋体"/>
          <w:color w:val="auto"/>
          <w:highlight w:val="none"/>
          <w:lang w:val="zh-CN"/>
        </w:rPr>
      </w:pPr>
      <w:bookmarkStart w:id="214" w:name="_Toc2320"/>
      <w:r>
        <w:rPr>
          <w:rFonts w:hint="eastAsia" w:ascii="宋体" w:hAnsi="宋体" w:eastAsia="宋体" w:cs="宋体"/>
          <w:color w:val="auto"/>
          <w:highlight w:val="none"/>
          <w:lang w:val="zh-CN"/>
        </w:rPr>
        <w:t>五、</w:t>
      </w:r>
      <w:bookmarkEnd w:id="194"/>
      <w:bookmarkEnd w:id="195"/>
      <w:r>
        <w:rPr>
          <w:rFonts w:hint="eastAsia" w:ascii="宋体" w:hAnsi="宋体" w:eastAsia="宋体" w:cs="宋体"/>
          <w:color w:val="auto"/>
          <w:highlight w:val="none"/>
          <w:lang w:val="zh-CN"/>
        </w:rPr>
        <w:t>磋商过程</w:t>
      </w:r>
      <w:bookmarkEnd w:id="196"/>
      <w:bookmarkEnd w:id="197"/>
      <w:bookmarkEnd w:id="198"/>
      <w:bookmarkEnd w:id="199"/>
      <w:bookmarkEnd w:id="200"/>
      <w:bookmarkEnd w:id="201"/>
      <w:bookmarkEnd w:id="202"/>
      <w:bookmarkEnd w:id="214"/>
    </w:p>
    <w:p w14:paraId="582F1CEB">
      <w:pPr>
        <w:pStyle w:val="3"/>
        <w:rPr>
          <w:rFonts w:hint="eastAsia" w:ascii="宋体" w:hAnsi="宋体" w:eastAsia="宋体" w:cs="宋体"/>
          <w:color w:val="auto"/>
          <w:highlight w:val="none"/>
        </w:rPr>
      </w:pPr>
      <w:bookmarkStart w:id="215" w:name="_Toc376936751"/>
      <w:bookmarkStart w:id="216" w:name="_Toc325726020"/>
      <w:bookmarkStart w:id="217" w:name="_Toc495567954"/>
      <w:bookmarkStart w:id="218" w:name="_Toc16202"/>
      <w:bookmarkStart w:id="219" w:name="_Toc495666271"/>
      <w:bookmarkStart w:id="220" w:name="_Toc15630"/>
      <w:bookmarkStart w:id="221" w:name="_Toc29901"/>
      <w:bookmarkStart w:id="222" w:name="_Toc14116"/>
      <w:bookmarkStart w:id="223" w:name="_Toc22737"/>
      <w:bookmarkStart w:id="224" w:name="_Toc26723"/>
      <w:bookmarkStart w:id="225" w:name="_Toc5561"/>
      <w:r>
        <w:rPr>
          <w:rFonts w:hint="eastAsia" w:ascii="宋体" w:hAnsi="宋体" w:eastAsia="宋体" w:cs="宋体"/>
          <w:color w:val="auto"/>
          <w:highlight w:val="none"/>
        </w:rPr>
        <w:t>14.</w:t>
      </w:r>
      <w:bookmarkEnd w:id="215"/>
      <w:bookmarkEnd w:id="216"/>
      <w:r>
        <w:rPr>
          <w:rFonts w:hint="eastAsia" w:ascii="宋体" w:hAnsi="宋体" w:eastAsia="宋体" w:cs="宋体"/>
          <w:color w:val="auto"/>
          <w:highlight w:val="none"/>
        </w:rPr>
        <w:t>磋商过程</w:t>
      </w:r>
      <w:bookmarkEnd w:id="217"/>
      <w:bookmarkEnd w:id="218"/>
      <w:bookmarkEnd w:id="219"/>
      <w:bookmarkEnd w:id="220"/>
      <w:bookmarkEnd w:id="221"/>
      <w:bookmarkEnd w:id="222"/>
      <w:bookmarkEnd w:id="223"/>
      <w:bookmarkEnd w:id="224"/>
      <w:bookmarkEnd w:id="225"/>
    </w:p>
    <w:p w14:paraId="082D2A5F">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14.1采购代理机构按本磋商文件中确定的时间和地点组织本项目的磋商活动。</w:t>
      </w:r>
    </w:p>
    <w:p w14:paraId="477602DB">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 磋商工作由采购代理机构组织，采购人、采购监管、纪检监察等有关方面代表可根据采购项目的具体情况列席。</w:t>
      </w:r>
    </w:p>
    <w:p w14:paraId="7872CC2B">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 磋商过程有专人记录，并存档备查。</w:t>
      </w:r>
    </w:p>
    <w:p w14:paraId="3D51E47E">
      <w:pPr>
        <w:pStyle w:val="2"/>
        <w:rPr>
          <w:rFonts w:hint="eastAsia" w:ascii="宋体" w:hAnsi="宋体" w:eastAsia="宋体" w:cs="宋体"/>
          <w:color w:val="auto"/>
          <w:highlight w:val="none"/>
          <w:lang w:val="zh-CN"/>
        </w:rPr>
      </w:pPr>
      <w:bookmarkStart w:id="226" w:name="_Toc13482"/>
      <w:bookmarkStart w:id="227" w:name="_Toc325726021"/>
      <w:bookmarkStart w:id="228" w:name="_Toc8225"/>
      <w:bookmarkStart w:id="229" w:name="_Toc19030"/>
      <w:bookmarkStart w:id="230" w:name="_Toc27021"/>
      <w:bookmarkStart w:id="231" w:name="_Toc17414"/>
      <w:bookmarkStart w:id="232" w:name="_Toc376936752"/>
      <w:bookmarkStart w:id="233" w:name="_Toc16303"/>
      <w:bookmarkStart w:id="234" w:name="_Toc17176"/>
      <w:bookmarkStart w:id="235" w:name="_Toc18107"/>
      <w:r>
        <w:rPr>
          <w:rFonts w:hint="eastAsia" w:ascii="宋体" w:hAnsi="宋体" w:eastAsia="宋体" w:cs="宋体"/>
          <w:color w:val="auto"/>
          <w:highlight w:val="none"/>
          <w:lang w:val="zh-CN"/>
        </w:rPr>
        <w:t>六、磋商程序及方法</w:t>
      </w:r>
      <w:bookmarkEnd w:id="226"/>
      <w:bookmarkEnd w:id="227"/>
      <w:bookmarkEnd w:id="228"/>
      <w:bookmarkEnd w:id="229"/>
      <w:bookmarkEnd w:id="230"/>
      <w:bookmarkEnd w:id="231"/>
      <w:bookmarkEnd w:id="232"/>
      <w:bookmarkEnd w:id="233"/>
      <w:bookmarkEnd w:id="234"/>
      <w:bookmarkEnd w:id="235"/>
    </w:p>
    <w:p w14:paraId="5DC2268C">
      <w:pPr>
        <w:pStyle w:val="3"/>
        <w:rPr>
          <w:rFonts w:hint="eastAsia" w:ascii="宋体" w:hAnsi="宋体" w:eastAsia="宋体" w:cs="宋体"/>
          <w:color w:val="auto"/>
          <w:highlight w:val="none"/>
        </w:rPr>
      </w:pPr>
      <w:bookmarkStart w:id="236" w:name="_Toc16935"/>
      <w:bookmarkStart w:id="237" w:name="_Toc495567955"/>
      <w:bookmarkStart w:id="238" w:name="_Toc21793"/>
      <w:bookmarkStart w:id="239" w:name="_Toc325726022"/>
      <w:bookmarkStart w:id="240" w:name="_Toc13947"/>
      <w:bookmarkStart w:id="241" w:name="_Toc23749"/>
      <w:bookmarkStart w:id="242" w:name="_Toc495666272"/>
      <w:bookmarkStart w:id="243" w:name="_Toc29058"/>
      <w:bookmarkStart w:id="244" w:name="_Toc15222"/>
      <w:bookmarkStart w:id="245" w:name="_Toc26121"/>
      <w:bookmarkStart w:id="246" w:name="_Toc376936753"/>
      <w:r>
        <w:rPr>
          <w:rFonts w:hint="eastAsia" w:ascii="宋体" w:hAnsi="宋体" w:eastAsia="宋体" w:cs="宋体"/>
          <w:color w:val="auto"/>
          <w:highlight w:val="none"/>
        </w:rPr>
        <w:t>15.磋商小组</w:t>
      </w:r>
      <w:bookmarkEnd w:id="236"/>
      <w:bookmarkEnd w:id="237"/>
      <w:bookmarkEnd w:id="238"/>
      <w:bookmarkEnd w:id="239"/>
      <w:bookmarkEnd w:id="240"/>
      <w:bookmarkEnd w:id="241"/>
      <w:bookmarkEnd w:id="242"/>
      <w:bookmarkEnd w:id="243"/>
      <w:bookmarkEnd w:id="244"/>
      <w:bookmarkEnd w:id="245"/>
      <w:bookmarkEnd w:id="246"/>
    </w:p>
    <w:p w14:paraId="706D187C">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采购代理机构将根据采购项目的特点依法组建磋商小组，其成员由具有一定专业水平的技术、经济等方面的专家和采购人代表等三人以上单数组成。其中技术、经济等方面的专家不少于成员总数的三分之二。采购代理机构人员不得参加本机构代理的采购项目的评审。</w:t>
      </w:r>
    </w:p>
    <w:p w14:paraId="08C6638C">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15.2磋商由采购代理机构负责组织，具体磋商事务由依法组建的磋商小组负责，并独立履行下列职责：</w:t>
      </w:r>
    </w:p>
    <w:p w14:paraId="1C95F091">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（1）审查响应文件是否符合磋商文件要求，并作出评价；</w:t>
      </w:r>
    </w:p>
    <w:p w14:paraId="26AE6894">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（2）要求供应商对响应文件有关事项作出解释或澄清；</w:t>
      </w:r>
    </w:p>
    <w:p w14:paraId="716EF223">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（3）推荐预成交候选供应商；</w:t>
      </w:r>
    </w:p>
    <w:p w14:paraId="63FC501A">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（4）对非法干预评标工作的人员和机构进行举报或投诉。</w:t>
      </w:r>
    </w:p>
    <w:p w14:paraId="39A447B0">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15.3磋商小组应遵守并履行下列义务：</w:t>
      </w:r>
    </w:p>
    <w:p w14:paraId="44619F6B">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（1）遵纪守法，客观、公正、廉洁地履行职责；</w:t>
      </w:r>
    </w:p>
    <w:p w14:paraId="7E657126">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（2）按照磋商文件规定的评审方法和评审标准进行评审，对评审意见承担磋商小组成员责任；</w:t>
      </w:r>
    </w:p>
    <w:p w14:paraId="785AEC9D">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（3）对响应文件、磋商情况和磋商中获悉的商业秘密保密；</w:t>
      </w:r>
    </w:p>
    <w:p w14:paraId="0D4F70FD">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（4）参与磋商报告的起草；</w:t>
      </w:r>
    </w:p>
    <w:p w14:paraId="4561EBA1">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（5）解答供应商及有关方面的质疑；</w:t>
      </w:r>
    </w:p>
    <w:p w14:paraId="0E300F20">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（6）配合纪检部门进行投诉处理工作。</w:t>
      </w:r>
    </w:p>
    <w:p w14:paraId="74ACCBB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 磋商工作在有关部门的监督和严格保密的情况下依法开展，任何单位和个人不得非法干预、影响磋商工作和磋商结果。</w:t>
      </w:r>
    </w:p>
    <w:p w14:paraId="6BD6CC38">
      <w:pPr>
        <w:pStyle w:val="3"/>
        <w:rPr>
          <w:rFonts w:hint="eastAsia" w:ascii="宋体" w:hAnsi="宋体" w:eastAsia="宋体" w:cs="宋体"/>
          <w:color w:val="auto"/>
          <w:highlight w:val="none"/>
        </w:rPr>
      </w:pPr>
      <w:bookmarkStart w:id="247" w:name="_Toc19937"/>
      <w:bookmarkStart w:id="248" w:name="_Toc14694"/>
      <w:bookmarkStart w:id="249" w:name="_Toc495567956"/>
      <w:bookmarkStart w:id="250" w:name="_Toc325726023"/>
      <w:bookmarkStart w:id="251" w:name="_Toc376936754"/>
      <w:bookmarkStart w:id="252" w:name="_Toc27359"/>
      <w:bookmarkStart w:id="253" w:name="_Toc15041"/>
      <w:bookmarkStart w:id="254" w:name="_Toc7295"/>
      <w:bookmarkStart w:id="255" w:name="_Toc27086"/>
      <w:bookmarkStart w:id="256" w:name="_Toc6528"/>
      <w:bookmarkStart w:id="257" w:name="_Toc495666273"/>
      <w:r>
        <w:rPr>
          <w:rFonts w:hint="eastAsia" w:ascii="宋体" w:hAnsi="宋体" w:eastAsia="宋体" w:cs="宋体"/>
          <w:color w:val="auto"/>
          <w:highlight w:val="none"/>
        </w:rPr>
        <w:t>16.磋商程序</w:t>
      </w:r>
      <w:bookmarkEnd w:id="247"/>
      <w:bookmarkEnd w:id="248"/>
      <w:bookmarkEnd w:id="249"/>
      <w:bookmarkEnd w:id="250"/>
      <w:bookmarkEnd w:id="251"/>
      <w:bookmarkEnd w:id="252"/>
      <w:bookmarkEnd w:id="253"/>
      <w:bookmarkEnd w:id="254"/>
      <w:bookmarkEnd w:id="255"/>
      <w:bookmarkEnd w:id="256"/>
      <w:bookmarkEnd w:id="257"/>
    </w:p>
    <w:p w14:paraId="7D86D997">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进入磋商阶段后，磋商小组成员按照客观、公正、审慎的原则，根据磋商文件规定的评审程序、评审方法和评审标准进行独立开展评审工作，负责审议所有响应文件，并按先初审、后详审的程序对响应文件进行评审、评分。</w:t>
      </w:r>
    </w:p>
    <w:p w14:paraId="31FF94E3">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16.2初审阶段为资格性审查和符合性审查。响应文件在响应磋商文件要求方面出现的偏离，分为实质性偏离和非实质性偏离。</w:t>
      </w:r>
    </w:p>
    <w:p w14:paraId="1E658651">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16.2.1实质性偏离是指响应文件未能实质性响应磋商文件的要求。以下情况属于实质性偏离，响应文件有下列情况之一的，按无效文件处理。</w:t>
      </w:r>
    </w:p>
    <w:p w14:paraId="105F8171">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（1）不符合第</w:t>
      </w: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2款“合格的供应商”之规定的；</w:t>
      </w:r>
    </w:p>
    <w:p w14:paraId="26CF3844">
      <w:pPr>
        <w:spacing w:line="360" w:lineRule="auto"/>
        <w:ind w:firstLine="480" w:firstLineChars="20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未按磋商文件要求缴纳或未足额缴纳磋商保证金的；</w:t>
      </w:r>
    </w:p>
    <w:p w14:paraId="555C06D1">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（3）未按</w:t>
      </w:r>
      <w:r>
        <w:rPr>
          <w:rFonts w:hint="eastAsia" w:ascii="宋体" w:hAnsi="宋体" w:eastAsia="宋体" w:cs="宋体"/>
          <w:color w:val="auto"/>
          <w:sz w:val="24"/>
          <w:szCs w:val="24"/>
          <w:highlight w:val="none"/>
        </w:rPr>
        <w:t>竞争性磋商文件</w:t>
      </w:r>
      <w:r>
        <w:rPr>
          <w:rFonts w:hint="eastAsia" w:ascii="宋体" w:hAnsi="宋体" w:eastAsia="宋体" w:cs="宋体"/>
          <w:color w:val="auto"/>
          <w:sz w:val="24"/>
          <w:szCs w:val="24"/>
          <w:highlight w:val="none"/>
          <w:lang w:val="zh-CN"/>
        </w:rPr>
        <w:t>要求提供相关资料的；</w:t>
      </w:r>
    </w:p>
    <w:p w14:paraId="34312E99">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（4）响应文件内容没有按磋商文件规定和要求签字、盖章的；</w:t>
      </w:r>
    </w:p>
    <w:p w14:paraId="053032B1">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（5）响应文件编排混乱，且擅自修改磋商文件规定的格式内容的；</w:t>
      </w:r>
    </w:p>
    <w:p w14:paraId="309FE717">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（6）项目服务期、磋商有效期等不能满足磋商文件要求的；</w:t>
      </w:r>
    </w:p>
    <w:p w14:paraId="620AD95C">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（7）磋商项目的服务内容、服务标准明显不符合采购项目要求的；</w:t>
      </w:r>
    </w:p>
    <w:p w14:paraId="212585EF">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（8）未按照磋商文件要求提供电子文档的；</w:t>
      </w:r>
    </w:p>
    <w:p w14:paraId="2ACC2329">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（9）响应文件中附有采购人不能接受的条件的；</w:t>
      </w:r>
    </w:p>
    <w:p w14:paraId="335D074A">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（10）磋商小组认为应按无效响应处理的其他情况的；</w:t>
      </w:r>
    </w:p>
    <w:p w14:paraId="0F334474">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（11）法律、法规规定的其他情形的。</w:t>
      </w:r>
    </w:p>
    <w:p w14:paraId="416430EE">
      <w:pPr>
        <w:tabs>
          <w:tab w:val="left" w:pos="8787"/>
        </w:tabs>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16.2.2非实质性偏离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11641DD">
      <w:pPr>
        <w:tabs>
          <w:tab w:val="left" w:pos="8787"/>
        </w:tabs>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16.2.3 磋商小组要求供应商澄清、说明或者更正响应文件应当以书面形式作出。供应商的澄清、说明或者更正应当由法定代表人或其授权代表签字或者加盖公章。由授权代表签字的，应当附法定代表人授权书。</w:t>
      </w:r>
    </w:p>
    <w:p w14:paraId="5AA5555B">
      <w:pPr>
        <w:autoSpaceDE w:val="0"/>
        <w:autoSpaceDN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16.2.4 在响应文件初审、详审过程中，如果磋商小组成员出现对评审结果有不同意见的，应当以书面形式反映，磋商报告中应注明该不同意见。磋商小组成员拒绝在磋商报告中签字又不书面说明其不同意见和理由的，视为同意磋商结果。</w:t>
      </w:r>
    </w:p>
    <w:p w14:paraId="7BD3FEF4">
      <w:pPr>
        <w:autoSpaceDE w:val="0"/>
        <w:autoSpaceDN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77BC9855">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16.4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01342544">
      <w:pPr>
        <w:pStyle w:val="3"/>
        <w:rPr>
          <w:rFonts w:hint="eastAsia" w:ascii="宋体" w:hAnsi="宋体" w:eastAsia="宋体" w:cs="宋体"/>
          <w:color w:val="auto"/>
          <w:highlight w:val="none"/>
        </w:rPr>
      </w:pPr>
      <w:bookmarkStart w:id="258" w:name="_Toc9341"/>
      <w:bookmarkStart w:id="259" w:name="_Toc495567957"/>
      <w:bookmarkStart w:id="260" w:name="_Toc14670"/>
      <w:bookmarkStart w:id="261" w:name="_Toc22780"/>
      <w:bookmarkStart w:id="262" w:name="_Toc325726024"/>
      <w:bookmarkStart w:id="263" w:name="_Toc2954"/>
      <w:bookmarkStart w:id="264" w:name="_Toc495666274"/>
      <w:bookmarkStart w:id="265" w:name="_Toc13668"/>
      <w:bookmarkStart w:id="266" w:name="_Toc376936755"/>
      <w:bookmarkStart w:id="267" w:name="_Toc20611"/>
      <w:bookmarkStart w:id="268" w:name="_Toc10532"/>
      <w:r>
        <w:rPr>
          <w:rFonts w:hint="eastAsia" w:ascii="宋体" w:hAnsi="宋体" w:eastAsia="宋体" w:cs="宋体"/>
          <w:color w:val="auto"/>
          <w:highlight w:val="none"/>
        </w:rPr>
        <w:t>17.评审办法</w:t>
      </w:r>
      <w:bookmarkEnd w:id="258"/>
      <w:bookmarkEnd w:id="259"/>
      <w:bookmarkEnd w:id="260"/>
      <w:bookmarkEnd w:id="261"/>
      <w:bookmarkEnd w:id="262"/>
      <w:bookmarkEnd w:id="263"/>
      <w:bookmarkEnd w:id="264"/>
      <w:bookmarkEnd w:id="265"/>
      <w:bookmarkEnd w:id="266"/>
      <w:bookmarkEnd w:id="267"/>
      <w:bookmarkEnd w:id="268"/>
    </w:p>
    <w:p w14:paraId="304FD006">
      <w:pPr>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17.1</w:t>
      </w:r>
      <w:r>
        <w:rPr>
          <w:rFonts w:hint="eastAsia" w:ascii="宋体" w:hAnsi="宋体" w:eastAsia="宋体" w:cs="宋体"/>
          <w:color w:val="auto"/>
          <w:sz w:val="24"/>
          <w:highlight w:val="none"/>
        </w:rPr>
        <w:t>依照《中华人民共和国政府采购法》、《中华人民共和国政府采购法实施条例》、</w:t>
      </w:r>
      <w:r>
        <w:rPr>
          <w:rFonts w:hint="eastAsia" w:ascii="宋体" w:hAnsi="宋体" w:eastAsia="宋体" w:cs="宋体"/>
          <w:color w:val="auto"/>
          <w:sz w:val="24"/>
          <w:highlight w:val="none"/>
          <w:lang w:eastAsia="zh-CN"/>
        </w:rPr>
        <w:t>《政府采购促进中小企业发展管理办法》</w:t>
      </w:r>
      <w:r>
        <w:rPr>
          <w:rFonts w:hint="eastAsia" w:ascii="宋体" w:hAnsi="宋体" w:eastAsia="宋体" w:cs="宋体"/>
          <w:color w:val="auto"/>
          <w:sz w:val="24"/>
          <w:highlight w:val="none"/>
        </w:rPr>
        <w:t>的规定，结合该项目的特点制定本评审办法。本次评审采用综合评分法。</w:t>
      </w:r>
    </w:p>
    <w:p w14:paraId="6F9DC0EA">
      <w:pPr>
        <w:spacing w:line="360" w:lineRule="auto"/>
        <w:ind w:firstLine="480"/>
        <w:jc w:val="left"/>
        <w:rPr>
          <w:rFonts w:hint="eastAsia" w:ascii="宋体" w:hAnsi="宋体" w:eastAsia="宋体" w:cs="宋体"/>
          <w:b/>
          <w:color w:val="auto"/>
          <w:sz w:val="24"/>
          <w:highlight w:val="none"/>
        </w:rPr>
      </w:pPr>
      <w:r>
        <w:rPr>
          <w:rFonts w:hint="eastAsia" w:ascii="宋体" w:hAnsi="宋体" w:eastAsia="宋体" w:cs="宋体"/>
          <w:color w:val="auto"/>
          <w:sz w:val="24"/>
          <w:highlight w:val="none"/>
          <w:lang w:val="en-US" w:eastAsia="zh-CN"/>
        </w:rPr>
        <w:t>17.2</w:t>
      </w:r>
      <w:r>
        <w:rPr>
          <w:rFonts w:hint="eastAsia" w:ascii="宋体" w:hAnsi="宋体" w:eastAsia="宋体" w:cs="宋体"/>
          <w:color w:val="auto"/>
          <w:sz w:val="24"/>
          <w:highlight w:val="none"/>
        </w:rPr>
        <w:t>本次综合评分的主要因素是：磋商报价、</w:t>
      </w:r>
      <w:r>
        <w:rPr>
          <w:rFonts w:hint="eastAsia" w:ascii="宋体" w:hAnsi="宋体" w:eastAsia="宋体" w:cs="宋体"/>
          <w:color w:val="auto"/>
          <w:sz w:val="24"/>
          <w:highlight w:val="none"/>
          <w:lang w:val="en-US" w:eastAsia="zh-CN"/>
        </w:rPr>
        <w:t>服务方案</w:t>
      </w:r>
      <w:r>
        <w:rPr>
          <w:rFonts w:hint="eastAsia" w:ascii="宋体" w:hAnsi="宋体" w:eastAsia="宋体" w:cs="宋体"/>
          <w:color w:val="auto"/>
          <w:sz w:val="24"/>
          <w:highlight w:val="none"/>
        </w:rPr>
        <w:t>、履约</w:t>
      </w:r>
      <w:r>
        <w:rPr>
          <w:rFonts w:hint="eastAsia" w:ascii="宋体" w:hAnsi="宋体" w:eastAsia="宋体" w:cs="宋体"/>
          <w:color w:val="auto"/>
          <w:sz w:val="24"/>
          <w:highlight w:val="none"/>
          <w:lang w:val="en-US" w:eastAsia="zh-CN"/>
        </w:rPr>
        <w:t>能力、售后服务</w:t>
      </w:r>
      <w:r>
        <w:rPr>
          <w:rFonts w:hint="eastAsia" w:ascii="宋体" w:hAnsi="宋体" w:eastAsia="宋体" w:cs="宋体"/>
          <w:color w:val="auto"/>
          <w:sz w:val="24"/>
          <w:highlight w:val="none"/>
        </w:rPr>
        <w:t>等。评标过程中，在同等条件下，优先采购具有环境标志、节能、自主创新的产品。</w:t>
      </w:r>
    </w:p>
    <w:p w14:paraId="22FF20CA">
      <w:pPr>
        <w:autoSpaceDE w:val="0"/>
        <w:autoSpaceDN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b w:val="0"/>
          <w:bCs/>
          <w:color w:val="auto"/>
          <w:sz w:val="24"/>
          <w:highlight w:val="none"/>
          <w:lang w:val="en-US" w:eastAsia="zh-CN"/>
        </w:rPr>
        <w:t>17.3</w:t>
      </w:r>
      <w:r>
        <w:rPr>
          <w:rFonts w:hint="eastAsia" w:ascii="宋体" w:hAnsi="宋体" w:eastAsia="宋体" w:cs="宋体"/>
          <w:color w:val="auto"/>
          <w:sz w:val="24"/>
          <w:highlight w:val="none"/>
          <w:lang w:val="zh-CN"/>
        </w:rPr>
        <w:t>在评审过程中，磋商小组成员对需要共同认定的事项存在争议的，应当按照少数服从多数的原则作出结论。持不同意见的磋商小组成员应当在评标报告上签署不同意见及理由，否则视为同意评标报告。</w:t>
      </w:r>
    </w:p>
    <w:p w14:paraId="343C72D5">
      <w:pPr>
        <w:autoSpaceDE w:val="0"/>
        <w:autoSpaceDN w:val="0"/>
        <w:spacing w:line="360" w:lineRule="auto"/>
        <w:ind w:firstLine="480" w:firstLineChars="200"/>
        <w:jc w:val="left"/>
        <w:rPr>
          <w:rFonts w:hint="eastAsia" w:ascii="宋体" w:hAnsi="宋体" w:eastAsia="宋体" w:cs="宋体"/>
          <w:color w:val="auto"/>
          <w:highlight w:val="none"/>
        </w:rPr>
      </w:pPr>
      <w:r>
        <w:rPr>
          <w:rFonts w:hint="eastAsia" w:ascii="宋体" w:hAnsi="宋体" w:eastAsia="宋体" w:cs="宋体"/>
          <w:color w:val="auto"/>
          <w:sz w:val="24"/>
          <w:highlight w:val="none"/>
          <w:lang w:val="en-US" w:eastAsia="zh-CN"/>
        </w:rPr>
        <w:t>17.4</w:t>
      </w:r>
      <w:r>
        <w:rPr>
          <w:rFonts w:hint="eastAsia" w:ascii="宋体" w:hAnsi="宋体" w:eastAsia="宋体" w:cs="宋体"/>
          <w:color w:val="auto"/>
          <w:sz w:val="24"/>
          <w:highlight w:val="none"/>
          <w:lang w:val="zh-CN"/>
        </w:rPr>
        <w:t>提供相同品牌产品且通过资格审查、符合性审查的不同供应商参加同一合同项下投标的，按一家供应商计算，评审后得分最高的同品牌供应商获得成交供应商推荐资格；评审得分相同的，由采购人或者采购人委托磋商小组按照磋商文件规定的方式确定一个供应商获得成交供应商推荐资格，磋商文件未规定的采取随机抽取方式确定，其他同品牌供应商不作为中标候选人。非单一产品采购项目，采购人应当根据采购项目技术构成、产品价格比重等合理确定核心产品，并在磋商文件中载明。多家供应商提供的核心产品品牌相同的，按前两款规定处理。</w:t>
      </w:r>
    </w:p>
    <w:p w14:paraId="0DFB542A">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17</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比较与评价：在采购过程中符合要求的供应商只有</w:t>
      </w:r>
      <w:r>
        <w:rPr>
          <w:rFonts w:hint="eastAsia" w:ascii="宋体" w:hAnsi="宋体" w:eastAsia="宋体" w:cs="宋体"/>
          <w:color w:val="auto"/>
          <w:sz w:val="24"/>
          <w:highlight w:val="none"/>
          <w:lang w:val="en-US"/>
        </w:rPr>
        <w:t>2</w:t>
      </w:r>
      <w:r>
        <w:rPr>
          <w:rFonts w:hint="eastAsia" w:ascii="宋体" w:hAnsi="宋体" w:eastAsia="宋体" w:cs="宋体"/>
          <w:color w:val="auto"/>
          <w:sz w:val="24"/>
          <w:highlight w:val="none"/>
        </w:rPr>
        <w:t>家的，竞争性磋商采购活动可以继续进行</w:t>
      </w:r>
      <w:r>
        <w:rPr>
          <w:rFonts w:hint="eastAsia" w:ascii="宋体" w:hAnsi="宋体" w:eastAsia="宋体" w:cs="宋体"/>
          <w:color w:val="auto"/>
          <w:sz w:val="24"/>
          <w:highlight w:val="none"/>
          <w:lang w:eastAsia="zh-CN"/>
        </w:rPr>
        <w:t>（财库【</w:t>
      </w:r>
      <w:r>
        <w:rPr>
          <w:rFonts w:hint="eastAsia" w:ascii="宋体" w:hAnsi="宋体" w:eastAsia="宋体" w:cs="宋体"/>
          <w:color w:val="auto"/>
          <w:sz w:val="24"/>
          <w:highlight w:val="none"/>
          <w:lang w:val="en-US" w:eastAsia="zh-CN"/>
        </w:rPr>
        <w:t>2015</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124号</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经磋商小组确定最终采购需求和提交最后磋商报价的供应商名单后，由评审专家组织供应商就报价和技术部分2轮谈判讲解，3轮报价，确定的供应商在规定的时间内提交最后磋商报价。磋商小组将按磋商文件中规定的评审办法和标准，对</w:t>
      </w:r>
      <w:r>
        <w:rPr>
          <w:rFonts w:hint="eastAsia" w:ascii="宋体" w:hAnsi="宋体" w:eastAsia="宋体" w:cs="宋体"/>
          <w:color w:val="auto"/>
          <w:sz w:val="24"/>
          <w:highlight w:val="none"/>
          <w:lang w:val="en-US" w:eastAsia="zh-CN"/>
        </w:rPr>
        <w:t>提交最终报价供应商的</w:t>
      </w:r>
      <w:r>
        <w:rPr>
          <w:rFonts w:hint="eastAsia" w:ascii="宋体" w:hAnsi="宋体" w:eastAsia="宋体" w:cs="宋体"/>
          <w:color w:val="auto"/>
          <w:sz w:val="24"/>
          <w:highlight w:val="none"/>
        </w:rPr>
        <w:t>磋商响应文件进行综合比较与评价。即在最大限度地满足磋商文件实质性要求的前提下，按照磋商文件中规定的各项因素进行综合评审，以评审总得分由高到低排序推荐预成交候选人。若得分相同时，按最后磋商报价由低到高顺序排列；得分相同且最后磋商报价相同的，按技术指标优劣顺序排列。</w:t>
      </w:r>
    </w:p>
    <w:p w14:paraId="283D8D41">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 xml:space="preserve"> 评审标准和分值分配：</w:t>
      </w:r>
      <w:bookmarkStart w:id="269" w:name="_Toc325726025"/>
      <w:bookmarkStart w:id="270" w:name="_Toc376936756"/>
      <w:bookmarkStart w:id="271" w:name="_Toc29415"/>
      <w:bookmarkStart w:id="272" w:name="_Toc2506"/>
      <w:bookmarkStart w:id="273" w:name="_Toc1304"/>
      <w:bookmarkStart w:id="274" w:name="_Toc6689"/>
    </w:p>
    <w:tbl>
      <w:tblPr>
        <w:tblStyle w:val="22"/>
        <w:tblW w:w="8459" w:type="dxa"/>
        <w:jc w:val="center"/>
        <w:tblLayout w:type="fixed"/>
        <w:tblCellMar>
          <w:top w:w="0" w:type="dxa"/>
          <w:left w:w="108" w:type="dxa"/>
          <w:bottom w:w="0" w:type="dxa"/>
          <w:right w:w="108" w:type="dxa"/>
        </w:tblCellMar>
      </w:tblPr>
      <w:tblGrid>
        <w:gridCol w:w="755"/>
        <w:gridCol w:w="1093"/>
        <w:gridCol w:w="801"/>
        <w:gridCol w:w="5810"/>
      </w:tblGrid>
      <w:tr w14:paraId="5C61038E">
        <w:tblPrEx>
          <w:tblCellMar>
            <w:top w:w="0" w:type="dxa"/>
            <w:left w:w="108" w:type="dxa"/>
            <w:bottom w:w="0" w:type="dxa"/>
            <w:right w:w="108" w:type="dxa"/>
          </w:tblCellMar>
        </w:tblPrEx>
        <w:trPr>
          <w:trHeight w:val="1012" w:hRule="atLeast"/>
          <w:jc w:val="center"/>
        </w:trPr>
        <w:tc>
          <w:tcPr>
            <w:tcW w:w="75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B1635E1">
            <w:pPr>
              <w:adjustRightInd w:val="0"/>
              <w:spacing w:line="500" w:lineRule="exact"/>
              <w:jc w:val="center"/>
              <w:rPr>
                <w:rFonts w:hint="eastAsia" w:ascii="宋体" w:hAnsi="宋体" w:eastAsia="宋体" w:cs="宋体"/>
                <w:sz w:val="24"/>
                <w:szCs w:val="24"/>
                <w:highlight w:val="none"/>
              </w:rPr>
            </w:pPr>
            <w:bookmarkStart w:id="275" w:name="_Toc29574"/>
            <w:bookmarkStart w:id="276" w:name="_Toc13449"/>
            <w:bookmarkStart w:id="277" w:name="_Toc12760"/>
            <w:bookmarkStart w:id="278" w:name="_Toc14201"/>
            <w:r>
              <w:rPr>
                <w:rFonts w:hint="eastAsia" w:ascii="宋体" w:hAnsi="宋体" w:eastAsia="宋体" w:cs="宋体"/>
                <w:sz w:val="24"/>
                <w:szCs w:val="24"/>
                <w:highlight w:val="none"/>
              </w:rPr>
              <w:t>类别</w:t>
            </w:r>
          </w:p>
        </w:tc>
        <w:tc>
          <w:tcPr>
            <w:tcW w:w="109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2596DD9">
            <w:pPr>
              <w:adjustRightInd w:val="0"/>
              <w:spacing w:line="5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w:t>
            </w:r>
          </w:p>
        </w:tc>
        <w:tc>
          <w:tcPr>
            <w:tcW w:w="80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86CEA6C">
            <w:pPr>
              <w:adjustRightInd w:val="0"/>
              <w:spacing w:line="5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满分 分值</w:t>
            </w:r>
          </w:p>
        </w:tc>
        <w:tc>
          <w:tcPr>
            <w:tcW w:w="581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F8187A7">
            <w:pPr>
              <w:adjustRightInd w:val="0"/>
              <w:spacing w:line="500" w:lineRule="exact"/>
              <w:ind w:firstLine="48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评审标准</w:t>
            </w:r>
          </w:p>
        </w:tc>
      </w:tr>
      <w:tr w14:paraId="0F1AE883">
        <w:tblPrEx>
          <w:tblCellMar>
            <w:top w:w="0" w:type="dxa"/>
            <w:left w:w="108" w:type="dxa"/>
            <w:bottom w:w="0" w:type="dxa"/>
            <w:right w:w="108" w:type="dxa"/>
          </w:tblCellMar>
        </w:tblPrEx>
        <w:trPr>
          <w:trHeight w:val="2004" w:hRule="atLeast"/>
          <w:jc w:val="center"/>
        </w:trPr>
        <w:tc>
          <w:tcPr>
            <w:tcW w:w="755" w:type="dxa"/>
            <w:tcBorders>
              <w:top w:val="single" w:color="000000" w:sz="6" w:space="0"/>
              <w:left w:val="single" w:color="000000" w:sz="6" w:space="0"/>
              <w:bottom w:val="single" w:color="auto" w:sz="4" w:space="0"/>
              <w:right w:val="single" w:color="000000" w:sz="6" w:space="0"/>
            </w:tcBorders>
            <w:shd w:val="clear" w:color="000000" w:fill="FFFFFF"/>
            <w:noWrap w:val="0"/>
            <w:vAlign w:val="center"/>
          </w:tcPr>
          <w:p w14:paraId="7E6DE294">
            <w:pPr>
              <w:adjustRightInd w:val="0"/>
              <w:spacing w:line="5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投标报价</w:t>
            </w:r>
            <w:r>
              <w:rPr>
                <w:rFonts w:hint="eastAsia" w:eastAsia="宋体" w:cs="宋体"/>
                <w:sz w:val="24"/>
                <w:szCs w:val="24"/>
                <w:highlight w:val="none"/>
                <w:lang w:val="en-US" w:eastAsia="zh-CN"/>
              </w:rPr>
              <w:t>20</w:t>
            </w:r>
            <w:r>
              <w:rPr>
                <w:rFonts w:hint="eastAsia" w:ascii="宋体" w:hAnsi="宋体" w:eastAsia="宋体" w:cs="宋体"/>
                <w:sz w:val="24"/>
                <w:szCs w:val="24"/>
                <w:highlight w:val="none"/>
              </w:rPr>
              <w:t>分</w:t>
            </w:r>
          </w:p>
        </w:tc>
        <w:tc>
          <w:tcPr>
            <w:tcW w:w="109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B7366BB">
            <w:pPr>
              <w:adjustRightInd w:val="0"/>
              <w:spacing w:line="5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报价分</w:t>
            </w:r>
          </w:p>
        </w:tc>
        <w:tc>
          <w:tcPr>
            <w:tcW w:w="80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9456769">
            <w:pPr>
              <w:adjustRightInd w:val="0"/>
              <w:spacing w:line="500" w:lineRule="exact"/>
              <w:jc w:val="center"/>
              <w:rPr>
                <w:rFonts w:hint="default" w:ascii="宋体" w:hAnsi="宋体" w:eastAsia="宋体" w:cs="宋体"/>
                <w:sz w:val="24"/>
                <w:szCs w:val="24"/>
                <w:highlight w:val="none"/>
                <w:lang w:val="en-US" w:eastAsia="zh-CN"/>
              </w:rPr>
            </w:pPr>
            <w:r>
              <w:rPr>
                <w:rFonts w:hint="eastAsia" w:eastAsia="宋体" w:cs="宋体"/>
                <w:sz w:val="24"/>
                <w:szCs w:val="24"/>
                <w:highlight w:val="none"/>
                <w:lang w:val="en-US" w:eastAsia="zh-CN"/>
              </w:rPr>
              <w:t>20</w:t>
            </w:r>
          </w:p>
        </w:tc>
        <w:tc>
          <w:tcPr>
            <w:tcW w:w="581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3FFDEA0">
            <w:pPr>
              <w:adjustRightInd w:val="0"/>
              <w:spacing w:line="500" w:lineRule="exact"/>
              <w:rPr>
                <w:rFonts w:hint="eastAsia" w:ascii="宋体" w:hAnsi="宋体" w:eastAsia="宋体" w:cs="宋体"/>
                <w:sz w:val="24"/>
                <w:szCs w:val="24"/>
                <w:highlight w:val="none"/>
                <w:lang w:val="en-US"/>
              </w:rPr>
            </w:pPr>
            <w:r>
              <w:rPr>
                <w:rFonts w:hint="eastAsia" w:ascii="宋体" w:hAnsi="宋体" w:eastAsia="宋体" w:cs="宋体"/>
                <w:color w:val="auto"/>
                <w:sz w:val="24"/>
                <w:szCs w:val="24"/>
                <w:highlight w:val="none"/>
                <w:shd w:val="clear" w:color="auto" w:fill="FFFFFF"/>
              </w:rPr>
              <w:t>价格分应当采用低价优先法计算，即满足招标文件要求且投标价格最 低的投标报价为评标基准价，其价格分为满分。其他投标人的价格分统一按照下列公式计算：投标报价得分= (评标基准价／投标报价)× 100×</w:t>
            </w:r>
            <w:r>
              <w:rPr>
                <w:rFonts w:hint="eastAsia" w:eastAsia="宋体" w:cs="宋体"/>
                <w:color w:val="auto"/>
                <w:sz w:val="24"/>
                <w:szCs w:val="24"/>
                <w:highlight w:val="none"/>
                <w:shd w:val="clear" w:color="auto" w:fill="FFFFFF"/>
                <w:lang w:val="en-US" w:eastAsia="zh-CN"/>
              </w:rPr>
              <w:t>20</w:t>
            </w:r>
            <w:r>
              <w:rPr>
                <w:rFonts w:hint="eastAsia" w:ascii="宋体" w:hAnsi="宋体" w:eastAsia="宋体" w:cs="宋体"/>
                <w:color w:val="auto"/>
                <w:sz w:val="24"/>
                <w:szCs w:val="24"/>
                <w:highlight w:val="none"/>
                <w:shd w:val="clear" w:color="auto" w:fill="FFFFFF"/>
              </w:rPr>
              <w:t>%。</w:t>
            </w:r>
          </w:p>
        </w:tc>
      </w:tr>
      <w:tr w14:paraId="0D98D9C6">
        <w:tblPrEx>
          <w:tblCellMar>
            <w:top w:w="0" w:type="dxa"/>
            <w:left w:w="108" w:type="dxa"/>
            <w:bottom w:w="0" w:type="dxa"/>
            <w:right w:w="108" w:type="dxa"/>
          </w:tblCellMar>
        </w:tblPrEx>
        <w:trPr>
          <w:trHeight w:val="1507" w:hRule="atLeast"/>
          <w:jc w:val="center"/>
        </w:trPr>
        <w:tc>
          <w:tcPr>
            <w:tcW w:w="755" w:type="dxa"/>
            <w:tcBorders>
              <w:top w:val="single" w:color="auto" w:sz="4" w:space="0"/>
              <w:left w:val="single" w:color="auto" w:sz="4" w:space="0"/>
              <w:right w:val="single" w:color="auto" w:sz="4" w:space="0"/>
            </w:tcBorders>
            <w:shd w:val="clear" w:color="000000" w:fill="FFFFFF"/>
            <w:noWrap w:val="0"/>
            <w:vAlign w:val="center"/>
          </w:tcPr>
          <w:p w14:paraId="567D0055">
            <w:pPr>
              <w:adjustRightInd w:val="0"/>
              <w:spacing w:line="5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商务评价</w:t>
            </w:r>
            <w:r>
              <w:rPr>
                <w:rFonts w:hint="eastAsia" w:ascii="宋体" w:hAnsi="宋体" w:eastAsia="宋体" w:cs="宋体"/>
                <w:sz w:val="24"/>
                <w:szCs w:val="24"/>
                <w:highlight w:val="none"/>
                <w:lang w:val="en-US" w:eastAsia="zh-CN"/>
              </w:rPr>
              <w:t>1</w:t>
            </w:r>
            <w:r>
              <w:rPr>
                <w:rFonts w:hint="eastAsia" w:eastAsia="宋体" w:cs="宋体"/>
                <w:sz w:val="24"/>
                <w:szCs w:val="24"/>
                <w:highlight w:val="none"/>
                <w:lang w:val="en-US" w:eastAsia="zh-CN"/>
              </w:rPr>
              <w:t>0</w:t>
            </w:r>
            <w:r>
              <w:rPr>
                <w:rFonts w:hint="eastAsia" w:ascii="宋体" w:hAnsi="宋体" w:eastAsia="宋体" w:cs="宋体"/>
                <w:sz w:val="24"/>
                <w:szCs w:val="24"/>
                <w:highlight w:val="none"/>
              </w:rPr>
              <w:t>分</w:t>
            </w:r>
          </w:p>
        </w:tc>
        <w:tc>
          <w:tcPr>
            <w:tcW w:w="1093" w:type="dxa"/>
            <w:tcBorders>
              <w:top w:val="single" w:color="000000" w:sz="6" w:space="0"/>
              <w:left w:val="single" w:color="auto" w:sz="4" w:space="0"/>
              <w:bottom w:val="single" w:color="000000" w:sz="6" w:space="0"/>
              <w:right w:val="single" w:color="000000" w:sz="6" w:space="0"/>
            </w:tcBorders>
            <w:shd w:val="clear" w:color="000000" w:fill="FFFFFF"/>
            <w:noWrap w:val="0"/>
            <w:vAlign w:val="center"/>
          </w:tcPr>
          <w:p w14:paraId="4CD8063C">
            <w:pPr>
              <w:adjustRightInd w:val="0"/>
              <w:spacing w:line="5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业绩</w:t>
            </w:r>
          </w:p>
          <w:p w14:paraId="588B1426">
            <w:pPr>
              <w:adjustRightInd w:val="0"/>
              <w:spacing w:line="5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情况</w:t>
            </w:r>
          </w:p>
        </w:tc>
        <w:tc>
          <w:tcPr>
            <w:tcW w:w="80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A4C8CBF">
            <w:pPr>
              <w:adjustRightInd w:val="0"/>
              <w:spacing w:line="5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w:t>
            </w:r>
            <w:r>
              <w:rPr>
                <w:rFonts w:hint="eastAsia" w:ascii="宋体" w:hAnsi="宋体" w:eastAsia="宋体" w:cs="宋体"/>
                <w:sz w:val="24"/>
                <w:szCs w:val="24"/>
                <w:highlight w:val="none"/>
                <w:lang w:val="en-US" w:eastAsia="zh-CN"/>
              </w:rPr>
              <w:t>分</w:t>
            </w:r>
          </w:p>
        </w:tc>
        <w:tc>
          <w:tcPr>
            <w:tcW w:w="581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25384CC">
            <w:pPr>
              <w:adjustRightInd w:val="0"/>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提供202</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月1日至</w:t>
            </w:r>
            <w:r>
              <w:rPr>
                <w:rFonts w:hint="eastAsia" w:ascii="宋体" w:hAnsi="宋体" w:eastAsia="宋体" w:cs="宋体"/>
                <w:sz w:val="24"/>
                <w:szCs w:val="24"/>
                <w:highlight w:val="none"/>
                <w:lang w:val="en-US" w:eastAsia="zh-CN"/>
              </w:rPr>
              <w:t>投标响应截止时间内</w:t>
            </w:r>
            <w:r>
              <w:rPr>
                <w:rFonts w:hint="eastAsia" w:ascii="宋体" w:hAnsi="宋体" w:eastAsia="宋体" w:cs="宋体"/>
                <w:sz w:val="24"/>
                <w:szCs w:val="24"/>
                <w:highlight w:val="none"/>
              </w:rPr>
              <w:t>类似项目有效业绩证明材料，提供一份得2分，满分10分；未提供不得分。（需提供合同复印件或</w:t>
            </w:r>
            <w:r>
              <w:rPr>
                <w:rFonts w:hint="eastAsia" w:eastAsia="宋体" w:cs="宋体"/>
                <w:sz w:val="24"/>
                <w:szCs w:val="24"/>
                <w:highlight w:val="none"/>
                <w:lang w:val="en-US" w:eastAsia="zh-CN"/>
              </w:rPr>
              <w:t>中标（</w:t>
            </w:r>
            <w:r>
              <w:rPr>
                <w:rFonts w:hint="eastAsia" w:ascii="宋体" w:hAnsi="宋体" w:eastAsia="宋体" w:cs="宋体"/>
                <w:sz w:val="24"/>
                <w:szCs w:val="24"/>
                <w:highlight w:val="none"/>
              </w:rPr>
              <w:t>成交</w:t>
            </w:r>
            <w:r>
              <w:rPr>
                <w:rFonts w:hint="eastAsia" w:eastAsia="宋体" w:cs="宋体"/>
                <w:sz w:val="24"/>
                <w:szCs w:val="24"/>
                <w:highlight w:val="none"/>
                <w:lang w:val="en-US" w:eastAsia="zh-CN"/>
              </w:rPr>
              <w:t>）</w:t>
            </w:r>
            <w:r>
              <w:rPr>
                <w:rFonts w:hint="eastAsia" w:ascii="宋体" w:hAnsi="宋体" w:eastAsia="宋体" w:cs="宋体"/>
                <w:sz w:val="24"/>
                <w:szCs w:val="24"/>
                <w:highlight w:val="none"/>
              </w:rPr>
              <w:t>通知书）</w:t>
            </w:r>
          </w:p>
        </w:tc>
      </w:tr>
      <w:tr w14:paraId="71DDE139">
        <w:tblPrEx>
          <w:tblCellMar>
            <w:top w:w="0" w:type="dxa"/>
            <w:left w:w="108" w:type="dxa"/>
            <w:bottom w:w="0" w:type="dxa"/>
            <w:right w:w="108" w:type="dxa"/>
          </w:tblCellMar>
        </w:tblPrEx>
        <w:trPr>
          <w:trHeight w:val="1507" w:hRule="atLeast"/>
          <w:jc w:val="center"/>
        </w:trPr>
        <w:tc>
          <w:tcPr>
            <w:tcW w:w="755" w:type="dxa"/>
            <w:tcBorders>
              <w:top w:val="single" w:color="auto" w:sz="4" w:space="0"/>
              <w:left w:val="single" w:color="auto" w:sz="4" w:space="0"/>
              <w:right w:val="single" w:color="auto" w:sz="4" w:space="0"/>
            </w:tcBorders>
            <w:shd w:val="clear" w:color="000000" w:fill="FFFFFF"/>
            <w:noWrap w:val="0"/>
            <w:vAlign w:val="center"/>
          </w:tcPr>
          <w:p w14:paraId="20C074EB">
            <w:pPr>
              <w:adjustRightInd w:val="0"/>
              <w:spacing w:line="500" w:lineRule="exact"/>
              <w:jc w:val="center"/>
              <w:rPr>
                <w:rFonts w:hint="default"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技术部分</w:t>
            </w:r>
            <w:r>
              <w:rPr>
                <w:rFonts w:hint="eastAsia" w:eastAsia="宋体" w:cs="宋体"/>
                <w:sz w:val="24"/>
                <w:szCs w:val="24"/>
                <w:highlight w:val="none"/>
                <w:lang w:val="en-US" w:eastAsia="zh-CN"/>
              </w:rPr>
              <w:t>40分</w:t>
            </w:r>
          </w:p>
          <w:p w14:paraId="008C5A4C">
            <w:pPr>
              <w:adjustRightInd w:val="0"/>
              <w:spacing w:line="500" w:lineRule="exact"/>
              <w:jc w:val="center"/>
              <w:rPr>
                <w:rFonts w:hint="eastAsia" w:ascii="宋体" w:hAnsi="宋体" w:eastAsia="宋体" w:cs="宋体"/>
                <w:sz w:val="24"/>
                <w:szCs w:val="24"/>
                <w:highlight w:val="none"/>
              </w:rPr>
            </w:pPr>
          </w:p>
        </w:tc>
        <w:tc>
          <w:tcPr>
            <w:tcW w:w="1093" w:type="dxa"/>
            <w:tcBorders>
              <w:top w:val="single" w:color="000000" w:sz="6" w:space="0"/>
              <w:left w:val="single" w:color="auto" w:sz="4" w:space="0"/>
              <w:bottom w:val="single" w:color="000000" w:sz="6" w:space="0"/>
              <w:right w:val="single" w:color="000000" w:sz="6" w:space="0"/>
            </w:tcBorders>
            <w:shd w:val="clear" w:color="000000" w:fill="FFFFFF"/>
            <w:noWrap w:val="0"/>
            <w:vAlign w:val="center"/>
          </w:tcPr>
          <w:p w14:paraId="2D6DC5DF">
            <w:pPr>
              <w:adjustRightInd w:val="0"/>
              <w:spacing w:line="5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技术部分</w:t>
            </w:r>
          </w:p>
          <w:p w14:paraId="0DD47217">
            <w:pPr>
              <w:adjustRightInd w:val="0"/>
              <w:spacing w:line="500" w:lineRule="exact"/>
              <w:jc w:val="center"/>
              <w:rPr>
                <w:rFonts w:hint="eastAsia" w:ascii="宋体" w:hAnsi="宋体" w:eastAsia="宋体" w:cs="宋体"/>
                <w:sz w:val="24"/>
                <w:szCs w:val="24"/>
                <w:highlight w:val="none"/>
              </w:rPr>
            </w:pPr>
          </w:p>
        </w:tc>
        <w:tc>
          <w:tcPr>
            <w:tcW w:w="80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095B552">
            <w:pPr>
              <w:adjustRightInd w:val="0"/>
              <w:spacing w:line="500" w:lineRule="exact"/>
              <w:jc w:val="center"/>
              <w:rPr>
                <w:rFonts w:hint="default" w:ascii="宋体" w:hAnsi="宋体" w:eastAsia="宋体" w:cs="宋体"/>
                <w:sz w:val="24"/>
                <w:szCs w:val="24"/>
                <w:highlight w:val="none"/>
                <w:lang w:val="en-US"/>
              </w:rPr>
            </w:pPr>
            <w:r>
              <w:rPr>
                <w:rFonts w:hint="eastAsia" w:eastAsia="宋体" w:cs="宋体"/>
                <w:sz w:val="24"/>
                <w:szCs w:val="24"/>
                <w:highlight w:val="none"/>
                <w:lang w:val="en-US" w:eastAsia="zh-CN"/>
              </w:rPr>
              <w:t>40</w:t>
            </w:r>
          </w:p>
        </w:tc>
        <w:tc>
          <w:tcPr>
            <w:tcW w:w="581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1848EF5">
            <w:pPr>
              <w:adjustRightInd w:val="0"/>
              <w:spacing w:line="500" w:lineRule="exact"/>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服务内容完全满足磋商文件要求的，得40分</w:t>
            </w:r>
            <w:r>
              <w:rPr>
                <w:rFonts w:hint="eastAsia" w:eastAsia="宋体" w:cs="宋体"/>
                <w:color w:val="auto"/>
                <w:sz w:val="24"/>
                <w:szCs w:val="24"/>
                <w:highlight w:val="none"/>
                <w:shd w:val="clear" w:color="auto" w:fill="FFFFFF"/>
                <w:lang w:val="en-US" w:eastAsia="zh-CN"/>
              </w:rPr>
              <w:t>；</w:t>
            </w:r>
            <w:r>
              <w:rPr>
                <w:rFonts w:hint="eastAsia" w:ascii="宋体" w:hAnsi="宋体" w:eastAsia="宋体" w:cs="宋体"/>
                <w:color w:val="auto"/>
                <w:sz w:val="24"/>
                <w:szCs w:val="24"/>
                <w:highlight w:val="none"/>
                <w:shd w:val="clear" w:color="auto" w:fill="FFFFFF"/>
                <w:lang w:val="en-US" w:eastAsia="zh-CN"/>
              </w:rPr>
              <w:t>第六部分</w:t>
            </w:r>
            <w:r>
              <w:rPr>
                <w:rFonts w:hint="eastAsia" w:ascii="宋体" w:hAnsi="宋体" w:eastAsia="宋体" w:cs="宋体"/>
                <w:color w:val="auto"/>
                <w:sz w:val="24"/>
                <w:szCs w:val="24"/>
                <w:highlight w:val="none"/>
                <w:shd w:val="clear" w:color="auto" w:fill="FFFFFF"/>
                <w:lang w:val="zh-CN" w:eastAsia="zh-CN"/>
              </w:rPr>
              <w:t>采购项目服务要求及技术参数</w:t>
            </w:r>
            <w:r>
              <w:rPr>
                <w:rFonts w:hint="eastAsia" w:ascii="宋体" w:hAnsi="宋体" w:eastAsia="宋体" w:cs="宋体"/>
                <w:color w:val="auto"/>
                <w:sz w:val="24"/>
                <w:szCs w:val="24"/>
                <w:highlight w:val="none"/>
                <w:shd w:val="clear" w:color="auto" w:fill="FFFFFF"/>
                <w:lang w:val="en-US" w:eastAsia="zh-CN"/>
              </w:rPr>
              <w:t>（一）系统性能总体要求系统功能要求每有一项负偏离扣</w:t>
            </w:r>
            <w:r>
              <w:rPr>
                <w:rFonts w:hint="eastAsia" w:eastAsia="宋体" w:cs="宋体"/>
                <w:color w:val="auto"/>
                <w:sz w:val="24"/>
                <w:szCs w:val="24"/>
                <w:highlight w:val="none"/>
                <w:shd w:val="clear" w:color="auto" w:fill="FFFFFF"/>
                <w:lang w:val="en-US" w:eastAsia="zh-CN"/>
              </w:rPr>
              <w:t>4</w:t>
            </w:r>
            <w:r>
              <w:rPr>
                <w:rFonts w:hint="eastAsia" w:ascii="宋体" w:hAnsi="宋体" w:eastAsia="宋体" w:cs="宋体"/>
                <w:color w:val="auto"/>
                <w:sz w:val="24"/>
                <w:szCs w:val="24"/>
                <w:highlight w:val="none"/>
                <w:shd w:val="clear" w:color="auto" w:fill="FFFFFF"/>
                <w:lang w:val="en-US" w:eastAsia="zh-CN"/>
              </w:rPr>
              <w:t xml:space="preserve">分，扣完该项得分为止。 </w:t>
            </w:r>
          </w:p>
          <w:p w14:paraId="5165C73E">
            <w:pPr>
              <w:adjustRightInd w:val="0"/>
              <w:spacing w:line="500" w:lineRule="exact"/>
              <w:rPr>
                <w:rFonts w:hint="eastAsia" w:ascii="宋体" w:hAnsi="宋体" w:eastAsia="宋体" w:cs="宋体"/>
                <w:sz w:val="24"/>
                <w:szCs w:val="24"/>
                <w:highlight w:val="none"/>
              </w:rPr>
            </w:pPr>
            <w:r>
              <w:rPr>
                <w:rFonts w:hint="eastAsia" w:ascii="宋体" w:hAnsi="宋体" w:eastAsia="宋体" w:cs="宋体"/>
                <w:color w:val="auto"/>
                <w:sz w:val="24"/>
                <w:szCs w:val="24"/>
                <w:highlight w:val="none"/>
                <w:shd w:val="clear" w:color="auto" w:fill="FFFFFF"/>
                <w:lang w:val="en-US" w:eastAsia="zh-CN"/>
              </w:rPr>
              <w:t>注：供应商须对本磋商文件第六部分</w:t>
            </w:r>
            <w:r>
              <w:rPr>
                <w:rFonts w:hint="eastAsia" w:ascii="宋体" w:hAnsi="宋体" w:eastAsia="宋体" w:cs="宋体"/>
                <w:color w:val="auto"/>
                <w:sz w:val="24"/>
                <w:szCs w:val="24"/>
                <w:highlight w:val="none"/>
                <w:shd w:val="clear" w:color="auto" w:fill="FFFFFF"/>
                <w:lang w:val="zh-CN" w:eastAsia="zh-CN"/>
              </w:rPr>
              <w:t>采购项目服务要求及技术参数</w:t>
            </w:r>
            <w:r>
              <w:rPr>
                <w:rFonts w:hint="eastAsia" w:ascii="宋体" w:hAnsi="宋体" w:eastAsia="宋体" w:cs="宋体"/>
                <w:color w:val="auto"/>
                <w:sz w:val="24"/>
                <w:szCs w:val="24"/>
                <w:highlight w:val="none"/>
                <w:shd w:val="clear" w:color="auto" w:fill="FFFFFF"/>
                <w:lang w:val="en-US" w:eastAsia="zh-CN"/>
              </w:rPr>
              <w:t>（一）系统性能总体要求系统功能要求进行点对点应答，必须在引用本磋商文件的基础上,进行逐条逐项答复、说明和解释。(提供相应的实际案例截图或者证明材料，并加盖公章)。</w:t>
            </w:r>
          </w:p>
        </w:tc>
      </w:tr>
      <w:tr w14:paraId="4B389E86">
        <w:tblPrEx>
          <w:tblCellMar>
            <w:top w:w="0" w:type="dxa"/>
            <w:left w:w="108" w:type="dxa"/>
            <w:bottom w:w="0" w:type="dxa"/>
            <w:right w:w="108" w:type="dxa"/>
          </w:tblCellMar>
        </w:tblPrEx>
        <w:trPr>
          <w:trHeight w:val="1517" w:hRule="atLeast"/>
          <w:jc w:val="center"/>
        </w:trPr>
        <w:tc>
          <w:tcPr>
            <w:tcW w:w="755" w:type="dxa"/>
            <w:vMerge w:val="restart"/>
            <w:tcBorders>
              <w:top w:val="single" w:color="auto" w:sz="4" w:space="0"/>
              <w:left w:val="single" w:color="000000" w:sz="6" w:space="0"/>
              <w:right w:val="single" w:color="000000" w:sz="6" w:space="0"/>
            </w:tcBorders>
            <w:shd w:val="clear" w:color="000000" w:fill="FFFFFF"/>
            <w:noWrap w:val="0"/>
            <w:vAlign w:val="center"/>
          </w:tcPr>
          <w:p w14:paraId="7CFAEC76">
            <w:pPr>
              <w:adjustRightInd w:val="0"/>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服务质量方面</w:t>
            </w:r>
            <w:r>
              <w:rPr>
                <w:rFonts w:hint="eastAsia" w:eastAsia="宋体" w:cs="宋体"/>
                <w:sz w:val="24"/>
                <w:szCs w:val="24"/>
                <w:highlight w:val="none"/>
                <w:lang w:val="en-US" w:eastAsia="zh-CN"/>
              </w:rPr>
              <w:t>30</w:t>
            </w:r>
            <w:r>
              <w:rPr>
                <w:rFonts w:hint="eastAsia" w:ascii="宋体" w:hAnsi="宋体" w:eastAsia="宋体" w:cs="宋体"/>
                <w:sz w:val="24"/>
                <w:szCs w:val="24"/>
                <w:highlight w:val="none"/>
              </w:rPr>
              <w:t>分</w:t>
            </w:r>
          </w:p>
        </w:tc>
        <w:tc>
          <w:tcPr>
            <w:tcW w:w="1093" w:type="dxa"/>
            <w:tcBorders>
              <w:top w:val="single" w:color="000000" w:sz="6" w:space="0"/>
              <w:left w:val="single" w:color="000000" w:sz="6" w:space="0"/>
              <w:right w:val="single" w:color="000000" w:sz="6" w:space="0"/>
            </w:tcBorders>
            <w:shd w:val="clear" w:color="000000" w:fill="FFFFFF"/>
            <w:noWrap w:val="0"/>
            <w:vAlign w:val="center"/>
          </w:tcPr>
          <w:p w14:paraId="771C1782">
            <w:pPr>
              <w:adjustRightInd w:val="0"/>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整体设计方案</w:t>
            </w:r>
          </w:p>
        </w:tc>
        <w:tc>
          <w:tcPr>
            <w:tcW w:w="801" w:type="dxa"/>
            <w:tcBorders>
              <w:top w:val="single" w:color="000000" w:sz="6" w:space="0"/>
              <w:left w:val="single" w:color="000000" w:sz="6" w:space="0"/>
              <w:right w:val="single" w:color="000000" w:sz="6" w:space="0"/>
            </w:tcBorders>
            <w:shd w:val="clear" w:color="000000" w:fill="FFFFFF"/>
            <w:noWrap w:val="0"/>
            <w:vAlign w:val="center"/>
          </w:tcPr>
          <w:p w14:paraId="6EA06FB5">
            <w:pPr>
              <w:adjustRightInd w:val="0"/>
              <w:spacing w:line="500" w:lineRule="exact"/>
              <w:rPr>
                <w:rFonts w:hint="eastAsia" w:ascii="宋体" w:hAnsi="宋体" w:eastAsia="宋体" w:cs="宋体"/>
                <w:sz w:val="24"/>
                <w:szCs w:val="24"/>
                <w:highlight w:val="none"/>
              </w:rPr>
            </w:pPr>
            <w:r>
              <w:rPr>
                <w:rFonts w:hint="eastAsia" w:eastAsia="宋体" w:cs="宋体"/>
                <w:sz w:val="24"/>
                <w:szCs w:val="24"/>
                <w:highlight w:val="none"/>
                <w:lang w:val="en-US" w:eastAsia="zh-CN"/>
              </w:rPr>
              <w:t>10</w:t>
            </w:r>
            <w:r>
              <w:rPr>
                <w:rFonts w:hint="eastAsia" w:ascii="宋体" w:hAnsi="宋体" w:eastAsia="宋体" w:cs="宋体"/>
                <w:sz w:val="24"/>
                <w:szCs w:val="24"/>
                <w:highlight w:val="none"/>
                <w:lang w:val="en-US" w:eastAsia="zh-CN"/>
              </w:rPr>
              <w:t>分</w:t>
            </w:r>
          </w:p>
        </w:tc>
        <w:tc>
          <w:tcPr>
            <w:tcW w:w="5810" w:type="dxa"/>
            <w:tcBorders>
              <w:top w:val="single" w:color="000000" w:sz="6" w:space="0"/>
              <w:left w:val="single" w:color="000000" w:sz="6" w:space="0"/>
              <w:right w:val="single" w:color="000000" w:sz="6" w:space="0"/>
            </w:tcBorders>
            <w:shd w:val="clear" w:color="000000" w:fill="FFFFFF"/>
            <w:noWrap w:val="0"/>
            <w:vAlign w:val="center"/>
          </w:tcPr>
          <w:p w14:paraId="586A5FC3">
            <w:pPr>
              <w:adjustRightInd w:val="0"/>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供应商提供的功能要求方案内容详细、科学、合理、切实可行，完全满足项目需求的得</w:t>
            </w:r>
            <w:r>
              <w:rPr>
                <w:rFonts w:hint="eastAsia" w:eastAsia="宋体" w:cs="宋体"/>
                <w:sz w:val="24"/>
                <w:szCs w:val="24"/>
                <w:highlight w:val="none"/>
                <w:lang w:val="en-US" w:eastAsia="zh-CN"/>
              </w:rPr>
              <w:t>10</w:t>
            </w:r>
            <w:r>
              <w:rPr>
                <w:rFonts w:hint="eastAsia" w:ascii="宋体" w:hAnsi="宋体" w:eastAsia="宋体" w:cs="宋体"/>
                <w:sz w:val="24"/>
                <w:szCs w:val="24"/>
                <w:highlight w:val="none"/>
                <w:lang w:val="en-US" w:eastAsia="zh-CN"/>
              </w:rPr>
              <w:t>分；方案内容较为详细、科学、合理、一般可行，满足项目需求的得</w:t>
            </w:r>
            <w:r>
              <w:rPr>
                <w:rFonts w:hint="eastAsia" w:eastAsia="宋体" w:cs="宋体"/>
                <w:sz w:val="24"/>
                <w:szCs w:val="24"/>
                <w:highlight w:val="none"/>
                <w:lang w:val="en-US" w:eastAsia="zh-CN"/>
              </w:rPr>
              <w:t>7</w:t>
            </w:r>
            <w:r>
              <w:rPr>
                <w:rFonts w:hint="eastAsia" w:ascii="宋体" w:hAnsi="宋体" w:eastAsia="宋体" w:cs="宋体"/>
                <w:sz w:val="24"/>
                <w:szCs w:val="24"/>
                <w:highlight w:val="none"/>
                <w:lang w:val="en-US" w:eastAsia="zh-CN"/>
              </w:rPr>
              <w:t>分；方案内容基本科学、合理、基本可行，基本满足项目需求的得</w:t>
            </w:r>
            <w:r>
              <w:rPr>
                <w:rFonts w:hint="eastAsia" w:eastAsia="宋体" w:cs="宋体"/>
                <w:sz w:val="24"/>
                <w:szCs w:val="24"/>
                <w:highlight w:val="none"/>
                <w:lang w:val="en-US" w:eastAsia="zh-CN"/>
              </w:rPr>
              <w:t>3</w:t>
            </w:r>
            <w:r>
              <w:rPr>
                <w:rFonts w:hint="eastAsia" w:ascii="宋体" w:hAnsi="宋体" w:eastAsia="宋体" w:cs="宋体"/>
                <w:sz w:val="24"/>
                <w:szCs w:val="24"/>
                <w:highlight w:val="none"/>
                <w:lang w:val="en-US" w:eastAsia="zh-CN"/>
              </w:rPr>
              <w:t>分；方案内容基本科学、合理、基本可行，基本一般满足项目需求的得1分；未提供不得分。</w:t>
            </w:r>
          </w:p>
        </w:tc>
      </w:tr>
      <w:tr w14:paraId="3BC55D2B">
        <w:tblPrEx>
          <w:tblCellMar>
            <w:top w:w="0" w:type="dxa"/>
            <w:left w:w="108" w:type="dxa"/>
            <w:bottom w:w="0" w:type="dxa"/>
            <w:right w:w="108" w:type="dxa"/>
          </w:tblCellMar>
        </w:tblPrEx>
        <w:trPr>
          <w:trHeight w:val="553" w:hRule="atLeast"/>
          <w:jc w:val="center"/>
        </w:trPr>
        <w:tc>
          <w:tcPr>
            <w:tcW w:w="755" w:type="dxa"/>
            <w:vMerge w:val="continue"/>
            <w:tcBorders>
              <w:left w:val="single" w:color="000000" w:sz="6" w:space="0"/>
              <w:right w:val="single" w:color="000000" w:sz="6" w:space="0"/>
            </w:tcBorders>
            <w:shd w:val="clear" w:color="000000" w:fill="FFFFFF"/>
            <w:noWrap w:val="0"/>
            <w:vAlign w:val="center"/>
          </w:tcPr>
          <w:p w14:paraId="74F81FD5">
            <w:pPr>
              <w:autoSpaceDE w:val="0"/>
              <w:autoSpaceDN w:val="0"/>
              <w:adjustRightInd w:val="0"/>
              <w:ind w:firstLine="0" w:firstLineChars="0"/>
              <w:jc w:val="center"/>
              <w:rPr>
                <w:rFonts w:hint="eastAsia" w:ascii="宋体" w:hAnsi="宋体" w:eastAsia="宋体" w:cs="宋体"/>
                <w:b/>
                <w:bCs/>
                <w:kern w:val="0"/>
                <w:sz w:val="24"/>
                <w:szCs w:val="24"/>
                <w:highlight w:val="none"/>
                <w:lang w:val="zh-CN" w:eastAsia="zh-CN" w:bidi="ar"/>
              </w:rPr>
            </w:pPr>
          </w:p>
        </w:tc>
        <w:tc>
          <w:tcPr>
            <w:tcW w:w="109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F6F1BB8">
            <w:pPr>
              <w:adjustRightInd w:val="0"/>
              <w:spacing w:line="500" w:lineRule="exact"/>
              <w:jc w:val="both"/>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rPr>
              <w:t>运维</w:t>
            </w:r>
            <w:r>
              <w:rPr>
                <w:rFonts w:hint="eastAsia" w:ascii="宋体" w:hAnsi="宋体" w:eastAsia="宋体" w:cs="宋体"/>
                <w:sz w:val="24"/>
                <w:szCs w:val="24"/>
                <w:highlight w:val="none"/>
                <w:lang w:val="zh-CN" w:eastAsia="zh-CN"/>
              </w:rPr>
              <w:t>服务</w:t>
            </w:r>
            <w:r>
              <w:rPr>
                <w:rFonts w:hint="eastAsia" w:ascii="宋体" w:hAnsi="宋体" w:eastAsia="宋体" w:cs="宋体"/>
                <w:sz w:val="24"/>
                <w:szCs w:val="24"/>
                <w:highlight w:val="none"/>
                <w:lang w:val="zh-CN"/>
              </w:rPr>
              <w:t>保障方案</w:t>
            </w:r>
          </w:p>
        </w:tc>
        <w:tc>
          <w:tcPr>
            <w:tcW w:w="80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26E2EE1">
            <w:pPr>
              <w:adjustRightInd w:val="0"/>
              <w:spacing w:line="500" w:lineRule="exact"/>
              <w:jc w:val="both"/>
              <w:rPr>
                <w:rFonts w:hint="default" w:ascii="宋体" w:hAnsi="宋体" w:eastAsia="宋体" w:cs="宋体"/>
                <w:sz w:val="24"/>
                <w:szCs w:val="24"/>
                <w:highlight w:val="none"/>
                <w:lang w:val="en-US" w:eastAsia="zh-CN"/>
              </w:rPr>
            </w:pPr>
            <w:r>
              <w:rPr>
                <w:rFonts w:hint="eastAsia" w:eastAsia="宋体" w:cs="宋体"/>
                <w:sz w:val="24"/>
                <w:szCs w:val="24"/>
                <w:highlight w:val="none"/>
                <w:lang w:val="en-US" w:eastAsia="zh-CN"/>
              </w:rPr>
              <w:t>10</w:t>
            </w:r>
            <w:r>
              <w:rPr>
                <w:rFonts w:hint="eastAsia" w:ascii="宋体" w:hAnsi="宋体" w:eastAsia="宋体" w:cs="宋体"/>
                <w:sz w:val="24"/>
                <w:szCs w:val="24"/>
                <w:highlight w:val="none"/>
                <w:lang w:val="en-US" w:eastAsia="zh-CN"/>
              </w:rPr>
              <w:t>分</w:t>
            </w:r>
          </w:p>
        </w:tc>
        <w:tc>
          <w:tcPr>
            <w:tcW w:w="581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7B8F244">
            <w:pPr>
              <w:adjustRightInd w:val="0"/>
              <w:spacing w:line="500" w:lineRule="exact"/>
              <w:jc w:val="both"/>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对供应商针对本项目提出的运维服务保障方案进行打分。方案总体思路清晰完整，有详细的系统运维方案，有详细的运维工作计划。</w:t>
            </w:r>
          </w:p>
          <w:p w14:paraId="685C4D63">
            <w:pPr>
              <w:adjustRightInd w:val="0"/>
              <w:spacing w:line="500" w:lineRule="exact"/>
              <w:jc w:val="both"/>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方案科学、具体并且结合项目特点制定</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val="zh-CN"/>
              </w:rPr>
              <w:t>得</w:t>
            </w:r>
            <w:r>
              <w:rPr>
                <w:rFonts w:hint="eastAsia" w:eastAsia="宋体" w:cs="宋体"/>
                <w:sz w:val="24"/>
                <w:szCs w:val="24"/>
                <w:highlight w:val="none"/>
                <w:lang w:val="en-US" w:eastAsia="zh-CN"/>
              </w:rPr>
              <w:t>10</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zh-CN"/>
              </w:rPr>
              <w:t>；方案合理、可行</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val="zh-CN"/>
              </w:rPr>
              <w:t>得</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zh-CN"/>
              </w:rPr>
              <w:t>；方案较完善、基本可行</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val="zh-CN"/>
              </w:rPr>
              <w:t>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zh-CN"/>
              </w:rPr>
              <w:t>；方案不完善，实施困难</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val="zh-CN"/>
              </w:rPr>
              <w:t>得</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rPr>
              <w:t>未提供不得分。</w:t>
            </w:r>
          </w:p>
        </w:tc>
      </w:tr>
      <w:tr w14:paraId="4237C1AC">
        <w:tblPrEx>
          <w:tblCellMar>
            <w:top w:w="0" w:type="dxa"/>
            <w:left w:w="108" w:type="dxa"/>
            <w:bottom w:w="0" w:type="dxa"/>
            <w:right w:w="108" w:type="dxa"/>
          </w:tblCellMar>
        </w:tblPrEx>
        <w:trPr>
          <w:trHeight w:val="2058" w:hRule="atLeast"/>
          <w:jc w:val="center"/>
        </w:trPr>
        <w:tc>
          <w:tcPr>
            <w:tcW w:w="755" w:type="dxa"/>
            <w:vMerge w:val="continue"/>
            <w:tcBorders>
              <w:left w:val="single" w:color="000000" w:sz="6" w:space="0"/>
              <w:bottom w:val="single" w:color="auto" w:sz="4" w:space="0"/>
              <w:right w:val="single" w:color="000000" w:sz="6" w:space="0"/>
            </w:tcBorders>
            <w:shd w:val="clear" w:color="000000" w:fill="FFFFFF"/>
            <w:noWrap w:val="0"/>
            <w:vAlign w:val="center"/>
          </w:tcPr>
          <w:p w14:paraId="423AC62D">
            <w:pPr>
              <w:adjustRightInd w:val="0"/>
              <w:spacing w:line="500" w:lineRule="exact"/>
              <w:jc w:val="center"/>
              <w:rPr>
                <w:rFonts w:hint="eastAsia" w:ascii="宋体" w:hAnsi="宋体" w:eastAsia="宋体" w:cs="宋体"/>
                <w:sz w:val="24"/>
                <w:szCs w:val="24"/>
                <w:highlight w:val="none"/>
              </w:rPr>
            </w:pPr>
          </w:p>
        </w:tc>
        <w:tc>
          <w:tcPr>
            <w:tcW w:w="1093" w:type="dxa"/>
            <w:tcBorders>
              <w:top w:val="single" w:color="000000" w:sz="6" w:space="0"/>
              <w:left w:val="single" w:color="000000" w:sz="6" w:space="0"/>
              <w:bottom w:val="single" w:color="auto" w:sz="4" w:space="0"/>
              <w:right w:val="single" w:color="000000" w:sz="6" w:space="0"/>
            </w:tcBorders>
            <w:shd w:val="clear" w:color="000000" w:fill="FFFFFF"/>
            <w:noWrap w:val="0"/>
            <w:vAlign w:val="center"/>
          </w:tcPr>
          <w:p w14:paraId="37F647AB">
            <w:pPr>
              <w:adjustRightInd w:val="0"/>
              <w:spacing w:line="500" w:lineRule="exact"/>
              <w:jc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应急预案、</w:t>
            </w:r>
            <w:r>
              <w:rPr>
                <w:rFonts w:hint="eastAsia" w:ascii="新宋体" w:hAnsi="新宋体" w:eastAsia="新宋体" w:cs="新宋体"/>
                <w:color w:val="000000"/>
                <w:kern w:val="0"/>
                <w:sz w:val="24"/>
                <w:szCs w:val="24"/>
                <w:highlight w:val="none"/>
                <w:lang w:val="en-US" w:eastAsia="zh-CN" w:bidi="ar"/>
              </w:rPr>
              <w:t>服务承诺及保障措施</w:t>
            </w:r>
          </w:p>
        </w:tc>
        <w:tc>
          <w:tcPr>
            <w:tcW w:w="801" w:type="dxa"/>
            <w:tcBorders>
              <w:top w:val="single" w:color="000000" w:sz="6" w:space="0"/>
              <w:left w:val="single" w:color="000000" w:sz="6" w:space="0"/>
              <w:bottom w:val="single" w:color="auto" w:sz="4" w:space="0"/>
              <w:right w:val="single" w:color="000000" w:sz="6" w:space="0"/>
            </w:tcBorders>
            <w:shd w:val="clear" w:color="000000" w:fill="FFFFFF"/>
            <w:noWrap w:val="0"/>
            <w:vAlign w:val="center"/>
          </w:tcPr>
          <w:p w14:paraId="6D7682BB">
            <w:pPr>
              <w:keepNext w:val="0"/>
              <w:keepLines w:val="0"/>
              <w:widowControl/>
              <w:suppressLineNumbers w:val="0"/>
              <w:jc w:val="left"/>
              <w:rPr>
                <w:rFonts w:hint="eastAsia" w:ascii="宋体" w:hAnsi="宋体" w:eastAsia="宋体" w:cs="宋体"/>
                <w:sz w:val="24"/>
                <w:szCs w:val="24"/>
                <w:highlight w:val="none"/>
              </w:rPr>
            </w:pPr>
            <w:r>
              <w:rPr>
                <w:rFonts w:hint="eastAsia" w:ascii="宋体" w:hAnsi="宋体" w:eastAsia="宋体" w:cs="宋体"/>
                <w:color w:val="auto"/>
                <w:sz w:val="24"/>
                <w:szCs w:val="24"/>
                <w:highlight w:val="none"/>
                <w:u w:val="none"/>
                <w:shd w:val="clear" w:color="auto" w:fill="FFFFFF"/>
                <w:lang w:val="en-US" w:eastAsia="zh-CN"/>
              </w:rPr>
              <w:t>10</w:t>
            </w:r>
            <w:r>
              <w:rPr>
                <w:rFonts w:hint="eastAsia" w:ascii="宋体" w:hAnsi="宋体" w:eastAsia="宋体" w:cs="宋体"/>
                <w:color w:val="auto"/>
                <w:sz w:val="24"/>
                <w:szCs w:val="24"/>
                <w:highlight w:val="none"/>
                <w:u w:val="none"/>
                <w:shd w:val="clear" w:color="auto" w:fill="FFFFFF"/>
              </w:rPr>
              <w:t>分</w:t>
            </w:r>
          </w:p>
        </w:tc>
        <w:tc>
          <w:tcPr>
            <w:tcW w:w="5810" w:type="dxa"/>
            <w:tcBorders>
              <w:top w:val="single" w:color="000000" w:sz="6" w:space="0"/>
              <w:left w:val="single" w:color="000000" w:sz="6" w:space="0"/>
              <w:bottom w:val="single" w:color="auto" w:sz="4" w:space="0"/>
              <w:right w:val="single" w:color="000000" w:sz="6" w:space="0"/>
            </w:tcBorders>
            <w:shd w:val="clear" w:color="000000" w:fill="FFFFFF"/>
            <w:noWrap w:val="0"/>
            <w:vAlign w:val="center"/>
          </w:tcPr>
          <w:p w14:paraId="7CF73EEF">
            <w:pPr>
              <w:keepNext w:val="0"/>
              <w:keepLines w:val="0"/>
              <w:widowControl/>
              <w:suppressLineNumbers w:val="0"/>
              <w:jc w:val="left"/>
              <w:rPr>
                <w:rFonts w:hint="eastAsia" w:ascii="宋体" w:hAnsi="宋体" w:eastAsia="宋体" w:cs="宋体"/>
                <w:sz w:val="24"/>
                <w:szCs w:val="24"/>
                <w:highlight w:val="none"/>
              </w:rPr>
            </w:pPr>
            <w:r>
              <w:rPr>
                <w:rFonts w:ascii="新宋体" w:hAnsi="新宋体" w:eastAsia="新宋体" w:cs="新宋体"/>
                <w:color w:val="000000"/>
                <w:kern w:val="0"/>
                <w:sz w:val="24"/>
                <w:szCs w:val="24"/>
                <w:highlight w:val="none"/>
                <w:lang w:val="en-US" w:eastAsia="zh-CN" w:bidi="ar"/>
              </w:rPr>
              <w:t>针对项目特点</w:t>
            </w:r>
            <w:r>
              <w:rPr>
                <w:rFonts w:hint="eastAsia" w:ascii="宋体" w:hAnsi="宋体" w:eastAsia="宋体" w:cs="宋体"/>
                <w:color w:val="000000"/>
                <w:kern w:val="0"/>
                <w:sz w:val="24"/>
                <w:szCs w:val="24"/>
                <w:highlight w:val="none"/>
                <w:lang w:val="en-US" w:eastAsia="zh-CN" w:bidi="ar"/>
              </w:rPr>
              <w:t>提供的应急预案、</w:t>
            </w:r>
            <w:r>
              <w:rPr>
                <w:rFonts w:hint="eastAsia" w:ascii="新宋体" w:hAnsi="新宋体" w:eastAsia="新宋体" w:cs="新宋体"/>
                <w:color w:val="000000"/>
                <w:kern w:val="0"/>
                <w:sz w:val="24"/>
                <w:szCs w:val="24"/>
                <w:highlight w:val="none"/>
                <w:lang w:val="en-US" w:eastAsia="zh-CN" w:bidi="ar"/>
              </w:rPr>
              <w:t>服务承诺及保障措施。提供的承诺及措施全面、详实、内容有规划、 应急预案及时、解决问题途径方便快捷的得 10 分；提供的承诺及措施较全面、较详实、服务响应时间较及时、解决问题途径较方便的得 7 分； 提供的承诺及措施基本可行，服务响应时间不会造成影响的得 4分；未提供承诺，措施简单无针对性的得 1 分；未提供或其他情况的不得分。</w:t>
            </w:r>
          </w:p>
        </w:tc>
      </w:tr>
    </w:tbl>
    <w:p w14:paraId="16DAE355">
      <w:pPr>
        <w:pStyle w:val="2"/>
        <w:jc w:val="center"/>
        <w:rPr>
          <w:rFonts w:hint="eastAsia" w:ascii="宋体" w:hAnsi="宋体" w:eastAsia="宋体" w:cs="宋体"/>
          <w:color w:val="auto"/>
          <w:highlight w:val="none"/>
        </w:rPr>
      </w:pPr>
      <w:r>
        <w:rPr>
          <w:rFonts w:hint="eastAsia" w:ascii="宋体" w:hAnsi="宋体" w:eastAsia="宋体" w:cs="宋体"/>
          <w:color w:val="auto"/>
          <w:highlight w:val="none"/>
        </w:rPr>
        <w:t>七、</w:t>
      </w:r>
      <w:bookmarkEnd w:id="269"/>
      <w:bookmarkEnd w:id="270"/>
      <w:r>
        <w:rPr>
          <w:rFonts w:hint="eastAsia" w:ascii="宋体" w:hAnsi="宋体" w:eastAsia="宋体" w:cs="宋体"/>
          <w:color w:val="auto"/>
          <w:highlight w:val="none"/>
        </w:rPr>
        <w:t>确定成交供应商</w:t>
      </w:r>
      <w:bookmarkEnd w:id="271"/>
      <w:bookmarkEnd w:id="272"/>
      <w:bookmarkEnd w:id="273"/>
      <w:bookmarkEnd w:id="274"/>
      <w:bookmarkEnd w:id="275"/>
      <w:bookmarkEnd w:id="276"/>
      <w:bookmarkEnd w:id="277"/>
      <w:bookmarkEnd w:id="278"/>
    </w:p>
    <w:p w14:paraId="6E390426">
      <w:pPr>
        <w:pStyle w:val="3"/>
        <w:rPr>
          <w:rFonts w:hint="eastAsia" w:ascii="宋体" w:hAnsi="宋体" w:eastAsia="宋体" w:cs="宋体"/>
          <w:color w:val="auto"/>
          <w:highlight w:val="none"/>
        </w:rPr>
      </w:pPr>
      <w:bookmarkStart w:id="279" w:name="_Toc325726026"/>
      <w:bookmarkStart w:id="280" w:name="_Toc376936757"/>
      <w:bookmarkStart w:id="281" w:name="_Toc495666275"/>
      <w:bookmarkStart w:id="282" w:name="_Toc6537"/>
      <w:bookmarkStart w:id="283" w:name="_Toc17038"/>
      <w:bookmarkStart w:id="284" w:name="_Toc4724"/>
      <w:bookmarkStart w:id="285" w:name="_Toc495567958"/>
      <w:bookmarkStart w:id="286" w:name="_Toc28889"/>
      <w:bookmarkStart w:id="287" w:name="_Toc30068"/>
      <w:bookmarkStart w:id="288" w:name="_Toc5243"/>
      <w:bookmarkStart w:id="289" w:name="_Toc32764"/>
      <w:r>
        <w:rPr>
          <w:rFonts w:hint="eastAsia" w:ascii="宋体" w:hAnsi="宋体" w:eastAsia="宋体" w:cs="宋体"/>
          <w:color w:val="auto"/>
          <w:highlight w:val="none"/>
        </w:rPr>
        <w:t>18.推荐并确定成交</w:t>
      </w:r>
      <w:bookmarkEnd w:id="279"/>
      <w:bookmarkEnd w:id="280"/>
      <w:r>
        <w:rPr>
          <w:rFonts w:hint="eastAsia" w:ascii="宋体" w:hAnsi="宋体" w:eastAsia="宋体" w:cs="宋体"/>
          <w:color w:val="auto"/>
          <w:highlight w:val="none"/>
        </w:rPr>
        <w:t>供应商</w:t>
      </w:r>
      <w:bookmarkEnd w:id="281"/>
      <w:bookmarkEnd w:id="282"/>
      <w:bookmarkEnd w:id="283"/>
      <w:bookmarkEnd w:id="284"/>
      <w:bookmarkEnd w:id="285"/>
      <w:bookmarkEnd w:id="286"/>
      <w:bookmarkEnd w:id="287"/>
      <w:bookmarkEnd w:id="288"/>
      <w:bookmarkEnd w:id="289"/>
    </w:p>
    <w:p w14:paraId="59955F0C">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18.1采购代理机构应当在评审结束后2个工作日内将评审报告送采购人确认。</w:t>
      </w:r>
    </w:p>
    <w:p w14:paraId="04FAA2C8">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4966D267">
      <w:pPr>
        <w:pStyle w:val="3"/>
        <w:rPr>
          <w:rFonts w:hint="eastAsia" w:ascii="宋体" w:hAnsi="宋体" w:eastAsia="宋体" w:cs="宋体"/>
          <w:color w:val="auto"/>
          <w:highlight w:val="none"/>
        </w:rPr>
      </w:pPr>
      <w:bookmarkStart w:id="290" w:name="_Toc18587"/>
      <w:bookmarkStart w:id="291" w:name="_Toc24634"/>
      <w:bookmarkStart w:id="292" w:name="_Toc2346"/>
      <w:bookmarkStart w:id="293" w:name="_Toc495666276"/>
      <w:bookmarkStart w:id="294" w:name="_Toc376936759"/>
      <w:bookmarkStart w:id="295" w:name="_Toc325726028"/>
      <w:bookmarkStart w:id="296" w:name="_Toc17711"/>
      <w:bookmarkStart w:id="297" w:name="_Toc495567959"/>
      <w:bookmarkStart w:id="298" w:name="_Toc16865"/>
      <w:bookmarkStart w:id="299" w:name="_Toc6608"/>
      <w:bookmarkStart w:id="300" w:name="_Toc2963"/>
      <w:bookmarkStart w:id="301" w:name="_Toc325726027"/>
      <w:r>
        <w:rPr>
          <w:rFonts w:hint="eastAsia" w:ascii="宋体" w:hAnsi="宋体" w:eastAsia="宋体" w:cs="宋体"/>
          <w:color w:val="auto"/>
          <w:highlight w:val="none"/>
        </w:rPr>
        <w:t>19.成交通知</w:t>
      </w:r>
      <w:bookmarkEnd w:id="290"/>
      <w:bookmarkEnd w:id="291"/>
      <w:bookmarkEnd w:id="292"/>
      <w:bookmarkEnd w:id="293"/>
      <w:bookmarkEnd w:id="294"/>
      <w:bookmarkEnd w:id="295"/>
      <w:bookmarkEnd w:id="296"/>
      <w:bookmarkEnd w:id="297"/>
      <w:bookmarkEnd w:id="298"/>
      <w:bookmarkEnd w:id="299"/>
      <w:bookmarkEnd w:id="300"/>
    </w:p>
    <w:p w14:paraId="10426126">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19.1采购人或者采购代理机构应当在成交供应商确定后2个工作日内，在《</w:t>
      </w:r>
      <w:r>
        <w:rPr>
          <w:rFonts w:hint="eastAsia" w:ascii="宋体" w:hAnsi="宋体" w:eastAsia="宋体" w:cs="宋体"/>
          <w:color w:val="auto"/>
          <w:sz w:val="24"/>
          <w:szCs w:val="24"/>
          <w:highlight w:val="none"/>
          <w:lang w:val="en-US" w:eastAsia="zh-CN"/>
        </w:rPr>
        <w:t>新点电子交易平台</w:t>
      </w:r>
      <w:r>
        <w:rPr>
          <w:rFonts w:hint="eastAsia" w:ascii="宋体" w:hAnsi="宋体" w:eastAsia="宋体" w:cs="宋体"/>
          <w:color w:val="auto"/>
          <w:sz w:val="24"/>
          <w:szCs w:val="24"/>
          <w:highlight w:val="none"/>
        </w:rPr>
        <w:t>》上公告成交结果，同时向成交供应商发出成交通知书。</w:t>
      </w:r>
    </w:p>
    <w:p w14:paraId="58C7250F">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19.2《成交通知书》发出后，采购人改变成交结果的，或者成交供应商无正当理由放弃成交项目的，依法承担法律责任。</w:t>
      </w:r>
    </w:p>
    <w:p w14:paraId="76E15442">
      <w:pPr>
        <w:pStyle w:val="2"/>
        <w:rPr>
          <w:rFonts w:hint="eastAsia" w:ascii="宋体" w:hAnsi="宋体" w:eastAsia="宋体" w:cs="宋体"/>
          <w:color w:val="auto"/>
          <w:highlight w:val="none"/>
          <w:lang w:val="zh-CN"/>
        </w:rPr>
      </w:pPr>
      <w:bookmarkStart w:id="302" w:name="_Toc5556"/>
      <w:bookmarkStart w:id="303" w:name="_Toc18063"/>
      <w:bookmarkStart w:id="304" w:name="_Toc28065"/>
      <w:bookmarkStart w:id="305" w:name="_Toc376936758"/>
      <w:bookmarkStart w:id="306" w:name="_Toc1846"/>
      <w:bookmarkStart w:id="307" w:name="_Toc8948"/>
      <w:bookmarkStart w:id="308" w:name="_Toc3461"/>
      <w:bookmarkStart w:id="309" w:name="_Toc2094"/>
      <w:bookmarkStart w:id="310" w:name="_Toc23928"/>
      <w:r>
        <w:rPr>
          <w:rFonts w:hint="eastAsia" w:ascii="宋体" w:hAnsi="宋体" w:eastAsia="宋体" w:cs="宋体"/>
          <w:color w:val="auto"/>
          <w:highlight w:val="none"/>
          <w:lang w:val="zh-CN"/>
        </w:rPr>
        <w:t>八、授予合同</w:t>
      </w:r>
      <w:bookmarkEnd w:id="301"/>
      <w:bookmarkEnd w:id="302"/>
      <w:bookmarkEnd w:id="303"/>
      <w:bookmarkEnd w:id="304"/>
      <w:bookmarkEnd w:id="305"/>
      <w:bookmarkEnd w:id="306"/>
      <w:bookmarkEnd w:id="307"/>
      <w:bookmarkEnd w:id="308"/>
      <w:bookmarkEnd w:id="309"/>
      <w:bookmarkEnd w:id="310"/>
    </w:p>
    <w:p w14:paraId="7DE962F6">
      <w:pPr>
        <w:pStyle w:val="3"/>
        <w:rPr>
          <w:rFonts w:hint="eastAsia" w:ascii="宋体" w:hAnsi="宋体" w:eastAsia="宋体" w:cs="宋体"/>
          <w:color w:val="auto"/>
          <w:highlight w:val="none"/>
        </w:rPr>
      </w:pPr>
      <w:bookmarkStart w:id="311" w:name="_Toc921"/>
      <w:bookmarkStart w:id="312" w:name="_Toc25"/>
      <w:bookmarkStart w:id="313" w:name="_Toc495567960"/>
      <w:bookmarkStart w:id="314" w:name="_Toc495666277"/>
      <w:bookmarkStart w:id="315" w:name="_Toc325726029"/>
      <w:bookmarkStart w:id="316" w:name="_Toc7180"/>
      <w:bookmarkStart w:id="317" w:name="_Toc4123"/>
      <w:bookmarkStart w:id="318" w:name="_Toc12977"/>
      <w:bookmarkStart w:id="319" w:name="_Toc28394"/>
      <w:bookmarkStart w:id="320" w:name="_Toc527"/>
      <w:bookmarkStart w:id="321" w:name="_Toc376936760"/>
      <w:r>
        <w:rPr>
          <w:rFonts w:hint="eastAsia" w:ascii="宋体" w:hAnsi="宋体" w:eastAsia="宋体" w:cs="宋体"/>
          <w:color w:val="auto"/>
          <w:highlight w:val="none"/>
        </w:rPr>
        <w:t>20.签订合同</w:t>
      </w:r>
      <w:bookmarkEnd w:id="311"/>
      <w:bookmarkEnd w:id="312"/>
      <w:bookmarkEnd w:id="313"/>
      <w:bookmarkEnd w:id="314"/>
      <w:bookmarkEnd w:id="315"/>
      <w:bookmarkEnd w:id="316"/>
      <w:bookmarkEnd w:id="317"/>
      <w:bookmarkEnd w:id="318"/>
      <w:bookmarkEnd w:id="319"/>
      <w:bookmarkEnd w:id="320"/>
      <w:bookmarkEnd w:id="321"/>
    </w:p>
    <w:p w14:paraId="612437DB">
      <w:pPr>
        <w:spacing w:line="360" w:lineRule="auto"/>
        <w:ind w:firstLine="480" w:firstLineChars="200"/>
        <w:jc w:val="left"/>
        <w:rPr>
          <w:rFonts w:hint="eastAsia" w:ascii="宋体" w:hAnsi="宋体" w:eastAsia="宋体" w:cs="宋体"/>
          <w:color w:val="auto"/>
          <w:sz w:val="24"/>
          <w:szCs w:val="24"/>
          <w:highlight w:val="none"/>
        </w:rPr>
      </w:pPr>
      <w:bookmarkStart w:id="322" w:name="_Toc325726030"/>
      <w:bookmarkStart w:id="323" w:name="_Toc376936761"/>
      <w:r>
        <w:rPr>
          <w:rFonts w:hint="eastAsia" w:ascii="宋体" w:hAnsi="宋体" w:eastAsia="宋体" w:cs="宋体"/>
          <w:color w:val="auto"/>
          <w:sz w:val="24"/>
          <w:szCs w:val="24"/>
          <w:highlight w:val="none"/>
        </w:rPr>
        <w:t>20.1采购人与成交供应商应当在成交通知书发出之日起30日内，按照磋商文件确定的合同文本以及采购标的、服务要求等事项签订政府采购合同。</w:t>
      </w:r>
    </w:p>
    <w:p w14:paraId="4CED9175">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75D5D224">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20.3成交供应商拒绝签订政府采购合同的，采购人可以按照</w:t>
      </w:r>
      <w:r>
        <w:rPr>
          <w:rFonts w:hint="eastAsia" w:ascii="宋体" w:hAnsi="宋体" w:eastAsia="宋体" w:cs="宋体"/>
          <w:color w:val="auto"/>
          <w:sz w:val="24"/>
          <w:szCs w:val="24"/>
          <w:highlight w:val="none"/>
          <w:lang w:eastAsia="zh-CN"/>
        </w:rPr>
        <w:t>《政府采购促进中小企业发展管理办法》</w:t>
      </w:r>
      <w:r>
        <w:rPr>
          <w:rFonts w:hint="eastAsia" w:ascii="宋体" w:hAnsi="宋体" w:eastAsia="宋体" w:cs="宋体"/>
          <w:color w:val="auto"/>
          <w:sz w:val="24"/>
          <w:szCs w:val="24"/>
          <w:highlight w:val="none"/>
        </w:rPr>
        <w:t>第二十八条第二款规定的原则确定其他供应商作为成交供应商并签订政府采购合同，也可以重新开展采购活动。拒绝签订政府采购合同的成交供应商不得参加对该项目重新开展的采购活动。</w:t>
      </w:r>
    </w:p>
    <w:p w14:paraId="1DA91647">
      <w:pPr>
        <w:pStyle w:val="2"/>
        <w:rPr>
          <w:rFonts w:hint="eastAsia" w:ascii="宋体" w:hAnsi="宋体" w:eastAsia="宋体" w:cs="宋体"/>
          <w:color w:val="auto"/>
          <w:highlight w:val="none"/>
          <w:lang w:val="zh-CN"/>
        </w:rPr>
      </w:pPr>
      <w:bookmarkStart w:id="324" w:name="_Toc16665"/>
      <w:bookmarkStart w:id="325" w:name="_Toc18787"/>
      <w:bookmarkStart w:id="326" w:name="_Toc3731"/>
      <w:bookmarkStart w:id="327" w:name="_Toc22442"/>
      <w:bookmarkStart w:id="328" w:name="_Toc32324"/>
      <w:bookmarkStart w:id="329" w:name="_Toc896"/>
      <w:bookmarkStart w:id="330" w:name="_Toc29429"/>
      <w:bookmarkStart w:id="331" w:name="_Toc2430"/>
      <w:r>
        <w:rPr>
          <w:rFonts w:hint="eastAsia" w:ascii="宋体" w:hAnsi="宋体" w:eastAsia="宋体" w:cs="宋体"/>
          <w:color w:val="auto"/>
          <w:highlight w:val="none"/>
          <w:lang w:val="zh-CN"/>
        </w:rPr>
        <w:t>九、</w:t>
      </w:r>
      <w:bookmarkEnd w:id="322"/>
      <w:bookmarkEnd w:id="323"/>
      <w:r>
        <w:rPr>
          <w:rFonts w:hint="eastAsia" w:ascii="宋体" w:hAnsi="宋体" w:eastAsia="宋体" w:cs="宋体"/>
          <w:color w:val="auto"/>
          <w:highlight w:val="none"/>
          <w:lang w:val="zh-CN"/>
        </w:rPr>
        <w:t>磋商活动终止</w:t>
      </w:r>
      <w:bookmarkEnd w:id="324"/>
      <w:bookmarkEnd w:id="325"/>
      <w:bookmarkEnd w:id="326"/>
      <w:bookmarkEnd w:id="327"/>
      <w:bookmarkEnd w:id="328"/>
      <w:bookmarkEnd w:id="329"/>
      <w:bookmarkEnd w:id="330"/>
      <w:bookmarkEnd w:id="331"/>
    </w:p>
    <w:p w14:paraId="4ACE1B2C">
      <w:pPr>
        <w:pStyle w:val="3"/>
        <w:rPr>
          <w:rFonts w:hint="eastAsia" w:ascii="宋体" w:hAnsi="宋体" w:eastAsia="宋体" w:cs="宋体"/>
          <w:color w:val="auto"/>
          <w:highlight w:val="none"/>
        </w:rPr>
      </w:pPr>
      <w:bookmarkStart w:id="332" w:name="_Toc495666278"/>
      <w:bookmarkStart w:id="333" w:name="_Toc7098"/>
      <w:bookmarkStart w:id="334" w:name="_Toc495567961"/>
      <w:bookmarkStart w:id="335" w:name="_Toc20160"/>
      <w:bookmarkStart w:id="336" w:name="_Toc25721"/>
      <w:bookmarkStart w:id="337" w:name="_Toc31015"/>
      <w:bookmarkStart w:id="338" w:name="_Toc7526"/>
      <w:bookmarkStart w:id="339" w:name="_Toc11684"/>
      <w:bookmarkStart w:id="340" w:name="_Toc15956"/>
      <w:bookmarkStart w:id="341" w:name="_Toc376936762"/>
      <w:bookmarkStart w:id="342" w:name="_Toc325726031"/>
      <w:r>
        <w:rPr>
          <w:rFonts w:hint="eastAsia" w:ascii="宋体" w:hAnsi="宋体" w:eastAsia="宋体" w:cs="宋体"/>
          <w:color w:val="auto"/>
          <w:highlight w:val="none"/>
        </w:rPr>
        <w:t>21.终止情形</w:t>
      </w:r>
      <w:bookmarkEnd w:id="332"/>
      <w:bookmarkEnd w:id="333"/>
      <w:bookmarkEnd w:id="334"/>
      <w:bookmarkEnd w:id="335"/>
      <w:bookmarkEnd w:id="336"/>
      <w:bookmarkEnd w:id="337"/>
      <w:bookmarkEnd w:id="338"/>
      <w:bookmarkEnd w:id="339"/>
      <w:bookmarkEnd w:id="340"/>
    </w:p>
    <w:p w14:paraId="6BD9A143">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w:t>
      </w:r>
      <w:bookmarkEnd w:id="341"/>
      <w:bookmarkEnd w:id="342"/>
      <w:r>
        <w:rPr>
          <w:rFonts w:hint="eastAsia" w:ascii="宋体" w:hAnsi="宋体" w:eastAsia="宋体" w:cs="宋体"/>
          <w:color w:val="auto"/>
          <w:sz w:val="24"/>
          <w:szCs w:val="24"/>
          <w:highlight w:val="none"/>
        </w:rPr>
        <w:t>出现下列情形之一的，采购代理机构应当终止竞争性磋商采购活动，发布项目终止公告并说明原因，重新开展采购活动：</w:t>
      </w:r>
    </w:p>
    <w:p w14:paraId="7DEEE775">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（1）因情况变化，不再符合规定的竞争性磋商采购方式适用情形的；</w:t>
      </w:r>
    </w:p>
    <w:p w14:paraId="229B20EF">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（2）出现影响采购公正的违法、违规行为的；</w:t>
      </w:r>
    </w:p>
    <w:p w14:paraId="044B4E50">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（3）除</w:t>
      </w:r>
      <w:r>
        <w:rPr>
          <w:rFonts w:hint="eastAsia" w:ascii="宋体" w:hAnsi="宋体" w:eastAsia="宋体" w:cs="宋体"/>
          <w:color w:val="auto"/>
          <w:sz w:val="24"/>
          <w:szCs w:val="24"/>
          <w:highlight w:val="none"/>
          <w:lang w:eastAsia="zh-CN"/>
        </w:rPr>
        <w:t>《政府采购促进中小企业发展管理办法》</w:t>
      </w:r>
      <w:r>
        <w:rPr>
          <w:rFonts w:hint="eastAsia" w:ascii="宋体" w:hAnsi="宋体" w:eastAsia="宋体" w:cs="宋体"/>
          <w:color w:val="auto"/>
          <w:sz w:val="24"/>
          <w:szCs w:val="24"/>
          <w:highlight w:val="none"/>
        </w:rPr>
        <w:t>第二十一条第三款规定的情形外，参加磋商的供应商被淘汰，最后报价的供应商不足</w:t>
      </w:r>
      <w:r>
        <w:rPr>
          <w:rFonts w:hint="eastAsia" w:ascii="宋体" w:hAnsi="宋体" w:eastAsia="宋体" w:cs="宋体"/>
          <w:color w:val="auto"/>
          <w:sz w:val="24"/>
          <w:szCs w:val="24"/>
          <w:highlight w:val="none"/>
          <w:lang w:eastAsia="zh-CN"/>
        </w:rPr>
        <w:t>两</w:t>
      </w:r>
      <w:r>
        <w:rPr>
          <w:rFonts w:hint="eastAsia" w:ascii="宋体" w:hAnsi="宋体" w:eastAsia="宋体" w:cs="宋体"/>
          <w:color w:val="auto"/>
          <w:sz w:val="24"/>
          <w:szCs w:val="24"/>
          <w:highlight w:val="none"/>
        </w:rPr>
        <w:t>家的。</w:t>
      </w:r>
    </w:p>
    <w:p w14:paraId="407A4DA5">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21.2终止磋商活动后，由采购代理机构发布终止公告并说明原因。</w:t>
      </w:r>
      <w:bookmarkStart w:id="343" w:name="_Toc325726032"/>
    </w:p>
    <w:p w14:paraId="65D55BDD">
      <w:pPr>
        <w:pStyle w:val="2"/>
        <w:rPr>
          <w:rFonts w:hint="eastAsia" w:ascii="宋体" w:hAnsi="宋体" w:eastAsia="宋体" w:cs="宋体"/>
          <w:color w:val="auto"/>
          <w:highlight w:val="none"/>
          <w:lang w:val="zh-CN"/>
        </w:rPr>
      </w:pPr>
      <w:bookmarkStart w:id="344" w:name="_Toc19249"/>
      <w:bookmarkStart w:id="345" w:name="_Toc376936763"/>
      <w:bookmarkStart w:id="346" w:name="_Toc27950"/>
      <w:bookmarkStart w:id="347" w:name="_Toc6646"/>
      <w:bookmarkStart w:id="348" w:name="_Toc4415"/>
      <w:bookmarkStart w:id="349" w:name="_Toc8316"/>
      <w:bookmarkStart w:id="350" w:name="_Toc1826"/>
      <w:bookmarkStart w:id="351" w:name="_Toc12914"/>
      <w:bookmarkStart w:id="352" w:name="_Toc1924"/>
      <w:r>
        <w:rPr>
          <w:rFonts w:hint="eastAsia" w:ascii="宋体" w:hAnsi="宋体" w:eastAsia="宋体" w:cs="宋体"/>
          <w:color w:val="auto"/>
          <w:highlight w:val="none"/>
          <w:lang w:val="zh-CN"/>
        </w:rPr>
        <w:t>十、处罚</w:t>
      </w:r>
      <w:bookmarkEnd w:id="343"/>
      <w:bookmarkEnd w:id="344"/>
      <w:bookmarkEnd w:id="345"/>
      <w:bookmarkEnd w:id="346"/>
      <w:bookmarkEnd w:id="347"/>
      <w:bookmarkEnd w:id="348"/>
      <w:bookmarkEnd w:id="349"/>
      <w:bookmarkEnd w:id="350"/>
      <w:bookmarkEnd w:id="351"/>
      <w:bookmarkEnd w:id="352"/>
    </w:p>
    <w:p w14:paraId="3FE562E0">
      <w:pPr>
        <w:pStyle w:val="3"/>
        <w:rPr>
          <w:rFonts w:hint="eastAsia" w:ascii="宋体" w:hAnsi="宋体" w:eastAsia="宋体" w:cs="宋体"/>
          <w:color w:val="auto"/>
          <w:highlight w:val="none"/>
        </w:rPr>
      </w:pPr>
      <w:bookmarkStart w:id="353" w:name="_Toc27186"/>
      <w:bookmarkStart w:id="354" w:name="_Toc19306"/>
      <w:bookmarkStart w:id="355" w:name="_Toc495567962"/>
      <w:bookmarkStart w:id="356" w:name="_Toc25633"/>
      <w:bookmarkStart w:id="357" w:name="_Toc28018"/>
      <w:bookmarkStart w:id="358" w:name="_Toc495666279"/>
      <w:bookmarkStart w:id="359" w:name="_Toc19756"/>
      <w:bookmarkStart w:id="360" w:name="_Toc19244"/>
      <w:bookmarkStart w:id="361" w:name="_Toc325726033"/>
      <w:bookmarkStart w:id="362" w:name="_Toc17567"/>
      <w:bookmarkStart w:id="363" w:name="_Toc376936764"/>
      <w:r>
        <w:rPr>
          <w:rFonts w:hint="eastAsia" w:ascii="宋体" w:hAnsi="宋体" w:eastAsia="宋体" w:cs="宋体"/>
          <w:color w:val="auto"/>
          <w:highlight w:val="none"/>
        </w:rPr>
        <w:t>22.处罚情形</w:t>
      </w:r>
      <w:bookmarkEnd w:id="353"/>
      <w:bookmarkEnd w:id="354"/>
      <w:bookmarkEnd w:id="355"/>
      <w:bookmarkEnd w:id="356"/>
      <w:bookmarkEnd w:id="357"/>
      <w:bookmarkEnd w:id="358"/>
      <w:bookmarkEnd w:id="359"/>
      <w:bookmarkEnd w:id="360"/>
      <w:bookmarkEnd w:id="361"/>
      <w:bookmarkEnd w:id="362"/>
      <w:bookmarkEnd w:id="363"/>
    </w:p>
    <w:p w14:paraId="0BDE77AD">
      <w:pPr>
        <w:autoSpaceDE w:val="0"/>
        <w:autoSpaceDN w:val="0"/>
        <w:spacing w:line="360" w:lineRule="auto"/>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 xml:space="preserve">22.1 </w:t>
      </w:r>
      <w:r>
        <w:rPr>
          <w:rFonts w:hint="eastAsia" w:ascii="宋体" w:hAnsi="宋体" w:eastAsia="宋体" w:cs="宋体"/>
          <w:color w:val="auto"/>
          <w:sz w:val="24"/>
          <w:highlight w:val="none"/>
          <w:lang w:val="zh-CN"/>
        </w:rPr>
        <w:t>成交人有下列情形之一的，成交无效，磋商保证金不予退还。情节严重的，报同级财政部门依法进行处理：</w:t>
      </w:r>
    </w:p>
    <w:p w14:paraId="6920210C">
      <w:pPr>
        <w:autoSpaceDE w:val="0"/>
        <w:autoSpaceDN w:val="0"/>
        <w:spacing w:line="360" w:lineRule="auto"/>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zh-CN"/>
        </w:rPr>
        <w:t>）提供虚假材料谋取成交的；</w:t>
      </w:r>
    </w:p>
    <w:p w14:paraId="3CDF1573">
      <w:pPr>
        <w:autoSpaceDE w:val="0"/>
        <w:autoSpaceDN w:val="0"/>
        <w:spacing w:line="360" w:lineRule="auto"/>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）采取不正当手段诋毁、排挤其他供应商的；</w:t>
      </w:r>
    </w:p>
    <w:p w14:paraId="43B78664">
      <w:pPr>
        <w:autoSpaceDE w:val="0"/>
        <w:autoSpaceDN w:val="0"/>
        <w:spacing w:line="360" w:lineRule="auto"/>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zh-CN"/>
        </w:rPr>
        <w:t>）与采购人、其他供应商或者采购代理机构恶意串通的；</w:t>
      </w:r>
    </w:p>
    <w:p w14:paraId="51036CDA">
      <w:pPr>
        <w:autoSpaceDE w:val="0"/>
        <w:autoSpaceDN w:val="0"/>
        <w:spacing w:line="360" w:lineRule="auto"/>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zh-CN"/>
        </w:rPr>
        <w:t>）向采购人、采购代理机构行贿或者提供其他不正当利益的；</w:t>
      </w:r>
    </w:p>
    <w:p w14:paraId="014AC65B">
      <w:pPr>
        <w:autoSpaceDE w:val="0"/>
        <w:autoSpaceDN w:val="0"/>
        <w:spacing w:line="360" w:lineRule="auto"/>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val="zh-CN"/>
        </w:rPr>
        <w:t>）在磋商采购过程中与采购人进行协商谈判的；</w:t>
      </w:r>
    </w:p>
    <w:p w14:paraId="583F7810">
      <w:pPr>
        <w:autoSpaceDE w:val="0"/>
        <w:autoSpaceDN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6</w:t>
      </w:r>
      <w:r>
        <w:rPr>
          <w:rFonts w:hint="eastAsia" w:ascii="宋体" w:hAnsi="宋体" w:eastAsia="宋体" w:cs="宋体"/>
          <w:color w:val="auto"/>
          <w:sz w:val="24"/>
          <w:highlight w:val="none"/>
          <w:lang w:val="zh-CN"/>
        </w:rPr>
        <w:t>）向磋商小组行贿或者提供其他不正当利益</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val="zh-CN"/>
        </w:rPr>
        <w:t>。</w:t>
      </w:r>
    </w:p>
    <w:p w14:paraId="3179048F">
      <w:pPr>
        <w:pStyle w:val="2"/>
        <w:rPr>
          <w:rFonts w:hint="eastAsia" w:ascii="宋体" w:hAnsi="宋体" w:eastAsia="宋体" w:cs="宋体"/>
          <w:color w:val="auto"/>
          <w:highlight w:val="none"/>
          <w:lang w:val="zh-CN"/>
        </w:rPr>
      </w:pPr>
      <w:bookmarkStart w:id="364" w:name="_Toc325726034"/>
      <w:bookmarkStart w:id="365" w:name="_Toc2160"/>
      <w:bookmarkStart w:id="366" w:name="_Toc31429"/>
      <w:bookmarkStart w:id="367" w:name="_Toc19538"/>
      <w:bookmarkStart w:id="368" w:name="_Toc16406"/>
      <w:bookmarkStart w:id="369" w:name="_Toc376936765"/>
      <w:bookmarkStart w:id="370" w:name="_Toc12096"/>
      <w:bookmarkStart w:id="371" w:name="_Toc19188"/>
      <w:bookmarkStart w:id="372" w:name="_Toc6887"/>
      <w:bookmarkStart w:id="373" w:name="_Toc26599"/>
      <w:r>
        <w:rPr>
          <w:rFonts w:hint="eastAsia" w:ascii="宋体" w:hAnsi="宋体" w:eastAsia="宋体" w:cs="宋体"/>
          <w:color w:val="auto"/>
          <w:highlight w:val="none"/>
          <w:lang w:val="zh-CN"/>
        </w:rPr>
        <w:t>十一、其他</w:t>
      </w:r>
      <w:bookmarkEnd w:id="364"/>
      <w:bookmarkEnd w:id="365"/>
      <w:bookmarkEnd w:id="366"/>
      <w:bookmarkEnd w:id="367"/>
      <w:bookmarkEnd w:id="368"/>
      <w:bookmarkEnd w:id="369"/>
      <w:bookmarkEnd w:id="370"/>
      <w:bookmarkEnd w:id="371"/>
      <w:bookmarkEnd w:id="372"/>
      <w:bookmarkEnd w:id="373"/>
    </w:p>
    <w:p w14:paraId="193EFDE9">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其他未尽事宜，按照《中华人民共和国政府采购法》《中华人民共和国民法典》《中华人民共和国政府采购法实施条例》</w:t>
      </w:r>
      <w:r>
        <w:rPr>
          <w:rFonts w:hint="eastAsia" w:ascii="宋体" w:hAnsi="宋体" w:eastAsia="宋体" w:cs="宋体"/>
          <w:color w:val="auto"/>
          <w:sz w:val="24"/>
          <w:szCs w:val="24"/>
          <w:highlight w:val="none"/>
          <w:lang w:eastAsia="zh-CN"/>
        </w:rPr>
        <w:t>《政府采购促进中小企业发展管理办法》</w:t>
      </w:r>
      <w:r>
        <w:rPr>
          <w:rFonts w:hint="eastAsia" w:ascii="宋体" w:hAnsi="宋体" w:eastAsia="宋体" w:cs="宋体"/>
          <w:color w:val="auto"/>
          <w:sz w:val="24"/>
          <w:szCs w:val="24"/>
          <w:highlight w:val="none"/>
        </w:rPr>
        <w:t>等法律法规的有关条款执行。</w:t>
      </w:r>
    </w:p>
    <w:p w14:paraId="14A37FC9">
      <w:pPr>
        <w:pStyle w:val="20"/>
        <w:rPr>
          <w:rFonts w:hint="eastAsia" w:ascii="宋体" w:hAnsi="宋体" w:eastAsia="宋体" w:cs="宋体"/>
          <w:color w:val="auto"/>
          <w:kern w:val="28"/>
          <w:highlight w:val="none"/>
        </w:rPr>
      </w:pPr>
      <w:bookmarkStart w:id="374" w:name="_Toc376936766"/>
      <w:r>
        <w:rPr>
          <w:rFonts w:hint="eastAsia" w:ascii="宋体" w:hAnsi="宋体" w:eastAsia="宋体" w:cs="宋体"/>
          <w:color w:val="auto"/>
          <w:kern w:val="28"/>
          <w:highlight w:val="none"/>
        </w:rPr>
        <w:br w:type="page"/>
      </w:r>
      <w:bookmarkEnd w:id="374"/>
      <w:bookmarkStart w:id="375" w:name="_Toc14735"/>
      <w:bookmarkStart w:id="376" w:name="_Toc14674"/>
      <w:bookmarkStart w:id="377" w:name="_Toc495666280"/>
      <w:bookmarkStart w:id="378" w:name="_Toc495567963"/>
      <w:bookmarkStart w:id="379" w:name="_Toc7353"/>
      <w:bookmarkStart w:id="380" w:name="_Toc13582"/>
      <w:bookmarkStart w:id="381" w:name="_Toc3621"/>
      <w:bookmarkStart w:id="382" w:name="_Toc28013"/>
      <w:r>
        <w:rPr>
          <w:rFonts w:hint="eastAsia" w:ascii="宋体" w:hAnsi="宋体" w:eastAsia="宋体" w:cs="宋体"/>
          <w:color w:val="auto"/>
          <w:kern w:val="28"/>
          <w:highlight w:val="none"/>
        </w:rPr>
        <w:t>第四部分 采购项目合同书</w:t>
      </w:r>
      <w:bookmarkEnd w:id="375"/>
      <w:bookmarkEnd w:id="376"/>
      <w:bookmarkEnd w:id="377"/>
      <w:bookmarkEnd w:id="378"/>
      <w:bookmarkEnd w:id="379"/>
      <w:bookmarkEnd w:id="380"/>
      <w:bookmarkEnd w:id="381"/>
      <w:bookmarkEnd w:id="382"/>
    </w:p>
    <w:p w14:paraId="2DF58D28">
      <w:pPr>
        <w:spacing w:line="360" w:lineRule="auto"/>
        <w:ind w:firstLine="400"/>
        <w:jc w:val="left"/>
        <w:rPr>
          <w:rFonts w:hint="eastAsia" w:ascii="宋体" w:hAnsi="宋体" w:eastAsia="宋体" w:cs="宋体"/>
          <w:color w:val="auto"/>
          <w:highlight w:val="none"/>
        </w:rPr>
      </w:pPr>
      <w:bookmarkStart w:id="383" w:name="_Toc373936315"/>
      <w:bookmarkStart w:id="384" w:name="_Toc373954603"/>
      <w:bookmarkStart w:id="385" w:name="_Toc375576842"/>
    </w:p>
    <w:p w14:paraId="3CC509EB">
      <w:pPr>
        <w:spacing w:line="360" w:lineRule="auto"/>
        <w:ind w:firstLine="400"/>
        <w:jc w:val="left"/>
        <w:rPr>
          <w:rFonts w:hint="eastAsia" w:ascii="宋体" w:hAnsi="宋体" w:eastAsia="宋体" w:cs="宋体"/>
          <w:color w:val="auto"/>
          <w:highlight w:val="none"/>
        </w:rPr>
      </w:pPr>
    </w:p>
    <w:p w14:paraId="2BC7B609">
      <w:pPr>
        <w:spacing w:line="360" w:lineRule="auto"/>
        <w:ind w:firstLine="400"/>
        <w:jc w:val="left"/>
        <w:rPr>
          <w:rFonts w:hint="eastAsia" w:ascii="宋体" w:hAnsi="宋体" w:eastAsia="宋体" w:cs="宋体"/>
          <w:color w:val="auto"/>
          <w:highlight w:val="none"/>
        </w:rPr>
      </w:pPr>
    </w:p>
    <w:p w14:paraId="3838D61D">
      <w:pPr>
        <w:spacing w:line="360" w:lineRule="auto"/>
        <w:ind w:firstLine="400"/>
        <w:jc w:val="left"/>
        <w:rPr>
          <w:rFonts w:hint="eastAsia" w:ascii="宋体" w:hAnsi="宋体" w:eastAsia="宋体" w:cs="宋体"/>
          <w:color w:val="auto"/>
          <w:highlight w:val="none"/>
        </w:rPr>
      </w:pPr>
    </w:p>
    <w:p w14:paraId="559E8E55">
      <w:pPr>
        <w:spacing w:line="360" w:lineRule="auto"/>
        <w:ind w:firstLine="400"/>
        <w:jc w:val="left"/>
        <w:rPr>
          <w:rFonts w:hint="eastAsia" w:ascii="宋体" w:hAnsi="宋体" w:eastAsia="宋体" w:cs="宋体"/>
          <w:color w:val="auto"/>
          <w:highlight w:val="none"/>
        </w:rPr>
      </w:pPr>
    </w:p>
    <w:p w14:paraId="07151C1C">
      <w:pPr>
        <w:spacing w:line="360" w:lineRule="auto"/>
        <w:ind w:firstLine="400"/>
        <w:jc w:val="left"/>
        <w:rPr>
          <w:rFonts w:hint="eastAsia" w:ascii="宋体" w:hAnsi="宋体" w:eastAsia="宋体" w:cs="宋体"/>
          <w:color w:val="auto"/>
          <w:highlight w:val="none"/>
        </w:rPr>
      </w:pPr>
    </w:p>
    <w:p w14:paraId="31DEA7C2">
      <w:pPr>
        <w:spacing w:line="360" w:lineRule="auto"/>
        <w:ind w:firstLine="400"/>
        <w:jc w:val="center"/>
        <w:rPr>
          <w:rFonts w:hint="eastAsia" w:ascii="宋体" w:hAnsi="宋体" w:eastAsia="宋体" w:cs="宋体"/>
          <w:color w:val="auto"/>
          <w:highlight w:val="none"/>
        </w:rPr>
      </w:pPr>
    </w:p>
    <w:p w14:paraId="64302ECB">
      <w:pPr>
        <w:pStyle w:val="29"/>
        <w:spacing w:line="360" w:lineRule="auto"/>
        <w:jc w:val="center"/>
        <w:rPr>
          <w:rFonts w:hint="eastAsia" w:ascii="宋体" w:hAnsi="宋体" w:eastAsia="宋体" w:cs="宋体"/>
          <w:b/>
          <w:color w:val="auto"/>
          <w:sz w:val="44"/>
          <w:szCs w:val="44"/>
          <w:highlight w:val="none"/>
        </w:rPr>
      </w:pPr>
      <w:bookmarkStart w:id="386" w:name="_Toc458762168"/>
      <w:bookmarkStart w:id="387" w:name="_Toc495666281"/>
      <w:bookmarkStart w:id="388" w:name="_Toc455835990"/>
      <w:bookmarkStart w:id="389" w:name="_Toc22407"/>
      <w:bookmarkStart w:id="390" w:name="_Toc495567964"/>
      <w:r>
        <w:rPr>
          <w:rFonts w:hint="eastAsia" w:ascii="宋体" w:hAnsi="宋体" w:eastAsia="宋体" w:cs="宋体"/>
          <w:b/>
          <w:color w:val="auto"/>
          <w:sz w:val="44"/>
          <w:szCs w:val="44"/>
          <w:highlight w:val="none"/>
        </w:rPr>
        <w:t>采购项目合同书</w:t>
      </w:r>
      <w:bookmarkEnd w:id="386"/>
      <w:bookmarkEnd w:id="387"/>
      <w:bookmarkEnd w:id="388"/>
      <w:bookmarkEnd w:id="389"/>
      <w:bookmarkEnd w:id="390"/>
    </w:p>
    <w:p w14:paraId="0220CD86">
      <w:pPr>
        <w:spacing w:line="360" w:lineRule="auto"/>
        <w:ind w:firstLine="400"/>
        <w:jc w:val="left"/>
        <w:rPr>
          <w:rFonts w:hint="eastAsia" w:ascii="宋体" w:hAnsi="宋体" w:eastAsia="宋体" w:cs="宋体"/>
          <w:color w:val="auto"/>
          <w:highlight w:val="none"/>
        </w:rPr>
      </w:pPr>
    </w:p>
    <w:p w14:paraId="55FF7744">
      <w:pPr>
        <w:spacing w:line="360" w:lineRule="auto"/>
        <w:ind w:firstLine="400"/>
        <w:jc w:val="left"/>
        <w:rPr>
          <w:rFonts w:hint="eastAsia" w:ascii="宋体" w:hAnsi="宋体" w:eastAsia="宋体" w:cs="宋体"/>
          <w:color w:val="auto"/>
          <w:highlight w:val="none"/>
        </w:rPr>
      </w:pPr>
    </w:p>
    <w:p w14:paraId="4A73A52E">
      <w:pPr>
        <w:spacing w:line="360" w:lineRule="auto"/>
        <w:ind w:firstLine="400"/>
        <w:jc w:val="left"/>
        <w:rPr>
          <w:rFonts w:hint="eastAsia" w:ascii="宋体" w:hAnsi="宋体" w:eastAsia="宋体" w:cs="宋体"/>
          <w:color w:val="auto"/>
          <w:highlight w:val="none"/>
        </w:rPr>
      </w:pPr>
    </w:p>
    <w:p w14:paraId="04089410">
      <w:pPr>
        <w:spacing w:line="360" w:lineRule="auto"/>
        <w:ind w:firstLine="400"/>
        <w:jc w:val="left"/>
        <w:rPr>
          <w:rFonts w:hint="eastAsia" w:ascii="宋体" w:hAnsi="宋体" w:eastAsia="宋体" w:cs="宋体"/>
          <w:color w:val="auto"/>
          <w:highlight w:val="none"/>
        </w:rPr>
      </w:pPr>
    </w:p>
    <w:p w14:paraId="5C448873">
      <w:pPr>
        <w:spacing w:line="360" w:lineRule="auto"/>
        <w:ind w:firstLine="400"/>
        <w:jc w:val="left"/>
        <w:rPr>
          <w:rFonts w:hint="eastAsia" w:ascii="宋体" w:hAnsi="宋体" w:eastAsia="宋体" w:cs="宋体"/>
          <w:color w:val="auto"/>
          <w:highlight w:val="none"/>
        </w:rPr>
      </w:pPr>
    </w:p>
    <w:p w14:paraId="15374BD6">
      <w:pPr>
        <w:spacing w:line="360" w:lineRule="auto"/>
        <w:jc w:val="left"/>
        <w:rPr>
          <w:rFonts w:hint="eastAsia" w:ascii="宋体" w:hAnsi="宋体" w:eastAsia="宋体" w:cs="宋体"/>
          <w:b/>
          <w:color w:val="auto"/>
          <w:sz w:val="28"/>
          <w:szCs w:val="28"/>
          <w:highlight w:val="none"/>
        </w:rPr>
      </w:pPr>
    </w:p>
    <w:p w14:paraId="0E309FDA">
      <w:pPr>
        <w:spacing w:line="360" w:lineRule="auto"/>
        <w:jc w:val="left"/>
        <w:rPr>
          <w:rFonts w:hint="eastAsia" w:ascii="宋体" w:hAnsi="宋体" w:eastAsia="宋体" w:cs="宋体"/>
          <w:b/>
          <w:color w:val="auto"/>
          <w:sz w:val="28"/>
          <w:szCs w:val="28"/>
          <w:highlight w:val="none"/>
        </w:rPr>
      </w:pPr>
    </w:p>
    <w:p w14:paraId="5AA3C36E">
      <w:pPr>
        <w:autoSpaceDE w:val="0"/>
        <w:autoSpaceDN w:val="0"/>
        <w:adjustRightInd w:val="0"/>
        <w:spacing w:line="360" w:lineRule="auto"/>
        <w:ind w:firstLine="1124" w:firstLineChars="400"/>
        <w:rPr>
          <w:rFonts w:hint="eastAsia" w:ascii="宋体" w:hAnsi="宋体" w:eastAsia="宋体" w:cs="宋体"/>
          <w:b/>
          <w:bCs/>
          <w:color w:val="auto"/>
          <w:sz w:val="28"/>
          <w:szCs w:val="28"/>
          <w:highlight w:val="none"/>
          <w:u w:val="single"/>
        </w:rPr>
      </w:pPr>
      <w:r>
        <w:rPr>
          <w:rFonts w:hint="eastAsia" w:ascii="宋体" w:hAnsi="宋体" w:eastAsia="宋体" w:cs="宋体"/>
          <w:b/>
          <w:color w:val="auto"/>
          <w:sz w:val="28"/>
          <w:szCs w:val="28"/>
          <w:highlight w:val="none"/>
        </w:rPr>
        <w:t>采购项目名称：</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color w:val="auto"/>
          <w:sz w:val="28"/>
          <w:szCs w:val="28"/>
          <w:highlight w:val="none"/>
          <w:u w:val="none"/>
        </w:rPr>
        <w:t xml:space="preserve">                       </w:t>
      </w:r>
      <w:r>
        <w:rPr>
          <w:rFonts w:hint="eastAsia" w:ascii="宋体" w:hAnsi="宋体" w:eastAsia="宋体" w:cs="宋体"/>
          <w:b/>
          <w:bCs/>
          <w:color w:val="auto"/>
          <w:sz w:val="28"/>
          <w:szCs w:val="28"/>
          <w:highlight w:val="none"/>
          <w:u w:val="none"/>
        </w:rPr>
        <w:t xml:space="preserve"> </w:t>
      </w:r>
      <w:r>
        <w:rPr>
          <w:rFonts w:hint="eastAsia" w:ascii="宋体" w:hAnsi="宋体" w:eastAsia="宋体" w:cs="宋体"/>
          <w:b/>
          <w:bCs/>
          <w:color w:val="auto"/>
          <w:sz w:val="28"/>
          <w:szCs w:val="28"/>
          <w:highlight w:val="none"/>
          <w:u w:val="single"/>
        </w:rPr>
        <w:t xml:space="preserve">                                   </w:t>
      </w:r>
    </w:p>
    <w:p w14:paraId="0B018895">
      <w:pPr>
        <w:autoSpaceDE w:val="0"/>
        <w:autoSpaceDN w:val="0"/>
        <w:adjustRightInd w:val="0"/>
        <w:spacing w:line="360" w:lineRule="auto"/>
        <w:ind w:firstLine="1124" w:firstLineChars="400"/>
        <w:rPr>
          <w:rFonts w:hint="eastAsia" w:ascii="宋体" w:hAnsi="宋体" w:eastAsia="宋体" w:cs="宋体"/>
          <w:b/>
          <w:color w:val="auto"/>
          <w:sz w:val="28"/>
          <w:szCs w:val="28"/>
          <w:highlight w:val="none"/>
          <w:u w:val="single"/>
        </w:rPr>
      </w:pPr>
      <w:r>
        <w:rPr>
          <w:rFonts w:hint="eastAsia" w:ascii="宋体" w:hAnsi="宋体" w:eastAsia="宋体" w:cs="宋体"/>
          <w:b/>
          <w:color w:val="auto"/>
          <w:sz w:val="28"/>
          <w:szCs w:val="28"/>
          <w:highlight w:val="none"/>
        </w:rPr>
        <w:t>采购项目编号：</w:t>
      </w:r>
      <w:r>
        <w:rPr>
          <w:rFonts w:hint="eastAsia" w:ascii="宋体" w:hAnsi="宋体" w:eastAsia="宋体" w:cs="宋体"/>
          <w:b/>
          <w:bCs/>
          <w:color w:val="auto"/>
          <w:sz w:val="28"/>
          <w:szCs w:val="28"/>
          <w:highlight w:val="none"/>
          <w:u w:val="single"/>
          <w:lang w:val="en-US" w:eastAsia="zh-CN"/>
        </w:rPr>
        <w:t xml:space="preserve">                                </w:t>
      </w:r>
      <w:r>
        <w:rPr>
          <w:rFonts w:hint="eastAsia" w:ascii="宋体" w:hAnsi="宋体" w:eastAsia="宋体" w:cs="宋体"/>
          <w:b/>
          <w:color w:val="auto"/>
          <w:sz w:val="28"/>
          <w:szCs w:val="28"/>
          <w:highlight w:val="none"/>
          <w:u w:val="single"/>
        </w:rPr>
        <w:t xml:space="preserve">     </w:t>
      </w:r>
    </w:p>
    <w:p w14:paraId="49AAB503">
      <w:pPr>
        <w:spacing w:line="360" w:lineRule="auto"/>
        <w:ind w:firstLine="1124" w:firstLineChars="4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采购合同编号：</w:t>
      </w:r>
      <w:r>
        <w:rPr>
          <w:rFonts w:hint="eastAsia" w:ascii="宋体" w:hAnsi="宋体" w:eastAsia="宋体" w:cs="宋体"/>
          <w:b/>
          <w:color w:val="auto"/>
          <w:sz w:val="28"/>
          <w:szCs w:val="28"/>
          <w:highlight w:val="none"/>
          <w:u w:val="single"/>
          <w:lang w:val="zh-CN"/>
        </w:rPr>
        <w:t>QHZX-竞磋（服务）2024-043</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bCs/>
          <w:color w:val="auto"/>
          <w:sz w:val="28"/>
          <w:szCs w:val="28"/>
          <w:highlight w:val="none"/>
          <w:u w:val="single"/>
          <w:lang w:val="en-US" w:eastAsia="zh-CN"/>
        </w:rPr>
        <w:t xml:space="preserve">              </w:t>
      </w:r>
      <w:r>
        <w:rPr>
          <w:rFonts w:hint="eastAsia" w:ascii="宋体" w:hAnsi="宋体" w:eastAsia="宋体" w:cs="宋体"/>
          <w:b/>
          <w:bCs/>
          <w:color w:val="auto"/>
          <w:sz w:val="28"/>
          <w:szCs w:val="28"/>
          <w:highlight w:val="none"/>
          <w:u w:val="single"/>
        </w:rPr>
        <w:t xml:space="preserve"> </w:t>
      </w:r>
    </w:p>
    <w:p w14:paraId="272899BA">
      <w:pPr>
        <w:spacing w:line="360" w:lineRule="auto"/>
        <w:ind w:firstLine="1124" w:firstLineChars="400"/>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采购单位（甲方）：</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rPr>
        <w:t>（盖章）</w:t>
      </w:r>
    </w:p>
    <w:p w14:paraId="7D884DAC">
      <w:pPr>
        <w:spacing w:line="360" w:lineRule="auto"/>
        <w:ind w:firstLine="1124" w:firstLineChars="400"/>
        <w:jc w:val="left"/>
        <w:rPr>
          <w:rFonts w:hint="eastAsia" w:ascii="宋体" w:hAnsi="宋体" w:eastAsia="宋体" w:cs="宋体"/>
          <w:b/>
          <w:color w:val="auto"/>
          <w:sz w:val="28"/>
          <w:szCs w:val="28"/>
          <w:highlight w:val="none"/>
          <w:u w:val="single"/>
        </w:rPr>
      </w:pPr>
      <w:r>
        <w:rPr>
          <w:rFonts w:hint="eastAsia" w:ascii="宋体" w:hAnsi="宋体" w:eastAsia="宋体" w:cs="宋体"/>
          <w:b/>
          <w:color w:val="auto"/>
          <w:sz w:val="28"/>
          <w:szCs w:val="28"/>
          <w:highlight w:val="none"/>
        </w:rPr>
        <w:t>成交供应商（乙方）：</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rPr>
        <w:t>（盖章）</w:t>
      </w:r>
    </w:p>
    <w:p w14:paraId="5FC9EFED">
      <w:pPr>
        <w:spacing w:line="360" w:lineRule="auto"/>
        <w:ind w:firstLine="1124" w:firstLineChars="400"/>
        <w:rPr>
          <w:rFonts w:hint="eastAsia" w:ascii="宋体" w:hAnsi="宋体" w:eastAsia="宋体" w:cs="宋体"/>
          <w:b/>
          <w:color w:val="auto"/>
          <w:sz w:val="28"/>
          <w:szCs w:val="28"/>
          <w:highlight w:val="none"/>
          <w:u w:val="single"/>
        </w:rPr>
      </w:pPr>
      <w:r>
        <w:rPr>
          <w:rFonts w:hint="eastAsia" w:ascii="宋体" w:hAnsi="宋体" w:eastAsia="宋体" w:cs="宋体"/>
          <w:b/>
          <w:color w:val="auto"/>
          <w:sz w:val="28"/>
          <w:szCs w:val="28"/>
          <w:highlight w:val="none"/>
        </w:rPr>
        <w:t>采购日期：</w:t>
      </w:r>
      <w:r>
        <w:rPr>
          <w:rFonts w:hint="eastAsia" w:ascii="宋体" w:hAnsi="宋体" w:eastAsia="宋体" w:cs="宋体"/>
          <w:b/>
          <w:color w:val="auto"/>
          <w:sz w:val="28"/>
          <w:szCs w:val="28"/>
          <w:highlight w:val="none"/>
          <w:u w:val="single"/>
        </w:rPr>
        <w:t xml:space="preserve">                                        </w:t>
      </w:r>
      <w:bookmarkEnd w:id="383"/>
      <w:bookmarkEnd w:id="384"/>
      <w:bookmarkEnd w:id="385"/>
      <w:bookmarkStart w:id="391" w:name="_Toc9509"/>
      <w:bookmarkStart w:id="392" w:name="_Toc29907"/>
      <w:bookmarkStart w:id="393" w:name="_Toc16357"/>
      <w:bookmarkStart w:id="394" w:name="_Toc23457"/>
      <w:bookmarkStart w:id="395" w:name="_Toc12077"/>
      <w:bookmarkStart w:id="396" w:name="_Toc4575797"/>
      <w:bookmarkStart w:id="397" w:name="_Toc8888"/>
      <w:bookmarkStart w:id="398" w:name="_Toc376936782"/>
      <w:bookmarkStart w:id="399" w:name="_Toc325726051"/>
    </w:p>
    <w:p w14:paraId="12E69104">
      <w:pPr>
        <w:spacing w:line="400" w:lineRule="exact"/>
        <w:rPr>
          <w:rFonts w:hint="eastAsia" w:ascii="宋体" w:hAnsi="宋体" w:eastAsia="宋体" w:cs="宋体"/>
          <w:b/>
          <w:bCs/>
          <w:sz w:val="24"/>
          <w:highlight w:val="none"/>
        </w:rPr>
      </w:pPr>
      <w:r>
        <w:rPr>
          <w:rFonts w:hint="eastAsia" w:ascii="宋体" w:hAnsi="宋体" w:eastAsia="宋体" w:cs="宋体"/>
          <w:b/>
          <w:bCs/>
          <w:color w:val="auto"/>
          <w:sz w:val="24"/>
          <w:highlight w:val="none"/>
        </w:rPr>
        <w:br w:type="page"/>
      </w:r>
      <w:bookmarkEnd w:id="391"/>
      <w:r>
        <w:rPr>
          <w:rFonts w:hint="eastAsia" w:ascii="宋体" w:hAnsi="宋体" w:eastAsia="宋体" w:cs="宋体"/>
          <w:b/>
          <w:bCs/>
          <w:sz w:val="24"/>
          <w:highlight w:val="none"/>
        </w:rPr>
        <w:t xml:space="preserve">采 购 人（以下简称甲方）： </w:t>
      </w:r>
    </w:p>
    <w:p w14:paraId="5BB488EC">
      <w:pPr>
        <w:spacing w:line="400" w:lineRule="exact"/>
        <w:rPr>
          <w:rFonts w:hint="eastAsia" w:ascii="宋体" w:hAnsi="宋体" w:eastAsia="宋体" w:cs="宋体"/>
          <w:bCs/>
          <w:sz w:val="24"/>
          <w:highlight w:val="none"/>
        </w:rPr>
      </w:pPr>
      <w:r>
        <w:rPr>
          <w:rFonts w:hint="eastAsia" w:ascii="宋体" w:hAnsi="宋体" w:eastAsia="宋体" w:cs="宋体"/>
          <w:b/>
          <w:bCs/>
          <w:sz w:val="24"/>
          <w:highlight w:val="none"/>
        </w:rPr>
        <w:t>供 应 商（以下简称乙方）：</w:t>
      </w:r>
    </w:p>
    <w:p w14:paraId="51974692">
      <w:pPr>
        <w:spacing w:line="360" w:lineRule="auto"/>
        <w:ind w:left="239" w:leftChars="114" w:firstLine="480" w:firstLineChars="200"/>
        <w:rPr>
          <w:rFonts w:hint="eastAsia" w:ascii="宋体" w:hAnsi="宋体" w:eastAsia="宋体" w:cs="宋体"/>
          <w:bCs/>
          <w:sz w:val="24"/>
          <w:highlight w:val="none"/>
        </w:rPr>
      </w:pPr>
    </w:p>
    <w:p w14:paraId="577B0195">
      <w:pPr>
        <w:spacing w:line="360" w:lineRule="auto"/>
        <w:ind w:left="239" w:leftChars="114"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甲、乙双方根据202</w:t>
      </w:r>
      <w:r>
        <w:rPr>
          <w:rFonts w:hint="eastAsia" w:ascii="宋体" w:hAnsi="宋体" w:eastAsia="宋体" w:cs="宋体"/>
          <w:bCs/>
          <w:sz w:val="24"/>
          <w:szCs w:val="24"/>
          <w:highlight w:val="none"/>
          <w:lang w:val="en-US" w:eastAsia="zh-CN"/>
        </w:rPr>
        <w:t>4</w:t>
      </w:r>
      <w:r>
        <w:rPr>
          <w:rFonts w:hint="eastAsia" w:ascii="宋体" w:hAnsi="宋体" w:eastAsia="宋体" w:cs="宋体"/>
          <w:bCs/>
          <w:sz w:val="24"/>
          <w:szCs w:val="24"/>
          <w:highlight w:val="none"/>
        </w:rPr>
        <w:t>年 月  日</w:t>
      </w:r>
      <w:r>
        <w:rPr>
          <w:rFonts w:hint="eastAsia" w:ascii="宋体" w:hAnsi="宋体" w:eastAsia="宋体" w:cs="宋体"/>
          <w:bCs/>
          <w:sz w:val="24"/>
          <w:szCs w:val="24"/>
          <w:highlight w:val="none"/>
          <w:lang w:val="zh-CN"/>
        </w:rPr>
        <w:t>青海民族大学高等教育人才培养模式改革创新项目</w:t>
      </w:r>
      <w:r>
        <w:rPr>
          <w:rFonts w:hint="eastAsia" w:ascii="宋体" w:hAnsi="宋体" w:eastAsia="宋体" w:cs="宋体"/>
          <w:bCs/>
          <w:sz w:val="24"/>
          <w:szCs w:val="24"/>
          <w:highlight w:val="none"/>
        </w:rPr>
        <w:t>（</w:t>
      </w:r>
      <w:r>
        <w:rPr>
          <w:rFonts w:hint="eastAsia" w:ascii="宋体" w:hAnsi="宋体" w:eastAsia="宋体" w:cs="宋体"/>
          <w:bCs/>
          <w:sz w:val="24"/>
          <w:szCs w:val="24"/>
          <w:highlight w:val="none"/>
          <w:lang w:val="zh-CN"/>
        </w:rPr>
        <w:t>QHZX-竞磋（服务）2024-043</w:t>
      </w:r>
      <w:r>
        <w:rPr>
          <w:rFonts w:hint="eastAsia" w:ascii="宋体" w:hAnsi="宋体" w:eastAsia="宋体" w:cs="宋体"/>
          <w:bCs/>
          <w:sz w:val="24"/>
          <w:szCs w:val="24"/>
          <w:highlight w:val="none"/>
        </w:rPr>
        <w:t>）的</w:t>
      </w:r>
      <w:r>
        <w:rPr>
          <w:rFonts w:hint="eastAsia" w:ascii="宋体" w:hAnsi="宋体" w:eastAsia="宋体" w:cs="宋体"/>
          <w:bCs/>
          <w:sz w:val="24"/>
          <w:szCs w:val="24"/>
          <w:highlight w:val="none"/>
          <w:lang w:eastAsia="zh-CN"/>
        </w:rPr>
        <w:t>竞争性磋商</w:t>
      </w:r>
      <w:r>
        <w:rPr>
          <w:rFonts w:hint="eastAsia" w:ascii="宋体" w:hAnsi="宋体" w:eastAsia="宋体" w:cs="宋体"/>
          <w:bCs/>
          <w:sz w:val="24"/>
          <w:szCs w:val="24"/>
          <w:highlight w:val="none"/>
        </w:rPr>
        <w:t>采购文件要求和采购机构出具的《成交通知书》，并经双方协商一致，达成合同总价款为                    的</w:t>
      </w:r>
      <w:r>
        <w:rPr>
          <w:rFonts w:hint="eastAsia" w:ascii="宋体" w:hAnsi="宋体" w:eastAsia="宋体" w:cs="宋体"/>
          <w:bCs/>
          <w:sz w:val="24"/>
          <w:szCs w:val="24"/>
          <w:highlight w:val="none"/>
          <w:lang w:eastAsia="zh-CN"/>
        </w:rPr>
        <w:t>青海民族大学高等教育人才培养模式改革创新项目</w:t>
      </w:r>
      <w:r>
        <w:rPr>
          <w:rFonts w:hint="eastAsia" w:ascii="宋体" w:hAnsi="宋体" w:eastAsia="宋体" w:cs="宋体"/>
          <w:bCs/>
          <w:sz w:val="24"/>
          <w:szCs w:val="24"/>
          <w:highlight w:val="none"/>
        </w:rPr>
        <w:t>采</w:t>
      </w:r>
      <w:r>
        <w:rPr>
          <w:rFonts w:hint="eastAsia" w:ascii="宋体" w:hAnsi="宋体" w:eastAsia="宋体" w:cs="宋体"/>
          <w:sz w:val="24"/>
          <w:szCs w:val="24"/>
          <w:highlight w:val="none"/>
        </w:rPr>
        <w:t>购</w:t>
      </w:r>
      <w:r>
        <w:rPr>
          <w:rFonts w:hint="eastAsia" w:ascii="宋体" w:hAnsi="宋体" w:eastAsia="宋体" w:cs="宋体"/>
          <w:bCs/>
          <w:sz w:val="24"/>
          <w:szCs w:val="24"/>
          <w:highlight w:val="none"/>
        </w:rPr>
        <w:t>合同：</w:t>
      </w:r>
    </w:p>
    <w:p w14:paraId="2966E9BD">
      <w:pPr>
        <w:autoSpaceDE w:val="0"/>
        <w:autoSpaceDN w:val="0"/>
        <w:adjustRightInd w:val="0"/>
        <w:spacing w:line="360" w:lineRule="auto"/>
        <w:ind w:firstLine="480" w:firstLineChars="200"/>
        <w:outlineLvl w:val="1"/>
        <w:rPr>
          <w:rFonts w:hint="eastAsia" w:ascii="宋体" w:hAnsi="宋体" w:eastAsia="宋体" w:cs="宋体"/>
          <w:kern w:val="0"/>
          <w:sz w:val="24"/>
          <w:szCs w:val="24"/>
          <w:highlight w:val="none"/>
          <w:lang w:val="zh-CN"/>
        </w:rPr>
      </w:pPr>
      <w:bookmarkStart w:id="400" w:name="_Toc27323"/>
      <w:bookmarkStart w:id="401" w:name="_Toc32305"/>
      <w:bookmarkStart w:id="402" w:name="_Toc1022"/>
      <w:r>
        <w:rPr>
          <w:rFonts w:hint="eastAsia" w:ascii="宋体" w:hAnsi="宋体" w:eastAsia="宋体" w:cs="宋体"/>
          <w:kern w:val="0"/>
          <w:sz w:val="24"/>
          <w:szCs w:val="24"/>
          <w:highlight w:val="none"/>
          <w:lang w:val="zh-CN"/>
        </w:rPr>
        <w:t>一、签订本采购合同的依据</w:t>
      </w:r>
      <w:bookmarkEnd w:id="400"/>
      <w:bookmarkEnd w:id="401"/>
      <w:bookmarkEnd w:id="402"/>
    </w:p>
    <w:p w14:paraId="7D8F713B">
      <w:pPr>
        <w:autoSpaceDE w:val="0"/>
        <w:autoSpaceDN w:val="0"/>
        <w:adjustRightInd w:val="0"/>
        <w:spacing w:line="360" w:lineRule="auto"/>
        <w:ind w:firstLine="480" w:firstLineChars="20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本采购合同所附下列文件是构成本采购合同不可分割的部分：</w:t>
      </w:r>
    </w:p>
    <w:p w14:paraId="0B5EB2B1">
      <w:pPr>
        <w:autoSpaceDE w:val="0"/>
        <w:autoSpaceDN w:val="0"/>
        <w:adjustRightInd w:val="0"/>
        <w:spacing w:line="360" w:lineRule="auto"/>
        <w:ind w:firstLine="480" w:firstLineChars="20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1.竞争性磋商文件；</w:t>
      </w:r>
    </w:p>
    <w:p w14:paraId="75FBA934">
      <w:pPr>
        <w:autoSpaceDE w:val="0"/>
        <w:autoSpaceDN w:val="0"/>
        <w:adjustRightInd w:val="0"/>
        <w:spacing w:line="360" w:lineRule="auto"/>
        <w:ind w:firstLine="480" w:firstLineChars="20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2.竞争性磋商文件的更正、变更公告（</w:t>
      </w:r>
      <w:r>
        <w:rPr>
          <w:rFonts w:hint="eastAsia" w:ascii="宋体" w:hAnsi="宋体" w:eastAsia="宋体" w:cs="宋体"/>
          <w:kern w:val="0"/>
          <w:sz w:val="24"/>
          <w:szCs w:val="24"/>
          <w:highlight w:val="none"/>
        </w:rPr>
        <w:t>如有</w:t>
      </w:r>
      <w:r>
        <w:rPr>
          <w:rFonts w:hint="eastAsia" w:ascii="宋体" w:hAnsi="宋体" w:eastAsia="宋体" w:cs="宋体"/>
          <w:kern w:val="0"/>
          <w:sz w:val="24"/>
          <w:szCs w:val="24"/>
          <w:highlight w:val="none"/>
          <w:lang w:val="zh-CN"/>
        </w:rPr>
        <w:t>）；</w:t>
      </w:r>
    </w:p>
    <w:p w14:paraId="69F248C5">
      <w:pPr>
        <w:autoSpaceDE w:val="0"/>
        <w:autoSpaceDN w:val="0"/>
        <w:adjustRightInd w:val="0"/>
        <w:spacing w:line="360" w:lineRule="auto"/>
        <w:ind w:firstLine="480" w:firstLineChars="20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3.成交供应商提交的竞争性磋商响应文件；</w:t>
      </w:r>
    </w:p>
    <w:p w14:paraId="13946943">
      <w:pPr>
        <w:autoSpaceDE w:val="0"/>
        <w:autoSpaceDN w:val="0"/>
        <w:adjustRightInd w:val="0"/>
        <w:spacing w:line="360" w:lineRule="auto"/>
        <w:ind w:firstLine="480" w:firstLineChars="20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4.竞争性磋商文件中规定的其他要求；</w:t>
      </w:r>
    </w:p>
    <w:p w14:paraId="4DF1B4C3">
      <w:pPr>
        <w:autoSpaceDE w:val="0"/>
        <w:autoSpaceDN w:val="0"/>
        <w:adjustRightInd w:val="0"/>
        <w:spacing w:line="360" w:lineRule="auto"/>
        <w:ind w:firstLine="480" w:firstLineChars="20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5.成交通知书；</w:t>
      </w:r>
    </w:p>
    <w:p w14:paraId="799E6DAC">
      <w:pPr>
        <w:autoSpaceDE w:val="0"/>
        <w:autoSpaceDN w:val="0"/>
        <w:adjustRightInd w:val="0"/>
        <w:spacing w:line="360" w:lineRule="auto"/>
        <w:ind w:firstLine="480" w:firstLineChars="20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6.履约保证金缴费证明；</w:t>
      </w:r>
    </w:p>
    <w:p w14:paraId="06C5AF69">
      <w:pPr>
        <w:autoSpaceDE w:val="0"/>
        <w:autoSpaceDN w:val="0"/>
        <w:adjustRightInd w:val="0"/>
        <w:spacing w:line="360" w:lineRule="auto"/>
        <w:ind w:firstLine="480" w:firstLineChars="200"/>
        <w:outlineLvl w:val="1"/>
        <w:rPr>
          <w:rFonts w:hint="eastAsia" w:ascii="宋体" w:hAnsi="宋体" w:eastAsia="宋体" w:cs="宋体"/>
          <w:kern w:val="0"/>
          <w:sz w:val="24"/>
          <w:szCs w:val="24"/>
          <w:highlight w:val="none"/>
          <w:lang w:val="zh-CN"/>
        </w:rPr>
      </w:pPr>
      <w:bookmarkStart w:id="403" w:name="_Toc20240"/>
      <w:bookmarkStart w:id="404" w:name="_Toc1971"/>
      <w:bookmarkStart w:id="405" w:name="_Toc12543"/>
      <w:r>
        <w:rPr>
          <w:rFonts w:hint="eastAsia" w:ascii="宋体" w:hAnsi="宋体" w:eastAsia="宋体" w:cs="宋体"/>
          <w:kern w:val="0"/>
          <w:sz w:val="24"/>
          <w:szCs w:val="24"/>
          <w:highlight w:val="none"/>
          <w:lang w:val="zh-CN"/>
        </w:rPr>
        <w:t>二、合同标的及金额                                       单位：元</w:t>
      </w:r>
      <w:bookmarkEnd w:id="403"/>
      <w:bookmarkEnd w:id="404"/>
      <w:bookmarkEnd w:id="405"/>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79"/>
        <w:gridCol w:w="1544"/>
        <w:gridCol w:w="3072"/>
        <w:gridCol w:w="1170"/>
        <w:gridCol w:w="1171"/>
        <w:gridCol w:w="1462"/>
      </w:tblGrid>
      <w:tr w14:paraId="07DFD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6" w:hRule="atLeast"/>
        </w:trPr>
        <w:tc>
          <w:tcPr>
            <w:tcW w:w="679" w:type="dxa"/>
            <w:noWrap w:val="0"/>
            <w:vAlign w:val="center"/>
          </w:tcPr>
          <w:p w14:paraId="22C58099">
            <w:pPr>
              <w:spacing w:line="360" w:lineRule="auto"/>
              <w:jc w:val="center"/>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序号</w:t>
            </w:r>
          </w:p>
        </w:tc>
        <w:tc>
          <w:tcPr>
            <w:tcW w:w="1544" w:type="dxa"/>
            <w:noWrap w:val="0"/>
            <w:vAlign w:val="center"/>
          </w:tcPr>
          <w:p w14:paraId="0C27143A">
            <w:pPr>
              <w:spacing w:line="360" w:lineRule="auto"/>
              <w:jc w:val="center"/>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服务名称</w:t>
            </w:r>
          </w:p>
        </w:tc>
        <w:tc>
          <w:tcPr>
            <w:tcW w:w="3072" w:type="dxa"/>
            <w:noWrap w:val="0"/>
            <w:vAlign w:val="center"/>
          </w:tcPr>
          <w:p w14:paraId="7FFCA477">
            <w:pPr>
              <w:spacing w:line="360" w:lineRule="auto"/>
              <w:jc w:val="center"/>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服务内容</w:t>
            </w:r>
          </w:p>
        </w:tc>
        <w:tc>
          <w:tcPr>
            <w:tcW w:w="1170" w:type="dxa"/>
            <w:noWrap w:val="0"/>
            <w:vAlign w:val="center"/>
          </w:tcPr>
          <w:p w14:paraId="09A6DF90">
            <w:pPr>
              <w:spacing w:line="360" w:lineRule="auto"/>
              <w:jc w:val="center"/>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服务项目报价</w:t>
            </w:r>
          </w:p>
        </w:tc>
        <w:tc>
          <w:tcPr>
            <w:tcW w:w="1171" w:type="dxa"/>
            <w:noWrap w:val="0"/>
            <w:vAlign w:val="center"/>
          </w:tcPr>
          <w:p w14:paraId="2320D3BB">
            <w:pPr>
              <w:spacing w:line="360" w:lineRule="auto"/>
              <w:jc w:val="center"/>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合计</w:t>
            </w:r>
          </w:p>
        </w:tc>
        <w:tc>
          <w:tcPr>
            <w:tcW w:w="1462" w:type="dxa"/>
            <w:noWrap w:val="0"/>
            <w:vAlign w:val="center"/>
          </w:tcPr>
          <w:p w14:paraId="147BBF2B">
            <w:pPr>
              <w:spacing w:line="360" w:lineRule="auto"/>
              <w:jc w:val="center"/>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备注</w:t>
            </w:r>
          </w:p>
        </w:tc>
      </w:tr>
      <w:tr w14:paraId="60CB2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3" w:hRule="atLeast"/>
        </w:trPr>
        <w:tc>
          <w:tcPr>
            <w:tcW w:w="679" w:type="dxa"/>
            <w:noWrap w:val="0"/>
            <w:vAlign w:val="center"/>
          </w:tcPr>
          <w:p w14:paraId="05877489">
            <w:pPr>
              <w:spacing w:line="360" w:lineRule="auto"/>
              <w:jc w:val="center"/>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1</w:t>
            </w:r>
          </w:p>
        </w:tc>
        <w:tc>
          <w:tcPr>
            <w:tcW w:w="1544" w:type="dxa"/>
            <w:noWrap w:val="0"/>
            <w:vAlign w:val="center"/>
          </w:tcPr>
          <w:p w14:paraId="0450860C">
            <w:pPr>
              <w:spacing w:line="360" w:lineRule="auto"/>
              <w:jc w:val="center"/>
              <w:rPr>
                <w:rFonts w:hint="eastAsia" w:ascii="宋体" w:hAnsi="宋体" w:eastAsia="宋体" w:cs="宋体"/>
                <w:sz w:val="24"/>
                <w:szCs w:val="24"/>
                <w:highlight w:val="none"/>
                <w:lang w:val="en-US"/>
              </w:rPr>
            </w:pPr>
          </w:p>
        </w:tc>
        <w:tc>
          <w:tcPr>
            <w:tcW w:w="3072" w:type="dxa"/>
            <w:noWrap w:val="0"/>
            <w:vAlign w:val="center"/>
          </w:tcPr>
          <w:p w14:paraId="08AD7640">
            <w:pPr>
              <w:spacing w:line="360" w:lineRule="auto"/>
              <w:jc w:val="center"/>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 xml:space="preserve"> </w:t>
            </w:r>
          </w:p>
          <w:p w14:paraId="5D6C3337">
            <w:pPr>
              <w:spacing w:line="360" w:lineRule="auto"/>
              <w:jc w:val="center"/>
              <w:rPr>
                <w:rFonts w:hint="eastAsia" w:ascii="宋体" w:hAnsi="宋体" w:eastAsia="宋体" w:cs="宋体"/>
                <w:sz w:val="24"/>
                <w:szCs w:val="24"/>
                <w:highlight w:val="none"/>
                <w:lang w:val="en-US"/>
              </w:rPr>
            </w:pPr>
          </w:p>
        </w:tc>
        <w:tc>
          <w:tcPr>
            <w:tcW w:w="1170" w:type="dxa"/>
            <w:noWrap w:val="0"/>
            <w:vAlign w:val="center"/>
          </w:tcPr>
          <w:p w14:paraId="40F456B9">
            <w:pPr>
              <w:spacing w:line="360" w:lineRule="auto"/>
              <w:jc w:val="center"/>
              <w:rPr>
                <w:rFonts w:hint="eastAsia" w:ascii="宋体" w:hAnsi="宋体" w:eastAsia="宋体" w:cs="宋体"/>
                <w:sz w:val="24"/>
                <w:szCs w:val="24"/>
                <w:highlight w:val="none"/>
                <w:lang w:val="en-US"/>
              </w:rPr>
            </w:pPr>
          </w:p>
        </w:tc>
        <w:tc>
          <w:tcPr>
            <w:tcW w:w="1171" w:type="dxa"/>
            <w:noWrap w:val="0"/>
            <w:vAlign w:val="center"/>
          </w:tcPr>
          <w:p w14:paraId="11725E7E">
            <w:pPr>
              <w:spacing w:line="360" w:lineRule="auto"/>
              <w:jc w:val="center"/>
              <w:rPr>
                <w:rFonts w:hint="eastAsia" w:ascii="宋体" w:hAnsi="宋体" w:eastAsia="宋体" w:cs="宋体"/>
                <w:sz w:val="24"/>
                <w:szCs w:val="24"/>
                <w:highlight w:val="none"/>
                <w:lang w:val="en-US"/>
              </w:rPr>
            </w:pPr>
          </w:p>
        </w:tc>
        <w:tc>
          <w:tcPr>
            <w:tcW w:w="1462" w:type="dxa"/>
            <w:noWrap w:val="0"/>
            <w:vAlign w:val="center"/>
          </w:tcPr>
          <w:p w14:paraId="3DEBF3E4">
            <w:pPr>
              <w:spacing w:line="360" w:lineRule="auto"/>
              <w:jc w:val="center"/>
              <w:rPr>
                <w:rFonts w:hint="eastAsia" w:ascii="宋体" w:hAnsi="宋体" w:eastAsia="宋体" w:cs="宋体"/>
                <w:sz w:val="24"/>
                <w:szCs w:val="24"/>
                <w:highlight w:val="none"/>
                <w:lang w:val="en-US"/>
              </w:rPr>
            </w:pPr>
          </w:p>
        </w:tc>
      </w:tr>
      <w:tr w14:paraId="4756F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3" w:hRule="atLeast"/>
        </w:trPr>
        <w:tc>
          <w:tcPr>
            <w:tcW w:w="679" w:type="dxa"/>
            <w:noWrap w:val="0"/>
            <w:vAlign w:val="center"/>
          </w:tcPr>
          <w:p w14:paraId="32067E8F">
            <w:pPr>
              <w:spacing w:line="360" w:lineRule="auto"/>
              <w:jc w:val="center"/>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2</w:t>
            </w:r>
          </w:p>
        </w:tc>
        <w:tc>
          <w:tcPr>
            <w:tcW w:w="1544" w:type="dxa"/>
            <w:noWrap w:val="0"/>
            <w:vAlign w:val="center"/>
          </w:tcPr>
          <w:p w14:paraId="0228D234">
            <w:pPr>
              <w:spacing w:line="360" w:lineRule="auto"/>
              <w:jc w:val="center"/>
              <w:rPr>
                <w:rFonts w:hint="eastAsia" w:ascii="宋体" w:hAnsi="宋体" w:eastAsia="宋体" w:cs="宋体"/>
                <w:sz w:val="24"/>
                <w:szCs w:val="24"/>
                <w:highlight w:val="none"/>
                <w:lang w:val="en-US"/>
              </w:rPr>
            </w:pPr>
          </w:p>
        </w:tc>
        <w:tc>
          <w:tcPr>
            <w:tcW w:w="3072" w:type="dxa"/>
            <w:noWrap w:val="0"/>
            <w:vAlign w:val="center"/>
          </w:tcPr>
          <w:p w14:paraId="7048FAF8">
            <w:pPr>
              <w:spacing w:line="360" w:lineRule="auto"/>
              <w:jc w:val="center"/>
              <w:rPr>
                <w:rFonts w:hint="eastAsia" w:ascii="宋体" w:hAnsi="宋体" w:eastAsia="宋体" w:cs="宋体"/>
                <w:sz w:val="24"/>
                <w:szCs w:val="24"/>
                <w:highlight w:val="none"/>
                <w:lang w:val="en-US"/>
              </w:rPr>
            </w:pPr>
          </w:p>
        </w:tc>
        <w:tc>
          <w:tcPr>
            <w:tcW w:w="1170" w:type="dxa"/>
            <w:noWrap w:val="0"/>
            <w:vAlign w:val="center"/>
          </w:tcPr>
          <w:p w14:paraId="32F7E21B">
            <w:pPr>
              <w:spacing w:line="360" w:lineRule="auto"/>
              <w:jc w:val="center"/>
              <w:rPr>
                <w:rFonts w:hint="eastAsia" w:ascii="宋体" w:hAnsi="宋体" w:eastAsia="宋体" w:cs="宋体"/>
                <w:sz w:val="24"/>
                <w:szCs w:val="24"/>
                <w:highlight w:val="none"/>
                <w:lang w:val="en-US"/>
              </w:rPr>
            </w:pPr>
          </w:p>
        </w:tc>
        <w:tc>
          <w:tcPr>
            <w:tcW w:w="1171" w:type="dxa"/>
            <w:noWrap w:val="0"/>
            <w:vAlign w:val="center"/>
          </w:tcPr>
          <w:p w14:paraId="6082517E">
            <w:pPr>
              <w:spacing w:line="360" w:lineRule="auto"/>
              <w:jc w:val="center"/>
              <w:rPr>
                <w:rFonts w:hint="eastAsia" w:ascii="宋体" w:hAnsi="宋体" w:eastAsia="宋体" w:cs="宋体"/>
                <w:sz w:val="24"/>
                <w:szCs w:val="24"/>
                <w:highlight w:val="none"/>
                <w:lang w:val="en-US"/>
              </w:rPr>
            </w:pPr>
          </w:p>
        </w:tc>
        <w:tc>
          <w:tcPr>
            <w:tcW w:w="1462" w:type="dxa"/>
            <w:noWrap w:val="0"/>
            <w:vAlign w:val="center"/>
          </w:tcPr>
          <w:p w14:paraId="2750DEB2">
            <w:pPr>
              <w:spacing w:line="360" w:lineRule="auto"/>
              <w:jc w:val="center"/>
              <w:rPr>
                <w:rFonts w:hint="eastAsia" w:ascii="宋体" w:hAnsi="宋体" w:eastAsia="宋体" w:cs="宋体"/>
                <w:sz w:val="24"/>
                <w:szCs w:val="24"/>
                <w:highlight w:val="none"/>
                <w:lang w:val="en-US"/>
              </w:rPr>
            </w:pPr>
          </w:p>
        </w:tc>
      </w:tr>
      <w:tr w14:paraId="07678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3" w:hRule="atLeast"/>
        </w:trPr>
        <w:tc>
          <w:tcPr>
            <w:tcW w:w="679" w:type="dxa"/>
            <w:noWrap w:val="0"/>
            <w:vAlign w:val="center"/>
          </w:tcPr>
          <w:p w14:paraId="5033356B">
            <w:pPr>
              <w:spacing w:line="360" w:lineRule="auto"/>
              <w:jc w:val="center"/>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3</w:t>
            </w:r>
          </w:p>
        </w:tc>
        <w:tc>
          <w:tcPr>
            <w:tcW w:w="1544" w:type="dxa"/>
            <w:noWrap w:val="0"/>
            <w:vAlign w:val="center"/>
          </w:tcPr>
          <w:p w14:paraId="4C995172">
            <w:pPr>
              <w:spacing w:line="360" w:lineRule="auto"/>
              <w:jc w:val="center"/>
              <w:rPr>
                <w:rFonts w:hint="eastAsia" w:ascii="宋体" w:hAnsi="宋体" w:eastAsia="宋体" w:cs="宋体"/>
                <w:sz w:val="24"/>
                <w:szCs w:val="24"/>
                <w:highlight w:val="none"/>
                <w:lang w:val="en-US"/>
              </w:rPr>
            </w:pPr>
          </w:p>
        </w:tc>
        <w:tc>
          <w:tcPr>
            <w:tcW w:w="3072" w:type="dxa"/>
            <w:noWrap w:val="0"/>
            <w:vAlign w:val="center"/>
          </w:tcPr>
          <w:p w14:paraId="671D918E">
            <w:pPr>
              <w:spacing w:line="360" w:lineRule="auto"/>
              <w:jc w:val="center"/>
              <w:rPr>
                <w:rFonts w:hint="eastAsia" w:ascii="宋体" w:hAnsi="宋体" w:eastAsia="宋体" w:cs="宋体"/>
                <w:sz w:val="24"/>
                <w:szCs w:val="24"/>
                <w:highlight w:val="none"/>
                <w:lang w:val="en-US"/>
              </w:rPr>
            </w:pPr>
          </w:p>
        </w:tc>
        <w:tc>
          <w:tcPr>
            <w:tcW w:w="1170" w:type="dxa"/>
            <w:noWrap w:val="0"/>
            <w:vAlign w:val="center"/>
          </w:tcPr>
          <w:p w14:paraId="4FD44E94">
            <w:pPr>
              <w:spacing w:line="360" w:lineRule="auto"/>
              <w:jc w:val="center"/>
              <w:rPr>
                <w:rFonts w:hint="eastAsia" w:ascii="宋体" w:hAnsi="宋体" w:eastAsia="宋体" w:cs="宋体"/>
                <w:sz w:val="24"/>
                <w:szCs w:val="24"/>
                <w:highlight w:val="none"/>
                <w:lang w:val="en-US"/>
              </w:rPr>
            </w:pPr>
          </w:p>
        </w:tc>
        <w:tc>
          <w:tcPr>
            <w:tcW w:w="1171" w:type="dxa"/>
            <w:noWrap w:val="0"/>
            <w:vAlign w:val="center"/>
          </w:tcPr>
          <w:p w14:paraId="020F5B1D">
            <w:pPr>
              <w:spacing w:line="360" w:lineRule="auto"/>
              <w:jc w:val="center"/>
              <w:rPr>
                <w:rFonts w:hint="eastAsia" w:ascii="宋体" w:hAnsi="宋体" w:eastAsia="宋体" w:cs="宋体"/>
                <w:sz w:val="24"/>
                <w:szCs w:val="24"/>
                <w:highlight w:val="none"/>
                <w:lang w:val="en-US"/>
              </w:rPr>
            </w:pPr>
          </w:p>
        </w:tc>
        <w:tc>
          <w:tcPr>
            <w:tcW w:w="1462" w:type="dxa"/>
            <w:noWrap w:val="0"/>
            <w:vAlign w:val="center"/>
          </w:tcPr>
          <w:p w14:paraId="0DE0C174">
            <w:pPr>
              <w:spacing w:line="360" w:lineRule="auto"/>
              <w:jc w:val="center"/>
              <w:rPr>
                <w:rFonts w:hint="eastAsia" w:ascii="宋体" w:hAnsi="宋体" w:eastAsia="宋体" w:cs="宋体"/>
                <w:sz w:val="24"/>
                <w:szCs w:val="24"/>
                <w:highlight w:val="none"/>
                <w:lang w:val="en-US"/>
              </w:rPr>
            </w:pPr>
          </w:p>
        </w:tc>
      </w:tr>
      <w:tr w14:paraId="708AC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3" w:hRule="atLeast"/>
        </w:trPr>
        <w:tc>
          <w:tcPr>
            <w:tcW w:w="679" w:type="dxa"/>
            <w:noWrap w:val="0"/>
            <w:vAlign w:val="center"/>
          </w:tcPr>
          <w:p w14:paraId="08E3BEF1">
            <w:pPr>
              <w:spacing w:line="360" w:lineRule="auto"/>
              <w:jc w:val="center"/>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4</w:t>
            </w:r>
          </w:p>
        </w:tc>
        <w:tc>
          <w:tcPr>
            <w:tcW w:w="1544" w:type="dxa"/>
            <w:noWrap w:val="0"/>
            <w:vAlign w:val="center"/>
          </w:tcPr>
          <w:p w14:paraId="60900B1B">
            <w:pPr>
              <w:spacing w:line="360" w:lineRule="auto"/>
              <w:jc w:val="center"/>
              <w:rPr>
                <w:rFonts w:hint="eastAsia" w:ascii="宋体" w:hAnsi="宋体" w:eastAsia="宋体" w:cs="宋体"/>
                <w:sz w:val="24"/>
                <w:szCs w:val="24"/>
                <w:highlight w:val="none"/>
                <w:lang w:val="en-US"/>
              </w:rPr>
            </w:pPr>
          </w:p>
        </w:tc>
        <w:tc>
          <w:tcPr>
            <w:tcW w:w="3072" w:type="dxa"/>
            <w:noWrap w:val="0"/>
            <w:vAlign w:val="center"/>
          </w:tcPr>
          <w:p w14:paraId="167361AB">
            <w:pPr>
              <w:spacing w:line="360" w:lineRule="auto"/>
              <w:jc w:val="center"/>
              <w:rPr>
                <w:rFonts w:hint="eastAsia" w:ascii="宋体" w:hAnsi="宋体" w:eastAsia="宋体" w:cs="宋体"/>
                <w:sz w:val="24"/>
                <w:szCs w:val="24"/>
                <w:highlight w:val="none"/>
                <w:lang w:val="en-US"/>
              </w:rPr>
            </w:pPr>
          </w:p>
        </w:tc>
        <w:tc>
          <w:tcPr>
            <w:tcW w:w="1170" w:type="dxa"/>
            <w:noWrap w:val="0"/>
            <w:vAlign w:val="center"/>
          </w:tcPr>
          <w:p w14:paraId="502F62E6">
            <w:pPr>
              <w:spacing w:line="360" w:lineRule="auto"/>
              <w:jc w:val="center"/>
              <w:rPr>
                <w:rFonts w:hint="eastAsia" w:ascii="宋体" w:hAnsi="宋体" w:eastAsia="宋体" w:cs="宋体"/>
                <w:sz w:val="24"/>
                <w:szCs w:val="24"/>
                <w:highlight w:val="none"/>
                <w:lang w:val="en-US"/>
              </w:rPr>
            </w:pPr>
          </w:p>
        </w:tc>
        <w:tc>
          <w:tcPr>
            <w:tcW w:w="1171" w:type="dxa"/>
            <w:noWrap w:val="0"/>
            <w:vAlign w:val="center"/>
          </w:tcPr>
          <w:p w14:paraId="0063F604">
            <w:pPr>
              <w:spacing w:line="360" w:lineRule="auto"/>
              <w:jc w:val="center"/>
              <w:rPr>
                <w:rFonts w:hint="eastAsia" w:ascii="宋体" w:hAnsi="宋体" w:eastAsia="宋体" w:cs="宋体"/>
                <w:sz w:val="24"/>
                <w:szCs w:val="24"/>
                <w:highlight w:val="none"/>
                <w:lang w:val="en-US"/>
              </w:rPr>
            </w:pPr>
          </w:p>
        </w:tc>
        <w:tc>
          <w:tcPr>
            <w:tcW w:w="1462" w:type="dxa"/>
            <w:noWrap w:val="0"/>
            <w:vAlign w:val="center"/>
          </w:tcPr>
          <w:p w14:paraId="32633BC5">
            <w:pPr>
              <w:spacing w:line="360" w:lineRule="auto"/>
              <w:jc w:val="center"/>
              <w:rPr>
                <w:rFonts w:hint="eastAsia" w:ascii="宋体" w:hAnsi="宋体" w:eastAsia="宋体" w:cs="宋体"/>
                <w:sz w:val="24"/>
                <w:szCs w:val="24"/>
                <w:highlight w:val="none"/>
                <w:lang w:val="en-US"/>
              </w:rPr>
            </w:pPr>
          </w:p>
        </w:tc>
      </w:tr>
      <w:tr w14:paraId="0847D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3" w:hRule="atLeast"/>
        </w:trPr>
        <w:tc>
          <w:tcPr>
            <w:tcW w:w="679" w:type="dxa"/>
            <w:noWrap w:val="0"/>
            <w:vAlign w:val="center"/>
          </w:tcPr>
          <w:p w14:paraId="796638C7">
            <w:pPr>
              <w:spacing w:line="360" w:lineRule="auto"/>
              <w:jc w:val="center"/>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w:t>
            </w:r>
          </w:p>
        </w:tc>
        <w:tc>
          <w:tcPr>
            <w:tcW w:w="1544" w:type="dxa"/>
            <w:noWrap w:val="0"/>
            <w:vAlign w:val="center"/>
          </w:tcPr>
          <w:p w14:paraId="71F3B99B">
            <w:pPr>
              <w:spacing w:line="360" w:lineRule="auto"/>
              <w:jc w:val="center"/>
              <w:rPr>
                <w:rFonts w:hint="eastAsia" w:ascii="宋体" w:hAnsi="宋体" w:eastAsia="宋体" w:cs="宋体"/>
                <w:sz w:val="24"/>
                <w:szCs w:val="24"/>
                <w:highlight w:val="none"/>
                <w:lang w:val="en-US"/>
              </w:rPr>
            </w:pPr>
          </w:p>
        </w:tc>
        <w:tc>
          <w:tcPr>
            <w:tcW w:w="3072" w:type="dxa"/>
            <w:noWrap w:val="0"/>
            <w:vAlign w:val="center"/>
          </w:tcPr>
          <w:p w14:paraId="092592A7">
            <w:pPr>
              <w:spacing w:line="360" w:lineRule="auto"/>
              <w:jc w:val="center"/>
              <w:rPr>
                <w:rFonts w:hint="eastAsia" w:ascii="宋体" w:hAnsi="宋体" w:eastAsia="宋体" w:cs="宋体"/>
                <w:sz w:val="24"/>
                <w:szCs w:val="24"/>
                <w:highlight w:val="none"/>
                <w:lang w:val="en-US"/>
              </w:rPr>
            </w:pPr>
          </w:p>
        </w:tc>
        <w:tc>
          <w:tcPr>
            <w:tcW w:w="1170" w:type="dxa"/>
            <w:noWrap w:val="0"/>
            <w:vAlign w:val="center"/>
          </w:tcPr>
          <w:p w14:paraId="58678344">
            <w:pPr>
              <w:spacing w:line="360" w:lineRule="auto"/>
              <w:jc w:val="center"/>
              <w:rPr>
                <w:rFonts w:hint="eastAsia" w:ascii="宋体" w:hAnsi="宋体" w:eastAsia="宋体" w:cs="宋体"/>
                <w:sz w:val="24"/>
                <w:szCs w:val="24"/>
                <w:highlight w:val="none"/>
                <w:lang w:val="en-US"/>
              </w:rPr>
            </w:pPr>
          </w:p>
        </w:tc>
        <w:tc>
          <w:tcPr>
            <w:tcW w:w="1171" w:type="dxa"/>
            <w:noWrap w:val="0"/>
            <w:vAlign w:val="center"/>
          </w:tcPr>
          <w:p w14:paraId="38D5024A">
            <w:pPr>
              <w:spacing w:line="360" w:lineRule="auto"/>
              <w:jc w:val="center"/>
              <w:rPr>
                <w:rFonts w:hint="eastAsia" w:ascii="宋体" w:hAnsi="宋体" w:eastAsia="宋体" w:cs="宋体"/>
                <w:sz w:val="24"/>
                <w:szCs w:val="24"/>
                <w:highlight w:val="none"/>
                <w:lang w:val="en-US"/>
              </w:rPr>
            </w:pPr>
          </w:p>
        </w:tc>
        <w:tc>
          <w:tcPr>
            <w:tcW w:w="1462" w:type="dxa"/>
            <w:noWrap w:val="0"/>
            <w:vAlign w:val="center"/>
          </w:tcPr>
          <w:p w14:paraId="0822BAC1">
            <w:pPr>
              <w:spacing w:line="360" w:lineRule="auto"/>
              <w:jc w:val="center"/>
              <w:rPr>
                <w:rFonts w:hint="eastAsia" w:ascii="宋体" w:hAnsi="宋体" w:eastAsia="宋体" w:cs="宋体"/>
                <w:sz w:val="24"/>
                <w:szCs w:val="24"/>
                <w:highlight w:val="none"/>
                <w:lang w:val="en-US"/>
              </w:rPr>
            </w:pPr>
          </w:p>
        </w:tc>
      </w:tr>
    </w:tbl>
    <w:p w14:paraId="6752BD7B">
      <w:pPr>
        <w:autoSpaceDE w:val="0"/>
        <w:autoSpaceDN w:val="0"/>
        <w:adjustRightInd w:val="0"/>
        <w:spacing w:line="360" w:lineRule="auto"/>
        <w:ind w:firstLine="480" w:firstLineChars="200"/>
        <w:rPr>
          <w:rFonts w:hint="eastAsia" w:ascii="宋体" w:hAnsi="宋体" w:eastAsia="宋体" w:cs="宋体"/>
          <w:kern w:val="0"/>
          <w:sz w:val="24"/>
          <w:szCs w:val="24"/>
          <w:highlight w:val="none"/>
          <w:lang w:val="zh-CN"/>
        </w:rPr>
      </w:pPr>
    </w:p>
    <w:p w14:paraId="33D8D567">
      <w:pPr>
        <w:autoSpaceDE w:val="0"/>
        <w:autoSpaceDN w:val="0"/>
        <w:adjustRightInd w:val="0"/>
        <w:spacing w:line="360" w:lineRule="auto"/>
        <w:ind w:firstLine="480" w:firstLineChars="200"/>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根据上述项目采购合同文件要求，本项目采购合同的总金额为人民币</w:t>
      </w:r>
      <w:r>
        <w:rPr>
          <w:rFonts w:hint="eastAsia" w:ascii="宋体" w:hAnsi="宋体" w:eastAsia="宋体" w:cs="宋体"/>
          <w:kern w:val="0"/>
          <w:sz w:val="24"/>
          <w:szCs w:val="24"/>
          <w:highlight w:val="none"/>
          <w:u w:val="single"/>
          <w:lang w:val="zh-CN"/>
        </w:rPr>
        <w:t xml:space="preserve">     </w:t>
      </w:r>
      <w:r>
        <w:rPr>
          <w:rFonts w:hint="eastAsia" w:ascii="宋体" w:hAnsi="宋体" w:eastAsia="宋体" w:cs="宋体"/>
          <w:kern w:val="0"/>
          <w:sz w:val="24"/>
          <w:szCs w:val="24"/>
          <w:highlight w:val="none"/>
          <w:lang w:val="zh-CN"/>
        </w:rPr>
        <w:t>（大写）</w:t>
      </w:r>
      <w:r>
        <w:rPr>
          <w:rFonts w:hint="eastAsia" w:ascii="宋体" w:hAnsi="宋体" w:eastAsia="宋体" w:cs="宋体"/>
          <w:kern w:val="0"/>
          <w:sz w:val="24"/>
          <w:szCs w:val="24"/>
          <w:highlight w:val="none"/>
          <w:u w:val="single"/>
          <w:lang w:val="zh-CN"/>
        </w:rPr>
        <w:t xml:space="preserve">                 </w:t>
      </w:r>
      <w:r>
        <w:rPr>
          <w:rFonts w:hint="eastAsia" w:ascii="宋体" w:hAnsi="宋体" w:eastAsia="宋体" w:cs="宋体"/>
          <w:kern w:val="0"/>
          <w:sz w:val="24"/>
          <w:szCs w:val="24"/>
          <w:highlight w:val="none"/>
          <w:lang w:val="zh-CN"/>
        </w:rPr>
        <w:t>元。</w:t>
      </w:r>
    </w:p>
    <w:p w14:paraId="741A836E">
      <w:pPr>
        <w:autoSpaceDE w:val="0"/>
        <w:autoSpaceDN w:val="0"/>
        <w:adjustRightInd w:val="0"/>
        <w:spacing w:line="360" w:lineRule="auto"/>
        <w:ind w:firstLine="480" w:firstLineChars="200"/>
        <w:jc w:val="left"/>
        <w:rPr>
          <w:rFonts w:hint="eastAsia" w:ascii="宋体" w:hAnsi="宋体" w:eastAsia="宋体" w:cs="宋体"/>
          <w:kern w:val="0"/>
          <w:sz w:val="24"/>
          <w:szCs w:val="24"/>
          <w:highlight w:val="none"/>
          <w:lang w:val="zh-CN"/>
        </w:rPr>
      </w:pPr>
      <w:bookmarkStart w:id="406" w:name="_Toc19851"/>
      <w:r>
        <w:rPr>
          <w:rFonts w:hint="eastAsia" w:ascii="宋体" w:hAnsi="宋体" w:eastAsia="宋体" w:cs="宋体"/>
          <w:kern w:val="0"/>
          <w:sz w:val="24"/>
          <w:szCs w:val="24"/>
          <w:highlight w:val="none"/>
          <w:lang w:val="zh-CN"/>
        </w:rPr>
        <w:t>本合同以人民币进行结算，投标报价必须包括</w:t>
      </w:r>
      <w:r>
        <w:rPr>
          <w:rFonts w:hint="eastAsia" w:ascii="宋体" w:hAnsi="宋体" w:eastAsia="宋体" w:cs="宋体"/>
          <w:sz w:val="24"/>
          <w:szCs w:val="24"/>
          <w:highlight w:val="none"/>
          <w:lang w:val="en-US" w:eastAsia="zh-CN"/>
        </w:rPr>
        <w:t>产品费、系统维护费、系统集成费、安装费、调试及维护费、验收费、手续费、包装费、运输费、保险费、售前、售中、售后服务费、招标代理费、税金及不可预见费等全部费用。</w:t>
      </w:r>
    </w:p>
    <w:p w14:paraId="46FDA07E">
      <w:pPr>
        <w:autoSpaceDE w:val="0"/>
        <w:autoSpaceDN w:val="0"/>
        <w:adjustRightInd w:val="0"/>
        <w:spacing w:line="360" w:lineRule="auto"/>
        <w:ind w:firstLine="480" w:firstLineChars="200"/>
        <w:jc w:val="left"/>
        <w:outlineLvl w:val="1"/>
        <w:rPr>
          <w:rFonts w:hint="eastAsia" w:ascii="宋体" w:hAnsi="宋体" w:eastAsia="宋体" w:cs="宋体"/>
          <w:kern w:val="0"/>
          <w:sz w:val="24"/>
          <w:szCs w:val="24"/>
          <w:highlight w:val="none"/>
          <w:lang w:val="zh-CN"/>
        </w:rPr>
      </w:pPr>
      <w:bookmarkStart w:id="407" w:name="_Toc27401"/>
      <w:bookmarkStart w:id="408" w:name="_Toc31070"/>
      <w:r>
        <w:rPr>
          <w:rFonts w:hint="eastAsia" w:ascii="宋体" w:hAnsi="宋体" w:eastAsia="宋体" w:cs="宋体"/>
          <w:kern w:val="0"/>
          <w:sz w:val="24"/>
          <w:szCs w:val="24"/>
          <w:highlight w:val="none"/>
          <w:lang w:val="zh-CN"/>
        </w:rPr>
        <w:t>三、</w:t>
      </w:r>
      <w:r>
        <w:rPr>
          <w:rFonts w:hint="eastAsia" w:ascii="宋体" w:hAnsi="宋体" w:eastAsia="宋体" w:cs="宋体"/>
          <w:kern w:val="0"/>
          <w:sz w:val="24"/>
          <w:szCs w:val="24"/>
          <w:highlight w:val="none"/>
        </w:rPr>
        <w:t>服务期和服务地点</w:t>
      </w:r>
      <w:bookmarkEnd w:id="406"/>
      <w:bookmarkEnd w:id="407"/>
      <w:bookmarkEnd w:id="408"/>
    </w:p>
    <w:p w14:paraId="78A366A5">
      <w:pPr>
        <w:autoSpaceDE w:val="0"/>
        <w:autoSpaceDN w:val="0"/>
        <w:spacing w:line="360" w:lineRule="auto"/>
        <w:ind w:firstLine="480"/>
        <w:outlineLvl w:val="1"/>
        <w:rPr>
          <w:rFonts w:hint="eastAsia" w:ascii="宋体" w:hAnsi="宋体" w:eastAsia="宋体" w:cs="宋体"/>
          <w:kern w:val="0"/>
          <w:sz w:val="24"/>
          <w:szCs w:val="24"/>
          <w:highlight w:val="none"/>
        </w:rPr>
      </w:pPr>
      <w:bookmarkStart w:id="409" w:name="_Toc10742"/>
      <w:bookmarkStart w:id="410" w:name="_Toc30294"/>
      <w:bookmarkStart w:id="411" w:name="_Toc763"/>
      <w:r>
        <w:rPr>
          <w:rFonts w:hint="eastAsia" w:ascii="宋体" w:hAnsi="宋体" w:eastAsia="宋体" w:cs="宋体"/>
          <w:kern w:val="0"/>
          <w:sz w:val="24"/>
          <w:szCs w:val="24"/>
          <w:highlight w:val="none"/>
        </w:rPr>
        <w:t>服务期：自签订合同后3年</w:t>
      </w:r>
    </w:p>
    <w:p w14:paraId="5FF7511E">
      <w:pPr>
        <w:autoSpaceDE w:val="0"/>
        <w:autoSpaceDN w:val="0"/>
        <w:spacing w:line="360" w:lineRule="auto"/>
        <w:ind w:firstLine="480"/>
        <w:outlineLvl w:val="1"/>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使用地点：青海民族大学</w:t>
      </w:r>
    </w:p>
    <w:p w14:paraId="0C0C6A72">
      <w:pPr>
        <w:autoSpaceDE w:val="0"/>
        <w:autoSpaceDN w:val="0"/>
        <w:spacing w:line="360" w:lineRule="auto"/>
        <w:ind w:firstLine="480"/>
        <w:outlineLvl w:val="1"/>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四、</w:t>
      </w:r>
      <w:bookmarkEnd w:id="409"/>
      <w:bookmarkEnd w:id="410"/>
      <w:r>
        <w:rPr>
          <w:rFonts w:hint="eastAsia" w:ascii="宋体" w:hAnsi="宋体" w:eastAsia="宋体" w:cs="宋体"/>
          <w:sz w:val="24"/>
          <w:szCs w:val="24"/>
          <w:highlight w:val="none"/>
          <w:lang w:val="zh-CN"/>
        </w:rPr>
        <w:t>支付</w:t>
      </w:r>
      <w:bookmarkEnd w:id="411"/>
    </w:p>
    <w:p w14:paraId="075C6587">
      <w:pPr>
        <w:autoSpaceDE w:val="0"/>
        <w:autoSpaceDN w:val="0"/>
        <w:spacing w:line="360" w:lineRule="auto"/>
        <w:ind w:firstLine="480"/>
        <w:rPr>
          <w:rFonts w:hint="eastAsia" w:ascii="宋体" w:hAnsi="宋体" w:eastAsia="宋体" w:cs="宋体"/>
          <w:sz w:val="24"/>
          <w:szCs w:val="24"/>
          <w:highlight w:val="none"/>
          <w:lang w:val="zh-CN"/>
        </w:rPr>
      </w:pPr>
      <w:bookmarkStart w:id="412" w:name="_Toc22218_WPSOffice_Level2"/>
      <w:bookmarkStart w:id="413" w:name="_Toc21557_WPSOffice_Level2"/>
      <w:bookmarkStart w:id="414" w:name="_Toc7543_WPSOffice_Level2"/>
      <w:bookmarkStart w:id="415" w:name="_Toc26702"/>
      <w:bookmarkStart w:id="416" w:name="_Toc18529"/>
      <w:r>
        <w:rPr>
          <w:rFonts w:hint="eastAsia" w:ascii="宋体" w:hAnsi="宋体" w:eastAsia="宋体" w:cs="宋体"/>
          <w:sz w:val="24"/>
          <w:szCs w:val="24"/>
          <w:highlight w:val="none"/>
          <w:lang w:val="zh-CN"/>
        </w:rPr>
        <w:t>1.合同价格形式</w:t>
      </w:r>
      <w:bookmarkEnd w:id="412"/>
      <w:bookmarkEnd w:id="413"/>
      <w:bookmarkEnd w:id="414"/>
      <w:bookmarkStart w:id="417" w:name="_Toc20463_WPSOffice_Level2"/>
      <w:bookmarkStart w:id="418" w:name="_Toc9206_WPSOffice_Level2"/>
      <w:bookmarkStart w:id="419" w:name="_Toc24034_WPSOffice_Level2"/>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u w:val="single"/>
          <w:lang w:val="zh-CN"/>
        </w:rPr>
        <w:t>固定总价合同(含税价)</w:t>
      </w:r>
      <w:r>
        <w:rPr>
          <w:rFonts w:hint="eastAsia" w:ascii="宋体" w:hAnsi="宋体" w:eastAsia="宋体" w:cs="宋体"/>
          <w:sz w:val="24"/>
          <w:szCs w:val="24"/>
          <w:highlight w:val="none"/>
          <w:lang w:val="zh-CN"/>
        </w:rPr>
        <w:t>；</w:t>
      </w:r>
    </w:p>
    <w:p w14:paraId="0E30A0E6">
      <w:pPr>
        <w:autoSpaceDE w:val="0"/>
        <w:autoSpaceDN w:val="0"/>
        <w:spacing w:line="360" w:lineRule="auto"/>
        <w:ind w:firstLine="48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2.签约合同价为</w:t>
      </w:r>
      <w:r>
        <w:rPr>
          <w:rFonts w:hint="eastAsia" w:ascii="宋体" w:hAnsi="宋体" w:eastAsia="宋体" w:cs="宋体"/>
          <w:sz w:val="24"/>
          <w:szCs w:val="24"/>
          <w:highlight w:val="none"/>
          <w:u w:val="single"/>
          <w:lang w:val="zh-CN"/>
        </w:rPr>
        <w:t>：</w:t>
      </w:r>
      <w:bookmarkEnd w:id="417"/>
      <w:bookmarkEnd w:id="418"/>
      <w:bookmarkEnd w:id="419"/>
      <w:r>
        <w:rPr>
          <w:rFonts w:hint="eastAsia" w:ascii="宋体" w:hAnsi="宋体" w:eastAsia="宋体" w:cs="宋体"/>
          <w:sz w:val="24"/>
          <w:szCs w:val="24"/>
          <w:highlight w:val="none"/>
          <w:u w:val="single"/>
          <w:lang w:val="zh-CN"/>
        </w:rPr>
        <w:t xml:space="preserve">人民币（大写）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zh-CN"/>
        </w:rPr>
        <w:t>）</w:t>
      </w:r>
      <w:r>
        <w:rPr>
          <w:rFonts w:hint="eastAsia" w:ascii="宋体" w:hAnsi="宋体" w:eastAsia="宋体" w:cs="宋体"/>
          <w:sz w:val="24"/>
          <w:szCs w:val="24"/>
          <w:highlight w:val="none"/>
          <w:lang w:val="zh-CN"/>
        </w:rPr>
        <w:t>。</w:t>
      </w:r>
    </w:p>
    <w:p w14:paraId="17EDF5A9">
      <w:pPr>
        <w:autoSpaceDE w:val="0"/>
        <w:autoSpaceDN w:val="0"/>
        <w:spacing w:line="360" w:lineRule="auto"/>
        <w:ind w:firstLine="48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3.合同总价</w:t>
      </w:r>
      <w:r>
        <w:rPr>
          <w:rFonts w:hint="eastAsia" w:ascii="宋体" w:hAnsi="宋体" w:eastAsia="宋体" w:cs="宋体"/>
          <w:sz w:val="24"/>
          <w:szCs w:val="24"/>
          <w:highlight w:val="none"/>
          <w:lang w:val="en-US" w:eastAsia="zh-CN"/>
        </w:rPr>
        <w:t>报价应包括产品费、系统维护费、系统集成费、安装费、调试及维护费、验收费、手续费、包装费、运输费、保险费、售前、售中、售后服务费、招标代理费、税金及不可预见费等全部费用。</w:t>
      </w:r>
    </w:p>
    <w:p w14:paraId="1756A46D">
      <w:pPr>
        <w:autoSpaceDE w:val="0"/>
        <w:autoSpaceDN w:val="0"/>
        <w:spacing w:line="360" w:lineRule="auto"/>
        <w:ind w:firstLine="480"/>
        <w:rPr>
          <w:rFonts w:hint="eastAsia" w:ascii="宋体" w:hAnsi="宋体" w:eastAsia="宋体" w:cs="宋体"/>
          <w:color w:val="auto"/>
          <w:sz w:val="24"/>
          <w:szCs w:val="24"/>
          <w:highlight w:val="none"/>
          <w:lang w:eastAsia="zh-CN"/>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val="en-US" w:eastAsia="zh-CN"/>
        </w:rPr>
        <w:t>付款</w:t>
      </w:r>
      <w:r>
        <w:rPr>
          <w:rFonts w:hint="eastAsia" w:ascii="宋体" w:hAnsi="宋体" w:eastAsia="宋体" w:cs="宋体"/>
          <w:sz w:val="24"/>
          <w:szCs w:val="24"/>
          <w:highlight w:val="none"/>
        </w:rPr>
        <w:t>方式：</w:t>
      </w:r>
      <w:r>
        <w:rPr>
          <w:rFonts w:hint="eastAsia" w:ascii="宋体" w:hAnsi="宋体" w:eastAsia="宋体" w:cs="宋体"/>
          <w:color w:val="000000"/>
          <w:kern w:val="0"/>
          <w:sz w:val="24"/>
          <w:highlight w:val="none"/>
          <w:lang w:val="en-US" w:eastAsia="zh-CN"/>
        </w:rPr>
        <w:t>甲、乙双方签订合同平台正常使用后甲方向乙方一次性支付合同价款的100%。</w:t>
      </w:r>
    </w:p>
    <w:p w14:paraId="7BA247F8">
      <w:pPr>
        <w:autoSpaceDE w:val="0"/>
        <w:autoSpaceDN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5.其他：</w:t>
      </w:r>
    </w:p>
    <w:p w14:paraId="5C0F15F0">
      <w:pPr>
        <w:autoSpaceDE w:val="0"/>
        <w:autoSpaceDN w:val="0"/>
        <w:spacing w:line="360" w:lineRule="auto"/>
        <w:ind w:firstLine="480"/>
        <w:outlineLvl w:val="1"/>
        <w:rPr>
          <w:rFonts w:hint="eastAsia" w:ascii="宋体" w:hAnsi="宋体" w:eastAsia="宋体" w:cs="宋体"/>
          <w:sz w:val="24"/>
          <w:szCs w:val="24"/>
          <w:highlight w:val="none"/>
          <w:lang w:val="zh-CN"/>
        </w:rPr>
      </w:pPr>
      <w:bookmarkStart w:id="420" w:name="_Toc28344"/>
      <w:r>
        <w:rPr>
          <w:rFonts w:hint="eastAsia" w:ascii="宋体" w:hAnsi="宋体" w:eastAsia="宋体" w:cs="宋体"/>
          <w:sz w:val="24"/>
          <w:szCs w:val="24"/>
          <w:highlight w:val="none"/>
          <w:lang w:val="zh-CN"/>
        </w:rPr>
        <w:t>五、合同的变更、终止与转让</w:t>
      </w:r>
      <w:bookmarkEnd w:id="415"/>
      <w:bookmarkEnd w:id="416"/>
      <w:bookmarkEnd w:id="420"/>
    </w:p>
    <w:p w14:paraId="524D0F95">
      <w:pPr>
        <w:autoSpaceDE w:val="0"/>
        <w:autoSpaceDN w:val="0"/>
        <w:spacing w:line="360" w:lineRule="auto"/>
        <w:ind w:firstLine="48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1.除</w:t>
      </w:r>
      <w:r>
        <w:rPr>
          <w:rFonts w:hint="eastAsia" w:ascii="宋体" w:hAnsi="宋体" w:eastAsia="宋体" w:cs="宋体"/>
          <w:sz w:val="24"/>
          <w:szCs w:val="24"/>
          <w:highlight w:val="none"/>
          <w:lang w:val="en-US" w:eastAsia="zh-CN"/>
        </w:rPr>
        <w:t>法律法规</w:t>
      </w:r>
      <w:r>
        <w:rPr>
          <w:rFonts w:hint="eastAsia" w:ascii="宋体" w:hAnsi="宋体" w:eastAsia="宋体" w:cs="宋体"/>
          <w:sz w:val="24"/>
          <w:szCs w:val="24"/>
          <w:highlight w:val="none"/>
          <w:lang w:val="zh-CN"/>
        </w:rPr>
        <w:t>规定的情形外，本合同一经签订，甲乙双方不得擅自变更、中止或终止。</w:t>
      </w:r>
    </w:p>
    <w:p w14:paraId="54256919">
      <w:pPr>
        <w:autoSpaceDE w:val="0"/>
        <w:autoSpaceDN w:val="0"/>
        <w:spacing w:line="360" w:lineRule="auto"/>
        <w:ind w:firstLine="48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2.乙方不得擅自转让其应履行的合同义务。</w:t>
      </w:r>
    </w:p>
    <w:p w14:paraId="026C5BFF">
      <w:pPr>
        <w:autoSpaceDE w:val="0"/>
        <w:autoSpaceDN w:val="0"/>
        <w:spacing w:line="360" w:lineRule="auto"/>
        <w:ind w:firstLine="480"/>
        <w:outlineLvl w:val="1"/>
        <w:rPr>
          <w:rFonts w:hint="eastAsia" w:ascii="宋体" w:hAnsi="宋体" w:eastAsia="宋体" w:cs="宋体"/>
          <w:sz w:val="24"/>
          <w:szCs w:val="24"/>
          <w:highlight w:val="none"/>
          <w:lang w:val="zh-CN"/>
        </w:rPr>
      </w:pPr>
      <w:bookmarkStart w:id="421" w:name="_Toc24812"/>
      <w:bookmarkStart w:id="422" w:name="_Toc25715"/>
      <w:bookmarkStart w:id="423" w:name="_Toc21981"/>
      <w:r>
        <w:rPr>
          <w:rFonts w:hint="eastAsia" w:ascii="宋体" w:hAnsi="宋体" w:eastAsia="宋体" w:cs="宋体"/>
          <w:sz w:val="24"/>
          <w:szCs w:val="24"/>
          <w:highlight w:val="none"/>
          <w:lang w:val="zh-CN"/>
        </w:rPr>
        <w:t>六、违约责任</w:t>
      </w:r>
      <w:bookmarkEnd w:id="421"/>
      <w:bookmarkEnd w:id="422"/>
      <w:bookmarkEnd w:id="423"/>
    </w:p>
    <w:p w14:paraId="12E643E4">
      <w:pPr>
        <w:autoSpaceDE w:val="0"/>
        <w:autoSpaceDN w:val="0"/>
        <w:adjustRightInd w:val="0"/>
        <w:spacing w:line="360" w:lineRule="auto"/>
        <w:ind w:firstLine="480" w:firstLineChars="200"/>
        <w:outlineLvl w:val="1"/>
        <w:rPr>
          <w:rFonts w:hint="eastAsia" w:ascii="宋体" w:hAnsi="宋体" w:eastAsia="宋体" w:cs="宋体"/>
          <w:sz w:val="24"/>
          <w:szCs w:val="24"/>
          <w:highlight w:val="none"/>
          <w:lang w:val="zh-CN"/>
        </w:rPr>
      </w:pPr>
      <w:bookmarkStart w:id="424" w:name="_Toc8286"/>
      <w:bookmarkStart w:id="425" w:name="_Toc4307"/>
      <w:bookmarkStart w:id="426" w:name="_Toc17476"/>
      <w:r>
        <w:rPr>
          <w:rFonts w:hint="eastAsia" w:ascii="宋体" w:hAnsi="宋体" w:eastAsia="宋体" w:cs="宋体"/>
          <w:sz w:val="24"/>
          <w:szCs w:val="24"/>
          <w:highlight w:val="none"/>
        </w:rPr>
        <w:t>1.</w:t>
      </w:r>
      <w:r>
        <w:rPr>
          <w:rFonts w:hint="eastAsia" w:ascii="宋体" w:hAnsi="宋体" w:eastAsia="宋体" w:cs="宋体"/>
          <w:sz w:val="24"/>
          <w:szCs w:val="24"/>
          <w:highlight w:val="none"/>
          <w:lang w:val="zh-CN"/>
        </w:rPr>
        <w:t>由于甲方原因造成的损失，由甲方承担法律责任和经济责任。</w:t>
      </w:r>
      <w:bookmarkEnd w:id="424"/>
    </w:p>
    <w:p w14:paraId="41BC592C">
      <w:pPr>
        <w:autoSpaceDE w:val="0"/>
        <w:autoSpaceDN w:val="0"/>
        <w:adjustRightInd w:val="0"/>
        <w:spacing w:line="360" w:lineRule="auto"/>
        <w:ind w:firstLine="480" w:firstLineChars="200"/>
        <w:outlineLvl w:val="1"/>
        <w:rPr>
          <w:rFonts w:hint="eastAsia" w:ascii="宋体" w:hAnsi="宋体" w:eastAsia="宋体" w:cs="宋体"/>
          <w:sz w:val="24"/>
          <w:szCs w:val="24"/>
          <w:highlight w:val="none"/>
          <w:lang w:val="zh-CN"/>
        </w:rPr>
      </w:pPr>
      <w:bookmarkStart w:id="427" w:name="_Toc32120"/>
      <w:r>
        <w:rPr>
          <w:rFonts w:hint="eastAsia" w:ascii="宋体" w:hAnsi="宋体" w:eastAsia="宋体" w:cs="宋体"/>
          <w:sz w:val="24"/>
          <w:szCs w:val="24"/>
          <w:highlight w:val="none"/>
        </w:rPr>
        <w:t>2.</w:t>
      </w:r>
      <w:r>
        <w:rPr>
          <w:rFonts w:hint="eastAsia" w:ascii="宋体" w:hAnsi="宋体" w:eastAsia="宋体" w:cs="宋体"/>
          <w:sz w:val="24"/>
          <w:szCs w:val="24"/>
          <w:highlight w:val="none"/>
          <w:lang w:val="zh-CN"/>
        </w:rPr>
        <w:t>由于乙方原因造成的损失，由乙方承担法律责任和经济责任。</w:t>
      </w:r>
      <w:bookmarkEnd w:id="427"/>
    </w:p>
    <w:p w14:paraId="582974C6">
      <w:pPr>
        <w:autoSpaceDE w:val="0"/>
        <w:autoSpaceDN w:val="0"/>
        <w:adjustRightInd w:val="0"/>
        <w:spacing w:line="360" w:lineRule="auto"/>
        <w:ind w:firstLine="480" w:firstLineChars="200"/>
        <w:outlineLvl w:val="1"/>
        <w:rPr>
          <w:rFonts w:hint="eastAsia" w:ascii="宋体" w:hAnsi="宋体" w:eastAsia="宋体" w:cs="宋体"/>
          <w:sz w:val="24"/>
          <w:szCs w:val="24"/>
          <w:highlight w:val="none"/>
          <w:lang w:val="zh-CN"/>
        </w:rPr>
      </w:pPr>
      <w:bookmarkStart w:id="428" w:name="_Toc15112"/>
      <w:r>
        <w:rPr>
          <w:rFonts w:hint="eastAsia" w:ascii="宋体" w:hAnsi="宋体" w:eastAsia="宋体" w:cs="宋体"/>
          <w:sz w:val="24"/>
          <w:szCs w:val="24"/>
          <w:highlight w:val="none"/>
        </w:rPr>
        <w:t>3.</w:t>
      </w:r>
      <w:r>
        <w:rPr>
          <w:rFonts w:hint="eastAsia" w:ascii="宋体" w:hAnsi="宋体" w:eastAsia="宋体" w:cs="宋体"/>
          <w:sz w:val="24"/>
          <w:szCs w:val="24"/>
          <w:highlight w:val="none"/>
          <w:lang w:val="zh-CN"/>
        </w:rPr>
        <w:t>在合同履行期间，一方要求终止或解除合同时向另一方支付违约金，违约金为本合同价的30%。</w:t>
      </w:r>
      <w:bookmarkEnd w:id="428"/>
    </w:p>
    <w:p w14:paraId="3E2594A1">
      <w:pPr>
        <w:autoSpaceDE w:val="0"/>
        <w:autoSpaceDN w:val="0"/>
        <w:adjustRightInd w:val="0"/>
        <w:spacing w:line="360" w:lineRule="auto"/>
        <w:ind w:firstLine="480" w:firstLineChars="200"/>
        <w:outlineLvl w:val="1"/>
        <w:rPr>
          <w:rFonts w:hint="eastAsia" w:ascii="宋体" w:hAnsi="宋体" w:eastAsia="宋体" w:cs="宋体"/>
          <w:kern w:val="0"/>
          <w:sz w:val="24"/>
          <w:szCs w:val="24"/>
          <w:highlight w:val="none"/>
        </w:rPr>
      </w:pPr>
      <w:bookmarkStart w:id="429" w:name="_Toc11630"/>
      <w:r>
        <w:rPr>
          <w:rFonts w:hint="eastAsia" w:ascii="宋体" w:hAnsi="宋体" w:eastAsia="宋体" w:cs="宋体"/>
          <w:kern w:val="0"/>
          <w:sz w:val="24"/>
          <w:szCs w:val="24"/>
          <w:highlight w:val="none"/>
        </w:rPr>
        <w:t>七</w:t>
      </w:r>
      <w:r>
        <w:rPr>
          <w:rFonts w:hint="eastAsia" w:ascii="宋体" w:hAnsi="宋体" w:eastAsia="宋体" w:cs="宋体"/>
          <w:kern w:val="0"/>
          <w:sz w:val="24"/>
          <w:szCs w:val="24"/>
          <w:highlight w:val="none"/>
          <w:lang w:val="zh-CN"/>
        </w:rPr>
        <w:t>、不可抗力</w:t>
      </w:r>
      <w:bookmarkEnd w:id="425"/>
      <w:bookmarkEnd w:id="426"/>
      <w:bookmarkEnd w:id="429"/>
    </w:p>
    <w:p w14:paraId="19C2D123">
      <w:pPr>
        <w:autoSpaceDE w:val="0"/>
        <w:autoSpaceDN w:val="0"/>
        <w:spacing w:line="360" w:lineRule="auto"/>
        <w:ind w:firstLine="480"/>
        <w:rPr>
          <w:rFonts w:hint="eastAsia" w:ascii="宋体" w:hAnsi="宋体" w:eastAsia="宋体" w:cs="宋体"/>
          <w:sz w:val="24"/>
          <w:szCs w:val="24"/>
          <w:highlight w:val="none"/>
          <w:lang w:val="zh-CN"/>
        </w:rPr>
      </w:pPr>
      <w:r>
        <w:rPr>
          <w:rFonts w:hint="eastAsia" w:ascii="宋体" w:hAnsi="宋体" w:eastAsia="宋体" w:cs="宋体"/>
          <w:kern w:val="0"/>
          <w:sz w:val="24"/>
          <w:szCs w:val="24"/>
          <w:highlight w:val="none"/>
        </w:rPr>
        <w:t>1.</w:t>
      </w:r>
      <w:r>
        <w:rPr>
          <w:rFonts w:hint="eastAsia" w:ascii="宋体" w:hAnsi="宋体" w:eastAsia="宋体" w:cs="宋体"/>
          <w:kern w:val="0"/>
          <w:sz w:val="24"/>
          <w:szCs w:val="24"/>
          <w:highlight w:val="none"/>
          <w:lang w:val="zh-CN"/>
        </w:rPr>
        <w:t>不可抗</w:t>
      </w:r>
      <w:r>
        <w:rPr>
          <w:rFonts w:hint="eastAsia" w:ascii="宋体" w:hAnsi="宋体" w:eastAsia="宋体" w:cs="宋体"/>
          <w:sz w:val="24"/>
          <w:szCs w:val="24"/>
          <w:highlight w:val="none"/>
          <w:lang w:val="zh-CN"/>
        </w:rPr>
        <w:t>力使合同的某些内容有变更必要的，双方应通过协商在</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lang w:val="zh-CN"/>
        </w:rPr>
        <w:t>天内达成进一步履行合同的协议，因不可抗力致使合同不能履行的，合同终止。</w:t>
      </w:r>
    </w:p>
    <w:p w14:paraId="0AEF0B9C">
      <w:pPr>
        <w:autoSpaceDE w:val="0"/>
        <w:autoSpaceDN w:val="0"/>
        <w:spacing w:line="360" w:lineRule="auto"/>
        <w:ind w:firstLine="48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2.除法律、法规规定的不可抗力情形外，双方约定出现</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lang w:val="zh-CN"/>
        </w:rPr>
        <w:t>情况亦视为不可抗力。</w:t>
      </w:r>
    </w:p>
    <w:p w14:paraId="1F416408">
      <w:pPr>
        <w:autoSpaceDE w:val="0"/>
        <w:autoSpaceDN w:val="0"/>
        <w:spacing w:line="360" w:lineRule="auto"/>
        <w:ind w:firstLine="480"/>
        <w:outlineLvl w:val="1"/>
        <w:rPr>
          <w:rFonts w:hint="eastAsia" w:ascii="宋体" w:hAnsi="宋体" w:eastAsia="宋体" w:cs="宋体"/>
          <w:sz w:val="24"/>
          <w:szCs w:val="24"/>
          <w:highlight w:val="none"/>
          <w:lang w:val="zh-CN"/>
        </w:rPr>
      </w:pPr>
      <w:bookmarkStart w:id="430" w:name="_Toc21966"/>
      <w:bookmarkStart w:id="431" w:name="_Toc6128"/>
      <w:bookmarkStart w:id="432" w:name="_Toc3952"/>
      <w:r>
        <w:rPr>
          <w:rFonts w:hint="eastAsia" w:ascii="宋体" w:hAnsi="宋体" w:eastAsia="宋体" w:cs="宋体"/>
          <w:sz w:val="24"/>
          <w:szCs w:val="24"/>
          <w:highlight w:val="none"/>
        </w:rPr>
        <w:t>八</w:t>
      </w:r>
      <w:r>
        <w:rPr>
          <w:rFonts w:hint="eastAsia" w:ascii="宋体" w:hAnsi="宋体" w:eastAsia="宋体" w:cs="宋体"/>
          <w:sz w:val="24"/>
          <w:szCs w:val="24"/>
          <w:highlight w:val="none"/>
          <w:lang w:val="zh-CN"/>
        </w:rPr>
        <w:t>、知识产权：</w:t>
      </w:r>
      <w:bookmarkEnd w:id="430"/>
      <w:bookmarkEnd w:id="431"/>
      <w:bookmarkEnd w:id="432"/>
    </w:p>
    <w:p w14:paraId="5245A7B0">
      <w:pPr>
        <w:autoSpaceDE w:val="0"/>
        <w:autoSpaceDN w:val="0"/>
        <w:spacing w:line="360" w:lineRule="auto"/>
        <w:ind w:firstLine="480"/>
        <w:outlineLvl w:val="1"/>
        <w:rPr>
          <w:rFonts w:hint="eastAsia" w:ascii="宋体" w:hAnsi="宋体" w:eastAsia="宋体" w:cs="宋体"/>
          <w:sz w:val="24"/>
          <w:szCs w:val="24"/>
          <w:highlight w:val="none"/>
          <w:lang w:val="zh-CN"/>
        </w:rPr>
      </w:pPr>
      <w:bookmarkStart w:id="433" w:name="_Toc25337"/>
      <w:bookmarkStart w:id="434" w:name="_Toc6645"/>
      <w:bookmarkStart w:id="435" w:name="_Toc2685"/>
      <w:r>
        <w:rPr>
          <w:rFonts w:hint="eastAsia" w:ascii="宋体" w:hAnsi="宋体" w:eastAsia="宋体" w:cs="宋体"/>
          <w:sz w:val="24"/>
          <w:szCs w:val="24"/>
          <w:highlight w:val="none"/>
        </w:rPr>
        <w:t>九</w:t>
      </w:r>
      <w:r>
        <w:rPr>
          <w:rFonts w:hint="eastAsia" w:ascii="宋体" w:hAnsi="宋体" w:eastAsia="宋体" w:cs="宋体"/>
          <w:sz w:val="24"/>
          <w:szCs w:val="24"/>
          <w:highlight w:val="none"/>
          <w:lang w:val="zh-CN"/>
        </w:rPr>
        <w:t>、其他约定：</w:t>
      </w:r>
      <w:bookmarkEnd w:id="433"/>
      <w:bookmarkEnd w:id="434"/>
      <w:bookmarkEnd w:id="435"/>
    </w:p>
    <w:p w14:paraId="38701ACC">
      <w:pPr>
        <w:autoSpaceDE w:val="0"/>
        <w:autoSpaceDN w:val="0"/>
        <w:spacing w:line="360" w:lineRule="auto"/>
        <w:ind w:firstLine="480"/>
        <w:outlineLvl w:val="1"/>
        <w:rPr>
          <w:rFonts w:hint="eastAsia" w:ascii="宋体" w:hAnsi="宋体" w:eastAsia="宋体" w:cs="宋体"/>
          <w:sz w:val="24"/>
          <w:szCs w:val="24"/>
          <w:highlight w:val="none"/>
          <w:lang w:val="zh-CN"/>
        </w:rPr>
      </w:pPr>
      <w:bookmarkStart w:id="436" w:name="_Toc22673"/>
      <w:bookmarkStart w:id="437" w:name="_Toc26809"/>
      <w:bookmarkStart w:id="438" w:name="_Toc30475"/>
      <w:r>
        <w:rPr>
          <w:rFonts w:hint="eastAsia" w:ascii="宋体" w:hAnsi="宋体" w:eastAsia="宋体" w:cs="宋体"/>
          <w:sz w:val="24"/>
          <w:szCs w:val="24"/>
          <w:highlight w:val="none"/>
          <w:lang w:val="zh-CN"/>
        </w:rPr>
        <w:t>十、合同争议解决</w:t>
      </w:r>
      <w:bookmarkEnd w:id="436"/>
      <w:bookmarkEnd w:id="437"/>
      <w:bookmarkEnd w:id="438"/>
    </w:p>
    <w:p w14:paraId="0B60B4F9">
      <w:pPr>
        <w:autoSpaceDE w:val="0"/>
        <w:autoSpaceDN w:val="0"/>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zh-CN"/>
        </w:rPr>
        <w:t>因履行本合同引起的或与本合同有关的争议，甲乙双方应首先通过友好协商解决，如果协商不能解决，可向甲方所在地仲裁委员会申请仲裁或向甲方所在地人民法院提起诉讼。</w:t>
      </w:r>
    </w:p>
    <w:p w14:paraId="6338A2B4">
      <w:pPr>
        <w:autoSpaceDE w:val="0"/>
        <w:autoSpaceDN w:val="0"/>
        <w:spacing w:line="360" w:lineRule="auto"/>
        <w:ind w:firstLine="480"/>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zh-CN"/>
        </w:rPr>
        <w:t>.诉讼期间，本合同继续履行。</w:t>
      </w:r>
    </w:p>
    <w:p w14:paraId="4A024FAE">
      <w:pPr>
        <w:autoSpaceDE w:val="0"/>
        <w:autoSpaceDN w:val="0"/>
        <w:spacing w:line="360" w:lineRule="auto"/>
        <w:ind w:firstLine="480"/>
        <w:outlineLvl w:val="1"/>
        <w:rPr>
          <w:rFonts w:hint="eastAsia" w:ascii="宋体" w:hAnsi="宋体" w:eastAsia="宋体" w:cs="宋体"/>
          <w:sz w:val="24"/>
          <w:szCs w:val="24"/>
          <w:highlight w:val="none"/>
          <w:lang w:val="zh-CN"/>
        </w:rPr>
      </w:pPr>
      <w:bookmarkStart w:id="439" w:name="_Toc19506"/>
      <w:bookmarkStart w:id="440" w:name="_Toc23077"/>
      <w:bookmarkStart w:id="441" w:name="_Toc5491"/>
      <w:r>
        <w:rPr>
          <w:rFonts w:hint="eastAsia" w:ascii="宋体" w:hAnsi="宋体" w:eastAsia="宋体" w:cs="宋体"/>
          <w:sz w:val="24"/>
          <w:szCs w:val="24"/>
          <w:highlight w:val="none"/>
          <w:lang w:val="zh-CN"/>
        </w:rPr>
        <w:t>十</w:t>
      </w:r>
      <w:r>
        <w:rPr>
          <w:rFonts w:hint="eastAsia" w:ascii="宋体" w:hAnsi="宋体" w:eastAsia="宋体" w:cs="宋体"/>
          <w:sz w:val="24"/>
          <w:szCs w:val="24"/>
          <w:highlight w:val="none"/>
        </w:rPr>
        <w:t>一</w:t>
      </w:r>
      <w:r>
        <w:rPr>
          <w:rFonts w:hint="eastAsia" w:ascii="宋体" w:hAnsi="宋体" w:eastAsia="宋体" w:cs="宋体"/>
          <w:sz w:val="24"/>
          <w:szCs w:val="24"/>
          <w:highlight w:val="none"/>
          <w:lang w:val="zh-CN"/>
        </w:rPr>
        <w:t>、合同生效及其它：</w:t>
      </w:r>
      <w:bookmarkEnd w:id="439"/>
      <w:bookmarkEnd w:id="440"/>
      <w:bookmarkEnd w:id="441"/>
    </w:p>
    <w:p w14:paraId="1EE86EFF">
      <w:pPr>
        <w:autoSpaceDE w:val="0"/>
        <w:autoSpaceDN w:val="0"/>
        <w:spacing w:line="360" w:lineRule="auto"/>
        <w:ind w:firstLine="480"/>
        <w:rPr>
          <w:rFonts w:hint="eastAsia" w:ascii="宋体" w:hAnsi="宋体" w:eastAsia="宋体" w:cs="宋体"/>
          <w:kern w:val="0"/>
          <w:sz w:val="24"/>
          <w:szCs w:val="24"/>
          <w:highlight w:val="none"/>
        </w:rPr>
      </w:pPr>
      <w:r>
        <w:rPr>
          <w:rFonts w:hint="eastAsia" w:ascii="宋体" w:hAnsi="宋体" w:eastAsia="宋体" w:cs="宋体"/>
          <w:sz w:val="24"/>
          <w:szCs w:val="24"/>
          <w:highlight w:val="none"/>
          <w:lang w:val="zh-CN"/>
        </w:rPr>
        <w:t>1.本合同一式六份，经双方</w:t>
      </w:r>
      <w:r>
        <w:rPr>
          <w:rFonts w:hint="eastAsia" w:ascii="宋体" w:hAnsi="宋体" w:eastAsia="宋体" w:cs="宋体"/>
          <w:kern w:val="0"/>
          <w:sz w:val="24"/>
          <w:szCs w:val="24"/>
          <w:highlight w:val="none"/>
          <w:lang w:val="zh-CN"/>
        </w:rPr>
        <w:t>签字，并加盖公章即为生效。</w:t>
      </w:r>
    </w:p>
    <w:p w14:paraId="35776FB9">
      <w:pPr>
        <w:autoSpaceDE w:val="0"/>
        <w:autoSpaceDN w:val="0"/>
        <w:adjustRightIn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w:t>
      </w:r>
      <w:r>
        <w:rPr>
          <w:rFonts w:hint="eastAsia" w:ascii="宋体" w:hAnsi="宋体" w:eastAsia="宋体" w:cs="宋体"/>
          <w:kern w:val="0"/>
          <w:sz w:val="24"/>
          <w:szCs w:val="24"/>
          <w:highlight w:val="none"/>
          <w:lang w:val="zh-CN"/>
        </w:rPr>
        <w:t>本合同未尽事宜，经甲乙双方协商一致，签订补充协议。补充协议与本合同具有同等效力。</w:t>
      </w:r>
    </w:p>
    <w:p w14:paraId="39021D2B">
      <w:pPr>
        <w:spacing w:line="360" w:lineRule="auto"/>
        <w:rPr>
          <w:rFonts w:hint="eastAsia" w:ascii="宋体" w:hAnsi="宋体" w:eastAsia="宋体" w:cs="宋体"/>
          <w:sz w:val="24"/>
          <w:szCs w:val="24"/>
          <w:highlight w:val="none"/>
        </w:rPr>
      </w:pPr>
    </w:p>
    <w:p w14:paraId="4C4E1805">
      <w:pPr>
        <w:autoSpaceDE w:val="0"/>
        <w:autoSpaceDN w:val="0"/>
        <w:adjustRightInd w:val="0"/>
        <w:spacing w:line="360" w:lineRule="auto"/>
        <w:ind w:firstLine="480" w:firstLineChars="20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甲方（盖章）：                      乙方（盖章）：</w:t>
      </w:r>
    </w:p>
    <w:p w14:paraId="32819813">
      <w:pPr>
        <w:autoSpaceDE w:val="0"/>
        <w:autoSpaceDN w:val="0"/>
        <w:adjustRightInd w:val="0"/>
        <w:spacing w:line="360" w:lineRule="auto"/>
        <w:ind w:firstLine="480" w:firstLineChars="20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地址：                              地址：</w:t>
      </w:r>
    </w:p>
    <w:p w14:paraId="660A84E6">
      <w:pPr>
        <w:autoSpaceDE w:val="0"/>
        <w:autoSpaceDN w:val="0"/>
        <w:adjustRightInd w:val="0"/>
        <w:spacing w:line="360" w:lineRule="auto"/>
        <w:ind w:firstLine="480" w:firstLineChars="20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法定代表人或委托代理人：            法定代表人或委托代理人：</w:t>
      </w:r>
    </w:p>
    <w:p w14:paraId="21B642DD">
      <w:pPr>
        <w:autoSpaceDE w:val="0"/>
        <w:autoSpaceDN w:val="0"/>
        <w:adjustRightInd w:val="0"/>
        <w:spacing w:line="360" w:lineRule="auto"/>
        <w:ind w:firstLine="480" w:firstLineChars="20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xml:space="preserve">                                    开户银行：</w:t>
      </w:r>
    </w:p>
    <w:p w14:paraId="3B982940">
      <w:pPr>
        <w:autoSpaceDE w:val="0"/>
        <w:autoSpaceDN w:val="0"/>
        <w:adjustRightInd w:val="0"/>
        <w:spacing w:line="360" w:lineRule="auto"/>
        <w:ind w:firstLine="480" w:firstLineChars="20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联系电话：                          账号：</w:t>
      </w:r>
    </w:p>
    <w:p w14:paraId="1D7624CD">
      <w:pPr>
        <w:autoSpaceDE w:val="0"/>
        <w:autoSpaceDN w:val="0"/>
        <w:adjustRightInd w:val="0"/>
        <w:spacing w:line="360" w:lineRule="auto"/>
        <w:ind w:firstLine="480" w:firstLineChars="200"/>
        <w:rPr>
          <w:rFonts w:hint="eastAsia" w:ascii="宋体" w:hAnsi="宋体" w:eastAsia="宋体" w:cs="宋体"/>
          <w:kern w:val="0"/>
          <w:sz w:val="24"/>
          <w:szCs w:val="24"/>
          <w:highlight w:val="none"/>
          <w:lang w:val="zh-CN"/>
        </w:rPr>
      </w:pPr>
    </w:p>
    <w:p w14:paraId="66C1E219">
      <w:pPr>
        <w:autoSpaceDE w:val="0"/>
        <w:autoSpaceDN w:val="0"/>
        <w:adjustRightInd w:val="0"/>
        <w:spacing w:line="360" w:lineRule="auto"/>
        <w:ind w:firstLine="480" w:firstLineChars="20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xml:space="preserve">                                    联系电话：</w:t>
      </w:r>
    </w:p>
    <w:p w14:paraId="386F030D">
      <w:pPr>
        <w:autoSpaceDE w:val="0"/>
        <w:autoSpaceDN w:val="0"/>
        <w:adjustRightInd w:val="0"/>
        <w:spacing w:line="360" w:lineRule="auto"/>
        <w:ind w:firstLine="480" w:firstLineChars="200"/>
        <w:rPr>
          <w:rFonts w:hint="eastAsia" w:ascii="宋体" w:hAnsi="宋体" w:eastAsia="宋体" w:cs="宋体"/>
          <w:kern w:val="0"/>
          <w:sz w:val="24"/>
          <w:szCs w:val="24"/>
          <w:highlight w:val="none"/>
          <w:lang w:val="zh-CN"/>
        </w:rPr>
      </w:pPr>
    </w:p>
    <w:p w14:paraId="19FC6741">
      <w:pPr>
        <w:autoSpaceDE w:val="0"/>
        <w:autoSpaceDN w:val="0"/>
        <w:adjustRightInd w:val="0"/>
        <w:spacing w:line="360" w:lineRule="auto"/>
        <w:ind w:firstLine="480" w:firstLineChars="20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签约时间：  年  月  日</w:t>
      </w:r>
    </w:p>
    <w:p w14:paraId="5A158BF5">
      <w:pPr>
        <w:autoSpaceDE w:val="0"/>
        <w:autoSpaceDN w:val="0"/>
        <w:adjustRightInd w:val="0"/>
        <w:spacing w:line="360" w:lineRule="auto"/>
        <w:jc w:val="center"/>
        <w:rPr>
          <w:rFonts w:hint="eastAsia" w:ascii="宋体" w:hAnsi="宋体" w:eastAsia="宋体" w:cs="宋体"/>
          <w:color w:val="auto"/>
          <w:sz w:val="24"/>
          <w:szCs w:val="24"/>
          <w:highlight w:val="none"/>
          <w:lang w:val="zh-CN"/>
        </w:rPr>
      </w:pPr>
    </w:p>
    <w:p w14:paraId="0CD87BF8">
      <w:pPr>
        <w:autoSpaceDE w:val="0"/>
        <w:autoSpaceDN w:val="0"/>
        <w:adjustRightInd w:val="0"/>
        <w:spacing w:line="360" w:lineRule="auto"/>
        <w:rPr>
          <w:rFonts w:hint="eastAsia" w:ascii="宋体" w:hAnsi="宋体" w:eastAsia="宋体" w:cs="宋体"/>
          <w:color w:val="auto"/>
          <w:sz w:val="28"/>
          <w:szCs w:val="28"/>
          <w:highlight w:val="none"/>
        </w:rPr>
      </w:pPr>
    </w:p>
    <w:p w14:paraId="1B46B59D">
      <w:pPr>
        <w:autoSpaceDE w:val="0"/>
        <w:autoSpaceDN w:val="0"/>
        <w:adjustRightInd w:val="0"/>
        <w:spacing w:line="360" w:lineRule="auto"/>
        <w:ind w:firstLine="480" w:firstLineChars="2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招标代理机构：青海中旭工程项目管理有限公司</w:t>
      </w:r>
    </w:p>
    <w:p w14:paraId="254DBDE6">
      <w:pPr>
        <w:autoSpaceDE w:val="0"/>
        <w:autoSpaceDN w:val="0"/>
        <w:adjustRightInd w:val="0"/>
        <w:spacing w:line="360" w:lineRule="auto"/>
        <w:ind w:firstLine="480" w:firstLineChars="200"/>
        <w:rPr>
          <w:rFonts w:hint="default" w:eastAsia="宋体" w:cs="宋体"/>
          <w:color w:val="auto"/>
          <w:sz w:val="28"/>
          <w:szCs w:val="28"/>
          <w:highlight w:val="none"/>
          <w:lang w:val="en-US" w:eastAsia="zh-CN"/>
        </w:rPr>
      </w:pPr>
      <w:r>
        <w:rPr>
          <w:rFonts w:hint="eastAsia" w:ascii="宋体" w:hAnsi="宋体" w:eastAsia="宋体" w:cs="宋体"/>
          <w:kern w:val="0"/>
          <w:sz w:val="24"/>
          <w:szCs w:val="24"/>
          <w:highlight w:val="none"/>
          <w:lang w:val="en-US" w:eastAsia="zh-CN"/>
        </w:rPr>
        <w:t xml:space="preserve">签章日期： </w:t>
      </w:r>
      <w:r>
        <w:rPr>
          <w:rFonts w:hint="eastAsia" w:eastAsia="宋体" w:cs="宋体"/>
          <w:color w:val="auto"/>
          <w:sz w:val="28"/>
          <w:szCs w:val="28"/>
          <w:highlight w:val="none"/>
          <w:lang w:val="en-US" w:eastAsia="zh-CN"/>
        </w:rPr>
        <w:t xml:space="preserve">   </w:t>
      </w:r>
      <w:r>
        <w:rPr>
          <w:rFonts w:hint="eastAsia" w:ascii="宋体" w:hAnsi="宋体" w:eastAsia="宋体" w:cs="宋体"/>
          <w:kern w:val="0"/>
          <w:sz w:val="24"/>
          <w:szCs w:val="24"/>
          <w:highlight w:val="none"/>
          <w:lang w:val="zh-CN"/>
        </w:rPr>
        <w:t xml:space="preserve">年 </w:t>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lang w:val="zh-CN"/>
        </w:rPr>
        <w:t xml:space="preserve"> 月 </w:t>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lang w:val="zh-CN"/>
        </w:rPr>
        <w:t xml:space="preserve"> 日</w:t>
      </w:r>
    </w:p>
    <w:p w14:paraId="6E6560B3">
      <w:pPr>
        <w:pStyle w:val="17"/>
        <w:spacing w:before="0" w:beforeLines="0" w:after="0" w:afterLines="0" w:line="360" w:lineRule="auto"/>
        <w:outlineLvl w:val="0"/>
        <w:rPr>
          <w:rFonts w:hint="eastAsia" w:ascii="宋体" w:hAnsi="宋体" w:eastAsia="宋体" w:cs="宋体"/>
          <w:color w:val="auto"/>
          <w:highlight w:val="none"/>
        </w:rPr>
      </w:pPr>
      <w:bookmarkStart w:id="442" w:name="_Toc495567965"/>
      <w:bookmarkStart w:id="443" w:name="_Toc495666282"/>
    </w:p>
    <w:p w14:paraId="42ED7C4B">
      <w:pPr>
        <w:pStyle w:val="17"/>
        <w:spacing w:before="0" w:beforeLines="0" w:after="0" w:afterLines="0" w:line="360" w:lineRule="auto"/>
        <w:outlineLvl w:val="0"/>
        <w:rPr>
          <w:rFonts w:hint="eastAsia" w:ascii="宋体" w:hAnsi="宋体" w:eastAsia="宋体" w:cs="宋体"/>
          <w:color w:val="auto"/>
          <w:highlight w:val="none"/>
        </w:rPr>
      </w:pPr>
    </w:p>
    <w:p w14:paraId="1FE9E2EB">
      <w:pPr>
        <w:pStyle w:val="17"/>
        <w:spacing w:before="0" w:beforeLines="0" w:after="0" w:afterLines="0" w:line="360" w:lineRule="auto"/>
        <w:outlineLvl w:val="0"/>
        <w:rPr>
          <w:rFonts w:hint="eastAsia" w:ascii="宋体" w:hAnsi="宋体" w:eastAsia="宋体" w:cs="宋体"/>
          <w:color w:val="auto"/>
          <w:highlight w:val="none"/>
        </w:rPr>
      </w:pPr>
    </w:p>
    <w:p w14:paraId="56002E6E">
      <w:pPr>
        <w:pStyle w:val="17"/>
        <w:spacing w:before="0" w:beforeLines="0" w:after="0" w:afterLines="0" w:line="360" w:lineRule="auto"/>
        <w:outlineLvl w:val="0"/>
        <w:rPr>
          <w:rFonts w:hint="eastAsia" w:ascii="宋体" w:hAnsi="宋体" w:eastAsia="宋体" w:cs="宋体"/>
          <w:color w:val="auto"/>
          <w:highlight w:val="none"/>
        </w:rPr>
      </w:pPr>
    </w:p>
    <w:p w14:paraId="3FC0526C">
      <w:pPr>
        <w:pStyle w:val="17"/>
        <w:spacing w:before="0" w:beforeLines="0" w:after="0" w:afterLines="0" w:line="360" w:lineRule="auto"/>
        <w:outlineLvl w:val="0"/>
        <w:rPr>
          <w:rFonts w:hint="eastAsia" w:ascii="宋体" w:hAnsi="宋体" w:eastAsia="宋体" w:cs="宋体"/>
          <w:color w:val="auto"/>
          <w:highlight w:val="none"/>
        </w:rPr>
      </w:pPr>
    </w:p>
    <w:p w14:paraId="6532BBF4">
      <w:pPr>
        <w:pStyle w:val="17"/>
        <w:spacing w:before="0" w:beforeLines="0" w:after="0" w:afterLines="0" w:line="360" w:lineRule="auto"/>
        <w:jc w:val="both"/>
        <w:outlineLvl w:val="0"/>
        <w:rPr>
          <w:rFonts w:hint="eastAsia" w:ascii="宋体" w:hAnsi="宋体" w:eastAsia="宋体" w:cs="宋体"/>
          <w:color w:val="auto"/>
          <w:highlight w:val="none"/>
        </w:rPr>
      </w:pPr>
    </w:p>
    <w:p w14:paraId="2C1CE66D">
      <w:pPr>
        <w:autoSpaceDE w:val="0"/>
        <w:autoSpaceDN w:val="0"/>
        <w:adjustRightInd w:val="0"/>
        <w:spacing w:line="360" w:lineRule="auto"/>
        <w:jc w:val="center"/>
        <w:rPr>
          <w:rFonts w:hint="eastAsia" w:ascii="宋体" w:hAnsi="宋体" w:eastAsia="宋体" w:cs="宋体"/>
          <w:b/>
          <w:color w:val="auto"/>
          <w:sz w:val="28"/>
          <w:szCs w:val="28"/>
          <w:lang w:val="zh-CN"/>
        </w:rPr>
      </w:pPr>
      <w:r>
        <w:rPr>
          <w:rFonts w:hint="eastAsia" w:ascii="宋体" w:hAnsi="宋体" w:eastAsia="宋体" w:cs="宋体"/>
          <w:b/>
          <w:color w:val="auto"/>
          <w:sz w:val="28"/>
          <w:szCs w:val="28"/>
          <w:lang w:val="zh-CN"/>
        </w:rPr>
        <w:t>合同通用条款</w:t>
      </w:r>
    </w:p>
    <w:p w14:paraId="363DF726">
      <w:pPr>
        <w:autoSpaceDE w:val="0"/>
        <w:autoSpaceDN w:val="0"/>
        <w:adjustRightInd w:val="0"/>
        <w:spacing w:line="360" w:lineRule="auto"/>
        <w:jc w:val="left"/>
        <w:rPr>
          <w:rFonts w:hint="eastAsia" w:ascii="宋体" w:hAnsi="宋体" w:eastAsia="宋体" w:cs="宋体"/>
          <w:color w:val="auto"/>
          <w:sz w:val="28"/>
          <w:szCs w:val="28"/>
        </w:rPr>
      </w:pPr>
    </w:p>
    <w:p w14:paraId="63417A9F">
      <w:pPr>
        <w:autoSpaceDE w:val="0"/>
        <w:autoSpaceDN w:val="0"/>
        <w:adjustRightInd w:val="0"/>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lang w:val="zh-CN"/>
        </w:rPr>
        <w:t>根据《中华人民共和国民法典》《中华人民共和国政府采购法》的规定，合同双方经协商达成一致，自愿订立本合同，遵循公平原则明确双方的权利、义务，确保双方诚实守信地履行合同。</w:t>
      </w:r>
    </w:p>
    <w:p w14:paraId="306FE8AA">
      <w:pPr>
        <w:autoSpaceDE w:val="0"/>
        <w:autoSpaceDN w:val="0"/>
        <w:adjustRightInd w:val="0"/>
        <w:spacing w:line="360" w:lineRule="auto"/>
        <w:ind w:firstLine="562"/>
        <w:jc w:val="left"/>
        <w:rPr>
          <w:rFonts w:hint="eastAsia" w:ascii="宋体" w:hAnsi="宋体" w:eastAsia="宋体" w:cs="宋体"/>
          <w:b/>
          <w:color w:val="auto"/>
          <w:sz w:val="28"/>
          <w:szCs w:val="28"/>
        </w:rPr>
      </w:pPr>
      <w:bookmarkStart w:id="444" w:name="_Toc21609"/>
      <w:r>
        <w:rPr>
          <w:rFonts w:hint="eastAsia" w:ascii="宋体" w:hAnsi="宋体" w:eastAsia="宋体" w:cs="宋体"/>
          <w:b/>
          <w:color w:val="auto"/>
          <w:sz w:val="28"/>
          <w:szCs w:val="28"/>
        </w:rPr>
        <w:t>1.</w:t>
      </w:r>
      <w:r>
        <w:rPr>
          <w:rFonts w:hint="eastAsia" w:ascii="宋体" w:hAnsi="宋体" w:eastAsia="宋体" w:cs="宋体"/>
          <w:b/>
          <w:color w:val="auto"/>
          <w:sz w:val="28"/>
          <w:szCs w:val="28"/>
          <w:lang w:val="zh-CN"/>
        </w:rPr>
        <w:t>定义</w:t>
      </w:r>
      <w:bookmarkEnd w:id="444"/>
    </w:p>
    <w:p w14:paraId="436963ED">
      <w:pPr>
        <w:autoSpaceDE w:val="0"/>
        <w:autoSpaceDN w:val="0"/>
        <w:adjustRightInd w:val="0"/>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lang w:val="zh-CN"/>
        </w:rPr>
        <w:t>本合同中的下列术语应解释为：</w:t>
      </w:r>
    </w:p>
    <w:p w14:paraId="130114FB">
      <w:pPr>
        <w:autoSpaceDE w:val="0"/>
        <w:autoSpaceDN w:val="0"/>
        <w:adjustRightInd w:val="0"/>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 xml:space="preserve">1.1 </w:t>
      </w:r>
      <w:r>
        <w:rPr>
          <w:rFonts w:hint="eastAsia" w:ascii="宋体" w:hAnsi="宋体" w:eastAsia="宋体" w:cs="宋体"/>
          <w:color w:val="auto"/>
          <w:sz w:val="24"/>
          <w:lang w:val="zh-CN"/>
        </w:rPr>
        <w:t>“合同”指甲乙双方签署的、载明的甲乙双方权利义务的协议，包括所有的附件、附录和上述文件所提到的构成合同的所有文件。</w:t>
      </w:r>
    </w:p>
    <w:p w14:paraId="506F29A0">
      <w:pPr>
        <w:autoSpaceDE w:val="0"/>
        <w:autoSpaceDN w:val="0"/>
        <w:adjustRightInd w:val="0"/>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 xml:space="preserve">1.2 </w:t>
      </w:r>
      <w:r>
        <w:rPr>
          <w:rFonts w:hint="eastAsia" w:ascii="宋体" w:hAnsi="宋体" w:eastAsia="宋体" w:cs="宋体"/>
          <w:color w:val="auto"/>
          <w:sz w:val="24"/>
          <w:lang w:val="zh-CN"/>
        </w:rPr>
        <w:t>“合同金额”指根据合同规定，乙方在正确地完全履行合同义务后甲方应付给乙方的价款。</w:t>
      </w:r>
    </w:p>
    <w:p w14:paraId="70E404B2">
      <w:pPr>
        <w:autoSpaceDE w:val="0"/>
        <w:autoSpaceDN w:val="0"/>
        <w:adjustRightInd w:val="0"/>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 xml:space="preserve">1.3 </w:t>
      </w:r>
      <w:r>
        <w:rPr>
          <w:rFonts w:hint="eastAsia" w:ascii="宋体" w:hAnsi="宋体" w:eastAsia="宋体" w:cs="宋体"/>
          <w:color w:val="auto"/>
          <w:sz w:val="24"/>
          <w:lang w:val="zh-CN"/>
        </w:rPr>
        <w:t>“合同条款”指本合同条款。</w:t>
      </w:r>
    </w:p>
    <w:p w14:paraId="45133E55">
      <w:pPr>
        <w:autoSpaceDE w:val="0"/>
        <w:autoSpaceDN w:val="0"/>
        <w:adjustRightInd w:val="0"/>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 xml:space="preserve">1.4 </w:t>
      </w:r>
      <w:r>
        <w:rPr>
          <w:rFonts w:hint="eastAsia" w:ascii="宋体" w:hAnsi="宋体" w:eastAsia="宋体" w:cs="宋体"/>
          <w:color w:val="auto"/>
          <w:sz w:val="24"/>
          <w:lang w:val="zh-CN"/>
        </w:rPr>
        <w:t>“货物”指乙方根据合同约定须向甲方提供的一切产品、设备、机械、仪表、备件等，包括辅助工具、使用手册等相关资料。</w:t>
      </w:r>
    </w:p>
    <w:p w14:paraId="4A888963">
      <w:pPr>
        <w:autoSpaceDE w:val="0"/>
        <w:autoSpaceDN w:val="0"/>
        <w:adjustRightInd w:val="0"/>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 xml:space="preserve">1.5 </w:t>
      </w:r>
      <w:r>
        <w:rPr>
          <w:rFonts w:hint="eastAsia" w:ascii="宋体" w:hAnsi="宋体" w:eastAsia="宋体" w:cs="宋体"/>
          <w:color w:val="auto"/>
          <w:sz w:val="24"/>
          <w:lang w:val="zh-CN"/>
        </w:rPr>
        <w:t>“服务”指根据本合同规定乙方承担与供货有关的辅助服务，如运输、保险、调试、提供技术援助、培训和合同中规定乙方应承担的其它义务。</w:t>
      </w:r>
    </w:p>
    <w:p w14:paraId="5E794E0E">
      <w:pPr>
        <w:autoSpaceDE w:val="0"/>
        <w:autoSpaceDN w:val="0"/>
        <w:adjustRightInd w:val="0"/>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 xml:space="preserve">1.6 </w:t>
      </w:r>
      <w:r>
        <w:rPr>
          <w:rFonts w:hint="eastAsia" w:ascii="宋体" w:hAnsi="宋体" w:eastAsia="宋体" w:cs="宋体"/>
          <w:color w:val="auto"/>
          <w:sz w:val="24"/>
          <w:lang w:val="zh-CN"/>
        </w:rPr>
        <w:t>“甲方”指购买货物和服务的单位。</w:t>
      </w:r>
    </w:p>
    <w:p w14:paraId="5A180DD2">
      <w:pPr>
        <w:autoSpaceDE w:val="0"/>
        <w:autoSpaceDN w:val="0"/>
        <w:adjustRightInd w:val="0"/>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 xml:space="preserve">1.7 </w:t>
      </w:r>
      <w:r>
        <w:rPr>
          <w:rFonts w:hint="eastAsia" w:ascii="宋体" w:hAnsi="宋体" w:eastAsia="宋体" w:cs="宋体"/>
          <w:color w:val="auto"/>
          <w:sz w:val="24"/>
          <w:lang w:val="zh-CN"/>
        </w:rPr>
        <w:t>“乙方”指提供本合同条款下货物和服务的公司或其他实体。</w:t>
      </w:r>
    </w:p>
    <w:p w14:paraId="3D81E2FB">
      <w:pPr>
        <w:autoSpaceDE w:val="0"/>
        <w:autoSpaceDN w:val="0"/>
        <w:adjustRightInd w:val="0"/>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 xml:space="preserve">1.8 </w:t>
      </w:r>
      <w:r>
        <w:rPr>
          <w:rFonts w:hint="eastAsia" w:ascii="宋体" w:hAnsi="宋体" w:eastAsia="宋体" w:cs="宋体"/>
          <w:color w:val="auto"/>
          <w:sz w:val="24"/>
          <w:lang w:val="zh-CN"/>
        </w:rPr>
        <w:t>“现场”指合同规定货物将要运至指定地点。</w:t>
      </w:r>
    </w:p>
    <w:p w14:paraId="691DEFAA">
      <w:pPr>
        <w:autoSpaceDE w:val="0"/>
        <w:autoSpaceDN w:val="0"/>
        <w:adjustRightInd w:val="0"/>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 xml:space="preserve">1.9 </w:t>
      </w:r>
      <w:r>
        <w:rPr>
          <w:rFonts w:hint="eastAsia" w:ascii="宋体" w:hAnsi="宋体" w:eastAsia="宋体" w:cs="宋体"/>
          <w:color w:val="auto"/>
          <w:sz w:val="24"/>
          <w:lang w:val="zh-CN"/>
        </w:rPr>
        <w:t>“验收”指合同双方依据强制性的国家技术质量规范和合同约定，确认合同条款下的货物符合合同规定的活动。</w:t>
      </w:r>
    </w:p>
    <w:p w14:paraId="4C8D2AF2">
      <w:pPr>
        <w:autoSpaceDE w:val="0"/>
        <w:autoSpaceDN w:val="0"/>
        <w:adjustRightInd w:val="0"/>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 xml:space="preserve">1.10 </w:t>
      </w:r>
      <w:r>
        <w:rPr>
          <w:rFonts w:hint="eastAsia" w:ascii="宋体" w:hAnsi="宋体" w:eastAsia="宋体" w:cs="宋体"/>
          <w:color w:val="auto"/>
          <w:sz w:val="24"/>
          <w:lang w:val="zh-CN"/>
        </w:rPr>
        <w:t>原厂商：产品制造商或其在中国境内设立的办事或技术服务机构。除另有说明外，本合同文件所述的制造商、产品制造商、制造厂家、产品制造厂家均为原厂商。</w:t>
      </w:r>
    </w:p>
    <w:p w14:paraId="419E6467">
      <w:pPr>
        <w:autoSpaceDE w:val="0"/>
        <w:autoSpaceDN w:val="0"/>
        <w:adjustRightInd w:val="0"/>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 xml:space="preserve">1.11 </w:t>
      </w:r>
      <w:r>
        <w:rPr>
          <w:rFonts w:hint="eastAsia" w:ascii="宋体" w:hAnsi="宋体" w:eastAsia="宋体" w:cs="宋体"/>
          <w:color w:val="auto"/>
          <w:sz w:val="24"/>
          <w:lang w:val="zh-CN"/>
        </w:rPr>
        <w:t>原产地：指产品的生产地，或提供服务的来源地。</w:t>
      </w:r>
    </w:p>
    <w:p w14:paraId="71CD664A">
      <w:pPr>
        <w:autoSpaceDE w:val="0"/>
        <w:autoSpaceDN w:val="0"/>
        <w:adjustRightInd w:val="0"/>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 xml:space="preserve">1.12 </w:t>
      </w:r>
      <w:r>
        <w:rPr>
          <w:rFonts w:hint="eastAsia" w:ascii="宋体" w:hAnsi="宋体" w:eastAsia="宋体" w:cs="宋体"/>
          <w:color w:val="auto"/>
          <w:sz w:val="24"/>
          <w:lang w:val="zh-CN"/>
        </w:rPr>
        <w:t>“工作日”指国家法定工作日，“天”指日历天数。</w:t>
      </w:r>
    </w:p>
    <w:p w14:paraId="5BDBD64A">
      <w:pPr>
        <w:autoSpaceDE w:val="0"/>
        <w:autoSpaceDN w:val="0"/>
        <w:adjustRightInd w:val="0"/>
        <w:spacing w:line="360" w:lineRule="auto"/>
        <w:ind w:firstLine="562"/>
        <w:jc w:val="left"/>
        <w:rPr>
          <w:rFonts w:hint="eastAsia" w:ascii="宋体" w:hAnsi="宋体" w:eastAsia="宋体" w:cs="宋体"/>
          <w:b/>
          <w:color w:val="auto"/>
          <w:sz w:val="28"/>
          <w:szCs w:val="28"/>
        </w:rPr>
      </w:pPr>
      <w:bookmarkStart w:id="445" w:name="_Toc394"/>
      <w:r>
        <w:rPr>
          <w:rFonts w:hint="eastAsia" w:ascii="宋体" w:hAnsi="宋体" w:eastAsia="宋体" w:cs="宋体"/>
          <w:b/>
          <w:color w:val="auto"/>
          <w:sz w:val="28"/>
          <w:szCs w:val="28"/>
        </w:rPr>
        <w:t>2.</w:t>
      </w:r>
      <w:r>
        <w:rPr>
          <w:rFonts w:hint="eastAsia" w:ascii="宋体" w:hAnsi="宋体" w:eastAsia="宋体" w:cs="宋体"/>
          <w:b/>
          <w:color w:val="auto"/>
          <w:sz w:val="28"/>
          <w:szCs w:val="28"/>
          <w:lang w:val="zh-CN"/>
        </w:rPr>
        <w:t>技术规格要求</w:t>
      </w:r>
      <w:bookmarkEnd w:id="445"/>
    </w:p>
    <w:p w14:paraId="031367A8">
      <w:pPr>
        <w:autoSpaceDE w:val="0"/>
        <w:autoSpaceDN w:val="0"/>
        <w:adjustRightInd w:val="0"/>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 xml:space="preserve">2.1 </w:t>
      </w:r>
      <w:r>
        <w:rPr>
          <w:rFonts w:hint="eastAsia" w:ascii="宋体" w:hAnsi="宋体" w:eastAsia="宋体" w:cs="宋体"/>
          <w:color w:val="auto"/>
          <w:sz w:val="24"/>
          <w:lang w:val="zh-CN"/>
        </w:rPr>
        <w:t>本合同条款下提交货物的技术规格要求应等于或优于招响应文件技术规格要求。若技术规格要求中无相应规定，则应符合相应的国家有关部门最新颁布的相应正式标准。</w:t>
      </w:r>
    </w:p>
    <w:p w14:paraId="1584B08D">
      <w:pPr>
        <w:autoSpaceDE w:val="0"/>
        <w:autoSpaceDN w:val="0"/>
        <w:adjustRightInd w:val="0"/>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 xml:space="preserve">2.2 </w:t>
      </w:r>
      <w:r>
        <w:rPr>
          <w:rFonts w:hint="eastAsia" w:ascii="宋体" w:hAnsi="宋体" w:eastAsia="宋体" w:cs="宋体"/>
          <w:color w:val="auto"/>
          <w:sz w:val="24"/>
          <w:lang w:val="zh-CN"/>
        </w:rPr>
        <w:t>乙方应向甲方提供货物及服务有关的标准的中文文本。</w:t>
      </w:r>
    </w:p>
    <w:p w14:paraId="27F31239">
      <w:pPr>
        <w:autoSpaceDE w:val="0"/>
        <w:autoSpaceDN w:val="0"/>
        <w:adjustRightInd w:val="0"/>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 xml:space="preserve">2.3 </w:t>
      </w:r>
      <w:r>
        <w:rPr>
          <w:rFonts w:hint="eastAsia" w:ascii="宋体" w:hAnsi="宋体" w:eastAsia="宋体" w:cs="宋体"/>
          <w:color w:val="auto"/>
          <w:sz w:val="24"/>
          <w:lang w:val="zh-CN"/>
        </w:rPr>
        <w:t>除非技术规范中另有规定，计量单位均采用中华人民共和国法定计量单位。</w:t>
      </w:r>
    </w:p>
    <w:p w14:paraId="5E0DF417">
      <w:pPr>
        <w:autoSpaceDE w:val="0"/>
        <w:autoSpaceDN w:val="0"/>
        <w:adjustRightInd w:val="0"/>
        <w:spacing w:line="360" w:lineRule="auto"/>
        <w:ind w:firstLine="562"/>
        <w:jc w:val="left"/>
        <w:rPr>
          <w:rFonts w:hint="eastAsia" w:ascii="宋体" w:hAnsi="宋体" w:eastAsia="宋体" w:cs="宋体"/>
          <w:b/>
          <w:color w:val="auto"/>
          <w:sz w:val="28"/>
          <w:szCs w:val="28"/>
        </w:rPr>
      </w:pPr>
      <w:bookmarkStart w:id="446" w:name="_Toc1676"/>
      <w:r>
        <w:rPr>
          <w:rFonts w:hint="eastAsia" w:ascii="宋体" w:hAnsi="宋体" w:eastAsia="宋体" w:cs="宋体"/>
          <w:b/>
          <w:color w:val="auto"/>
          <w:sz w:val="28"/>
          <w:szCs w:val="28"/>
        </w:rPr>
        <w:t>3.</w:t>
      </w:r>
      <w:r>
        <w:rPr>
          <w:rFonts w:hint="eastAsia" w:ascii="宋体" w:hAnsi="宋体" w:eastAsia="宋体" w:cs="宋体"/>
          <w:b/>
          <w:color w:val="auto"/>
          <w:sz w:val="28"/>
          <w:szCs w:val="28"/>
          <w:lang w:val="zh-CN"/>
        </w:rPr>
        <w:t>合同范围</w:t>
      </w:r>
      <w:bookmarkEnd w:id="446"/>
    </w:p>
    <w:p w14:paraId="285ABDB3">
      <w:pPr>
        <w:autoSpaceDE w:val="0"/>
        <w:autoSpaceDN w:val="0"/>
        <w:adjustRightInd w:val="0"/>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 xml:space="preserve">3.1 </w:t>
      </w:r>
      <w:r>
        <w:rPr>
          <w:rFonts w:hint="eastAsia" w:ascii="宋体" w:hAnsi="宋体" w:eastAsia="宋体" w:cs="宋体"/>
          <w:color w:val="auto"/>
          <w:sz w:val="24"/>
          <w:lang w:val="zh-CN"/>
        </w:rPr>
        <w:t>甲方同意从乙方处购买且乙方同意向甲方提供的货物及其附属货物，消耗性材料、专用工具等，包括各项技术服务、技术培训及满足合同货物组装、检验、培训、技术服务、性能测试、正常运行及维修所必需的技术文件。</w:t>
      </w:r>
    </w:p>
    <w:p w14:paraId="74F67BF5">
      <w:pPr>
        <w:autoSpaceDE w:val="0"/>
        <w:autoSpaceDN w:val="0"/>
        <w:adjustRightInd w:val="0"/>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 xml:space="preserve">3.2 </w:t>
      </w:r>
      <w:r>
        <w:rPr>
          <w:rFonts w:hint="eastAsia" w:ascii="宋体" w:hAnsi="宋体" w:eastAsia="宋体" w:cs="宋体"/>
          <w:color w:val="auto"/>
          <w:sz w:val="24"/>
          <w:lang w:val="zh-CN"/>
        </w:rPr>
        <w:t>乙方应负责培训甲方的技术人员。</w:t>
      </w:r>
    </w:p>
    <w:p w14:paraId="5A3A26CA">
      <w:pPr>
        <w:autoSpaceDE w:val="0"/>
        <w:autoSpaceDN w:val="0"/>
        <w:adjustRightInd w:val="0"/>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 xml:space="preserve">3.3 </w:t>
      </w:r>
      <w:r>
        <w:rPr>
          <w:rFonts w:hint="eastAsia" w:ascii="宋体" w:hAnsi="宋体" w:eastAsia="宋体" w:cs="宋体"/>
          <w:color w:val="auto"/>
          <w:sz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4BE97196">
      <w:pPr>
        <w:autoSpaceDE w:val="0"/>
        <w:autoSpaceDN w:val="0"/>
        <w:adjustRightInd w:val="0"/>
        <w:spacing w:line="360" w:lineRule="auto"/>
        <w:ind w:firstLine="562"/>
        <w:jc w:val="left"/>
        <w:rPr>
          <w:rFonts w:hint="eastAsia" w:ascii="宋体" w:hAnsi="宋体" w:eastAsia="宋体" w:cs="宋体"/>
          <w:b/>
          <w:color w:val="auto"/>
          <w:sz w:val="28"/>
          <w:szCs w:val="28"/>
        </w:rPr>
      </w:pPr>
      <w:bookmarkStart w:id="447" w:name="_Toc23233"/>
      <w:r>
        <w:rPr>
          <w:rFonts w:hint="eastAsia" w:ascii="宋体" w:hAnsi="宋体" w:eastAsia="宋体" w:cs="宋体"/>
          <w:b/>
          <w:color w:val="auto"/>
          <w:sz w:val="28"/>
          <w:szCs w:val="28"/>
        </w:rPr>
        <w:t>4.</w:t>
      </w:r>
      <w:r>
        <w:rPr>
          <w:rFonts w:hint="eastAsia" w:ascii="宋体" w:hAnsi="宋体" w:eastAsia="宋体" w:cs="宋体"/>
          <w:b/>
          <w:color w:val="auto"/>
          <w:sz w:val="28"/>
          <w:szCs w:val="28"/>
          <w:lang w:val="zh-CN"/>
        </w:rPr>
        <w:t>合同文件和资料</w:t>
      </w:r>
      <w:bookmarkEnd w:id="447"/>
    </w:p>
    <w:p w14:paraId="0EB795ED">
      <w:pPr>
        <w:autoSpaceDE w:val="0"/>
        <w:autoSpaceDN w:val="0"/>
        <w:adjustRightInd w:val="0"/>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4.1</w:t>
      </w:r>
      <w:r>
        <w:rPr>
          <w:rFonts w:hint="eastAsia" w:ascii="宋体" w:hAnsi="宋体" w:eastAsia="宋体" w:cs="宋体"/>
          <w:color w:val="auto"/>
          <w:sz w:val="24"/>
          <w:lang w:val="zh-CN"/>
        </w:rPr>
        <w:t>乙方在提供仪器设备时应同时提供中文版相关的技术资料，如目录索引、图纸、操作手册、使用指南、维修指南、服务手册等。</w:t>
      </w:r>
    </w:p>
    <w:p w14:paraId="7E519741">
      <w:pPr>
        <w:autoSpaceDE w:val="0"/>
        <w:autoSpaceDN w:val="0"/>
        <w:adjustRightInd w:val="0"/>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4.2</w:t>
      </w:r>
      <w:r>
        <w:rPr>
          <w:rFonts w:hint="eastAsia" w:ascii="宋体" w:hAnsi="宋体" w:eastAsia="宋体" w:cs="宋体"/>
          <w:color w:val="auto"/>
          <w:sz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604D11ED">
      <w:pPr>
        <w:autoSpaceDE w:val="0"/>
        <w:autoSpaceDN w:val="0"/>
        <w:adjustRightInd w:val="0"/>
        <w:spacing w:line="360" w:lineRule="auto"/>
        <w:ind w:firstLine="562"/>
        <w:jc w:val="left"/>
        <w:rPr>
          <w:rFonts w:hint="eastAsia" w:ascii="宋体" w:hAnsi="宋体" w:eastAsia="宋体" w:cs="宋体"/>
          <w:b/>
          <w:color w:val="auto"/>
          <w:sz w:val="28"/>
          <w:szCs w:val="28"/>
        </w:rPr>
      </w:pPr>
      <w:bookmarkStart w:id="448" w:name="_Toc23333"/>
      <w:r>
        <w:rPr>
          <w:rFonts w:hint="eastAsia" w:ascii="宋体" w:hAnsi="宋体" w:eastAsia="宋体" w:cs="宋体"/>
          <w:b/>
          <w:color w:val="auto"/>
          <w:sz w:val="28"/>
          <w:szCs w:val="28"/>
        </w:rPr>
        <w:t>5.</w:t>
      </w:r>
      <w:r>
        <w:rPr>
          <w:rFonts w:hint="eastAsia" w:ascii="宋体" w:hAnsi="宋体" w:eastAsia="宋体" w:cs="宋体"/>
          <w:b/>
          <w:color w:val="auto"/>
          <w:sz w:val="28"/>
          <w:szCs w:val="28"/>
          <w:lang w:val="zh-CN"/>
        </w:rPr>
        <w:t>知识产权</w:t>
      </w:r>
      <w:bookmarkEnd w:id="448"/>
    </w:p>
    <w:p w14:paraId="1930900B">
      <w:pPr>
        <w:autoSpaceDE w:val="0"/>
        <w:autoSpaceDN w:val="0"/>
        <w:adjustRightInd w:val="0"/>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5.1</w:t>
      </w:r>
      <w:r>
        <w:rPr>
          <w:rFonts w:hint="eastAsia" w:ascii="宋体" w:hAnsi="宋体" w:eastAsia="宋体" w:cs="宋体"/>
          <w:color w:val="auto"/>
          <w:sz w:val="24"/>
          <w:lang w:val="zh-CN"/>
        </w:rPr>
        <w:t>乙方应保证甲方在使用该货物或其任何一部分时不受第三方提出的侵犯专利权、著作权、商标权和工业设计权等的起诉。</w:t>
      </w:r>
    </w:p>
    <w:p w14:paraId="4E103675">
      <w:pPr>
        <w:autoSpaceDE w:val="0"/>
        <w:autoSpaceDN w:val="0"/>
        <w:adjustRightInd w:val="0"/>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5.2</w:t>
      </w:r>
      <w:r>
        <w:rPr>
          <w:rFonts w:hint="eastAsia" w:ascii="宋体" w:hAnsi="宋体" w:eastAsia="宋体" w:cs="宋体"/>
          <w:color w:val="auto"/>
          <w:sz w:val="24"/>
          <w:lang w:val="zh-CN"/>
        </w:rPr>
        <w:t>任何第三方提出侵权指控，乙方须与第三方交涉并承担由此产生的一切责任、费用和经济赔偿。</w:t>
      </w:r>
    </w:p>
    <w:p w14:paraId="3DE242C9">
      <w:pPr>
        <w:autoSpaceDE w:val="0"/>
        <w:autoSpaceDN w:val="0"/>
        <w:adjustRightInd w:val="0"/>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5.3</w:t>
      </w:r>
      <w:r>
        <w:rPr>
          <w:rFonts w:hint="eastAsia" w:ascii="宋体" w:hAnsi="宋体" w:eastAsia="宋体" w:cs="宋体"/>
          <w:color w:val="auto"/>
          <w:sz w:val="24"/>
          <w:lang w:val="zh-CN"/>
        </w:rPr>
        <w:t>双方应共同遵守国家有关版权、专利、商标等知识产权方面的法律规定，相互尊重对方的知识产权，对本合同内容、对方的技术秘密和商业秘密负有保密责任。如有违反，违约方负相关法律责任。</w:t>
      </w:r>
    </w:p>
    <w:p w14:paraId="0080DC49">
      <w:pPr>
        <w:autoSpaceDE w:val="0"/>
        <w:autoSpaceDN w:val="0"/>
        <w:adjustRightInd w:val="0"/>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5.4</w:t>
      </w:r>
      <w:r>
        <w:rPr>
          <w:rFonts w:hint="eastAsia" w:ascii="宋体" w:hAnsi="宋体" w:eastAsia="宋体" w:cs="宋体"/>
          <w:color w:val="auto"/>
          <w:sz w:val="24"/>
          <w:lang w:val="zh-CN"/>
        </w:rPr>
        <w:t>在本合同生效时已经存在并为各方合法拥有或使用的所有技术、资料和信息的知识产权，仍应属于其各自的原权利人所有或享有，另有约定的除外。</w:t>
      </w:r>
    </w:p>
    <w:p w14:paraId="717DDBDE">
      <w:pPr>
        <w:autoSpaceDE w:val="0"/>
        <w:autoSpaceDN w:val="0"/>
        <w:adjustRightInd w:val="0"/>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5.5</w:t>
      </w:r>
      <w:r>
        <w:rPr>
          <w:rFonts w:hint="eastAsia" w:ascii="宋体" w:hAnsi="宋体" w:eastAsia="宋体" w:cs="宋体"/>
          <w:color w:val="auto"/>
          <w:sz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0BF8E8B2">
      <w:pPr>
        <w:autoSpaceDE w:val="0"/>
        <w:autoSpaceDN w:val="0"/>
        <w:adjustRightInd w:val="0"/>
        <w:spacing w:line="360" w:lineRule="auto"/>
        <w:ind w:firstLine="562"/>
        <w:jc w:val="left"/>
        <w:rPr>
          <w:rFonts w:hint="eastAsia" w:ascii="宋体" w:hAnsi="宋体" w:eastAsia="宋体" w:cs="宋体"/>
          <w:b/>
          <w:color w:val="auto"/>
          <w:sz w:val="28"/>
          <w:szCs w:val="28"/>
        </w:rPr>
      </w:pPr>
      <w:bookmarkStart w:id="449" w:name="_Toc12001"/>
      <w:r>
        <w:rPr>
          <w:rFonts w:hint="eastAsia" w:ascii="宋体" w:hAnsi="宋体" w:eastAsia="宋体" w:cs="宋体"/>
          <w:b/>
          <w:color w:val="auto"/>
          <w:sz w:val="28"/>
          <w:szCs w:val="28"/>
        </w:rPr>
        <w:t>6.</w:t>
      </w:r>
      <w:r>
        <w:rPr>
          <w:rFonts w:hint="eastAsia" w:ascii="宋体" w:hAnsi="宋体" w:eastAsia="宋体" w:cs="宋体"/>
          <w:b/>
          <w:color w:val="auto"/>
          <w:sz w:val="28"/>
          <w:szCs w:val="28"/>
          <w:lang w:val="zh-CN"/>
        </w:rPr>
        <w:t>保密</w:t>
      </w:r>
      <w:bookmarkEnd w:id="449"/>
    </w:p>
    <w:p w14:paraId="46196419">
      <w:pPr>
        <w:autoSpaceDE w:val="0"/>
        <w:autoSpaceDN w:val="0"/>
        <w:adjustRightInd w:val="0"/>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6.1</w:t>
      </w:r>
      <w:r>
        <w:rPr>
          <w:rFonts w:hint="eastAsia" w:ascii="宋体" w:hAnsi="宋体" w:eastAsia="宋体" w:cs="宋体"/>
          <w:color w:val="auto"/>
          <w:sz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5606B679">
      <w:pPr>
        <w:autoSpaceDE w:val="0"/>
        <w:autoSpaceDN w:val="0"/>
        <w:adjustRightInd w:val="0"/>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6.2</w:t>
      </w:r>
      <w:r>
        <w:rPr>
          <w:rFonts w:hint="eastAsia" w:ascii="宋体" w:hAnsi="宋体" w:eastAsia="宋体" w:cs="宋体"/>
          <w:color w:val="auto"/>
          <w:sz w:val="24"/>
          <w:lang w:val="zh-CN"/>
        </w:rPr>
        <w:t>保密信息指任何一方因履行本合同所知悉的任何以口头、书面、图表或电子形式存在的对方信息，具体包括：</w:t>
      </w:r>
    </w:p>
    <w:p w14:paraId="6FA6061B">
      <w:pPr>
        <w:autoSpaceDE w:val="0"/>
        <w:autoSpaceDN w:val="0"/>
        <w:adjustRightInd w:val="0"/>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6.2.1</w:t>
      </w:r>
      <w:r>
        <w:rPr>
          <w:rFonts w:hint="eastAsia" w:ascii="宋体" w:hAnsi="宋体" w:eastAsia="宋体" w:cs="宋体"/>
          <w:color w:val="auto"/>
          <w:sz w:val="24"/>
          <w:lang w:val="zh-CN"/>
        </w:rPr>
        <w:t>任何涉及对方过去、现在或将来的商业计划、规章制度、操作规程、处理手段、财务信息；</w:t>
      </w:r>
    </w:p>
    <w:p w14:paraId="71AF2CD8">
      <w:pPr>
        <w:autoSpaceDE w:val="0"/>
        <w:autoSpaceDN w:val="0"/>
        <w:adjustRightInd w:val="0"/>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6.2.2</w:t>
      </w:r>
      <w:r>
        <w:rPr>
          <w:rFonts w:hint="eastAsia" w:ascii="宋体" w:hAnsi="宋体" w:eastAsia="宋体" w:cs="宋体"/>
          <w:color w:val="auto"/>
          <w:sz w:val="24"/>
          <w:lang w:val="zh-CN"/>
        </w:rPr>
        <w:t>任何对方的技术措施、技术方案、软件应用及开发，硬件设备的品种、质量、数量、品牌等；</w:t>
      </w:r>
    </w:p>
    <w:p w14:paraId="1516AC14">
      <w:pPr>
        <w:autoSpaceDE w:val="0"/>
        <w:autoSpaceDN w:val="0"/>
        <w:adjustRightInd w:val="0"/>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6.2.3</w:t>
      </w:r>
      <w:r>
        <w:rPr>
          <w:rFonts w:hint="eastAsia" w:ascii="宋体" w:hAnsi="宋体" w:eastAsia="宋体" w:cs="宋体"/>
          <w:color w:val="auto"/>
          <w:sz w:val="24"/>
          <w:lang w:val="zh-CN"/>
        </w:rPr>
        <w:t>任何对方的技术秘密或专有知识、文件、报告、数据、客户软件、流程图、数据库、发明、知识、贸易秘密。</w:t>
      </w:r>
    </w:p>
    <w:p w14:paraId="4867B51B">
      <w:pPr>
        <w:autoSpaceDE w:val="0"/>
        <w:autoSpaceDN w:val="0"/>
        <w:adjustRightInd w:val="0"/>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6.3</w:t>
      </w:r>
      <w:r>
        <w:rPr>
          <w:rFonts w:hint="eastAsia" w:ascii="宋体" w:hAnsi="宋体" w:eastAsia="宋体" w:cs="宋体"/>
          <w:color w:val="auto"/>
          <w:sz w:val="24"/>
          <w:lang w:val="zh-CN"/>
        </w:rPr>
        <w:t>乙方应根据甲方的要求签署相应的保密协议，保密协议与本条款存在不一致的，以保密协议为准。</w:t>
      </w:r>
    </w:p>
    <w:p w14:paraId="59CC45DB">
      <w:pPr>
        <w:autoSpaceDE w:val="0"/>
        <w:autoSpaceDN w:val="0"/>
        <w:adjustRightInd w:val="0"/>
        <w:spacing w:line="360" w:lineRule="auto"/>
        <w:ind w:firstLine="562"/>
        <w:jc w:val="left"/>
        <w:rPr>
          <w:rFonts w:hint="eastAsia" w:ascii="宋体" w:hAnsi="宋体" w:eastAsia="宋体" w:cs="宋体"/>
          <w:b/>
          <w:color w:val="auto"/>
          <w:sz w:val="28"/>
          <w:szCs w:val="28"/>
        </w:rPr>
      </w:pPr>
      <w:bookmarkStart w:id="450" w:name="_Toc4387"/>
      <w:r>
        <w:rPr>
          <w:rFonts w:hint="eastAsia" w:ascii="宋体" w:hAnsi="宋体" w:eastAsia="宋体" w:cs="宋体"/>
          <w:b/>
          <w:color w:val="auto"/>
          <w:sz w:val="28"/>
          <w:szCs w:val="28"/>
        </w:rPr>
        <w:t xml:space="preserve">7. </w:t>
      </w:r>
      <w:r>
        <w:rPr>
          <w:rFonts w:hint="eastAsia" w:ascii="宋体" w:hAnsi="宋体" w:eastAsia="宋体" w:cs="宋体"/>
          <w:b/>
          <w:color w:val="auto"/>
          <w:sz w:val="28"/>
          <w:szCs w:val="28"/>
          <w:lang w:val="zh-CN"/>
        </w:rPr>
        <w:t>质量保证</w:t>
      </w:r>
      <w:bookmarkEnd w:id="450"/>
    </w:p>
    <w:p w14:paraId="1631D1CE">
      <w:pPr>
        <w:autoSpaceDE w:val="0"/>
        <w:autoSpaceDN w:val="0"/>
        <w:adjustRightInd w:val="0"/>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7.1货物</w:t>
      </w:r>
      <w:r>
        <w:rPr>
          <w:rFonts w:hint="eastAsia" w:ascii="宋体" w:hAnsi="宋体" w:eastAsia="宋体" w:cs="宋体"/>
          <w:color w:val="auto"/>
          <w:sz w:val="24"/>
          <w:lang w:val="zh-CN"/>
        </w:rPr>
        <w:t>质量保证</w:t>
      </w:r>
    </w:p>
    <w:p w14:paraId="6D7F48FA">
      <w:pPr>
        <w:autoSpaceDE w:val="0"/>
        <w:autoSpaceDN w:val="0"/>
        <w:adjustRightInd w:val="0"/>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7.1.1</w:t>
      </w:r>
      <w:r>
        <w:rPr>
          <w:rFonts w:hint="eastAsia" w:ascii="宋体" w:hAnsi="宋体" w:eastAsia="宋体" w:cs="宋体"/>
          <w:color w:val="auto"/>
          <w:sz w:val="24"/>
          <w:lang w:val="zh-CN"/>
        </w:rPr>
        <w:t>乙方必须保证货物是全新、未使用过的，并完全符合强制性的国家技术质量规范和合同规定的质量、规格、性能和技术规范等的要求。</w:t>
      </w:r>
    </w:p>
    <w:p w14:paraId="0C2E8628">
      <w:pPr>
        <w:autoSpaceDE w:val="0"/>
        <w:autoSpaceDN w:val="0"/>
        <w:adjustRightInd w:val="0"/>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7.1.2</w:t>
      </w:r>
      <w:r>
        <w:rPr>
          <w:rFonts w:hint="eastAsia" w:ascii="宋体" w:hAnsi="宋体" w:eastAsia="宋体" w:cs="宋体"/>
          <w:color w:val="auto"/>
          <w:sz w:val="24"/>
          <w:lang w:val="zh-CN"/>
        </w:rPr>
        <w:t>乙方须保证所提供的货物经正常运转和保养，在其使用寿命期内须具有符合质量要求和产品说明书的性能。在货物质量保证期之内，乙方须对由于设计、工艺或材料的缺陷而发生的任何不足或故障负责，并免费予以改进或更换。</w:t>
      </w:r>
    </w:p>
    <w:p w14:paraId="3867C72E">
      <w:pPr>
        <w:autoSpaceDE w:val="0"/>
        <w:autoSpaceDN w:val="0"/>
        <w:adjustRightInd w:val="0"/>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7.1.3</w:t>
      </w:r>
      <w:r>
        <w:rPr>
          <w:rFonts w:hint="eastAsia" w:ascii="宋体" w:hAnsi="宋体" w:eastAsia="宋体" w:cs="宋体"/>
          <w:color w:val="auto"/>
          <w:sz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429C2938">
      <w:pPr>
        <w:autoSpaceDE w:val="0"/>
        <w:autoSpaceDN w:val="0"/>
        <w:adjustRightInd w:val="0"/>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7.1.4</w:t>
      </w:r>
      <w:r>
        <w:rPr>
          <w:rFonts w:hint="eastAsia" w:ascii="宋体" w:hAnsi="宋体" w:eastAsia="宋体" w:cs="宋体"/>
          <w:color w:val="auto"/>
          <w:sz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4DB0C37E">
      <w:pPr>
        <w:autoSpaceDE w:val="0"/>
        <w:autoSpaceDN w:val="0"/>
        <w:adjustRightInd w:val="0"/>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 xml:space="preserve">7.1.5 </w:t>
      </w:r>
      <w:r>
        <w:rPr>
          <w:rFonts w:hint="eastAsia" w:ascii="宋体" w:hAnsi="宋体" w:eastAsia="宋体" w:cs="宋体"/>
          <w:color w:val="auto"/>
          <w:sz w:val="24"/>
          <w:lang w:val="zh-CN"/>
        </w:rPr>
        <w:t>合同条款下货物的质量保证期自货物通过最终验收起算，合同另行规定除外。</w:t>
      </w:r>
    </w:p>
    <w:p w14:paraId="57C08E57">
      <w:pPr>
        <w:autoSpaceDE w:val="0"/>
        <w:autoSpaceDN w:val="0"/>
        <w:adjustRightInd w:val="0"/>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7.2</w:t>
      </w:r>
      <w:r>
        <w:rPr>
          <w:rFonts w:hint="eastAsia" w:ascii="宋体" w:hAnsi="宋体" w:eastAsia="宋体" w:cs="宋体"/>
          <w:color w:val="auto"/>
          <w:sz w:val="24"/>
          <w:lang w:val="zh-CN"/>
        </w:rPr>
        <w:t>辅助服务质量保证</w:t>
      </w:r>
    </w:p>
    <w:p w14:paraId="1DFAFD60">
      <w:pPr>
        <w:autoSpaceDE w:val="0"/>
        <w:autoSpaceDN w:val="0"/>
        <w:adjustRightInd w:val="0"/>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7.2.1</w:t>
      </w:r>
      <w:r>
        <w:rPr>
          <w:rFonts w:hint="eastAsia" w:ascii="宋体" w:hAnsi="宋体" w:eastAsia="宋体" w:cs="宋体"/>
          <w:color w:val="auto"/>
          <w:sz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055E20F4">
      <w:pPr>
        <w:autoSpaceDE w:val="0"/>
        <w:autoSpaceDN w:val="0"/>
        <w:adjustRightInd w:val="0"/>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7.2.2</w:t>
      </w:r>
      <w:r>
        <w:rPr>
          <w:rFonts w:hint="eastAsia" w:ascii="宋体" w:hAnsi="宋体" w:eastAsia="宋体" w:cs="宋体"/>
          <w:color w:val="auto"/>
          <w:sz w:val="24"/>
          <w:lang w:val="zh-CN"/>
        </w:rPr>
        <w:t>乙方应保证合同条款下所提供的服务包括培训、单机调试、系统联调和试验等，按合同规定方式进行，并保证不存在因乙方工作人员的过失、错误或疏忽而产生的缺陷。</w:t>
      </w:r>
    </w:p>
    <w:p w14:paraId="2C8559D4">
      <w:pPr>
        <w:autoSpaceDE w:val="0"/>
        <w:autoSpaceDN w:val="0"/>
        <w:adjustRightInd w:val="0"/>
        <w:spacing w:line="360" w:lineRule="auto"/>
        <w:ind w:firstLine="562"/>
        <w:jc w:val="left"/>
        <w:rPr>
          <w:rFonts w:hint="eastAsia" w:ascii="宋体" w:hAnsi="宋体" w:eastAsia="宋体" w:cs="宋体"/>
          <w:b/>
          <w:color w:val="auto"/>
          <w:sz w:val="28"/>
          <w:szCs w:val="28"/>
        </w:rPr>
      </w:pPr>
      <w:bookmarkStart w:id="451" w:name="_Toc32111"/>
      <w:r>
        <w:rPr>
          <w:rFonts w:hint="eastAsia" w:ascii="宋体" w:hAnsi="宋体" w:eastAsia="宋体" w:cs="宋体"/>
          <w:b/>
          <w:color w:val="auto"/>
          <w:sz w:val="28"/>
          <w:szCs w:val="28"/>
        </w:rPr>
        <w:t>8.</w:t>
      </w:r>
      <w:r>
        <w:rPr>
          <w:rFonts w:hint="eastAsia" w:ascii="宋体" w:hAnsi="宋体" w:eastAsia="宋体" w:cs="宋体"/>
          <w:b/>
          <w:color w:val="auto"/>
          <w:sz w:val="28"/>
          <w:szCs w:val="28"/>
          <w:lang w:val="zh-CN"/>
        </w:rPr>
        <w:t>包装要求</w:t>
      </w:r>
      <w:bookmarkEnd w:id="451"/>
    </w:p>
    <w:p w14:paraId="002AD049">
      <w:pPr>
        <w:autoSpaceDE w:val="0"/>
        <w:autoSpaceDN w:val="0"/>
        <w:adjustRightInd w:val="0"/>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 xml:space="preserve">8.1 </w:t>
      </w:r>
      <w:r>
        <w:rPr>
          <w:rFonts w:hint="eastAsia" w:ascii="宋体" w:hAnsi="宋体" w:eastAsia="宋体" w:cs="宋体"/>
          <w:color w:val="auto"/>
          <w:sz w:val="24"/>
          <w:lang w:val="zh-CN"/>
        </w:rPr>
        <w:t>除合同另有约定外</w:t>
      </w:r>
      <w:r>
        <w:rPr>
          <w:rFonts w:hint="eastAsia" w:ascii="宋体" w:hAnsi="宋体" w:eastAsia="宋体" w:cs="宋体"/>
          <w:color w:val="auto"/>
          <w:sz w:val="24"/>
        </w:rPr>
        <w:t>,</w:t>
      </w:r>
      <w:r>
        <w:rPr>
          <w:rFonts w:hint="eastAsia" w:ascii="宋体" w:hAnsi="宋体" w:eastAsia="宋体" w:cs="宋体"/>
          <w:color w:val="auto"/>
          <w:sz w:val="24"/>
          <w:lang w:val="zh-CN"/>
        </w:rPr>
        <w:t>乙方提供的全部货物</w:t>
      </w:r>
      <w:r>
        <w:rPr>
          <w:rFonts w:hint="eastAsia" w:ascii="宋体" w:hAnsi="宋体" w:eastAsia="宋体" w:cs="宋体"/>
          <w:color w:val="auto"/>
          <w:sz w:val="24"/>
        </w:rPr>
        <w:t>,</w:t>
      </w:r>
      <w:r>
        <w:rPr>
          <w:rFonts w:hint="eastAsia" w:ascii="宋体" w:hAnsi="宋体" w:eastAsia="宋体" w:cs="宋体"/>
          <w:color w:val="auto"/>
          <w:sz w:val="24"/>
          <w:lang w:val="zh-CN"/>
        </w:rPr>
        <w:t>均应采用本行业通用的方式进行包装，且该包装应符合国家有关包装的法律、法规的规定。</w:t>
      </w:r>
    </w:p>
    <w:p w14:paraId="0AA544DA">
      <w:pPr>
        <w:autoSpaceDE w:val="0"/>
        <w:autoSpaceDN w:val="0"/>
        <w:adjustRightInd w:val="0"/>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 xml:space="preserve">8.2 </w:t>
      </w:r>
      <w:r>
        <w:rPr>
          <w:rFonts w:hint="eastAsia" w:ascii="宋体" w:hAnsi="宋体" w:eastAsia="宋体" w:cs="宋体"/>
          <w:color w:val="auto"/>
          <w:sz w:val="24"/>
          <w:lang w:val="zh-CN"/>
        </w:rPr>
        <w:t>包装应适应于远距离运输，并有良好的防潮、防震、防锈和防粗暴装卸等保护措施，以确保货物安全运抵现场。由于包装不善所引起的货物锈蚀、损坏和损失均由乙方承担。</w:t>
      </w:r>
    </w:p>
    <w:p w14:paraId="3A2FB3B0">
      <w:pPr>
        <w:autoSpaceDE w:val="0"/>
        <w:autoSpaceDN w:val="0"/>
        <w:adjustRightInd w:val="0"/>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lang w:val="zh-CN"/>
        </w:rPr>
        <w:t>乙方应提供货物运至合同规定的最终目的地所需要的包装，以防止货物在转运中损坏或变质。</w:t>
      </w:r>
    </w:p>
    <w:p w14:paraId="18E64873">
      <w:pPr>
        <w:autoSpaceDE w:val="0"/>
        <w:autoSpaceDN w:val="0"/>
        <w:adjustRightInd w:val="0"/>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 xml:space="preserve">8.3 </w:t>
      </w:r>
      <w:r>
        <w:rPr>
          <w:rFonts w:hint="eastAsia" w:ascii="宋体" w:hAnsi="宋体" w:eastAsia="宋体" w:cs="宋体"/>
          <w:color w:val="auto"/>
          <w:sz w:val="24"/>
          <w:lang w:val="zh-CN"/>
        </w:rPr>
        <w:t>乙方所提供的货物包装均为出厂时原包装。</w:t>
      </w:r>
    </w:p>
    <w:p w14:paraId="6A711469">
      <w:pPr>
        <w:autoSpaceDE w:val="0"/>
        <w:autoSpaceDN w:val="0"/>
        <w:adjustRightInd w:val="0"/>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 xml:space="preserve">8.4 </w:t>
      </w:r>
      <w:r>
        <w:rPr>
          <w:rFonts w:hint="eastAsia" w:ascii="宋体" w:hAnsi="宋体" w:eastAsia="宋体" w:cs="宋体"/>
          <w:color w:val="auto"/>
          <w:sz w:val="24"/>
          <w:lang w:val="zh-CN"/>
        </w:rPr>
        <w:t>乙方所提供货物必须附有质量合格证，装箱清单，主机、附件、各种零部件和消耗品，有清楚的与装箱单相对应的名称和编号。</w:t>
      </w:r>
    </w:p>
    <w:p w14:paraId="0592820A">
      <w:pPr>
        <w:autoSpaceDE w:val="0"/>
        <w:autoSpaceDN w:val="0"/>
        <w:adjustRightInd w:val="0"/>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 xml:space="preserve">8.5 </w:t>
      </w:r>
      <w:r>
        <w:rPr>
          <w:rFonts w:hint="eastAsia" w:ascii="宋体" w:hAnsi="宋体" w:eastAsia="宋体" w:cs="宋体"/>
          <w:color w:val="auto"/>
          <w:sz w:val="24"/>
          <w:lang w:val="zh-CN"/>
        </w:rPr>
        <w:t>货物运输中的运输费用和保险费用均由乙方承担。运输过程中的一切损失、损坏均由乙方负责。</w:t>
      </w:r>
    </w:p>
    <w:p w14:paraId="5FD90726">
      <w:pPr>
        <w:autoSpaceDE w:val="0"/>
        <w:autoSpaceDN w:val="0"/>
        <w:adjustRightInd w:val="0"/>
        <w:spacing w:line="360" w:lineRule="auto"/>
        <w:ind w:firstLine="562"/>
        <w:jc w:val="left"/>
        <w:rPr>
          <w:rFonts w:hint="eastAsia" w:ascii="宋体" w:hAnsi="宋体" w:eastAsia="宋体" w:cs="宋体"/>
          <w:b/>
          <w:color w:val="auto"/>
          <w:sz w:val="28"/>
          <w:szCs w:val="28"/>
        </w:rPr>
      </w:pPr>
      <w:bookmarkStart w:id="452" w:name="_Toc15616"/>
      <w:r>
        <w:rPr>
          <w:rFonts w:hint="eastAsia" w:ascii="宋体" w:hAnsi="宋体" w:eastAsia="宋体" w:cs="宋体"/>
          <w:b/>
          <w:color w:val="auto"/>
          <w:sz w:val="28"/>
          <w:szCs w:val="28"/>
        </w:rPr>
        <w:t xml:space="preserve">9. </w:t>
      </w:r>
      <w:r>
        <w:rPr>
          <w:rFonts w:hint="eastAsia" w:ascii="宋体" w:hAnsi="宋体" w:eastAsia="宋体" w:cs="宋体"/>
          <w:b/>
          <w:color w:val="auto"/>
          <w:sz w:val="28"/>
          <w:szCs w:val="28"/>
          <w:lang w:val="zh-CN"/>
        </w:rPr>
        <w:t>价格</w:t>
      </w:r>
      <w:bookmarkEnd w:id="452"/>
    </w:p>
    <w:p w14:paraId="442856EA">
      <w:pPr>
        <w:autoSpaceDE w:val="0"/>
        <w:autoSpaceDN w:val="0"/>
        <w:adjustRightInd w:val="0"/>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 xml:space="preserve">9.1 </w:t>
      </w:r>
      <w:r>
        <w:rPr>
          <w:rFonts w:hint="eastAsia" w:ascii="宋体" w:hAnsi="宋体" w:eastAsia="宋体" w:cs="宋体"/>
          <w:color w:val="auto"/>
          <w:sz w:val="24"/>
          <w:lang w:val="zh-CN"/>
        </w:rPr>
        <w:t>乙方履行合同所必须的所有费用，包括但不限于货物及部件的设计、检测与试验、制造、运输、装卸、保险、单机调试、技术资料、培训、交通、人员、差旅、质量保证期服务费、其他管理费用、所有的检验、测试、调试、验收、试运行费用等均已包括在合同价格中。</w:t>
      </w:r>
    </w:p>
    <w:p w14:paraId="76655B9B">
      <w:pPr>
        <w:autoSpaceDE w:val="0"/>
        <w:autoSpaceDN w:val="0"/>
        <w:adjustRightInd w:val="0"/>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 xml:space="preserve">9.2 </w:t>
      </w:r>
      <w:r>
        <w:rPr>
          <w:rFonts w:hint="eastAsia" w:ascii="宋体" w:hAnsi="宋体" w:eastAsia="宋体" w:cs="宋体"/>
          <w:color w:val="auto"/>
          <w:sz w:val="24"/>
          <w:lang w:val="zh-CN"/>
        </w:rPr>
        <w:t>本合同价格为固定价格，包括了乙方履行合同全过程产生的所有成本和费用以及乙方应承担的一切税费。</w:t>
      </w:r>
    </w:p>
    <w:p w14:paraId="1861664A">
      <w:pPr>
        <w:autoSpaceDE w:val="0"/>
        <w:autoSpaceDN w:val="0"/>
        <w:adjustRightInd w:val="0"/>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9.3</w:t>
      </w:r>
      <w:r>
        <w:rPr>
          <w:rFonts w:hint="eastAsia" w:ascii="宋体" w:hAnsi="宋体" w:eastAsia="宋体" w:cs="宋体"/>
          <w:color w:val="auto"/>
          <w:sz w:val="24"/>
          <w:lang w:val="zh-CN"/>
        </w:rPr>
        <w:t>检验费用</w:t>
      </w:r>
    </w:p>
    <w:p w14:paraId="0F6A9296">
      <w:pPr>
        <w:autoSpaceDE w:val="0"/>
        <w:autoSpaceDN w:val="0"/>
        <w:adjustRightInd w:val="0"/>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 xml:space="preserve">9.3.1 </w:t>
      </w:r>
      <w:r>
        <w:rPr>
          <w:rFonts w:hint="eastAsia" w:ascii="宋体" w:hAnsi="宋体" w:eastAsia="宋体" w:cs="宋体"/>
          <w:color w:val="auto"/>
          <w:sz w:val="24"/>
          <w:lang w:val="zh-CN"/>
        </w:rPr>
        <w:t>乙方必须负担本条款下属于乙方负责的检验、测试、调试、试运行和验收的所有费用，并负责乙方派往买方组织的检验、测试和验收人员的所有费用。</w:t>
      </w:r>
    </w:p>
    <w:p w14:paraId="56D25B03">
      <w:pPr>
        <w:autoSpaceDE w:val="0"/>
        <w:autoSpaceDN w:val="0"/>
        <w:adjustRightInd w:val="0"/>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 xml:space="preserve">9.3.2 </w:t>
      </w:r>
      <w:r>
        <w:rPr>
          <w:rFonts w:hint="eastAsia" w:ascii="宋体" w:hAnsi="宋体" w:eastAsia="宋体" w:cs="宋体"/>
          <w:color w:val="auto"/>
          <w:sz w:val="24"/>
          <w:lang w:val="zh-CN"/>
        </w:rPr>
        <w:t>甲方按合同计划参加在乙方工厂所在地检验、测试和验收的费用全部由乙方负责并已包含在合同总价中。</w:t>
      </w:r>
    </w:p>
    <w:p w14:paraId="74F8BA02">
      <w:pPr>
        <w:autoSpaceDE w:val="0"/>
        <w:autoSpaceDN w:val="0"/>
        <w:adjustRightInd w:val="0"/>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9.3.3</w:t>
      </w:r>
      <w:r>
        <w:rPr>
          <w:rFonts w:hint="eastAsia" w:ascii="宋体" w:hAnsi="宋体" w:eastAsia="宋体" w:cs="宋体"/>
          <w:color w:val="auto"/>
          <w:sz w:val="24"/>
          <w:lang w:val="zh-CN"/>
        </w:rPr>
        <w:t>甲方检验人员已到卖方所在地，测试无法依照合同进行，而引起甲方人员延长逗留时间，所有由此产生的包括甲方人员在内的直接费用及成本由乙方承担。</w:t>
      </w:r>
    </w:p>
    <w:p w14:paraId="48F6422E">
      <w:pPr>
        <w:autoSpaceDE w:val="0"/>
        <w:autoSpaceDN w:val="0"/>
        <w:adjustRightInd w:val="0"/>
        <w:spacing w:line="360" w:lineRule="auto"/>
        <w:ind w:firstLine="480"/>
        <w:jc w:val="left"/>
        <w:rPr>
          <w:rFonts w:hint="eastAsia" w:ascii="宋体" w:hAnsi="宋体" w:eastAsia="宋体" w:cs="宋体"/>
          <w:bCs/>
          <w:iCs/>
          <w:color w:val="auto"/>
          <w:sz w:val="24"/>
          <w:szCs w:val="22"/>
          <w:lang w:val="zh-CN"/>
        </w:rPr>
      </w:pPr>
      <w:bookmarkStart w:id="453" w:name="_Toc30688"/>
      <w:r>
        <w:rPr>
          <w:rFonts w:hint="eastAsia" w:ascii="宋体" w:hAnsi="宋体" w:eastAsia="宋体" w:cs="宋体"/>
          <w:bCs/>
          <w:iCs/>
          <w:color w:val="auto"/>
          <w:sz w:val="24"/>
          <w:szCs w:val="22"/>
          <w:lang w:val="zh-CN"/>
        </w:rPr>
        <w:t>10.服务期及</w:t>
      </w:r>
      <w:r>
        <w:rPr>
          <w:rFonts w:hint="eastAsia" w:ascii="宋体" w:hAnsi="宋体" w:eastAsia="宋体" w:cs="宋体"/>
          <w:bCs/>
          <w:iCs/>
          <w:color w:val="auto"/>
          <w:sz w:val="24"/>
          <w:szCs w:val="22"/>
        </w:rPr>
        <w:t>服务</w:t>
      </w:r>
      <w:r>
        <w:rPr>
          <w:rFonts w:hint="eastAsia" w:ascii="宋体" w:hAnsi="宋体" w:eastAsia="宋体" w:cs="宋体"/>
          <w:bCs/>
          <w:iCs/>
          <w:color w:val="auto"/>
          <w:sz w:val="24"/>
          <w:szCs w:val="22"/>
          <w:lang w:val="zh-CN"/>
        </w:rPr>
        <w:t>地点</w:t>
      </w:r>
      <w:bookmarkEnd w:id="453"/>
    </w:p>
    <w:p w14:paraId="559553FC">
      <w:pPr>
        <w:autoSpaceDE w:val="0"/>
        <w:autoSpaceDN w:val="0"/>
        <w:adjustRightInd w:val="0"/>
        <w:spacing w:line="360" w:lineRule="auto"/>
        <w:ind w:firstLine="480"/>
        <w:jc w:val="left"/>
        <w:rPr>
          <w:rFonts w:hint="eastAsia" w:ascii="宋体" w:hAnsi="宋体" w:eastAsia="宋体" w:cs="宋体"/>
          <w:bCs/>
          <w:iCs/>
          <w:color w:val="auto"/>
          <w:sz w:val="24"/>
          <w:szCs w:val="22"/>
          <w:lang w:val="zh-CN"/>
        </w:rPr>
      </w:pPr>
      <w:r>
        <w:rPr>
          <w:rFonts w:hint="eastAsia" w:ascii="宋体" w:hAnsi="宋体" w:eastAsia="宋体" w:cs="宋体"/>
          <w:bCs/>
          <w:iCs/>
          <w:color w:val="auto"/>
          <w:sz w:val="24"/>
          <w:szCs w:val="22"/>
          <w:lang w:val="zh-CN"/>
        </w:rPr>
        <w:t>项目服务时间、项目服务地点：</w:t>
      </w:r>
    </w:p>
    <w:p w14:paraId="1D87A2C0">
      <w:pPr>
        <w:autoSpaceDE w:val="0"/>
        <w:autoSpaceDN w:val="0"/>
        <w:adjustRightInd w:val="0"/>
        <w:spacing w:line="360" w:lineRule="auto"/>
        <w:ind w:firstLine="480"/>
        <w:jc w:val="left"/>
        <w:rPr>
          <w:rFonts w:hint="eastAsia" w:ascii="宋体" w:hAnsi="宋体" w:eastAsia="宋体" w:cs="宋体"/>
          <w:color w:val="auto"/>
          <w:sz w:val="24"/>
          <w:lang w:val="zh-CN"/>
        </w:rPr>
      </w:pPr>
      <w:bookmarkStart w:id="454" w:name="_Toc1468"/>
      <w:r>
        <w:rPr>
          <w:rFonts w:hint="eastAsia" w:ascii="宋体" w:hAnsi="宋体" w:eastAsia="宋体" w:cs="宋体"/>
          <w:color w:val="auto"/>
          <w:sz w:val="24"/>
          <w:lang w:val="zh-CN"/>
        </w:rPr>
        <w:t>11.检验和验收</w:t>
      </w:r>
      <w:bookmarkEnd w:id="454"/>
    </w:p>
    <w:p w14:paraId="7A1271CF">
      <w:pPr>
        <w:autoSpaceDE w:val="0"/>
        <w:autoSpaceDN w:val="0"/>
        <w:adjustRightInd w:val="0"/>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11.1</w:t>
      </w:r>
      <w:r>
        <w:rPr>
          <w:rFonts w:hint="eastAsia" w:ascii="宋体" w:hAnsi="宋体" w:eastAsia="宋体" w:cs="宋体"/>
          <w:color w:val="auto"/>
          <w:sz w:val="24"/>
          <w:lang w:val="zh-CN"/>
        </w:rPr>
        <w:t>开箱验收</w:t>
      </w:r>
    </w:p>
    <w:p w14:paraId="0C388EAC">
      <w:pPr>
        <w:autoSpaceDE w:val="0"/>
        <w:autoSpaceDN w:val="0"/>
        <w:adjustRightInd w:val="0"/>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11.1.1</w:t>
      </w:r>
      <w:r>
        <w:rPr>
          <w:rFonts w:hint="eastAsia" w:ascii="宋体" w:hAnsi="宋体" w:eastAsia="宋体" w:cs="宋体"/>
          <w:color w:val="auto"/>
          <w:sz w:val="24"/>
          <w:lang w:val="zh-CN"/>
        </w:rPr>
        <w:t>货物运抵现场后，双方应及时开箱验收，并制作验收记录，以确认与本合同约定的数量、型号等是否一致。</w:t>
      </w:r>
    </w:p>
    <w:p w14:paraId="0350A214">
      <w:pPr>
        <w:autoSpaceDE w:val="0"/>
        <w:autoSpaceDN w:val="0"/>
        <w:adjustRightInd w:val="0"/>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 xml:space="preserve">11.1.2 </w:t>
      </w:r>
      <w:r>
        <w:rPr>
          <w:rFonts w:hint="eastAsia" w:ascii="宋体" w:hAnsi="宋体" w:eastAsia="宋体" w:cs="宋体"/>
          <w:color w:val="auto"/>
          <w:sz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7D20DC4E">
      <w:pPr>
        <w:autoSpaceDE w:val="0"/>
        <w:autoSpaceDN w:val="0"/>
        <w:adjustRightInd w:val="0"/>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 xml:space="preserve">11.1.3 </w:t>
      </w:r>
      <w:r>
        <w:rPr>
          <w:rFonts w:hint="eastAsia" w:ascii="宋体" w:hAnsi="宋体" w:eastAsia="宋体" w:cs="宋体"/>
          <w:color w:val="auto"/>
          <w:sz w:val="24"/>
          <w:lang w:val="zh-CN"/>
        </w:rPr>
        <w:t>开箱验收中如发现货物的数量、规格与合同约定不符，甲方有权拒收货物，乙方应及时按甲方要求免费对拒收货物采取更换或其他必要的补救措施，直至开箱验收合格，方视为乙方完成交货。</w:t>
      </w:r>
    </w:p>
    <w:p w14:paraId="56CF5A6F">
      <w:pPr>
        <w:autoSpaceDE w:val="0"/>
        <w:autoSpaceDN w:val="0"/>
        <w:adjustRightInd w:val="0"/>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 xml:space="preserve">11.2  </w:t>
      </w:r>
      <w:r>
        <w:rPr>
          <w:rFonts w:hint="eastAsia" w:ascii="宋体" w:hAnsi="宋体" w:eastAsia="宋体" w:cs="宋体"/>
          <w:color w:val="auto"/>
          <w:sz w:val="24"/>
          <w:lang w:val="zh-CN"/>
        </w:rPr>
        <w:t>检验验收</w:t>
      </w:r>
    </w:p>
    <w:p w14:paraId="6C719D27">
      <w:pPr>
        <w:autoSpaceDE w:val="0"/>
        <w:autoSpaceDN w:val="0"/>
        <w:adjustRightInd w:val="0"/>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 xml:space="preserve">11.2.1 </w:t>
      </w:r>
      <w:r>
        <w:rPr>
          <w:rFonts w:hint="eastAsia" w:ascii="宋体" w:hAnsi="宋体" w:eastAsia="宋体" w:cs="宋体"/>
          <w:color w:val="auto"/>
          <w:sz w:val="24"/>
          <w:lang w:val="zh-CN"/>
        </w:rPr>
        <w:t>交货完成后，乙方应及时组装、调试、试运行，按照合同专用条款规定的试运行完成后，双方及时组织对货物检验验收。合同双方均须派人参加合同要求双方参加的试验、检验。</w:t>
      </w:r>
    </w:p>
    <w:p w14:paraId="183B9550">
      <w:pPr>
        <w:autoSpaceDE w:val="0"/>
        <w:autoSpaceDN w:val="0"/>
        <w:adjustRightInd w:val="0"/>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 xml:space="preserve">11.2.2 </w:t>
      </w:r>
      <w:r>
        <w:rPr>
          <w:rFonts w:hint="eastAsia" w:ascii="宋体" w:hAnsi="宋体" w:eastAsia="宋体" w:cs="宋体"/>
          <w:color w:val="auto"/>
          <w:sz w:val="24"/>
          <w:lang w:val="zh-CN"/>
        </w:rPr>
        <w:t>在具体实施合同规定的检验验收之前，乙方需提前提交相应的测试计划（包括测试程序、测试内容和检验标准、试验时间安排等）供甲方确认。</w:t>
      </w:r>
    </w:p>
    <w:p w14:paraId="297F7B8C">
      <w:pPr>
        <w:autoSpaceDE w:val="0"/>
        <w:autoSpaceDN w:val="0"/>
        <w:adjustRightInd w:val="0"/>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 xml:space="preserve">11.2.3  </w:t>
      </w:r>
      <w:r>
        <w:rPr>
          <w:rFonts w:hint="eastAsia" w:ascii="宋体" w:hAnsi="宋体" w:eastAsia="宋体" w:cs="宋体"/>
          <w:color w:val="auto"/>
          <w:sz w:val="24"/>
          <w:lang w:val="zh-CN"/>
        </w:rPr>
        <w:t>除需甲方确认的试验验收外，乙方还应对所有检验验收测试的结果、步骤、原始数据等作妥善记录。如甲方要求，乙方应提供这些记录给买方。</w:t>
      </w:r>
    </w:p>
    <w:p w14:paraId="0119FE4E">
      <w:pPr>
        <w:autoSpaceDE w:val="0"/>
        <w:autoSpaceDN w:val="0"/>
        <w:adjustRightInd w:val="0"/>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 xml:space="preserve">11.2.4  </w:t>
      </w:r>
      <w:r>
        <w:rPr>
          <w:rFonts w:hint="eastAsia" w:ascii="宋体" w:hAnsi="宋体" w:eastAsia="宋体" w:cs="宋体"/>
          <w:color w:val="auto"/>
          <w:sz w:val="24"/>
          <w:lang w:val="zh-CN"/>
        </w:rPr>
        <w:t>检验测试出现全部或部分未达到本合同所约定的技术指标，甲方有权选择下列任一处理方式：</w:t>
      </w:r>
    </w:p>
    <w:p w14:paraId="7BF0A0A0">
      <w:pPr>
        <w:autoSpaceDE w:val="0"/>
        <w:autoSpaceDN w:val="0"/>
        <w:adjustRightInd w:val="0"/>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a.</w:t>
      </w:r>
      <w:r>
        <w:rPr>
          <w:rFonts w:hint="eastAsia" w:ascii="宋体" w:hAnsi="宋体" w:eastAsia="宋体" w:cs="宋体"/>
          <w:color w:val="auto"/>
          <w:sz w:val="24"/>
          <w:lang w:val="zh-CN"/>
        </w:rPr>
        <w:t>重新测试直至合格为止；</w:t>
      </w:r>
    </w:p>
    <w:p w14:paraId="5A758CC5">
      <w:pPr>
        <w:autoSpaceDE w:val="0"/>
        <w:autoSpaceDN w:val="0"/>
        <w:adjustRightInd w:val="0"/>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b.</w:t>
      </w:r>
      <w:r>
        <w:rPr>
          <w:rFonts w:hint="eastAsia" w:ascii="宋体" w:hAnsi="宋体" w:eastAsia="宋体" w:cs="宋体"/>
          <w:color w:val="auto"/>
          <w:sz w:val="24"/>
          <w:lang w:val="zh-CN"/>
        </w:rPr>
        <w:t>要求乙方对货物进行免费更换，然后重新测试直至合格为止；</w:t>
      </w:r>
    </w:p>
    <w:p w14:paraId="605D9FB6">
      <w:pPr>
        <w:autoSpaceDE w:val="0"/>
        <w:autoSpaceDN w:val="0"/>
        <w:adjustRightInd w:val="0"/>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lang w:val="zh-CN"/>
        </w:rPr>
        <w:t>无论选择何种方式，甲方因此而发生的因卖方原因引起的所有费用均由乙方负担。</w:t>
      </w:r>
    </w:p>
    <w:p w14:paraId="19FDC842">
      <w:pPr>
        <w:autoSpaceDE w:val="0"/>
        <w:autoSpaceDN w:val="0"/>
        <w:adjustRightInd w:val="0"/>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 xml:space="preserve">11.3  </w:t>
      </w:r>
      <w:r>
        <w:rPr>
          <w:rFonts w:hint="eastAsia" w:ascii="宋体" w:hAnsi="宋体" w:eastAsia="宋体" w:cs="宋体"/>
          <w:color w:val="auto"/>
          <w:sz w:val="24"/>
          <w:lang w:val="zh-CN"/>
        </w:rPr>
        <w:t>使用过程检验</w:t>
      </w:r>
    </w:p>
    <w:p w14:paraId="7698200A">
      <w:pPr>
        <w:autoSpaceDE w:val="0"/>
        <w:autoSpaceDN w:val="0"/>
        <w:adjustRightInd w:val="0"/>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11.3.1</w:t>
      </w:r>
      <w:r>
        <w:rPr>
          <w:rFonts w:hint="eastAsia" w:ascii="宋体" w:hAnsi="宋体" w:eastAsia="宋体" w:cs="宋体"/>
          <w:color w:val="auto"/>
          <w:sz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737FAB53">
      <w:pPr>
        <w:autoSpaceDE w:val="0"/>
        <w:autoSpaceDN w:val="0"/>
        <w:adjustRightInd w:val="0"/>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11.3.2</w:t>
      </w:r>
      <w:r>
        <w:rPr>
          <w:rFonts w:hint="eastAsia" w:ascii="宋体" w:hAnsi="宋体" w:eastAsia="宋体" w:cs="宋体"/>
          <w:color w:val="auto"/>
          <w:sz w:val="24"/>
          <w:lang w:val="zh-CN"/>
        </w:rPr>
        <w:t>如果合同双方对乙方提供的上述试验结果报告的解释有分歧，双方须于出现分歧后</w:t>
      </w:r>
      <w:r>
        <w:rPr>
          <w:rFonts w:hint="eastAsia" w:ascii="宋体" w:hAnsi="宋体" w:eastAsia="宋体" w:cs="宋体"/>
          <w:color w:val="auto"/>
          <w:sz w:val="24"/>
        </w:rPr>
        <w:t>10</w:t>
      </w:r>
      <w:r>
        <w:rPr>
          <w:rFonts w:hint="eastAsia" w:ascii="宋体" w:hAnsi="宋体" w:eastAsia="宋体" w:cs="宋体"/>
          <w:color w:val="auto"/>
          <w:sz w:val="24"/>
          <w:lang w:val="zh-CN"/>
        </w:rPr>
        <w:t>天内给对方声明，以陈述己方的观点。声明须附有关证据。分歧应通过协商解决。</w:t>
      </w:r>
    </w:p>
    <w:p w14:paraId="015AED65">
      <w:pPr>
        <w:autoSpaceDE w:val="0"/>
        <w:autoSpaceDN w:val="0"/>
        <w:adjustRightInd w:val="0"/>
        <w:spacing w:line="360" w:lineRule="auto"/>
        <w:ind w:firstLine="562"/>
        <w:jc w:val="left"/>
        <w:rPr>
          <w:rFonts w:hint="eastAsia" w:ascii="宋体" w:hAnsi="宋体" w:eastAsia="宋体" w:cs="宋体"/>
          <w:b/>
          <w:color w:val="auto"/>
          <w:sz w:val="28"/>
          <w:szCs w:val="28"/>
        </w:rPr>
      </w:pPr>
      <w:bookmarkStart w:id="455" w:name="_Toc24354"/>
      <w:r>
        <w:rPr>
          <w:rFonts w:hint="eastAsia" w:ascii="宋体" w:hAnsi="宋体" w:eastAsia="宋体" w:cs="宋体"/>
          <w:b/>
          <w:color w:val="auto"/>
          <w:sz w:val="28"/>
          <w:szCs w:val="28"/>
        </w:rPr>
        <w:t>12.</w:t>
      </w:r>
      <w:r>
        <w:rPr>
          <w:rFonts w:hint="eastAsia" w:ascii="宋体" w:hAnsi="宋体" w:eastAsia="宋体" w:cs="宋体"/>
          <w:b/>
          <w:color w:val="auto"/>
          <w:sz w:val="28"/>
          <w:szCs w:val="28"/>
          <w:lang w:val="zh-CN"/>
        </w:rPr>
        <w:t>付款条件</w:t>
      </w:r>
      <w:bookmarkEnd w:id="455"/>
    </w:p>
    <w:p w14:paraId="3AD85C3D">
      <w:pPr>
        <w:autoSpaceDE w:val="0"/>
        <w:autoSpaceDN w:val="0"/>
        <w:adjustRightInd w:val="0"/>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lang w:val="zh-CN"/>
        </w:rPr>
        <w:t>本合同条款下的付款方法和条件在“青海省政府采购合同书”中具体规定。</w:t>
      </w:r>
    </w:p>
    <w:p w14:paraId="7C894955">
      <w:pPr>
        <w:autoSpaceDE w:val="0"/>
        <w:autoSpaceDN w:val="0"/>
        <w:adjustRightInd w:val="0"/>
        <w:spacing w:line="360" w:lineRule="auto"/>
        <w:ind w:firstLine="562"/>
        <w:jc w:val="left"/>
        <w:rPr>
          <w:rFonts w:hint="eastAsia" w:ascii="宋体" w:hAnsi="宋体" w:eastAsia="宋体" w:cs="宋体"/>
          <w:b/>
          <w:color w:val="auto"/>
          <w:sz w:val="28"/>
          <w:szCs w:val="28"/>
        </w:rPr>
      </w:pPr>
      <w:bookmarkStart w:id="456" w:name="_Toc20147"/>
      <w:r>
        <w:rPr>
          <w:rFonts w:hint="eastAsia" w:ascii="宋体" w:hAnsi="宋体" w:eastAsia="宋体" w:cs="宋体"/>
          <w:b/>
          <w:color w:val="auto"/>
          <w:sz w:val="28"/>
          <w:szCs w:val="28"/>
        </w:rPr>
        <w:t>13.</w:t>
      </w:r>
      <w:r>
        <w:rPr>
          <w:rFonts w:hint="eastAsia" w:ascii="宋体" w:hAnsi="宋体" w:eastAsia="宋体" w:cs="宋体"/>
          <w:b/>
          <w:color w:val="auto"/>
          <w:sz w:val="28"/>
          <w:szCs w:val="28"/>
          <w:lang w:val="zh-CN"/>
        </w:rPr>
        <w:t>履约保证金</w:t>
      </w:r>
      <w:bookmarkEnd w:id="456"/>
    </w:p>
    <w:p w14:paraId="2B0417E4">
      <w:pPr>
        <w:autoSpaceDE w:val="0"/>
        <w:autoSpaceDN w:val="0"/>
        <w:adjustRightInd w:val="0"/>
        <w:spacing w:line="360" w:lineRule="auto"/>
        <w:ind w:firstLine="562"/>
        <w:jc w:val="left"/>
        <w:rPr>
          <w:rFonts w:hint="eastAsia" w:ascii="宋体" w:hAnsi="宋体" w:eastAsia="宋体" w:cs="宋体"/>
          <w:b/>
          <w:color w:val="auto"/>
          <w:sz w:val="28"/>
          <w:szCs w:val="28"/>
        </w:rPr>
      </w:pPr>
      <w:bookmarkStart w:id="457" w:name="_Toc16037"/>
      <w:r>
        <w:rPr>
          <w:rFonts w:hint="eastAsia" w:ascii="宋体" w:hAnsi="宋体" w:eastAsia="宋体" w:cs="宋体"/>
          <w:b/>
          <w:color w:val="auto"/>
          <w:sz w:val="28"/>
          <w:szCs w:val="28"/>
        </w:rPr>
        <w:t>14.</w:t>
      </w:r>
      <w:r>
        <w:rPr>
          <w:rFonts w:hint="eastAsia" w:ascii="宋体" w:hAnsi="宋体" w:eastAsia="宋体" w:cs="宋体"/>
          <w:b/>
          <w:color w:val="auto"/>
          <w:sz w:val="28"/>
          <w:szCs w:val="28"/>
          <w:lang w:val="zh-CN"/>
        </w:rPr>
        <w:t>索赔</w:t>
      </w:r>
      <w:bookmarkEnd w:id="457"/>
    </w:p>
    <w:p w14:paraId="4D8A4155">
      <w:pPr>
        <w:autoSpaceDE w:val="0"/>
        <w:autoSpaceDN w:val="0"/>
        <w:adjustRightInd w:val="0"/>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14.1</w:t>
      </w:r>
      <w:r>
        <w:rPr>
          <w:rFonts w:hint="eastAsia" w:ascii="宋体" w:hAnsi="宋体" w:eastAsia="宋体" w:cs="宋体"/>
          <w:color w:val="auto"/>
          <w:sz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0FE17787">
      <w:pPr>
        <w:autoSpaceDE w:val="0"/>
        <w:autoSpaceDN w:val="0"/>
        <w:adjustRightInd w:val="0"/>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14.2</w:t>
      </w:r>
      <w:r>
        <w:rPr>
          <w:rFonts w:hint="eastAsia" w:ascii="宋体" w:hAnsi="宋体" w:eastAsia="宋体" w:cs="宋体"/>
          <w:color w:val="auto"/>
          <w:sz w:val="24"/>
          <w:lang w:val="zh-CN"/>
        </w:rPr>
        <w:t>在履约保证期和检验期内，乙方对甲方提出的索赔负有责任，乙方应按照甲方同意的下列一种或多种方式解决索赔事宜：</w:t>
      </w:r>
    </w:p>
    <w:p w14:paraId="15FF8FB1">
      <w:pPr>
        <w:autoSpaceDE w:val="0"/>
        <w:autoSpaceDN w:val="0"/>
        <w:adjustRightInd w:val="0"/>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14.2.1</w:t>
      </w:r>
      <w:r>
        <w:rPr>
          <w:rFonts w:hint="eastAsia" w:ascii="宋体" w:hAnsi="宋体" w:eastAsia="宋体" w:cs="宋体"/>
          <w:color w:val="auto"/>
          <w:sz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1D5DB59C">
      <w:pPr>
        <w:autoSpaceDE w:val="0"/>
        <w:autoSpaceDN w:val="0"/>
        <w:adjustRightInd w:val="0"/>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14.2.2</w:t>
      </w:r>
      <w:r>
        <w:rPr>
          <w:rFonts w:hint="eastAsia" w:ascii="宋体" w:hAnsi="宋体" w:eastAsia="宋体" w:cs="宋体"/>
          <w:color w:val="auto"/>
          <w:sz w:val="24"/>
          <w:lang w:val="zh-CN"/>
        </w:rPr>
        <w:t>根据货物低劣程度、损坏程度以及甲方所遭受损失的数额，经甲乙双方商定降低货物的价格，或由有资质的中介机构评估，以降低后的价格或评估价格为准。</w:t>
      </w:r>
    </w:p>
    <w:p w14:paraId="0C513EA5">
      <w:pPr>
        <w:autoSpaceDE w:val="0"/>
        <w:autoSpaceDN w:val="0"/>
        <w:adjustRightInd w:val="0"/>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14.2.3</w:t>
      </w:r>
      <w:r>
        <w:rPr>
          <w:rFonts w:hint="eastAsia" w:ascii="宋体" w:hAnsi="宋体" w:eastAsia="宋体" w:cs="宋体"/>
          <w:color w:val="auto"/>
          <w:sz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2DCB0BE4">
      <w:pPr>
        <w:autoSpaceDE w:val="0"/>
        <w:autoSpaceDN w:val="0"/>
        <w:adjustRightInd w:val="0"/>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14.3</w:t>
      </w:r>
      <w:r>
        <w:rPr>
          <w:rFonts w:hint="eastAsia" w:ascii="宋体" w:hAnsi="宋体" w:eastAsia="宋体" w:cs="宋体"/>
          <w:color w:val="auto"/>
          <w:sz w:val="24"/>
          <w:lang w:val="zh-CN"/>
        </w:rPr>
        <w:t>乙方收到甲方发出的索赔通知之日起</w:t>
      </w:r>
      <w:r>
        <w:rPr>
          <w:rFonts w:hint="eastAsia" w:ascii="宋体" w:hAnsi="宋体" w:eastAsia="宋体" w:cs="宋体"/>
          <w:color w:val="auto"/>
          <w:sz w:val="24"/>
        </w:rPr>
        <w:t>5</w:t>
      </w:r>
      <w:r>
        <w:rPr>
          <w:rFonts w:hint="eastAsia" w:ascii="宋体" w:hAnsi="宋体" w:eastAsia="宋体" w:cs="宋体"/>
          <w:color w:val="auto"/>
          <w:sz w:val="24"/>
          <w:lang w:val="zh-CN"/>
        </w:rPr>
        <w:t>个工作日内未作答复的，甲方可从合同款或履约保证金中扣回索赔金额，如金额不足以补偿索赔金额，乙方应补足差额部分。</w:t>
      </w:r>
    </w:p>
    <w:p w14:paraId="529AC133">
      <w:pPr>
        <w:autoSpaceDE w:val="0"/>
        <w:autoSpaceDN w:val="0"/>
        <w:adjustRightInd w:val="0"/>
        <w:spacing w:line="360" w:lineRule="auto"/>
        <w:ind w:firstLine="562"/>
        <w:jc w:val="left"/>
        <w:rPr>
          <w:rFonts w:hint="eastAsia" w:ascii="宋体" w:hAnsi="宋体" w:eastAsia="宋体" w:cs="宋体"/>
          <w:b/>
          <w:color w:val="auto"/>
          <w:sz w:val="28"/>
          <w:szCs w:val="28"/>
        </w:rPr>
      </w:pPr>
      <w:bookmarkStart w:id="458" w:name="_Toc23824"/>
      <w:r>
        <w:rPr>
          <w:rFonts w:hint="eastAsia" w:ascii="宋体" w:hAnsi="宋体" w:eastAsia="宋体" w:cs="宋体"/>
          <w:b/>
          <w:color w:val="auto"/>
          <w:sz w:val="28"/>
          <w:szCs w:val="28"/>
        </w:rPr>
        <w:t>15.</w:t>
      </w:r>
      <w:r>
        <w:rPr>
          <w:rFonts w:hint="eastAsia" w:ascii="宋体" w:hAnsi="宋体" w:eastAsia="宋体" w:cs="宋体"/>
          <w:b/>
          <w:color w:val="auto"/>
          <w:sz w:val="28"/>
          <w:szCs w:val="28"/>
          <w:lang w:val="zh-CN"/>
        </w:rPr>
        <w:t>迟延交货</w:t>
      </w:r>
      <w:bookmarkEnd w:id="458"/>
    </w:p>
    <w:p w14:paraId="0787AE03">
      <w:pPr>
        <w:autoSpaceDE w:val="0"/>
        <w:autoSpaceDN w:val="0"/>
        <w:adjustRightInd w:val="0"/>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 xml:space="preserve">15.1 </w:t>
      </w:r>
      <w:r>
        <w:rPr>
          <w:rFonts w:hint="eastAsia" w:ascii="宋体" w:hAnsi="宋体" w:eastAsia="宋体" w:cs="宋体"/>
          <w:color w:val="auto"/>
          <w:sz w:val="24"/>
          <w:lang w:val="zh-CN"/>
        </w:rPr>
        <w:t>乙方应按照合同约定的时间交货和提供服务。</w:t>
      </w:r>
    </w:p>
    <w:p w14:paraId="7B208A9E">
      <w:pPr>
        <w:autoSpaceDE w:val="0"/>
        <w:autoSpaceDN w:val="0"/>
        <w:adjustRightInd w:val="0"/>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 xml:space="preserve">15.2 </w:t>
      </w:r>
      <w:r>
        <w:rPr>
          <w:rFonts w:hint="eastAsia" w:ascii="宋体" w:hAnsi="宋体" w:eastAsia="宋体" w:cs="宋体"/>
          <w:color w:val="auto"/>
          <w:sz w:val="24"/>
          <w:lang w:val="zh-CN"/>
        </w:rPr>
        <w:t>除不可抗力因素外，乙方迟延交货，甲方有权提出违约损失赔偿或解除合同。</w:t>
      </w:r>
    </w:p>
    <w:p w14:paraId="35C15B0D">
      <w:pPr>
        <w:autoSpaceDE w:val="0"/>
        <w:autoSpaceDN w:val="0"/>
        <w:adjustRightInd w:val="0"/>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15.3</w:t>
      </w:r>
      <w:r>
        <w:rPr>
          <w:rFonts w:hint="eastAsia" w:ascii="宋体" w:hAnsi="宋体" w:eastAsia="宋体" w:cs="宋体"/>
          <w:color w:val="auto"/>
          <w:sz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194509BB">
      <w:pPr>
        <w:autoSpaceDE w:val="0"/>
        <w:autoSpaceDN w:val="0"/>
        <w:adjustRightInd w:val="0"/>
        <w:spacing w:line="360" w:lineRule="auto"/>
        <w:ind w:firstLine="562"/>
        <w:jc w:val="left"/>
        <w:rPr>
          <w:rFonts w:hint="eastAsia" w:ascii="宋体" w:hAnsi="宋体" w:eastAsia="宋体" w:cs="宋体"/>
          <w:b/>
          <w:color w:val="auto"/>
          <w:sz w:val="28"/>
          <w:szCs w:val="28"/>
        </w:rPr>
      </w:pPr>
      <w:bookmarkStart w:id="459" w:name="_Toc30841"/>
      <w:r>
        <w:rPr>
          <w:rFonts w:hint="eastAsia" w:ascii="宋体" w:hAnsi="宋体" w:eastAsia="宋体" w:cs="宋体"/>
          <w:b/>
          <w:color w:val="auto"/>
          <w:sz w:val="28"/>
          <w:szCs w:val="28"/>
        </w:rPr>
        <w:t>16.</w:t>
      </w:r>
      <w:r>
        <w:rPr>
          <w:rFonts w:hint="eastAsia" w:ascii="宋体" w:hAnsi="宋体" w:eastAsia="宋体" w:cs="宋体"/>
          <w:b/>
          <w:color w:val="auto"/>
          <w:sz w:val="28"/>
          <w:szCs w:val="28"/>
          <w:lang w:val="zh-CN"/>
        </w:rPr>
        <w:t>违约赔偿</w:t>
      </w:r>
      <w:bookmarkEnd w:id="459"/>
    </w:p>
    <w:p w14:paraId="08477CE6">
      <w:pPr>
        <w:autoSpaceDE w:val="0"/>
        <w:autoSpaceDN w:val="0"/>
        <w:adjustRightInd w:val="0"/>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lang w:val="zh-CN"/>
        </w:rPr>
        <w:t>除不可抗力因素外，乙方没有按照合同规定的时间交货和提供服务，甲方可要求乙方支付违约金。违约金每日按合同总价款的千分之五计收。</w:t>
      </w:r>
    </w:p>
    <w:p w14:paraId="3C4B8503">
      <w:pPr>
        <w:autoSpaceDE w:val="0"/>
        <w:autoSpaceDN w:val="0"/>
        <w:adjustRightInd w:val="0"/>
        <w:spacing w:line="360" w:lineRule="auto"/>
        <w:ind w:firstLine="562"/>
        <w:jc w:val="left"/>
        <w:rPr>
          <w:rFonts w:hint="eastAsia" w:ascii="宋体" w:hAnsi="宋体" w:eastAsia="宋体" w:cs="宋体"/>
          <w:b/>
          <w:color w:val="auto"/>
          <w:sz w:val="28"/>
          <w:szCs w:val="28"/>
        </w:rPr>
      </w:pPr>
      <w:bookmarkStart w:id="460" w:name="_Toc15853"/>
      <w:r>
        <w:rPr>
          <w:rFonts w:hint="eastAsia" w:ascii="宋体" w:hAnsi="宋体" w:eastAsia="宋体" w:cs="宋体"/>
          <w:b/>
          <w:color w:val="auto"/>
          <w:sz w:val="28"/>
          <w:szCs w:val="28"/>
        </w:rPr>
        <w:t>17.</w:t>
      </w:r>
      <w:r>
        <w:rPr>
          <w:rFonts w:hint="eastAsia" w:ascii="宋体" w:hAnsi="宋体" w:eastAsia="宋体" w:cs="宋体"/>
          <w:b/>
          <w:color w:val="auto"/>
          <w:sz w:val="28"/>
          <w:szCs w:val="28"/>
          <w:lang w:val="zh-CN"/>
        </w:rPr>
        <w:t>不可抗力</w:t>
      </w:r>
      <w:bookmarkEnd w:id="460"/>
    </w:p>
    <w:p w14:paraId="57190D13">
      <w:pPr>
        <w:autoSpaceDE w:val="0"/>
        <w:autoSpaceDN w:val="0"/>
        <w:adjustRightInd w:val="0"/>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17.1.</w:t>
      </w:r>
      <w:r>
        <w:rPr>
          <w:rFonts w:hint="eastAsia" w:ascii="宋体" w:hAnsi="宋体" w:eastAsia="宋体" w:cs="宋体"/>
          <w:color w:val="auto"/>
          <w:sz w:val="24"/>
          <w:lang w:val="zh-CN"/>
        </w:rPr>
        <w:t>双方中任何一方遭遇法律规定的不可抗力，致使合同履行受阻时，履行合同的期限应予延长，延长的期限应相当于不可抗力所影响的时间。</w:t>
      </w:r>
    </w:p>
    <w:p w14:paraId="4D237C06">
      <w:pPr>
        <w:autoSpaceDE w:val="0"/>
        <w:autoSpaceDN w:val="0"/>
        <w:adjustRightInd w:val="0"/>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17.2</w:t>
      </w:r>
      <w:r>
        <w:rPr>
          <w:rFonts w:hint="eastAsia" w:ascii="宋体" w:hAnsi="宋体" w:eastAsia="宋体" w:cs="宋体"/>
          <w:color w:val="auto"/>
          <w:sz w:val="24"/>
          <w:lang w:val="zh-CN"/>
        </w:rPr>
        <w:t>受事故影响的一方应在不可抗力的事故发生后以书面形式通知另一方。</w:t>
      </w:r>
    </w:p>
    <w:p w14:paraId="600A8AD0">
      <w:pPr>
        <w:autoSpaceDE w:val="0"/>
        <w:autoSpaceDN w:val="0"/>
        <w:adjustRightInd w:val="0"/>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17.3</w:t>
      </w:r>
      <w:r>
        <w:rPr>
          <w:rFonts w:hint="eastAsia" w:ascii="宋体" w:hAnsi="宋体" w:eastAsia="宋体" w:cs="宋体"/>
          <w:color w:val="auto"/>
          <w:sz w:val="24"/>
          <w:lang w:val="zh-CN"/>
        </w:rPr>
        <w:t>不可抗力使合同的某些内容有变更必要的，双方应通过协商达成进一步履行合同的协议，因不可抗力致使合同不能履行的，合同终止。</w:t>
      </w:r>
    </w:p>
    <w:p w14:paraId="1F82C0BD">
      <w:pPr>
        <w:autoSpaceDE w:val="0"/>
        <w:autoSpaceDN w:val="0"/>
        <w:adjustRightInd w:val="0"/>
        <w:spacing w:line="360" w:lineRule="auto"/>
        <w:ind w:firstLine="562"/>
        <w:jc w:val="left"/>
        <w:rPr>
          <w:rFonts w:hint="eastAsia" w:ascii="宋体" w:hAnsi="宋体" w:eastAsia="宋体" w:cs="宋体"/>
          <w:b/>
          <w:color w:val="auto"/>
          <w:sz w:val="28"/>
          <w:szCs w:val="28"/>
        </w:rPr>
      </w:pPr>
      <w:bookmarkStart w:id="461" w:name="_Toc29557"/>
      <w:r>
        <w:rPr>
          <w:rFonts w:hint="eastAsia" w:ascii="宋体" w:hAnsi="宋体" w:eastAsia="宋体" w:cs="宋体"/>
          <w:b/>
          <w:color w:val="auto"/>
          <w:sz w:val="28"/>
          <w:szCs w:val="28"/>
        </w:rPr>
        <w:t>18.</w:t>
      </w:r>
      <w:r>
        <w:rPr>
          <w:rFonts w:hint="eastAsia" w:ascii="宋体" w:hAnsi="宋体" w:eastAsia="宋体" w:cs="宋体"/>
          <w:b/>
          <w:color w:val="auto"/>
          <w:sz w:val="28"/>
          <w:szCs w:val="28"/>
          <w:lang w:val="zh-CN"/>
        </w:rPr>
        <w:t>税费</w:t>
      </w:r>
      <w:bookmarkEnd w:id="461"/>
    </w:p>
    <w:p w14:paraId="7EABE3FF">
      <w:pPr>
        <w:autoSpaceDE w:val="0"/>
        <w:autoSpaceDN w:val="0"/>
        <w:adjustRightInd w:val="0"/>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lang w:val="zh-CN"/>
        </w:rPr>
        <w:t>与本合同有关的一切税费均由乙方承担。</w:t>
      </w:r>
    </w:p>
    <w:p w14:paraId="39757190">
      <w:pPr>
        <w:autoSpaceDE w:val="0"/>
        <w:autoSpaceDN w:val="0"/>
        <w:adjustRightInd w:val="0"/>
        <w:spacing w:line="360" w:lineRule="auto"/>
        <w:ind w:firstLine="562"/>
        <w:jc w:val="left"/>
        <w:rPr>
          <w:rFonts w:hint="eastAsia" w:ascii="宋体" w:hAnsi="宋体" w:eastAsia="宋体" w:cs="宋体"/>
          <w:b/>
          <w:color w:val="auto"/>
          <w:sz w:val="28"/>
          <w:szCs w:val="28"/>
        </w:rPr>
      </w:pPr>
      <w:bookmarkStart w:id="462" w:name="_Toc6752"/>
      <w:r>
        <w:rPr>
          <w:rFonts w:hint="eastAsia" w:ascii="宋体" w:hAnsi="宋体" w:eastAsia="宋体" w:cs="宋体"/>
          <w:b/>
          <w:color w:val="auto"/>
          <w:sz w:val="28"/>
          <w:szCs w:val="28"/>
        </w:rPr>
        <w:t>19.</w:t>
      </w:r>
      <w:r>
        <w:rPr>
          <w:rFonts w:hint="eastAsia" w:ascii="宋体" w:hAnsi="宋体" w:eastAsia="宋体" w:cs="宋体"/>
          <w:b/>
          <w:color w:val="auto"/>
          <w:sz w:val="28"/>
          <w:szCs w:val="28"/>
          <w:lang w:val="zh-CN"/>
        </w:rPr>
        <w:t>合同争议的解决</w:t>
      </w:r>
      <w:bookmarkEnd w:id="462"/>
    </w:p>
    <w:p w14:paraId="6D2A9829">
      <w:pPr>
        <w:autoSpaceDE w:val="0"/>
        <w:autoSpaceDN w:val="0"/>
        <w:adjustRightInd w:val="0"/>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19.1</w:t>
      </w:r>
      <w:r>
        <w:rPr>
          <w:rFonts w:hint="eastAsia" w:ascii="宋体" w:hAnsi="宋体" w:eastAsia="宋体" w:cs="宋体"/>
          <w:color w:val="auto"/>
          <w:sz w:val="24"/>
          <w:lang w:val="zh-CN"/>
        </w:rPr>
        <w:t>甲方和乙方由于本合同的履行而发生任何争议时，双方可先通过协商解决。</w:t>
      </w:r>
    </w:p>
    <w:p w14:paraId="136EFAA9">
      <w:pPr>
        <w:autoSpaceDE w:val="0"/>
        <w:autoSpaceDN w:val="0"/>
        <w:adjustRightInd w:val="0"/>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19.2</w:t>
      </w:r>
      <w:r>
        <w:rPr>
          <w:rFonts w:hint="eastAsia" w:ascii="宋体" w:hAnsi="宋体" w:eastAsia="宋体" w:cs="宋体"/>
          <w:color w:val="auto"/>
          <w:sz w:val="24"/>
          <w:lang w:val="zh-CN"/>
        </w:rPr>
        <w:t>任何一方不愿通过协商或通过协商仍不能解决争议，则双方中任何一方均应向甲方所在地人民法院起诉。</w:t>
      </w:r>
    </w:p>
    <w:p w14:paraId="6062819A">
      <w:pPr>
        <w:autoSpaceDE w:val="0"/>
        <w:autoSpaceDN w:val="0"/>
        <w:adjustRightInd w:val="0"/>
        <w:spacing w:line="360" w:lineRule="auto"/>
        <w:ind w:firstLine="562"/>
        <w:jc w:val="left"/>
        <w:rPr>
          <w:rFonts w:hint="eastAsia" w:ascii="宋体" w:hAnsi="宋体" w:eastAsia="宋体" w:cs="宋体"/>
          <w:b/>
          <w:color w:val="auto"/>
          <w:sz w:val="28"/>
          <w:szCs w:val="28"/>
        </w:rPr>
      </w:pPr>
      <w:bookmarkStart w:id="463" w:name="_Toc905"/>
      <w:r>
        <w:rPr>
          <w:rFonts w:hint="eastAsia" w:ascii="宋体" w:hAnsi="宋体" w:eastAsia="宋体" w:cs="宋体"/>
          <w:b/>
          <w:color w:val="auto"/>
          <w:sz w:val="28"/>
          <w:szCs w:val="28"/>
        </w:rPr>
        <w:t>20.</w:t>
      </w:r>
      <w:r>
        <w:rPr>
          <w:rFonts w:hint="eastAsia" w:ascii="宋体" w:hAnsi="宋体" w:eastAsia="宋体" w:cs="宋体"/>
          <w:b/>
          <w:color w:val="auto"/>
          <w:sz w:val="28"/>
          <w:szCs w:val="28"/>
          <w:lang w:val="zh-CN"/>
        </w:rPr>
        <w:t>违约解除合同</w:t>
      </w:r>
      <w:bookmarkEnd w:id="463"/>
    </w:p>
    <w:p w14:paraId="7B34FF99">
      <w:pPr>
        <w:autoSpaceDE w:val="0"/>
        <w:autoSpaceDN w:val="0"/>
        <w:adjustRightInd w:val="0"/>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20.1</w:t>
      </w:r>
      <w:r>
        <w:rPr>
          <w:rFonts w:hint="eastAsia" w:ascii="宋体" w:hAnsi="宋体" w:eastAsia="宋体" w:cs="宋体"/>
          <w:color w:val="auto"/>
          <w:sz w:val="24"/>
          <w:lang w:val="zh-CN"/>
        </w:rPr>
        <w:t>出现下列情形之一的，视为乙方违约。甲方可向乙方发出书面通知，部分或全部终止合同，同时保留向乙方索赔的权利。</w:t>
      </w:r>
    </w:p>
    <w:p w14:paraId="2AB3F8A5">
      <w:pPr>
        <w:autoSpaceDE w:val="0"/>
        <w:autoSpaceDN w:val="0"/>
        <w:adjustRightInd w:val="0"/>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20.1.1</w:t>
      </w:r>
      <w:r>
        <w:rPr>
          <w:rFonts w:hint="eastAsia" w:ascii="宋体" w:hAnsi="宋体" w:eastAsia="宋体" w:cs="宋体"/>
          <w:color w:val="auto"/>
          <w:sz w:val="24"/>
          <w:lang w:val="zh-CN"/>
        </w:rPr>
        <w:t>乙方未能在合同规定的限期或甲方同意延长的限期内，提供全部或部分货物的；</w:t>
      </w:r>
    </w:p>
    <w:p w14:paraId="6BA402D8">
      <w:pPr>
        <w:autoSpaceDE w:val="0"/>
        <w:autoSpaceDN w:val="0"/>
        <w:adjustRightInd w:val="0"/>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20.1.2</w:t>
      </w:r>
      <w:r>
        <w:rPr>
          <w:rFonts w:hint="eastAsia" w:ascii="宋体" w:hAnsi="宋体" w:eastAsia="宋体" w:cs="宋体"/>
          <w:color w:val="auto"/>
          <w:sz w:val="24"/>
          <w:lang w:val="zh-CN"/>
        </w:rPr>
        <w:t>乙方未能履行合同规定的其它主要义务的；</w:t>
      </w:r>
    </w:p>
    <w:p w14:paraId="2A741A9B">
      <w:pPr>
        <w:autoSpaceDE w:val="0"/>
        <w:autoSpaceDN w:val="0"/>
        <w:adjustRightInd w:val="0"/>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20.1.3</w:t>
      </w:r>
      <w:r>
        <w:rPr>
          <w:rFonts w:hint="eastAsia" w:ascii="宋体" w:hAnsi="宋体" w:eastAsia="宋体" w:cs="宋体"/>
          <w:color w:val="auto"/>
          <w:sz w:val="24"/>
          <w:lang w:val="zh-CN"/>
        </w:rPr>
        <w:t>乙方在本合同履行过程中有欺诈行为的。</w:t>
      </w:r>
    </w:p>
    <w:p w14:paraId="1EA92BF6">
      <w:pPr>
        <w:autoSpaceDE w:val="0"/>
        <w:autoSpaceDN w:val="0"/>
        <w:adjustRightInd w:val="0"/>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20.2</w:t>
      </w:r>
      <w:r>
        <w:rPr>
          <w:rFonts w:hint="eastAsia" w:ascii="宋体" w:hAnsi="宋体" w:eastAsia="宋体" w:cs="宋体"/>
          <w:color w:val="auto"/>
          <w:sz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66133583">
      <w:pPr>
        <w:autoSpaceDE w:val="0"/>
        <w:autoSpaceDN w:val="0"/>
        <w:adjustRightInd w:val="0"/>
        <w:spacing w:line="360" w:lineRule="auto"/>
        <w:ind w:firstLine="562"/>
        <w:jc w:val="left"/>
        <w:rPr>
          <w:rFonts w:hint="eastAsia" w:ascii="宋体" w:hAnsi="宋体" w:eastAsia="宋体" w:cs="宋体"/>
          <w:b/>
          <w:color w:val="auto"/>
          <w:sz w:val="28"/>
          <w:szCs w:val="28"/>
        </w:rPr>
      </w:pPr>
      <w:bookmarkStart w:id="464" w:name="_Toc20739"/>
      <w:r>
        <w:rPr>
          <w:rFonts w:hint="eastAsia" w:ascii="宋体" w:hAnsi="宋体" w:eastAsia="宋体" w:cs="宋体"/>
          <w:b/>
          <w:color w:val="auto"/>
          <w:sz w:val="28"/>
          <w:szCs w:val="28"/>
        </w:rPr>
        <w:t>21.</w:t>
      </w:r>
      <w:r>
        <w:rPr>
          <w:rFonts w:hint="eastAsia" w:ascii="宋体" w:hAnsi="宋体" w:eastAsia="宋体" w:cs="宋体"/>
          <w:b/>
          <w:color w:val="auto"/>
          <w:sz w:val="28"/>
          <w:szCs w:val="28"/>
          <w:lang w:val="zh-CN"/>
        </w:rPr>
        <w:t>破产终止合同</w:t>
      </w:r>
      <w:bookmarkEnd w:id="464"/>
    </w:p>
    <w:p w14:paraId="7F0D4206">
      <w:pPr>
        <w:autoSpaceDE w:val="0"/>
        <w:autoSpaceDN w:val="0"/>
        <w:adjustRightInd w:val="0"/>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lang w:val="zh-CN"/>
        </w:rPr>
        <w:t>乙方破产而无法完全履行本合同义务时，甲方可以书面方式通知乙方终止合同而不给予乙方补偿。该合同的终止将不损害或不影响甲方已经采取或将要采取任何行动或补救措施的权利。</w:t>
      </w:r>
    </w:p>
    <w:p w14:paraId="151E9B71">
      <w:pPr>
        <w:autoSpaceDE w:val="0"/>
        <w:autoSpaceDN w:val="0"/>
        <w:adjustRightInd w:val="0"/>
        <w:spacing w:line="360" w:lineRule="auto"/>
        <w:ind w:firstLine="562"/>
        <w:jc w:val="left"/>
        <w:rPr>
          <w:rFonts w:hint="eastAsia" w:ascii="宋体" w:hAnsi="宋体" w:eastAsia="宋体" w:cs="宋体"/>
          <w:b/>
          <w:color w:val="auto"/>
          <w:sz w:val="28"/>
          <w:szCs w:val="28"/>
        </w:rPr>
      </w:pPr>
      <w:bookmarkStart w:id="465" w:name="_Toc9636"/>
      <w:r>
        <w:rPr>
          <w:rFonts w:hint="eastAsia" w:ascii="宋体" w:hAnsi="宋体" w:eastAsia="宋体" w:cs="宋体"/>
          <w:b/>
          <w:color w:val="auto"/>
          <w:sz w:val="28"/>
          <w:szCs w:val="28"/>
        </w:rPr>
        <w:t>22.</w:t>
      </w:r>
      <w:r>
        <w:rPr>
          <w:rFonts w:hint="eastAsia" w:ascii="宋体" w:hAnsi="宋体" w:eastAsia="宋体" w:cs="宋体"/>
          <w:b/>
          <w:color w:val="auto"/>
          <w:sz w:val="28"/>
          <w:szCs w:val="28"/>
          <w:lang w:val="zh-CN"/>
        </w:rPr>
        <w:t>转让和分包</w:t>
      </w:r>
      <w:bookmarkEnd w:id="465"/>
    </w:p>
    <w:p w14:paraId="75023D3F">
      <w:pPr>
        <w:autoSpaceDE w:val="0"/>
        <w:autoSpaceDN w:val="0"/>
        <w:adjustRightInd w:val="0"/>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22.1</w:t>
      </w:r>
      <w:r>
        <w:rPr>
          <w:rFonts w:hint="eastAsia" w:ascii="宋体" w:hAnsi="宋体" w:eastAsia="宋体" w:cs="宋体"/>
          <w:color w:val="auto"/>
          <w:sz w:val="24"/>
          <w:lang w:val="zh-CN"/>
        </w:rPr>
        <w:t>政府采购合同不能转让。</w:t>
      </w:r>
    </w:p>
    <w:p w14:paraId="4B771C92">
      <w:pPr>
        <w:autoSpaceDE w:val="0"/>
        <w:autoSpaceDN w:val="0"/>
        <w:adjustRightInd w:val="0"/>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22.2</w:t>
      </w:r>
      <w:r>
        <w:rPr>
          <w:rFonts w:hint="eastAsia" w:ascii="宋体" w:hAnsi="宋体" w:eastAsia="宋体" w:cs="宋体"/>
          <w:color w:val="auto"/>
          <w:sz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043612BC">
      <w:pPr>
        <w:autoSpaceDE w:val="0"/>
        <w:autoSpaceDN w:val="0"/>
        <w:adjustRightInd w:val="0"/>
        <w:spacing w:line="360" w:lineRule="auto"/>
        <w:ind w:firstLine="562"/>
        <w:jc w:val="left"/>
        <w:rPr>
          <w:rFonts w:hint="eastAsia" w:ascii="宋体" w:hAnsi="宋体" w:eastAsia="宋体" w:cs="宋体"/>
          <w:b/>
          <w:color w:val="auto"/>
          <w:sz w:val="28"/>
          <w:szCs w:val="28"/>
        </w:rPr>
      </w:pPr>
      <w:bookmarkStart w:id="466" w:name="_Toc10433"/>
      <w:r>
        <w:rPr>
          <w:rFonts w:hint="eastAsia" w:ascii="宋体" w:hAnsi="宋体" w:eastAsia="宋体" w:cs="宋体"/>
          <w:b/>
          <w:color w:val="auto"/>
          <w:sz w:val="28"/>
          <w:szCs w:val="28"/>
        </w:rPr>
        <w:t>23.</w:t>
      </w:r>
      <w:r>
        <w:rPr>
          <w:rFonts w:hint="eastAsia" w:ascii="宋体" w:hAnsi="宋体" w:eastAsia="宋体" w:cs="宋体"/>
          <w:b/>
          <w:color w:val="auto"/>
          <w:sz w:val="28"/>
          <w:szCs w:val="28"/>
          <w:lang w:val="zh-CN"/>
        </w:rPr>
        <w:t>合同修改</w:t>
      </w:r>
      <w:bookmarkEnd w:id="466"/>
    </w:p>
    <w:p w14:paraId="081F4857">
      <w:pPr>
        <w:autoSpaceDE w:val="0"/>
        <w:autoSpaceDN w:val="0"/>
        <w:adjustRightInd w:val="0"/>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lang w:val="zh-CN"/>
        </w:rPr>
        <w:t>甲方和乙方都不得擅自变更本合同，但合同继续履行将损害国家和社会公共利益的除外。如必须对合同条款进行改动时，当事人双方须共同签署书面文件，做为合同的补充。</w:t>
      </w:r>
    </w:p>
    <w:p w14:paraId="6D47C2E7">
      <w:pPr>
        <w:autoSpaceDE w:val="0"/>
        <w:autoSpaceDN w:val="0"/>
        <w:adjustRightInd w:val="0"/>
        <w:spacing w:line="360" w:lineRule="auto"/>
        <w:ind w:firstLine="562"/>
        <w:jc w:val="left"/>
        <w:rPr>
          <w:rFonts w:hint="eastAsia" w:ascii="宋体" w:hAnsi="宋体" w:eastAsia="宋体" w:cs="宋体"/>
          <w:b/>
          <w:color w:val="auto"/>
          <w:sz w:val="28"/>
          <w:szCs w:val="28"/>
        </w:rPr>
      </w:pPr>
      <w:bookmarkStart w:id="467" w:name="_Toc13276"/>
      <w:r>
        <w:rPr>
          <w:rFonts w:hint="eastAsia" w:ascii="宋体" w:hAnsi="宋体" w:eastAsia="宋体" w:cs="宋体"/>
          <w:b/>
          <w:color w:val="auto"/>
          <w:sz w:val="28"/>
          <w:szCs w:val="28"/>
        </w:rPr>
        <w:t>24.</w:t>
      </w:r>
      <w:r>
        <w:rPr>
          <w:rFonts w:hint="eastAsia" w:ascii="宋体" w:hAnsi="宋体" w:eastAsia="宋体" w:cs="宋体"/>
          <w:b/>
          <w:color w:val="auto"/>
          <w:sz w:val="28"/>
          <w:szCs w:val="28"/>
          <w:lang w:val="zh-CN"/>
        </w:rPr>
        <w:t>通知</w:t>
      </w:r>
      <w:bookmarkEnd w:id="467"/>
    </w:p>
    <w:p w14:paraId="595570DA">
      <w:pPr>
        <w:autoSpaceDE w:val="0"/>
        <w:autoSpaceDN w:val="0"/>
        <w:adjustRightInd w:val="0"/>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lang w:val="zh-CN"/>
        </w:rPr>
        <w:t>本合同任何一方给另一方的通知，都应以书面形式发送，而另一方也应以书面形式确认并发送到对方明确的地址。</w:t>
      </w:r>
    </w:p>
    <w:p w14:paraId="09BF3F73">
      <w:pPr>
        <w:autoSpaceDE w:val="0"/>
        <w:autoSpaceDN w:val="0"/>
        <w:adjustRightInd w:val="0"/>
        <w:spacing w:line="360" w:lineRule="auto"/>
        <w:ind w:firstLine="562"/>
        <w:jc w:val="left"/>
        <w:rPr>
          <w:rFonts w:hint="eastAsia" w:ascii="宋体" w:hAnsi="宋体" w:eastAsia="宋体" w:cs="宋体"/>
          <w:b/>
          <w:color w:val="auto"/>
          <w:sz w:val="28"/>
          <w:szCs w:val="28"/>
        </w:rPr>
      </w:pPr>
      <w:bookmarkStart w:id="468" w:name="_Toc20195"/>
      <w:r>
        <w:rPr>
          <w:rFonts w:hint="eastAsia" w:ascii="宋体" w:hAnsi="宋体" w:eastAsia="宋体" w:cs="宋体"/>
          <w:b/>
          <w:color w:val="auto"/>
          <w:sz w:val="28"/>
          <w:szCs w:val="28"/>
        </w:rPr>
        <w:t>25.</w:t>
      </w:r>
      <w:r>
        <w:rPr>
          <w:rFonts w:hint="eastAsia" w:ascii="宋体" w:hAnsi="宋体" w:eastAsia="宋体" w:cs="宋体"/>
          <w:b/>
          <w:color w:val="auto"/>
          <w:sz w:val="28"/>
          <w:szCs w:val="28"/>
          <w:lang w:val="zh-CN"/>
        </w:rPr>
        <w:t>计量单位</w:t>
      </w:r>
      <w:bookmarkEnd w:id="468"/>
    </w:p>
    <w:p w14:paraId="712B0FCD">
      <w:pPr>
        <w:autoSpaceDE w:val="0"/>
        <w:autoSpaceDN w:val="0"/>
        <w:adjustRightInd w:val="0"/>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lang w:val="zh-CN"/>
        </w:rPr>
        <w:t>除技术规范中另有规定外</w:t>
      </w:r>
      <w:r>
        <w:rPr>
          <w:rFonts w:hint="eastAsia" w:ascii="宋体" w:hAnsi="宋体" w:eastAsia="宋体" w:cs="宋体"/>
          <w:color w:val="auto"/>
          <w:sz w:val="24"/>
        </w:rPr>
        <w:t>,</w:t>
      </w:r>
      <w:r>
        <w:rPr>
          <w:rFonts w:hint="eastAsia" w:ascii="宋体" w:hAnsi="宋体" w:eastAsia="宋体" w:cs="宋体"/>
          <w:color w:val="auto"/>
          <w:sz w:val="24"/>
          <w:lang w:val="zh-CN"/>
        </w:rPr>
        <w:t>计量单位均使用国家法定计量单位。</w:t>
      </w:r>
    </w:p>
    <w:p w14:paraId="517D583E">
      <w:pPr>
        <w:autoSpaceDE w:val="0"/>
        <w:autoSpaceDN w:val="0"/>
        <w:adjustRightInd w:val="0"/>
        <w:spacing w:line="360" w:lineRule="auto"/>
        <w:ind w:firstLine="562"/>
        <w:jc w:val="left"/>
        <w:rPr>
          <w:rFonts w:hint="eastAsia" w:ascii="宋体" w:hAnsi="宋体" w:eastAsia="宋体" w:cs="宋体"/>
          <w:b/>
          <w:color w:val="auto"/>
          <w:sz w:val="28"/>
          <w:szCs w:val="28"/>
        </w:rPr>
      </w:pPr>
      <w:bookmarkStart w:id="469" w:name="_Toc7093"/>
      <w:r>
        <w:rPr>
          <w:rFonts w:hint="eastAsia" w:ascii="宋体" w:hAnsi="宋体" w:eastAsia="宋体" w:cs="宋体"/>
          <w:b/>
          <w:color w:val="auto"/>
          <w:sz w:val="28"/>
          <w:szCs w:val="28"/>
        </w:rPr>
        <w:t>26.</w:t>
      </w:r>
      <w:r>
        <w:rPr>
          <w:rFonts w:hint="eastAsia" w:ascii="宋体" w:hAnsi="宋体" w:eastAsia="宋体" w:cs="宋体"/>
          <w:b/>
          <w:color w:val="auto"/>
          <w:sz w:val="28"/>
          <w:szCs w:val="28"/>
          <w:lang w:val="zh-CN"/>
        </w:rPr>
        <w:t>适用法律</w:t>
      </w:r>
      <w:bookmarkEnd w:id="469"/>
    </w:p>
    <w:p w14:paraId="43989D94">
      <w:pPr>
        <w:autoSpaceDE w:val="0"/>
        <w:autoSpaceDN w:val="0"/>
        <w:adjustRightInd w:val="0"/>
        <w:spacing w:line="360" w:lineRule="auto"/>
        <w:ind w:firstLine="480"/>
        <w:jc w:val="left"/>
        <w:rPr>
          <w:rFonts w:hint="eastAsia" w:ascii="宋体" w:hAnsi="宋体" w:eastAsia="宋体" w:cs="宋体"/>
          <w:color w:val="auto"/>
          <w:sz w:val="28"/>
          <w:szCs w:val="28"/>
        </w:rPr>
      </w:pPr>
      <w:r>
        <w:rPr>
          <w:rFonts w:hint="eastAsia" w:ascii="宋体" w:hAnsi="宋体" w:eastAsia="宋体" w:cs="宋体"/>
          <w:color w:val="auto"/>
          <w:sz w:val="24"/>
          <w:lang w:val="zh-CN"/>
        </w:rPr>
        <w:t>本合同按照中华人民共和国的相关法律进行解释。</w:t>
      </w:r>
    </w:p>
    <w:p w14:paraId="2D51480F">
      <w:pPr>
        <w:pStyle w:val="17"/>
        <w:spacing w:before="0" w:beforeLines="0" w:after="0" w:afterLines="0" w:line="360" w:lineRule="auto"/>
        <w:jc w:val="both"/>
        <w:outlineLvl w:val="0"/>
        <w:rPr>
          <w:rFonts w:hint="eastAsia" w:ascii="宋体" w:hAnsi="宋体" w:eastAsia="宋体" w:cs="宋体"/>
          <w:color w:val="auto"/>
          <w:highlight w:val="none"/>
        </w:rPr>
      </w:pPr>
      <w:r>
        <w:rPr>
          <w:rFonts w:hint="eastAsia" w:ascii="宋体" w:hAnsi="宋体" w:eastAsia="宋体" w:cs="宋体"/>
          <w:color w:val="auto"/>
          <w:highlight w:val="none"/>
        </w:rPr>
        <w:br w:type="page"/>
      </w:r>
      <w:bookmarkEnd w:id="442"/>
      <w:bookmarkEnd w:id="443"/>
    </w:p>
    <w:p w14:paraId="291F13E6">
      <w:pPr>
        <w:pStyle w:val="17"/>
        <w:spacing w:before="0" w:beforeLines="0" w:after="0" w:afterLines="0" w:line="360" w:lineRule="auto"/>
        <w:outlineLvl w:val="0"/>
        <w:rPr>
          <w:rFonts w:hint="eastAsia" w:ascii="宋体" w:hAnsi="宋体" w:eastAsia="宋体" w:cs="宋体"/>
          <w:color w:val="auto"/>
          <w:highlight w:val="none"/>
        </w:rPr>
      </w:pPr>
    </w:p>
    <w:p w14:paraId="35B1B407">
      <w:pPr>
        <w:pStyle w:val="17"/>
        <w:spacing w:before="0" w:beforeLines="0" w:after="0" w:afterLines="0" w:line="360" w:lineRule="auto"/>
        <w:outlineLvl w:val="0"/>
        <w:rPr>
          <w:rFonts w:hint="eastAsia" w:ascii="宋体" w:hAnsi="宋体" w:eastAsia="宋体" w:cs="宋体"/>
          <w:color w:val="auto"/>
          <w:highlight w:val="none"/>
        </w:rPr>
      </w:pPr>
    </w:p>
    <w:p w14:paraId="7ADE7BEC">
      <w:pPr>
        <w:pStyle w:val="17"/>
        <w:spacing w:before="0" w:beforeLines="0" w:after="0" w:afterLines="0" w:line="360" w:lineRule="auto"/>
        <w:outlineLvl w:val="0"/>
        <w:rPr>
          <w:rFonts w:hint="eastAsia" w:ascii="宋体" w:hAnsi="宋体" w:eastAsia="宋体" w:cs="宋体"/>
          <w:color w:val="auto"/>
          <w:highlight w:val="none"/>
        </w:rPr>
      </w:pPr>
    </w:p>
    <w:p w14:paraId="6CA17B89">
      <w:pPr>
        <w:pStyle w:val="17"/>
        <w:spacing w:before="0" w:beforeLines="0" w:after="0" w:afterLines="0" w:line="360" w:lineRule="auto"/>
        <w:outlineLvl w:val="0"/>
        <w:rPr>
          <w:rFonts w:hint="eastAsia" w:ascii="宋体" w:hAnsi="宋体" w:eastAsia="宋体" w:cs="宋体"/>
          <w:color w:val="auto"/>
          <w:highlight w:val="none"/>
        </w:rPr>
      </w:pPr>
    </w:p>
    <w:p w14:paraId="3E0F7941">
      <w:pPr>
        <w:pStyle w:val="17"/>
        <w:spacing w:before="0" w:beforeLines="0" w:after="0" w:afterLines="0" w:line="360" w:lineRule="auto"/>
        <w:outlineLvl w:val="0"/>
        <w:rPr>
          <w:rFonts w:hint="eastAsia" w:ascii="宋体" w:hAnsi="宋体" w:eastAsia="宋体" w:cs="宋体"/>
          <w:color w:val="auto"/>
          <w:highlight w:val="none"/>
        </w:rPr>
      </w:pPr>
    </w:p>
    <w:p w14:paraId="4461391D">
      <w:pPr>
        <w:pStyle w:val="17"/>
        <w:spacing w:before="0" w:beforeLines="0" w:after="0" w:afterLines="0" w:line="360" w:lineRule="auto"/>
        <w:outlineLvl w:val="0"/>
        <w:rPr>
          <w:rFonts w:hint="eastAsia" w:ascii="宋体" w:hAnsi="宋体" w:eastAsia="宋体" w:cs="宋体"/>
          <w:color w:val="auto"/>
          <w:highlight w:val="none"/>
        </w:rPr>
      </w:pPr>
    </w:p>
    <w:p w14:paraId="045F7DDC">
      <w:pPr>
        <w:pStyle w:val="17"/>
        <w:spacing w:before="0" w:beforeLines="0" w:after="0" w:afterLines="0" w:line="360" w:lineRule="auto"/>
        <w:outlineLvl w:val="0"/>
        <w:rPr>
          <w:rFonts w:hint="eastAsia" w:ascii="宋体" w:hAnsi="宋体" w:eastAsia="宋体" w:cs="宋体"/>
          <w:color w:val="auto"/>
          <w:highlight w:val="none"/>
        </w:rPr>
      </w:pPr>
      <w:bookmarkStart w:id="470" w:name="_Toc15345"/>
      <w:r>
        <w:rPr>
          <w:rFonts w:hint="eastAsia" w:ascii="宋体" w:hAnsi="宋体" w:eastAsia="宋体" w:cs="宋体"/>
          <w:color w:val="auto"/>
          <w:sz w:val="48"/>
          <w:highlight w:val="none"/>
        </w:rPr>
        <w:t>第五部分 磋商响应文件格式</w:t>
      </w:r>
      <w:bookmarkEnd w:id="392"/>
      <w:bookmarkEnd w:id="393"/>
      <w:bookmarkEnd w:id="394"/>
      <w:bookmarkEnd w:id="395"/>
      <w:bookmarkEnd w:id="396"/>
      <w:bookmarkEnd w:id="397"/>
      <w:bookmarkEnd w:id="470"/>
    </w:p>
    <w:p w14:paraId="4781AB1B">
      <w:pPr>
        <w:spacing w:line="360" w:lineRule="auto"/>
        <w:jc w:val="left"/>
        <w:rPr>
          <w:rFonts w:hint="eastAsia" w:ascii="宋体" w:hAnsi="宋体" w:eastAsia="宋体" w:cs="宋体"/>
          <w:color w:val="auto"/>
          <w:sz w:val="32"/>
          <w:highlight w:val="none"/>
        </w:rPr>
      </w:pPr>
    </w:p>
    <w:p w14:paraId="49E5A377">
      <w:pPr>
        <w:pStyle w:val="4"/>
        <w:numPr>
          <w:ilvl w:val="2"/>
          <w:numId w:val="0"/>
        </w:numPr>
        <w:spacing w:line="360" w:lineRule="auto"/>
        <w:ind w:left="709" w:hanging="709"/>
        <w:jc w:val="left"/>
        <w:rPr>
          <w:rFonts w:hint="eastAsia" w:ascii="宋体" w:hAnsi="宋体" w:eastAsia="宋体" w:cs="宋体"/>
          <w:b/>
          <w:color w:val="auto"/>
          <w:sz w:val="32"/>
          <w:highlight w:val="none"/>
          <w:lang w:val="zh-CN"/>
        </w:rPr>
      </w:pPr>
      <w:r>
        <w:rPr>
          <w:rFonts w:hint="eastAsia" w:ascii="宋体" w:hAnsi="宋体" w:eastAsia="宋体" w:cs="宋体"/>
          <w:color w:val="auto"/>
          <w:szCs w:val="28"/>
          <w:highlight w:val="none"/>
          <w:lang w:val="zh-CN"/>
        </w:rPr>
        <w:br w:type="page"/>
      </w:r>
      <w:bookmarkStart w:id="471" w:name="_Toc20040"/>
      <w:bookmarkStart w:id="472" w:name="_Toc18335"/>
      <w:bookmarkStart w:id="473" w:name="_Toc12217"/>
      <w:bookmarkStart w:id="474" w:name="_Toc8824"/>
      <w:bookmarkStart w:id="475" w:name="_Toc11587"/>
      <w:r>
        <w:rPr>
          <w:rFonts w:hint="eastAsia" w:ascii="宋体" w:hAnsi="宋体" w:eastAsia="宋体" w:cs="宋体"/>
          <w:b/>
          <w:color w:val="auto"/>
          <w:sz w:val="32"/>
          <w:highlight w:val="none"/>
          <w:lang w:val="zh-CN"/>
        </w:rPr>
        <w:t>磋商响应文件封面</w:t>
      </w:r>
      <w:bookmarkEnd w:id="471"/>
      <w:bookmarkEnd w:id="472"/>
      <w:bookmarkEnd w:id="473"/>
      <w:bookmarkEnd w:id="474"/>
      <w:bookmarkEnd w:id="475"/>
    </w:p>
    <w:p w14:paraId="016C2BE9">
      <w:pPr>
        <w:spacing w:line="360" w:lineRule="auto"/>
        <w:jc w:val="right"/>
        <w:outlineLvl w:val="2"/>
        <w:rPr>
          <w:rFonts w:hint="eastAsia" w:ascii="宋体" w:hAnsi="宋体" w:eastAsia="宋体" w:cs="宋体"/>
          <w:color w:val="auto"/>
          <w:sz w:val="32"/>
          <w:highlight w:val="none"/>
        </w:rPr>
      </w:pPr>
      <w:bookmarkStart w:id="476" w:name="_Toc7367"/>
      <w:r>
        <w:rPr>
          <w:rFonts w:hint="eastAsia" w:ascii="宋体" w:hAnsi="宋体" w:eastAsia="宋体" w:cs="宋体"/>
          <w:b/>
          <w:bCs/>
          <w:color w:val="auto"/>
          <w:sz w:val="36"/>
          <w:szCs w:val="36"/>
          <w:highlight w:val="none"/>
        </w:rPr>
        <w:t>正本/副本</w:t>
      </w:r>
      <w:bookmarkEnd w:id="476"/>
    </w:p>
    <w:p w14:paraId="6E8D7103">
      <w:pPr>
        <w:spacing w:line="360" w:lineRule="auto"/>
        <w:jc w:val="left"/>
        <w:rPr>
          <w:rFonts w:hint="eastAsia" w:ascii="宋体" w:hAnsi="宋体" w:eastAsia="宋体" w:cs="宋体"/>
          <w:color w:val="auto"/>
          <w:sz w:val="32"/>
          <w:highlight w:val="none"/>
        </w:rPr>
      </w:pPr>
    </w:p>
    <w:p w14:paraId="4FEB932A">
      <w:pPr>
        <w:spacing w:line="360" w:lineRule="auto"/>
        <w:jc w:val="left"/>
        <w:rPr>
          <w:rFonts w:hint="eastAsia" w:ascii="宋体" w:hAnsi="宋体" w:eastAsia="宋体" w:cs="宋体"/>
          <w:color w:val="auto"/>
          <w:sz w:val="32"/>
          <w:highlight w:val="none"/>
        </w:rPr>
      </w:pPr>
    </w:p>
    <w:p w14:paraId="196B3B6E">
      <w:pPr>
        <w:spacing w:line="360" w:lineRule="auto"/>
        <w:jc w:val="left"/>
        <w:rPr>
          <w:rFonts w:hint="eastAsia" w:ascii="宋体" w:hAnsi="宋体" w:eastAsia="宋体" w:cs="宋体"/>
          <w:b/>
          <w:color w:val="auto"/>
          <w:sz w:val="72"/>
          <w:highlight w:val="none"/>
        </w:rPr>
      </w:pPr>
    </w:p>
    <w:p w14:paraId="246297DA">
      <w:pPr>
        <w:spacing w:line="360" w:lineRule="auto"/>
        <w:jc w:val="center"/>
        <w:outlineLvl w:val="2"/>
        <w:rPr>
          <w:rFonts w:hint="eastAsia" w:ascii="宋体" w:hAnsi="宋体" w:eastAsia="宋体" w:cs="宋体"/>
          <w:b/>
          <w:color w:val="auto"/>
          <w:sz w:val="96"/>
          <w:highlight w:val="none"/>
        </w:rPr>
      </w:pPr>
      <w:bookmarkStart w:id="477" w:name="_Toc10807"/>
      <w:r>
        <w:rPr>
          <w:rFonts w:hint="eastAsia" w:ascii="宋体" w:hAnsi="宋体" w:eastAsia="宋体" w:cs="宋体"/>
          <w:b/>
          <w:color w:val="auto"/>
          <w:sz w:val="72"/>
          <w:highlight w:val="none"/>
        </w:rPr>
        <w:t>采购项目</w:t>
      </w:r>
      <w:bookmarkEnd w:id="477"/>
    </w:p>
    <w:p w14:paraId="6B587410">
      <w:pPr>
        <w:spacing w:line="360" w:lineRule="auto"/>
        <w:jc w:val="center"/>
        <w:rPr>
          <w:rFonts w:hint="eastAsia" w:ascii="宋体" w:hAnsi="宋体" w:eastAsia="宋体" w:cs="宋体"/>
          <w:b/>
          <w:color w:val="auto"/>
          <w:sz w:val="48"/>
          <w:highlight w:val="none"/>
        </w:rPr>
      </w:pPr>
    </w:p>
    <w:p w14:paraId="7CF90F47">
      <w:pPr>
        <w:spacing w:line="360" w:lineRule="auto"/>
        <w:jc w:val="center"/>
        <w:outlineLvl w:val="2"/>
        <w:rPr>
          <w:rFonts w:hint="eastAsia" w:ascii="宋体" w:hAnsi="宋体" w:eastAsia="宋体" w:cs="宋体"/>
          <w:b/>
          <w:color w:val="auto"/>
          <w:sz w:val="52"/>
          <w:highlight w:val="none"/>
        </w:rPr>
      </w:pPr>
      <w:bookmarkStart w:id="478" w:name="_Toc23393"/>
      <w:r>
        <w:rPr>
          <w:rFonts w:hint="eastAsia" w:ascii="宋体" w:hAnsi="宋体" w:eastAsia="宋体" w:cs="宋体"/>
          <w:b/>
          <w:color w:val="auto"/>
          <w:sz w:val="52"/>
          <w:highlight w:val="none"/>
        </w:rPr>
        <w:t>磋商响应文件</w:t>
      </w:r>
      <w:bookmarkEnd w:id="478"/>
    </w:p>
    <w:p w14:paraId="09046913">
      <w:pPr>
        <w:pStyle w:val="8"/>
        <w:jc w:val="left"/>
        <w:rPr>
          <w:rFonts w:hint="eastAsia" w:ascii="宋体" w:hAnsi="宋体" w:eastAsia="宋体" w:cs="宋体"/>
          <w:b/>
          <w:color w:val="auto"/>
          <w:sz w:val="52"/>
          <w:highlight w:val="none"/>
        </w:rPr>
      </w:pPr>
    </w:p>
    <w:p w14:paraId="56D29D54">
      <w:pPr>
        <w:pStyle w:val="33"/>
        <w:rPr>
          <w:rFonts w:hint="eastAsia" w:ascii="宋体" w:hAnsi="宋体" w:eastAsia="宋体" w:cs="宋体"/>
          <w:color w:val="auto"/>
          <w:highlight w:val="none"/>
        </w:rPr>
      </w:pPr>
    </w:p>
    <w:p w14:paraId="5AE0F7EB">
      <w:pPr>
        <w:adjustRightInd w:val="0"/>
        <w:spacing w:line="360" w:lineRule="auto"/>
        <w:ind w:firstLine="643" w:firstLineChars="200"/>
        <w:jc w:val="left"/>
        <w:textAlignment w:val="baseline"/>
        <w:outlineLvl w:val="1"/>
        <w:rPr>
          <w:rFonts w:hint="eastAsia" w:ascii="宋体" w:hAnsi="宋体" w:eastAsia="宋体" w:cs="宋体"/>
          <w:b/>
          <w:bCs/>
          <w:color w:val="auto"/>
          <w:sz w:val="32"/>
          <w:szCs w:val="32"/>
          <w:highlight w:val="none"/>
          <w:u w:val="single"/>
        </w:rPr>
      </w:pPr>
      <w:bookmarkStart w:id="479" w:name="_Toc9035"/>
      <w:bookmarkStart w:id="480" w:name="_Toc13091"/>
      <w:bookmarkStart w:id="481" w:name="_Toc31104"/>
      <w:r>
        <w:rPr>
          <w:rFonts w:hint="eastAsia" w:ascii="宋体" w:hAnsi="宋体" w:eastAsia="宋体" w:cs="宋体"/>
          <w:b/>
          <w:bCs/>
          <w:color w:val="auto"/>
          <w:sz w:val="32"/>
          <w:szCs w:val="32"/>
          <w:highlight w:val="none"/>
        </w:rPr>
        <w:t>采购项目编号</w:t>
      </w:r>
      <w:r>
        <w:rPr>
          <w:rFonts w:hint="eastAsia" w:ascii="宋体" w:hAnsi="宋体" w:eastAsia="宋体" w:cs="宋体"/>
          <w:color w:val="auto"/>
          <w:sz w:val="32"/>
          <w:szCs w:val="32"/>
          <w:highlight w:val="none"/>
        </w:rPr>
        <w:t>：</w:t>
      </w:r>
      <w:bookmarkEnd w:id="479"/>
      <w:bookmarkEnd w:id="480"/>
      <w:bookmarkEnd w:id="481"/>
    </w:p>
    <w:p w14:paraId="09A18EE7">
      <w:pPr>
        <w:adjustRightInd w:val="0"/>
        <w:spacing w:line="360" w:lineRule="auto"/>
        <w:ind w:firstLine="660"/>
        <w:jc w:val="left"/>
        <w:textAlignment w:val="baseline"/>
        <w:outlineLvl w:val="1"/>
        <w:rPr>
          <w:rFonts w:hint="eastAsia" w:ascii="宋体" w:hAnsi="宋体" w:eastAsia="宋体" w:cs="宋体"/>
          <w:b/>
          <w:bCs/>
          <w:color w:val="auto"/>
          <w:sz w:val="32"/>
          <w:szCs w:val="32"/>
          <w:highlight w:val="none"/>
          <w:u w:val="single"/>
        </w:rPr>
      </w:pPr>
      <w:bookmarkStart w:id="482" w:name="_Toc2036"/>
      <w:bookmarkStart w:id="483" w:name="_Toc19243"/>
      <w:bookmarkStart w:id="484" w:name="_Toc14019"/>
      <w:bookmarkStart w:id="485" w:name="_Toc17161"/>
      <w:r>
        <w:rPr>
          <w:rFonts w:hint="eastAsia" w:ascii="宋体" w:hAnsi="宋体" w:eastAsia="宋体" w:cs="宋体"/>
          <w:b/>
          <w:bCs/>
          <w:color w:val="auto"/>
          <w:sz w:val="32"/>
          <w:szCs w:val="32"/>
          <w:highlight w:val="none"/>
        </w:rPr>
        <w:t>采购项目名称：</w:t>
      </w:r>
      <w:bookmarkEnd w:id="482"/>
      <w:bookmarkEnd w:id="483"/>
      <w:bookmarkEnd w:id="484"/>
      <w:bookmarkEnd w:id="485"/>
    </w:p>
    <w:p w14:paraId="790DC106">
      <w:pPr>
        <w:adjustRightInd w:val="0"/>
        <w:spacing w:line="360" w:lineRule="auto"/>
        <w:ind w:firstLine="643" w:firstLineChars="200"/>
        <w:jc w:val="left"/>
        <w:textAlignment w:val="baseline"/>
        <w:outlineLvl w:val="1"/>
        <w:rPr>
          <w:rFonts w:hint="eastAsia" w:ascii="宋体" w:hAnsi="宋体" w:eastAsia="宋体" w:cs="宋体"/>
          <w:b/>
          <w:bCs/>
          <w:color w:val="auto"/>
          <w:sz w:val="32"/>
          <w:szCs w:val="32"/>
          <w:highlight w:val="none"/>
          <w:u w:val="single"/>
        </w:rPr>
      </w:pPr>
      <w:bookmarkStart w:id="486" w:name="_Toc773"/>
      <w:bookmarkStart w:id="487" w:name="_Toc7895"/>
      <w:bookmarkStart w:id="488" w:name="_Toc30423"/>
      <w:bookmarkStart w:id="489" w:name="_Toc14342"/>
      <w:r>
        <w:rPr>
          <w:rFonts w:hint="eastAsia" w:ascii="宋体" w:hAnsi="宋体" w:eastAsia="宋体" w:cs="宋体"/>
          <w:b/>
          <w:bCs/>
          <w:color w:val="auto"/>
          <w:sz w:val="32"/>
          <w:szCs w:val="32"/>
          <w:highlight w:val="none"/>
        </w:rPr>
        <w:t>磋商供应商</w:t>
      </w:r>
      <w:r>
        <w:rPr>
          <w:rFonts w:hint="eastAsia" w:ascii="宋体" w:hAnsi="宋体" w:eastAsia="宋体" w:cs="宋体"/>
          <w:b/>
          <w:color w:val="auto"/>
          <w:sz w:val="32"/>
          <w:szCs w:val="32"/>
          <w:highlight w:val="none"/>
        </w:rPr>
        <w:t>：</w:t>
      </w:r>
      <w:r>
        <w:rPr>
          <w:rFonts w:hint="eastAsia" w:ascii="宋体" w:hAnsi="宋体" w:eastAsia="宋体" w:cs="宋体"/>
          <w:b/>
          <w:color w:val="auto"/>
          <w:sz w:val="32"/>
          <w:szCs w:val="32"/>
          <w:highlight w:val="none"/>
          <w:u w:val="single"/>
        </w:rPr>
        <w:t xml:space="preserve">                        （公章）</w:t>
      </w:r>
      <w:bookmarkEnd w:id="486"/>
      <w:bookmarkEnd w:id="487"/>
      <w:bookmarkEnd w:id="488"/>
      <w:bookmarkEnd w:id="489"/>
    </w:p>
    <w:p w14:paraId="7418F184">
      <w:pPr>
        <w:adjustRightInd w:val="0"/>
        <w:spacing w:line="360" w:lineRule="auto"/>
        <w:ind w:firstLine="643" w:firstLineChars="200"/>
        <w:jc w:val="left"/>
        <w:textAlignment w:val="baseline"/>
        <w:outlineLvl w:val="1"/>
        <w:rPr>
          <w:rFonts w:hint="eastAsia" w:ascii="宋体" w:hAnsi="宋体" w:eastAsia="宋体" w:cs="宋体"/>
          <w:b/>
          <w:color w:val="auto"/>
          <w:sz w:val="32"/>
          <w:highlight w:val="none"/>
          <w:u w:val="single"/>
        </w:rPr>
      </w:pPr>
      <w:bookmarkStart w:id="490" w:name="_Toc11942"/>
      <w:bookmarkStart w:id="491" w:name="_Toc5242"/>
      <w:bookmarkStart w:id="492" w:name="_Toc21177"/>
      <w:bookmarkStart w:id="493" w:name="_Toc30730"/>
      <w:r>
        <w:rPr>
          <w:rFonts w:hint="eastAsia" w:ascii="宋体" w:hAnsi="宋体" w:eastAsia="宋体" w:cs="宋体"/>
          <w:b/>
          <w:color w:val="auto"/>
          <w:sz w:val="32"/>
          <w:highlight w:val="none"/>
        </w:rPr>
        <w:t>法定代表人：</w:t>
      </w:r>
      <w:r>
        <w:rPr>
          <w:rFonts w:hint="eastAsia" w:ascii="宋体" w:hAnsi="宋体" w:eastAsia="宋体" w:cs="宋体"/>
          <w:b/>
          <w:color w:val="auto"/>
          <w:sz w:val="32"/>
          <w:highlight w:val="none"/>
          <w:u w:val="single"/>
        </w:rPr>
        <w:t xml:space="preserve">           </w:t>
      </w:r>
      <w:r>
        <w:rPr>
          <w:rFonts w:hint="eastAsia" w:ascii="宋体" w:hAnsi="宋体" w:eastAsia="宋体" w:cs="宋体"/>
          <w:b/>
          <w:color w:val="auto"/>
          <w:sz w:val="32"/>
          <w:highlight w:val="none"/>
          <w:u w:val="single"/>
          <w:lang w:val="en-US" w:eastAsia="zh-CN"/>
        </w:rPr>
        <w:t xml:space="preserve">      </w:t>
      </w:r>
      <w:r>
        <w:rPr>
          <w:rFonts w:hint="eastAsia" w:ascii="宋体" w:hAnsi="宋体" w:eastAsia="宋体" w:cs="宋体"/>
          <w:b/>
          <w:color w:val="auto"/>
          <w:sz w:val="32"/>
          <w:highlight w:val="none"/>
          <w:u w:val="single"/>
        </w:rPr>
        <w:t xml:space="preserve"> （签字或</w:t>
      </w:r>
      <w:r>
        <w:rPr>
          <w:rFonts w:hint="eastAsia" w:ascii="宋体" w:hAnsi="宋体" w:eastAsia="宋体" w:cs="宋体"/>
          <w:b/>
          <w:color w:val="auto"/>
          <w:sz w:val="32"/>
          <w:highlight w:val="none"/>
          <w:u w:val="single"/>
          <w:lang w:eastAsia="zh-CN"/>
        </w:rPr>
        <w:t>盖章</w:t>
      </w:r>
      <w:r>
        <w:rPr>
          <w:rFonts w:hint="eastAsia" w:ascii="宋体" w:hAnsi="宋体" w:eastAsia="宋体" w:cs="宋体"/>
          <w:b/>
          <w:color w:val="auto"/>
          <w:sz w:val="32"/>
          <w:highlight w:val="none"/>
          <w:u w:val="single"/>
        </w:rPr>
        <w:t>）</w:t>
      </w:r>
      <w:bookmarkEnd w:id="490"/>
      <w:bookmarkEnd w:id="491"/>
      <w:bookmarkEnd w:id="492"/>
      <w:bookmarkEnd w:id="493"/>
    </w:p>
    <w:p w14:paraId="3AEFCC87">
      <w:pPr>
        <w:adjustRightInd w:val="0"/>
        <w:spacing w:line="360" w:lineRule="auto"/>
        <w:ind w:firstLine="643" w:firstLineChars="200"/>
        <w:jc w:val="left"/>
        <w:textAlignment w:val="baseline"/>
        <w:rPr>
          <w:rFonts w:hint="eastAsia" w:ascii="宋体" w:hAnsi="宋体" w:eastAsia="宋体" w:cs="宋体"/>
          <w:b/>
          <w:color w:val="auto"/>
          <w:sz w:val="32"/>
          <w:highlight w:val="none"/>
          <w:u w:val="single"/>
        </w:rPr>
      </w:pPr>
    </w:p>
    <w:p w14:paraId="6C51FC9C">
      <w:pPr>
        <w:spacing w:line="360" w:lineRule="auto"/>
        <w:ind w:firstLine="645"/>
        <w:jc w:val="center"/>
        <w:rPr>
          <w:rFonts w:hint="eastAsia" w:ascii="宋体" w:hAnsi="宋体" w:eastAsia="宋体" w:cs="宋体"/>
          <w:color w:val="auto"/>
          <w:sz w:val="32"/>
          <w:highlight w:val="none"/>
        </w:rPr>
      </w:pPr>
      <w:r>
        <w:rPr>
          <w:rFonts w:hint="eastAsia" w:ascii="宋体" w:hAnsi="宋体" w:eastAsia="宋体" w:cs="宋体"/>
          <w:b/>
          <w:bCs/>
          <w:color w:val="auto"/>
          <w:sz w:val="32"/>
          <w:highlight w:val="none"/>
        </w:rPr>
        <w:t>年   月  日</w:t>
      </w:r>
      <w:bookmarkStart w:id="494" w:name="_Toc444715735"/>
    </w:p>
    <w:p w14:paraId="56535D0B">
      <w:pPr>
        <w:pStyle w:val="4"/>
        <w:numPr>
          <w:ilvl w:val="2"/>
          <w:numId w:val="0"/>
        </w:numPr>
        <w:spacing w:line="360" w:lineRule="auto"/>
        <w:ind w:left="709" w:hanging="709"/>
        <w:jc w:val="left"/>
        <w:rPr>
          <w:rFonts w:hint="eastAsia" w:ascii="宋体" w:hAnsi="宋体" w:eastAsia="宋体" w:cs="宋体"/>
          <w:b/>
          <w:color w:val="auto"/>
          <w:sz w:val="32"/>
          <w:highlight w:val="none"/>
          <w:lang w:val="zh-CN"/>
        </w:rPr>
      </w:pPr>
      <w:r>
        <w:rPr>
          <w:rFonts w:hint="eastAsia" w:ascii="宋体" w:hAnsi="宋体" w:eastAsia="宋体" w:cs="宋体"/>
          <w:color w:val="auto"/>
          <w:highlight w:val="none"/>
        </w:rPr>
        <w:br w:type="page"/>
      </w:r>
      <w:bookmarkEnd w:id="494"/>
      <w:bookmarkStart w:id="495" w:name="_Toc18400"/>
      <w:bookmarkStart w:id="496" w:name="_Toc19090"/>
      <w:bookmarkStart w:id="497" w:name="_Toc24672"/>
      <w:bookmarkStart w:id="498" w:name="_Toc4920"/>
      <w:bookmarkStart w:id="499" w:name="_Toc8432"/>
      <w:r>
        <w:rPr>
          <w:rFonts w:hint="eastAsia" w:ascii="宋体" w:hAnsi="宋体" w:eastAsia="宋体" w:cs="宋体"/>
          <w:b/>
          <w:color w:val="auto"/>
          <w:sz w:val="32"/>
          <w:highlight w:val="none"/>
          <w:lang w:val="zh-CN"/>
        </w:rPr>
        <w:t>磋商响应文件目录</w:t>
      </w:r>
      <w:bookmarkEnd w:id="495"/>
      <w:bookmarkEnd w:id="496"/>
      <w:bookmarkEnd w:id="497"/>
      <w:bookmarkEnd w:id="498"/>
      <w:bookmarkEnd w:id="499"/>
    </w:p>
    <w:p w14:paraId="4487B4A1">
      <w:pPr>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"_Toc24100"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lang w:val="zh-CN"/>
        </w:rPr>
        <w:t>1、磋商函</w:t>
      </w:r>
      <w:r>
        <w:rPr>
          <w:rFonts w:hint="eastAsia" w:ascii="宋体" w:hAnsi="宋体" w:eastAsia="宋体" w:cs="宋体"/>
          <w:color w:val="auto"/>
          <w:sz w:val="24"/>
          <w:szCs w:val="24"/>
          <w:highlight w:val="none"/>
          <w:lang w:val="zh-CN"/>
        </w:rPr>
        <w:fldChar w:fldCharType="end"/>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所在页码</w:t>
      </w:r>
    </w:p>
    <w:p w14:paraId="58F15E32">
      <w:pPr>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"_Toc15138"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lang w:val="zh-CN"/>
        </w:rPr>
        <w:t>2、法定代表人证明书</w:t>
      </w:r>
      <w:r>
        <w:rPr>
          <w:rFonts w:hint="eastAsia" w:ascii="宋体" w:hAnsi="宋体" w:eastAsia="宋体" w:cs="宋体"/>
          <w:color w:val="auto"/>
          <w:sz w:val="24"/>
          <w:szCs w:val="24"/>
          <w:highlight w:val="none"/>
          <w:lang w:val="zh-CN"/>
        </w:rPr>
        <w:fldChar w:fldCharType="end"/>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所在页码</w:t>
      </w:r>
    </w:p>
    <w:p w14:paraId="2D261488">
      <w:pPr>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"_Toc27402"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lang w:val="zh-CN"/>
        </w:rPr>
        <w:t>3、法定代表人授权书</w:t>
      </w:r>
      <w:r>
        <w:rPr>
          <w:rFonts w:hint="eastAsia" w:ascii="宋体" w:hAnsi="宋体" w:eastAsia="宋体" w:cs="宋体"/>
          <w:color w:val="auto"/>
          <w:sz w:val="24"/>
          <w:szCs w:val="24"/>
          <w:highlight w:val="none"/>
          <w:lang w:val="zh-CN"/>
        </w:rPr>
        <w:fldChar w:fldCharType="end"/>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所在页码</w:t>
      </w:r>
    </w:p>
    <w:p w14:paraId="559CB679">
      <w:pPr>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"_Toc14487"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lang w:val="zh-CN"/>
        </w:rPr>
        <w:t>4、供应商承诺书</w:t>
      </w:r>
      <w:r>
        <w:rPr>
          <w:rFonts w:hint="eastAsia" w:ascii="宋体" w:hAnsi="宋体" w:eastAsia="宋体" w:cs="宋体"/>
          <w:color w:val="auto"/>
          <w:sz w:val="24"/>
          <w:szCs w:val="24"/>
          <w:highlight w:val="none"/>
          <w:lang w:val="zh-CN"/>
        </w:rPr>
        <w:fldChar w:fldCharType="end"/>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所在页码</w:t>
      </w:r>
    </w:p>
    <w:p w14:paraId="51A6AB4C">
      <w:pPr>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"_Toc25171"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lang w:val="zh-CN"/>
        </w:rPr>
        <w:t>5、供应商诚信承诺书</w:t>
      </w:r>
      <w:r>
        <w:rPr>
          <w:rFonts w:hint="eastAsia" w:ascii="宋体" w:hAnsi="宋体" w:eastAsia="宋体" w:cs="宋体"/>
          <w:color w:val="auto"/>
          <w:sz w:val="24"/>
          <w:szCs w:val="24"/>
          <w:highlight w:val="none"/>
          <w:lang w:val="zh-CN"/>
        </w:rPr>
        <w:fldChar w:fldCharType="end"/>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所在页码</w:t>
      </w:r>
    </w:p>
    <w:p w14:paraId="3A759D42">
      <w:pPr>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"_Toc28522"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lang w:val="zh-CN"/>
        </w:rPr>
        <w:t>6、资格证明材料</w:t>
      </w:r>
      <w:r>
        <w:rPr>
          <w:rFonts w:hint="eastAsia" w:ascii="宋体" w:hAnsi="宋体" w:eastAsia="宋体" w:cs="宋体"/>
          <w:color w:val="auto"/>
          <w:sz w:val="24"/>
          <w:szCs w:val="24"/>
          <w:highlight w:val="none"/>
          <w:lang w:val="zh-CN"/>
        </w:rPr>
        <w:fldChar w:fldCharType="end"/>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所在页码</w:t>
      </w:r>
    </w:p>
    <w:p w14:paraId="53B1085E">
      <w:pPr>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"_Toc9458"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lang w:val="zh-CN"/>
        </w:rPr>
        <w:t>7、财务状况、缴纳税收和社会保障资金证明</w:t>
      </w:r>
      <w:r>
        <w:rPr>
          <w:rFonts w:hint="eastAsia" w:ascii="宋体" w:hAnsi="宋体" w:eastAsia="宋体" w:cs="宋体"/>
          <w:color w:val="auto"/>
          <w:sz w:val="24"/>
          <w:szCs w:val="24"/>
          <w:highlight w:val="none"/>
          <w:lang w:val="zh-CN"/>
        </w:rPr>
        <w:fldChar w:fldCharType="end"/>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所在页码</w:t>
      </w:r>
    </w:p>
    <w:p w14:paraId="284526A8">
      <w:pPr>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fldChar w:fldCharType="begin"/>
      </w:r>
      <w:r>
        <w:rPr>
          <w:rFonts w:hint="eastAsia" w:ascii="宋体" w:hAnsi="宋体" w:eastAsia="宋体" w:cs="宋体"/>
          <w:color w:val="auto"/>
          <w:sz w:val="24"/>
          <w:szCs w:val="24"/>
          <w:highlight w:val="none"/>
          <w:lang w:val="zh-CN"/>
        </w:rPr>
        <w:instrText xml:space="preserve"> HYPERLINK \l _Toc15071 </w:instrText>
      </w:r>
      <w:r>
        <w:rPr>
          <w:rFonts w:hint="eastAsia" w:ascii="宋体" w:hAnsi="宋体" w:eastAsia="宋体" w:cs="宋体"/>
          <w:color w:val="auto"/>
          <w:sz w:val="24"/>
          <w:szCs w:val="24"/>
          <w:highlight w:val="none"/>
          <w:lang w:val="zh-CN"/>
        </w:rPr>
        <w:fldChar w:fldCharType="separate"/>
      </w:r>
      <w:r>
        <w:rPr>
          <w:rFonts w:hint="eastAsia" w:ascii="宋体" w:hAnsi="宋体" w:eastAsia="宋体" w:cs="宋体"/>
          <w:color w:val="auto"/>
          <w:sz w:val="24"/>
          <w:szCs w:val="24"/>
          <w:highlight w:val="none"/>
          <w:lang w:val="zh-CN"/>
        </w:rPr>
        <w:t>8、具备履行合同所必须的设备和专业技术能力证明</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所在页码</w:t>
      </w:r>
    </w:p>
    <w:p w14:paraId="314D4E46">
      <w:pPr>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fldChar w:fldCharType="end"/>
      </w:r>
      <w:r>
        <w:rPr>
          <w:rFonts w:hint="eastAsia" w:ascii="宋体" w:hAnsi="宋体" w:eastAsia="宋体" w:cs="宋体"/>
          <w:color w:val="auto"/>
          <w:sz w:val="24"/>
          <w:szCs w:val="24"/>
          <w:highlight w:val="none"/>
        </w:rPr>
        <w:t>9、磋商保证金证明...........................................</w:t>
      </w:r>
      <w:r>
        <w:rPr>
          <w:rFonts w:hint="eastAsia" w:ascii="宋体" w:hAnsi="宋体" w:eastAsia="宋体" w:cs="宋体"/>
          <w:color w:val="auto"/>
          <w:sz w:val="24"/>
          <w:szCs w:val="24"/>
          <w:highlight w:val="none"/>
          <w:lang w:val="zh-CN"/>
        </w:rPr>
        <w:t>所在页码</w:t>
      </w:r>
    </w:p>
    <w:p w14:paraId="280B645C">
      <w:pPr>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fldChar w:fldCharType="begin"/>
      </w:r>
      <w:r>
        <w:rPr>
          <w:rFonts w:hint="eastAsia" w:ascii="宋体" w:hAnsi="宋体" w:eastAsia="宋体" w:cs="宋体"/>
          <w:color w:val="auto"/>
          <w:sz w:val="24"/>
          <w:szCs w:val="24"/>
          <w:highlight w:val="none"/>
          <w:lang w:val="zh-CN"/>
        </w:rPr>
        <w:instrText xml:space="preserve"> HYPERLINK \l "_Toc11963" </w:instrText>
      </w:r>
      <w:r>
        <w:rPr>
          <w:rFonts w:hint="eastAsia" w:ascii="宋体" w:hAnsi="宋体" w:eastAsia="宋体" w:cs="宋体"/>
          <w:color w:val="auto"/>
          <w:sz w:val="24"/>
          <w:szCs w:val="24"/>
          <w:highlight w:val="none"/>
          <w:lang w:val="zh-CN"/>
        </w:rPr>
        <w:fldChar w:fldCharType="separate"/>
      </w:r>
      <w:r>
        <w:rPr>
          <w:rFonts w:hint="eastAsia" w:ascii="宋体" w:hAnsi="宋体" w:eastAsia="宋体" w:cs="宋体"/>
          <w:color w:val="auto"/>
          <w:sz w:val="24"/>
          <w:szCs w:val="24"/>
          <w:highlight w:val="none"/>
          <w:lang w:val="zh-CN"/>
        </w:rPr>
        <w:t>10、无重大违法记录声明</w:t>
      </w:r>
      <w:r>
        <w:rPr>
          <w:rFonts w:hint="eastAsia" w:ascii="宋体" w:hAnsi="宋体" w:eastAsia="宋体" w:cs="宋体"/>
          <w:color w:val="auto"/>
          <w:sz w:val="24"/>
          <w:szCs w:val="24"/>
          <w:highlight w:val="none"/>
          <w:lang w:val="zh-CN"/>
        </w:rPr>
        <w:fldChar w:fldCharType="end"/>
      </w:r>
      <w:r>
        <w:rPr>
          <w:rFonts w:hint="eastAsia" w:ascii="宋体" w:hAnsi="宋体" w:eastAsia="宋体" w:cs="宋体"/>
          <w:color w:val="auto"/>
          <w:sz w:val="24"/>
          <w:szCs w:val="24"/>
          <w:highlight w:val="none"/>
          <w:lang w:val="zh-CN"/>
        </w:rPr>
        <w:t>......................................所在页码</w:t>
      </w:r>
    </w:p>
    <w:p w14:paraId="5C9847D5">
      <w:pPr>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fldChar w:fldCharType="begin"/>
      </w:r>
      <w:r>
        <w:rPr>
          <w:rFonts w:hint="eastAsia" w:ascii="宋体" w:hAnsi="宋体" w:eastAsia="宋体" w:cs="宋体"/>
          <w:color w:val="auto"/>
          <w:sz w:val="24"/>
          <w:szCs w:val="24"/>
          <w:highlight w:val="none"/>
          <w:lang w:val="zh-CN"/>
        </w:rPr>
        <w:instrText xml:space="preserve"> HYPERLINK \l "_Toc26289" </w:instrText>
      </w:r>
      <w:r>
        <w:rPr>
          <w:rFonts w:hint="eastAsia" w:ascii="宋体" w:hAnsi="宋体" w:eastAsia="宋体" w:cs="宋体"/>
          <w:color w:val="auto"/>
          <w:sz w:val="24"/>
          <w:szCs w:val="24"/>
          <w:highlight w:val="none"/>
          <w:lang w:val="zh-CN"/>
        </w:rPr>
        <w:fldChar w:fldCharType="separate"/>
      </w: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lang w:val="zh-CN" w:eastAsia="zh-CN"/>
        </w:rPr>
        <w:t>、落实政府采购政策需满足的资格证明材料</w:t>
      </w:r>
      <w:r>
        <w:rPr>
          <w:rFonts w:hint="eastAsia" w:ascii="宋体" w:hAnsi="宋体" w:eastAsia="宋体" w:cs="宋体"/>
          <w:color w:val="auto"/>
          <w:sz w:val="24"/>
          <w:szCs w:val="24"/>
          <w:highlight w:val="none"/>
          <w:lang w:val="zh-CN"/>
        </w:rPr>
        <w:fldChar w:fldCharType="end"/>
      </w:r>
      <w:r>
        <w:rPr>
          <w:rFonts w:hint="eastAsia" w:ascii="宋体" w:hAnsi="宋体" w:eastAsia="宋体" w:cs="宋体"/>
          <w:color w:val="auto"/>
          <w:sz w:val="24"/>
          <w:szCs w:val="24"/>
          <w:highlight w:val="none"/>
          <w:lang w:val="zh-CN"/>
        </w:rPr>
        <w:t>....................所在页码</w:t>
      </w:r>
    </w:p>
    <w:p w14:paraId="2942B3A8">
      <w:pPr>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"_Toc1532"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、竞争性磋商首次报价表</w:t>
      </w:r>
      <w:r>
        <w:rPr>
          <w:rFonts w:hint="eastAsia" w:ascii="宋体" w:hAnsi="宋体" w:eastAsia="宋体" w:cs="宋体"/>
          <w:color w:val="auto"/>
          <w:sz w:val="24"/>
          <w:szCs w:val="24"/>
          <w:highlight w:val="none"/>
          <w:lang w:val="zh-CN"/>
        </w:rPr>
        <w:fldChar w:fldCharType="end"/>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所在页码</w:t>
      </w:r>
    </w:p>
    <w:p w14:paraId="0F28226E">
      <w:pPr>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"_Toc6753"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、实施方案</w:t>
      </w:r>
      <w:r>
        <w:rPr>
          <w:rFonts w:hint="eastAsia" w:ascii="宋体" w:hAnsi="宋体" w:eastAsia="宋体" w:cs="宋体"/>
          <w:color w:val="auto"/>
          <w:sz w:val="24"/>
          <w:szCs w:val="24"/>
          <w:highlight w:val="none"/>
          <w:lang w:val="zh-CN"/>
        </w:rPr>
        <w:fldChar w:fldCharType="end"/>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所在页码</w:t>
      </w:r>
    </w:p>
    <w:p w14:paraId="7EE74022">
      <w:pPr>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"_Toc26157"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rPr>
        <w:t>、供应商的业绩证明材料</w:t>
      </w:r>
      <w:r>
        <w:rPr>
          <w:rFonts w:hint="eastAsia" w:ascii="宋体" w:hAnsi="宋体" w:eastAsia="宋体" w:cs="宋体"/>
          <w:color w:val="auto"/>
          <w:sz w:val="24"/>
          <w:szCs w:val="24"/>
          <w:highlight w:val="none"/>
          <w:lang w:val="zh-CN"/>
        </w:rPr>
        <w:fldChar w:fldCharType="end"/>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所在页码</w:t>
      </w:r>
    </w:p>
    <w:p w14:paraId="4B520D54">
      <w:pPr>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fldChar w:fldCharType="begin"/>
      </w:r>
      <w:r>
        <w:rPr>
          <w:rFonts w:hint="eastAsia" w:ascii="宋体" w:hAnsi="宋体" w:eastAsia="宋体" w:cs="宋体"/>
          <w:color w:val="auto"/>
          <w:sz w:val="24"/>
          <w:szCs w:val="24"/>
          <w:highlight w:val="none"/>
          <w:lang w:val="zh-CN"/>
        </w:rPr>
        <w:instrText xml:space="preserve"> HYPERLINK \l _Toc22397 </w:instrText>
      </w:r>
      <w:r>
        <w:rPr>
          <w:rFonts w:hint="eastAsia" w:ascii="宋体" w:hAnsi="宋体" w:eastAsia="宋体" w:cs="宋体"/>
          <w:color w:val="auto"/>
          <w:sz w:val="24"/>
          <w:szCs w:val="24"/>
          <w:highlight w:val="none"/>
          <w:lang w:val="zh-CN"/>
        </w:rPr>
        <w:fldChar w:fldCharType="separate"/>
      </w: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保密承诺书</w:t>
      </w:r>
      <w:r>
        <w:rPr>
          <w:rFonts w:hint="eastAsia" w:ascii="宋体" w:hAnsi="宋体" w:eastAsia="宋体" w:cs="宋体"/>
          <w:color w:val="auto"/>
          <w:sz w:val="24"/>
          <w:szCs w:val="24"/>
          <w:highlight w:val="none"/>
          <w:lang w:val="zh-CN"/>
        </w:rPr>
        <w:t>..............................................所在页码</w:t>
      </w:r>
    </w:p>
    <w:p w14:paraId="21A8E4CE">
      <w:pPr>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zh-CN"/>
        </w:rPr>
        <w:t>磋商供应商认为在其他方面有必要说明的事项.......</w:t>
      </w:r>
      <w:r>
        <w:rPr>
          <w:rFonts w:hint="eastAsia" w:ascii="宋体" w:hAnsi="宋体" w:eastAsia="宋体" w:cs="宋体"/>
          <w:color w:val="auto"/>
          <w:sz w:val="24"/>
          <w:szCs w:val="24"/>
          <w:highlight w:val="none"/>
          <w:lang w:val="zh-CN"/>
        </w:rPr>
        <w:fldChar w:fldCharType="end"/>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所在页码</w:t>
      </w:r>
    </w:p>
    <w:p w14:paraId="398C4431">
      <w:pPr>
        <w:pStyle w:val="44"/>
        <w:tabs>
          <w:tab w:val="right" w:leader="dot" w:pos="8306"/>
        </w:tabs>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val="zh-CN"/>
        </w:rPr>
        <w:t>磋商最终报价表</w:t>
      </w:r>
      <w:r>
        <w:rPr>
          <w:rFonts w:hint="eastAsia" w:ascii="宋体" w:hAnsi="宋体" w:eastAsia="宋体" w:cs="宋体"/>
          <w:color w:val="auto"/>
          <w:sz w:val="24"/>
          <w:szCs w:val="22"/>
          <w:highlight w:val="none"/>
        </w:rPr>
        <w:t>（单独提交）</w:t>
      </w:r>
    </w:p>
    <w:p w14:paraId="0680415E">
      <w:pPr>
        <w:autoSpaceDE w:val="0"/>
        <w:autoSpaceDN w:val="0"/>
        <w:spacing w:line="360" w:lineRule="auto"/>
        <w:ind w:firstLine="240" w:firstLineChars="100"/>
        <w:jc w:val="left"/>
        <w:rPr>
          <w:rFonts w:hint="eastAsia" w:ascii="宋体" w:hAnsi="宋体" w:eastAsia="宋体" w:cs="宋体"/>
          <w:color w:val="auto"/>
          <w:sz w:val="24"/>
          <w:szCs w:val="22"/>
          <w:highlight w:val="none"/>
          <w:lang w:val="zh-CN"/>
        </w:rPr>
      </w:pPr>
    </w:p>
    <w:p w14:paraId="5D6D4D8C">
      <w:pPr>
        <w:rPr>
          <w:rFonts w:hint="eastAsia" w:ascii="宋体" w:hAnsi="宋体" w:eastAsia="宋体" w:cs="宋体"/>
          <w:color w:val="auto"/>
          <w:highlight w:val="none"/>
        </w:rPr>
      </w:pPr>
    </w:p>
    <w:p w14:paraId="54D123B7">
      <w:pPr>
        <w:pStyle w:val="4"/>
        <w:numPr>
          <w:ilvl w:val="2"/>
          <w:numId w:val="0"/>
        </w:numPr>
        <w:spacing w:line="360" w:lineRule="auto"/>
        <w:ind w:left="709" w:hanging="709"/>
        <w:jc w:val="left"/>
        <w:rPr>
          <w:rFonts w:hint="eastAsia" w:ascii="宋体" w:hAnsi="宋体" w:eastAsia="宋体" w:cs="宋体"/>
          <w:color w:val="auto"/>
          <w:highlight w:val="none"/>
        </w:rPr>
      </w:pPr>
      <w:r>
        <w:rPr>
          <w:rFonts w:hint="eastAsia" w:ascii="宋体" w:hAnsi="宋体" w:eastAsia="宋体" w:cs="宋体"/>
          <w:b/>
          <w:bCs/>
          <w:color w:val="auto"/>
          <w:highlight w:val="none"/>
        </w:rPr>
        <w:br w:type="page"/>
      </w:r>
      <w:bookmarkStart w:id="500" w:name="_Toc20107"/>
      <w:bookmarkStart w:id="501" w:name="_Toc24100"/>
      <w:bookmarkStart w:id="502" w:name="_Toc32613"/>
      <w:bookmarkStart w:id="503" w:name="_Toc3281"/>
      <w:bookmarkStart w:id="504" w:name="_Toc18323"/>
      <w:bookmarkStart w:id="505" w:name="_Toc10569"/>
      <w:r>
        <w:rPr>
          <w:rFonts w:hint="eastAsia" w:ascii="宋体" w:hAnsi="宋体" w:eastAsia="宋体" w:cs="宋体"/>
          <w:b/>
          <w:color w:val="auto"/>
          <w:sz w:val="32"/>
          <w:highlight w:val="none"/>
          <w:lang w:val="zh-CN"/>
        </w:rPr>
        <w:t>格式1、磋商函</w:t>
      </w:r>
      <w:bookmarkEnd w:id="500"/>
      <w:bookmarkEnd w:id="501"/>
      <w:bookmarkEnd w:id="502"/>
      <w:bookmarkEnd w:id="503"/>
      <w:bookmarkEnd w:id="504"/>
      <w:bookmarkEnd w:id="505"/>
    </w:p>
    <w:p w14:paraId="00CF1515">
      <w:pPr>
        <w:adjustRightInd w:val="0"/>
        <w:spacing w:line="360" w:lineRule="auto"/>
        <w:jc w:val="center"/>
        <w:textAlignment w:val="baseline"/>
        <w:rPr>
          <w:rFonts w:hint="eastAsia" w:ascii="宋体" w:hAnsi="宋体" w:eastAsia="宋体" w:cs="宋体"/>
          <w:b/>
          <w:color w:val="auto"/>
          <w:sz w:val="32"/>
          <w:szCs w:val="30"/>
          <w:highlight w:val="none"/>
        </w:rPr>
      </w:pPr>
      <w:r>
        <w:rPr>
          <w:rFonts w:hint="eastAsia" w:ascii="宋体" w:hAnsi="宋体" w:eastAsia="宋体" w:cs="宋体"/>
          <w:b/>
          <w:color w:val="auto"/>
          <w:sz w:val="32"/>
          <w:szCs w:val="30"/>
          <w:highlight w:val="none"/>
        </w:rPr>
        <w:t>磋 商 函</w:t>
      </w:r>
    </w:p>
    <w:p w14:paraId="4C2EFEEA">
      <w:pPr>
        <w:adjustRightInd w:val="0"/>
        <w:spacing w:line="360" w:lineRule="auto"/>
        <w:ind w:left="482" w:hanging="482" w:hangingChars="200"/>
        <w:jc w:val="left"/>
        <w:textAlignment w:val="baseline"/>
        <w:outlineLvl w:val="1"/>
        <w:rPr>
          <w:rFonts w:hint="eastAsia" w:ascii="宋体" w:hAnsi="宋体" w:eastAsia="宋体" w:cs="宋体"/>
          <w:b/>
          <w:color w:val="auto"/>
          <w:sz w:val="24"/>
          <w:highlight w:val="none"/>
        </w:rPr>
      </w:pPr>
      <w:bookmarkStart w:id="506" w:name="_Toc28620"/>
      <w:bookmarkStart w:id="507" w:name="_Toc20365"/>
      <w:bookmarkStart w:id="508" w:name="_Toc27822"/>
      <w:bookmarkStart w:id="509" w:name="_Toc12717"/>
      <w:r>
        <w:rPr>
          <w:rFonts w:hint="eastAsia" w:ascii="宋体" w:hAnsi="宋体" w:eastAsia="宋体" w:cs="宋体"/>
          <w:b/>
          <w:color w:val="auto"/>
          <w:sz w:val="24"/>
          <w:highlight w:val="none"/>
        </w:rPr>
        <w:t>致：青海中旭工程项目管理有限公司：</w:t>
      </w:r>
      <w:bookmarkEnd w:id="506"/>
      <w:bookmarkEnd w:id="507"/>
      <w:bookmarkEnd w:id="508"/>
      <w:bookmarkEnd w:id="509"/>
    </w:p>
    <w:p w14:paraId="705426D1">
      <w:pPr>
        <w:adjustRightInd w:val="0"/>
        <w:spacing w:line="360" w:lineRule="auto"/>
        <w:ind w:firstLine="480" w:firstLineChars="200"/>
        <w:jc w:val="left"/>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我们收到</w:t>
      </w:r>
      <w:r>
        <w:rPr>
          <w:rFonts w:hint="eastAsia" w:ascii="宋体" w:hAnsi="宋体" w:eastAsia="宋体" w:cs="宋体"/>
          <w:color w:val="auto"/>
          <w:sz w:val="24"/>
          <w:highlight w:val="none"/>
          <w:u w:val="single"/>
        </w:rPr>
        <w:t xml:space="preserve">（项目名称）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QHZX-竞磋（服务）2024-043</w:t>
      </w:r>
      <w:r>
        <w:rPr>
          <w:rFonts w:hint="eastAsia" w:ascii="宋体" w:hAnsi="宋体" w:eastAsia="宋体" w:cs="宋体"/>
          <w:color w:val="auto"/>
          <w:sz w:val="24"/>
          <w:szCs w:val="22"/>
          <w:highlight w:val="none"/>
        </w:rPr>
        <w:t>）磋</w:t>
      </w:r>
      <w:r>
        <w:rPr>
          <w:rFonts w:hint="eastAsia" w:ascii="宋体" w:hAnsi="宋体" w:eastAsia="宋体" w:cs="宋体"/>
          <w:color w:val="auto"/>
          <w:sz w:val="24"/>
          <w:highlight w:val="none"/>
        </w:rPr>
        <w:t>商文件，经研究，法定代表人</w:t>
      </w:r>
      <w:r>
        <w:rPr>
          <w:rFonts w:hint="eastAsia" w:ascii="宋体" w:hAnsi="宋体" w:eastAsia="宋体" w:cs="宋体"/>
          <w:color w:val="auto"/>
          <w:sz w:val="24"/>
          <w:highlight w:val="none"/>
          <w:u w:val="single"/>
        </w:rPr>
        <w:t>（姓名、职务）</w:t>
      </w:r>
      <w:r>
        <w:rPr>
          <w:rFonts w:hint="eastAsia" w:ascii="宋体" w:hAnsi="宋体" w:eastAsia="宋体" w:cs="宋体"/>
          <w:color w:val="auto"/>
          <w:sz w:val="24"/>
          <w:highlight w:val="none"/>
        </w:rPr>
        <w:t>正式授权</w:t>
      </w:r>
      <w:r>
        <w:rPr>
          <w:rFonts w:hint="eastAsia" w:ascii="宋体" w:hAnsi="宋体" w:eastAsia="宋体" w:cs="宋体"/>
          <w:color w:val="auto"/>
          <w:sz w:val="24"/>
          <w:highlight w:val="none"/>
          <w:u w:val="single"/>
        </w:rPr>
        <w:t>（委托代理人姓名、职务）</w:t>
      </w:r>
      <w:r>
        <w:rPr>
          <w:rFonts w:hint="eastAsia" w:ascii="宋体" w:hAnsi="宋体" w:eastAsia="宋体" w:cs="宋体"/>
          <w:color w:val="auto"/>
          <w:sz w:val="24"/>
          <w:highlight w:val="none"/>
        </w:rPr>
        <w:t>代表磋商供应商</w:t>
      </w:r>
      <w:r>
        <w:rPr>
          <w:rFonts w:hint="eastAsia" w:ascii="宋体" w:hAnsi="宋体" w:eastAsia="宋体" w:cs="宋体"/>
          <w:color w:val="auto"/>
          <w:sz w:val="24"/>
          <w:highlight w:val="none"/>
          <w:u w:val="single"/>
        </w:rPr>
        <w:t>（磋商供应商名称、地址）</w:t>
      </w:r>
      <w:r>
        <w:rPr>
          <w:rFonts w:hint="eastAsia" w:ascii="宋体" w:hAnsi="宋体" w:eastAsia="宋体" w:cs="宋体"/>
          <w:color w:val="auto"/>
          <w:sz w:val="24"/>
          <w:highlight w:val="none"/>
        </w:rPr>
        <w:t>提交磋商响应文件。</w:t>
      </w:r>
    </w:p>
    <w:p w14:paraId="3C81B03A">
      <w:pPr>
        <w:adjustRightInd w:val="0"/>
        <w:spacing w:line="360" w:lineRule="auto"/>
        <w:ind w:firstLine="480" w:firstLineChars="200"/>
        <w:jc w:val="left"/>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据此函，签字代表宣布同意如下：</w:t>
      </w:r>
    </w:p>
    <w:p w14:paraId="0B54FCAF">
      <w:pPr>
        <w:adjustRightInd w:val="0"/>
        <w:spacing w:line="360" w:lineRule="auto"/>
        <w:ind w:firstLine="480" w:firstLineChars="200"/>
        <w:jc w:val="left"/>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1.我方已详阅磋商文件的全部内容，包括澄清、修改条款等有关附件，承诺对其完全理解并接受。</w:t>
      </w:r>
    </w:p>
    <w:p w14:paraId="1DCDC48B">
      <w:pPr>
        <w:adjustRightInd w:val="0"/>
        <w:spacing w:line="360" w:lineRule="auto"/>
        <w:ind w:firstLine="480" w:firstLineChars="200"/>
        <w:jc w:val="left"/>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2.磋商有效期自开标之日起</w:t>
      </w:r>
      <w:r>
        <w:rPr>
          <w:rFonts w:hint="eastAsia" w:ascii="宋体" w:hAnsi="宋体" w:eastAsia="宋体" w:cs="宋体"/>
          <w:color w:val="auto"/>
          <w:sz w:val="24"/>
          <w:highlight w:val="none"/>
          <w:u w:val="single" w:color="auto"/>
          <w:lang w:val="en-US" w:eastAsia="zh-CN"/>
        </w:rPr>
        <w:t xml:space="preserve">    </w:t>
      </w:r>
      <w:r>
        <w:rPr>
          <w:rFonts w:hint="eastAsia" w:ascii="宋体" w:hAnsi="宋体" w:eastAsia="宋体" w:cs="宋体"/>
          <w:color w:val="auto"/>
          <w:sz w:val="24"/>
          <w:highlight w:val="none"/>
        </w:rPr>
        <w:t>日历日内有效。如果在规定的开标时间后，我方在磋商有效期内撤回磋商或成交后不签约的，磋商保证金将被贵方没收。</w:t>
      </w:r>
    </w:p>
    <w:p w14:paraId="1B4CF5D1">
      <w:pPr>
        <w:adjustRightInd w:val="0"/>
        <w:spacing w:line="360" w:lineRule="auto"/>
        <w:ind w:firstLine="480" w:firstLineChars="200"/>
        <w:jc w:val="left"/>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3.我方同意按照贵方要求提供与磋商有关的一切数据或资料，理解并接受贵方制定的评标办法。</w:t>
      </w:r>
    </w:p>
    <w:p w14:paraId="6D3D511A">
      <w:pPr>
        <w:adjustRightInd w:val="0"/>
        <w:spacing w:line="360" w:lineRule="auto"/>
        <w:ind w:firstLine="480" w:firstLineChars="200"/>
        <w:jc w:val="left"/>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4.与本磋商有关的一切正式往来通讯请寄：</w:t>
      </w:r>
    </w:p>
    <w:p w14:paraId="5959B02E">
      <w:pPr>
        <w:adjustRightInd w:val="0"/>
        <w:spacing w:line="360" w:lineRule="auto"/>
        <w:ind w:firstLine="480" w:firstLineChars="200"/>
        <w:jc w:val="left"/>
        <w:textAlignment w:val="baseline"/>
        <w:rPr>
          <w:rFonts w:hint="eastAsia" w:ascii="宋体" w:hAnsi="宋体" w:eastAsia="宋体" w:cs="宋体"/>
          <w:color w:val="auto"/>
          <w:sz w:val="24"/>
          <w:highlight w:val="none"/>
        </w:rPr>
      </w:pPr>
    </w:p>
    <w:p w14:paraId="0FE52D6C">
      <w:pPr>
        <w:adjustRightInd w:val="0"/>
        <w:spacing w:line="360" w:lineRule="auto"/>
        <w:ind w:firstLine="480" w:firstLineChars="200"/>
        <w:jc w:val="left"/>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地址：                   邮编：</w:t>
      </w:r>
    </w:p>
    <w:p w14:paraId="67D2281C">
      <w:pPr>
        <w:pStyle w:val="8"/>
        <w:jc w:val="left"/>
        <w:rPr>
          <w:rFonts w:hint="eastAsia" w:ascii="宋体" w:hAnsi="宋体" w:eastAsia="宋体" w:cs="宋体"/>
          <w:color w:val="auto"/>
          <w:highlight w:val="none"/>
        </w:rPr>
      </w:pPr>
    </w:p>
    <w:p w14:paraId="0F4A6055">
      <w:pPr>
        <w:adjustRightInd w:val="0"/>
        <w:spacing w:line="360" w:lineRule="auto"/>
        <w:ind w:firstLine="480" w:firstLineChars="200"/>
        <w:jc w:val="left"/>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电话：                   传真：</w:t>
      </w:r>
    </w:p>
    <w:p w14:paraId="442CF965">
      <w:pPr>
        <w:adjustRightInd w:val="0"/>
        <w:spacing w:line="360" w:lineRule="auto"/>
        <w:jc w:val="left"/>
        <w:textAlignment w:val="baseline"/>
        <w:rPr>
          <w:rFonts w:hint="eastAsia" w:ascii="宋体" w:hAnsi="宋体" w:eastAsia="宋体" w:cs="宋体"/>
          <w:color w:val="auto"/>
          <w:sz w:val="24"/>
          <w:highlight w:val="none"/>
        </w:rPr>
      </w:pPr>
    </w:p>
    <w:p w14:paraId="4C35A163">
      <w:pPr>
        <w:adjustRightInd w:val="0"/>
        <w:spacing w:line="360" w:lineRule="auto"/>
        <w:ind w:firstLine="480" w:firstLineChars="200"/>
        <w:jc w:val="left"/>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法定代表人姓名：         职务：</w:t>
      </w:r>
      <w:bookmarkStart w:id="510" w:name="_Toc444715736"/>
    </w:p>
    <w:p w14:paraId="26C699F7">
      <w:pPr>
        <w:tabs>
          <w:tab w:val="left" w:pos="168"/>
        </w:tabs>
        <w:adjustRightInd w:val="0"/>
        <w:spacing w:line="360" w:lineRule="auto"/>
        <w:ind w:right="480"/>
        <w:jc w:val="left"/>
        <w:textAlignment w:val="baseline"/>
        <w:rPr>
          <w:rFonts w:hint="eastAsia" w:ascii="宋体" w:hAnsi="宋体" w:eastAsia="宋体" w:cs="宋体"/>
          <w:bCs/>
          <w:color w:val="auto"/>
          <w:sz w:val="24"/>
          <w:szCs w:val="28"/>
          <w:highlight w:val="none"/>
        </w:rPr>
      </w:pPr>
    </w:p>
    <w:p w14:paraId="3C2AE2E9">
      <w:pPr>
        <w:tabs>
          <w:tab w:val="left" w:pos="168"/>
        </w:tabs>
        <w:adjustRightInd w:val="0"/>
        <w:spacing w:line="360" w:lineRule="auto"/>
        <w:jc w:val="left"/>
        <w:textAlignment w:val="baseline"/>
        <w:rPr>
          <w:rFonts w:hint="eastAsia" w:ascii="宋体" w:hAnsi="宋体" w:eastAsia="宋体" w:cs="宋体"/>
          <w:bCs/>
          <w:color w:val="auto"/>
          <w:sz w:val="24"/>
          <w:szCs w:val="28"/>
          <w:highlight w:val="none"/>
        </w:rPr>
      </w:pPr>
    </w:p>
    <w:p w14:paraId="3FE66626">
      <w:pPr>
        <w:tabs>
          <w:tab w:val="left" w:pos="168"/>
        </w:tabs>
        <w:adjustRightInd w:val="0"/>
        <w:spacing w:line="360" w:lineRule="auto"/>
        <w:jc w:val="left"/>
        <w:textAlignment w:val="baseline"/>
        <w:rPr>
          <w:rFonts w:hint="eastAsia" w:ascii="宋体" w:hAnsi="宋体" w:eastAsia="宋体" w:cs="宋体"/>
          <w:bCs/>
          <w:color w:val="auto"/>
          <w:sz w:val="24"/>
          <w:szCs w:val="28"/>
          <w:highlight w:val="none"/>
        </w:rPr>
      </w:pPr>
    </w:p>
    <w:p w14:paraId="6C82F848">
      <w:pPr>
        <w:tabs>
          <w:tab w:val="left" w:pos="168"/>
        </w:tabs>
        <w:adjustRightInd w:val="0"/>
        <w:spacing w:line="360" w:lineRule="auto"/>
        <w:ind w:firstLine="5077" w:firstLineChars="2107"/>
        <w:jc w:val="left"/>
        <w:textAlignment w:val="baseline"/>
        <w:outlineLvl w:val="1"/>
        <w:rPr>
          <w:rFonts w:hint="eastAsia" w:ascii="宋体" w:hAnsi="宋体" w:eastAsia="宋体" w:cs="宋体"/>
          <w:b/>
          <w:color w:val="auto"/>
          <w:sz w:val="24"/>
          <w:szCs w:val="28"/>
          <w:highlight w:val="none"/>
        </w:rPr>
      </w:pPr>
      <w:bookmarkStart w:id="511" w:name="_Toc7354"/>
      <w:bookmarkStart w:id="512" w:name="_Toc13699"/>
      <w:bookmarkStart w:id="513" w:name="_Toc24597"/>
      <w:bookmarkStart w:id="514" w:name="_Toc8639"/>
      <w:r>
        <w:rPr>
          <w:rFonts w:hint="eastAsia" w:ascii="宋体" w:hAnsi="宋体" w:eastAsia="宋体" w:cs="宋体"/>
          <w:b/>
          <w:color w:val="auto"/>
          <w:sz w:val="24"/>
          <w:szCs w:val="28"/>
          <w:highlight w:val="none"/>
        </w:rPr>
        <w:t>供应商：     （公章）</w:t>
      </w:r>
      <w:bookmarkEnd w:id="511"/>
      <w:bookmarkEnd w:id="512"/>
      <w:bookmarkEnd w:id="513"/>
      <w:bookmarkEnd w:id="514"/>
    </w:p>
    <w:p w14:paraId="04B60420">
      <w:pPr>
        <w:tabs>
          <w:tab w:val="left" w:pos="168"/>
        </w:tabs>
        <w:adjustRightInd w:val="0"/>
        <w:spacing w:line="360" w:lineRule="auto"/>
        <w:jc w:val="right"/>
        <w:textAlignment w:val="baseline"/>
        <w:outlineLvl w:val="1"/>
        <w:rPr>
          <w:rFonts w:hint="eastAsia" w:ascii="宋体" w:hAnsi="宋体" w:eastAsia="宋体" w:cs="宋体"/>
          <w:b/>
          <w:color w:val="auto"/>
          <w:sz w:val="24"/>
          <w:szCs w:val="28"/>
          <w:highlight w:val="none"/>
        </w:rPr>
      </w:pPr>
      <w:bookmarkStart w:id="515" w:name="_Toc4959"/>
      <w:bookmarkStart w:id="516" w:name="_Toc26659"/>
      <w:bookmarkStart w:id="517" w:name="_Toc16060"/>
      <w:bookmarkStart w:id="518" w:name="_Toc20833"/>
      <w:r>
        <w:rPr>
          <w:rFonts w:hint="eastAsia" w:ascii="宋体" w:hAnsi="宋体" w:eastAsia="宋体" w:cs="宋体"/>
          <w:b/>
          <w:color w:val="auto"/>
          <w:sz w:val="24"/>
          <w:szCs w:val="28"/>
          <w:highlight w:val="none"/>
        </w:rPr>
        <w:t>委托代理人或法定代表人：                 （签字或盖章）</w:t>
      </w:r>
      <w:bookmarkEnd w:id="515"/>
      <w:bookmarkEnd w:id="516"/>
      <w:bookmarkEnd w:id="517"/>
      <w:bookmarkEnd w:id="518"/>
    </w:p>
    <w:p w14:paraId="2B4C2F5E">
      <w:pPr>
        <w:tabs>
          <w:tab w:val="left" w:pos="168"/>
        </w:tabs>
        <w:adjustRightInd w:val="0"/>
        <w:spacing w:line="360" w:lineRule="auto"/>
        <w:ind w:firstLine="5313" w:firstLineChars="2205"/>
        <w:jc w:val="left"/>
        <w:textAlignment w:val="baseline"/>
        <w:outlineLvl w:val="1"/>
        <w:rPr>
          <w:rFonts w:hint="eastAsia" w:ascii="宋体" w:hAnsi="宋体" w:eastAsia="宋体" w:cs="宋体"/>
          <w:bCs/>
          <w:color w:val="auto"/>
          <w:sz w:val="24"/>
          <w:szCs w:val="28"/>
          <w:highlight w:val="none"/>
        </w:rPr>
      </w:pPr>
      <w:bookmarkStart w:id="519" w:name="_Toc20370"/>
      <w:bookmarkStart w:id="520" w:name="_Toc12349"/>
      <w:bookmarkStart w:id="521" w:name="_Toc30459"/>
      <w:bookmarkStart w:id="522" w:name="_Toc31233"/>
      <w:r>
        <w:rPr>
          <w:rFonts w:hint="eastAsia" w:ascii="宋体" w:hAnsi="宋体" w:eastAsia="宋体" w:cs="宋体"/>
          <w:b/>
          <w:color w:val="auto"/>
          <w:sz w:val="24"/>
          <w:szCs w:val="28"/>
          <w:highlight w:val="none"/>
        </w:rPr>
        <w:t>日期：       年   月   日</w:t>
      </w:r>
      <w:bookmarkEnd w:id="510"/>
      <w:bookmarkEnd w:id="519"/>
      <w:bookmarkEnd w:id="520"/>
      <w:bookmarkEnd w:id="521"/>
      <w:bookmarkEnd w:id="522"/>
      <w:bookmarkStart w:id="523" w:name="_Toc25583"/>
      <w:bookmarkStart w:id="524" w:name="_Toc444715737"/>
    </w:p>
    <w:bookmarkEnd w:id="523"/>
    <w:bookmarkEnd w:id="524"/>
    <w:p w14:paraId="7E212530">
      <w:pPr>
        <w:pStyle w:val="4"/>
        <w:numPr>
          <w:ilvl w:val="2"/>
          <w:numId w:val="0"/>
        </w:numPr>
        <w:spacing w:line="360" w:lineRule="auto"/>
        <w:jc w:val="left"/>
        <w:rPr>
          <w:rFonts w:hint="eastAsia" w:ascii="宋体" w:hAnsi="宋体" w:eastAsia="宋体" w:cs="宋体"/>
          <w:color w:val="auto"/>
          <w:highlight w:val="none"/>
          <w:lang w:val="zh-CN"/>
        </w:rPr>
      </w:pPr>
    </w:p>
    <w:p w14:paraId="7F628F88">
      <w:pPr>
        <w:pStyle w:val="4"/>
        <w:numPr>
          <w:ilvl w:val="2"/>
          <w:numId w:val="0"/>
        </w:numPr>
        <w:spacing w:line="360" w:lineRule="auto"/>
        <w:jc w:val="left"/>
        <w:rPr>
          <w:rFonts w:hint="eastAsia" w:ascii="宋体" w:hAnsi="宋体" w:eastAsia="宋体" w:cs="宋体"/>
          <w:color w:val="auto"/>
          <w:highlight w:val="none"/>
          <w:lang w:val="zh-CN"/>
        </w:rPr>
      </w:pPr>
      <w:bookmarkStart w:id="525" w:name="_Toc6017"/>
      <w:bookmarkStart w:id="526" w:name="_Toc20432"/>
      <w:bookmarkStart w:id="527" w:name="_Toc15138"/>
      <w:bookmarkStart w:id="528" w:name="_Toc2462"/>
      <w:bookmarkStart w:id="529" w:name="_Toc13946"/>
      <w:bookmarkStart w:id="530" w:name="_Toc2415"/>
      <w:r>
        <w:rPr>
          <w:rFonts w:hint="eastAsia" w:ascii="宋体" w:hAnsi="宋体" w:eastAsia="宋体" w:cs="宋体"/>
          <w:b/>
          <w:color w:val="auto"/>
          <w:sz w:val="32"/>
          <w:highlight w:val="none"/>
          <w:lang w:val="zh-CN"/>
        </w:rPr>
        <w:br w:type="page"/>
      </w:r>
      <w:r>
        <w:rPr>
          <w:rFonts w:hint="eastAsia" w:ascii="宋体" w:hAnsi="宋体" w:eastAsia="宋体" w:cs="宋体"/>
          <w:b/>
          <w:color w:val="auto"/>
          <w:sz w:val="32"/>
          <w:highlight w:val="none"/>
          <w:lang w:val="zh-CN"/>
        </w:rPr>
        <w:t>格式2、法定代表人证明书</w:t>
      </w:r>
      <w:bookmarkEnd w:id="525"/>
      <w:bookmarkEnd w:id="526"/>
      <w:bookmarkEnd w:id="527"/>
      <w:bookmarkEnd w:id="528"/>
      <w:bookmarkEnd w:id="529"/>
      <w:bookmarkEnd w:id="530"/>
    </w:p>
    <w:p w14:paraId="2359BBEC">
      <w:pPr>
        <w:spacing w:line="360" w:lineRule="auto"/>
        <w:jc w:val="left"/>
        <w:rPr>
          <w:rFonts w:hint="eastAsia" w:ascii="宋体" w:hAnsi="宋体" w:eastAsia="宋体" w:cs="宋体"/>
          <w:color w:val="auto"/>
          <w:highlight w:val="none"/>
          <w:lang w:val="zh-CN"/>
        </w:rPr>
      </w:pPr>
    </w:p>
    <w:p w14:paraId="51151E9C">
      <w:pPr>
        <w:adjustRightInd w:val="0"/>
        <w:spacing w:line="360" w:lineRule="auto"/>
        <w:jc w:val="center"/>
        <w:textAlignment w:val="baseline"/>
        <w:rPr>
          <w:rFonts w:hint="eastAsia" w:ascii="宋体" w:hAnsi="宋体" w:eastAsia="宋体" w:cs="宋体"/>
          <w:b/>
          <w:color w:val="auto"/>
          <w:sz w:val="32"/>
          <w:szCs w:val="30"/>
          <w:highlight w:val="none"/>
        </w:rPr>
      </w:pPr>
      <w:r>
        <w:rPr>
          <w:rFonts w:hint="eastAsia" w:ascii="宋体" w:hAnsi="宋体" w:eastAsia="宋体" w:cs="宋体"/>
          <w:b/>
          <w:color w:val="auto"/>
          <w:sz w:val="32"/>
          <w:szCs w:val="30"/>
          <w:highlight w:val="none"/>
        </w:rPr>
        <w:t>法定代表人证明书</w:t>
      </w:r>
    </w:p>
    <w:p w14:paraId="4187B5BA">
      <w:pPr>
        <w:autoSpaceDE w:val="0"/>
        <w:autoSpaceDN w:val="0"/>
        <w:adjustRightInd w:val="0"/>
        <w:spacing w:line="360" w:lineRule="auto"/>
        <w:jc w:val="left"/>
        <w:outlineLvl w:val="1"/>
        <w:rPr>
          <w:rFonts w:hint="eastAsia" w:ascii="宋体" w:hAnsi="宋体" w:eastAsia="宋体" w:cs="宋体"/>
          <w:b/>
          <w:bCs/>
          <w:color w:val="auto"/>
          <w:sz w:val="24"/>
          <w:highlight w:val="none"/>
          <w:lang w:val="zh-CN"/>
        </w:rPr>
      </w:pPr>
      <w:bookmarkStart w:id="531" w:name="_Toc27729"/>
      <w:bookmarkStart w:id="532" w:name="_Toc4238"/>
      <w:bookmarkStart w:id="533" w:name="_Toc6553"/>
      <w:bookmarkStart w:id="534" w:name="_Toc26286"/>
      <w:r>
        <w:rPr>
          <w:rFonts w:hint="eastAsia" w:ascii="宋体" w:hAnsi="宋体" w:eastAsia="宋体" w:cs="宋体"/>
          <w:b/>
          <w:bCs/>
          <w:color w:val="auto"/>
          <w:sz w:val="24"/>
          <w:highlight w:val="none"/>
          <w:lang w:val="zh-CN"/>
        </w:rPr>
        <w:t>致：</w:t>
      </w:r>
      <w:bookmarkEnd w:id="531"/>
      <w:r>
        <w:rPr>
          <w:rFonts w:hint="eastAsia" w:ascii="宋体" w:hAnsi="宋体" w:eastAsia="宋体" w:cs="宋体"/>
          <w:b/>
          <w:bCs/>
          <w:color w:val="auto"/>
          <w:sz w:val="24"/>
          <w:highlight w:val="none"/>
          <w:lang w:val="zh-CN"/>
        </w:rPr>
        <w:t>青海中旭工程项目管理有限公司</w:t>
      </w:r>
      <w:bookmarkEnd w:id="532"/>
      <w:bookmarkEnd w:id="533"/>
      <w:bookmarkEnd w:id="534"/>
    </w:p>
    <w:p w14:paraId="2ADCA224">
      <w:pPr>
        <w:autoSpaceDE w:val="0"/>
        <w:autoSpaceDN w:val="0"/>
        <w:adjustRightInd w:val="0"/>
        <w:spacing w:line="360" w:lineRule="auto"/>
        <w:jc w:val="left"/>
        <w:rPr>
          <w:rFonts w:hint="eastAsia" w:ascii="宋体" w:hAnsi="宋体" w:eastAsia="宋体" w:cs="宋体"/>
          <w:color w:val="auto"/>
          <w:sz w:val="24"/>
          <w:highlight w:val="none"/>
          <w:lang w:val="zh-CN"/>
        </w:rPr>
      </w:pPr>
    </w:p>
    <w:p w14:paraId="0AAD5F26">
      <w:pPr>
        <w:autoSpaceDE w:val="0"/>
        <w:autoSpaceDN w:val="0"/>
        <w:adjustRightInd w:val="0"/>
        <w:spacing w:line="360" w:lineRule="auto"/>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u w:val="single"/>
          <w:lang w:val="zh-CN"/>
        </w:rPr>
        <w:t xml:space="preserve">（法定代表人姓名）  </w:t>
      </w:r>
      <w:r>
        <w:rPr>
          <w:rFonts w:hint="eastAsia" w:ascii="宋体" w:hAnsi="宋体" w:eastAsia="宋体" w:cs="宋体"/>
          <w:color w:val="auto"/>
          <w:sz w:val="24"/>
          <w:highlight w:val="none"/>
          <w:lang w:val="zh-CN"/>
        </w:rPr>
        <w:t>现任我单位职务，为法定代表人，特此证明。</w:t>
      </w:r>
    </w:p>
    <w:p w14:paraId="3A159FF8">
      <w:pPr>
        <w:autoSpaceDE w:val="0"/>
        <w:autoSpaceDN w:val="0"/>
        <w:adjustRightInd w:val="0"/>
        <w:spacing w:line="360" w:lineRule="auto"/>
        <w:jc w:val="left"/>
        <w:rPr>
          <w:rFonts w:hint="eastAsia" w:ascii="宋体" w:hAnsi="宋体" w:eastAsia="宋体" w:cs="宋体"/>
          <w:color w:val="auto"/>
          <w:sz w:val="24"/>
          <w:highlight w:val="none"/>
          <w:lang w:val="zh-CN"/>
        </w:rPr>
      </w:pPr>
    </w:p>
    <w:p w14:paraId="1986EAD1">
      <w:pPr>
        <w:autoSpaceDE w:val="0"/>
        <w:autoSpaceDN w:val="0"/>
        <w:adjustRightInd w:val="0"/>
        <w:spacing w:line="360" w:lineRule="auto"/>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法定代表人基本情况： </w:t>
      </w:r>
    </w:p>
    <w:p w14:paraId="3C6E378C">
      <w:pPr>
        <w:autoSpaceDE w:val="0"/>
        <w:autoSpaceDN w:val="0"/>
        <w:adjustRightInd w:val="0"/>
        <w:spacing w:line="360" w:lineRule="auto"/>
        <w:jc w:val="left"/>
        <w:rPr>
          <w:rFonts w:hint="eastAsia" w:ascii="宋体" w:hAnsi="宋体" w:eastAsia="宋体" w:cs="宋体"/>
          <w:color w:val="auto"/>
          <w:sz w:val="24"/>
          <w:highlight w:val="none"/>
          <w:lang w:val="zh-CN"/>
        </w:rPr>
      </w:pPr>
    </w:p>
    <w:p w14:paraId="072958D6">
      <w:pPr>
        <w:autoSpaceDE w:val="0"/>
        <w:autoSpaceDN w:val="0"/>
        <w:adjustRightInd w:val="0"/>
        <w:spacing w:line="360" w:lineRule="auto"/>
        <w:jc w:val="left"/>
        <w:rPr>
          <w:rFonts w:hint="eastAsia" w:ascii="宋体" w:hAnsi="宋体" w:eastAsia="宋体" w:cs="宋体"/>
          <w:color w:val="auto"/>
          <w:sz w:val="24"/>
          <w:highlight w:val="none"/>
          <w:u w:val="single"/>
          <w:lang w:val="zh-CN"/>
        </w:rPr>
      </w:pPr>
      <w:r>
        <w:rPr>
          <w:rFonts w:hint="eastAsia" w:ascii="宋体" w:hAnsi="宋体" w:eastAsia="宋体" w:cs="宋体"/>
          <w:color w:val="auto"/>
          <w:sz w:val="24"/>
          <w:highlight w:val="none"/>
          <w:lang w:val="zh-CN"/>
        </w:rPr>
        <w:t>性别：      年龄：       民族：</w:t>
      </w:r>
    </w:p>
    <w:p w14:paraId="70F83265">
      <w:pPr>
        <w:autoSpaceDE w:val="0"/>
        <w:autoSpaceDN w:val="0"/>
        <w:adjustRightInd w:val="0"/>
        <w:spacing w:line="360" w:lineRule="auto"/>
        <w:jc w:val="left"/>
        <w:rPr>
          <w:rFonts w:hint="eastAsia" w:ascii="宋体" w:hAnsi="宋体" w:eastAsia="宋体" w:cs="宋体"/>
          <w:color w:val="auto"/>
          <w:sz w:val="24"/>
          <w:highlight w:val="none"/>
          <w:lang w:val="zh-CN"/>
        </w:rPr>
      </w:pPr>
    </w:p>
    <w:p w14:paraId="21AF2A91">
      <w:pPr>
        <w:autoSpaceDE w:val="0"/>
        <w:autoSpaceDN w:val="0"/>
        <w:adjustRightInd w:val="0"/>
        <w:spacing w:line="360" w:lineRule="auto"/>
        <w:jc w:val="left"/>
        <w:rPr>
          <w:rFonts w:hint="eastAsia" w:ascii="宋体" w:hAnsi="宋体" w:eastAsia="宋体" w:cs="宋体"/>
          <w:color w:val="auto"/>
          <w:sz w:val="24"/>
          <w:highlight w:val="none"/>
          <w:u w:val="single"/>
          <w:lang w:val="zh-CN"/>
        </w:rPr>
      </w:pPr>
      <w:r>
        <w:rPr>
          <w:rFonts w:hint="eastAsia" w:ascii="宋体" w:hAnsi="宋体" w:eastAsia="宋体" w:cs="宋体"/>
          <w:color w:val="auto"/>
          <w:sz w:val="24"/>
          <w:highlight w:val="none"/>
          <w:lang w:val="zh-CN"/>
        </w:rPr>
        <w:t>地址：</w:t>
      </w:r>
    </w:p>
    <w:p w14:paraId="1C245120">
      <w:pPr>
        <w:autoSpaceDE w:val="0"/>
        <w:autoSpaceDN w:val="0"/>
        <w:adjustRightInd w:val="0"/>
        <w:spacing w:line="360" w:lineRule="auto"/>
        <w:jc w:val="left"/>
        <w:rPr>
          <w:rFonts w:hint="eastAsia" w:ascii="宋体" w:hAnsi="宋体" w:eastAsia="宋体" w:cs="宋体"/>
          <w:color w:val="auto"/>
          <w:sz w:val="24"/>
          <w:highlight w:val="none"/>
          <w:lang w:val="zh-CN"/>
        </w:rPr>
      </w:pPr>
    </w:p>
    <w:p w14:paraId="39A4D4CA">
      <w:pPr>
        <w:autoSpaceDE w:val="0"/>
        <w:autoSpaceDN w:val="0"/>
        <w:adjustRightInd w:val="0"/>
        <w:spacing w:line="360" w:lineRule="auto"/>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身份证号码：</w:t>
      </w:r>
    </w:p>
    <w:p w14:paraId="54E7FEB4">
      <w:pPr>
        <w:autoSpaceDE w:val="0"/>
        <w:autoSpaceDN w:val="0"/>
        <w:adjustRightInd w:val="0"/>
        <w:spacing w:line="360" w:lineRule="auto"/>
        <w:jc w:val="left"/>
        <w:rPr>
          <w:rFonts w:hint="eastAsia" w:ascii="宋体" w:hAnsi="宋体" w:eastAsia="宋体" w:cs="宋体"/>
          <w:color w:val="auto"/>
          <w:sz w:val="24"/>
          <w:highlight w:val="none"/>
          <w:lang w:val="zh-CN"/>
        </w:rPr>
      </w:pPr>
    </w:p>
    <w:p w14:paraId="3BE1E68D">
      <w:pPr>
        <w:autoSpaceDE w:val="0"/>
        <w:autoSpaceDN w:val="0"/>
        <w:adjustRightInd w:val="0"/>
        <w:spacing w:line="360" w:lineRule="auto"/>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附：法定代表人第二代身份证双面扫描（或复印）件</w:t>
      </w:r>
    </w:p>
    <w:p w14:paraId="7CB4EBD4">
      <w:pPr>
        <w:autoSpaceDE w:val="0"/>
        <w:autoSpaceDN w:val="0"/>
        <w:adjustRightInd w:val="0"/>
        <w:spacing w:line="360" w:lineRule="auto"/>
        <w:jc w:val="left"/>
        <w:rPr>
          <w:rFonts w:hint="eastAsia" w:ascii="宋体" w:hAnsi="宋体" w:eastAsia="宋体" w:cs="宋体"/>
          <w:color w:val="auto"/>
          <w:sz w:val="24"/>
          <w:highlight w:val="none"/>
          <w:lang w:val="zh-CN"/>
        </w:rPr>
      </w:pPr>
    </w:p>
    <w:p w14:paraId="7ABA2774">
      <w:pPr>
        <w:autoSpaceDE w:val="0"/>
        <w:autoSpaceDN w:val="0"/>
        <w:adjustRightInd w:val="0"/>
        <w:spacing w:line="360" w:lineRule="auto"/>
        <w:jc w:val="left"/>
        <w:rPr>
          <w:rFonts w:hint="eastAsia" w:ascii="宋体" w:hAnsi="宋体" w:eastAsia="宋体" w:cs="宋体"/>
          <w:color w:val="auto"/>
          <w:sz w:val="24"/>
          <w:highlight w:val="none"/>
          <w:lang w:val="zh-CN"/>
        </w:rPr>
      </w:pPr>
    </w:p>
    <w:p w14:paraId="4835BFBF">
      <w:pPr>
        <w:tabs>
          <w:tab w:val="left" w:pos="168"/>
        </w:tabs>
        <w:adjustRightInd w:val="0"/>
        <w:spacing w:line="360" w:lineRule="auto"/>
        <w:jc w:val="left"/>
        <w:textAlignment w:val="baseline"/>
        <w:rPr>
          <w:rFonts w:hint="eastAsia" w:ascii="宋体" w:hAnsi="宋体" w:eastAsia="宋体" w:cs="宋体"/>
          <w:bCs/>
          <w:color w:val="auto"/>
          <w:sz w:val="28"/>
          <w:szCs w:val="28"/>
          <w:highlight w:val="none"/>
        </w:rPr>
      </w:pPr>
      <w:bookmarkStart w:id="535" w:name="_Toc16858"/>
      <w:bookmarkStart w:id="536" w:name="_Toc444715738"/>
    </w:p>
    <w:p w14:paraId="1EFBAF35">
      <w:pPr>
        <w:tabs>
          <w:tab w:val="left" w:pos="168"/>
        </w:tabs>
        <w:adjustRightInd w:val="0"/>
        <w:spacing w:line="360" w:lineRule="auto"/>
        <w:jc w:val="left"/>
        <w:textAlignment w:val="baseline"/>
        <w:rPr>
          <w:rFonts w:hint="eastAsia" w:ascii="宋体" w:hAnsi="宋体" w:eastAsia="宋体" w:cs="宋体"/>
          <w:bCs/>
          <w:color w:val="auto"/>
          <w:sz w:val="24"/>
          <w:szCs w:val="28"/>
          <w:highlight w:val="none"/>
        </w:rPr>
      </w:pPr>
    </w:p>
    <w:p w14:paraId="51137874">
      <w:pPr>
        <w:tabs>
          <w:tab w:val="left" w:pos="168"/>
        </w:tabs>
        <w:adjustRightInd w:val="0"/>
        <w:spacing w:line="360" w:lineRule="auto"/>
        <w:ind w:firstLine="4958" w:firstLineChars="2058"/>
        <w:jc w:val="left"/>
        <w:textAlignment w:val="baseline"/>
        <w:outlineLvl w:val="1"/>
        <w:rPr>
          <w:rFonts w:hint="eastAsia" w:ascii="宋体" w:hAnsi="宋体" w:eastAsia="宋体" w:cs="宋体"/>
          <w:b/>
          <w:color w:val="auto"/>
          <w:sz w:val="24"/>
          <w:szCs w:val="28"/>
          <w:highlight w:val="none"/>
        </w:rPr>
      </w:pPr>
      <w:bookmarkStart w:id="537" w:name="_Toc26743"/>
      <w:bookmarkStart w:id="538" w:name="_Toc12876"/>
      <w:bookmarkStart w:id="539" w:name="_Toc14268"/>
      <w:bookmarkStart w:id="540" w:name="_Toc22038"/>
      <w:r>
        <w:rPr>
          <w:rFonts w:hint="eastAsia" w:ascii="宋体" w:hAnsi="宋体" w:eastAsia="宋体" w:cs="宋体"/>
          <w:b/>
          <w:color w:val="auto"/>
          <w:sz w:val="24"/>
          <w:szCs w:val="28"/>
          <w:highlight w:val="none"/>
        </w:rPr>
        <w:t>供应商：        （公章）</w:t>
      </w:r>
      <w:bookmarkEnd w:id="537"/>
      <w:bookmarkEnd w:id="538"/>
      <w:bookmarkEnd w:id="539"/>
      <w:bookmarkEnd w:id="540"/>
    </w:p>
    <w:p w14:paraId="7AB329B7">
      <w:pPr>
        <w:tabs>
          <w:tab w:val="left" w:pos="168"/>
        </w:tabs>
        <w:adjustRightInd w:val="0"/>
        <w:spacing w:line="360" w:lineRule="auto"/>
        <w:jc w:val="right"/>
        <w:textAlignment w:val="baseline"/>
        <w:outlineLvl w:val="1"/>
        <w:rPr>
          <w:rFonts w:hint="eastAsia" w:ascii="宋体" w:hAnsi="宋体" w:eastAsia="宋体" w:cs="宋体"/>
          <w:b/>
          <w:color w:val="auto"/>
          <w:sz w:val="24"/>
          <w:szCs w:val="28"/>
          <w:highlight w:val="none"/>
        </w:rPr>
      </w:pPr>
      <w:bookmarkStart w:id="541" w:name="_Toc12554"/>
      <w:bookmarkStart w:id="542" w:name="_Toc8734"/>
      <w:bookmarkStart w:id="543" w:name="_Toc26643"/>
      <w:bookmarkStart w:id="544" w:name="_Toc2073"/>
      <w:r>
        <w:rPr>
          <w:rFonts w:hint="eastAsia" w:ascii="宋体" w:hAnsi="宋体" w:eastAsia="宋体" w:cs="宋体"/>
          <w:b/>
          <w:color w:val="auto"/>
          <w:sz w:val="24"/>
          <w:szCs w:val="28"/>
          <w:highlight w:val="none"/>
        </w:rPr>
        <w:t>法定代表人：                 （签字或盖章）</w:t>
      </w:r>
      <w:bookmarkEnd w:id="541"/>
      <w:bookmarkEnd w:id="542"/>
      <w:bookmarkEnd w:id="543"/>
      <w:bookmarkEnd w:id="544"/>
    </w:p>
    <w:p w14:paraId="49CDF7FC">
      <w:pPr>
        <w:tabs>
          <w:tab w:val="left" w:pos="168"/>
        </w:tabs>
        <w:adjustRightInd w:val="0"/>
        <w:spacing w:line="360" w:lineRule="auto"/>
        <w:ind w:firstLine="5313" w:firstLineChars="2205"/>
        <w:jc w:val="left"/>
        <w:textAlignment w:val="baseline"/>
        <w:outlineLvl w:val="1"/>
        <w:rPr>
          <w:rFonts w:hint="eastAsia" w:ascii="宋体" w:hAnsi="宋体" w:eastAsia="宋体" w:cs="宋体"/>
          <w:b/>
          <w:color w:val="auto"/>
          <w:sz w:val="24"/>
          <w:szCs w:val="28"/>
          <w:highlight w:val="none"/>
        </w:rPr>
      </w:pPr>
      <w:bookmarkStart w:id="545" w:name="_Toc23122"/>
      <w:bookmarkStart w:id="546" w:name="_Toc28841"/>
      <w:bookmarkStart w:id="547" w:name="_Toc22764"/>
      <w:bookmarkStart w:id="548" w:name="_Toc23688"/>
      <w:r>
        <w:rPr>
          <w:rFonts w:hint="eastAsia" w:ascii="宋体" w:hAnsi="宋体" w:eastAsia="宋体" w:cs="宋体"/>
          <w:b/>
          <w:color w:val="auto"/>
          <w:sz w:val="24"/>
          <w:szCs w:val="28"/>
          <w:highlight w:val="none"/>
        </w:rPr>
        <w:t>日期：     年   月   日</w:t>
      </w:r>
      <w:bookmarkEnd w:id="545"/>
      <w:bookmarkEnd w:id="546"/>
      <w:bookmarkEnd w:id="547"/>
      <w:bookmarkEnd w:id="548"/>
    </w:p>
    <w:p w14:paraId="03BC2E28">
      <w:pPr>
        <w:pStyle w:val="4"/>
        <w:numPr>
          <w:ilvl w:val="2"/>
          <w:numId w:val="0"/>
        </w:numPr>
        <w:spacing w:line="360" w:lineRule="auto"/>
        <w:ind w:left="709" w:hanging="709"/>
        <w:jc w:val="left"/>
        <w:rPr>
          <w:rFonts w:hint="eastAsia" w:ascii="宋体" w:hAnsi="宋体" w:eastAsia="宋体" w:cs="宋体"/>
          <w:b/>
          <w:color w:val="auto"/>
          <w:sz w:val="32"/>
          <w:highlight w:val="none"/>
          <w:lang w:val="zh-CN"/>
        </w:rPr>
      </w:pPr>
      <w:r>
        <w:rPr>
          <w:rFonts w:hint="eastAsia" w:ascii="宋体" w:hAnsi="宋体" w:eastAsia="宋体" w:cs="宋体"/>
          <w:bCs/>
          <w:color w:val="auto"/>
          <w:szCs w:val="28"/>
          <w:highlight w:val="none"/>
        </w:rPr>
        <w:br w:type="page"/>
      </w:r>
      <w:bookmarkStart w:id="549" w:name="_Toc13962"/>
      <w:bookmarkStart w:id="550" w:name="_Toc10327"/>
      <w:bookmarkStart w:id="551" w:name="_Toc23471"/>
      <w:bookmarkStart w:id="552" w:name="_Toc3382"/>
      <w:bookmarkStart w:id="553" w:name="_Toc17779"/>
      <w:bookmarkStart w:id="554" w:name="_Toc27402"/>
      <w:r>
        <w:rPr>
          <w:rFonts w:hint="eastAsia" w:ascii="宋体" w:hAnsi="宋体" w:eastAsia="宋体" w:cs="宋体"/>
          <w:b/>
          <w:color w:val="auto"/>
          <w:sz w:val="32"/>
          <w:highlight w:val="none"/>
          <w:lang w:val="zh-CN"/>
        </w:rPr>
        <w:t>格式3、法定代表人授权书</w:t>
      </w:r>
      <w:bookmarkEnd w:id="535"/>
      <w:bookmarkEnd w:id="536"/>
      <w:bookmarkEnd w:id="549"/>
      <w:bookmarkEnd w:id="550"/>
      <w:bookmarkEnd w:id="551"/>
      <w:bookmarkEnd w:id="552"/>
      <w:bookmarkEnd w:id="553"/>
      <w:bookmarkEnd w:id="554"/>
    </w:p>
    <w:p w14:paraId="01CAF9EE">
      <w:pPr>
        <w:spacing w:line="360" w:lineRule="auto"/>
        <w:jc w:val="left"/>
        <w:rPr>
          <w:rFonts w:hint="eastAsia" w:ascii="宋体" w:hAnsi="宋体" w:eastAsia="宋体" w:cs="宋体"/>
          <w:color w:val="auto"/>
          <w:highlight w:val="none"/>
        </w:rPr>
      </w:pPr>
    </w:p>
    <w:p w14:paraId="6E538E15">
      <w:pPr>
        <w:adjustRightInd w:val="0"/>
        <w:spacing w:line="360" w:lineRule="auto"/>
        <w:jc w:val="center"/>
        <w:textAlignment w:val="baseline"/>
        <w:rPr>
          <w:rFonts w:hint="eastAsia" w:ascii="宋体" w:hAnsi="宋体" w:eastAsia="宋体" w:cs="宋体"/>
          <w:b/>
          <w:color w:val="auto"/>
          <w:sz w:val="32"/>
          <w:szCs w:val="30"/>
          <w:highlight w:val="none"/>
        </w:rPr>
      </w:pPr>
      <w:r>
        <w:rPr>
          <w:rFonts w:hint="eastAsia" w:ascii="宋体" w:hAnsi="宋体" w:eastAsia="宋体" w:cs="宋体"/>
          <w:b/>
          <w:color w:val="auto"/>
          <w:sz w:val="32"/>
          <w:szCs w:val="30"/>
          <w:highlight w:val="none"/>
        </w:rPr>
        <w:t>法定代表人授权书</w:t>
      </w:r>
    </w:p>
    <w:p w14:paraId="63DF23A0">
      <w:pPr>
        <w:pStyle w:val="37"/>
        <w:spacing w:line="360" w:lineRule="auto"/>
        <w:rPr>
          <w:rFonts w:hint="eastAsia" w:ascii="宋体" w:hAnsi="宋体" w:eastAsia="宋体" w:cs="宋体"/>
          <w:color w:val="auto"/>
          <w:highlight w:val="none"/>
          <w:lang w:val="zh-CN"/>
        </w:rPr>
      </w:pPr>
    </w:p>
    <w:p w14:paraId="37F8FD75">
      <w:pPr>
        <w:spacing w:line="360" w:lineRule="auto"/>
        <w:jc w:val="left"/>
        <w:outlineLvl w:val="1"/>
        <w:rPr>
          <w:rFonts w:hint="eastAsia" w:ascii="宋体" w:hAnsi="宋体" w:eastAsia="宋体" w:cs="宋体"/>
          <w:b/>
          <w:bCs/>
          <w:color w:val="auto"/>
          <w:sz w:val="24"/>
          <w:highlight w:val="none"/>
        </w:rPr>
      </w:pPr>
      <w:bookmarkStart w:id="555" w:name="_Toc7816"/>
      <w:bookmarkStart w:id="556" w:name="_Toc14612"/>
      <w:bookmarkStart w:id="557" w:name="_Toc24424"/>
      <w:bookmarkStart w:id="558" w:name="_Toc3420"/>
      <w:r>
        <w:rPr>
          <w:rFonts w:hint="eastAsia" w:ascii="宋体" w:hAnsi="宋体" w:eastAsia="宋体" w:cs="宋体"/>
          <w:b/>
          <w:bCs/>
          <w:color w:val="auto"/>
          <w:sz w:val="24"/>
          <w:highlight w:val="none"/>
        </w:rPr>
        <w:t>致：</w:t>
      </w:r>
      <w:bookmarkEnd w:id="555"/>
      <w:r>
        <w:rPr>
          <w:rFonts w:hint="eastAsia" w:ascii="宋体" w:hAnsi="宋体" w:eastAsia="宋体" w:cs="宋体"/>
          <w:b/>
          <w:bCs/>
          <w:color w:val="auto"/>
          <w:sz w:val="24"/>
          <w:highlight w:val="none"/>
        </w:rPr>
        <w:t>青海中旭工程项目管理有限公司</w:t>
      </w:r>
      <w:bookmarkEnd w:id="556"/>
      <w:bookmarkEnd w:id="557"/>
      <w:bookmarkEnd w:id="558"/>
    </w:p>
    <w:p w14:paraId="2C30EC16">
      <w:pPr>
        <w:spacing w:line="360" w:lineRule="auto"/>
        <w:jc w:val="left"/>
        <w:rPr>
          <w:rFonts w:hint="eastAsia" w:ascii="宋体" w:hAnsi="宋体" w:eastAsia="宋体" w:cs="宋体"/>
          <w:color w:val="auto"/>
          <w:sz w:val="24"/>
          <w:highlight w:val="none"/>
          <w:u w:val="single"/>
        </w:rPr>
      </w:pPr>
    </w:p>
    <w:p w14:paraId="49CBF107">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（供应商名称）  </w:t>
      </w:r>
      <w:r>
        <w:rPr>
          <w:rFonts w:hint="eastAsia" w:ascii="宋体" w:hAnsi="宋体" w:eastAsia="宋体" w:cs="宋体"/>
          <w:color w:val="auto"/>
          <w:sz w:val="24"/>
          <w:highlight w:val="none"/>
        </w:rPr>
        <w:t>系中华人民共和国合法企业，法定地址</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w:t>
      </w:r>
    </w:p>
    <w:p w14:paraId="5A64F60E">
      <w:pPr>
        <w:spacing w:line="360" w:lineRule="auto"/>
        <w:jc w:val="left"/>
        <w:rPr>
          <w:rFonts w:hint="eastAsia" w:ascii="宋体" w:hAnsi="宋体" w:eastAsia="宋体" w:cs="宋体"/>
          <w:color w:val="auto"/>
          <w:sz w:val="24"/>
          <w:szCs w:val="28"/>
          <w:highlight w:val="none"/>
        </w:rPr>
      </w:pPr>
      <w:r>
        <w:rPr>
          <w:rFonts w:hint="eastAsia" w:ascii="宋体" w:hAnsi="宋体" w:eastAsia="宋体" w:cs="宋体"/>
          <w:color w:val="auto"/>
          <w:sz w:val="24"/>
          <w:highlight w:val="none"/>
          <w:u w:val="single"/>
        </w:rPr>
        <w:t>（法定代表人姓名）</w:t>
      </w:r>
      <w:r>
        <w:rPr>
          <w:rFonts w:hint="eastAsia" w:ascii="宋体" w:hAnsi="宋体" w:eastAsia="宋体" w:cs="宋体"/>
          <w:color w:val="auto"/>
          <w:sz w:val="24"/>
          <w:highlight w:val="none"/>
        </w:rPr>
        <w:t>特授权</w:t>
      </w:r>
      <w:r>
        <w:rPr>
          <w:rFonts w:hint="eastAsia" w:ascii="宋体" w:hAnsi="宋体" w:eastAsia="宋体" w:cs="宋体"/>
          <w:color w:val="auto"/>
          <w:sz w:val="24"/>
          <w:highlight w:val="none"/>
          <w:u w:val="single"/>
        </w:rPr>
        <w:t>（被授权人姓名）</w:t>
      </w:r>
      <w:r>
        <w:rPr>
          <w:rFonts w:hint="eastAsia" w:ascii="宋体" w:hAnsi="宋体" w:eastAsia="宋体" w:cs="宋体"/>
          <w:color w:val="auto"/>
          <w:sz w:val="24"/>
          <w:highlight w:val="none"/>
        </w:rPr>
        <w:t>代表我单位全权办理</w:t>
      </w:r>
      <w:r>
        <w:rPr>
          <w:rFonts w:hint="eastAsia" w:ascii="宋体" w:hAnsi="宋体" w:eastAsia="宋体" w:cs="宋体"/>
          <w:color w:val="auto"/>
          <w:sz w:val="24"/>
          <w:highlight w:val="none"/>
          <w:u w:val="single"/>
        </w:rPr>
        <w:t xml:space="preserve">           项</w:t>
      </w:r>
      <w:r>
        <w:rPr>
          <w:rFonts w:hint="eastAsia" w:ascii="宋体" w:hAnsi="宋体" w:eastAsia="宋体" w:cs="宋体"/>
          <w:color w:val="auto"/>
          <w:sz w:val="24"/>
          <w:szCs w:val="28"/>
          <w:highlight w:val="none"/>
          <w:u w:val="single"/>
        </w:rPr>
        <w:t>目</w:t>
      </w:r>
      <w:r>
        <w:rPr>
          <w:rFonts w:hint="eastAsia" w:ascii="宋体" w:hAnsi="宋体" w:eastAsia="宋体" w:cs="宋体"/>
          <w:color w:val="auto"/>
          <w:sz w:val="24"/>
          <w:szCs w:val="28"/>
          <w:highlight w:val="none"/>
        </w:rPr>
        <w:t>的磋商、答疑等具体工作，并签署全部有关的文件、协议及合同。</w:t>
      </w:r>
    </w:p>
    <w:p w14:paraId="40A0EC0A">
      <w:pPr>
        <w:spacing w:line="360" w:lineRule="auto"/>
        <w:ind w:firstLine="480" w:firstLineChars="200"/>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我单位对被授权人的签名负全部责任。</w:t>
      </w:r>
    </w:p>
    <w:p w14:paraId="6F11E5BD">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lang w:val="zh-CN"/>
        </w:rPr>
        <w:t>授权期限：自</w:t>
      </w:r>
      <w:r>
        <w:rPr>
          <w:rFonts w:hint="eastAsia" w:ascii="宋体" w:hAnsi="宋体" w:eastAsia="宋体" w:cs="宋体"/>
          <w:color w:val="auto"/>
          <w:sz w:val="24"/>
          <w:szCs w:val="28"/>
          <w:highlight w:val="none"/>
        </w:rPr>
        <w:t xml:space="preserve">    年    月   日起至   年     月    日止（授权期限必须满足磋商有效期的要求）。</w:t>
      </w:r>
    </w:p>
    <w:p w14:paraId="3551142E">
      <w:pPr>
        <w:spacing w:line="360" w:lineRule="auto"/>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被授权人联系电话：</w:t>
      </w:r>
    </w:p>
    <w:p w14:paraId="28E47C58">
      <w:pPr>
        <w:spacing w:line="360" w:lineRule="auto"/>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被授权人（委托代理人）签</w:t>
      </w:r>
      <w:r>
        <w:rPr>
          <w:rFonts w:hint="eastAsia" w:ascii="宋体" w:hAnsi="宋体" w:eastAsia="宋体" w:cs="宋体"/>
          <w:color w:val="auto"/>
          <w:sz w:val="24"/>
          <w:highlight w:val="none"/>
          <w:lang w:eastAsia="zh-CN"/>
        </w:rPr>
        <w:t>字</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授权人（法定代表人）签</w:t>
      </w:r>
      <w:r>
        <w:rPr>
          <w:rFonts w:hint="eastAsia" w:ascii="宋体" w:hAnsi="宋体" w:eastAsia="宋体" w:cs="宋体"/>
          <w:color w:val="auto"/>
          <w:sz w:val="24"/>
          <w:highlight w:val="none"/>
          <w:lang w:eastAsia="zh-CN"/>
        </w:rPr>
        <w:t>字</w:t>
      </w:r>
      <w:r>
        <w:rPr>
          <w:rFonts w:hint="eastAsia" w:ascii="宋体" w:hAnsi="宋体" w:eastAsia="宋体" w:cs="宋体"/>
          <w:color w:val="auto"/>
          <w:sz w:val="24"/>
          <w:highlight w:val="none"/>
        </w:rPr>
        <w:t>：</w:t>
      </w:r>
    </w:p>
    <w:p w14:paraId="41DB56A3">
      <w:pPr>
        <w:spacing w:line="360" w:lineRule="auto"/>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职务：                                      职务：</w:t>
      </w:r>
    </w:p>
    <w:p w14:paraId="3A8AB1C4">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附：被授权人身份证正、反面扫描（或复印）件</w:t>
      </w:r>
    </w:p>
    <w:p w14:paraId="6A58700E">
      <w:pPr>
        <w:tabs>
          <w:tab w:val="left" w:pos="168"/>
        </w:tabs>
        <w:adjustRightInd w:val="0"/>
        <w:spacing w:line="360" w:lineRule="auto"/>
        <w:jc w:val="left"/>
        <w:textAlignment w:val="baseline"/>
        <w:rPr>
          <w:rFonts w:hint="eastAsia" w:ascii="宋体" w:hAnsi="宋体" w:eastAsia="宋体" w:cs="宋体"/>
          <w:bCs/>
          <w:color w:val="auto"/>
          <w:sz w:val="28"/>
          <w:szCs w:val="28"/>
          <w:highlight w:val="none"/>
        </w:rPr>
      </w:pPr>
    </w:p>
    <w:p w14:paraId="6D6C247D">
      <w:pPr>
        <w:tabs>
          <w:tab w:val="left" w:pos="168"/>
        </w:tabs>
        <w:adjustRightInd w:val="0"/>
        <w:spacing w:line="360" w:lineRule="auto"/>
        <w:jc w:val="left"/>
        <w:textAlignment w:val="baseline"/>
        <w:rPr>
          <w:rFonts w:hint="eastAsia" w:ascii="宋体" w:hAnsi="宋体" w:eastAsia="宋体" w:cs="宋体"/>
          <w:bCs/>
          <w:color w:val="auto"/>
          <w:sz w:val="28"/>
          <w:szCs w:val="28"/>
          <w:highlight w:val="none"/>
        </w:rPr>
      </w:pPr>
    </w:p>
    <w:p w14:paraId="028EF89D">
      <w:pPr>
        <w:tabs>
          <w:tab w:val="left" w:pos="168"/>
        </w:tabs>
        <w:adjustRightInd w:val="0"/>
        <w:spacing w:line="360" w:lineRule="auto"/>
        <w:jc w:val="left"/>
        <w:textAlignment w:val="baseline"/>
        <w:rPr>
          <w:rFonts w:hint="eastAsia" w:ascii="宋体" w:hAnsi="宋体" w:eastAsia="宋体" w:cs="宋体"/>
          <w:bCs/>
          <w:color w:val="auto"/>
          <w:sz w:val="24"/>
          <w:szCs w:val="28"/>
          <w:highlight w:val="none"/>
        </w:rPr>
      </w:pPr>
    </w:p>
    <w:p w14:paraId="592D251F">
      <w:pPr>
        <w:tabs>
          <w:tab w:val="left" w:pos="168"/>
        </w:tabs>
        <w:adjustRightInd w:val="0"/>
        <w:spacing w:line="360" w:lineRule="auto"/>
        <w:ind w:firstLine="4958" w:firstLineChars="2058"/>
        <w:jc w:val="left"/>
        <w:textAlignment w:val="baseline"/>
        <w:outlineLvl w:val="1"/>
        <w:rPr>
          <w:rFonts w:hint="eastAsia" w:ascii="宋体" w:hAnsi="宋体" w:eastAsia="宋体" w:cs="宋体"/>
          <w:b/>
          <w:color w:val="auto"/>
          <w:sz w:val="24"/>
          <w:szCs w:val="28"/>
          <w:highlight w:val="none"/>
        </w:rPr>
      </w:pPr>
      <w:bookmarkStart w:id="559" w:name="_Toc31737"/>
      <w:bookmarkStart w:id="560" w:name="_Toc20653"/>
      <w:bookmarkStart w:id="561" w:name="_Toc6049"/>
      <w:bookmarkStart w:id="562" w:name="_Toc26776"/>
      <w:r>
        <w:rPr>
          <w:rFonts w:hint="eastAsia" w:ascii="宋体" w:hAnsi="宋体" w:eastAsia="宋体" w:cs="宋体"/>
          <w:b/>
          <w:color w:val="auto"/>
          <w:sz w:val="24"/>
          <w:szCs w:val="28"/>
          <w:highlight w:val="none"/>
        </w:rPr>
        <w:t>供应商：         （公章）</w:t>
      </w:r>
      <w:bookmarkEnd w:id="559"/>
      <w:bookmarkEnd w:id="560"/>
      <w:bookmarkEnd w:id="561"/>
      <w:bookmarkEnd w:id="562"/>
    </w:p>
    <w:p w14:paraId="25A99EA4">
      <w:pPr>
        <w:tabs>
          <w:tab w:val="left" w:pos="168"/>
        </w:tabs>
        <w:adjustRightInd w:val="0"/>
        <w:spacing w:line="360" w:lineRule="auto"/>
        <w:jc w:val="right"/>
        <w:textAlignment w:val="baseline"/>
        <w:outlineLvl w:val="1"/>
        <w:rPr>
          <w:rFonts w:hint="eastAsia" w:ascii="宋体" w:hAnsi="宋体" w:eastAsia="宋体" w:cs="宋体"/>
          <w:b/>
          <w:color w:val="auto"/>
          <w:sz w:val="24"/>
          <w:szCs w:val="28"/>
          <w:highlight w:val="none"/>
        </w:rPr>
      </w:pPr>
      <w:bookmarkStart w:id="563" w:name="_Toc22350"/>
      <w:bookmarkStart w:id="564" w:name="_Toc10198"/>
      <w:bookmarkStart w:id="565" w:name="_Toc30314"/>
      <w:bookmarkStart w:id="566" w:name="_Toc11166"/>
      <w:r>
        <w:rPr>
          <w:rFonts w:hint="eastAsia" w:ascii="宋体" w:hAnsi="宋体" w:eastAsia="宋体" w:cs="宋体"/>
          <w:b/>
          <w:color w:val="auto"/>
          <w:sz w:val="24"/>
          <w:szCs w:val="28"/>
          <w:highlight w:val="none"/>
        </w:rPr>
        <w:t>法定代表人：                 （签字或盖章）</w:t>
      </w:r>
      <w:bookmarkEnd w:id="563"/>
      <w:bookmarkEnd w:id="564"/>
      <w:bookmarkEnd w:id="565"/>
      <w:bookmarkEnd w:id="566"/>
    </w:p>
    <w:p w14:paraId="0C135912">
      <w:pPr>
        <w:tabs>
          <w:tab w:val="left" w:pos="168"/>
        </w:tabs>
        <w:adjustRightInd w:val="0"/>
        <w:spacing w:line="360" w:lineRule="auto"/>
        <w:ind w:firstLine="5190" w:firstLineChars="2154"/>
        <w:jc w:val="left"/>
        <w:textAlignment w:val="baseline"/>
        <w:outlineLvl w:val="1"/>
        <w:rPr>
          <w:rFonts w:hint="eastAsia" w:ascii="宋体" w:hAnsi="宋体" w:eastAsia="宋体" w:cs="宋体"/>
          <w:b/>
          <w:color w:val="auto"/>
          <w:sz w:val="24"/>
          <w:szCs w:val="28"/>
          <w:highlight w:val="none"/>
        </w:rPr>
      </w:pPr>
      <w:bookmarkStart w:id="567" w:name="_Toc6635"/>
      <w:bookmarkStart w:id="568" w:name="_Toc172"/>
      <w:bookmarkStart w:id="569" w:name="_Toc6824"/>
      <w:bookmarkStart w:id="570" w:name="_Toc26594"/>
      <w:r>
        <w:rPr>
          <w:rFonts w:hint="eastAsia" w:ascii="宋体" w:hAnsi="宋体" w:eastAsia="宋体" w:cs="宋体"/>
          <w:b/>
          <w:color w:val="auto"/>
          <w:sz w:val="24"/>
          <w:szCs w:val="28"/>
          <w:highlight w:val="none"/>
        </w:rPr>
        <w:t>日期：      年   月   日</w:t>
      </w:r>
      <w:bookmarkEnd w:id="567"/>
      <w:bookmarkEnd w:id="568"/>
      <w:bookmarkEnd w:id="569"/>
      <w:bookmarkEnd w:id="570"/>
    </w:p>
    <w:p w14:paraId="460948CE">
      <w:pPr>
        <w:pStyle w:val="4"/>
        <w:numPr>
          <w:ilvl w:val="2"/>
          <w:numId w:val="0"/>
        </w:numPr>
        <w:spacing w:line="360" w:lineRule="auto"/>
        <w:ind w:left="709" w:hanging="709"/>
        <w:jc w:val="left"/>
        <w:rPr>
          <w:rFonts w:hint="eastAsia" w:ascii="宋体" w:hAnsi="宋体" w:eastAsia="宋体" w:cs="宋体"/>
          <w:b/>
          <w:color w:val="auto"/>
          <w:sz w:val="32"/>
          <w:highlight w:val="none"/>
          <w:lang w:val="zh-CN"/>
        </w:rPr>
      </w:pPr>
      <w:r>
        <w:rPr>
          <w:rFonts w:hint="eastAsia" w:ascii="宋体" w:hAnsi="宋体" w:eastAsia="宋体" w:cs="宋体"/>
          <w:bCs/>
          <w:color w:val="auto"/>
          <w:sz w:val="24"/>
          <w:highlight w:val="none"/>
        </w:rPr>
        <w:br w:type="page"/>
      </w:r>
      <w:bookmarkStart w:id="571" w:name="_Toc14487"/>
      <w:bookmarkStart w:id="572" w:name="_Toc16675"/>
      <w:bookmarkStart w:id="573" w:name="_Toc20434"/>
      <w:bookmarkStart w:id="574" w:name="_Toc1409"/>
      <w:bookmarkStart w:id="575" w:name="_Toc17370"/>
      <w:bookmarkStart w:id="576" w:name="_Toc27116"/>
      <w:r>
        <w:rPr>
          <w:rFonts w:hint="eastAsia" w:ascii="宋体" w:hAnsi="宋体" w:eastAsia="宋体" w:cs="宋体"/>
          <w:b/>
          <w:color w:val="auto"/>
          <w:sz w:val="32"/>
          <w:highlight w:val="none"/>
          <w:lang w:val="zh-CN"/>
        </w:rPr>
        <w:t>格式4、供应商承诺书</w:t>
      </w:r>
      <w:bookmarkEnd w:id="571"/>
      <w:bookmarkEnd w:id="572"/>
      <w:bookmarkEnd w:id="573"/>
      <w:bookmarkEnd w:id="574"/>
      <w:bookmarkEnd w:id="575"/>
      <w:bookmarkEnd w:id="576"/>
    </w:p>
    <w:p w14:paraId="15D078DF">
      <w:pPr>
        <w:spacing w:line="360" w:lineRule="auto"/>
        <w:jc w:val="left"/>
        <w:rPr>
          <w:rFonts w:hint="eastAsia" w:ascii="宋体" w:hAnsi="宋体" w:eastAsia="宋体" w:cs="宋体"/>
          <w:color w:val="auto"/>
          <w:highlight w:val="none"/>
          <w:lang w:val="zh-CN"/>
        </w:rPr>
      </w:pPr>
    </w:p>
    <w:p w14:paraId="189CF6B5">
      <w:pPr>
        <w:adjustRightInd w:val="0"/>
        <w:spacing w:line="360" w:lineRule="auto"/>
        <w:jc w:val="center"/>
        <w:textAlignment w:val="baseline"/>
        <w:rPr>
          <w:rFonts w:hint="eastAsia" w:ascii="宋体" w:hAnsi="宋体" w:eastAsia="宋体" w:cs="宋体"/>
          <w:b/>
          <w:color w:val="auto"/>
          <w:sz w:val="32"/>
          <w:szCs w:val="30"/>
          <w:highlight w:val="none"/>
        </w:rPr>
      </w:pPr>
      <w:r>
        <w:rPr>
          <w:rFonts w:hint="eastAsia" w:ascii="宋体" w:hAnsi="宋体" w:eastAsia="宋体" w:cs="宋体"/>
          <w:b/>
          <w:color w:val="auto"/>
          <w:sz w:val="32"/>
          <w:szCs w:val="30"/>
          <w:highlight w:val="none"/>
        </w:rPr>
        <w:t>供应商承诺书</w:t>
      </w:r>
    </w:p>
    <w:p w14:paraId="561DAF02">
      <w:pPr>
        <w:pStyle w:val="37"/>
        <w:spacing w:line="360" w:lineRule="auto"/>
        <w:rPr>
          <w:rFonts w:hint="eastAsia" w:ascii="宋体" w:hAnsi="宋体" w:eastAsia="宋体" w:cs="宋体"/>
          <w:color w:val="auto"/>
          <w:highlight w:val="none"/>
          <w:lang w:val="zh-CN"/>
        </w:rPr>
      </w:pPr>
    </w:p>
    <w:p w14:paraId="08D61B59">
      <w:pPr>
        <w:spacing w:line="360" w:lineRule="auto"/>
        <w:jc w:val="left"/>
        <w:outlineLvl w:val="1"/>
        <w:rPr>
          <w:rFonts w:hint="eastAsia" w:ascii="宋体" w:hAnsi="宋体" w:eastAsia="宋体" w:cs="宋体"/>
          <w:color w:val="auto"/>
          <w:highlight w:val="none"/>
        </w:rPr>
      </w:pPr>
      <w:bookmarkStart w:id="577" w:name="_Toc17320"/>
      <w:bookmarkStart w:id="578" w:name="_Toc24253"/>
      <w:bookmarkStart w:id="579" w:name="_Toc23374"/>
      <w:bookmarkStart w:id="580" w:name="_Toc18574"/>
      <w:r>
        <w:rPr>
          <w:rFonts w:hint="eastAsia" w:ascii="宋体" w:hAnsi="宋体" w:eastAsia="宋体" w:cs="宋体"/>
          <w:b/>
          <w:bCs/>
          <w:color w:val="auto"/>
          <w:sz w:val="24"/>
          <w:szCs w:val="28"/>
          <w:highlight w:val="none"/>
        </w:rPr>
        <w:t>致：</w:t>
      </w:r>
      <w:bookmarkEnd w:id="577"/>
      <w:r>
        <w:rPr>
          <w:rFonts w:hint="eastAsia" w:ascii="宋体" w:hAnsi="宋体" w:eastAsia="宋体" w:cs="宋体"/>
          <w:b/>
          <w:bCs/>
          <w:color w:val="auto"/>
          <w:sz w:val="24"/>
          <w:szCs w:val="28"/>
          <w:highlight w:val="none"/>
        </w:rPr>
        <w:t>青海中旭工程项目管理有限公司</w:t>
      </w:r>
      <w:bookmarkEnd w:id="578"/>
      <w:bookmarkEnd w:id="579"/>
      <w:bookmarkEnd w:id="580"/>
    </w:p>
    <w:p w14:paraId="72131D79">
      <w:pPr>
        <w:spacing w:line="360" w:lineRule="auto"/>
        <w:ind w:firstLine="480" w:firstLineChars="200"/>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关于贵方</w:t>
      </w:r>
      <w:r>
        <w:rPr>
          <w:rFonts w:hint="eastAsia" w:ascii="宋体" w:hAnsi="宋体" w:eastAsia="宋体" w:cs="宋体"/>
          <w:color w:val="auto"/>
          <w:sz w:val="24"/>
          <w:szCs w:val="28"/>
          <w:highlight w:val="none"/>
          <w:u w:val="single"/>
        </w:rPr>
        <w:t>202</w:t>
      </w:r>
      <w:r>
        <w:rPr>
          <w:rFonts w:hint="eastAsia" w:ascii="宋体" w:hAnsi="宋体" w:eastAsia="宋体" w:cs="宋体"/>
          <w:color w:val="auto"/>
          <w:sz w:val="24"/>
          <w:szCs w:val="28"/>
          <w:highlight w:val="none"/>
          <w:u w:val="single"/>
          <w:lang w:val="en-US" w:eastAsia="zh-CN"/>
        </w:rPr>
        <w:t>4</w:t>
      </w:r>
      <w:r>
        <w:rPr>
          <w:rFonts w:hint="eastAsia" w:ascii="宋体" w:hAnsi="宋体" w:eastAsia="宋体" w:cs="宋体"/>
          <w:color w:val="auto"/>
          <w:sz w:val="24"/>
          <w:szCs w:val="28"/>
          <w:highlight w:val="none"/>
          <w:u w:val="single"/>
        </w:rPr>
        <w:t>年   月   日          (项目名称)</w:t>
      </w:r>
      <w:r>
        <w:rPr>
          <w:rFonts w:hint="eastAsia" w:ascii="宋体" w:hAnsi="宋体" w:eastAsia="宋体" w:cs="宋体"/>
          <w:color w:val="auto"/>
          <w:sz w:val="24"/>
          <w:szCs w:val="28"/>
          <w:highlight w:val="none"/>
        </w:rPr>
        <w:t>，本签字人愿意参加磋商，提供磋商文件第六部分采购需求的所有服务，并证实提交的所有资料是准确的和真实的。同时，我代表</w:t>
      </w:r>
      <w:r>
        <w:rPr>
          <w:rFonts w:hint="eastAsia" w:ascii="宋体" w:hAnsi="宋体" w:eastAsia="宋体" w:cs="宋体"/>
          <w:color w:val="auto"/>
          <w:sz w:val="24"/>
          <w:szCs w:val="28"/>
          <w:highlight w:val="none"/>
          <w:u w:val="single"/>
        </w:rPr>
        <w:t>（供应商名称）</w:t>
      </w:r>
      <w:r>
        <w:rPr>
          <w:rFonts w:hint="eastAsia" w:ascii="宋体" w:hAnsi="宋体" w:eastAsia="宋体" w:cs="宋体"/>
          <w:color w:val="auto"/>
          <w:sz w:val="24"/>
          <w:szCs w:val="28"/>
          <w:highlight w:val="none"/>
        </w:rPr>
        <w:t>，在此作如下承诺：</w:t>
      </w:r>
    </w:p>
    <w:p w14:paraId="39E5549D">
      <w:pPr>
        <w:spacing w:line="360" w:lineRule="auto"/>
        <w:ind w:firstLine="480" w:firstLineChars="200"/>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1、完全理解和接受磋商文件的一切规定和要求；</w:t>
      </w:r>
    </w:p>
    <w:p w14:paraId="09AB62E6">
      <w:pPr>
        <w:spacing w:line="360" w:lineRule="auto"/>
        <w:ind w:firstLine="480" w:firstLineChars="200"/>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2、若成交，我方将按照磋商文件的具体规定与采购单位签订合同，并且严格履行合同义务，按时提供优质的服务。如果在合同执行过程中，发现有任何问题，我方一定尽快提供实施相应补救措施或方案，并承担相应的经济责任；</w:t>
      </w:r>
    </w:p>
    <w:p w14:paraId="64617011">
      <w:pPr>
        <w:spacing w:line="360" w:lineRule="auto"/>
        <w:ind w:firstLine="480" w:firstLineChars="200"/>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3、在整个磋商过程中我方若有违规行为，贵方可按磋商文件之规定给予惩罚，我方完全接受；</w:t>
      </w:r>
    </w:p>
    <w:p w14:paraId="21A54A9D">
      <w:pPr>
        <w:spacing w:line="360" w:lineRule="auto"/>
        <w:ind w:firstLine="480" w:firstLineChars="200"/>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4、若成交，本承诺将成为合同不可分割的一部分，与合同具有同等的法律效力。</w:t>
      </w:r>
    </w:p>
    <w:p w14:paraId="1EFFA5B5">
      <w:pPr>
        <w:tabs>
          <w:tab w:val="left" w:pos="168"/>
        </w:tabs>
        <w:adjustRightInd w:val="0"/>
        <w:spacing w:line="360" w:lineRule="auto"/>
        <w:ind w:firstLine="560" w:firstLineChars="200"/>
        <w:jc w:val="left"/>
        <w:textAlignment w:val="baseline"/>
        <w:rPr>
          <w:rFonts w:hint="eastAsia" w:ascii="宋体" w:hAnsi="宋体" w:eastAsia="宋体" w:cs="宋体"/>
          <w:bCs/>
          <w:color w:val="auto"/>
          <w:sz w:val="28"/>
          <w:szCs w:val="28"/>
          <w:highlight w:val="none"/>
        </w:rPr>
      </w:pPr>
    </w:p>
    <w:p w14:paraId="09B19AE5">
      <w:pPr>
        <w:tabs>
          <w:tab w:val="left" w:pos="168"/>
        </w:tabs>
        <w:adjustRightInd w:val="0"/>
        <w:spacing w:line="360" w:lineRule="auto"/>
        <w:jc w:val="left"/>
        <w:textAlignment w:val="baseline"/>
        <w:rPr>
          <w:rFonts w:hint="eastAsia" w:ascii="宋体" w:hAnsi="宋体" w:eastAsia="宋体" w:cs="宋体"/>
          <w:bCs/>
          <w:color w:val="auto"/>
          <w:sz w:val="28"/>
          <w:szCs w:val="28"/>
          <w:highlight w:val="none"/>
        </w:rPr>
      </w:pPr>
    </w:p>
    <w:p w14:paraId="1297D430">
      <w:pPr>
        <w:tabs>
          <w:tab w:val="left" w:pos="168"/>
        </w:tabs>
        <w:adjustRightInd w:val="0"/>
        <w:spacing w:line="360" w:lineRule="auto"/>
        <w:ind w:firstLine="560" w:firstLineChars="200"/>
        <w:jc w:val="left"/>
        <w:textAlignment w:val="baseline"/>
        <w:rPr>
          <w:rFonts w:hint="eastAsia" w:ascii="宋体" w:hAnsi="宋体" w:eastAsia="宋体" w:cs="宋体"/>
          <w:bCs/>
          <w:color w:val="auto"/>
          <w:sz w:val="28"/>
          <w:szCs w:val="28"/>
          <w:highlight w:val="none"/>
        </w:rPr>
      </w:pPr>
    </w:p>
    <w:p w14:paraId="476C8EE1">
      <w:pPr>
        <w:tabs>
          <w:tab w:val="left" w:pos="168"/>
        </w:tabs>
        <w:adjustRightInd w:val="0"/>
        <w:spacing w:line="360" w:lineRule="auto"/>
        <w:ind w:firstLine="560" w:firstLineChars="200"/>
        <w:jc w:val="left"/>
        <w:textAlignment w:val="baseline"/>
        <w:rPr>
          <w:rFonts w:hint="eastAsia" w:ascii="宋体" w:hAnsi="宋体" w:eastAsia="宋体" w:cs="宋体"/>
          <w:bCs/>
          <w:color w:val="auto"/>
          <w:sz w:val="28"/>
          <w:szCs w:val="28"/>
          <w:highlight w:val="none"/>
        </w:rPr>
      </w:pPr>
    </w:p>
    <w:p w14:paraId="72066883">
      <w:pPr>
        <w:tabs>
          <w:tab w:val="left" w:pos="168"/>
        </w:tabs>
        <w:adjustRightInd w:val="0"/>
        <w:spacing w:line="360" w:lineRule="auto"/>
        <w:jc w:val="left"/>
        <w:textAlignment w:val="baseline"/>
        <w:rPr>
          <w:rFonts w:hint="eastAsia" w:ascii="宋体" w:hAnsi="宋体" w:eastAsia="宋体" w:cs="宋体"/>
          <w:bCs/>
          <w:color w:val="auto"/>
          <w:sz w:val="24"/>
          <w:szCs w:val="28"/>
          <w:highlight w:val="none"/>
        </w:rPr>
      </w:pPr>
    </w:p>
    <w:p w14:paraId="1E8C82BC">
      <w:pPr>
        <w:tabs>
          <w:tab w:val="left" w:pos="168"/>
        </w:tabs>
        <w:adjustRightInd w:val="0"/>
        <w:spacing w:line="360" w:lineRule="auto"/>
        <w:ind w:firstLine="4958" w:firstLineChars="2058"/>
        <w:jc w:val="left"/>
        <w:textAlignment w:val="baseline"/>
        <w:outlineLvl w:val="1"/>
        <w:rPr>
          <w:rFonts w:hint="eastAsia" w:ascii="宋体" w:hAnsi="宋体" w:eastAsia="宋体" w:cs="宋体"/>
          <w:b/>
          <w:color w:val="auto"/>
          <w:sz w:val="24"/>
          <w:szCs w:val="28"/>
          <w:highlight w:val="none"/>
        </w:rPr>
      </w:pPr>
      <w:bookmarkStart w:id="581" w:name="_Toc21455"/>
      <w:bookmarkStart w:id="582" w:name="_Toc26707"/>
      <w:bookmarkStart w:id="583" w:name="_Toc23552"/>
      <w:bookmarkStart w:id="584" w:name="_Toc29929"/>
      <w:r>
        <w:rPr>
          <w:rFonts w:hint="eastAsia" w:ascii="宋体" w:hAnsi="宋体" w:eastAsia="宋体" w:cs="宋体"/>
          <w:b/>
          <w:color w:val="auto"/>
          <w:sz w:val="24"/>
          <w:szCs w:val="28"/>
          <w:highlight w:val="none"/>
        </w:rPr>
        <w:t>供应商：            （公章）</w:t>
      </w:r>
      <w:bookmarkEnd w:id="581"/>
      <w:bookmarkEnd w:id="582"/>
      <w:bookmarkEnd w:id="583"/>
      <w:bookmarkEnd w:id="584"/>
    </w:p>
    <w:p w14:paraId="708E5458">
      <w:pPr>
        <w:tabs>
          <w:tab w:val="left" w:pos="168"/>
        </w:tabs>
        <w:adjustRightInd w:val="0"/>
        <w:spacing w:line="360" w:lineRule="auto"/>
        <w:jc w:val="right"/>
        <w:textAlignment w:val="baseline"/>
        <w:outlineLvl w:val="1"/>
        <w:rPr>
          <w:rFonts w:hint="eastAsia" w:ascii="宋体" w:hAnsi="宋体" w:eastAsia="宋体" w:cs="宋体"/>
          <w:b/>
          <w:color w:val="auto"/>
          <w:sz w:val="24"/>
          <w:szCs w:val="28"/>
          <w:highlight w:val="none"/>
        </w:rPr>
      </w:pPr>
      <w:bookmarkStart w:id="585" w:name="_Toc4789"/>
      <w:bookmarkStart w:id="586" w:name="_Toc10979"/>
      <w:bookmarkStart w:id="587" w:name="_Toc22570"/>
      <w:bookmarkStart w:id="588" w:name="_Toc28099"/>
      <w:r>
        <w:rPr>
          <w:rFonts w:hint="eastAsia" w:ascii="宋体" w:hAnsi="宋体" w:eastAsia="宋体" w:cs="宋体"/>
          <w:b/>
          <w:color w:val="auto"/>
          <w:sz w:val="24"/>
          <w:szCs w:val="28"/>
          <w:highlight w:val="none"/>
        </w:rPr>
        <w:t>委托代理人或法定代表人：                 （签字或盖章）</w:t>
      </w:r>
      <w:bookmarkEnd w:id="585"/>
      <w:bookmarkEnd w:id="586"/>
      <w:bookmarkEnd w:id="587"/>
      <w:bookmarkEnd w:id="588"/>
    </w:p>
    <w:p w14:paraId="016AA8F7">
      <w:pPr>
        <w:tabs>
          <w:tab w:val="left" w:pos="168"/>
        </w:tabs>
        <w:adjustRightInd w:val="0"/>
        <w:spacing w:line="360" w:lineRule="auto"/>
        <w:ind w:firstLine="5190" w:firstLineChars="2154"/>
        <w:jc w:val="left"/>
        <w:textAlignment w:val="baseline"/>
        <w:outlineLvl w:val="1"/>
        <w:rPr>
          <w:rFonts w:hint="eastAsia" w:ascii="宋体" w:hAnsi="宋体" w:eastAsia="宋体" w:cs="宋体"/>
          <w:b/>
          <w:color w:val="auto"/>
          <w:sz w:val="24"/>
          <w:szCs w:val="28"/>
          <w:highlight w:val="none"/>
        </w:rPr>
      </w:pPr>
      <w:bookmarkStart w:id="589" w:name="_Toc19409"/>
      <w:bookmarkStart w:id="590" w:name="_Toc1682"/>
      <w:bookmarkStart w:id="591" w:name="_Toc11345"/>
      <w:bookmarkStart w:id="592" w:name="_Toc29148"/>
      <w:r>
        <w:rPr>
          <w:rFonts w:hint="eastAsia" w:ascii="宋体" w:hAnsi="宋体" w:eastAsia="宋体" w:cs="宋体"/>
          <w:b/>
          <w:color w:val="auto"/>
          <w:sz w:val="24"/>
          <w:szCs w:val="28"/>
          <w:highlight w:val="none"/>
        </w:rPr>
        <w:t>日期：      年   月   日</w:t>
      </w:r>
      <w:bookmarkEnd w:id="589"/>
      <w:bookmarkEnd w:id="590"/>
      <w:bookmarkEnd w:id="591"/>
      <w:bookmarkEnd w:id="592"/>
    </w:p>
    <w:p w14:paraId="5B03AF02">
      <w:pPr>
        <w:tabs>
          <w:tab w:val="left" w:pos="168"/>
        </w:tabs>
        <w:adjustRightInd w:val="0"/>
        <w:spacing w:line="360" w:lineRule="auto"/>
        <w:jc w:val="left"/>
        <w:textAlignment w:val="baseline"/>
        <w:rPr>
          <w:rFonts w:hint="eastAsia" w:ascii="宋体" w:hAnsi="宋体" w:eastAsia="宋体" w:cs="宋体"/>
          <w:bCs/>
          <w:color w:val="auto"/>
          <w:sz w:val="24"/>
          <w:szCs w:val="28"/>
          <w:highlight w:val="none"/>
        </w:rPr>
      </w:pPr>
    </w:p>
    <w:p w14:paraId="0D2762C8">
      <w:pPr>
        <w:pStyle w:val="4"/>
        <w:numPr>
          <w:ilvl w:val="2"/>
          <w:numId w:val="0"/>
        </w:numPr>
        <w:spacing w:line="360" w:lineRule="auto"/>
        <w:ind w:left="709" w:hanging="709"/>
        <w:jc w:val="left"/>
        <w:rPr>
          <w:rFonts w:hint="eastAsia" w:ascii="宋体" w:hAnsi="宋体" w:eastAsia="宋体" w:cs="宋体"/>
          <w:b/>
          <w:color w:val="auto"/>
          <w:sz w:val="32"/>
          <w:highlight w:val="none"/>
          <w:lang w:val="zh-CN"/>
        </w:rPr>
      </w:pPr>
      <w:r>
        <w:rPr>
          <w:rFonts w:hint="eastAsia" w:ascii="宋体" w:hAnsi="宋体" w:eastAsia="宋体" w:cs="宋体"/>
          <w:bCs/>
          <w:color w:val="auto"/>
          <w:sz w:val="24"/>
          <w:highlight w:val="none"/>
        </w:rPr>
        <w:br w:type="page"/>
      </w:r>
      <w:bookmarkStart w:id="593" w:name="_Toc14531"/>
      <w:bookmarkStart w:id="594" w:name="_Toc6915"/>
      <w:bookmarkStart w:id="595" w:name="_Toc31417"/>
      <w:bookmarkStart w:id="596" w:name="_Toc9516"/>
      <w:bookmarkStart w:id="597" w:name="_Toc25171"/>
      <w:bookmarkStart w:id="598" w:name="_Toc23913"/>
      <w:r>
        <w:rPr>
          <w:rFonts w:hint="eastAsia" w:ascii="宋体" w:hAnsi="宋体" w:eastAsia="宋体" w:cs="宋体"/>
          <w:b/>
          <w:color w:val="auto"/>
          <w:sz w:val="32"/>
          <w:highlight w:val="none"/>
          <w:lang w:val="zh-CN"/>
        </w:rPr>
        <w:t>格式5、供应商诚信承诺书</w:t>
      </w:r>
      <w:bookmarkEnd w:id="593"/>
      <w:bookmarkEnd w:id="594"/>
      <w:bookmarkEnd w:id="595"/>
      <w:bookmarkEnd w:id="596"/>
      <w:bookmarkEnd w:id="597"/>
      <w:bookmarkEnd w:id="598"/>
    </w:p>
    <w:p w14:paraId="12D116FA">
      <w:pPr>
        <w:spacing w:line="360" w:lineRule="auto"/>
        <w:jc w:val="left"/>
        <w:rPr>
          <w:rFonts w:hint="eastAsia" w:ascii="宋体" w:hAnsi="宋体" w:eastAsia="宋体" w:cs="宋体"/>
          <w:color w:val="auto"/>
          <w:highlight w:val="none"/>
          <w:lang w:val="zh-CN"/>
        </w:rPr>
      </w:pPr>
    </w:p>
    <w:p w14:paraId="070B9329">
      <w:pPr>
        <w:adjustRightInd w:val="0"/>
        <w:spacing w:line="360" w:lineRule="auto"/>
        <w:jc w:val="center"/>
        <w:textAlignment w:val="baseline"/>
        <w:rPr>
          <w:rFonts w:hint="eastAsia" w:ascii="宋体" w:hAnsi="宋体" w:eastAsia="宋体" w:cs="宋体"/>
          <w:b/>
          <w:color w:val="auto"/>
          <w:sz w:val="32"/>
          <w:szCs w:val="30"/>
          <w:highlight w:val="none"/>
        </w:rPr>
      </w:pPr>
      <w:r>
        <w:rPr>
          <w:rFonts w:hint="eastAsia" w:ascii="宋体" w:hAnsi="宋体" w:eastAsia="宋体" w:cs="宋体"/>
          <w:b/>
          <w:color w:val="auto"/>
          <w:sz w:val="32"/>
          <w:szCs w:val="30"/>
          <w:highlight w:val="none"/>
        </w:rPr>
        <w:t>供应商诚信承诺书</w:t>
      </w:r>
    </w:p>
    <w:p w14:paraId="195963FE">
      <w:pPr>
        <w:autoSpaceDE w:val="0"/>
        <w:autoSpaceDN w:val="0"/>
        <w:adjustRightInd w:val="0"/>
        <w:spacing w:line="360" w:lineRule="auto"/>
        <w:jc w:val="left"/>
        <w:rPr>
          <w:rFonts w:hint="eastAsia" w:ascii="宋体" w:hAnsi="宋体" w:eastAsia="宋体" w:cs="宋体"/>
          <w:color w:val="auto"/>
          <w:sz w:val="24"/>
          <w:highlight w:val="none"/>
          <w:lang w:val="zh-CN"/>
        </w:rPr>
      </w:pPr>
    </w:p>
    <w:p w14:paraId="120CE986">
      <w:pPr>
        <w:autoSpaceDE w:val="0"/>
        <w:autoSpaceDN w:val="0"/>
        <w:adjustRightInd w:val="0"/>
        <w:spacing w:line="360" w:lineRule="auto"/>
        <w:jc w:val="left"/>
        <w:outlineLvl w:val="1"/>
        <w:rPr>
          <w:rFonts w:hint="eastAsia" w:ascii="宋体" w:hAnsi="宋体" w:eastAsia="宋体" w:cs="宋体"/>
          <w:b/>
          <w:bCs/>
          <w:color w:val="auto"/>
          <w:sz w:val="24"/>
          <w:highlight w:val="none"/>
          <w:lang w:val="zh-CN"/>
        </w:rPr>
      </w:pPr>
      <w:bookmarkStart w:id="599" w:name="_Toc13069"/>
      <w:bookmarkStart w:id="600" w:name="_Toc18745"/>
      <w:bookmarkStart w:id="601" w:name="_Toc9051"/>
      <w:bookmarkStart w:id="602" w:name="_Toc10170"/>
      <w:r>
        <w:rPr>
          <w:rFonts w:hint="eastAsia" w:ascii="宋体" w:hAnsi="宋体" w:eastAsia="宋体" w:cs="宋体"/>
          <w:b/>
          <w:bCs/>
          <w:color w:val="auto"/>
          <w:sz w:val="24"/>
          <w:highlight w:val="none"/>
          <w:lang w:val="zh-CN"/>
        </w:rPr>
        <w:t>致：</w:t>
      </w:r>
      <w:bookmarkEnd w:id="599"/>
      <w:r>
        <w:rPr>
          <w:rFonts w:hint="eastAsia" w:ascii="宋体" w:hAnsi="宋体" w:eastAsia="宋体" w:cs="宋体"/>
          <w:b/>
          <w:bCs/>
          <w:color w:val="auto"/>
          <w:sz w:val="24"/>
          <w:highlight w:val="none"/>
          <w:lang w:val="zh-CN"/>
        </w:rPr>
        <w:t>青海中旭工程项目管理有限公司</w:t>
      </w:r>
      <w:bookmarkEnd w:id="600"/>
      <w:bookmarkEnd w:id="601"/>
      <w:bookmarkEnd w:id="602"/>
    </w:p>
    <w:p w14:paraId="78CE08AA">
      <w:pPr>
        <w:autoSpaceDE w:val="0"/>
        <w:autoSpaceDN w:val="0"/>
        <w:adjustRightInd w:val="0"/>
        <w:spacing w:line="360" w:lineRule="auto"/>
        <w:jc w:val="left"/>
        <w:rPr>
          <w:rFonts w:hint="eastAsia" w:ascii="宋体" w:hAnsi="宋体" w:eastAsia="宋体" w:cs="宋体"/>
          <w:color w:val="auto"/>
          <w:sz w:val="24"/>
          <w:highlight w:val="none"/>
          <w:lang w:val="zh-CN"/>
        </w:rPr>
      </w:pPr>
    </w:p>
    <w:p w14:paraId="1C365336">
      <w:pPr>
        <w:autoSpaceDE w:val="0"/>
        <w:autoSpaceDN w:val="0"/>
        <w:adjustRightInd w:val="0"/>
        <w:spacing w:line="360" w:lineRule="auto"/>
        <w:ind w:firstLine="48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为了诚实、客观、有序地参与</w:t>
      </w:r>
      <w:r>
        <w:rPr>
          <w:rFonts w:hint="eastAsia" w:ascii="宋体" w:hAnsi="宋体" w:eastAsia="宋体" w:cs="宋体"/>
          <w:color w:val="auto"/>
          <w:sz w:val="24"/>
          <w:highlight w:val="none"/>
          <w:lang w:val="en-US" w:eastAsia="zh-CN"/>
        </w:rPr>
        <w:t>本次</w:t>
      </w:r>
      <w:r>
        <w:rPr>
          <w:rFonts w:hint="eastAsia" w:ascii="宋体" w:hAnsi="宋体" w:eastAsia="宋体" w:cs="宋体"/>
          <w:color w:val="auto"/>
          <w:sz w:val="24"/>
          <w:highlight w:val="none"/>
          <w:lang w:val="zh-CN"/>
        </w:rPr>
        <w:t>采购活动，愿就以下内容做出承诺：</w:t>
      </w:r>
    </w:p>
    <w:p w14:paraId="3988E2B9">
      <w:pPr>
        <w:autoSpaceDE w:val="0"/>
        <w:autoSpaceDN w:val="0"/>
        <w:adjustRightInd w:val="0"/>
        <w:spacing w:line="360" w:lineRule="auto"/>
        <w:ind w:firstLine="48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一、自觉遵守各项法律、法规、规章、制度以及社会公德，维护廉洁环境，与同场竞争的其他供应商平等参加政府采购活动。</w:t>
      </w:r>
    </w:p>
    <w:p w14:paraId="33C897E0">
      <w:pPr>
        <w:autoSpaceDE w:val="0"/>
        <w:autoSpaceDN w:val="0"/>
        <w:adjustRightInd w:val="0"/>
        <w:spacing w:line="360" w:lineRule="auto"/>
        <w:ind w:firstLine="48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二、参加采购代理机构组织的政府采购活动时，严格按照磋商文件的规定和要求提供所需的相关材料，并对所提供的各类资料的真实性负责，不虚假应标，不虚列业绩。</w:t>
      </w:r>
    </w:p>
    <w:p w14:paraId="244BED17">
      <w:pPr>
        <w:autoSpaceDE w:val="0"/>
        <w:autoSpaceDN w:val="0"/>
        <w:adjustRightInd w:val="0"/>
        <w:spacing w:line="360" w:lineRule="auto"/>
        <w:ind w:firstLine="48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三、尊重参与政府采购活动各相关方的合法行为，接受政府采购活动依法形成的意见、结果。</w:t>
      </w:r>
    </w:p>
    <w:p w14:paraId="2463567B">
      <w:pPr>
        <w:autoSpaceDE w:val="0"/>
        <w:autoSpaceDN w:val="0"/>
        <w:adjustRightInd w:val="0"/>
        <w:spacing w:line="360" w:lineRule="auto"/>
        <w:ind w:firstLine="48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四、依法参加政府采购活动，不围标、串标，维护市场秩序，不提供“三无”产品、以次充好。</w:t>
      </w:r>
    </w:p>
    <w:p w14:paraId="0A6EE768">
      <w:pPr>
        <w:autoSpaceDE w:val="0"/>
        <w:autoSpaceDN w:val="0"/>
        <w:adjustRightInd w:val="0"/>
        <w:spacing w:line="360" w:lineRule="auto"/>
        <w:ind w:firstLine="48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五、积极推动政府采购活动健康开展，对采购活动有疑问、异议时，按法律规定的程序实名反映情况，不恶意中伤、无事生非，以和谐、平等的心态参加政府采购活动。</w:t>
      </w:r>
    </w:p>
    <w:p w14:paraId="539D0D9B">
      <w:pPr>
        <w:autoSpaceDE w:val="0"/>
        <w:autoSpaceDN w:val="0"/>
        <w:adjustRightInd w:val="0"/>
        <w:spacing w:line="360" w:lineRule="auto"/>
        <w:ind w:firstLine="48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六、认真履行成交人应承担的责任和义务，全面执行采购合同规定的各项内容，保质保量地按时提供采购物品。</w:t>
      </w:r>
    </w:p>
    <w:p w14:paraId="4F8FD1C4">
      <w:pPr>
        <w:autoSpaceDE w:val="0"/>
        <w:autoSpaceDN w:val="0"/>
        <w:adjustRightInd w:val="0"/>
        <w:spacing w:line="360" w:lineRule="auto"/>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若本企业（单位）发生有悖于上述承诺的行为，愿意接受《中华人民共和国政府采购法》和《政府采购法实施条例》中对供应商的相关处理。</w:t>
      </w:r>
    </w:p>
    <w:p w14:paraId="407E5FC9">
      <w:pPr>
        <w:autoSpaceDE w:val="0"/>
        <w:autoSpaceDN w:val="0"/>
        <w:adjustRightInd w:val="0"/>
        <w:spacing w:line="360" w:lineRule="auto"/>
        <w:ind w:firstLine="480" w:firstLineChars="200"/>
        <w:jc w:val="left"/>
        <w:rPr>
          <w:rFonts w:hint="eastAsia" w:ascii="宋体" w:hAnsi="宋体" w:eastAsia="宋体" w:cs="宋体"/>
          <w:bCs/>
          <w:color w:val="auto"/>
          <w:sz w:val="28"/>
          <w:szCs w:val="28"/>
          <w:highlight w:val="none"/>
        </w:rPr>
      </w:pPr>
      <w:r>
        <w:rPr>
          <w:rFonts w:hint="eastAsia" w:ascii="宋体" w:hAnsi="宋体" w:eastAsia="宋体" w:cs="宋体"/>
          <w:color w:val="auto"/>
          <w:sz w:val="24"/>
          <w:highlight w:val="none"/>
          <w:lang w:val="zh-CN"/>
        </w:rPr>
        <w:t>本承诺是采购项目磋商文件的组成部分。</w:t>
      </w:r>
      <w:bookmarkStart w:id="603" w:name="_Toc444715739"/>
      <w:bookmarkStart w:id="604" w:name="_Toc17097"/>
    </w:p>
    <w:p w14:paraId="108F6CFC">
      <w:pPr>
        <w:tabs>
          <w:tab w:val="left" w:pos="168"/>
        </w:tabs>
        <w:adjustRightInd w:val="0"/>
        <w:spacing w:line="360" w:lineRule="auto"/>
        <w:jc w:val="left"/>
        <w:textAlignment w:val="baseline"/>
        <w:rPr>
          <w:rFonts w:hint="eastAsia" w:ascii="宋体" w:hAnsi="宋体" w:eastAsia="宋体" w:cs="宋体"/>
          <w:bCs/>
          <w:color w:val="auto"/>
          <w:sz w:val="24"/>
          <w:szCs w:val="28"/>
          <w:highlight w:val="none"/>
        </w:rPr>
      </w:pPr>
    </w:p>
    <w:p w14:paraId="4FDC7752">
      <w:pPr>
        <w:tabs>
          <w:tab w:val="left" w:pos="168"/>
        </w:tabs>
        <w:adjustRightInd w:val="0"/>
        <w:spacing w:line="360" w:lineRule="auto"/>
        <w:ind w:firstLine="4958" w:firstLineChars="2058"/>
        <w:jc w:val="left"/>
        <w:textAlignment w:val="baseline"/>
        <w:outlineLvl w:val="1"/>
        <w:rPr>
          <w:rFonts w:hint="eastAsia" w:ascii="宋体" w:hAnsi="宋体" w:eastAsia="宋体" w:cs="宋体"/>
          <w:b/>
          <w:color w:val="auto"/>
          <w:sz w:val="24"/>
          <w:szCs w:val="28"/>
          <w:highlight w:val="none"/>
        </w:rPr>
      </w:pPr>
      <w:bookmarkStart w:id="605" w:name="_Toc3930"/>
      <w:bookmarkStart w:id="606" w:name="_Toc11825"/>
      <w:bookmarkStart w:id="607" w:name="_Toc9608"/>
      <w:bookmarkStart w:id="608" w:name="_Toc2584"/>
      <w:r>
        <w:rPr>
          <w:rFonts w:hint="eastAsia" w:ascii="宋体" w:hAnsi="宋体" w:eastAsia="宋体" w:cs="宋体"/>
          <w:b/>
          <w:color w:val="auto"/>
          <w:sz w:val="24"/>
          <w:szCs w:val="28"/>
          <w:highlight w:val="none"/>
        </w:rPr>
        <w:t>供应商：          （公章）</w:t>
      </w:r>
      <w:bookmarkEnd w:id="605"/>
      <w:bookmarkEnd w:id="606"/>
      <w:bookmarkEnd w:id="607"/>
      <w:bookmarkEnd w:id="608"/>
    </w:p>
    <w:p w14:paraId="520474FF">
      <w:pPr>
        <w:tabs>
          <w:tab w:val="left" w:pos="168"/>
        </w:tabs>
        <w:adjustRightInd w:val="0"/>
        <w:spacing w:line="360" w:lineRule="auto"/>
        <w:jc w:val="right"/>
        <w:textAlignment w:val="baseline"/>
        <w:outlineLvl w:val="1"/>
        <w:rPr>
          <w:rFonts w:hint="eastAsia" w:ascii="宋体" w:hAnsi="宋体" w:eastAsia="宋体" w:cs="宋体"/>
          <w:b/>
          <w:color w:val="auto"/>
          <w:sz w:val="24"/>
          <w:szCs w:val="28"/>
          <w:highlight w:val="none"/>
        </w:rPr>
      </w:pPr>
      <w:bookmarkStart w:id="609" w:name="_Toc8036"/>
      <w:bookmarkStart w:id="610" w:name="_Toc24501"/>
      <w:bookmarkStart w:id="611" w:name="_Toc28646"/>
      <w:bookmarkStart w:id="612" w:name="_Toc5859"/>
      <w:r>
        <w:rPr>
          <w:rFonts w:hint="eastAsia" w:ascii="宋体" w:hAnsi="宋体" w:eastAsia="宋体" w:cs="宋体"/>
          <w:b/>
          <w:color w:val="auto"/>
          <w:sz w:val="24"/>
          <w:szCs w:val="28"/>
          <w:highlight w:val="none"/>
        </w:rPr>
        <w:t>委托代理人或法定代表人：                 （签字或盖章）</w:t>
      </w:r>
      <w:bookmarkEnd w:id="609"/>
      <w:bookmarkEnd w:id="610"/>
      <w:bookmarkEnd w:id="611"/>
      <w:bookmarkEnd w:id="612"/>
    </w:p>
    <w:p w14:paraId="70F42D76">
      <w:pPr>
        <w:tabs>
          <w:tab w:val="left" w:pos="168"/>
        </w:tabs>
        <w:adjustRightInd w:val="0"/>
        <w:spacing w:line="360" w:lineRule="auto"/>
        <w:ind w:firstLine="5190" w:firstLineChars="2154"/>
        <w:jc w:val="left"/>
        <w:textAlignment w:val="baseline"/>
        <w:outlineLvl w:val="1"/>
        <w:rPr>
          <w:rFonts w:hint="eastAsia" w:ascii="宋体" w:hAnsi="宋体" w:eastAsia="宋体" w:cs="宋体"/>
          <w:bCs/>
          <w:color w:val="auto"/>
          <w:sz w:val="24"/>
          <w:szCs w:val="28"/>
          <w:highlight w:val="none"/>
        </w:rPr>
      </w:pPr>
      <w:bookmarkStart w:id="613" w:name="_Toc2262"/>
      <w:bookmarkStart w:id="614" w:name="_Toc2065"/>
      <w:bookmarkStart w:id="615" w:name="_Toc166"/>
      <w:bookmarkStart w:id="616" w:name="_Toc18553"/>
      <w:r>
        <w:rPr>
          <w:rFonts w:hint="eastAsia" w:ascii="宋体" w:hAnsi="宋体" w:eastAsia="宋体" w:cs="宋体"/>
          <w:b/>
          <w:color w:val="auto"/>
          <w:sz w:val="24"/>
          <w:szCs w:val="28"/>
          <w:highlight w:val="none"/>
        </w:rPr>
        <w:t>日期：      年   月   日</w:t>
      </w:r>
      <w:bookmarkEnd w:id="613"/>
      <w:bookmarkEnd w:id="614"/>
      <w:bookmarkEnd w:id="615"/>
      <w:bookmarkEnd w:id="616"/>
    </w:p>
    <w:p w14:paraId="31F3BAE3">
      <w:pPr>
        <w:pStyle w:val="4"/>
        <w:numPr>
          <w:ilvl w:val="2"/>
          <w:numId w:val="0"/>
        </w:numPr>
        <w:spacing w:line="360" w:lineRule="auto"/>
        <w:ind w:left="709" w:hanging="709"/>
        <w:jc w:val="left"/>
        <w:rPr>
          <w:rFonts w:hint="eastAsia" w:ascii="宋体" w:hAnsi="宋体" w:eastAsia="宋体" w:cs="宋体"/>
          <w:color w:val="auto"/>
          <w:highlight w:val="none"/>
          <w:lang w:val="zh-CN"/>
        </w:rPr>
      </w:pPr>
      <w:r>
        <w:rPr>
          <w:rFonts w:hint="eastAsia" w:ascii="宋体" w:hAnsi="宋体" w:eastAsia="宋体" w:cs="宋体"/>
          <w:bCs/>
          <w:color w:val="auto"/>
          <w:sz w:val="24"/>
          <w:highlight w:val="none"/>
        </w:rPr>
        <w:br w:type="page"/>
      </w:r>
      <w:bookmarkStart w:id="617" w:name="_Toc25627"/>
      <w:bookmarkStart w:id="618" w:name="_Toc21529"/>
      <w:bookmarkStart w:id="619" w:name="_Toc16481"/>
      <w:bookmarkStart w:id="620" w:name="_Toc10018"/>
      <w:bookmarkStart w:id="621" w:name="_Toc13355"/>
      <w:bookmarkStart w:id="622" w:name="_Toc28522"/>
      <w:r>
        <w:rPr>
          <w:rFonts w:hint="eastAsia" w:ascii="宋体" w:hAnsi="宋体" w:eastAsia="宋体" w:cs="宋体"/>
          <w:b/>
          <w:color w:val="auto"/>
          <w:sz w:val="32"/>
          <w:highlight w:val="none"/>
          <w:lang w:val="zh-CN"/>
        </w:rPr>
        <w:t>格式6、资格证明材料</w:t>
      </w:r>
      <w:bookmarkEnd w:id="603"/>
      <w:bookmarkEnd w:id="604"/>
      <w:bookmarkEnd w:id="617"/>
      <w:bookmarkEnd w:id="618"/>
      <w:bookmarkEnd w:id="619"/>
      <w:bookmarkEnd w:id="620"/>
      <w:bookmarkEnd w:id="621"/>
      <w:bookmarkEnd w:id="622"/>
    </w:p>
    <w:p w14:paraId="625EA281">
      <w:pPr>
        <w:spacing w:line="360" w:lineRule="auto"/>
        <w:jc w:val="left"/>
        <w:rPr>
          <w:rFonts w:hint="eastAsia" w:ascii="宋体" w:hAnsi="宋体" w:eastAsia="宋体" w:cs="宋体"/>
          <w:color w:val="auto"/>
          <w:highlight w:val="none"/>
          <w:lang w:val="zh-CN"/>
        </w:rPr>
      </w:pPr>
    </w:p>
    <w:p w14:paraId="422DA3C0">
      <w:pPr>
        <w:adjustRightInd w:val="0"/>
        <w:spacing w:line="360" w:lineRule="auto"/>
        <w:jc w:val="center"/>
        <w:textAlignment w:val="baseline"/>
        <w:rPr>
          <w:rFonts w:hint="eastAsia" w:ascii="宋体" w:hAnsi="宋体" w:eastAsia="宋体" w:cs="宋体"/>
          <w:b/>
          <w:color w:val="auto"/>
          <w:sz w:val="32"/>
          <w:szCs w:val="30"/>
          <w:highlight w:val="none"/>
        </w:rPr>
      </w:pPr>
      <w:r>
        <w:rPr>
          <w:rFonts w:hint="eastAsia" w:ascii="宋体" w:hAnsi="宋体" w:eastAsia="宋体" w:cs="宋体"/>
          <w:b/>
          <w:color w:val="auto"/>
          <w:sz w:val="32"/>
          <w:szCs w:val="30"/>
          <w:highlight w:val="none"/>
        </w:rPr>
        <w:t>资格证明材料</w:t>
      </w:r>
    </w:p>
    <w:p w14:paraId="73FFDFBC">
      <w:pPr>
        <w:spacing w:line="360" w:lineRule="auto"/>
        <w:ind w:firstLine="424" w:firstLineChars="177"/>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资格证明材料包括：</w:t>
      </w:r>
    </w:p>
    <w:p w14:paraId="3523AD90">
      <w:pPr>
        <w:pStyle w:val="51"/>
        <w:spacing w:line="360" w:lineRule="auto"/>
        <w:ind w:left="845" w:firstLine="0" w:firstLineChars="0"/>
        <w:jc w:val="left"/>
        <w:rPr>
          <w:rFonts w:hint="eastAsia" w:ascii="宋体" w:hAnsi="宋体" w:eastAsia="宋体" w:cs="宋体"/>
          <w:color w:val="auto"/>
          <w:sz w:val="24"/>
          <w:szCs w:val="22"/>
          <w:highlight w:val="none"/>
          <w:lang w:val="zh-CN"/>
        </w:rPr>
      </w:pPr>
      <w:bookmarkStart w:id="623" w:name="_Toc444715740"/>
      <w:bookmarkStart w:id="624" w:name="_Toc20673"/>
      <w:r>
        <w:rPr>
          <w:rFonts w:hint="eastAsia" w:ascii="宋体" w:hAnsi="宋体" w:eastAsia="宋体" w:cs="宋体"/>
          <w:color w:val="auto"/>
          <w:sz w:val="24"/>
          <w:szCs w:val="22"/>
          <w:highlight w:val="none"/>
          <w:lang w:val="zh-CN"/>
        </w:rPr>
        <w:t>（</w:t>
      </w:r>
      <w:r>
        <w:rPr>
          <w:rFonts w:hint="eastAsia" w:ascii="宋体" w:hAnsi="宋体" w:eastAsia="宋体" w:cs="宋体"/>
          <w:color w:val="auto"/>
          <w:sz w:val="24"/>
          <w:szCs w:val="22"/>
          <w:highlight w:val="none"/>
        </w:rPr>
        <w:t>1</w:t>
      </w:r>
      <w:r>
        <w:rPr>
          <w:rFonts w:hint="eastAsia" w:ascii="宋体" w:hAnsi="宋体" w:eastAsia="宋体" w:cs="宋体"/>
          <w:color w:val="auto"/>
          <w:sz w:val="24"/>
          <w:szCs w:val="22"/>
          <w:highlight w:val="none"/>
          <w:lang w:val="zh-CN"/>
        </w:rPr>
        <w:t>）提供有效的营业执照、税务登记证、机构代码证或三证（五证）合一统一社会代码证及其他资格证明文件（扫描或复印件）；</w:t>
      </w:r>
    </w:p>
    <w:p w14:paraId="68C0EB62">
      <w:pPr>
        <w:pStyle w:val="51"/>
        <w:spacing w:line="360" w:lineRule="auto"/>
        <w:ind w:left="845" w:firstLine="0" w:firstLineChars="0"/>
        <w:jc w:val="left"/>
        <w:rPr>
          <w:rFonts w:hint="eastAsia" w:ascii="宋体" w:hAnsi="宋体" w:eastAsia="宋体" w:cs="宋体"/>
          <w:color w:val="auto"/>
          <w:sz w:val="24"/>
          <w:szCs w:val="22"/>
          <w:highlight w:val="none"/>
          <w:lang w:val="zh-CN"/>
        </w:rPr>
      </w:pPr>
      <w:r>
        <w:rPr>
          <w:rFonts w:hint="eastAsia" w:ascii="宋体" w:hAnsi="宋体" w:eastAsia="宋体" w:cs="宋体"/>
          <w:color w:val="auto"/>
          <w:sz w:val="24"/>
          <w:szCs w:val="22"/>
          <w:highlight w:val="none"/>
          <w:lang w:val="zh-CN"/>
        </w:rPr>
        <w:t>（2）磋商文件规定的有关资格证书、许可证书、认证等；</w:t>
      </w:r>
    </w:p>
    <w:p w14:paraId="6046286D">
      <w:pPr>
        <w:pStyle w:val="51"/>
        <w:spacing w:line="360" w:lineRule="auto"/>
        <w:ind w:left="845" w:firstLine="0" w:firstLineChars="0"/>
        <w:jc w:val="left"/>
        <w:rPr>
          <w:rFonts w:hint="eastAsia" w:ascii="宋体" w:hAnsi="宋体" w:eastAsia="宋体" w:cs="宋体"/>
          <w:color w:val="auto"/>
          <w:sz w:val="24"/>
          <w:szCs w:val="22"/>
          <w:highlight w:val="none"/>
          <w:lang w:val="zh-CN"/>
        </w:rPr>
      </w:pPr>
      <w:r>
        <w:rPr>
          <w:rFonts w:hint="eastAsia" w:ascii="宋体" w:hAnsi="宋体" w:eastAsia="宋体" w:cs="宋体"/>
          <w:color w:val="auto"/>
          <w:sz w:val="24"/>
          <w:szCs w:val="22"/>
          <w:highlight w:val="none"/>
          <w:lang w:val="zh-CN"/>
        </w:rPr>
        <w:t>（3）供应商认为有必要提供的其他资格证明文件。</w:t>
      </w:r>
    </w:p>
    <w:p w14:paraId="450E14CD">
      <w:pPr>
        <w:pStyle w:val="51"/>
        <w:spacing w:line="360" w:lineRule="auto"/>
        <w:ind w:left="845" w:firstLine="0" w:firstLineChars="0"/>
        <w:jc w:val="left"/>
        <w:rPr>
          <w:rFonts w:hint="eastAsia" w:ascii="宋体" w:hAnsi="宋体" w:eastAsia="宋体" w:cs="宋体"/>
          <w:color w:val="auto"/>
          <w:sz w:val="24"/>
          <w:szCs w:val="22"/>
          <w:highlight w:val="none"/>
          <w:lang w:val="zh-CN"/>
        </w:rPr>
      </w:pPr>
    </w:p>
    <w:p w14:paraId="45ADCA01">
      <w:pPr>
        <w:pStyle w:val="4"/>
        <w:numPr>
          <w:ilvl w:val="2"/>
          <w:numId w:val="0"/>
        </w:numPr>
        <w:spacing w:line="360" w:lineRule="auto"/>
        <w:ind w:left="709" w:hanging="709"/>
        <w:jc w:val="left"/>
        <w:rPr>
          <w:rFonts w:hint="eastAsia" w:ascii="宋体" w:hAnsi="宋体" w:eastAsia="宋体" w:cs="宋体"/>
          <w:b/>
          <w:color w:val="auto"/>
          <w:sz w:val="32"/>
          <w:highlight w:val="none"/>
          <w:lang w:val="zh-CN"/>
        </w:rPr>
      </w:pPr>
    </w:p>
    <w:p w14:paraId="130DD8C8">
      <w:pPr>
        <w:pStyle w:val="4"/>
        <w:numPr>
          <w:ilvl w:val="2"/>
          <w:numId w:val="0"/>
        </w:numPr>
        <w:spacing w:line="360" w:lineRule="auto"/>
        <w:ind w:left="709" w:hanging="709"/>
        <w:jc w:val="left"/>
        <w:rPr>
          <w:rFonts w:hint="eastAsia" w:ascii="宋体" w:hAnsi="宋体" w:eastAsia="宋体" w:cs="宋体"/>
          <w:b/>
          <w:color w:val="auto"/>
          <w:sz w:val="32"/>
          <w:highlight w:val="none"/>
          <w:lang w:val="zh-CN"/>
        </w:rPr>
      </w:pPr>
    </w:p>
    <w:p w14:paraId="5F7195C0">
      <w:pPr>
        <w:pStyle w:val="4"/>
        <w:numPr>
          <w:ilvl w:val="2"/>
          <w:numId w:val="0"/>
        </w:numPr>
        <w:spacing w:line="360" w:lineRule="auto"/>
        <w:ind w:left="709" w:hanging="709"/>
        <w:jc w:val="left"/>
        <w:rPr>
          <w:rFonts w:hint="eastAsia" w:ascii="宋体" w:hAnsi="宋体" w:eastAsia="宋体" w:cs="宋体"/>
          <w:b/>
          <w:color w:val="auto"/>
          <w:sz w:val="32"/>
          <w:highlight w:val="none"/>
          <w:lang w:val="zh-CN"/>
        </w:rPr>
      </w:pPr>
    </w:p>
    <w:p w14:paraId="2B6F3936">
      <w:pPr>
        <w:pStyle w:val="4"/>
        <w:numPr>
          <w:ilvl w:val="2"/>
          <w:numId w:val="0"/>
        </w:numPr>
        <w:spacing w:line="360" w:lineRule="auto"/>
        <w:ind w:left="709" w:hanging="709"/>
        <w:jc w:val="left"/>
        <w:rPr>
          <w:rFonts w:hint="eastAsia" w:ascii="宋体" w:hAnsi="宋体" w:eastAsia="宋体" w:cs="宋体"/>
          <w:b/>
          <w:color w:val="auto"/>
          <w:sz w:val="32"/>
          <w:highlight w:val="none"/>
          <w:lang w:val="zh-CN"/>
        </w:rPr>
      </w:pPr>
    </w:p>
    <w:p w14:paraId="1931C402">
      <w:pPr>
        <w:pStyle w:val="4"/>
        <w:numPr>
          <w:ilvl w:val="2"/>
          <w:numId w:val="0"/>
        </w:numPr>
        <w:spacing w:line="360" w:lineRule="auto"/>
        <w:ind w:left="709" w:hanging="709"/>
        <w:jc w:val="left"/>
        <w:rPr>
          <w:rFonts w:hint="eastAsia" w:ascii="宋体" w:hAnsi="宋体" w:eastAsia="宋体" w:cs="宋体"/>
          <w:b/>
          <w:color w:val="auto"/>
          <w:sz w:val="32"/>
          <w:highlight w:val="none"/>
          <w:lang w:val="zh-CN"/>
        </w:rPr>
      </w:pPr>
    </w:p>
    <w:p w14:paraId="07E8C2A6">
      <w:pPr>
        <w:pStyle w:val="4"/>
        <w:numPr>
          <w:ilvl w:val="2"/>
          <w:numId w:val="0"/>
        </w:numPr>
        <w:spacing w:line="360" w:lineRule="auto"/>
        <w:ind w:left="709" w:hanging="709"/>
        <w:jc w:val="left"/>
        <w:rPr>
          <w:rFonts w:hint="eastAsia" w:ascii="宋体" w:hAnsi="宋体" w:eastAsia="宋体" w:cs="宋体"/>
          <w:b/>
          <w:color w:val="auto"/>
          <w:sz w:val="32"/>
          <w:highlight w:val="none"/>
          <w:lang w:val="zh-CN"/>
        </w:rPr>
      </w:pPr>
    </w:p>
    <w:p w14:paraId="3FC0344D">
      <w:pPr>
        <w:pStyle w:val="4"/>
        <w:numPr>
          <w:ilvl w:val="2"/>
          <w:numId w:val="0"/>
        </w:numPr>
        <w:spacing w:line="360" w:lineRule="auto"/>
        <w:ind w:left="709" w:hanging="709"/>
        <w:jc w:val="left"/>
        <w:rPr>
          <w:rFonts w:hint="eastAsia" w:ascii="宋体" w:hAnsi="宋体" w:eastAsia="宋体" w:cs="宋体"/>
          <w:b/>
          <w:color w:val="auto"/>
          <w:sz w:val="32"/>
          <w:highlight w:val="none"/>
          <w:lang w:val="zh-CN"/>
        </w:rPr>
      </w:pPr>
    </w:p>
    <w:p w14:paraId="04D76491">
      <w:pPr>
        <w:spacing w:line="360" w:lineRule="auto"/>
        <w:jc w:val="left"/>
        <w:rPr>
          <w:rFonts w:hint="eastAsia" w:ascii="宋体" w:hAnsi="宋体" w:eastAsia="宋体" w:cs="宋体"/>
          <w:b/>
          <w:color w:val="auto"/>
          <w:sz w:val="32"/>
          <w:highlight w:val="none"/>
          <w:lang w:val="zh-CN"/>
        </w:rPr>
      </w:pPr>
    </w:p>
    <w:p w14:paraId="48F758F4">
      <w:pPr>
        <w:pStyle w:val="37"/>
        <w:spacing w:line="360" w:lineRule="auto"/>
        <w:rPr>
          <w:rFonts w:hint="eastAsia" w:ascii="宋体" w:hAnsi="宋体" w:eastAsia="宋体" w:cs="宋体"/>
          <w:b/>
          <w:color w:val="auto"/>
          <w:sz w:val="32"/>
          <w:highlight w:val="none"/>
          <w:lang w:val="zh-CN"/>
        </w:rPr>
      </w:pPr>
    </w:p>
    <w:p w14:paraId="28F8C3A2">
      <w:pPr>
        <w:pStyle w:val="37"/>
        <w:spacing w:line="360" w:lineRule="auto"/>
        <w:rPr>
          <w:rFonts w:hint="eastAsia" w:ascii="宋体" w:hAnsi="宋体" w:eastAsia="宋体" w:cs="宋体"/>
          <w:b/>
          <w:color w:val="auto"/>
          <w:sz w:val="32"/>
          <w:highlight w:val="none"/>
          <w:lang w:val="zh-CN"/>
        </w:rPr>
      </w:pPr>
    </w:p>
    <w:p w14:paraId="1161CB4C">
      <w:pPr>
        <w:pStyle w:val="37"/>
        <w:spacing w:line="360" w:lineRule="auto"/>
        <w:rPr>
          <w:rFonts w:hint="eastAsia" w:ascii="宋体" w:hAnsi="宋体" w:eastAsia="宋体" w:cs="宋体"/>
          <w:b/>
          <w:color w:val="auto"/>
          <w:sz w:val="32"/>
          <w:highlight w:val="none"/>
          <w:lang w:val="zh-CN"/>
        </w:rPr>
      </w:pPr>
    </w:p>
    <w:p w14:paraId="07BB6AD8">
      <w:pPr>
        <w:pStyle w:val="37"/>
        <w:spacing w:line="360" w:lineRule="auto"/>
        <w:rPr>
          <w:rFonts w:hint="eastAsia" w:ascii="宋体" w:hAnsi="宋体" w:eastAsia="宋体" w:cs="宋体"/>
          <w:b/>
          <w:color w:val="auto"/>
          <w:sz w:val="32"/>
          <w:highlight w:val="none"/>
          <w:lang w:val="zh-CN"/>
        </w:rPr>
      </w:pPr>
    </w:p>
    <w:p w14:paraId="6359187B">
      <w:pPr>
        <w:pStyle w:val="37"/>
        <w:spacing w:line="360" w:lineRule="auto"/>
        <w:rPr>
          <w:rFonts w:hint="eastAsia" w:ascii="宋体" w:hAnsi="宋体" w:eastAsia="宋体" w:cs="宋体"/>
          <w:b/>
          <w:color w:val="auto"/>
          <w:sz w:val="32"/>
          <w:highlight w:val="none"/>
          <w:lang w:val="zh-CN"/>
        </w:rPr>
      </w:pPr>
    </w:p>
    <w:p w14:paraId="7DD7801A">
      <w:pPr>
        <w:pStyle w:val="37"/>
        <w:spacing w:line="360" w:lineRule="auto"/>
        <w:rPr>
          <w:rFonts w:hint="eastAsia" w:ascii="宋体" w:hAnsi="宋体" w:eastAsia="宋体" w:cs="宋体"/>
          <w:b/>
          <w:color w:val="auto"/>
          <w:sz w:val="32"/>
          <w:highlight w:val="none"/>
          <w:lang w:val="zh-CN"/>
        </w:rPr>
      </w:pPr>
    </w:p>
    <w:p w14:paraId="5A290A9A">
      <w:pPr>
        <w:spacing w:line="360" w:lineRule="auto"/>
        <w:jc w:val="left"/>
        <w:rPr>
          <w:rFonts w:hint="eastAsia" w:ascii="宋体" w:hAnsi="宋体" w:eastAsia="宋体" w:cs="宋体"/>
          <w:color w:val="auto"/>
          <w:highlight w:val="none"/>
          <w:lang w:val="zh-CN"/>
        </w:rPr>
      </w:pPr>
    </w:p>
    <w:p w14:paraId="64AF6FB4">
      <w:pPr>
        <w:pStyle w:val="4"/>
        <w:numPr>
          <w:ilvl w:val="2"/>
          <w:numId w:val="0"/>
        </w:numPr>
        <w:spacing w:line="360" w:lineRule="auto"/>
        <w:ind w:left="709" w:hanging="709"/>
        <w:jc w:val="left"/>
        <w:rPr>
          <w:rFonts w:hint="eastAsia" w:ascii="宋体" w:hAnsi="宋体" w:eastAsia="宋体" w:cs="宋体"/>
          <w:color w:val="auto"/>
          <w:highlight w:val="none"/>
          <w:lang w:val="zh-CN"/>
        </w:rPr>
      </w:pPr>
      <w:bookmarkStart w:id="625" w:name="_Toc9458"/>
      <w:bookmarkStart w:id="626" w:name="_Toc2974"/>
      <w:bookmarkStart w:id="627" w:name="_Toc1564"/>
      <w:r>
        <w:rPr>
          <w:rFonts w:hint="eastAsia" w:ascii="宋体" w:hAnsi="宋体" w:eastAsia="宋体" w:cs="宋体"/>
          <w:b/>
          <w:color w:val="auto"/>
          <w:sz w:val="32"/>
          <w:highlight w:val="none"/>
          <w:lang w:val="zh-CN"/>
        </w:rPr>
        <w:br w:type="page"/>
      </w:r>
      <w:bookmarkStart w:id="628" w:name="_Toc5169"/>
      <w:bookmarkStart w:id="629" w:name="_Toc16860"/>
      <w:bookmarkStart w:id="630" w:name="_Toc30088"/>
      <w:r>
        <w:rPr>
          <w:rFonts w:hint="eastAsia" w:ascii="宋体" w:hAnsi="宋体" w:eastAsia="宋体" w:cs="宋体"/>
          <w:b/>
          <w:color w:val="auto"/>
          <w:sz w:val="32"/>
          <w:highlight w:val="none"/>
          <w:lang w:val="zh-CN"/>
        </w:rPr>
        <w:t>格式7、财务状况、缴纳税收和社会保障资金证明</w:t>
      </w:r>
      <w:bookmarkEnd w:id="625"/>
      <w:bookmarkEnd w:id="626"/>
      <w:bookmarkEnd w:id="627"/>
      <w:bookmarkEnd w:id="628"/>
      <w:bookmarkEnd w:id="629"/>
      <w:bookmarkEnd w:id="630"/>
    </w:p>
    <w:p w14:paraId="69146F38">
      <w:pPr>
        <w:spacing w:line="360" w:lineRule="auto"/>
        <w:jc w:val="left"/>
        <w:rPr>
          <w:rFonts w:hint="eastAsia" w:ascii="宋体" w:hAnsi="宋体" w:eastAsia="宋体" w:cs="宋体"/>
          <w:color w:val="auto"/>
          <w:highlight w:val="none"/>
          <w:lang w:val="zh-CN"/>
        </w:rPr>
      </w:pPr>
    </w:p>
    <w:p w14:paraId="04D6650C">
      <w:pPr>
        <w:adjustRightInd w:val="0"/>
        <w:spacing w:line="360" w:lineRule="auto"/>
        <w:jc w:val="center"/>
        <w:textAlignment w:val="baseline"/>
        <w:rPr>
          <w:rFonts w:hint="eastAsia" w:ascii="宋体" w:hAnsi="宋体" w:eastAsia="宋体" w:cs="宋体"/>
          <w:b/>
          <w:bCs/>
          <w:color w:val="auto"/>
          <w:sz w:val="32"/>
          <w:szCs w:val="30"/>
          <w:highlight w:val="none"/>
          <w:lang w:val="zh-CN"/>
        </w:rPr>
      </w:pPr>
      <w:r>
        <w:rPr>
          <w:rFonts w:hint="eastAsia" w:ascii="宋体" w:hAnsi="宋体" w:eastAsia="宋体" w:cs="宋体"/>
          <w:b/>
          <w:color w:val="auto"/>
          <w:sz w:val="32"/>
          <w:szCs w:val="30"/>
          <w:highlight w:val="none"/>
        </w:rPr>
        <w:t>财务状况、缴纳税收和社会保障资金证明</w:t>
      </w:r>
    </w:p>
    <w:p w14:paraId="78B66F18">
      <w:pPr>
        <w:autoSpaceDE w:val="0"/>
        <w:autoSpaceDN w:val="0"/>
        <w:spacing w:line="360" w:lineRule="auto"/>
        <w:jc w:val="left"/>
        <w:rPr>
          <w:rFonts w:hint="eastAsia" w:ascii="宋体" w:hAnsi="宋体" w:eastAsia="宋体" w:cs="宋体"/>
          <w:color w:val="auto"/>
          <w:sz w:val="24"/>
          <w:highlight w:val="none"/>
          <w:lang w:val="zh-CN"/>
        </w:rPr>
      </w:pPr>
    </w:p>
    <w:p w14:paraId="3DAB51E3">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按照磋商文件第2.2款（1）中规定提供以下相关材料。</w:t>
      </w:r>
    </w:p>
    <w:p w14:paraId="1B17E515">
      <w:pPr>
        <w:pStyle w:val="51"/>
        <w:numPr>
          <w:ilvl w:val="1"/>
          <w:numId w:val="4"/>
        </w:numPr>
        <w:spacing w:line="360" w:lineRule="auto"/>
        <w:ind w:left="1205" w:hanging="360" w:firstLine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磋商供应商基本开户银行近三个月内出具的资信证明或经第三方机构出具的</w:t>
      </w:r>
      <w:r>
        <w:rPr>
          <w:rFonts w:hint="eastAsia" w:ascii="宋体" w:hAnsi="宋体" w:eastAsia="宋体" w:cs="宋体"/>
          <w:color w:val="auto"/>
          <w:sz w:val="24"/>
          <w:highlight w:val="none"/>
          <w:lang w:val="en-US" w:eastAsia="zh-CN"/>
        </w:rPr>
        <w:t>2023年度</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val="zh-CN"/>
        </w:rPr>
        <w:t>财务状况审计报告（包括资产负债表、现金流量表、利润表和财务（会计）报表附注）。</w:t>
      </w:r>
    </w:p>
    <w:p w14:paraId="37268F18">
      <w:pPr>
        <w:pStyle w:val="51"/>
        <w:numPr>
          <w:ilvl w:val="1"/>
          <w:numId w:val="4"/>
        </w:numPr>
        <w:spacing w:line="360" w:lineRule="auto"/>
        <w:ind w:left="1205" w:hanging="360" w:firstLine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近半年内任意3</w:t>
      </w:r>
      <w:r>
        <w:rPr>
          <w:rFonts w:hint="eastAsia" w:ascii="宋体" w:hAnsi="宋体" w:eastAsia="宋体" w:cs="宋体"/>
          <w:color w:val="auto"/>
          <w:sz w:val="24"/>
          <w:highlight w:val="none"/>
          <w:lang w:val="zh-CN"/>
        </w:rPr>
        <w:t>个月的依法缴纳税收和社会保障资金记录的证明材料；依法免税或不需要缴纳社会保障资金的磋商供应商须提供相应文件证明其依法免税或不需要缴纳社会保障资金。</w:t>
      </w:r>
    </w:p>
    <w:p w14:paraId="43C61958">
      <w:pPr>
        <w:pStyle w:val="4"/>
        <w:numPr>
          <w:ilvl w:val="2"/>
          <w:numId w:val="0"/>
        </w:numPr>
        <w:spacing w:line="360" w:lineRule="auto"/>
        <w:ind w:left="709" w:hanging="709"/>
        <w:jc w:val="left"/>
        <w:rPr>
          <w:rFonts w:hint="eastAsia" w:ascii="宋体" w:hAnsi="宋体" w:eastAsia="宋体" w:cs="宋体"/>
          <w:color w:val="auto"/>
          <w:highlight w:val="none"/>
          <w:lang w:val="zh-CN"/>
        </w:rPr>
      </w:pPr>
      <w:r>
        <w:rPr>
          <w:rFonts w:hint="eastAsia" w:ascii="宋体" w:hAnsi="宋体" w:eastAsia="宋体" w:cs="宋体"/>
          <w:b/>
          <w:color w:val="auto"/>
          <w:sz w:val="32"/>
          <w:highlight w:val="none"/>
          <w:lang w:val="zh-CN"/>
        </w:rPr>
        <w:br w:type="page"/>
      </w:r>
      <w:bookmarkStart w:id="631" w:name="_Toc31188"/>
      <w:bookmarkStart w:id="632" w:name="_Toc30532"/>
      <w:bookmarkStart w:id="633" w:name="_Toc25575"/>
      <w:bookmarkStart w:id="634" w:name="_Toc30256"/>
      <w:bookmarkStart w:id="635" w:name="_Toc25588"/>
      <w:bookmarkStart w:id="636" w:name="_Toc15071"/>
      <w:r>
        <w:rPr>
          <w:rFonts w:hint="eastAsia" w:ascii="宋体" w:hAnsi="宋体" w:eastAsia="宋体" w:cs="宋体"/>
          <w:b/>
          <w:color w:val="auto"/>
          <w:sz w:val="32"/>
          <w:highlight w:val="none"/>
          <w:lang w:val="zh-CN"/>
        </w:rPr>
        <w:t>格式8、具备履行合同所必须的设备和专业技术能力证明</w:t>
      </w:r>
      <w:bookmarkEnd w:id="631"/>
      <w:bookmarkEnd w:id="632"/>
      <w:bookmarkEnd w:id="633"/>
      <w:bookmarkEnd w:id="634"/>
      <w:bookmarkEnd w:id="635"/>
      <w:bookmarkEnd w:id="636"/>
    </w:p>
    <w:p w14:paraId="14F9D391">
      <w:pPr>
        <w:autoSpaceDE w:val="0"/>
        <w:autoSpaceDN w:val="0"/>
        <w:adjustRightInd w:val="0"/>
        <w:spacing w:line="360" w:lineRule="auto"/>
        <w:jc w:val="left"/>
        <w:rPr>
          <w:rFonts w:hint="eastAsia" w:ascii="宋体" w:hAnsi="宋体" w:eastAsia="宋体" w:cs="宋体"/>
          <w:color w:val="auto"/>
          <w:sz w:val="24"/>
          <w:highlight w:val="none"/>
          <w:lang w:val="zh-CN"/>
        </w:rPr>
      </w:pPr>
    </w:p>
    <w:p w14:paraId="66EA695E">
      <w:pPr>
        <w:adjustRightInd w:val="0"/>
        <w:spacing w:line="360" w:lineRule="auto"/>
        <w:jc w:val="center"/>
        <w:textAlignment w:val="baseline"/>
        <w:rPr>
          <w:rFonts w:hint="eastAsia" w:ascii="宋体" w:hAnsi="宋体" w:eastAsia="宋体" w:cs="宋体"/>
          <w:b/>
          <w:bCs/>
          <w:color w:val="auto"/>
          <w:sz w:val="32"/>
          <w:szCs w:val="30"/>
          <w:highlight w:val="none"/>
          <w:lang w:val="zh-CN"/>
        </w:rPr>
      </w:pPr>
      <w:r>
        <w:rPr>
          <w:rFonts w:hint="eastAsia" w:ascii="宋体" w:hAnsi="宋体" w:eastAsia="宋体" w:cs="宋体"/>
          <w:b/>
          <w:color w:val="auto"/>
          <w:sz w:val="32"/>
          <w:szCs w:val="30"/>
          <w:highlight w:val="none"/>
        </w:rPr>
        <w:t>具备履行合同所必须的设备和专业技术能力证明</w:t>
      </w:r>
    </w:p>
    <w:p w14:paraId="4F3AA089">
      <w:pPr>
        <w:pStyle w:val="4"/>
        <w:numPr>
          <w:ilvl w:val="2"/>
          <w:numId w:val="0"/>
        </w:numPr>
        <w:spacing w:line="360" w:lineRule="auto"/>
        <w:ind w:left="353" w:leftChars="168" w:firstLine="480" w:firstLineChars="200"/>
        <w:jc w:val="left"/>
        <w:rPr>
          <w:rFonts w:hint="eastAsia" w:ascii="宋体" w:hAnsi="宋体" w:eastAsia="宋体" w:cs="宋体"/>
          <w:color w:val="auto"/>
          <w:sz w:val="24"/>
          <w:highlight w:val="none"/>
        </w:rPr>
      </w:pPr>
    </w:p>
    <w:p w14:paraId="1E008BBE">
      <w:pPr>
        <w:autoSpaceDE w:val="0"/>
        <w:autoSpaceDN w:val="0"/>
        <w:spacing w:line="360" w:lineRule="auto"/>
        <w:ind w:firstLine="48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为保证本项目合同的顺利履行，供应商必须具备履行合同的设备和专业技术能力，须提供必须具备履行合同的设备和专业技术能力的承诺函（格式自拟），相关人员的执业证书或用工合同等证明材料。</w:t>
      </w:r>
    </w:p>
    <w:p w14:paraId="6DE40B7B">
      <w:pPr>
        <w:pStyle w:val="53"/>
        <w:ind w:firstLine="803" w:firstLineChars="250"/>
        <w:jc w:val="left"/>
        <w:rPr>
          <w:rFonts w:hint="eastAsia" w:ascii="宋体" w:hAnsi="宋体" w:eastAsia="宋体" w:cs="宋体"/>
          <w:b/>
          <w:color w:val="auto"/>
          <w:sz w:val="32"/>
          <w:highlight w:val="none"/>
          <w:lang w:val="zh-CN"/>
        </w:rPr>
      </w:pPr>
    </w:p>
    <w:p w14:paraId="467F06D5">
      <w:pPr>
        <w:pStyle w:val="53"/>
        <w:ind w:firstLine="803" w:firstLineChars="250"/>
        <w:jc w:val="left"/>
        <w:rPr>
          <w:rFonts w:hint="eastAsia" w:ascii="宋体" w:hAnsi="宋体" w:eastAsia="宋体" w:cs="宋体"/>
          <w:b/>
          <w:color w:val="auto"/>
          <w:sz w:val="32"/>
          <w:highlight w:val="none"/>
          <w:lang w:val="zh-CN"/>
        </w:rPr>
      </w:pPr>
    </w:p>
    <w:p w14:paraId="45D2F9AA">
      <w:pPr>
        <w:pStyle w:val="53"/>
        <w:ind w:firstLine="803" w:firstLineChars="250"/>
        <w:jc w:val="left"/>
        <w:rPr>
          <w:rFonts w:hint="eastAsia" w:ascii="宋体" w:hAnsi="宋体" w:eastAsia="宋体" w:cs="宋体"/>
          <w:b/>
          <w:color w:val="auto"/>
          <w:sz w:val="32"/>
          <w:highlight w:val="none"/>
          <w:lang w:val="zh-CN"/>
        </w:rPr>
      </w:pPr>
    </w:p>
    <w:p w14:paraId="438A53BD">
      <w:pPr>
        <w:pStyle w:val="53"/>
        <w:ind w:firstLine="803" w:firstLineChars="250"/>
        <w:jc w:val="left"/>
        <w:rPr>
          <w:rFonts w:hint="eastAsia" w:ascii="宋体" w:hAnsi="宋体" w:eastAsia="宋体" w:cs="宋体"/>
          <w:b/>
          <w:color w:val="auto"/>
          <w:sz w:val="32"/>
          <w:highlight w:val="none"/>
          <w:lang w:val="zh-CN"/>
        </w:rPr>
      </w:pPr>
    </w:p>
    <w:p w14:paraId="3721DB9C">
      <w:pPr>
        <w:pStyle w:val="53"/>
        <w:ind w:firstLine="803" w:firstLineChars="250"/>
        <w:jc w:val="left"/>
        <w:rPr>
          <w:rFonts w:hint="eastAsia" w:ascii="宋体" w:hAnsi="宋体" w:eastAsia="宋体" w:cs="宋体"/>
          <w:b/>
          <w:color w:val="auto"/>
          <w:sz w:val="32"/>
          <w:highlight w:val="none"/>
          <w:lang w:val="zh-CN"/>
        </w:rPr>
      </w:pPr>
    </w:p>
    <w:p w14:paraId="7EACAA53">
      <w:pPr>
        <w:pStyle w:val="53"/>
        <w:ind w:firstLine="803" w:firstLineChars="250"/>
        <w:jc w:val="left"/>
        <w:rPr>
          <w:rFonts w:hint="eastAsia" w:ascii="宋体" w:hAnsi="宋体" w:eastAsia="宋体" w:cs="宋体"/>
          <w:b/>
          <w:color w:val="auto"/>
          <w:sz w:val="32"/>
          <w:highlight w:val="none"/>
          <w:lang w:val="zh-CN"/>
        </w:rPr>
      </w:pPr>
    </w:p>
    <w:p w14:paraId="7F76469C">
      <w:pPr>
        <w:pStyle w:val="53"/>
        <w:ind w:firstLine="803" w:firstLineChars="250"/>
        <w:jc w:val="left"/>
        <w:rPr>
          <w:rFonts w:hint="eastAsia" w:ascii="宋体" w:hAnsi="宋体" w:eastAsia="宋体" w:cs="宋体"/>
          <w:b/>
          <w:color w:val="auto"/>
          <w:sz w:val="32"/>
          <w:highlight w:val="none"/>
          <w:lang w:val="zh-CN"/>
        </w:rPr>
      </w:pPr>
    </w:p>
    <w:p w14:paraId="45FF64AD">
      <w:pPr>
        <w:pStyle w:val="53"/>
        <w:ind w:firstLine="803" w:firstLineChars="250"/>
        <w:jc w:val="left"/>
        <w:rPr>
          <w:rFonts w:hint="eastAsia" w:ascii="宋体" w:hAnsi="宋体" w:eastAsia="宋体" w:cs="宋体"/>
          <w:b/>
          <w:color w:val="auto"/>
          <w:sz w:val="32"/>
          <w:highlight w:val="none"/>
          <w:lang w:val="zh-CN"/>
        </w:rPr>
      </w:pPr>
    </w:p>
    <w:p w14:paraId="1B8821DB">
      <w:pPr>
        <w:pStyle w:val="53"/>
        <w:ind w:firstLine="803" w:firstLineChars="250"/>
        <w:jc w:val="left"/>
        <w:rPr>
          <w:rFonts w:hint="eastAsia" w:ascii="宋体" w:hAnsi="宋体" w:eastAsia="宋体" w:cs="宋体"/>
          <w:b/>
          <w:color w:val="auto"/>
          <w:sz w:val="32"/>
          <w:highlight w:val="none"/>
          <w:lang w:val="zh-CN"/>
        </w:rPr>
      </w:pPr>
    </w:p>
    <w:p w14:paraId="30A36EE9">
      <w:pPr>
        <w:pStyle w:val="53"/>
        <w:ind w:firstLine="803" w:firstLineChars="250"/>
        <w:jc w:val="left"/>
        <w:rPr>
          <w:rFonts w:hint="eastAsia" w:ascii="宋体" w:hAnsi="宋体" w:eastAsia="宋体" w:cs="宋体"/>
          <w:b/>
          <w:color w:val="auto"/>
          <w:sz w:val="32"/>
          <w:highlight w:val="none"/>
          <w:lang w:val="zh-CN"/>
        </w:rPr>
      </w:pPr>
    </w:p>
    <w:p w14:paraId="5F80C55F">
      <w:pPr>
        <w:pStyle w:val="53"/>
        <w:ind w:firstLine="803" w:firstLineChars="250"/>
        <w:jc w:val="left"/>
        <w:rPr>
          <w:rFonts w:hint="eastAsia" w:ascii="宋体" w:hAnsi="宋体" w:eastAsia="宋体" w:cs="宋体"/>
          <w:b/>
          <w:color w:val="auto"/>
          <w:sz w:val="32"/>
          <w:highlight w:val="none"/>
          <w:lang w:val="zh-CN"/>
        </w:rPr>
      </w:pPr>
    </w:p>
    <w:p w14:paraId="38E72DBF">
      <w:pPr>
        <w:pStyle w:val="53"/>
        <w:ind w:firstLine="803" w:firstLineChars="250"/>
        <w:jc w:val="left"/>
        <w:rPr>
          <w:rFonts w:hint="eastAsia" w:ascii="宋体" w:hAnsi="宋体" w:eastAsia="宋体" w:cs="宋体"/>
          <w:b/>
          <w:color w:val="auto"/>
          <w:sz w:val="32"/>
          <w:highlight w:val="none"/>
          <w:lang w:val="zh-CN"/>
        </w:rPr>
      </w:pPr>
    </w:p>
    <w:p w14:paraId="1B94BDA6">
      <w:pPr>
        <w:pStyle w:val="53"/>
        <w:ind w:firstLine="803" w:firstLineChars="250"/>
        <w:jc w:val="left"/>
        <w:rPr>
          <w:rFonts w:hint="eastAsia" w:ascii="宋体" w:hAnsi="宋体" w:eastAsia="宋体" w:cs="宋体"/>
          <w:b/>
          <w:color w:val="auto"/>
          <w:sz w:val="32"/>
          <w:highlight w:val="none"/>
          <w:lang w:val="zh-CN"/>
        </w:rPr>
      </w:pPr>
    </w:p>
    <w:p w14:paraId="17DFFF93">
      <w:pPr>
        <w:pStyle w:val="53"/>
        <w:ind w:firstLine="803" w:firstLineChars="250"/>
        <w:jc w:val="left"/>
        <w:rPr>
          <w:rFonts w:hint="eastAsia" w:ascii="宋体" w:hAnsi="宋体" w:eastAsia="宋体" w:cs="宋体"/>
          <w:b/>
          <w:color w:val="auto"/>
          <w:sz w:val="32"/>
          <w:highlight w:val="none"/>
          <w:lang w:val="zh-CN"/>
        </w:rPr>
      </w:pPr>
    </w:p>
    <w:p w14:paraId="646400BA">
      <w:pPr>
        <w:pStyle w:val="53"/>
        <w:ind w:firstLine="803" w:firstLineChars="250"/>
        <w:jc w:val="left"/>
        <w:rPr>
          <w:rFonts w:hint="eastAsia" w:ascii="宋体" w:hAnsi="宋体" w:eastAsia="宋体" w:cs="宋体"/>
          <w:b/>
          <w:color w:val="auto"/>
          <w:sz w:val="32"/>
          <w:highlight w:val="none"/>
          <w:lang w:val="zh-CN"/>
        </w:rPr>
      </w:pPr>
    </w:p>
    <w:p w14:paraId="3F2F0943">
      <w:pPr>
        <w:pStyle w:val="53"/>
        <w:ind w:firstLine="803" w:firstLineChars="250"/>
        <w:jc w:val="left"/>
        <w:rPr>
          <w:rFonts w:hint="eastAsia" w:ascii="宋体" w:hAnsi="宋体" w:eastAsia="宋体" w:cs="宋体"/>
          <w:b/>
          <w:color w:val="auto"/>
          <w:sz w:val="32"/>
          <w:highlight w:val="none"/>
          <w:lang w:val="zh-CN"/>
        </w:rPr>
      </w:pPr>
    </w:p>
    <w:p w14:paraId="14E845DE">
      <w:pPr>
        <w:pStyle w:val="53"/>
        <w:ind w:firstLine="803" w:firstLineChars="250"/>
        <w:jc w:val="left"/>
        <w:rPr>
          <w:rFonts w:hint="eastAsia" w:ascii="宋体" w:hAnsi="宋体" w:eastAsia="宋体" w:cs="宋体"/>
          <w:b/>
          <w:color w:val="auto"/>
          <w:sz w:val="32"/>
          <w:highlight w:val="none"/>
          <w:lang w:val="zh-CN"/>
        </w:rPr>
      </w:pPr>
    </w:p>
    <w:p w14:paraId="19EF6B30">
      <w:pPr>
        <w:pStyle w:val="53"/>
        <w:jc w:val="left"/>
        <w:outlineLvl w:val="1"/>
        <w:rPr>
          <w:rFonts w:hint="eastAsia" w:ascii="宋体" w:hAnsi="宋体" w:eastAsia="宋体" w:cs="宋体"/>
          <w:b/>
          <w:color w:val="auto"/>
          <w:kern w:val="0"/>
          <w:sz w:val="32"/>
          <w:szCs w:val="22"/>
          <w:highlight w:val="none"/>
          <w:lang w:val="zh-CN"/>
        </w:rPr>
      </w:pPr>
      <w:bookmarkStart w:id="637" w:name="_Toc31965"/>
      <w:bookmarkStart w:id="638" w:name="_Toc24929"/>
      <w:bookmarkStart w:id="639" w:name="_Toc4328"/>
      <w:bookmarkStart w:id="640" w:name="_Toc12522"/>
      <w:r>
        <w:rPr>
          <w:rFonts w:hint="eastAsia" w:ascii="宋体" w:hAnsi="宋体" w:eastAsia="宋体" w:cs="宋体"/>
          <w:b/>
          <w:color w:val="auto"/>
          <w:kern w:val="0"/>
          <w:sz w:val="32"/>
          <w:szCs w:val="22"/>
          <w:highlight w:val="none"/>
          <w:lang w:val="zh-CN"/>
        </w:rPr>
        <w:t>格式</w:t>
      </w:r>
      <w:bookmarkEnd w:id="623"/>
      <w:bookmarkEnd w:id="624"/>
      <w:r>
        <w:rPr>
          <w:rFonts w:hint="eastAsia" w:ascii="宋体" w:hAnsi="宋体" w:eastAsia="宋体" w:cs="宋体"/>
          <w:b/>
          <w:color w:val="auto"/>
          <w:kern w:val="0"/>
          <w:sz w:val="32"/>
          <w:szCs w:val="22"/>
          <w:highlight w:val="none"/>
          <w:lang w:val="zh-CN"/>
        </w:rPr>
        <w:t>9、磋商保证金证明</w:t>
      </w:r>
      <w:bookmarkEnd w:id="637"/>
      <w:bookmarkEnd w:id="638"/>
      <w:bookmarkEnd w:id="639"/>
      <w:bookmarkEnd w:id="640"/>
    </w:p>
    <w:p w14:paraId="72077ABE">
      <w:pPr>
        <w:spacing w:line="360" w:lineRule="auto"/>
        <w:jc w:val="left"/>
        <w:rPr>
          <w:rFonts w:hint="eastAsia" w:ascii="宋体" w:hAnsi="宋体" w:eastAsia="宋体" w:cs="宋体"/>
          <w:color w:val="auto"/>
          <w:sz w:val="22"/>
          <w:highlight w:val="none"/>
          <w:lang w:val="zh-CN"/>
        </w:rPr>
      </w:pPr>
    </w:p>
    <w:p w14:paraId="4549D90C">
      <w:pPr>
        <w:adjustRightInd w:val="0"/>
        <w:spacing w:line="360" w:lineRule="auto"/>
        <w:jc w:val="center"/>
        <w:textAlignment w:val="baseline"/>
        <w:rPr>
          <w:rFonts w:hint="eastAsia" w:ascii="宋体" w:hAnsi="宋体" w:eastAsia="宋体" w:cs="宋体"/>
          <w:b/>
          <w:color w:val="auto"/>
          <w:sz w:val="32"/>
          <w:szCs w:val="30"/>
          <w:highlight w:val="none"/>
        </w:rPr>
      </w:pPr>
      <w:r>
        <w:rPr>
          <w:rFonts w:hint="eastAsia" w:ascii="宋体" w:hAnsi="宋体" w:eastAsia="宋体" w:cs="宋体"/>
          <w:b/>
          <w:color w:val="auto"/>
          <w:sz w:val="32"/>
          <w:szCs w:val="30"/>
          <w:highlight w:val="none"/>
        </w:rPr>
        <w:t>磋商保证金证明</w:t>
      </w:r>
    </w:p>
    <w:p w14:paraId="3F1F237D">
      <w:pPr>
        <w:autoSpaceDE w:val="0"/>
        <w:autoSpaceDN w:val="0"/>
        <w:adjustRightInd w:val="0"/>
        <w:spacing w:line="360" w:lineRule="auto"/>
        <w:jc w:val="left"/>
        <w:rPr>
          <w:rFonts w:hint="eastAsia" w:ascii="宋体" w:hAnsi="宋体" w:eastAsia="宋体" w:cs="宋体"/>
          <w:b/>
          <w:bCs/>
          <w:color w:val="auto"/>
          <w:sz w:val="24"/>
          <w:szCs w:val="28"/>
          <w:highlight w:val="none"/>
          <w:lang w:val="zh-CN"/>
        </w:rPr>
      </w:pPr>
      <w:bookmarkStart w:id="641" w:name="_Toc325726048"/>
      <w:bookmarkEnd w:id="641"/>
    </w:p>
    <w:p w14:paraId="25B5DC4F">
      <w:pPr>
        <w:autoSpaceDE w:val="0"/>
        <w:autoSpaceDN w:val="0"/>
        <w:adjustRightInd w:val="0"/>
        <w:spacing w:line="360" w:lineRule="auto"/>
        <w:jc w:val="left"/>
        <w:outlineLvl w:val="1"/>
        <w:rPr>
          <w:rFonts w:hint="eastAsia" w:ascii="宋体" w:hAnsi="宋体" w:eastAsia="宋体" w:cs="宋体"/>
          <w:b/>
          <w:bCs/>
          <w:color w:val="auto"/>
          <w:sz w:val="22"/>
          <w:highlight w:val="none"/>
          <w:lang w:val="zh-CN"/>
        </w:rPr>
      </w:pPr>
      <w:bookmarkStart w:id="642" w:name="_Toc18285"/>
      <w:bookmarkStart w:id="643" w:name="_Toc32631"/>
      <w:bookmarkStart w:id="644" w:name="_Toc28238"/>
      <w:bookmarkStart w:id="645" w:name="_Toc13468"/>
      <w:r>
        <w:rPr>
          <w:rFonts w:hint="eastAsia" w:ascii="宋体" w:hAnsi="宋体" w:eastAsia="宋体" w:cs="宋体"/>
          <w:b/>
          <w:bCs/>
          <w:color w:val="auto"/>
          <w:sz w:val="24"/>
          <w:szCs w:val="28"/>
          <w:highlight w:val="none"/>
          <w:lang w:val="zh-CN"/>
        </w:rPr>
        <w:t>致：</w:t>
      </w:r>
      <w:bookmarkEnd w:id="642"/>
      <w:r>
        <w:rPr>
          <w:rFonts w:hint="eastAsia" w:ascii="宋体" w:hAnsi="宋体" w:eastAsia="宋体" w:cs="宋体"/>
          <w:b/>
          <w:bCs/>
          <w:color w:val="auto"/>
          <w:sz w:val="24"/>
          <w:szCs w:val="28"/>
          <w:highlight w:val="none"/>
          <w:lang w:val="zh-CN"/>
        </w:rPr>
        <w:t>青海中旭工程项目管理有限公司</w:t>
      </w:r>
      <w:bookmarkEnd w:id="643"/>
      <w:bookmarkEnd w:id="644"/>
      <w:bookmarkEnd w:id="645"/>
    </w:p>
    <w:p w14:paraId="11945AAD">
      <w:pPr>
        <w:autoSpaceDE w:val="0"/>
        <w:autoSpaceDN w:val="0"/>
        <w:adjustRightInd w:val="0"/>
        <w:spacing w:line="360" w:lineRule="auto"/>
        <w:jc w:val="left"/>
        <w:rPr>
          <w:rFonts w:hint="eastAsia" w:ascii="宋体" w:hAnsi="宋体" w:eastAsia="宋体" w:cs="宋体"/>
          <w:b/>
          <w:bCs/>
          <w:color w:val="auto"/>
          <w:sz w:val="24"/>
          <w:highlight w:val="none"/>
          <w:lang w:val="zh-CN"/>
        </w:rPr>
      </w:pPr>
    </w:p>
    <w:p w14:paraId="156020A8">
      <w:pPr>
        <w:autoSpaceDE w:val="0"/>
        <w:autoSpaceDN w:val="0"/>
        <w:adjustRightInd w:val="0"/>
        <w:spacing w:line="360" w:lineRule="auto"/>
        <w:ind w:firstLine="36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我方为</w:t>
      </w:r>
      <w:r>
        <w:rPr>
          <w:rFonts w:hint="eastAsia" w:ascii="宋体" w:hAnsi="宋体" w:eastAsia="宋体" w:cs="宋体"/>
          <w:color w:val="auto"/>
          <w:sz w:val="24"/>
          <w:highlight w:val="none"/>
          <w:u w:val="single"/>
          <w:lang w:val="zh-CN"/>
        </w:rPr>
        <w:t>（项目名称）项目</w:t>
      </w:r>
      <w:r>
        <w:rPr>
          <w:rFonts w:hint="eastAsia" w:ascii="宋体" w:hAnsi="宋体" w:eastAsia="宋体" w:cs="宋体"/>
          <w:color w:val="auto"/>
          <w:sz w:val="24"/>
          <w:highlight w:val="none"/>
          <w:lang w:val="zh-CN"/>
        </w:rPr>
        <w:t>（采购编号为：）递交保证金人民币（大写：人民币元）已于年月日以基本户转账方式汇入你方账户。</w:t>
      </w:r>
    </w:p>
    <w:p w14:paraId="67B66896">
      <w:pPr>
        <w:autoSpaceDE w:val="0"/>
        <w:autoSpaceDN w:val="0"/>
        <w:adjustRightInd w:val="0"/>
        <w:spacing w:line="360" w:lineRule="auto"/>
        <w:ind w:firstLine="480" w:firstLineChars="200"/>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附件：保证金交款证明及开户许可证复印件（加盖磋商供应商公章）</w:t>
      </w:r>
    </w:p>
    <w:p w14:paraId="617B4D04">
      <w:pPr>
        <w:autoSpaceDE w:val="0"/>
        <w:autoSpaceDN w:val="0"/>
        <w:adjustRightInd w:val="0"/>
        <w:spacing w:line="360" w:lineRule="auto"/>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退还保证金时请按以下内容汇入至我方账户（同递交保证金账户）。若因提供内容不全、错误等原因导致该项目保证金未能及时退还或退还过程中发生错误，我方将承担全部责任和损失。</w:t>
      </w:r>
    </w:p>
    <w:p w14:paraId="55BDD6F8">
      <w:pPr>
        <w:autoSpaceDE w:val="0"/>
        <w:autoSpaceDN w:val="0"/>
        <w:adjustRightInd w:val="0"/>
        <w:spacing w:line="360" w:lineRule="auto"/>
        <w:ind w:firstLine="36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户    名：</w:t>
      </w:r>
    </w:p>
    <w:p w14:paraId="1118FFDB">
      <w:pPr>
        <w:autoSpaceDE w:val="0"/>
        <w:autoSpaceDN w:val="0"/>
        <w:adjustRightInd w:val="0"/>
        <w:spacing w:line="360" w:lineRule="auto"/>
        <w:ind w:firstLine="36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开户银行：</w:t>
      </w:r>
    </w:p>
    <w:p w14:paraId="70AF4115">
      <w:pPr>
        <w:autoSpaceDE w:val="0"/>
        <w:autoSpaceDN w:val="0"/>
        <w:adjustRightInd w:val="0"/>
        <w:spacing w:line="360" w:lineRule="auto"/>
        <w:ind w:firstLine="36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开户帐号：</w:t>
      </w:r>
    </w:p>
    <w:p w14:paraId="3672269B">
      <w:pPr>
        <w:autoSpaceDE w:val="0"/>
        <w:autoSpaceDN w:val="0"/>
        <w:adjustRightInd w:val="0"/>
        <w:spacing w:line="360" w:lineRule="auto"/>
        <w:jc w:val="left"/>
        <w:rPr>
          <w:rFonts w:hint="eastAsia" w:ascii="宋体" w:hAnsi="宋体" w:eastAsia="宋体" w:cs="宋体"/>
          <w:color w:val="auto"/>
          <w:sz w:val="24"/>
          <w:highlight w:val="none"/>
          <w:lang w:val="zh-CN"/>
        </w:rPr>
      </w:pPr>
    </w:p>
    <w:p w14:paraId="2FBF4DC4">
      <w:pPr>
        <w:autoSpaceDE w:val="0"/>
        <w:autoSpaceDN w:val="0"/>
        <w:adjustRightInd w:val="0"/>
        <w:spacing w:line="360" w:lineRule="auto"/>
        <w:jc w:val="left"/>
        <w:rPr>
          <w:rFonts w:hint="eastAsia" w:ascii="宋体" w:hAnsi="宋体" w:eastAsia="宋体" w:cs="宋体"/>
          <w:color w:val="auto"/>
          <w:sz w:val="24"/>
          <w:highlight w:val="none"/>
          <w:lang w:val="zh-CN"/>
        </w:rPr>
      </w:pPr>
    </w:p>
    <w:p w14:paraId="62EB4766">
      <w:pPr>
        <w:autoSpaceDE w:val="0"/>
        <w:autoSpaceDN w:val="0"/>
        <w:adjustRightInd w:val="0"/>
        <w:spacing w:line="360" w:lineRule="auto"/>
        <w:jc w:val="left"/>
        <w:rPr>
          <w:rFonts w:hint="eastAsia" w:ascii="宋体" w:hAnsi="宋体" w:eastAsia="宋体" w:cs="宋体"/>
          <w:color w:val="auto"/>
          <w:sz w:val="24"/>
          <w:highlight w:val="none"/>
          <w:lang w:val="zh-CN"/>
        </w:rPr>
      </w:pPr>
    </w:p>
    <w:p w14:paraId="27C5B296">
      <w:pPr>
        <w:tabs>
          <w:tab w:val="left" w:pos="168"/>
        </w:tabs>
        <w:adjustRightInd w:val="0"/>
        <w:spacing w:line="360" w:lineRule="auto"/>
        <w:jc w:val="left"/>
        <w:textAlignment w:val="baseline"/>
        <w:rPr>
          <w:rFonts w:hint="eastAsia" w:ascii="宋体" w:hAnsi="宋体" w:eastAsia="宋体" w:cs="宋体"/>
          <w:bCs/>
          <w:color w:val="auto"/>
          <w:sz w:val="24"/>
          <w:szCs w:val="28"/>
          <w:highlight w:val="none"/>
        </w:rPr>
      </w:pPr>
    </w:p>
    <w:p w14:paraId="48099E21">
      <w:pPr>
        <w:tabs>
          <w:tab w:val="left" w:pos="168"/>
        </w:tabs>
        <w:adjustRightInd w:val="0"/>
        <w:spacing w:line="360" w:lineRule="auto"/>
        <w:ind w:firstLine="4958" w:firstLineChars="2058"/>
        <w:jc w:val="left"/>
        <w:textAlignment w:val="baseline"/>
        <w:outlineLvl w:val="1"/>
        <w:rPr>
          <w:rFonts w:hint="eastAsia" w:ascii="宋体" w:hAnsi="宋体" w:eastAsia="宋体" w:cs="宋体"/>
          <w:b/>
          <w:color w:val="auto"/>
          <w:sz w:val="24"/>
          <w:szCs w:val="28"/>
          <w:highlight w:val="none"/>
        </w:rPr>
      </w:pPr>
      <w:bookmarkStart w:id="646" w:name="_Toc32227"/>
      <w:bookmarkStart w:id="647" w:name="_Toc26362"/>
      <w:bookmarkStart w:id="648" w:name="_Toc4107"/>
      <w:bookmarkStart w:id="649" w:name="_Toc701"/>
      <w:r>
        <w:rPr>
          <w:rFonts w:hint="eastAsia" w:ascii="宋体" w:hAnsi="宋体" w:eastAsia="宋体" w:cs="宋体"/>
          <w:b/>
          <w:color w:val="auto"/>
          <w:sz w:val="24"/>
          <w:szCs w:val="28"/>
          <w:highlight w:val="none"/>
        </w:rPr>
        <w:t>供应商：           （公章）</w:t>
      </w:r>
      <w:bookmarkEnd w:id="646"/>
      <w:bookmarkEnd w:id="647"/>
      <w:bookmarkEnd w:id="648"/>
      <w:bookmarkEnd w:id="649"/>
    </w:p>
    <w:p w14:paraId="02E4EDFB">
      <w:pPr>
        <w:tabs>
          <w:tab w:val="left" w:pos="168"/>
        </w:tabs>
        <w:adjustRightInd w:val="0"/>
        <w:spacing w:line="360" w:lineRule="auto"/>
        <w:jc w:val="right"/>
        <w:textAlignment w:val="baseline"/>
        <w:outlineLvl w:val="1"/>
        <w:rPr>
          <w:rFonts w:hint="eastAsia" w:ascii="宋体" w:hAnsi="宋体" w:eastAsia="宋体" w:cs="宋体"/>
          <w:b/>
          <w:color w:val="auto"/>
          <w:sz w:val="24"/>
          <w:szCs w:val="28"/>
          <w:highlight w:val="none"/>
        </w:rPr>
      </w:pPr>
      <w:bookmarkStart w:id="650" w:name="_Toc8411"/>
      <w:bookmarkStart w:id="651" w:name="_Toc8209"/>
      <w:bookmarkStart w:id="652" w:name="_Toc32578"/>
      <w:bookmarkStart w:id="653" w:name="_Toc20403"/>
      <w:r>
        <w:rPr>
          <w:rFonts w:hint="eastAsia" w:ascii="宋体" w:hAnsi="宋体" w:eastAsia="宋体" w:cs="宋体"/>
          <w:b/>
          <w:color w:val="auto"/>
          <w:sz w:val="24"/>
          <w:szCs w:val="28"/>
          <w:highlight w:val="none"/>
        </w:rPr>
        <w:t>委托代理人或法定代表人：                 （签字或盖章）</w:t>
      </w:r>
      <w:bookmarkEnd w:id="650"/>
      <w:bookmarkEnd w:id="651"/>
      <w:bookmarkEnd w:id="652"/>
      <w:bookmarkEnd w:id="653"/>
    </w:p>
    <w:p w14:paraId="417D683C">
      <w:pPr>
        <w:tabs>
          <w:tab w:val="left" w:pos="168"/>
        </w:tabs>
        <w:adjustRightInd w:val="0"/>
        <w:spacing w:line="360" w:lineRule="auto"/>
        <w:ind w:firstLine="5190" w:firstLineChars="2154"/>
        <w:jc w:val="left"/>
        <w:textAlignment w:val="baseline"/>
        <w:outlineLvl w:val="1"/>
        <w:rPr>
          <w:rFonts w:hint="eastAsia" w:ascii="宋体" w:hAnsi="宋体" w:eastAsia="宋体" w:cs="宋体"/>
          <w:b/>
          <w:color w:val="auto"/>
          <w:sz w:val="24"/>
          <w:szCs w:val="28"/>
          <w:highlight w:val="none"/>
        </w:rPr>
      </w:pPr>
      <w:bookmarkStart w:id="654" w:name="_Toc18217"/>
      <w:bookmarkStart w:id="655" w:name="_Toc16640"/>
      <w:bookmarkStart w:id="656" w:name="_Toc31056"/>
      <w:bookmarkStart w:id="657" w:name="_Toc13424"/>
      <w:r>
        <w:rPr>
          <w:rFonts w:hint="eastAsia" w:ascii="宋体" w:hAnsi="宋体" w:eastAsia="宋体" w:cs="宋体"/>
          <w:b/>
          <w:color w:val="auto"/>
          <w:sz w:val="24"/>
          <w:szCs w:val="28"/>
          <w:highlight w:val="none"/>
        </w:rPr>
        <w:t>日期：      年   月   日</w:t>
      </w:r>
      <w:bookmarkEnd w:id="654"/>
      <w:bookmarkEnd w:id="655"/>
      <w:bookmarkEnd w:id="656"/>
      <w:bookmarkEnd w:id="657"/>
    </w:p>
    <w:p w14:paraId="5263B800">
      <w:pPr>
        <w:tabs>
          <w:tab w:val="left" w:pos="168"/>
        </w:tabs>
        <w:adjustRightInd w:val="0"/>
        <w:spacing w:line="360" w:lineRule="auto"/>
        <w:jc w:val="left"/>
        <w:textAlignment w:val="baseline"/>
        <w:rPr>
          <w:rFonts w:hint="eastAsia" w:ascii="宋体" w:hAnsi="宋体" w:eastAsia="宋体" w:cs="宋体"/>
          <w:bCs/>
          <w:color w:val="auto"/>
          <w:sz w:val="24"/>
          <w:szCs w:val="28"/>
          <w:highlight w:val="none"/>
        </w:rPr>
      </w:pPr>
    </w:p>
    <w:p w14:paraId="18071C09">
      <w:pPr>
        <w:spacing w:line="360" w:lineRule="auto"/>
        <w:jc w:val="left"/>
        <w:rPr>
          <w:rFonts w:hint="eastAsia" w:ascii="宋体" w:hAnsi="宋体" w:eastAsia="宋体" w:cs="宋体"/>
          <w:color w:val="auto"/>
          <w:highlight w:val="none"/>
          <w:lang w:val="zh-CN"/>
        </w:rPr>
      </w:pPr>
    </w:p>
    <w:p w14:paraId="40291CDE">
      <w:pPr>
        <w:pStyle w:val="4"/>
        <w:numPr>
          <w:ilvl w:val="2"/>
          <w:numId w:val="0"/>
        </w:numPr>
        <w:spacing w:line="360" w:lineRule="auto"/>
        <w:ind w:left="709" w:hanging="709"/>
        <w:jc w:val="left"/>
        <w:rPr>
          <w:rFonts w:hint="eastAsia" w:ascii="宋体" w:hAnsi="宋体" w:eastAsia="宋体" w:cs="宋体"/>
          <w:color w:val="auto"/>
          <w:highlight w:val="none"/>
        </w:rPr>
      </w:pPr>
      <w:r>
        <w:rPr>
          <w:rFonts w:hint="eastAsia" w:ascii="宋体" w:hAnsi="宋体" w:eastAsia="宋体" w:cs="宋体"/>
          <w:color w:val="auto"/>
          <w:sz w:val="24"/>
          <w:highlight w:val="none"/>
          <w:lang w:val="zh-CN"/>
        </w:rPr>
        <w:br w:type="page"/>
      </w:r>
      <w:bookmarkStart w:id="658" w:name="_Toc12108"/>
      <w:bookmarkStart w:id="659" w:name="_Toc444715741"/>
      <w:bookmarkStart w:id="660" w:name="_Toc11963"/>
      <w:bookmarkStart w:id="661" w:name="_Toc10388"/>
      <w:bookmarkStart w:id="662" w:name="_Toc29954"/>
      <w:bookmarkStart w:id="663" w:name="_Toc18663"/>
      <w:bookmarkStart w:id="664" w:name="_Toc26551"/>
      <w:bookmarkStart w:id="665" w:name="_Toc21450"/>
      <w:bookmarkStart w:id="666" w:name="_Toc428180589"/>
      <w:r>
        <w:rPr>
          <w:rFonts w:hint="eastAsia" w:ascii="宋体" w:hAnsi="宋体" w:eastAsia="宋体" w:cs="宋体"/>
          <w:b/>
          <w:color w:val="auto"/>
          <w:sz w:val="32"/>
          <w:highlight w:val="none"/>
          <w:lang w:val="zh-CN"/>
        </w:rPr>
        <w:t>格式10、无重大违法记录声明</w:t>
      </w:r>
      <w:bookmarkEnd w:id="658"/>
      <w:bookmarkEnd w:id="659"/>
      <w:bookmarkEnd w:id="660"/>
      <w:bookmarkEnd w:id="661"/>
      <w:bookmarkEnd w:id="662"/>
      <w:bookmarkEnd w:id="663"/>
      <w:bookmarkEnd w:id="664"/>
      <w:bookmarkEnd w:id="665"/>
      <w:bookmarkEnd w:id="666"/>
    </w:p>
    <w:p w14:paraId="3DB45BAD">
      <w:pPr>
        <w:autoSpaceDE w:val="0"/>
        <w:autoSpaceDN w:val="0"/>
        <w:adjustRightInd w:val="0"/>
        <w:spacing w:line="360" w:lineRule="auto"/>
        <w:jc w:val="left"/>
        <w:rPr>
          <w:rFonts w:hint="eastAsia" w:ascii="宋体" w:hAnsi="宋体" w:eastAsia="宋体" w:cs="宋体"/>
          <w:color w:val="auto"/>
          <w:sz w:val="24"/>
          <w:highlight w:val="none"/>
          <w:lang w:val="zh-CN"/>
        </w:rPr>
      </w:pPr>
    </w:p>
    <w:p w14:paraId="67AAB782">
      <w:pPr>
        <w:adjustRightInd w:val="0"/>
        <w:spacing w:line="360" w:lineRule="auto"/>
        <w:jc w:val="center"/>
        <w:textAlignment w:val="baseline"/>
        <w:rPr>
          <w:rFonts w:hint="eastAsia" w:ascii="宋体" w:hAnsi="宋体" w:eastAsia="宋体" w:cs="宋体"/>
          <w:b/>
          <w:color w:val="auto"/>
          <w:sz w:val="32"/>
          <w:szCs w:val="30"/>
          <w:highlight w:val="none"/>
        </w:rPr>
      </w:pPr>
      <w:r>
        <w:rPr>
          <w:rFonts w:hint="eastAsia" w:ascii="宋体" w:hAnsi="宋体" w:eastAsia="宋体" w:cs="宋体"/>
          <w:b/>
          <w:color w:val="auto"/>
          <w:sz w:val="32"/>
          <w:szCs w:val="30"/>
          <w:highlight w:val="none"/>
        </w:rPr>
        <w:t>无重大违法记录声明</w:t>
      </w:r>
    </w:p>
    <w:p w14:paraId="3D4457BB">
      <w:pPr>
        <w:autoSpaceDE w:val="0"/>
        <w:autoSpaceDN w:val="0"/>
        <w:adjustRightInd w:val="0"/>
        <w:spacing w:line="360" w:lineRule="auto"/>
        <w:jc w:val="left"/>
        <w:rPr>
          <w:rFonts w:hint="eastAsia" w:ascii="宋体" w:hAnsi="宋体" w:eastAsia="宋体" w:cs="宋体"/>
          <w:color w:val="auto"/>
          <w:sz w:val="24"/>
          <w:szCs w:val="24"/>
          <w:highlight w:val="none"/>
          <w:lang w:val="zh-CN"/>
        </w:rPr>
      </w:pPr>
    </w:p>
    <w:p w14:paraId="36B0613C">
      <w:pPr>
        <w:spacing w:line="360" w:lineRule="auto"/>
        <w:jc w:val="left"/>
        <w:outlineLvl w:val="1"/>
        <w:rPr>
          <w:rFonts w:hint="eastAsia" w:ascii="宋体" w:hAnsi="宋体" w:eastAsia="宋体" w:cs="宋体"/>
          <w:color w:val="auto"/>
          <w:sz w:val="24"/>
          <w:szCs w:val="24"/>
          <w:highlight w:val="none"/>
        </w:rPr>
      </w:pPr>
      <w:bookmarkStart w:id="667" w:name="_Toc22778"/>
      <w:bookmarkStart w:id="668" w:name="_Toc23999"/>
      <w:bookmarkStart w:id="669" w:name="_Toc14108"/>
      <w:bookmarkStart w:id="670" w:name="_Toc7033"/>
      <w:r>
        <w:rPr>
          <w:rFonts w:hint="eastAsia" w:ascii="宋体" w:hAnsi="宋体" w:eastAsia="宋体" w:cs="宋体"/>
          <w:b/>
          <w:bCs/>
          <w:color w:val="auto"/>
          <w:sz w:val="24"/>
          <w:szCs w:val="24"/>
          <w:highlight w:val="none"/>
          <w:lang w:val="zh-CN"/>
        </w:rPr>
        <w:t>致：</w:t>
      </w:r>
      <w:bookmarkEnd w:id="667"/>
      <w:r>
        <w:rPr>
          <w:rFonts w:hint="eastAsia" w:ascii="宋体" w:hAnsi="宋体" w:eastAsia="宋体" w:cs="宋体"/>
          <w:b/>
          <w:bCs/>
          <w:color w:val="auto"/>
          <w:sz w:val="24"/>
          <w:szCs w:val="24"/>
          <w:highlight w:val="none"/>
          <w:lang w:val="zh-CN"/>
        </w:rPr>
        <w:t>青海中旭工程项目管理有限公司</w:t>
      </w:r>
      <w:bookmarkEnd w:id="668"/>
      <w:bookmarkEnd w:id="669"/>
      <w:bookmarkEnd w:id="670"/>
    </w:p>
    <w:p w14:paraId="02C86246">
      <w:pPr>
        <w:spacing w:line="360" w:lineRule="auto"/>
        <w:ind w:firstLine="424" w:firstLineChars="177"/>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（供应商名称）郑重声明，我方参加本项目竞磋活动前三年内无重大违法活动记录，符合《中华人民共和国政府采购法》规定的供应商资格条件。我方对此声明负全部法律责任。</w:t>
      </w:r>
    </w:p>
    <w:p w14:paraId="5438D06E">
      <w:pPr>
        <w:pStyle w:val="52"/>
        <w:widowControl w:val="0"/>
        <w:autoSpaceDE w:val="0"/>
        <w:autoSpaceDN w:val="0"/>
        <w:adjustRightInd w:val="0"/>
        <w:spacing w:before="0" w:beforeLines="0" w:after="0" w:afterLines="0" w:line="360" w:lineRule="auto"/>
        <w:ind w:firstLine="480" w:firstLineChars="200"/>
        <w:jc w:val="left"/>
        <w:rPr>
          <w:rFonts w:hint="eastAsia" w:ascii="宋体" w:hAnsi="宋体" w:eastAsia="宋体" w:cs="宋体"/>
          <w:color w:val="auto"/>
          <w:sz w:val="24"/>
          <w:highlight w:val="none"/>
          <w:lang w:eastAsia="zh-CN"/>
        </w:rPr>
      </w:pPr>
    </w:p>
    <w:p w14:paraId="46C2009A">
      <w:pPr>
        <w:pStyle w:val="52"/>
        <w:widowControl w:val="0"/>
        <w:autoSpaceDE w:val="0"/>
        <w:autoSpaceDN w:val="0"/>
        <w:adjustRightInd w:val="0"/>
        <w:spacing w:before="0" w:beforeLines="0" w:after="0" w:afterLines="0"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后附经信用中国（www.creditchina.gov.cn）、中国政府采购（www.ccgp.gov.cn）等渠道查询后，列入失信被执行人、重大税收违法失信主体、政府采购严重违法失信行为记录名单的，取消投标资格。（提供“信用中国”“中国政府采购网”网站的查询截图，时间为磋商截止时间前</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lang w:eastAsia="zh-CN"/>
        </w:rPr>
        <w:t>天内）。</w:t>
      </w:r>
    </w:p>
    <w:p w14:paraId="6C4B5207">
      <w:pPr>
        <w:spacing w:line="360" w:lineRule="auto"/>
        <w:ind w:firstLine="424" w:firstLineChars="177"/>
        <w:jc w:val="left"/>
        <w:rPr>
          <w:rFonts w:hint="eastAsia" w:ascii="宋体" w:hAnsi="宋体" w:eastAsia="宋体" w:cs="宋体"/>
          <w:color w:val="auto"/>
          <w:sz w:val="24"/>
          <w:highlight w:val="none"/>
        </w:rPr>
      </w:pPr>
    </w:p>
    <w:p w14:paraId="6F33B0D0">
      <w:pPr>
        <w:spacing w:line="360" w:lineRule="auto"/>
        <w:ind w:firstLine="424" w:firstLineChars="177"/>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特此声明。</w:t>
      </w:r>
    </w:p>
    <w:p w14:paraId="684A96B8">
      <w:pPr>
        <w:spacing w:line="360" w:lineRule="auto"/>
        <w:ind w:firstLine="424" w:firstLineChars="177"/>
        <w:jc w:val="left"/>
        <w:rPr>
          <w:rFonts w:hint="eastAsia" w:ascii="宋体" w:hAnsi="宋体" w:eastAsia="宋体" w:cs="宋体"/>
          <w:color w:val="auto"/>
          <w:sz w:val="24"/>
          <w:highlight w:val="none"/>
        </w:rPr>
      </w:pPr>
    </w:p>
    <w:p w14:paraId="020B23C4">
      <w:pPr>
        <w:spacing w:line="360" w:lineRule="auto"/>
        <w:ind w:firstLine="424" w:firstLineChars="177"/>
        <w:jc w:val="left"/>
        <w:rPr>
          <w:rFonts w:hint="eastAsia" w:ascii="宋体" w:hAnsi="宋体" w:eastAsia="宋体" w:cs="宋体"/>
          <w:color w:val="auto"/>
          <w:sz w:val="24"/>
          <w:highlight w:val="none"/>
        </w:rPr>
      </w:pPr>
    </w:p>
    <w:p w14:paraId="148CA8DD">
      <w:pPr>
        <w:spacing w:line="360" w:lineRule="auto"/>
        <w:ind w:firstLine="424" w:firstLineChars="177"/>
        <w:jc w:val="left"/>
        <w:rPr>
          <w:rFonts w:hint="eastAsia" w:ascii="宋体" w:hAnsi="宋体" w:eastAsia="宋体" w:cs="宋体"/>
          <w:color w:val="auto"/>
          <w:sz w:val="24"/>
          <w:highlight w:val="none"/>
        </w:rPr>
      </w:pPr>
    </w:p>
    <w:p w14:paraId="34C91CBB">
      <w:pPr>
        <w:spacing w:line="360" w:lineRule="auto"/>
        <w:jc w:val="left"/>
        <w:rPr>
          <w:rFonts w:hint="eastAsia" w:ascii="宋体" w:hAnsi="宋体" w:eastAsia="宋体" w:cs="宋体"/>
          <w:color w:val="auto"/>
          <w:sz w:val="24"/>
          <w:highlight w:val="none"/>
        </w:rPr>
      </w:pPr>
    </w:p>
    <w:p w14:paraId="4BE7A203">
      <w:pPr>
        <w:spacing w:line="360" w:lineRule="auto"/>
        <w:ind w:firstLine="424" w:firstLineChars="177"/>
        <w:jc w:val="left"/>
        <w:rPr>
          <w:rFonts w:hint="eastAsia" w:ascii="宋体" w:hAnsi="宋体" w:eastAsia="宋体" w:cs="宋体"/>
          <w:color w:val="auto"/>
          <w:sz w:val="24"/>
          <w:highlight w:val="none"/>
        </w:rPr>
      </w:pPr>
    </w:p>
    <w:p w14:paraId="38082E75">
      <w:pPr>
        <w:spacing w:line="360" w:lineRule="auto"/>
        <w:ind w:firstLine="424" w:firstLineChars="177"/>
        <w:jc w:val="left"/>
        <w:rPr>
          <w:rFonts w:hint="eastAsia" w:ascii="宋体" w:hAnsi="宋体" w:eastAsia="宋体" w:cs="宋体"/>
          <w:color w:val="auto"/>
          <w:sz w:val="24"/>
          <w:highlight w:val="none"/>
        </w:rPr>
      </w:pPr>
    </w:p>
    <w:p w14:paraId="60F0BFA8">
      <w:pPr>
        <w:tabs>
          <w:tab w:val="left" w:pos="168"/>
        </w:tabs>
        <w:adjustRightInd w:val="0"/>
        <w:spacing w:line="360" w:lineRule="auto"/>
        <w:jc w:val="left"/>
        <w:textAlignment w:val="baseline"/>
        <w:rPr>
          <w:rFonts w:hint="eastAsia" w:ascii="宋体" w:hAnsi="宋体" w:eastAsia="宋体" w:cs="宋体"/>
          <w:bCs/>
          <w:color w:val="auto"/>
          <w:sz w:val="24"/>
          <w:szCs w:val="28"/>
          <w:highlight w:val="none"/>
        </w:rPr>
      </w:pPr>
    </w:p>
    <w:p w14:paraId="72702764">
      <w:pPr>
        <w:tabs>
          <w:tab w:val="left" w:pos="168"/>
        </w:tabs>
        <w:adjustRightInd w:val="0"/>
        <w:spacing w:line="360" w:lineRule="auto"/>
        <w:ind w:firstLine="4958" w:firstLineChars="2058"/>
        <w:jc w:val="left"/>
        <w:textAlignment w:val="baseline"/>
        <w:outlineLvl w:val="1"/>
        <w:rPr>
          <w:rFonts w:hint="eastAsia" w:ascii="宋体" w:hAnsi="宋体" w:eastAsia="宋体" w:cs="宋体"/>
          <w:b/>
          <w:color w:val="auto"/>
          <w:sz w:val="24"/>
          <w:szCs w:val="28"/>
          <w:highlight w:val="none"/>
        </w:rPr>
      </w:pPr>
      <w:bookmarkStart w:id="671" w:name="_Toc17438"/>
      <w:bookmarkStart w:id="672" w:name="_Toc31574"/>
      <w:bookmarkStart w:id="673" w:name="_Toc26880"/>
      <w:bookmarkStart w:id="674" w:name="_Toc2472"/>
      <w:r>
        <w:rPr>
          <w:rFonts w:hint="eastAsia" w:ascii="宋体" w:hAnsi="宋体" w:eastAsia="宋体" w:cs="宋体"/>
          <w:b/>
          <w:color w:val="auto"/>
          <w:sz w:val="24"/>
          <w:szCs w:val="28"/>
          <w:highlight w:val="none"/>
        </w:rPr>
        <w:t>供应商：             （公章）</w:t>
      </w:r>
      <w:bookmarkEnd w:id="671"/>
      <w:bookmarkEnd w:id="672"/>
      <w:bookmarkEnd w:id="673"/>
      <w:bookmarkEnd w:id="674"/>
    </w:p>
    <w:p w14:paraId="0B3B507F">
      <w:pPr>
        <w:tabs>
          <w:tab w:val="left" w:pos="168"/>
        </w:tabs>
        <w:adjustRightInd w:val="0"/>
        <w:spacing w:line="360" w:lineRule="auto"/>
        <w:jc w:val="right"/>
        <w:textAlignment w:val="baseline"/>
        <w:outlineLvl w:val="1"/>
        <w:rPr>
          <w:rFonts w:hint="eastAsia" w:ascii="宋体" w:hAnsi="宋体" w:eastAsia="宋体" w:cs="宋体"/>
          <w:b/>
          <w:color w:val="auto"/>
          <w:sz w:val="24"/>
          <w:szCs w:val="28"/>
          <w:highlight w:val="none"/>
        </w:rPr>
      </w:pPr>
      <w:bookmarkStart w:id="675" w:name="_Toc25283"/>
      <w:bookmarkStart w:id="676" w:name="_Toc6677"/>
      <w:bookmarkStart w:id="677" w:name="_Toc31900"/>
      <w:bookmarkStart w:id="678" w:name="_Toc25057"/>
      <w:r>
        <w:rPr>
          <w:rFonts w:hint="eastAsia" w:ascii="宋体" w:hAnsi="宋体" w:eastAsia="宋体" w:cs="宋体"/>
          <w:b/>
          <w:color w:val="auto"/>
          <w:sz w:val="24"/>
          <w:szCs w:val="28"/>
          <w:highlight w:val="none"/>
        </w:rPr>
        <w:t>委托代理人或法定代表人：                 （签字或盖章）</w:t>
      </w:r>
      <w:bookmarkEnd w:id="675"/>
      <w:bookmarkEnd w:id="676"/>
      <w:bookmarkEnd w:id="677"/>
      <w:bookmarkEnd w:id="678"/>
    </w:p>
    <w:p w14:paraId="07E25CC1">
      <w:pPr>
        <w:tabs>
          <w:tab w:val="left" w:pos="168"/>
        </w:tabs>
        <w:adjustRightInd w:val="0"/>
        <w:spacing w:line="360" w:lineRule="auto"/>
        <w:ind w:firstLine="5195" w:firstLineChars="2156"/>
        <w:jc w:val="left"/>
        <w:textAlignment w:val="baseline"/>
        <w:outlineLvl w:val="1"/>
        <w:rPr>
          <w:rFonts w:hint="eastAsia" w:ascii="宋体" w:hAnsi="宋体" w:eastAsia="宋体" w:cs="宋体"/>
          <w:b/>
          <w:color w:val="auto"/>
          <w:sz w:val="24"/>
          <w:szCs w:val="28"/>
          <w:highlight w:val="none"/>
        </w:rPr>
      </w:pPr>
      <w:bookmarkStart w:id="679" w:name="_Toc31850"/>
      <w:bookmarkStart w:id="680" w:name="_Toc23991"/>
      <w:bookmarkStart w:id="681" w:name="_Toc16192"/>
      <w:bookmarkStart w:id="682" w:name="_Toc1435"/>
      <w:r>
        <w:rPr>
          <w:rFonts w:hint="eastAsia" w:ascii="宋体" w:hAnsi="宋体" w:eastAsia="宋体" w:cs="宋体"/>
          <w:b/>
          <w:color w:val="auto"/>
          <w:sz w:val="24"/>
          <w:szCs w:val="28"/>
          <w:highlight w:val="none"/>
        </w:rPr>
        <w:t>日期：       年   月   日</w:t>
      </w:r>
      <w:bookmarkEnd w:id="679"/>
      <w:bookmarkEnd w:id="680"/>
      <w:bookmarkEnd w:id="681"/>
      <w:bookmarkEnd w:id="682"/>
    </w:p>
    <w:p w14:paraId="0EE60C3C">
      <w:pPr>
        <w:pStyle w:val="52"/>
        <w:widowControl w:val="0"/>
        <w:autoSpaceDE w:val="0"/>
        <w:autoSpaceDN w:val="0"/>
        <w:adjustRightInd w:val="0"/>
        <w:spacing w:before="0" w:beforeLines="0" w:after="0" w:afterLines="0" w:line="360" w:lineRule="auto"/>
        <w:jc w:val="left"/>
        <w:rPr>
          <w:rFonts w:hint="eastAsia" w:ascii="宋体" w:hAnsi="宋体" w:eastAsia="宋体" w:cs="宋体"/>
          <w:color w:val="auto"/>
          <w:sz w:val="24"/>
          <w:highlight w:val="none"/>
          <w:lang w:eastAsia="zh-CN"/>
        </w:rPr>
      </w:pPr>
    </w:p>
    <w:p w14:paraId="1BDC86C0">
      <w:pPr>
        <w:pStyle w:val="4"/>
        <w:numPr>
          <w:ilvl w:val="2"/>
          <w:numId w:val="0"/>
        </w:numPr>
        <w:spacing w:line="360" w:lineRule="auto"/>
        <w:ind w:left="709" w:hanging="709"/>
        <w:jc w:val="left"/>
        <w:rPr>
          <w:rFonts w:hint="eastAsia" w:ascii="宋体" w:hAnsi="宋体" w:eastAsia="宋体" w:cs="宋体"/>
          <w:color w:val="auto"/>
          <w:sz w:val="24"/>
          <w:highlight w:val="none"/>
          <w:lang w:val="zh-CN"/>
        </w:rPr>
      </w:pPr>
    </w:p>
    <w:p w14:paraId="7AEBD3A6">
      <w:pPr>
        <w:pStyle w:val="4"/>
        <w:numPr>
          <w:ilvl w:val="2"/>
          <w:numId w:val="0"/>
        </w:numPr>
        <w:spacing w:line="360" w:lineRule="auto"/>
        <w:ind w:left="709" w:hanging="709"/>
        <w:jc w:val="left"/>
        <w:rPr>
          <w:rFonts w:hint="eastAsia" w:ascii="宋体" w:hAnsi="宋体" w:eastAsia="宋体" w:cs="宋体"/>
          <w:color w:val="auto"/>
          <w:sz w:val="24"/>
          <w:highlight w:val="none"/>
          <w:lang w:val="zh-CN"/>
        </w:rPr>
      </w:pPr>
    </w:p>
    <w:p w14:paraId="67055519">
      <w:pPr>
        <w:pStyle w:val="4"/>
        <w:numPr>
          <w:ilvl w:val="2"/>
          <w:numId w:val="0"/>
        </w:numPr>
        <w:spacing w:line="360" w:lineRule="auto"/>
        <w:ind w:left="709" w:hanging="709"/>
        <w:jc w:val="left"/>
        <w:rPr>
          <w:rFonts w:hint="eastAsia" w:ascii="宋体" w:hAnsi="宋体" w:eastAsia="宋体" w:cs="宋体"/>
          <w:color w:val="auto"/>
          <w:sz w:val="24"/>
          <w:highlight w:val="none"/>
          <w:lang w:val="zh-CN"/>
        </w:rPr>
      </w:pPr>
    </w:p>
    <w:p w14:paraId="3BF09A13">
      <w:pPr>
        <w:pStyle w:val="4"/>
        <w:numPr>
          <w:ilvl w:val="2"/>
          <w:numId w:val="0"/>
        </w:numPr>
        <w:spacing w:line="360" w:lineRule="auto"/>
        <w:ind w:left="709" w:hanging="709"/>
        <w:jc w:val="left"/>
        <w:rPr>
          <w:rFonts w:hint="eastAsia" w:ascii="宋体" w:hAnsi="宋体" w:eastAsia="宋体" w:cs="宋体"/>
          <w:color w:val="auto"/>
          <w:highlight w:val="none"/>
          <w:lang w:val="zh-CN"/>
        </w:rPr>
      </w:pPr>
      <w:r>
        <w:rPr>
          <w:rFonts w:hint="eastAsia" w:ascii="宋体" w:hAnsi="宋体" w:eastAsia="宋体" w:cs="宋体"/>
          <w:color w:val="auto"/>
          <w:sz w:val="24"/>
          <w:highlight w:val="none"/>
          <w:lang w:val="zh-CN"/>
        </w:rPr>
        <w:br w:type="page"/>
      </w:r>
      <w:bookmarkStart w:id="683" w:name="_Toc11079"/>
      <w:bookmarkStart w:id="684" w:name="_Toc9724"/>
      <w:bookmarkStart w:id="685" w:name="_Toc8116"/>
      <w:bookmarkStart w:id="686" w:name="_Toc30269"/>
      <w:bookmarkStart w:id="687" w:name="_Toc9955"/>
      <w:bookmarkStart w:id="688" w:name="_Toc8283"/>
      <w:r>
        <w:rPr>
          <w:rFonts w:hint="eastAsia" w:ascii="宋体" w:hAnsi="宋体" w:eastAsia="宋体" w:cs="宋体"/>
          <w:b/>
          <w:color w:val="auto"/>
          <w:sz w:val="32"/>
          <w:highlight w:val="none"/>
          <w:lang w:val="zh-CN"/>
        </w:rPr>
        <w:t>格式</w:t>
      </w:r>
      <w:bookmarkEnd w:id="683"/>
      <w:bookmarkEnd w:id="684"/>
      <w:bookmarkEnd w:id="685"/>
      <w:bookmarkEnd w:id="686"/>
      <w:bookmarkEnd w:id="687"/>
      <w:bookmarkEnd w:id="688"/>
      <w:bookmarkStart w:id="689" w:name="_Toc11497"/>
      <w:bookmarkStart w:id="690" w:name="_Toc31601"/>
      <w:bookmarkStart w:id="691" w:name="_Toc25419"/>
      <w:bookmarkStart w:id="692" w:name="_Toc24328"/>
      <w:bookmarkStart w:id="693" w:name="_Toc1532"/>
      <w:bookmarkStart w:id="694" w:name="_Toc19290"/>
      <w:r>
        <w:rPr>
          <w:rFonts w:hint="eastAsia" w:ascii="宋体" w:hAnsi="宋体" w:eastAsia="宋体" w:cs="宋体"/>
          <w:b/>
          <w:color w:val="auto"/>
          <w:sz w:val="32"/>
          <w:highlight w:val="none"/>
          <w:lang w:val="zh-CN"/>
        </w:rPr>
        <w:t>1</w:t>
      </w:r>
      <w:r>
        <w:rPr>
          <w:rFonts w:hint="eastAsia" w:ascii="宋体" w:hAnsi="宋体" w:eastAsia="宋体" w:cs="宋体"/>
          <w:b/>
          <w:color w:val="auto"/>
          <w:sz w:val="32"/>
          <w:highlight w:val="none"/>
          <w:lang w:val="en-US" w:eastAsia="zh-CN"/>
        </w:rPr>
        <w:t>1</w:t>
      </w:r>
      <w:r>
        <w:rPr>
          <w:rFonts w:hint="eastAsia" w:ascii="宋体" w:hAnsi="宋体" w:eastAsia="宋体" w:cs="宋体"/>
          <w:b/>
          <w:color w:val="auto"/>
          <w:sz w:val="32"/>
          <w:highlight w:val="none"/>
          <w:lang w:val="zh-CN"/>
        </w:rPr>
        <w:t>、</w:t>
      </w:r>
      <w:bookmarkStart w:id="695" w:name="_Toc487036155"/>
      <w:r>
        <w:rPr>
          <w:rFonts w:hint="eastAsia" w:ascii="宋体" w:hAnsi="宋体" w:eastAsia="宋体" w:cs="宋体"/>
          <w:b/>
          <w:color w:val="auto"/>
          <w:sz w:val="32"/>
          <w:szCs w:val="22"/>
          <w:highlight w:val="none"/>
          <w:lang w:val="zh-CN"/>
        </w:rPr>
        <w:t>竞争性磋商首次报价表</w:t>
      </w:r>
      <w:bookmarkEnd w:id="689"/>
      <w:bookmarkEnd w:id="690"/>
      <w:bookmarkEnd w:id="691"/>
      <w:bookmarkEnd w:id="692"/>
      <w:bookmarkEnd w:id="693"/>
      <w:bookmarkEnd w:id="694"/>
      <w:bookmarkEnd w:id="695"/>
    </w:p>
    <w:p w14:paraId="4DE3B801">
      <w:pPr>
        <w:spacing w:line="360" w:lineRule="auto"/>
        <w:jc w:val="left"/>
        <w:rPr>
          <w:rFonts w:hint="eastAsia" w:ascii="宋体" w:hAnsi="宋体" w:eastAsia="宋体" w:cs="宋体"/>
          <w:b/>
          <w:bCs/>
          <w:color w:val="auto"/>
          <w:sz w:val="28"/>
          <w:szCs w:val="28"/>
          <w:highlight w:val="none"/>
        </w:rPr>
      </w:pPr>
    </w:p>
    <w:p w14:paraId="4E322CB6">
      <w:pPr>
        <w:ind w:firstLine="2711" w:firstLineChars="75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竞争性磋商首次报价表</w:t>
      </w:r>
    </w:p>
    <w:p w14:paraId="2574EF62">
      <w:pPr>
        <w:spacing w:line="360" w:lineRule="auto"/>
        <w:ind w:right="480" w:firstLine="480" w:firstLineChars="200"/>
        <w:jc w:val="left"/>
        <w:rPr>
          <w:rFonts w:hint="eastAsia" w:ascii="宋体" w:hAnsi="宋体" w:eastAsia="宋体" w:cs="宋体"/>
          <w:b/>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单位：</w:t>
      </w:r>
      <w:r>
        <w:rPr>
          <w:rFonts w:hint="eastAsia" w:ascii="宋体" w:hAnsi="宋体" w:eastAsia="宋体" w:cs="宋体"/>
          <w:bCs/>
          <w:color w:val="auto"/>
          <w:sz w:val="24"/>
          <w:highlight w:val="none"/>
        </w:rPr>
        <w:t>(</w:t>
      </w:r>
      <w:r>
        <w:rPr>
          <w:rFonts w:hint="eastAsia" w:eastAsia="宋体" w:cs="宋体"/>
          <w:color w:val="auto"/>
          <w:sz w:val="24"/>
          <w:highlight w:val="none"/>
          <w:u w:val="none"/>
          <w:lang w:val="en-US" w:eastAsia="zh-CN"/>
        </w:rPr>
        <w:t>元</w:t>
      </w:r>
      <w:r>
        <w:rPr>
          <w:rFonts w:hint="eastAsia" w:ascii="宋体" w:hAnsi="宋体" w:eastAsia="宋体" w:cs="宋体"/>
          <w:color w:val="auto"/>
          <w:sz w:val="24"/>
          <w:highlight w:val="none"/>
          <w:u w:val="none"/>
        </w:rPr>
        <w:t xml:space="preserve"> </w:t>
      </w:r>
      <w:r>
        <w:rPr>
          <w:rFonts w:hint="eastAsia" w:ascii="宋体" w:hAnsi="宋体" w:eastAsia="宋体" w:cs="宋体"/>
          <w:bCs/>
          <w:color w:val="auto"/>
          <w:sz w:val="24"/>
          <w:highlight w:val="none"/>
        </w:rPr>
        <w:t>)</w:t>
      </w:r>
    </w:p>
    <w:tbl>
      <w:tblPr>
        <w:tblStyle w:val="22"/>
        <w:tblpPr w:leftFromText="180" w:rightFromText="180" w:vertAnchor="text" w:horzAnchor="margin" w:tblpXSpec="center" w:tblpY="147"/>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2"/>
        <w:gridCol w:w="3707"/>
        <w:gridCol w:w="2040"/>
        <w:gridCol w:w="1533"/>
      </w:tblGrid>
      <w:tr w14:paraId="428AF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2042" w:type="dxa"/>
            <w:noWrap w:val="0"/>
            <w:vAlign w:val="center"/>
          </w:tcPr>
          <w:p w14:paraId="2EF350FA">
            <w:pPr>
              <w:adjustRightInd w:val="0"/>
              <w:spacing w:line="360" w:lineRule="auto"/>
              <w:ind w:firstLine="482"/>
              <w:textAlignment w:val="baseline"/>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项目名称</w:t>
            </w:r>
          </w:p>
        </w:tc>
        <w:tc>
          <w:tcPr>
            <w:tcW w:w="3707" w:type="dxa"/>
            <w:noWrap w:val="0"/>
            <w:vAlign w:val="center"/>
          </w:tcPr>
          <w:p w14:paraId="3146BC09">
            <w:pPr>
              <w:adjustRightInd w:val="0"/>
              <w:spacing w:line="360" w:lineRule="auto"/>
              <w:ind w:firstLine="482"/>
              <w:jc w:val="center"/>
              <w:textAlignment w:val="baseline"/>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竞争性磋商首次报价</w:t>
            </w:r>
          </w:p>
        </w:tc>
        <w:tc>
          <w:tcPr>
            <w:tcW w:w="2040" w:type="dxa"/>
            <w:noWrap w:val="0"/>
            <w:vAlign w:val="center"/>
          </w:tcPr>
          <w:p w14:paraId="656CF7EA">
            <w:pPr>
              <w:adjustRightInd w:val="0"/>
              <w:spacing w:line="360" w:lineRule="auto"/>
              <w:ind w:left="275" w:leftChars="16" w:hanging="241" w:hangingChars="100"/>
              <w:jc w:val="center"/>
              <w:textAlignment w:val="baseline"/>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服务期</w:t>
            </w:r>
          </w:p>
        </w:tc>
        <w:tc>
          <w:tcPr>
            <w:tcW w:w="1533" w:type="dxa"/>
            <w:noWrap w:val="0"/>
            <w:vAlign w:val="center"/>
          </w:tcPr>
          <w:p w14:paraId="5E8AEE4A">
            <w:pPr>
              <w:adjustRightInd w:val="0"/>
              <w:spacing w:line="360" w:lineRule="auto"/>
              <w:jc w:val="center"/>
              <w:textAlignment w:val="baseline"/>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14:paraId="3F1EE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2" w:hRule="atLeast"/>
          <w:jc w:val="center"/>
        </w:trPr>
        <w:tc>
          <w:tcPr>
            <w:tcW w:w="2042" w:type="dxa"/>
            <w:noWrap w:val="0"/>
            <w:vAlign w:val="center"/>
          </w:tcPr>
          <w:p w14:paraId="017016CD">
            <w:pPr>
              <w:adjustRightInd w:val="0"/>
              <w:spacing w:line="360" w:lineRule="auto"/>
              <w:ind w:firstLine="482"/>
              <w:textAlignment w:val="baseline"/>
              <w:rPr>
                <w:rFonts w:hint="eastAsia" w:ascii="宋体" w:hAnsi="宋体" w:eastAsia="宋体" w:cs="宋体"/>
                <w:b/>
                <w:bCs/>
                <w:color w:val="auto"/>
                <w:sz w:val="24"/>
                <w:highlight w:val="none"/>
              </w:rPr>
            </w:pPr>
          </w:p>
        </w:tc>
        <w:tc>
          <w:tcPr>
            <w:tcW w:w="3707" w:type="dxa"/>
            <w:noWrap w:val="0"/>
            <w:vAlign w:val="center"/>
          </w:tcPr>
          <w:p w14:paraId="483CFD21">
            <w:pPr>
              <w:numPr>
                <w:ilvl w:val="0"/>
                <w:numId w:val="0"/>
              </w:numPr>
              <w:spacing w:line="500" w:lineRule="exact"/>
              <w:rPr>
                <w:rFonts w:hint="eastAsia" w:ascii="宋体" w:hAnsi="宋体" w:eastAsia="宋体" w:cs="宋体"/>
                <w:b/>
                <w:color w:val="auto"/>
                <w:sz w:val="24"/>
                <w:highlight w:val="none"/>
              </w:rPr>
            </w:pPr>
            <w:r>
              <w:rPr>
                <w:rFonts w:hint="eastAsia" w:ascii="宋体" w:hAnsi="宋体" w:eastAsia="宋体" w:cs="宋体"/>
                <w:color w:val="auto"/>
                <w:sz w:val="24"/>
                <w:highlight w:val="none"/>
                <w:u w:val="none"/>
              </w:rPr>
              <w:t xml:space="preserve"> </w:t>
            </w:r>
          </w:p>
        </w:tc>
        <w:tc>
          <w:tcPr>
            <w:tcW w:w="2040" w:type="dxa"/>
            <w:noWrap w:val="0"/>
            <w:vAlign w:val="top"/>
          </w:tcPr>
          <w:p w14:paraId="309E2578">
            <w:pPr>
              <w:adjustRightInd w:val="0"/>
              <w:spacing w:line="360" w:lineRule="auto"/>
              <w:textAlignment w:val="baseline"/>
              <w:rPr>
                <w:rFonts w:hint="eastAsia" w:ascii="宋体" w:hAnsi="宋体" w:eastAsia="宋体" w:cs="宋体"/>
                <w:b/>
                <w:color w:val="auto"/>
                <w:sz w:val="24"/>
                <w:highlight w:val="none"/>
              </w:rPr>
            </w:pPr>
          </w:p>
        </w:tc>
        <w:tc>
          <w:tcPr>
            <w:tcW w:w="1533" w:type="dxa"/>
            <w:noWrap w:val="0"/>
            <w:vAlign w:val="top"/>
          </w:tcPr>
          <w:p w14:paraId="19FC81E1">
            <w:pPr>
              <w:adjustRightInd w:val="0"/>
              <w:spacing w:line="360" w:lineRule="auto"/>
              <w:textAlignment w:val="baseline"/>
              <w:rPr>
                <w:rFonts w:hint="eastAsia" w:ascii="宋体" w:hAnsi="宋体" w:eastAsia="宋体" w:cs="宋体"/>
                <w:b/>
                <w:color w:val="auto"/>
                <w:sz w:val="24"/>
                <w:highlight w:val="none"/>
              </w:rPr>
            </w:pPr>
          </w:p>
        </w:tc>
      </w:tr>
      <w:tr w14:paraId="566EB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3" w:hRule="atLeast"/>
          <w:jc w:val="center"/>
        </w:trPr>
        <w:tc>
          <w:tcPr>
            <w:tcW w:w="9322" w:type="dxa"/>
            <w:gridSpan w:val="4"/>
            <w:noWrap w:val="0"/>
            <w:vAlign w:val="center"/>
          </w:tcPr>
          <w:p w14:paraId="1DDD8D1F">
            <w:pPr>
              <w:adjustRightInd w:val="0"/>
              <w:spacing w:line="360" w:lineRule="auto"/>
              <w:textAlignment w:val="baseline"/>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其他承诺及需要说明的事项：</w:t>
            </w:r>
          </w:p>
        </w:tc>
      </w:tr>
    </w:tbl>
    <w:p w14:paraId="27F21F42">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宋体" w:hAnsi="宋体" w:eastAsia="宋体" w:cs="宋体"/>
          <w:color w:val="auto"/>
          <w:sz w:val="24"/>
          <w:highlight w:val="none"/>
        </w:rPr>
      </w:pPr>
      <w:r>
        <w:rPr>
          <w:rFonts w:hint="eastAsia" w:ascii="宋体" w:hAnsi="宋体" w:eastAsia="宋体" w:cs="宋体"/>
          <w:b/>
          <w:color w:val="auto"/>
          <w:sz w:val="24"/>
          <w:highlight w:val="none"/>
        </w:rPr>
        <w:t>注：</w:t>
      </w:r>
      <w:r>
        <w:rPr>
          <w:rFonts w:hint="eastAsia" w:ascii="宋体" w:hAnsi="宋体" w:eastAsia="宋体" w:cs="宋体"/>
          <w:color w:val="auto"/>
          <w:sz w:val="24"/>
          <w:highlight w:val="none"/>
        </w:rPr>
        <w:t>1、填写此表时不得改变表格形式。</w:t>
      </w:r>
    </w:p>
    <w:p w14:paraId="5ADA8D8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2、磋商报价为</w:t>
      </w:r>
      <w:r>
        <w:rPr>
          <w:rFonts w:hint="eastAsia" w:ascii="宋体" w:hAnsi="宋体" w:eastAsia="宋体" w:cs="宋体"/>
          <w:color w:val="auto"/>
          <w:sz w:val="24"/>
          <w:highlight w:val="none"/>
          <w:lang w:eastAsia="zh-CN"/>
        </w:rPr>
        <w:t>下浮</w:t>
      </w:r>
      <w:r>
        <w:rPr>
          <w:rFonts w:hint="eastAsia" w:ascii="宋体" w:hAnsi="宋体" w:eastAsia="宋体" w:cs="宋体"/>
          <w:color w:val="auto"/>
          <w:sz w:val="24"/>
          <w:highlight w:val="none"/>
        </w:rPr>
        <w:t>。同总价包括：</w:t>
      </w:r>
      <w:r>
        <w:rPr>
          <w:rFonts w:hint="eastAsia" w:ascii="宋体" w:hAnsi="宋体" w:eastAsia="宋体" w:cs="宋体"/>
          <w:color w:val="auto"/>
          <w:sz w:val="24"/>
          <w:highlight w:val="none"/>
          <w:lang w:val="en-US" w:eastAsia="zh-CN"/>
        </w:rPr>
        <w:t>产品费、系统维护费、系统集成费、安装费、调试及维护费、验收费、手续费、包装费、运输费、保险费、售前、售中、售后服务费、招标代理费、税金及不可预见费等全部费用。</w:t>
      </w:r>
      <w:r>
        <w:rPr>
          <w:rFonts w:hint="eastAsia" w:ascii="宋体" w:hAnsi="宋体" w:eastAsia="宋体" w:cs="宋体"/>
          <w:color w:val="auto"/>
          <w:sz w:val="24"/>
          <w:highlight w:val="none"/>
          <w:lang w:val="zh-CN" w:eastAsia="zh-CN"/>
        </w:rPr>
        <w:t>乙方不得以设备、运输等费用上涨为由要求甲方另行支付其他任何费用</w:t>
      </w:r>
      <w:r>
        <w:rPr>
          <w:rFonts w:hint="eastAsia" w:ascii="宋体" w:hAnsi="宋体" w:eastAsia="宋体" w:cs="宋体"/>
          <w:color w:val="auto"/>
          <w:sz w:val="24"/>
          <w:highlight w:val="none"/>
          <w:lang w:eastAsia="zh-CN"/>
        </w:rPr>
        <w:t>。</w:t>
      </w:r>
    </w:p>
    <w:p w14:paraId="0967393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3、“服务期”是指项目的具体实施期限。</w:t>
      </w:r>
    </w:p>
    <w:p w14:paraId="4B01288E">
      <w:pPr>
        <w:rPr>
          <w:rFonts w:hint="eastAsia" w:ascii="宋体" w:hAnsi="宋体" w:eastAsia="宋体" w:cs="宋体"/>
          <w:color w:val="auto"/>
          <w:highlight w:val="none"/>
        </w:rPr>
      </w:pPr>
    </w:p>
    <w:p w14:paraId="66CB8699">
      <w:pPr>
        <w:pStyle w:val="3"/>
        <w:rPr>
          <w:rFonts w:hint="eastAsia" w:ascii="宋体" w:hAnsi="宋体" w:eastAsia="宋体" w:cs="宋体"/>
          <w:color w:val="auto"/>
          <w:highlight w:val="none"/>
        </w:rPr>
      </w:pPr>
    </w:p>
    <w:p w14:paraId="3F6834F3">
      <w:pPr>
        <w:adjustRightInd w:val="0"/>
        <w:spacing w:line="360" w:lineRule="auto"/>
        <w:ind w:firstLine="908" w:firstLineChars="377"/>
        <w:jc w:val="center"/>
        <w:textAlignment w:val="baseline"/>
        <w:rPr>
          <w:rFonts w:hint="eastAsia" w:ascii="宋体" w:hAnsi="宋体" w:eastAsia="宋体" w:cs="宋体"/>
          <w:b/>
          <w:bCs/>
          <w:color w:val="auto"/>
          <w:sz w:val="24"/>
          <w:highlight w:val="none"/>
        </w:rPr>
      </w:pPr>
      <w:r>
        <w:rPr>
          <w:rFonts w:hint="eastAsia" w:ascii="宋体" w:hAnsi="宋体" w:eastAsia="宋体" w:cs="宋体"/>
          <w:b/>
          <w:color w:val="auto"/>
          <w:sz w:val="24"/>
          <w:szCs w:val="32"/>
          <w:highlight w:val="none"/>
          <w:lang w:val="en-US" w:eastAsia="zh-CN"/>
        </w:rPr>
        <w:t xml:space="preserve">                    供应商：</w:t>
      </w:r>
      <w:r>
        <w:rPr>
          <w:rFonts w:hint="eastAsia" w:ascii="宋体" w:hAnsi="宋体" w:eastAsia="宋体" w:cs="宋体"/>
          <w:b/>
          <w:bCs/>
          <w:color w:val="auto"/>
          <w:sz w:val="24"/>
          <w:highlight w:val="none"/>
        </w:rPr>
        <w:t xml:space="preserve">       （公章）</w:t>
      </w:r>
    </w:p>
    <w:p w14:paraId="264EC47E">
      <w:pPr>
        <w:adjustRightInd w:val="0"/>
        <w:spacing w:line="360" w:lineRule="auto"/>
        <w:ind w:firstLine="908" w:firstLineChars="377"/>
        <w:jc w:val="right"/>
        <w:textAlignment w:val="baseline"/>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法定代表人或委托代理人：       （签字或盖章）</w:t>
      </w:r>
    </w:p>
    <w:p w14:paraId="1EE9B02E">
      <w:pPr>
        <w:adjustRightInd w:val="0"/>
        <w:spacing w:line="360" w:lineRule="auto"/>
        <w:ind w:firstLine="908" w:firstLineChars="377"/>
        <w:jc w:val="right"/>
        <w:textAlignment w:val="baseline"/>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年   月  日</w:t>
      </w:r>
    </w:p>
    <w:p w14:paraId="021D2875">
      <w:pPr>
        <w:widowControl/>
        <w:snapToGrid w:val="0"/>
        <w:spacing w:line="360" w:lineRule="auto"/>
        <w:outlineLvl w:val="1"/>
        <w:rPr>
          <w:rFonts w:hint="eastAsia" w:ascii="宋体" w:hAnsi="宋体" w:eastAsia="宋体" w:cs="宋体"/>
          <w:b/>
          <w:bCs/>
          <w:color w:val="auto"/>
          <w:highlight w:val="none"/>
        </w:rPr>
      </w:pPr>
      <w:bookmarkStart w:id="696" w:name="_Toc25742"/>
      <w:bookmarkStart w:id="697" w:name="_Toc1944"/>
      <w:bookmarkStart w:id="698" w:name="_Toc20510"/>
      <w:bookmarkStart w:id="699" w:name="_Toc444715742"/>
    </w:p>
    <w:p w14:paraId="78A53672">
      <w:pPr>
        <w:pStyle w:val="37"/>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bookmarkEnd w:id="696"/>
      <w:bookmarkEnd w:id="697"/>
      <w:bookmarkEnd w:id="698"/>
      <w:bookmarkEnd w:id="699"/>
    </w:p>
    <w:p w14:paraId="60FF1EE8">
      <w:pPr>
        <w:pStyle w:val="3"/>
        <w:tabs>
          <w:tab w:val="left" w:pos="425"/>
        </w:tabs>
        <w:rPr>
          <w:rFonts w:hint="eastAsia" w:ascii="宋体" w:hAnsi="宋体" w:eastAsia="宋体" w:cs="宋体"/>
          <w:color w:val="auto"/>
          <w:sz w:val="32"/>
          <w:highlight w:val="none"/>
          <w:lang w:val="zh-CN"/>
        </w:rPr>
      </w:pPr>
      <w:bookmarkStart w:id="700" w:name="_Toc6753"/>
      <w:bookmarkStart w:id="701" w:name="_Toc4043"/>
      <w:bookmarkStart w:id="702" w:name="_Toc6023"/>
      <w:bookmarkStart w:id="703" w:name="_Toc487"/>
      <w:bookmarkStart w:id="704" w:name="_Toc31598"/>
      <w:bookmarkStart w:id="705" w:name="_Toc15520"/>
      <w:r>
        <w:rPr>
          <w:rFonts w:hint="eastAsia" w:ascii="宋体" w:hAnsi="宋体" w:eastAsia="宋体" w:cs="宋体"/>
          <w:color w:val="auto"/>
          <w:sz w:val="32"/>
          <w:highlight w:val="none"/>
          <w:lang w:val="zh-CN"/>
        </w:rPr>
        <w:br w:type="page"/>
      </w:r>
      <w:bookmarkStart w:id="706" w:name="_Toc1833"/>
      <w:r>
        <w:rPr>
          <w:rFonts w:hint="eastAsia" w:ascii="宋体" w:hAnsi="宋体" w:eastAsia="宋体" w:cs="宋体"/>
          <w:color w:val="auto"/>
          <w:sz w:val="32"/>
          <w:highlight w:val="none"/>
          <w:lang w:val="zh-CN"/>
        </w:rPr>
        <w:t>格式</w:t>
      </w:r>
      <w:r>
        <w:rPr>
          <w:rFonts w:hint="eastAsia" w:ascii="宋体" w:hAnsi="宋体" w:eastAsia="宋体" w:cs="宋体"/>
          <w:color w:val="auto"/>
          <w:sz w:val="32"/>
          <w:highlight w:val="none"/>
        </w:rPr>
        <w:t>1</w:t>
      </w:r>
      <w:r>
        <w:rPr>
          <w:rFonts w:hint="eastAsia" w:ascii="宋体" w:hAnsi="宋体" w:eastAsia="宋体" w:cs="宋体"/>
          <w:color w:val="auto"/>
          <w:sz w:val="32"/>
          <w:highlight w:val="none"/>
          <w:lang w:val="en-US" w:eastAsia="zh-CN"/>
        </w:rPr>
        <w:t>2</w:t>
      </w:r>
      <w:r>
        <w:rPr>
          <w:rFonts w:hint="eastAsia" w:ascii="宋体" w:hAnsi="宋体" w:eastAsia="宋体" w:cs="宋体"/>
          <w:color w:val="auto"/>
          <w:sz w:val="32"/>
          <w:highlight w:val="none"/>
          <w:lang w:val="zh-CN"/>
        </w:rPr>
        <w:t>、</w:t>
      </w:r>
      <w:bookmarkEnd w:id="700"/>
      <w:bookmarkEnd w:id="701"/>
      <w:r>
        <w:rPr>
          <w:rFonts w:hint="eastAsia" w:ascii="宋体" w:hAnsi="宋体" w:eastAsia="宋体" w:cs="宋体"/>
          <w:color w:val="auto"/>
          <w:sz w:val="32"/>
          <w:highlight w:val="none"/>
          <w:lang w:val="zh-CN"/>
        </w:rPr>
        <w:t>实施方案</w:t>
      </w:r>
      <w:bookmarkEnd w:id="702"/>
      <w:bookmarkEnd w:id="703"/>
      <w:bookmarkEnd w:id="704"/>
      <w:bookmarkEnd w:id="706"/>
    </w:p>
    <w:p w14:paraId="463B6787">
      <w:pPr>
        <w:pStyle w:val="3"/>
        <w:tabs>
          <w:tab w:val="left" w:pos="425"/>
        </w:tabs>
        <w:rPr>
          <w:rFonts w:hint="eastAsia" w:ascii="宋体" w:hAnsi="宋体" w:eastAsia="宋体" w:cs="宋体"/>
          <w:color w:val="auto"/>
          <w:sz w:val="32"/>
          <w:highlight w:val="none"/>
          <w:lang w:val="zh-CN"/>
        </w:rPr>
      </w:pPr>
    </w:p>
    <w:p w14:paraId="5986665F">
      <w:pPr>
        <w:autoSpaceDE w:val="0"/>
        <w:autoSpaceDN w:val="0"/>
        <w:spacing w:line="360" w:lineRule="auto"/>
        <w:ind w:firstLine="3120" w:firstLineChars="13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（格式可自定）</w:t>
      </w:r>
    </w:p>
    <w:p w14:paraId="76F7BE95">
      <w:pPr>
        <w:pStyle w:val="3"/>
        <w:tabs>
          <w:tab w:val="left" w:pos="425"/>
        </w:tabs>
        <w:rPr>
          <w:rFonts w:hint="eastAsia" w:ascii="宋体" w:hAnsi="宋体" w:eastAsia="宋体" w:cs="宋体"/>
          <w:color w:val="auto"/>
          <w:sz w:val="32"/>
          <w:highlight w:val="none"/>
          <w:lang w:val="zh-CN"/>
        </w:rPr>
      </w:pPr>
    </w:p>
    <w:p w14:paraId="1005E654">
      <w:pPr>
        <w:pStyle w:val="3"/>
        <w:tabs>
          <w:tab w:val="left" w:pos="425"/>
        </w:tabs>
        <w:rPr>
          <w:rFonts w:hint="eastAsia" w:ascii="宋体" w:hAnsi="宋体" w:eastAsia="宋体" w:cs="宋体"/>
          <w:color w:val="auto"/>
          <w:sz w:val="32"/>
          <w:highlight w:val="none"/>
          <w:lang w:val="zh-CN"/>
        </w:rPr>
      </w:pPr>
    </w:p>
    <w:p w14:paraId="2C9B643A">
      <w:pPr>
        <w:pStyle w:val="3"/>
        <w:tabs>
          <w:tab w:val="left" w:pos="425"/>
        </w:tabs>
        <w:rPr>
          <w:rFonts w:hint="eastAsia" w:ascii="宋体" w:hAnsi="宋体" w:eastAsia="宋体" w:cs="宋体"/>
          <w:color w:val="auto"/>
          <w:sz w:val="32"/>
          <w:highlight w:val="none"/>
          <w:lang w:val="zh-CN"/>
        </w:rPr>
      </w:pPr>
    </w:p>
    <w:p w14:paraId="3C8B08BB">
      <w:pPr>
        <w:pStyle w:val="3"/>
        <w:tabs>
          <w:tab w:val="left" w:pos="425"/>
        </w:tabs>
        <w:rPr>
          <w:rFonts w:hint="eastAsia" w:ascii="宋体" w:hAnsi="宋体" w:eastAsia="宋体" w:cs="宋体"/>
          <w:color w:val="auto"/>
          <w:sz w:val="32"/>
          <w:highlight w:val="none"/>
          <w:lang w:val="zh-CN"/>
        </w:rPr>
      </w:pPr>
    </w:p>
    <w:p w14:paraId="1653C7FA">
      <w:pPr>
        <w:pStyle w:val="3"/>
        <w:tabs>
          <w:tab w:val="left" w:pos="425"/>
        </w:tabs>
        <w:rPr>
          <w:rFonts w:hint="eastAsia" w:ascii="宋体" w:hAnsi="宋体" w:eastAsia="宋体" w:cs="宋体"/>
          <w:color w:val="auto"/>
          <w:sz w:val="32"/>
          <w:highlight w:val="none"/>
          <w:lang w:val="zh-CN"/>
        </w:rPr>
      </w:pPr>
    </w:p>
    <w:p w14:paraId="71F57A2B">
      <w:pPr>
        <w:pStyle w:val="3"/>
        <w:tabs>
          <w:tab w:val="left" w:pos="425"/>
        </w:tabs>
        <w:rPr>
          <w:rFonts w:hint="eastAsia" w:ascii="宋体" w:hAnsi="宋体" w:eastAsia="宋体" w:cs="宋体"/>
          <w:color w:val="auto"/>
          <w:sz w:val="32"/>
          <w:highlight w:val="none"/>
          <w:lang w:val="zh-CN"/>
        </w:rPr>
      </w:pPr>
    </w:p>
    <w:p w14:paraId="578C70D0">
      <w:pPr>
        <w:pStyle w:val="3"/>
        <w:tabs>
          <w:tab w:val="left" w:pos="425"/>
        </w:tabs>
        <w:rPr>
          <w:rFonts w:hint="eastAsia" w:ascii="宋体" w:hAnsi="宋体" w:eastAsia="宋体" w:cs="宋体"/>
          <w:color w:val="auto"/>
          <w:sz w:val="32"/>
          <w:highlight w:val="none"/>
          <w:lang w:val="zh-CN"/>
        </w:rPr>
      </w:pPr>
    </w:p>
    <w:p w14:paraId="75BC97CE">
      <w:pPr>
        <w:pStyle w:val="3"/>
        <w:tabs>
          <w:tab w:val="left" w:pos="425"/>
        </w:tabs>
        <w:rPr>
          <w:rFonts w:hint="eastAsia" w:ascii="宋体" w:hAnsi="宋体" w:eastAsia="宋体" w:cs="宋体"/>
          <w:color w:val="auto"/>
          <w:sz w:val="32"/>
          <w:highlight w:val="none"/>
          <w:lang w:val="zh-CN"/>
        </w:rPr>
      </w:pPr>
    </w:p>
    <w:p w14:paraId="4441338F">
      <w:pPr>
        <w:pStyle w:val="3"/>
        <w:tabs>
          <w:tab w:val="left" w:pos="425"/>
        </w:tabs>
        <w:rPr>
          <w:rFonts w:hint="eastAsia" w:ascii="宋体" w:hAnsi="宋体" w:eastAsia="宋体" w:cs="宋体"/>
          <w:color w:val="auto"/>
          <w:sz w:val="32"/>
          <w:highlight w:val="none"/>
          <w:lang w:val="zh-CN"/>
        </w:rPr>
      </w:pPr>
      <w:r>
        <w:rPr>
          <w:rFonts w:hint="eastAsia" w:ascii="宋体" w:hAnsi="宋体" w:eastAsia="宋体" w:cs="宋体"/>
          <w:color w:val="auto"/>
          <w:sz w:val="32"/>
          <w:highlight w:val="none"/>
          <w:lang w:val="zh-CN"/>
        </w:rPr>
        <w:br w:type="page"/>
      </w:r>
      <w:bookmarkStart w:id="707" w:name="_Toc28403"/>
      <w:bookmarkStart w:id="708" w:name="_Toc9201"/>
      <w:bookmarkStart w:id="709" w:name="_Toc26157"/>
      <w:bookmarkStart w:id="710" w:name="_Toc2528"/>
      <w:bookmarkStart w:id="711" w:name="_Toc16991"/>
      <w:bookmarkStart w:id="712" w:name="_Toc2044"/>
      <w:r>
        <w:rPr>
          <w:rFonts w:hint="eastAsia" w:ascii="宋体" w:hAnsi="宋体" w:eastAsia="宋体" w:cs="宋体"/>
          <w:color w:val="auto"/>
          <w:sz w:val="32"/>
          <w:highlight w:val="none"/>
          <w:lang w:val="zh-CN"/>
        </w:rPr>
        <w:t>格式</w:t>
      </w:r>
      <w:r>
        <w:rPr>
          <w:rFonts w:hint="eastAsia" w:ascii="宋体" w:hAnsi="宋体" w:eastAsia="宋体" w:cs="宋体"/>
          <w:color w:val="auto"/>
          <w:sz w:val="32"/>
          <w:highlight w:val="none"/>
        </w:rPr>
        <w:t>1</w:t>
      </w:r>
      <w:r>
        <w:rPr>
          <w:rFonts w:hint="eastAsia" w:ascii="宋体" w:hAnsi="宋体" w:eastAsia="宋体" w:cs="宋体"/>
          <w:color w:val="auto"/>
          <w:sz w:val="32"/>
          <w:highlight w:val="none"/>
          <w:lang w:val="en-US" w:eastAsia="zh-CN"/>
        </w:rPr>
        <w:t>3</w:t>
      </w:r>
      <w:r>
        <w:rPr>
          <w:rFonts w:hint="eastAsia" w:ascii="宋体" w:hAnsi="宋体" w:eastAsia="宋体" w:cs="宋体"/>
          <w:color w:val="auto"/>
          <w:sz w:val="32"/>
          <w:highlight w:val="none"/>
          <w:lang w:val="zh-CN"/>
        </w:rPr>
        <w:t>、供应商的业绩证明材料</w:t>
      </w:r>
      <w:bookmarkEnd w:id="705"/>
      <w:bookmarkEnd w:id="707"/>
      <w:bookmarkEnd w:id="708"/>
      <w:bookmarkEnd w:id="709"/>
      <w:bookmarkEnd w:id="710"/>
      <w:bookmarkEnd w:id="711"/>
      <w:bookmarkEnd w:id="712"/>
    </w:p>
    <w:p w14:paraId="65781E52">
      <w:pPr>
        <w:autoSpaceDE w:val="0"/>
        <w:autoSpaceDN w:val="0"/>
        <w:spacing w:line="360" w:lineRule="auto"/>
        <w:jc w:val="left"/>
        <w:rPr>
          <w:rFonts w:hint="eastAsia" w:ascii="宋体" w:hAnsi="宋体" w:eastAsia="宋体" w:cs="宋体"/>
          <w:color w:val="auto"/>
          <w:sz w:val="28"/>
          <w:szCs w:val="28"/>
          <w:highlight w:val="none"/>
          <w:lang w:val="zh-CN"/>
        </w:rPr>
      </w:pPr>
    </w:p>
    <w:p w14:paraId="0958536E">
      <w:pPr>
        <w:adjustRightInd w:val="0"/>
        <w:spacing w:line="360" w:lineRule="auto"/>
        <w:jc w:val="center"/>
        <w:textAlignment w:val="baseline"/>
        <w:rPr>
          <w:rFonts w:hint="eastAsia" w:ascii="宋体" w:hAnsi="宋体" w:eastAsia="宋体" w:cs="宋体"/>
          <w:b/>
          <w:color w:val="auto"/>
          <w:sz w:val="32"/>
          <w:szCs w:val="30"/>
          <w:highlight w:val="none"/>
        </w:rPr>
      </w:pPr>
      <w:r>
        <w:rPr>
          <w:rFonts w:hint="eastAsia" w:ascii="宋体" w:hAnsi="宋体" w:eastAsia="宋体" w:cs="宋体"/>
          <w:b/>
          <w:color w:val="auto"/>
          <w:sz w:val="32"/>
          <w:szCs w:val="30"/>
          <w:highlight w:val="none"/>
        </w:rPr>
        <w:t>供应商的类似业绩证明材料</w:t>
      </w:r>
    </w:p>
    <w:p w14:paraId="58324BAF">
      <w:pPr>
        <w:keepNext w:val="0"/>
        <w:keepLines w:val="0"/>
        <w:widowControl/>
        <w:suppressLineNumbers w:val="0"/>
        <w:jc w:val="left"/>
        <w:rPr>
          <w:rFonts w:hint="eastAsia" w:ascii="宋体" w:hAnsi="宋体" w:eastAsia="宋体" w:cs="宋体"/>
          <w:color w:val="auto"/>
          <w:highlight w:val="none"/>
        </w:rPr>
      </w:pPr>
      <w:bookmarkStart w:id="713" w:name="_Toc6939"/>
      <w:bookmarkStart w:id="714" w:name="_Toc11780"/>
      <w:bookmarkStart w:id="715" w:name="_Toc8294"/>
      <w:r>
        <w:rPr>
          <w:rFonts w:hint="eastAsia" w:ascii="宋体" w:hAnsi="宋体" w:eastAsia="宋体" w:cs="宋体"/>
          <w:color w:val="auto"/>
          <w:highlight w:val="none"/>
          <w:lang w:val="zh-CN"/>
        </w:rPr>
        <w:br w:type="page"/>
      </w:r>
      <w:r>
        <w:rPr>
          <w:rFonts w:hint="eastAsia" w:ascii="宋体" w:hAnsi="宋体" w:eastAsia="宋体" w:cs="宋体"/>
          <w:b/>
          <w:bCs/>
          <w:iCs/>
          <w:color w:val="auto"/>
          <w:sz w:val="32"/>
          <w:szCs w:val="32"/>
          <w:highlight w:val="none"/>
          <w:lang w:val="zh-CN"/>
        </w:rPr>
        <w:t>格式1</w:t>
      </w:r>
      <w:r>
        <w:rPr>
          <w:rFonts w:hint="eastAsia" w:ascii="宋体" w:hAnsi="宋体" w:eastAsia="宋体" w:cs="宋体"/>
          <w:b/>
          <w:bCs/>
          <w:iCs/>
          <w:color w:val="auto"/>
          <w:sz w:val="32"/>
          <w:szCs w:val="32"/>
          <w:highlight w:val="none"/>
          <w:lang w:val="en-US" w:eastAsia="zh-CN"/>
        </w:rPr>
        <w:t>4</w:t>
      </w:r>
      <w:r>
        <w:rPr>
          <w:rFonts w:hint="eastAsia" w:ascii="宋体" w:hAnsi="宋体" w:eastAsia="宋体" w:cs="宋体"/>
          <w:b/>
          <w:bCs/>
          <w:iCs/>
          <w:color w:val="auto"/>
          <w:sz w:val="32"/>
          <w:szCs w:val="32"/>
          <w:highlight w:val="none"/>
          <w:lang w:val="zh-CN"/>
        </w:rPr>
        <w:t>、</w:t>
      </w:r>
      <w:r>
        <w:rPr>
          <w:rFonts w:hint="eastAsia" w:ascii="宋体" w:hAnsi="宋体" w:eastAsia="宋体" w:cs="宋体"/>
          <w:b/>
          <w:bCs/>
          <w:iCs/>
          <w:color w:val="auto"/>
          <w:sz w:val="32"/>
          <w:szCs w:val="32"/>
          <w:highlight w:val="none"/>
          <w:lang w:val="en-US" w:eastAsia="zh-CN"/>
        </w:rPr>
        <w:t xml:space="preserve">保密承诺书 </w:t>
      </w:r>
    </w:p>
    <w:p w14:paraId="1A6847A8">
      <w:pPr>
        <w:keepNext w:val="0"/>
        <w:keepLines w:val="0"/>
        <w:widowControl/>
        <w:suppressLineNumbers w:val="0"/>
        <w:jc w:val="center"/>
        <w:rPr>
          <w:rFonts w:hint="eastAsia" w:ascii="宋体" w:hAnsi="宋体" w:eastAsia="宋体" w:cs="宋体"/>
          <w:b/>
          <w:bCs/>
          <w:color w:val="auto"/>
          <w:kern w:val="0"/>
          <w:sz w:val="43"/>
          <w:szCs w:val="43"/>
          <w:highlight w:val="none"/>
          <w:lang w:val="en-US" w:eastAsia="zh-CN" w:bidi="ar"/>
        </w:rPr>
      </w:pPr>
      <w:r>
        <w:rPr>
          <w:rFonts w:hint="eastAsia" w:ascii="宋体" w:hAnsi="宋体" w:eastAsia="宋体" w:cs="宋体"/>
          <w:b/>
          <w:bCs/>
          <w:color w:val="auto"/>
          <w:kern w:val="0"/>
          <w:sz w:val="43"/>
          <w:szCs w:val="43"/>
          <w:highlight w:val="none"/>
          <w:lang w:val="en-US" w:eastAsia="zh-CN" w:bidi="ar"/>
        </w:rPr>
        <w:t>保密承诺书</w:t>
      </w:r>
    </w:p>
    <w:p w14:paraId="0E271EF9">
      <w:pPr>
        <w:pStyle w:val="3"/>
        <w:rPr>
          <w:rFonts w:hint="eastAsia" w:ascii="宋体" w:hAnsi="宋体" w:eastAsia="宋体" w:cs="宋体"/>
          <w:b/>
          <w:bCs/>
          <w:color w:val="auto"/>
          <w:kern w:val="0"/>
          <w:sz w:val="43"/>
          <w:szCs w:val="43"/>
          <w:highlight w:val="none"/>
          <w:lang w:val="en-US" w:eastAsia="zh-CN" w:bidi="ar"/>
        </w:rPr>
      </w:pPr>
    </w:p>
    <w:p w14:paraId="1E4565B0">
      <w:pPr>
        <w:rPr>
          <w:rFonts w:hint="eastAsia" w:ascii="宋体" w:hAnsi="宋体" w:eastAsia="宋体" w:cs="宋体"/>
          <w:color w:val="auto"/>
          <w:highlight w:val="none"/>
        </w:rPr>
      </w:pPr>
    </w:p>
    <w:p w14:paraId="1B19525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（采购机构名称）： </w:t>
      </w:r>
    </w:p>
    <w:p w14:paraId="72D6CA9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我方参加贵单位组织的</w:t>
      </w:r>
      <w:r>
        <w:rPr>
          <w:rFonts w:hint="eastAsia" w:ascii="宋体" w:hAnsi="宋体" w:eastAsia="宋体" w:cs="宋体"/>
          <w:color w:val="auto"/>
          <w:sz w:val="24"/>
          <w:highlight w:val="none"/>
          <w:u w:val="single"/>
          <w:lang w:val="en-US" w:eastAsia="zh-CN"/>
        </w:rPr>
        <w:t xml:space="preserve">（项目名称：）编号： </w:t>
      </w:r>
      <w:r>
        <w:rPr>
          <w:rFonts w:hint="eastAsia" w:ascii="宋体" w:hAnsi="宋体" w:eastAsia="宋体" w:cs="宋体"/>
          <w:color w:val="auto"/>
          <w:sz w:val="24"/>
          <w:highlight w:val="none"/>
          <w:lang w:val="en-US" w:eastAsia="zh-CN"/>
        </w:rPr>
        <w:t xml:space="preserve">项目采购活动，根据有关保密法规制度，知悉应当承担的保密义务和法律责任，承诺如下： </w:t>
      </w:r>
    </w:p>
    <w:p w14:paraId="213873B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一、严格遵守保密法律法规和规章制度，履行保密义务。 </w:t>
      </w:r>
    </w:p>
    <w:p w14:paraId="61BC417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二、不以任何方式泄露或传播本次采购项目相关信息。 </w:t>
      </w:r>
    </w:p>
    <w:p w14:paraId="4F27889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三、不违规记录、存储、复制本次采购项目相关信息。 </w:t>
      </w:r>
    </w:p>
    <w:p w14:paraId="3D4F80A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四、招标文件以及相关技术文件专室放置、专盘存储、专人管理。 </w:t>
      </w:r>
    </w:p>
    <w:p w14:paraId="033F424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五、未经招标人审查批准，不得擅自在互联网、通讯媒体等发表涉及此次采购项目相关内容或资讯。 </w:t>
      </w:r>
    </w:p>
    <w:p w14:paraId="77B8E05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违反上述承诺，愿承担一切法律责任，接受采购管理部门和采购人按规定作出的相关处罚。 </w:t>
      </w:r>
    </w:p>
    <w:p w14:paraId="7B08378E">
      <w:pPr>
        <w:pStyle w:val="3"/>
        <w:rPr>
          <w:rFonts w:hint="eastAsia" w:ascii="宋体" w:hAnsi="宋体" w:eastAsia="宋体" w:cs="宋体"/>
          <w:color w:val="auto"/>
          <w:kern w:val="0"/>
          <w:sz w:val="22"/>
          <w:szCs w:val="22"/>
          <w:highlight w:val="none"/>
          <w:lang w:val="en-US" w:eastAsia="zh-CN" w:bidi="ar"/>
        </w:rPr>
      </w:pPr>
    </w:p>
    <w:p w14:paraId="272B4A09">
      <w:pPr>
        <w:rPr>
          <w:rFonts w:hint="eastAsia" w:ascii="宋体" w:hAnsi="宋体" w:eastAsia="宋体" w:cs="宋体"/>
          <w:color w:val="auto"/>
          <w:highlight w:val="none"/>
        </w:rPr>
      </w:pPr>
    </w:p>
    <w:p w14:paraId="389C7118">
      <w:pPr>
        <w:adjustRightInd w:val="0"/>
        <w:spacing w:line="360" w:lineRule="auto"/>
        <w:ind w:firstLine="908" w:firstLineChars="377"/>
        <w:jc w:val="center"/>
        <w:textAlignment w:val="baseline"/>
        <w:rPr>
          <w:rFonts w:hint="eastAsia" w:ascii="宋体" w:hAnsi="宋体" w:eastAsia="宋体" w:cs="宋体"/>
          <w:b/>
          <w:bCs/>
          <w:color w:val="auto"/>
          <w:sz w:val="24"/>
          <w:highlight w:val="none"/>
        </w:rPr>
      </w:pPr>
      <w:r>
        <w:rPr>
          <w:rFonts w:hint="eastAsia" w:ascii="宋体" w:hAnsi="宋体" w:eastAsia="宋体" w:cs="宋体"/>
          <w:b/>
          <w:color w:val="auto"/>
          <w:sz w:val="24"/>
          <w:szCs w:val="32"/>
          <w:highlight w:val="none"/>
          <w:lang w:val="en-US" w:eastAsia="zh-CN"/>
        </w:rPr>
        <w:t>供应商：</w:t>
      </w:r>
      <w:r>
        <w:rPr>
          <w:rFonts w:hint="eastAsia" w:ascii="宋体" w:hAnsi="宋体" w:eastAsia="宋体" w:cs="宋体"/>
          <w:b/>
          <w:bCs/>
          <w:color w:val="auto"/>
          <w:sz w:val="24"/>
          <w:highlight w:val="none"/>
        </w:rPr>
        <w:t xml:space="preserve">       （公章）</w:t>
      </w:r>
    </w:p>
    <w:p w14:paraId="0E63F001">
      <w:pPr>
        <w:adjustRightInd w:val="0"/>
        <w:spacing w:line="360" w:lineRule="auto"/>
        <w:ind w:firstLine="908" w:firstLineChars="377"/>
        <w:jc w:val="right"/>
        <w:textAlignment w:val="baseline"/>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法定代表人或委托代理人：       （签字或盖章）</w:t>
      </w:r>
    </w:p>
    <w:p w14:paraId="1A82D368">
      <w:pPr>
        <w:adjustRightInd w:val="0"/>
        <w:spacing w:line="360" w:lineRule="auto"/>
        <w:ind w:firstLine="908" w:firstLineChars="377"/>
        <w:jc w:val="right"/>
        <w:textAlignment w:val="baseline"/>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年   月  日</w:t>
      </w:r>
    </w:p>
    <w:p w14:paraId="6823B36D">
      <w:pPr>
        <w:pStyle w:val="4"/>
        <w:numPr>
          <w:ilvl w:val="2"/>
          <w:numId w:val="0"/>
        </w:numPr>
        <w:spacing w:line="360" w:lineRule="auto"/>
        <w:jc w:val="left"/>
        <w:rPr>
          <w:rFonts w:hint="eastAsia" w:ascii="宋体" w:hAnsi="宋体" w:eastAsia="宋体" w:cs="宋体"/>
          <w:b/>
          <w:color w:val="auto"/>
          <w:sz w:val="32"/>
          <w:highlight w:val="none"/>
          <w:lang w:val="zh-CN"/>
        </w:rPr>
      </w:pPr>
      <w:r>
        <w:rPr>
          <w:rFonts w:hint="eastAsia" w:ascii="宋体" w:hAnsi="宋体" w:eastAsia="宋体" w:cs="宋体"/>
          <w:b/>
          <w:bCs/>
          <w:iCs/>
          <w:color w:val="auto"/>
          <w:sz w:val="32"/>
          <w:szCs w:val="32"/>
          <w:highlight w:val="none"/>
          <w:lang w:val="zh-CN"/>
        </w:rPr>
        <w:br w:type="page"/>
      </w:r>
      <w:r>
        <w:rPr>
          <w:rFonts w:hint="eastAsia" w:ascii="宋体" w:hAnsi="宋体" w:eastAsia="宋体" w:cs="宋体"/>
          <w:b/>
          <w:bCs/>
          <w:iCs/>
          <w:color w:val="auto"/>
          <w:sz w:val="32"/>
          <w:szCs w:val="32"/>
          <w:highlight w:val="none"/>
          <w:lang w:val="zh-CN"/>
        </w:rPr>
        <w:t>格式1</w:t>
      </w:r>
      <w:r>
        <w:rPr>
          <w:rFonts w:hint="eastAsia" w:ascii="宋体" w:hAnsi="宋体" w:eastAsia="宋体" w:cs="宋体"/>
          <w:b/>
          <w:bCs/>
          <w:iCs/>
          <w:color w:val="auto"/>
          <w:sz w:val="32"/>
          <w:szCs w:val="32"/>
          <w:highlight w:val="none"/>
          <w:lang w:val="en-US" w:eastAsia="zh-CN"/>
        </w:rPr>
        <w:t>5</w:t>
      </w:r>
      <w:r>
        <w:rPr>
          <w:rFonts w:hint="eastAsia" w:ascii="宋体" w:hAnsi="宋体" w:eastAsia="宋体" w:cs="宋体"/>
          <w:b/>
          <w:bCs/>
          <w:iCs/>
          <w:color w:val="auto"/>
          <w:sz w:val="32"/>
          <w:szCs w:val="32"/>
          <w:highlight w:val="none"/>
          <w:lang w:val="zh-CN"/>
        </w:rPr>
        <w:t>、</w:t>
      </w:r>
      <w:bookmarkEnd w:id="713"/>
      <w:bookmarkEnd w:id="714"/>
      <w:bookmarkEnd w:id="715"/>
      <w:bookmarkStart w:id="716" w:name="_Toc4148"/>
      <w:bookmarkStart w:id="717" w:name="_Toc20824"/>
      <w:bookmarkStart w:id="718" w:name="_Toc31467"/>
      <w:bookmarkStart w:id="719" w:name="_Toc31287"/>
      <w:bookmarkStart w:id="720" w:name="_Toc15458"/>
      <w:bookmarkStart w:id="721" w:name="_Toc1879"/>
      <w:bookmarkStart w:id="722" w:name="_Toc23583"/>
      <w:r>
        <w:rPr>
          <w:rFonts w:hint="eastAsia" w:ascii="宋体" w:hAnsi="宋体" w:eastAsia="宋体" w:cs="宋体"/>
          <w:b/>
          <w:color w:val="auto"/>
          <w:sz w:val="32"/>
          <w:highlight w:val="none"/>
          <w:lang w:val="zh-CN"/>
        </w:rPr>
        <w:t>磋商供应商认为在其他方面有必要说明的事项</w:t>
      </w:r>
      <w:bookmarkEnd w:id="716"/>
      <w:bookmarkEnd w:id="717"/>
      <w:bookmarkEnd w:id="718"/>
      <w:bookmarkEnd w:id="719"/>
      <w:bookmarkEnd w:id="720"/>
      <w:bookmarkEnd w:id="721"/>
      <w:bookmarkEnd w:id="722"/>
    </w:p>
    <w:p w14:paraId="30366192">
      <w:pPr>
        <w:autoSpaceDE w:val="0"/>
        <w:autoSpaceDN w:val="0"/>
        <w:adjustRightInd w:val="0"/>
        <w:spacing w:line="360" w:lineRule="auto"/>
        <w:jc w:val="left"/>
        <w:rPr>
          <w:rFonts w:hint="eastAsia" w:ascii="宋体" w:hAnsi="宋体" w:eastAsia="宋体" w:cs="宋体"/>
          <w:color w:val="auto"/>
          <w:sz w:val="24"/>
          <w:highlight w:val="none"/>
          <w:lang w:val="zh-CN"/>
        </w:rPr>
      </w:pPr>
    </w:p>
    <w:p w14:paraId="1E60FA57">
      <w:pPr>
        <w:adjustRightInd w:val="0"/>
        <w:spacing w:line="360" w:lineRule="auto"/>
        <w:jc w:val="center"/>
        <w:textAlignment w:val="baseline"/>
        <w:rPr>
          <w:rFonts w:hint="eastAsia" w:ascii="宋体" w:hAnsi="宋体" w:eastAsia="宋体" w:cs="宋体"/>
          <w:b/>
          <w:color w:val="auto"/>
          <w:sz w:val="32"/>
          <w:szCs w:val="30"/>
          <w:highlight w:val="none"/>
        </w:rPr>
      </w:pPr>
      <w:r>
        <w:rPr>
          <w:rFonts w:hint="eastAsia" w:ascii="宋体" w:hAnsi="宋体" w:eastAsia="宋体" w:cs="宋体"/>
          <w:b/>
          <w:color w:val="auto"/>
          <w:sz w:val="32"/>
          <w:szCs w:val="30"/>
          <w:highlight w:val="none"/>
        </w:rPr>
        <w:t>磋商供应商认为在其他方面有必要说明的事项</w:t>
      </w:r>
    </w:p>
    <w:p w14:paraId="76657C88">
      <w:pPr>
        <w:autoSpaceDE w:val="0"/>
        <w:autoSpaceDN w:val="0"/>
        <w:spacing w:line="360" w:lineRule="auto"/>
        <w:ind w:firstLine="3960" w:firstLineChars="165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（格式可自定）</w:t>
      </w:r>
    </w:p>
    <w:p w14:paraId="78D50AC5">
      <w:pPr>
        <w:pStyle w:val="4"/>
        <w:numPr>
          <w:ilvl w:val="2"/>
          <w:numId w:val="0"/>
        </w:numPr>
        <w:spacing w:line="360" w:lineRule="auto"/>
        <w:ind w:left="709" w:hanging="709"/>
        <w:jc w:val="both"/>
        <w:rPr>
          <w:rFonts w:hint="eastAsia" w:ascii="宋体" w:hAnsi="宋体" w:eastAsia="宋体" w:cs="宋体"/>
          <w:b/>
          <w:color w:val="auto"/>
          <w:sz w:val="32"/>
          <w:szCs w:val="32"/>
          <w:highlight w:val="none"/>
        </w:rPr>
      </w:pPr>
      <w:r>
        <w:rPr>
          <w:rFonts w:hint="eastAsia" w:ascii="宋体" w:hAnsi="宋体" w:eastAsia="宋体" w:cs="宋体"/>
          <w:bCs/>
          <w:color w:val="auto"/>
          <w:sz w:val="24"/>
          <w:szCs w:val="28"/>
          <w:highlight w:val="none"/>
        </w:rPr>
        <w:br w:type="page"/>
      </w:r>
      <w:bookmarkStart w:id="723" w:name="_Toc14132"/>
      <w:bookmarkStart w:id="724" w:name="_Toc1240"/>
      <w:bookmarkStart w:id="725" w:name="_Toc5604"/>
      <w:bookmarkStart w:id="726" w:name="_Toc30170"/>
      <w:bookmarkStart w:id="727" w:name="_Toc1685"/>
      <w:bookmarkStart w:id="728" w:name="_Toc314"/>
      <w:r>
        <w:rPr>
          <w:rFonts w:hint="eastAsia" w:ascii="宋体" w:hAnsi="宋体" w:eastAsia="宋体" w:cs="宋体"/>
          <w:b/>
          <w:color w:val="auto"/>
          <w:sz w:val="32"/>
          <w:szCs w:val="32"/>
          <w:highlight w:val="none"/>
          <w:lang w:val="zh-CN"/>
        </w:rPr>
        <w:t>磋商最终报价表</w:t>
      </w:r>
      <w:r>
        <w:rPr>
          <w:rFonts w:hint="eastAsia" w:ascii="宋体" w:hAnsi="宋体" w:eastAsia="宋体" w:cs="宋体"/>
          <w:b/>
          <w:color w:val="auto"/>
          <w:sz w:val="32"/>
          <w:szCs w:val="32"/>
          <w:highlight w:val="none"/>
        </w:rPr>
        <w:t>（单独提交）</w:t>
      </w:r>
      <w:bookmarkEnd w:id="723"/>
      <w:bookmarkEnd w:id="724"/>
      <w:bookmarkEnd w:id="725"/>
      <w:bookmarkEnd w:id="726"/>
      <w:bookmarkEnd w:id="727"/>
      <w:bookmarkEnd w:id="728"/>
    </w:p>
    <w:p w14:paraId="31E593FA">
      <w:pPr>
        <w:rPr>
          <w:rFonts w:hint="eastAsia" w:ascii="宋体" w:hAnsi="宋体" w:eastAsia="宋体" w:cs="宋体"/>
          <w:color w:val="auto"/>
          <w:highlight w:val="none"/>
        </w:rPr>
      </w:pPr>
    </w:p>
    <w:p w14:paraId="16CEDF50">
      <w:pPr>
        <w:spacing w:line="400" w:lineRule="exact"/>
        <w:ind w:firstLine="3451" w:firstLineChars="955"/>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磋商最终报价</w:t>
      </w:r>
    </w:p>
    <w:p w14:paraId="69B97F5F">
      <w:pPr>
        <w:spacing w:line="40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 xml:space="preserve">磋商单位名称：                                      </w:t>
      </w:r>
      <w:r>
        <w:rPr>
          <w:rFonts w:hint="eastAsia" w:ascii="宋体" w:hAnsi="宋体" w:eastAsia="宋体" w:cs="宋体"/>
          <w:color w:val="auto"/>
          <w:highlight w:val="none"/>
        </w:rPr>
        <w:t>单位：元</w:t>
      </w:r>
    </w:p>
    <w:tbl>
      <w:tblPr>
        <w:tblStyle w:val="22"/>
        <w:tblW w:w="8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2042"/>
        <w:gridCol w:w="1291"/>
        <w:gridCol w:w="2301"/>
        <w:gridCol w:w="1971"/>
      </w:tblGrid>
      <w:tr w14:paraId="609EB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trPr>
        <w:tc>
          <w:tcPr>
            <w:tcW w:w="633" w:type="dxa"/>
            <w:noWrap w:val="0"/>
            <w:vAlign w:val="center"/>
          </w:tcPr>
          <w:p w14:paraId="785E7395">
            <w:pPr>
              <w:spacing w:line="40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序号</w:t>
            </w:r>
          </w:p>
        </w:tc>
        <w:tc>
          <w:tcPr>
            <w:tcW w:w="2042" w:type="dxa"/>
            <w:noWrap w:val="0"/>
            <w:vAlign w:val="center"/>
          </w:tcPr>
          <w:p w14:paraId="24E64FA2">
            <w:pPr>
              <w:spacing w:line="40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最初报价</w:t>
            </w:r>
          </w:p>
        </w:tc>
        <w:tc>
          <w:tcPr>
            <w:tcW w:w="1291" w:type="dxa"/>
            <w:noWrap w:val="0"/>
            <w:vAlign w:val="center"/>
          </w:tcPr>
          <w:p w14:paraId="7FE4CB21">
            <w:pPr>
              <w:spacing w:line="40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调整因素</w:t>
            </w:r>
          </w:p>
        </w:tc>
        <w:tc>
          <w:tcPr>
            <w:tcW w:w="2301" w:type="dxa"/>
            <w:noWrap w:val="0"/>
            <w:vAlign w:val="center"/>
          </w:tcPr>
          <w:p w14:paraId="1C7D7FA8">
            <w:pPr>
              <w:numPr>
                <w:ilvl w:val="0"/>
                <w:numId w:val="0"/>
              </w:numPr>
              <w:spacing w:line="500" w:lineRule="exact"/>
              <w:jc w:val="center"/>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最终报价</w:t>
            </w:r>
          </w:p>
        </w:tc>
        <w:tc>
          <w:tcPr>
            <w:tcW w:w="1971" w:type="dxa"/>
            <w:noWrap w:val="0"/>
            <w:vAlign w:val="center"/>
          </w:tcPr>
          <w:p w14:paraId="171DDB5F">
            <w:pPr>
              <w:spacing w:line="400" w:lineRule="exact"/>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服务期</w:t>
            </w:r>
          </w:p>
        </w:tc>
      </w:tr>
      <w:tr w14:paraId="363C1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3" w:hRule="atLeast"/>
        </w:trPr>
        <w:tc>
          <w:tcPr>
            <w:tcW w:w="633" w:type="dxa"/>
            <w:noWrap w:val="0"/>
            <w:vAlign w:val="center"/>
          </w:tcPr>
          <w:p w14:paraId="019EA36C">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w:t>
            </w:r>
          </w:p>
        </w:tc>
        <w:tc>
          <w:tcPr>
            <w:tcW w:w="2042" w:type="dxa"/>
            <w:noWrap w:val="0"/>
            <w:vAlign w:val="top"/>
          </w:tcPr>
          <w:p w14:paraId="3AAD181D">
            <w:pPr>
              <w:numPr>
                <w:ilvl w:val="0"/>
                <w:numId w:val="0"/>
              </w:numPr>
              <w:spacing w:line="500" w:lineRule="exact"/>
              <w:rPr>
                <w:rFonts w:hint="eastAsia" w:ascii="宋体" w:hAnsi="宋体" w:eastAsia="宋体" w:cs="宋体"/>
                <w:color w:val="auto"/>
                <w:sz w:val="24"/>
                <w:szCs w:val="24"/>
                <w:highlight w:val="none"/>
              </w:rPr>
            </w:pPr>
          </w:p>
        </w:tc>
        <w:tc>
          <w:tcPr>
            <w:tcW w:w="1291" w:type="dxa"/>
            <w:noWrap w:val="0"/>
            <w:vAlign w:val="top"/>
          </w:tcPr>
          <w:p w14:paraId="581878F3">
            <w:pPr>
              <w:spacing w:line="400" w:lineRule="exact"/>
              <w:rPr>
                <w:rFonts w:hint="eastAsia" w:ascii="宋体" w:hAnsi="宋体" w:eastAsia="宋体" w:cs="宋体"/>
                <w:color w:val="auto"/>
                <w:sz w:val="24"/>
                <w:szCs w:val="24"/>
                <w:highlight w:val="none"/>
              </w:rPr>
            </w:pPr>
          </w:p>
        </w:tc>
        <w:tc>
          <w:tcPr>
            <w:tcW w:w="2301" w:type="dxa"/>
            <w:noWrap w:val="0"/>
            <w:vAlign w:val="top"/>
          </w:tcPr>
          <w:p w14:paraId="65F3F497">
            <w:pPr>
              <w:spacing w:line="400" w:lineRule="exact"/>
              <w:rPr>
                <w:rFonts w:hint="eastAsia" w:ascii="宋体" w:hAnsi="宋体" w:eastAsia="宋体" w:cs="宋体"/>
                <w:color w:val="auto"/>
                <w:sz w:val="24"/>
                <w:szCs w:val="24"/>
                <w:highlight w:val="none"/>
              </w:rPr>
            </w:pPr>
          </w:p>
        </w:tc>
        <w:tc>
          <w:tcPr>
            <w:tcW w:w="1971" w:type="dxa"/>
            <w:noWrap w:val="0"/>
            <w:vAlign w:val="top"/>
          </w:tcPr>
          <w:p w14:paraId="488C8AF4">
            <w:pPr>
              <w:spacing w:line="400" w:lineRule="exact"/>
              <w:rPr>
                <w:rFonts w:hint="eastAsia" w:ascii="宋体" w:hAnsi="宋体" w:eastAsia="宋体" w:cs="宋体"/>
                <w:color w:val="auto"/>
                <w:sz w:val="24"/>
                <w:szCs w:val="24"/>
                <w:highlight w:val="none"/>
              </w:rPr>
            </w:pPr>
          </w:p>
        </w:tc>
      </w:tr>
      <w:tr w14:paraId="78E3D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5" w:hRule="atLeast"/>
        </w:trPr>
        <w:tc>
          <w:tcPr>
            <w:tcW w:w="6267" w:type="dxa"/>
            <w:gridSpan w:val="4"/>
            <w:noWrap w:val="0"/>
            <w:vAlign w:val="top"/>
          </w:tcPr>
          <w:p w14:paraId="3F4BEABB">
            <w:pP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最终确定的质量保证及服务承诺</w:t>
            </w:r>
            <w:r>
              <w:rPr>
                <w:rFonts w:hint="eastAsia" w:ascii="宋体" w:hAnsi="宋体" w:eastAsia="宋体" w:cs="宋体"/>
                <w:color w:val="auto"/>
                <w:sz w:val="24"/>
                <w:szCs w:val="24"/>
                <w:highlight w:val="none"/>
                <w:lang w:eastAsia="zh-CN"/>
              </w:rPr>
              <w:t>：</w:t>
            </w:r>
          </w:p>
        </w:tc>
        <w:tc>
          <w:tcPr>
            <w:tcW w:w="1971" w:type="dxa"/>
            <w:noWrap w:val="0"/>
            <w:vAlign w:val="top"/>
          </w:tcPr>
          <w:p w14:paraId="1136CA33">
            <w:pPr>
              <w:spacing w:line="400" w:lineRule="exact"/>
              <w:rPr>
                <w:rFonts w:hint="eastAsia" w:ascii="宋体" w:hAnsi="宋体" w:eastAsia="宋体" w:cs="宋体"/>
                <w:color w:val="auto"/>
                <w:sz w:val="24"/>
                <w:szCs w:val="24"/>
                <w:highlight w:val="none"/>
              </w:rPr>
            </w:pPr>
          </w:p>
        </w:tc>
      </w:tr>
    </w:tbl>
    <w:p w14:paraId="19E3BB28">
      <w:pPr>
        <w:spacing w:line="400" w:lineRule="exact"/>
        <w:ind w:firstLine="422" w:firstLineChars="200"/>
        <w:rPr>
          <w:rFonts w:hint="eastAsia" w:ascii="宋体" w:hAnsi="宋体" w:eastAsia="宋体" w:cs="宋体"/>
          <w:color w:val="auto"/>
          <w:highlight w:val="none"/>
        </w:rPr>
      </w:pPr>
      <w:r>
        <w:rPr>
          <w:rFonts w:hint="eastAsia" w:ascii="宋体" w:hAnsi="宋体" w:eastAsia="宋体" w:cs="宋体"/>
          <w:b/>
          <w:color w:val="auto"/>
          <w:highlight w:val="none"/>
        </w:rPr>
        <w:t xml:space="preserve"> </w:t>
      </w:r>
      <w:r>
        <w:rPr>
          <w:rFonts w:hint="eastAsia" w:ascii="宋体" w:hAnsi="宋体" w:eastAsia="宋体" w:cs="宋体"/>
          <w:color w:val="auto"/>
          <w:highlight w:val="none"/>
        </w:rPr>
        <w:t>注：</w:t>
      </w:r>
      <w:r>
        <w:rPr>
          <w:rFonts w:hint="eastAsia" w:ascii="宋体" w:hAnsi="宋体" w:eastAsia="宋体" w:cs="宋体"/>
          <w:color w:val="auto"/>
          <w:highlight w:val="none"/>
          <w:lang w:val="en-US" w:eastAsia="zh-CN"/>
        </w:rPr>
        <w:t>此表在开启最终报价后，由供应商填写完整、盖章签字后现场递交</w:t>
      </w:r>
      <w:r>
        <w:rPr>
          <w:rFonts w:hint="eastAsia" w:ascii="宋体" w:hAnsi="宋体" w:eastAsia="宋体" w:cs="宋体"/>
          <w:color w:val="auto"/>
          <w:highlight w:val="none"/>
        </w:rPr>
        <w:t>。</w:t>
      </w:r>
    </w:p>
    <w:p w14:paraId="38894A47">
      <w:pPr>
        <w:tabs>
          <w:tab w:val="left" w:pos="168"/>
        </w:tabs>
        <w:adjustRightInd w:val="0"/>
        <w:spacing w:line="400" w:lineRule="exact"/>
        <w:textAlignment w:val="baseline"/>
        <w:rPr>
          <w:rFonts w:hint="eastAsia" w:ascii="宋体" w:hAnsi="宋体" w:eastAsia="宋体" w:cs="宋体"/>
          <w:b/>
          <w:bCs/>
          <w:color w:val="auto"/>
          <w:sz w:val="28"/>
          <w:highlight w:val="none"/>
        </w:rPr>
      </w:pPr>
    </w:p>
    <w:p w14:paraId="6C6B7B77">
      <w:pPr>
        <w:tabs>
          <w:tab w:val="left" w:pos="168"/>
        </w:tabs>
        <w:adjustRightInd w:val="0"/>
        <w:spacing w:line="400" w:lineRule="exact"/>
        <w:textAlignment w:val="baseline"/>
        <w:rPr>
          <w:rFonts w:hint="eastAsia" w:ascii="宋体" w:hAnsi="宋体" w:eastAsia="宋体" w:cs="宋体"/>
          <w:b/>
          <w:bCs/>
          <w:color w:val="auto"/>
          <w:sz w:val="28"/>
          <w:highlight w:val="none"/>
        </w:rPr>
      </w:pPr>
    </w:p>
    <w:p w14:paraId="4CE07E07">
      <w:pPr>
        <w:spacing w:line="400" w:lineRule="exact"/>
        <w:ind w:firstLine="3124" w:firstLineChars="1482"/>
        <w:rPr>
          <w:rFonts w:hint="eastAsia" w:ascii="宋体" w:hAnsi="宋体" w:eastAsia="宋体" w:cs="宋体"/>
          <w:b/>
          <w:color w:val="auto"/>
          <w:highlight w:val="none"/>
        </w:rPr>
      </w:pPr>
      <w:r>
        <w:rPr>
          <w:rFonts w:hint="eastAsia" w:ascii="宋体" w:hAnsi="宋体" w:eastAsia="宋体" w:cs="宋体"/>
          <w:b/>
          <w:color w:val="auto"/>
          <w:highlight w:val="none"/>
        </w:rPr>
        <w:t>供应商：</w:t>
      </w:r>
      <w:r>
        <w:rPr>
          <w:rFonts w:hint="eastAsia" w:ascii="宋体" w:hAnsi="宋体" w:eastAsia="宋体" w:cs="宋体"/>
          <w:color w:val="auto"/>
          <w:sz w:val="28"/>
          <w:szCs w:val="28"/>
          <w:highlight w:val="none"/>
          <w:u w:val="single"/>
        </w:rPr>
        <w:t xml:space="preserve">       </w:t>
      </w:r>
      <w:r>
        <w:rPr>
          <w:rFonts w:hint="eastAsia" w:ascii="宋体" w:hAnsi="宋体" w:eastAsia="宋体" w:cs="宋体"/>
          <w:b/>
          <w:color w:val="auto"/>
          <w:highlight w:val="none"/>
        </w:rPr>
        <w:t>（公章）</w:t>
      </w:r>
    </w:p>
    <w:p w14:paraId="3F27485F">
      <w:pPr>
        <w:spacing w:line="400" w:lineRule="exact"/>
        <w:ind w:firstLine="482"/>
        <w:jc w:val="center"/>
        <w:rPr>
          <w:rFonts w:hint="eastAsia" w:ascii="宋体" w:hAnsi="宋体" w:eastAsia="宋体" w:cs="宋体"/>
          <w:b/>
          <w:color w:val="auto"/>
          <w:highlight w:val="none"/>
        </w:rPr>
      </w:pPr>
      <w:r>
        <w:rPr>
          <w:rFonts w:hint="eastAsia" w:ascii="宋体" w:hAnsi="宋体" w:eastAsia="宋体" w:cs="宋体"/>
          <w:b/>
          <w:color w:val="auto"/>
          <w:highlight w:val="none"/>
        </w:rPr>
        <w:t xml:space="preserve">     法定代表人或委托代理人：</w:t>
      </w:r>
      <w:r>
        <w:rPr>
          <w:rFonts w:hint="eastAsia" w:ascii="宋体" w:hAnsi="宋体" w:eastAsia="宋体" w:cs="宋体"/>
          <w:color w:val="auto"/>
          <w:sz w:val="28"/>
          <w:szCs w:val="28"/>
          <w:highlight w:val="none"/>
          <w:u w:val="single"/>
        </w:rPr>
        <w:t xml:space="preserve">       </w:t>
      </w:r>
      <w:r>
        <w:rPr>
          <w:rFonts w:hint="eastAsia" w:ascii="宋体" w:hAnsi="宋体" w:eastAsia="宋体" w:cs="宋体"/>
          <w:b/>
          <w:color w:val="auto"/>
          <w:highlight w:val="none"/>
        </w:rPr>
        <w:t>（签字或盖章）</w:t>
      </w:r>
    </w:p>
    <w:p w14:paraId="2DFA8781">
      <w:pPr>
        <w:spacing w:line="400" w:lineRule="exact"/>
        <w:ind w:firstLine="482"/>
        <w:jc w:val="center"/>
        <w:rPr>
          <w:rFonts w:hint="eastAsia" w:ascii="宋体" w:hAnsi="宋体" w:eastAsia="宋体" w:cs="宋体"/>
          <w:b/>
          <w:color w:val="auto"/>
          <w:highlight w:val="none"/>
        </w:rPr>
      </w:pPr>
      <w:r>
        <w:rPr>
          <w:rFonts w:hint="eastAsia" w:ascii="宋体" w:hAnsi="宋体" w:eastAsia="宋体" w:cs="宋体"/>
          <w:b/>
          <w:color w:val="auto"/>
          <w:highlight w:val="none"/>
        </w:rPr>
        <w:t xml:space="preserve">              年   月  日</w:t>
      </w:r>
    </w:p>
    <w:p w14:paraId="01DDA955">
      <w:pPr>
        <w:tabs>
          <w:tab w:val="left" w:pos="168"/>
        </w:tabs>
        <w:adjustRightInd w:val="0"/>
        <w:spacing w:line="360" w:lineRule="auto"/>
        <w:ind w:firstLine="480"/>
        <w:textAlignment w:val="baseline"/>
        <w:rPr>
          <w:rFonts w:hint="eastAsia" w:ascii="宋体" w:hAnsi="宋体" w:eastAsia="宋体" w:cs="宋体"/>
          <w:color w:val="auto"/>
          <w:sz w:val="24"/>
          <w:highlight w:val="none"/>
        </w:rPr>
      </w:pPr>
    </w:p>
    <w:p w14:paraId="7FE79782">
      <w:pPr>
        <w:spacing w:line="360" w:lineRule="auto"/>
        <w:jc w:val="left"/>
        <w:rPr>
          <w:rFonts w:hint="eastAsia" w:ascii="宋体" w:hAnsi="宋体" w:eastAsia="宋体" w:cs="宋体"/>
          <w:color w:val="auto"/>
          <w:highlight w:val="none"/>
          <w:lang w:val="zh-CN"/>
        </w:rPr>
      </w:pPr>
    </w:p>
    <w:bookmarkEnd w:id="398"/>
    <w:bookmarkEnd w:id="399"/>
    <w:p w14:paraId="197D2D19">
      <w:pPr>
        <w:pStyle w:val="20"/>
        <w:numPr>
          <w:ilvl w:val="0"/>
          <w:numId w:val="5"/>
        </w:numPr>
        <w:rPr>
          <w:rFonts w:hint="eastAsia" w:ascii="宋体" w:hAnsi="宋体" w:eastAsia="宋体" w:cs="宋体"/>
          <w:color w:val="auto"/>
          <w:kern w:val="28"/>
          <w:highlight w:val="none"/>
          <w:lang w:val="zh-CN"/>
        </w:rPr>
      </w:pPr>
      <w:bookmarkStart w:id="729" w:name="_Toc495567982"/>
      <w:bookmarkStart w:id="730" w:name="_Toc455584731"/>
      <w:bookmarkStart w:id="731" w:name="_Toc461983006"/>
      <w:bookmarkStart w:id="732" w:name="_Toc470775775"/>
      <w:bookmarkStart w:id="733" w:name="_Toc11998"/>
      <w:bookmarkStart w:id="734" w:name="_Toc13360"/>
      <w:bookmarkStart w:id="735" w:name="_Toc10902"/>
      <w:bookmarkStart w:id="736" w:name="_Toc495666300"/>
      <w:bookmarkStart w:id="737" w:name="_Toc23945"/>
      <w:bookmarkStart w:id="738" w:name="_Toc28222"/>
      <w:r>
        <w:rPr>
          <w:rFonts w:hint="eastAsia" w:ascii="宋体" w:hAnsi="宋体" w:eastAsia="宋体" w:cs="宋体"/>
          <w:color w:val="auto"/>
          <w:kern w:val="28"/>
          <w:highlight w:val="none"/>
          <w:lang w:val="zh-CN"/>
        </w:rPr>
        <w:br w:type="page"/>
      </w:r>
      <w:bookmarkStart w:id="739" w:name="_Toc2606"/>
      <w:r>
        <w:rPr>
          <w:rFonts w:hint="eastAsia" w:ascii="宋体" w:hAnsi="宋体" w:eastAsia="宋体" w:cs="宋体"/>
          <w:color w:val="auto"/>
          <w:kern w:val="28"/>
          <w:highlight w:val="none"/>
          <w:lang w:val="zh-CN"/>
        </w:rPr>
        <w:t>采购项目服务要求</w:t>
      </w:r>
      <w:bookmarkEnd w:id="729"/>
      <w:bookmarkEnd w:id="730"/>
      <w:bookmarkEnd w:id="731"/>
      <w:bookmarkEnd w:id="732"/>
      <w:r>
        <w:rPr>
          <w:rFonts w:hint="eastAsia" w:ascii="宋体" w:hAnsi="宋体" w:eastAsia="宋体" w:cs="宋体"/>
          <w:color w:val="auto"/>
          <w:kern w:val="28"/>
          <w:highlight w:val="none"/>
          <w:lang w:val="zh-CN"/>
        </w:rPr>
        <w:t>及技术参数</w:t>
      </w:r>
      <w:bookmarkEnd w:id="733"/>
      <w:bookmarkEnd w:id="734"/>
      <w:bookmarkEnd w:id="735"/>
      <w:bookmarkEnd w:id="736"/>
      <w:bookmarkEnd w:id="737"/>
      <w:bookmarkEnd w:id="738"/>
      <w:bookmarkEnd w:id="739"/>
    </w:p>
    <w:p w14:paraId="6259BDC1">
      <w:pPr>
        <w:pStyle w:val="20"/>
        <w:spacing w:before="0" w:after="0" w:line="360" w:lineRule="auto"/>
        <w:jc w:val="left"/>
        <w:outlineLvl w:val="1"/>
        <w:rPr>
          <w:rFonts w:hint="eastAsia" w:ascii="宋体" w:hAnsi="宋体" w:eastAsia="宋体" w:cs="宋体"/>
          <w:color w:val="auto"/>
          <w:sz w:val="24"/>
          <w:szCs w:val="24"/>
          <w:highlight w:val="none"/>
          <w:lang w:val="zh-CN"/>
        </w:rPr>
      </w:pPr>
      <w:bookmarkStart w:id="740" w:name="_GoBack"/>
      <w:bookmarkEnd w:id="740"/>
      <w:bookmarkStart w:id="741" w:name="_Toc32487"/>
      <w:bookmarkStart w:id="742" w:name="_Toc14606"/>
      <w:bookmarkStart w:id="743" w:name="_Toc29623"/>
      <w:bookmarkStart w:id="744" w:name="_Toc4601"/>
      <w:bookmarkStart w:id="745" w:name="_Toc27899093"/>
      <w:bookmarkStart w:id="746" w:name="_Toc18636"/>
      <w:bookmarkStart w:id="747" w:name="_Toc515908232"/>
      <w:bookmarkStart w:id="748" w:name="_Toc14260"/>
      <w:bookmarkStart w:id="749" w:name="_Toc12847"/>
      <w:bookmarkStart w:id="750" w:name="_Toc17396"/>
      <w:r>
        <w:rPr>
          <w:rFonts w:hint="eastAsia" w:ascii="宋体" w:hAnsi="宋体" w:eastAsia="宋体" w:cs="宋体"/>
          <w:color w:val="auto"/>
          <w:sz w:val="24"/>
          <w:szCs w:val="24"/>
          <w:highlight w:val="none"/>
          <w:lang w:val="zh-CN"/>
        </w:rPr>
        <w:t>1.投标说明</w:t>
      </w:r>
      <w:bookmarkEnd w:id="741"/>
      <w:bookmarkEnd w:id="742"/>
      <w:bookmarkEnd w:id="743"/>
      <w:bookmarkEnd w:id="744"/>
      <w:bookmarkEnd w:id="745"/>
      <w:bookmarkEnd w:id="746"/>
      <w:bookmarkEnd w:id="747"/>
      <w:bookmarkEnd w:id="748"/>
    </w:p>
    <w:p w14:paraId="7751B96E">
      <w:pPr>
        <w:autoSpaceDE w:val="0"/>
        <w:autoSpaceDN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供应商可以按照竞争性磋商文件规定的包号选择投标，但必须对所投包号中的所有内容作为一个整体进行投标，不能拆分或少报。否则，投标无效。</w:t>
      </w:r>
    </w:p>
    <w:p w14:paraId="0B843A6B">
      <w:pPr>
        <w:autoSpaceDE w:val="0"/>
        <w:autoSpaceDN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 “投标</w:t>
      </w:r>
      <w:r>
        <w:rPr>
          <w:rFonts w:hint="eastAsia" w:ascii="宋体" w:hAnsi="宋体" w:eastAsia="宋体" w:cs="宋体"/>
          <w:color w:val="auto"/>
          <w:kern w:val="0"/>
          <w:sz w:val="24"/>
          <w:highlight w:val="none"/>
        </w:rPr>
        <w:t>服务内容</w:t>
      </w:r>
      <w:r>
        <w:rPr>
          <w:rFonts w:hint="eastAsia" w:ascii="宋体" w:hAnsi="宋体" w:eastAsia="宋体" w:cs="宋体"/>
          <w:color w:val="auto"/>
          <w:kern w:val="0"/>
          <w:sz w:val="24"/>
          <w:highlight w:val="none"/>
          <w:lang w:val="zh-CN"/>
        </w:rPr>
        <w:t>技术参数、指标”必须与响应文件中提供的证明材料的实质性响应情况相一致。以招标项目参数要求为基本投标要求，满足招标项目参数要求的指标需列出“</w:t>
      </w:r>
      <w:r>
        <w:rPr>
          <w:rFonts w:hint="eastAsia" w:ascii="宋体" w:hAnsi="宋体" w:eastAsia="宋体" w:cs="宋体"/>
          <w:color w:val="auto"/>
          <w:kern w:val="0"/>
          <w:sz w:val="24"/>
          <w:highlight w:val="none"/>
        </w:rPr>
        <w:t>0</w:t>
      </w:r>
      <w:r>
        <w:rPr>
          <w:rFonts w:hint="eastAsia" w:ascii="宋体" w:hAnsi="宋体" w:eastAsia="宋体" w:cs="宋体"/>
          <w:color w:val="auto"/>
          <w:kern w:val="0"/>
          <w:sz w:val="24"/>
          <w:highlight w:val="none"/>
          <w:lang w:val="zh-CN"/>
        </w:rPr>
        <w:t>”；超出、不满足招标项目参数要求的指标需列出“+”、“-”偏差，并做出详细说明；如果只注明“+”、“-”或未填写，将视为该项指标不响应。</w:t>
      </w:r>
    </w:p>
    <w:p w14:paraId="4C19C3B2">
      <w:pPr>
        <w:autoSpaceDE w:val="0"/>
        <w:autoSpaceDN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rPr>
        <w:t>3</w:t>
      </w: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招标内容中未特别标注为“原装进口”字样的产品，供应商必须投国产产品；标注为“原装进口”字样的产品，供应商可以投进口产品，但如果因信息不对称等原因，仍有满足采购需求的国内产品要求参与采购竞争的，可以投国产产品，并且按照公平竞争原则实施采购。</w:t>
      </w:r>
    </w:p>
    <w:p w14:paraId="0CB89094">
      <w:pPr>
        <w:autoSpaceDE w:val="0"/>
        <w:autoSpaceDN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 xml:space="preserve">1.4 </w:t>
      </w:r>
      <w:r>
        <w:rPr>
          <w:rFonts w:hint="eastAsia" w:ascii="宋体" w:hAnsi="宋体" w:eastAsia="宋体" w:cs="宋体"/>
          <w:color w:val="auto"/>
          <w:sz w:val="24"/>
          <w:highlight w:val="none"/>
        </w:rPr>
        <w:t>所投产品或其任何一部分不得侵犯专利权、著作权、商标权和工业设计权等知识产权。</w:t>
      </w:r>
    </w:p>
    <w:p w14:paraId="098DE8E7">
      <w:pPr>
        <w:autoSpaceDE w:val="0"/>
        <w:autoSpaceDN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 项目中标后分包情况：</w:t>
      </w:r>
      <w:r>
        <w:rPr>
          <w:rFonts w:hint="eastAsia" w:ascii="宋体" w:hAnsi="宋体" w:eastAsia="宋体" w:cs="宋体"/>
          <w:color w:val="auto"/>
          <w:kern w:val="0"/>
          <w:sz w:val="24"/>
          <w:highlight w:val="none"/>
          <w:u w:val="dashDotHeavy"/>
          <w:lang w:bidi="ar"/>
        </w:rPr>
        <w:t>不允许</w:t>
      </w:r>
      <w:r>
        <w:rPr>
          <w:rFonts w:hint="eastAsia" w:ascii="宋体" w:hAnsi="宋体" w:eastAsia="宋体" w:cs="宋体"/>
          <w:color w:val="auto"/>
          <w:kern w:val="0"/>
          <w:sz w:val="24"/>
          <w:highlight w:val="none"/>
        </w:rPr>
        <w:t>。</w:t>
      </w:r>
    </w:p>
    <w:p w14:paraId="4D011611">
      <w:pPr>
        <w:pStyle w:val="20"/>
        <w:spacing w:before="0" w:after="0" w:line="360" w:lineRule="auto"/>
        <w:jc w:val="left"/>
        <w:outlineLvl w:val="1"/>
        <w:rPr>
          <w:rFonts w:hint="eastAsia" w:ascii="宋体" w:hAnsi="宋体" w:eastAsia="宋体" w:cs="宋体"/>
          <w:color w:val="auto"/>
          <w:sz w:val="24"/>
          <w:szCs w:val="24"/>
          <w:highlight w:val="none"/>
          <w:lang w:val="zh-CN"/>
        </w:rPr>
      </w:pPr>
      <w:bookmarkStart w:id="751" w:name="_Toc26125"/>
      <w:bookmarkStart w:id="752" w:name="_Toc30931"/>
      <w:bookmarkStart w:id="753" w:name="_Toc29114"/>
      <w:bookmarkStart w:id="754" w:name="_Toc27899094"/>
      <w:bookmarkStart w:id="755" w:name="_Toc515908233"/>
      <w:bookmarkStart w:id="756" w:name="_Toc21215"/>
      <w:bookmarkStart w:id="757" w:name="_Toc27638"/>
      <w:bookmarkStart w:id="758" w:name="_Toc26568"/>
      <w:r>
        <w:rPr>
          <w:rFonts w:hint="eastAsia" w:ascii="宋体" w:hAnsi="宋体" w:eastAsia="宋体" w:cs="宋体"/>
          <w:color w:val="auto"/>
          <w:sz w:val="24"/>
          <w:szCs w:val="24"/>
          <w:highlight w:val="none"/>
        </w:rPr>
        <w:t>2.</w:t>
      </w:r>
      <w:bookmarkEnd w:id="751"/>
      <w:bookmarkStart w:id="759" w:name="_Toc1475"/>
      <w:r>
        <w:rPr>
          <w:rFonts w:hint="eastAsia" w:ascii="宋体" w:hAnsi="宋体" w:eastAsia="宋体" w:cs="宋体"/>
          <w:color w:val="auto"/>
          <w:sz w:val="24"/>
          <w:szCs w:val="24"/>
          <w:highlight w:val="none"/>
          <w:lang w:val="zh-CN"/>
        </w:rPr>
        <w:t>重要指标</w:t>
      </w:r>
      <w:bookmarkEnd w:id="752"/>
      <w:bookmarkEnd w:id="753"/>
      <w:bookmarkEnd w:id="754"/>
      <w:bookmarkEnd w:id="755"/>
      <w:bookmarkEnd w:id="756"/>
      <w:bookmarkEnd w:id="757"/>
      <w:bookmarkEnd w:id="758"/>
      <w:bookmarkEnd w:id="759"/>
    </w:p>
    <w:p w14:paraId="273E9CFE">
      <w:pPr>
        <w:autoSpaceDE w:val="0"/>
        <w:autoSpaceDN w:val="0"/>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技术参数”中用“</w:t>
      </w:r>
      <w:r>
        <w:rPr>
          <w:rFonts w:hint="eastAsia" w:ascii="宋体" w:hAnsi="宋体" w:eastAsia="宋体" w:cs="宋体"/>
          <w:b/>
          <w:bCs/>
          <w:color w:val="auto"/>
          <w:kern w:val="0"/>
          <w:sz w:val="24"/>
          <w:highlight w:val="none"/>
        </w:rPr>
        <w:t>*</w:t>
      </w:r>
      <w:r>
        <w:rPr>
          <w:rFonts w:hint="eastAsia" w:ascii="宋体" w:hAnsi="宋体" w:eastAsia="宋体" w:cs="宋体"/>
          <w:b/>
          <w:bCs/>
          <w:color w:val="auto"/>
          <w:kern w:val="0"/>
          <w:sz w:val="24"/>
          <w:highlight w:val="none"/>
          <w:lang w:val="zh-CN"/>
        </w:rPr>
        <w:t>”符号标注的属于重要技术参数、指标，必须完全响应（须提供相关证明材料）。否则，投标无效。</w:t>
      </w:r>
    </w:p>
    <w:p w14:paraId="62E8D637">
      <w:pPr>
        <w:autoSpaceDE w:val="0"/>
        <w:autoSpaceDN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zh-CN"/>
        </w:rPr>
        <w:t>竞争性磋商文件中凡需与原有设备、系统并机、兼容、匹配等要求的，请主动和采购人联系，取得原有设备、系统相关资料。若有磋商文件未提及或变更内容的，请及时与采购代理机构联系。</w:t>
      </w:r>
    </w:p>
    <w:p w14:paraId="1ECE6F22">
      <w:pPr>
        <w:autoSpaceDE w:val="0"/>
        <w:autoSpaceDN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rPr>
        <w:t xml:space="preserve">3 </w:t>
      </w:r>
      <w:r>
        <w:rPr>
          <w:rFonts w:hint="eastAsia" w:ascii="宋体" w:hAnsi="宋体" w:eastAsia="宋体" w:cs="宋体"/>
          <w:color w:val="auto"/>
          <w:kern w:val="0"/>
          <w:sz w:val="24"/>
          <w:highlight w:val="none"/>
          <w:lang w:val="zh-CN"/>
        </w:rPr>
        <w:t>技术参数中除注明签订合同时提供</w:t>
      </w:r>
      <w:r>
        <w:rPr>
          <w:rFonts w:hint="eastAsia" w:ascii="宋体" w:hAnsi="宋体" w:eastAsia="宋体" w:cs="宋体"/>
          <w:color w:val="auto"/>
          <w:sz w:val="24"/>
          <w:highlight w:val="none"/>
        </w:rPr>
        <w:t>的相关授权、服务承诺等资料以外，其余相关资料在投标时必须附在响应文件中。</w:t>
      </w:r>
    </w:p>
    <w:p w14:paraId="061ADB4A">
      <w:pPr>
        <w:pStyle w:val="20"/>
        <w:spacing w:before="0" w:after="0" w:line="360" w:lineRule="auto"/>
        <w:jc w:val="left"/>
        <w:outlineLvl w:val="1"/>
        <w:rPr>
          <w:rFonts w:hint="eastAsia" w:ascii="宋体" w:hAnsi="宋体" w:eastAsia="宋体" w:cs="宋体"/>
          <w:color w:val="auto"/>
          <w:sz w:val="24"/>
          <w:szCs w:val="24"/>
          <w:highlight w:val="none"/>
          <w:lang w:val="zh-CN"/>
        </w:rPr>
      </w:pPr>
      <w:bookmarkStart w:id="760" w:name="_Toc32541"/>
      <w:bookmarkStart w:id="761" w:name="_Toc21753"/>
      <w:bookmarkStart w:id="762" w:name="_Toc1855"/>
      <w:bookmarkStart w:id="763" w:name="_Toc3615"/>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商务要求</w:t>
      </w:r>
      <w:bookmarkEnd w:id="749"/>
      <w:bookmarkEnd w:id="750"/>
      <w:bookmarkEnd w:id="760"/>
      <w:bookmarkEnd w:id="761"/>
      <w:bookmarkEnd w:id="762"/>
      <w:bookmarkEnd w:id="763"/>
    </w:p>
    <w:p w14:paraId="40D2E750">
      <w:pPr>
        <w:autoSpaceDE w:val="0"/>
        <w:autoSpaceDN w:val="0"/>
        <w:spacing w:line="360" w:lineRule="auto"/>
        <w:ind w:firstLine="482" w:firstLineChars="200"/>
        <w:rPr>
          <w:rFonts w:hint="default" w:ascii="宋体" w:hAnsi="宋体" w:eastAsia="宋体" w:cs="宋体"/>
          <w:b/>
          <w:bCs/>
          <w:color w:val="auto"/>
          <w:kern w:val="0"/>
          <w:sz w:val="24"/>
          <w:highlight w:val="none"/>
          <w:lang w:val="en-US" w:eastAsia="zh-CN"/>
        </w:rPr>
      </w:pPr>
      <w:r>
        <w:rPr>
          <w:rFonts w:hint="eastAsia" w:ascii="宋体" w:hAnsi="宋体" w:eastAsia="宋体" w:cs="宋体"/>
          <w:b/>
          <w:bCs/>
          <w:color w:val="auto"/>
          <w:kern w:val="0"/>
          <w:sz w:val="24"/>
          <w:highlight w:val="none"/>
          <w:lang w:val="zh-CN"/>
        </w:rPr>
        <w:t>4.1、</w:t>
      </w:r>
      <w:r>
        <w:rPr>
          <w:rFonts w:hint="eastAsia" w:eastAsia="宋体" w:cs="宋体"/>
          <w:b/>
          <w:bCs/>
          <w:color w:val="auto"/>
          <w:kern w:val="0"/>
          <w:sz w:val="24"/>
          <w:highlight w:val="none"/>
          <w:lang w:val="en-US" w:eastAsia="zh-CN"/>
        </w:rPr>
        <w:t>服务期：自签订合同后3年</w:t>
      </w:r>
    </w:p>
    <w:p w14:paraId="2C493066">
      <w:pPr>
        <w:autoSpaceDE w:val="0"/>
        <w:autoSpaceDN w:val="0"/>
        <w:spacing w:line="360" w:lineRule="auto"/>
        <w:ind w:firstLine="482" w:firstLineChars="200"/>
        <w:rPr>
          <w:rFonts w:hint="eastAsia" w:ascii="宋体" w:hAnsi="宋体" w:eastAsia="宋体" w:cs="宋体"/>
          <w:b/>
          <w:bCs/>
          <w:color w:val="auto"/>
          <w:kern w:val="0"/>
          <w:sz w:val="24"/>
          <w:highlight w:val="none"/>
          <w:lang w:val="zh-CN" w:eastAsia="zh-CN"/>
        </w:rPr>
      </w:pPr>
      <w:r>
        <w:rPr>
          <w:rFonts w:hint="eastAsia" w:ascii="宋体" w:hAnsi="宋体" w:eastAsia="宋体" w:cs="宋体"/>
          <w:b/>
          <w:bCs/>
          <w:color w:val="auto"/>
          <w:kern w:val="0"/>
          <w:sz w:val="24"/>
          <w:highlight w:val="none"/>
          <w:lang w:val="zh-CN"/>
        </w:rPr>
        <w:t>4.</w:t>
      </w:r>
      <w:r>
        <w:rPr>
          <w:rFonts w:hint="eastAsia" w:eastAsia="宋体" w:cs="宋体"/>
          <w:b/>
          <w:bCs/>
          <w:color w:val="auto"/>
          <w:kern w:val="0"/>
          <w:sz w:val="24"/>
          <w:highlight w:val="none"/>
          <w:lang w:val="en-US" w:eastAsia="zh-CN"/>
        </w:rPr>
        <w:t>2</w:t>
      </w:r>
      <w:r>
        <w:rPr>
          <w:rFonts w:hint="eastAsia" w:ascii="宋体" w:hAnsi="宋体" w:eastAsia="宋体" w:cs="宋体"/>
          <w:b/>
          <w:bCs/>
          <w:color w:val="auto"/>
          <w:kern w:val="0"/>
          <w:sz w:val="24"/>
          <w:highlight w:val="none"/>
          <w:lang w:val="zh-CN"/>
        </w:rPr>
        <w:t>、</w:t>
      </w:r>
      <w:r>
        <w:rPr>
          <w:rFonts w:hint="eastAsia" w:eastAsia="宋体" w:cs="宋体"/>
          <w:b/>
          <w:bCs/>
          <w:color w:val="auto"/>
          <w:kern w:val="0"/>
          <w:sz w:val="24"/>
          <w:highlight w:val="none"/>
          <w:lang w:val="en-US" w:eastAsia="zh-CN"/>
        </w:rPr>
        <w:t>使用</w:t>
      </w:r>
      <w:r>
        <w:rPr>
          <w:rFonts w:hint="eastAsia" w:ascii="宋体" w:hAnsi="宋体" w:eastAsia="宋体" w:cs="宋体"/>
          <w:b/>
          <w:bCs/>
          <w:color w:val="auto"/>
          <w:kern w:val="0"/>
          <w:sz w:val="24"/>
          <w:highlight w:val="none"/>
          <w:lang w:val="zh-CN"/>
        </w:rPr>
        <w:t>地点：</w:t>
      </w:r>
      <w:r>
        <w:rPr>
          <w:rFonts w:hint="eastAsia" w:eastAsia="宋体" w:cs="宋体"/>
          <w:b/>
          <w:bCs/>
          <w:color w:val="auto"/>
          <w:kern w:val="0"/>
          <w:sz w:val="24"/>
          <w:highlight w:val="none"/>
          <w:lang w:val="en-US" w:eastAsia="zh-CN"/>
        </w:rPr>
        <w:t>青海民族大学</w:t>
      </w:r>
    </w:p>
    <w:p w14:paraId="2364EBA0">
      <w:pPr>
        <w:autoSpaceDE w:val="0"/>
        <w:autoSpaceDN w:val="0"/>
        <w:spacing w:line="360" w:lineRule="auto"/>
        <w:ind w:firstLine="482" w:firstLineChars="200"/>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4.</w:t>
      </w:r>
      <w:r>
        <w:rPr>
          <w:rFonts w:hint="eastAsia" w:eastAsia="宋体" w:cs="宋体"/>
          <w:b/>
          <w:bCs/>
          <w:color w:val="auto"/>
          <w:kern w:val="0"/>
          <w:sz w:val="24"/>
          <w:highlight w:val="none"/>
          <w:lang w:val="en-US" w:eastAsia="zh-CN"/>
        </w:rPr>
        <w:t>3</w:t>
      </w:r>
      <w:r>
        <w:rPr>
          <w:rFonts w:hint="eastAsia" w:ascii="宋体" w:hAnsi="宋体" w:eastAsia="宋体" w:cs="宋体"/>
          <w:b/>
          <w:bCs/>
          <w:color w:val="auto"/>
          <w:kern w:val="0"/>
          <w:sz w:val="24"/>
          <w:highlight w:val="none"/>
          <w:lang w:val="zh-CN"/>
        </w:rPr>
        <w:t>、付款方式：</w:t>
      </w:r>
      <w:r>
        <w:rPr>
          <w:rFonts w:hint="eastAsia" w:ascii="宋体" w:hAnsi="宋体" w:eastAsia="宋体" w:cs="宋体"/>
          <w:sz w:val="24"/>
          <w:szCs w:val="24"/>
          <w:highlight w:val="none"/>
          <w:lang w:val="en-US" w:eastAsia="zh-CN"/>
        </w:rPr>
        <w:t>甲、乙双方签订合同正常使用后甲方向乙方一次性支付合同价款的100%。</w:t>
      </w:r>
    </w:p>
    <w:p w14:paraId="47A6A21B">
      <w:pPr>
        <w:pStyle w:val="29"/>
        <w:ind w:firstLine="482" w:firstLineChars="200"/>
        <w:jc w:val="left"/>
        <w:rPr>
          <w:rFonts w:hint="default" w:ascii="宋体" w:hAnsi="宋体" w:eastAsia="宋体" w:cs="宋体"/>
          <w:b/>
          <w:bCs/>
          <w:color w:val="auto"/>
          <w:kern w:val="0"/>
          <w:sz w:val="24"/>
          <w:highlight w:val="none"/>
          <w:lang w:val="en-US" w:eastAsia="zh-CN"/>
        </w:rPr>
      </w:pPr>
      <w:r>
        <w:rPr>
          <w:rFonts w:hint="eastAsia" w:ascii="宋体" w:hAnsi="宋体" w:eastAsia="宋体" w:cs="宋体"/>
          <w:b/>
          <w:bCs/>
          <w:color w:val="auto"/>
          <w:kern w:val="0"/>
          <w:sz w:val="24"/>
          <w:highlight w:val="none"/>
          <w:lang w:val="en-US" w:eastAsia="zh-CN"/>
        </w:rPr>
        <w:t>4.</w:t>
      </w:r>
      <w:r>
        <w:rPr>
          <w:rFonts w:hint="eastAsia" w:hAnsi="宋体" w:eastAsia="宋体" w:cs="宋体"/>
          <w:b/>
          <w:bCs/>
          <w:color w:val="auto"/>
          <w:kern w:val="0"/>
          <w:sz w:val="24"/>
          <w:highlight w:val="none"/>
          <w:lang w:val="en-US" w:eastAsia="zh-CN"/>
        </w:rPr>
        <w:t>4</w:t>
      </w:r>
      <w:r>
        <w:rPr>
          <w:rFonts w:hint="eastAsia" w:ascii="宋体" w:hAnsi="宋体" w:eastAsia="宋体" w:cs="宋体"/>
          <w:b/>
          <w:bCs/>
          <w:color w:val="auto"/>
          <w:kern w:val="0"/>
          <w:sz w:val="24"/>
          <w:highlight w:val="none"/>
          <w:lang w:val="en-US" w:eastAsia="zh-CN"/>
        </w:rPr>
        <w:t>、履约保证金的缴纳：签订合同前成交供应商需向采购人指定账户缴纳</w:t>
      </w:r>
      <w:r>
        <w:rPr>
          <w:rFonts w:hint="eastAsia" w:hAnsi="宋体" w:eastAsia="宋体" w:cs="宋体"/>
          <w:b/>
          <w:bCs/>
          <w:color w:val="auto"/>
          <w:kern w:val="0"/>
          <w:sz w:val="24"/>
          <w:highlight w:val="none"/>
          <w:lang w:val="en-US" w:eastAsia="zh-CN"/>
        </w:rPr>
        <w:t>成交金额的10%</w:t>
      </w:r>
      <w:r>
        <w:rPr>
          <w:rFonts w:hint="eastAsia" w:ascii="宋体" w:hAnsi="宋体" w:eastAsia="宋体" w:cs="宋体"/>
          <w:b/>
          <w:bCs/>
          <w:color w:val="auto"/>
          <w:kern w:val="0"/>
          <w:sz w:val="24"/>
          <w:highlight w:val="none"/>
          <w:lang w:val="en-US" w:eastAsia="zh-CN"/>
        </w:rPr>
        <w:t>的履约保证金</w:t>
      </w:r>
      <w:r>
        <w:rPr>
          <w:rFonts w:hint="eastAsia" w:hAnsi="宋体" w:eastAsia="宋体" w:cs="宋体"/>
          <w:b/>
          <w:bCs/>
          <w:color w:val="auto"/>
          <w:kern w:val="0"/>
          <w:sz w:val="24"/>
          <w:highlight w:val="none"/>
          <w:lang w:val="en-US" w:eastAsia="zh-CN"/>
        </w:rPr>
        <w:t>，</w:t>
      </w:r>
      <w:r>
        <w:rPr>
          <w:rFonts w:hint="eastAsia" w:eastAsia="宋体" w:cs="宋体"/>
          <w:b/>
          <w:bCs/>
          <w:color w:val="auto"/>
          <w:kern w:val="0"/>
          <w:sz w:val="24"/>
          <w:highlight w:val="none"/>
          <w:lang w:val="en-US" w:eastAsia="zh-CN"/>
        </w:rPr>
        <w:t>服务期使用期</w:t>
      </w:r>
      <w:r>
        <w:rPr>
          <w:rFonts w:hint="eastAsia" w:ascii="宋体" w:hAnsi="宋体" w:eastAsia="宋体" w:cs="宋体"/>
          <w:b/>
          <w:bCs/>
          <w:color w:val="auto"/>
          <w:kern w:val="0"/>
          <w:sz w:val="24"/>
          <w:highlight w:val="none"/>
          <w:lang w:val="en-US" w:eastAsia="zh-CN"/>
        </w:rPr>
        <w:t>满后</w:t>
      </w:r>
      <w:r>
        <w:rPr>
          <w:rFonts w:hint="eastAsia" w:hAnsi="宋体" w:eastAsia="宋体" w:cs="宋体"/>
          <w:b/>
          <w:bCs/>
          <w:color w:val="auto"/>
          <w:kern w:val="0"/>
          <w:sz w:val="24"/>
          <w:highlight w:val="none"/>
          <w:lang w:val="en-US" w:eastAsia="zh-CN"/>
        </w:rPr>
        <w:t>退还</w:t>
      </w:r>
      <w:r>
        <w:rPr>
          <w:rFonts w:hint="eastAsia" w:ascii="宋体" w:hAnsi="宋体" w:eastAsia="宋体" w:cs="宋体"/>
          <w:b/>
          <w:bCs/>
          <w:color w:val="auto"/>
          <w:kern w:val="0"/>
          <w:sz w:val="24"/>
          <w:highlight w:val="none"/>
          <w:lang w:val="en-US" w:eastAsia="zh-CN"/>
        </w:rPr>
        <w:t>。</w:t>
      </w:r>
    </w:p>
    <w:p w14:paraId="6AEF0D10">
      <w:pPr>
        <w:autoSpaceDE w:val="0"/>
        <w:autoSpaceDN w:val="0"/>
        <w:spacing w:line="360" w:lineRule="auto"/>
        <w:ind w:firstLine="482" w:firstLineChars="200"/>
        <w:jc w:val="center"/>
        <w:rPr>
          <w:rFonts w:hint="eastAsia" w:ascii="宋体" w:hAnsi="宋体" w:eastAsia="宋体" w:cs="宋体"/>
          <w:color w:val="auto"/>
          <w:highlight w:val="none"/>
          <w:lang w:val="en-US" w:eastAsia="zh-CN"/>
        </w:rPr>
      </w:pPr>
      <w:r>
        <w:rPr>
          <w:rFonts w:hint="eastAsia" w:ascii="宋体" w:hAnsi="宋体" w:eastAsia="宋体" w:cs="宋体"/>
          <w:b/>
          <w:bCs/>
          <w:color w:val="auto"/>
          <w:kern w:val="0"/>
          <w:sz w:val="24"/>
          <w:highlight w:val="none"/>
          <w:lang w:val="en-US" w:eastAsia="zh-CN"/>
        </w:rPr>
        <w:br w:type="page"/>
      </w:r>
      <w:r>
        <w:rPr>
          <w:rFonts w:hint="eastAsia" w:ascii="宋体" w:hAnsi="宋体" w:eastAsia="宋体" w:cs="宋体"/>
          <w:b/>
          <w:bCs/>
          <w:color w:val="auto"/>
          <w:sz w:val="28"/>
          <w:szCs w:val="28"/>
          <w:highlight w:val="none"/>
          <w:lang w:val="zh-CN"/>
        </w:rPr>
        <w:t>（</w:t>
      </w:r>
      <w:r>
        <w:rPr>
          <w:rFonts w:hint="eastAsia" w:ascii="宋体" w:hAnsi="宋体" w:eastAsia="宋体" w:cs="宋体"/>
          <w:b/>
          <w:bCs/>
          <w:color w:val="auto"/>
          <w:sz w:val="28"/>
          <w:szCs w:val="28"/>
          <w:highlight w:val="none"/>
          <w:lang w:val="en-US" w:eastAsia="zh-CN"/>
        </w:rPr>
        <w:t>二）</w:t>
      </w:r>
      <w:r>
        <w:rPr>
          <w:rFonts w:hint="eastAsia" w:ascii="宋体" w:hAnsi="宋体" w:eastAsia="宋体" w:cs="宋体"/>
          <w:b/>
          <w:bCs/>
          <w:color w:val="auto"/>
          <w:sz w:val="28"/>
          <w:szCs w:val="28"/>
          <w:highlight w:val="none"/>
          <w:lang w:val="zh-CN"/>
        </w:rPr>
        <w:t>服务内容及技术要求</w:t>
      </w:r>
    </w:p>
    <w:p w14:paraId="26D4FBE1">
      <w:pPr>
        <w:pStyle w:val="2"/>
        <w:bidi w:val="0"/>
        <w:jc w:val="left"/>
        <w:rPr>
          <w:rFonts w:hint="eastAsia" w:ascii="宋体" w:hAnsi="宋体" w:eastAsia="宋体" w:cs="宋体"/>
          <w:sz w:val="24"/>
          <w:szCs w:val="24"/>
          <w:lang w:val="en-US" w:eastAsia="zh-CN"/>
        </w:rPr>
      </w:pPr>
      <w:bookmarkStart w:id="764" w:name="_Toc17712"/>
      <w:r>
        <w:rPr>
          <w:rFonts w:hint="eastAsia" w:ascii="宋体" w:hAnsi="宋体" w:eastAsia="宋体" w:cs="宋体"/>
          <w:sz w:val="24"/>
          <w:szCs w:val="24"/>
          <w:lang w:val="en-US" w:eastAsia="zh-CN"/>
        </w:rPr>
        <w:t>一、招生报名与新生录取、注册服务</w:t>
      </w:r>
      <w:bookmarkEnd w:id="764"/>
    </w:p>
    <w:p w14:paraId="080F8557">
      <w:pPr>
        <w:pStyle w:val="3"/>
        <w:bidi w:val="0"/>
        <w:rPr>
          <w:rFonts w:hint="eastAsia" w:ascii="宋体" w:hAnsi="宋体" w:eastAsia="宋体" w:cs="宋体"/>
          <w:sz w:val="24"/>
          <w:szCs w:val="24"/>
          <w:lang w:val="en-US" w:eastAsia="zh-CN"/>
        </w:rPr>
      </w:pPr>
      <w:bookmarkStart w:id="765" w:name="_Toc30298"/>
      <w:r>
        <w:rPr>
          <w:rFonts w:hint="eastAsia" w:ascii="宋体" w:hAnsi="宋体" w:eastAsia="宋体" w:cs="宋体"/>
          <w:sz w:val="24"/>
          <w:szCs w:val="24"/>
          <w:lang w:val="en-US" w:eastAsia="zh-CN"/>
        </w:rPr>
        <w:t>1、成本指标</w:t>
      </w:r>
      <w:bookmarkEnd w:id="765"/>
    </w:p>
    <w:p w14:paraId="04CBC2A0">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招生报名与新生录取、注册服务</w:t>
      </w:r>
    </w:p>
    <w:p w14:paraId="2C90F8F6">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2、服务内容</w:t>
      </w:r>
    </w:p>
    <w:p w14:paraId="404AAA1A">
      <w:pPr>
        <w:pageBreakBefore w:val="0"/>
        <w:widowControl w:val="0"/>
        <w:numPr>
          <w:ilvl w:val="0"/>
          <w:numId w:val="6"/>
        </w:numPr>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snapToGrid w:val="0"/>
          <w:kern w:val="21"/>
          <w:sz w:val="24"/>
          <w:szCs w:val="24"/>
          <w:lang w:val="en-US" w:eastAsia="zh-CN"/>
        </w:rPr>
      </w:pPr>
      <w:r>
        <w:rPr>
          <w:rFonts w:hint="eastAsia" w:ascii="宋体" w:hAnsi="宋体" w:eastAsia="宋体" w:cs="宋体"/>
          <w:snapToGrid w:val="0"/>
          <w:kern w:val="21"/>
          <w:sz w:val="24"/>
          <w:szCs w:val="24"/>
          <w:lang w:val="en-US" w:eastAsia="zh-CN"/>
        </w:rPr>
        <w:t>学生通过二维码实现人脸识别录取审核；支持设置学生首次登录做录取学籍确认时学籍照片确认等服务；</w:t>
      </w:r>
    </w:p>
    <w:p w14:paraId="0536FB31">
      <w:pPr>
        <w:pageBreakBefore w:val="0"/>
        <w:widowControl w:val="0"/>
        <w:numPr>
          <w:ilvl w:val="0"/>
          <w:numId w:val="6"/>
        </w:numPr>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snapToGrid w:val="0"/>
          <w:kern w:val="21"/>
          <w:sz w:val="24"/>
          <w:szCs w:val="24"/>
          <w:lang w:val="en-US" w:eastAsia="zh-CN"/>
        </w:rPr>
      </w:pPr>
      <w:r>
        <w:rPr>
          <w:rFonts w:hint="eastAsia" w:ascii="宋体" w:hAnsi="宋体" w:eastAsia="宋体" w:cs="宋体"/>
          <w:snapToGrid w:val="0"/>
          <w:kern w:val="21"/>
          <w:sz w:val="24"/>
          <w:szCs w:val="24"/>
          <w:lang w:val="en-US" w:eastAsia="zh-CN"/>
        </w:rPr>
        <w:t>实现录取学生注册，可批量撤销注册，自定义账号生成规则服务；</w:t>
      </w:r>
    </w:p>
    <w:p w14:paraId="58A952FA">
      <w:pPr>
        <w:pageBreakBefore w:val="0"/>
        <w:widowControl w:val="0"/>
        <w:numPr>
          <w:ilvl w:val="0"/>
          <w:numId w:val="6"/>
        </w:numPr>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snapToGrid w:val="0"/>
          <w:kern w:val="21"/>
          <w:sz w:val="24"/>
          <w:szCs w:val="24"/>
          <w:lang w:val="en-US" w:eastAsia="zh-CN"/>
        </w:rPr>
      </w:pPr>
      <w:r>
        <w:rPr>
          <w:rFonts w:hint="eastAsia" w:ascii="宋体" w:hAnsi="宋体" w:eastAsia="宋体" w:cs="宋体"/>
          <w:snapToGrid w:val="0"/>
          <w:kern w:val="21"/>
          <w:sz w:val="24"/>
          <w:szCs w:val="24"/>
          <w:lang w:val="en-US" w:eastAsia="zh-CN"/>
        </w:rPr>
        <w:t>支持批量导入录取证书编号，批量打印录制通知书，导出列表数据服务；</w:t>
      </w:r>
    </w:p>
    <w:p w14:paraId="33141AAF">
      <w:pPr>
        <w:pageBreakBefore w:val="0"/>
        <w:widowControl w:val="0"/>
        <w:numPr>
          <w:ilvl w:val="0"/>
          <w:numId w:val="6"/>
        </w:numPr>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snapToGrid w:val="0"/>
          <w:kern w:val="21"/>
          <w:sz w:val="24"/>
          <w:szCs w:val="24"/>
          <w:lang w:val="en-US" w:eastAsia="zh-CN"/>
        </w:rPr>
      </w:pPr>
      <w:r>
        <w:rPr>
          <w:rFonts w:hint="eastAsia" w:ascii="宋体" w:hAnsi="宋体" w:eastAsia="宋体" w:cs="宋体"/>
          <w:snapToGrid w:val="0"/>
          <w:kern w:val="21"/>
          <w:sz w:val="24"/>
          <w:szCs w:val="24"/>
          <w:lang w:val="en-US" w:eastAsia="zh-CN"/>
        </w:rPr>
        <w:t>实现录取通知书模板所见即所得式、在线可拖拽的编辑方式服务；</w:t>
      </w:r>
    </w:p>
    <w:p w14:paraId="4C961E0B">
      <w:pPr>
        <w:pageBreakBefore w:val="0"/>
        <w:widowControl w:val="0"/>
        <w:numPr>
          <w:ilvl w:val="0"/>
          <w:numId w:val="6"/>
        </w:numPr>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snapToGrid w:val="0"/>
          <w:kern w:val="21"/>
          <w:sz w:val="24"/>
          <w:szCs w:val="24"/>
          <w:lang w:val="en-US" w:eastAsia="zh-CN"/>
        </w:rPr>
      </w:pPr>
      <w:r>
        <w:rPr>
          <w:rFonts w:hint="eastAsia" w:ascii="宋体" w:hAnsi="宋体" w:eastAsia="宋体" w:cs="宋体"/>
          <w:snapToGrid w:val="0"/>
          <w:kern w:val="21"/>
          <w:sz w:val="24"/>
          <w:szCs w:val="24"/>
          <w:lang w:val="en-US" w:eastAsia="zh-CN"/>
        </w:rPr>
        <w:t>支持在线发送电子版录取通知书，未注册学生可通过扫码获取电子通知书服务；</w:t>
      </w:r>
    </w:p>
    <w:p w14:paraId="4B03F7B2">
      <w:pPr>
        <w:pageBreakBefore w:val="0"/>
        <w:widowControl w:val="0"/>
        <w:numPr>
          <w:ilvl w:val="0"/>
          <w:numId w:val="6"/>
        </w:numPr>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snapToGrid w:val="0"/>
          <w:kern w:val="21"/>
          <w:sz w:val="24"/>
          <w:szCs w:val="24"/>
          <w:lang w:val="en-US" w:eastAsia="zh-CN"/>
        </w:rPr>
      </w:pPr>
      <w:r>
        <w:rPr>
          <w:rFonts w:hint="eastAsia" w:ascii="宋体" w:hAnsi="宋体" w:eastAsia="宋体" w:cs="宋体"/>
          <w:snapToGrid w:val="0"/>
          <w:kern w:val="21"/>
          <w:sz w:val="24"/>
          <w:szCs w:val="24"/>
          <w:lang w:val="en-US" w:eastAsia="zh-CN"/>
        </w:rPr>
        <w:t>招生报名相关数据统计服务。</w:t>
      </w:r>
    </w:p>
    <w:p w14:paraId="0ED05FA0">
      <w:pPr>
        <w:pageBreakBefore w:val="0"/>
        <w:widowControl w:val="0"/>
        <w:numPr>
          <w:ilvl w:val="0"/>
          <w:numId w:val="6"/>
        </w:numPr>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snapToGrid w:val="0"/>
          <w:kern w:val="21"/>
          <w:sz w:val="24"/>
          <w:szCs w:val="24"/>
        </w:rPr>
      </w:pPr>
      <w:r>
        <w:rPr>
          <w:rFonts w:hint="eastAsia" w:ascii="宋体" w:hAnsi="宋体" w:eastAsia="宋体" w:cs="宋体"/>
          <w:snapToGrid w:val="0"/>
          <w:kern w:val="21"/>
          <w:sz w:val="24"/>
          <w:szCs w:val="24"/>
        </w:rPr>
        <w:t>支持管理员端批量打印录取通知书；支持学生端打印录取通知书；支持二维码扫码查看电子录取通知书，管理员可查看电子通知书查看下载状态，并支持自定义设置通知书模板。</w:t>
      </w:r>
    </w:p>
    <w:p w14:paraId="58AAB3C6">
      <w:pPr>
        <w:pageBreakBefore w:val="0"/>
        <w:widowControl w:val="0"/>
        <w:numPr>
          <w:ilvl w:val="0"/>
          <w:numId w:val="6"/>
        </w:numPr>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snapToGrid w:val="0"/>
          <w:kern w:val="21"/>
          <w:sz w:val="24"/>
          <w:szCs w:val="24"/>
        </w:rPr>
      </w:pPr>
      <w:r>
        <w:rPr>
          <w:rFonts w:hint="eastAsia" w:ascii="宋体" w:hAnsi="宋体" w:eastAsia="宋体" w:cs="宋体"/>
          <w:snapToGrid w:val="0"/>
          <w:kern w:val="21"/>
          <w:sz w:val="24"/>
          <w:szCs w:val="24"/>
        </w:rPr>
        <w:t>支持单个或批量添加新生数据。</w:t>
      </w:r>
    </w:p>
    <w:p w14:paraId="60D96785">
      <w:pPr>
        <w:pageBreakBefore w:val="0"/>
        <w:widowControl w:val="0"/>
        <w:numPr>
          <w:ilvl w:val="0"/>
          <w:numId w:val="6"/>
        </w:numPr>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snapToGrid w:val="0"/>
          <w:kern w:val="21"/>
          <w:sz w:val="24"/>
          <w:szCs w:val="24"/>
        </w:rPr>
      </w:pPr>
      <w:r>
        <w:rPr>
          <w:rFonts w:hint="eastAsia" w:ascii="宋体" w:hAnsi="宋体" w:eastAsia="宋体" w:cs="宋体"/>
          <w:snapToGrid w:val="0"/>
          <w:kern w:val="21"/>
          <w:sz w:val="24"/>
          <w:szCs w:val="24"/>
        </w:rPr>
        <w:t>支持按年级、层次、专业等规则为新生分班；支持设置班主任，支持导入分班和手动调班，支持班级命名规则自定义，支持导出班级信息等功能。</w:t>
      </w:r>
    </w:p>
    <w:p w14:paraId="29B83A86">
      <w:pPr>
        <w:pageBreakBefore w:val="0"/>
        <w:widowControl w:val="0"/>
        <w:numPr>
          <w:ilvl w:val="0"/>
          <w:numId w:val="6"/>
        </w:numPr>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snapToGrid w:val="0"/>
          <w:kern w:val="21"/>
          <w:sz w:val="24"/>
          <w:szCs w:val="24"/>
        </w:rPr>
      </w:pPr>
      <w:r>
        <w:rPr>
          <w:rFonts w:hint="eastAsia" w:ascii="宋体" w:hAnsi="宋体" w:eastAsia="宋体" w:cs="宋体"/>
          <w:snapToGrid w:val="0"/>
          <w:kern w:val="21"/>
          <w:sz w:val="24"/>
          <w:szCs w:val="24"/>
        </w:rPr>
        <w:t>支持添加班主任</w:t>
      </w:r>
      <w:r>
        <w:rPr>
          <w:rFonts w:hint="eastAsia" w:ascii="宋体" w:hAnsi="宋体" w:eastAsia="宋体" w:cs="宋体"/>
          <w:snapToGrid w:val="0"/>
          <w:kern w:val="21"/>
          <w:sz w:val="24"/>
          <w:szCs w:val="24"/>
          <w:lang w:eastAsia="zh-Hans"/>
        </w:rPr>
        <w:t>信息</w:t>
      </w:r>
      <w:r>
        <w:rPr>
          <w:rFonts w:hint="eastAsia" w:ascii="宋体" w:hAnsi="宋体" w:eastAsia="宋体" w:cs="宋体"/>
          <w:snapToGrid w:val="0"/>
          <w:kern w:val="21"/>
          <w:sz w:val="24"/>
          <w:szCs w:val="24"/>
        </w:rPr>
        <w:t>，并且按照年级、专业、教学点等信息，将学生指派给对应班主任。</w:t>
      </w:r>
    </w:p>
    <w:p w14:paraId="2FF43E5B">
      <w:pPr>
        <w:pageBreakBefore w:val="0"/>
        <w:widowControl w:val="0"/>
        <w:numPr>
          <w:ilvl w:val="0"/>
          <w:numId w:val="6"/>
        </w:numPr>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snapToGrid w:val="0"/>
          <w:kern w:val="21"/>
          <w:sz w:val="24"/>
          <w:szCs w:val="24"/>
        </w:rPr>
      </w:pPr>
      <w:r>
        <w:rPr>
          <w:rFonts w:hint="eastAsia" w:ascii="宋体" w:hAnsi="宋体" w:eastAsia="宋体" w:cs="宋体"/>
          <w:snapToGrid w:val="0"/>
          <w:kern w:val="21"/>
          <w:sz w:val="24"/>
          <w:szCs w:val="24"/>
        </w:rPr>
        <w:t>支持</w:t>
      </w:r>
      <w:r>
        <w:rPr>
          <w:rFonts w:hint="eastAsia" w:ascii="宋体" w:hAnsi="宋体" w:eastAsia="宋体" w:cs="宋体"/>
          <w:snapToGrid w:val="0"/>
          <w:kern w:val="21"/>
          <w:sz w:val="24"/>
          <w:szCs w:val="24"/>
          <w:lang w:eastAsia="zh-Hans"/>
        </w:rPr>
        <w:t>学生</w:t>
      </w:r>
      <w:r>
        <w:rPr>
          <w:rFonts w:hint="eastAsia" w:ascii="宋体" w:hAnsi="宋体" w:eastAsia="宋体" w:cs="宋体"/>
          <w:snapToGrid w:val="0"/>
          <w:kern w:val="21"/>
          <w:sz w:val="24"/>
          <w:szCs w:val="24"/>
        </w:rPr>
        <w:t>进行人脸识别与录取照片比对。</w:t>
      </w:r>
    </w:p>
    <w:p w14:paraId="732009E8">
      <w:pPr>
        <w:pageBreakBefore w:val="0"/>
        <w:widowControl w:val="0"/>
        <w:numPr>
          <w:ilvl w:val="0"/>
          <w:numId w:val="6"/>
        </w:numPr>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snapToGrid w:val="0"/>
          <w:kern w:val="21"/>
          <w:sz w:val="24"/>
          <w:szCs w:val="24"/>
        </w:rPr>
      </w:pPr>
      <w:r>
        <w:rPr>
          <w:rFonts w:hint="eastAsia" w:ascii="宋体" w:hAnsi="宋体" w:eastAsia="宋体" w:cs="宋体"/>
          <w:snapToGrid w:val="0"/>
          <w:kern w:val="21"/>
          <w:sz w:val="24"/>
          <w:szCs w:val="24"/>
        </w:rPr>
        <w:t>支持专业之间、校外教学点之间的调剂。</w:t>
      </w:r>
    </w:p>
    <w:p w14:paraId="159C2C5B">
      <w:pPr>
        <w:pageBreakBefore w:val="0"/>
        <w:widowControl w:val="0"/>
        <w:numPr>
          <w:ilvl w:val="0"/>
          <w:numId w:val="6"/>
        </w:numPr>
        <w:kinsoku/>
        <w:wordWrap/>
        <w:overflowPunct/>
        <w:topLinePunct w:val="0"/>
        <w:autoSpaceDE/>
        <w:autoSpaceDN/>
        <w:bidi w:val="0"/>
        <w:adjustRightInd/>
        <w:snapToGrid/>
        <w:spacing w:after="0" w:afterLines="0" w:line="460" w:lineRule="exact"/>
        <w:ind w:left="0" w:leftChars="0" w:firstLine="480" w:firstLineChars="200"/>
        <w:jc w:val="both"/>
        <w:textAlignment w:val="auto"/>
        <w:rPr>
          <w:rFonts w:hint="eastAsia" w:ascii="宋体" w:hAnsi="宋体" w:eastAsia="宋体" w:cs="宋体"/>
          <w:snapToGrid w:val="0"/>
          <w:kern w:val="21"/>
          <w:sz w:val="24"/>
          <w:szCs w:val="24"/>
          <w:lang w:val="en-US" w:eastAsia="zh-CN" w:bidi="ar-SA"/>
        </w:rPr>
      </w:pPr>
      <w:r>
        <w:rPr>
          <w:rFonts w:hint="eastAsia" w:ascii="宋体" w:hAnsi="宋体" w:eastAsia="宋体" w:cs="宋体"/>
          <w:snapToGrid w:val="0"/>
          <w:kern w:val="21"/>
          <w:sz w:val="24"/>
          <w:szCs w:val="24"/>
          <w:lang w:val="en-US" w:eastAsia="zh-CN" w:bidi="ar-SA"/>
        </w:rPr>
        <w:t>助考管理：支持免费提供视频版考前辅导资料。</w:t>
      </w:r>
    </w:p>
    <w:p w14:paraId="3E085BF6">
      <w:pPr>
        <w:pStyle w:val="2"/>
        <w:bidi w:val="0"/>
        <w:jc w:val="left"/>
        <w:rPr>
          <w:rFonts w:hint="eastAsia" w:ascii="宋体" w:hAnsi="宋体" w:eastAsia="宋体" w:cs="宋体"/>
          <w:sz w:val="24"/>
          <w:szCs w:val="24"/>
          <w:lang w:val="en-US" w:eastAsia="zh-CN"/>
        </w:rPr>
      </w:pPr>
      <w:bookmarkStart w:id="766" w:name="_Toc27994"/>
      <w:r>
        <w:rPr>
          <w:rFonts w:hint="eastAsia" w:ascii="宋体" w:hAnsi="宋体" w:eastAsia="宋体" w:cs="宋体"/>
          <w:sz w:val="24"/>
          <w:szCs w:val="24"/>
          <w:lang w:val="en-US" w:eastAsia="zh-CN"/>
        </w:rPr>
        <w:t>二、学籍管理服务</w:t>
      </w:r>
      <w:bookmarkEnd w:id="766"/>
    </w:p>
    <w:p w14:paraId="19E11EFA">
      <w:pPr>
        <w:pStyle w:val="3"/>
        <w:bidi w:val="0"/>
        <w:rPr>
          <w:rFonts w:hint="eastAsia" w:ascii="宋体" w:hAnsi="宋体" w:eastAsia="宋体" w:cs="宋体"/>
          <w:sz w:val="24"/>
          <w:szCs w:val="24"/>
          <w:lang w:val="en-US" w:eastAsia="zh-CN"/>
        </w:rPr>
      </w:pPr>
      <w:bookmarkStart w:id="767" w:name="_Toc18070"/>
      <w:r>
        <w:rPr>
          <w:rFonts w:hint="eastAsia" w:ascii="宋体" w:hAnsi="宋体" w:eastAsia="宋体" w:cs="宋体"/>
          <w:sz w:val="24"/>
          <w:szCs w:val="24"/>
          <w:lang w:val="en-US" w:eastAsia="zh-CN"/>
        </w:rPr>
        <w:t>1、成本指标</w:t>
      </w:r>
      <w:bookmarkEnd w:id="767"/>
    </w:p>
    <w:p w14:paraId="7C2F64D6">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学籍管理服务</w:t>
      </w:r>
    </w:p>
    <w:p w14:paraId="326B8926">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2、数量指标</w:t>
      </w:r>
    </w:p>
    <w:p w14:paraId="1A33D3A3">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提供教学及学籍管理服务学生人数≥1800人</w:t>
      </w:r>
    </w:p>
    <w:p w14:paraId="66D13A41">
      <w:pPr>
        <w:pStyle w:val="3"/>
        <w:bidi w:val="0"/>
        <w:rPr>
          <w:rFonts w:hint="eastAsia" w:ascii="宋体" w:hAnsi="宋体" w:eastAsia="宋体" w:cs="宋体"/>
          <w:sz w:val="24"/>
          <w:szCs w:val="24"/>
          <w:lang w:val="en-US" w:eastAsia="zh-CN"/>
        </w:rPr>
      </w:pPr>
      <w:bookmarkStart w:id="768" w:name="_Toc10009"/>
      <w:r>
        <w:rPr>
          <w:rFonts w:hint="eastAsia" w:ascii="宋体" w:hAnsi="宋体" w:eastAsia="宋体" w:cs="宋体"/>
          <w:sz w:val="24"/>
          <w:szCs w:val="24"/>
          <w:lang w:val="en-US" w:eastAsia="zh-CN"/>
        </w:rPr>
        <w:t>3、质量指标</w:t>
      </w:r>
      <w:bookmarkEnd w:id="768"/>
    </w:p>
    <w:p w14:paraId="7AA2344C">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提供教学及学籍管理服务学生覆盖率≥95%</w:t>
      </w:r>
    </w:p>
    <w:p w14:paraId="1EFBA87B">
      <w:pPr>
        <w:keepNext/>
        <w:keepLines/>
        <w:widowControl w:val="0"/>
        <w:numPr>
          <w:ilvl w:val="0"/>
          <w:numId w:val="0"/>
        </w:numPr>
        <w:bidi w:val="0"/>
        <w:spacing w:before="260" w:beforeLines="0" w:beforeAutospacing="0" w:after="260" w:afterLines="0" w:afterAutospacing="0" w:line="413" w:lineRule="auto"/>
        <w:ind w:leftChars="0"/>
        <w:jc w:val="left"/>
        <w:outlineLvl w:val="1"/>
        <w:rPr>
          <w:rFonts w:hint="eastAsia" w:ascii="宋体" w:hAnsi="宋体" w:eastAsia="宋体" w:cs="宋体"/>
          <w:b/>
          <w:kern w:val="2"/>
          <w:sz w:val="24"/>
          <w:szCs w:val="24"/>
          <w:lang w:val="en-US" w:eastAsia="zh-CN" w:bidi="ar-SA"/>
        </w:rPr>
      </w:pPr>
      <w:bookmarkStart w:id="769" w:name="_Toc3094"/>
      <w:r>
        <w:rPr>
          <w:rFonts w:hint="eastAsia" w:ascii="宋体" w:hAnsi="宋体" w:eastAsia="宋体" w:cs="宋体"/>
          <w:b/>
          <w:kern w:val="2"/>
          <w:sz w:val="24"/>
          <w:szCs w:val="24"/>
          <w:lang w:val="en-US" w:eastAsia="zh-CN" w:bidi="ar-SA"/>
        </w:rPr>
        <w:t>4、服务内容</w:t>
      </w:r>
      <w:bookmarkEnd w:id="769"/>
    </w:p>
    <w:p w14:paraId="1B4DCC63">
      <w:pPr>
        <w:pageBreakBefore w:val="0"/>
        <w:widowControl w:val="0"/>
        <w:numPr>
          <w:ilvl w:val="0"/>
          <w:numId w:val="7"/>
        </w:numPr>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snapToGrid w:val="0"/>
          <w:kern w:val="21"/>
          <w:sz w:val="24"/>
          <w:szCs w:val="24"/>
          <w:lang w:val="en-US" w:eastAsia="zh-CN"/>
        </w:rPr>
      </w:pPr>
      <w:r>
        <w:rPr>
          <w:rFonts w:hint="eastAsia" w:ascii="宋体" w:hAnsi="宋体" w:eastAsia="宋体" w:cs="宋体"/>
          <w:snapToGrid w:val="0"/>
          <w:kern w:val="21"/>
          <w:sz w:val="24"/>
          <w:szCs w:val="24"/>
          <w:lang w:val="en-US" w:eastAsia="zh-CN"/>
        </w:rPr>
        <w:t>在籍学生学籍管理服务；</w:t>
      </w:r>
    </w:p>
    <w:p w14:paraId="48FBF92A">
      <w:pPr>
        <w:pageBreakBefore w:val="0"/>
        <w:widowControl w:val="0"/>
        <w:numPr>
          <w:ilvl w:val="0"/>
          <w:numId w:val="7"/>
        </w:numPr>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snapToGrid w:val="0"/>
          <w:kern w:val="21"/>
          <w:sz w:val="24"/>
          <w:szCs w:val="24"/>
          <w:lang w:val="en-US" w:eastAsia="zh-CN"/>
        </w:rPr>
      </w:pPr>
      <w:r>
        <w:rPr>
          <w:rFonts w:hint="eastAsia" w:ascii="宋体" w:hAnsi="宋体" w:eastAsia="宋体" w:cs="宋体"/>
          <w:snapToGrid w:val="0"/>
          <w:kern w:val="21"/>
          <w:sz w:val="24"/>
          <w:szCs w:val="24"/>
          <w:lang w:val="en-US" w:eastAsia="zh-CN"/>
        </w:rPr>
        <w:t>学籍异动管理服务：支持退学、休学、复学、转专业、转班级、取消学籍等学籍变动情况。</w:t>
      </w:r>
    </w:p>
    <w:p w14:paraId="0C0150A5">
      <w:pPr>
        <w:pageBreakBefore w:val="0"/>
        <w:widowControl w:val="0"/>
        <w:numPr>
          <w:ilvl w:val="0"/>
          <w:numId w:val="7"/>
        </w:numPr>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snapToGrid w:val="0"/>
          <w:kern w:val="21"/>
          <w:sz w:val="24"/>
          <w:szCs w:val="24"/>
          <w:lang w:val="en-US" w:eastAsia="zh-CN"/>
        </w:rPr>
      </w:pPr>
      <w:r>
        <w:rPr>
          <w:rFonts w:hint="eastAsia" w:ascii="宋体" w:hAnsi="宋体" w:eastAsia="宋体" w:cs="宋体"/>
          <w:snapToGrid w:val="0"/>
          <w:kern w:val="21"/>
          <w:sz w:val="24"/>
          <w:szCs w:val="24"/>
          <w:lang w:val="en-US" w:eastAsia="zh-CN"/>
        </w:rPr>
        <w:t>照片管理服务：支持批量上传学生照片及审核功能，支持学生自行上传照片由管理员审核功能；</w:t>
      </w:r>
    </w:p>
    <w:p w14:paraId="0DAE9F96">
      <w:pPr>
        <w:pageBreakBefore w:val="0"/>
        <w:widowControl w:val="0"/>
        <w:numPr>
          <w:ilvl w:val="0"/>
          <w:numId w:val="7"/>
        </w:numPr>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snapToGrid w:val="0"/>
          <w:kern w:val="21"/>
          <w:sz w:val="24"/>
          <w:szCs w:val="24"/>
          <w:lang w:val="en-US" w:eastAsia="zh-CN"/>
        </w:rPr>
      </w:pPr>
      <w:r>
        <w:rPr>
          <w:rFonts w:hint="eastAsia" w:ascii="宋体" w:hAnsi="宋体" w:eastAsia="宋体" w:cs="宋体"/>
          <w:snapToGrid w:val="0"/>
          <w:kern w:val="21"/>
          <w:sz w:val="24"/>
          <w:szCs w:val="24"/>
          <w:lang w:val="en-US" w:eastAsia="zh-CN"/>
        </w:rPr>
        <w:t>支持学历证明、学籍卡、成绩证明、在读证明的下载打印等服务；</w:t>
      </w:r>
    </w:p>
    <w:p w14:paraId="55646D5A">
      <w:pPr>
        <w:pageBreakBefore w:val="0"/>
        <w:widowControl w:val="0"/>
        <w:numPr>
          <w:ilvl w:val="0"/>
          <w:numId w:val="7"/>
        </w:numPr>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snapToGrid w:val="0"/>
          <w:kern w:val="21"/>
          <w:sz w:val="24"/>
          <w:szCs w:val="24"/>
        </w:rPr>
      </w:pPr>
      <w:r>
        <w:rPr>
          <w:rFonts w:hint="eastAsia" w:ascii="宋体" w:hAnsi="宋体" w:eastAsia="宋体" w:cs="宋体"/>
          <w:snapToGrid w:val="0"/>
          <w:kern w:val="21"/>
          <w:sz w:val="24"/>
          <w:szCs w:val="24"/>
        </w:rPr>
        <w:t>支持线上专升本学生资格审核，学信网反馈的信息导入平台自动标识以及通知学生。</w:t>
      </w:r>
    </w:p>
    <w:p w14:paraId="55CB1923">
      <w:pPr>
        <w:pageBreakBefore w:val="0"/>
        <w:widowControl w:val="0"/>
        <w:numPr>
          <w:ilvl w:val="0"/>
          <w:numId w:val="7"/>
        </w:numPr>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snapToGrid w:val="0"/>
          <w:kern w:val="21"/>
          <w:sz w:val="24"/>
          <w:szCs w:val="24"/>
        </w:rPr>
      </w:pPr>
      <w:r>
        <w:rPr>
          <w:rFonts w:hint="eastAsia" w:ascii="宋体" w:hAnsi="宋体" w:eastAsia="宋体" w:cs="宋体"/>
          <w:snapToGrid w:val="0"/>
          <w:kern w:val="21"/>
          <w:sz w:val="24"/>
          <w:szCs w:val="24"/>
        </w:rPr>
        <w:t>支持照片管理，设置照片合格标准（包括但不限于尺寸、像素等），入学照片和毕业照片批量、单个导入，自动检测是否符合要求，支持照片查询；支持自定义方式导出，包括但不限于学号、姓名、身份证号、学号+姓名等组合方式。</w:t>
      </w:r>
    </w:p>
    <w:p w14:paraId="6E3F1761">
      <w:pPr>
        <w:pageBreakBefore w:val="0"/>
        <w:widowControl w:val="0"/>
        <w:numPr>
          <w:ilvl w:val="0"/>
          <w:numId w:val="7"/>
        </w:numPr>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snapToGrid w:val="0"/>
          <w:kern w:val="21"/>
          <w:sz w:val="24"/>
          <w:szCs w:val="24"/>
        </w:rPr>
      </w:pPr>
      <w:r>
        <w:rPr>
          <w:rFonts w:hint="eastAsia" w:ascii="宋体" w:hAnsi="宋体" w:eastAsia="宋体" w:cs="宋体"/>
          <w:snapToGrid w:val="0"/>
          <w:kern w:val="21"/>
          <w:sz w:val="24"/>
          <w:szCs w:val="24"/>
        </w:rPr>
        <w:t>支持学籍异动，可自定义添加学籍异动类型、设置申请审核流程、设置审核通过变更信息等；支持异动支撑材料上传。</w:t>
      </w:r>
    </w:p>
    <w:p w14:paraId="5D4D48D6">
      <w:pPr>
        <w:pageBreakBefore w:val="0"/>
        <w:widowControl w:val="0"/>
        <w:numPr>
          <w:ilvl w:val="0"/>
          <w:numId w:val="7"/>
        </w:numPr>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snapToGrid w:val="0"/>
          <w:kern w:val="21"/>
          <w:sz w:val="24"/>
          <w:szCs w:val="24"/>
        </w:rPr>
      </w:pPr>
      <w:r>
        <w:rPr>
          <w:rFonts w:hint="eastAsia" w:ascii="宋体" w:hAnsi="宋体" w:eastAsia="宋体" w:cs="宋体"/>
          <w:snapToGrid w:val="0"/>
          <w:kern w:val="21"/>
          <w:sz w:val="24"/>
          <w:szCs w:val="24"/>
          <w:lang w:eastAsia="zh-Hans"/>
        </w:rPr>
        <w:t>支持</w:t>
      </w:r>
      <w:r>
        <w:rPr>
          <w:rFonts w:hint="eastAsia" w:ascii="宋体" w:hAnsi="宋体" w:eastAsia="宋体" w:cs="宋体"/>
          <w:snapToGrid w:val="0"/>
          <w:kern w:val="21"/>
          <w:sz w:val="24"/>
          <w:szCs w:val="24"/>
        </w:rPr>
        <w:t>异动流程管理：</w:t>
      </w:r>
      <w:r>
        <w:rPr>
          <w:rFonts w:hint="eastAsia" w:ascii="宋体" w:hAnsi="宋体" w:eastAsia="宋体" w:cs="宋体"/>
          <w:snapToGrid w:val="0"/>
          <w:kern w:val="21"/>
          <w:sz w:val="24"/>
          <w:szCs w:val="24"/>
          <w:lang w:eastAsia="zh-Hans"/>
        </w:rPr>
        <w:t>支持</w:t>
      </w:r>
      <w:r>
        <w:rPr>
          <w:rFonts w:hint="eastAsia" w:ascii="宋体" w:hAnsi="宋体" w:eastAsia="宋体" w:cs="宋体"/>
          <w:snapToGrid w:val="0"/>
          <w:kern w:val="21"/>
          <w:sz w:val="24"/>
          <w:szCs w:val="24"/>
        </w:rPr>
        <w:t>学校设置异动规则，满足多级审批，支持开始、结束时间设置，支持申请模板与申请须知发布，异动过程被系统记录；支持自定义申请、审核时是否需要签名，支持审批人电子签名留档等功能。</w:t>
      </w:r>
    </w:p>
    <w:p w14:paraId="2327C852">
      <w:pPr>
        <w:pageBreakBefore w:val="0"/>
        <w:widowControl w:val="0"/>
        <w:numPr>
          <w:ilvl w:val="0"/>
          <w:numId w:val="7"/>
        </w:numPr>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snapToGrid w:val="0"/>
          <w:kern w:val="21"/>
          <w:sz w:val="24"/>
          <w:szCs w:val="24"/>
        </w:rPr>
      </w:pPr>
      <w:r>
        <w:rPr>
          <w:rFonts w:hint="eastAsia" w:ascii="宋体" w:hAnsi="宋体" w:eastAsia="宋体" w:cs="宋体"/>
          <w:snapToGrid w:val="0"/>
          <w:kern w:val="21"/>
          <w:sz w:val="24"/>
          <w:szCs w:val="24"/>
        </w:rPr>
        <w:t>支持在线打印单个或多个学生学籍卡和个人成绩单；在线打印模板支持自定义设计。</w:t>
      </w:r>
    </w:p>
    <w:p w14:paraId="592CA927">
      <w:pPr>
        <w:pageBreakBefore w:val="0"/>
        <w:widowControl w:val="0"/>
        <w:numPr>
          <w:ilvl w:val="0"/>
          <w:numId w:val="7"/>
        </w:numPr>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snapToGrid w:val="0"/>
          <w:kern w:val="21"/>
          <w:sz w:val="24"/>
          <w:szCs w:val="24"/>
        </w:rPr>
      </w:pPr>
      <w:r>
        <w:rPr>
          <w:rFonts w:hint="eastAsia" w:ascii="宋体" w:hAnsi="宋体" w:eastAsia="宋体" w:cs="宋体"/>
          <w:snapToGrid w:val="0"/>
          <w:kern w:val="21"/>
          <w:sz w:val="24"/>
          <w:szCs w:val="24"/>
        </w:rPr>
        <w:t>支持各类证明材料打印；模板自定义设置及打印，支持用户自定义可配置的表格模版，例如录取通知书、毕业生登记表、学籍卡、毕业成绩单、毕业证书、学位证书、入学登记表等。</w:t>
      </w:r>
    </w:p>
    <w:p w14:paraId="2044322D">
      <w:pPr>
        <w:pStyle w:val="2"/>
        <w:bidi w:val="0"/>
        <w:jc w:val="left"/>
        <w:rPr>
          <w:rFonts w:hint="eastAsia" w:ascii="宋体" w:hAnsi="宋体" w:eastAsia="宋体" w:cs="宋体"/>
          <w:sz w:val="24"/>
          <w:szCs w:val="24"/>
          <w:lang w:val="en-US" w:eastAsia="zh-CN"/>
        </w:rPr>
      </w:pPr>
      <w:bookmarkStart w:id="770" w:name="_Toc10242"/>
      <w:r>
        <w:rPr>
          <w:rFonts w:hint="eastAsia" w:ascii="宋体" w:hAnsi="宋体" w:eastAsia="宋体" w:cs="宋体"/>
          <w:sz w:val="24"/>
          <w:szCs w:val="24"/>
          <w:lang w:val="en-US" w:eastAsia="zh-CN"/>
        </w:rPr>
        <w:t>三、教学管理服务</w:t>
      </w:r>
      <w:bookmarkEnd w:id="770"/>
    </w:p>
    <w:p w14:paraId="1CC85F5C">
      <w:pPr>
        <w:pStyle w:val="3"/>
        <w:bidi w:val="0"/>
        <w:rPr>
          <w:rFonts w:hint="eastAsia" w:ascii="宋体" w:hAnsi="宋体" w:eastAsia="宋体" w:cs="宋体"/>
          <w:sz w:val="24"/>
          <w:szCs w:val="24"/>
          <w:lang w:val="en-US" w:eastAsia="zh-CN"/>
        </w:rPr>
      </w:pPr>
      <w:bookmarkStart w:id="771" w:name="_Toc6218"/>
      <w:r>
        <w:rPr>
          <w:rFonts w:hint="eastAsia" w:ascii="宋体" w:hAnsi="宋体" w:eastAsia="宋体" w:cs="宋体"/>
          <w:sz w:val="24"/>
          <w:szCs w:val="24"/>
          <w:lang w:val="en-US" w:eastAsia="zh-CN"/>
        </w:rPr>
        <w:t>1、成本指标</w:t>
      </w:r>
      <w:bookmarkEnd w:id="771"/>
    </w:p>
    <w:p w14:paraId="1D92762D">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教学管理服务</w:t>
      </w:r>
    </w:p>
    <w:p w14:paraId="6B3DB777">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2、数量指标</w:t>
      </w:r>
    </w:p>
    <w:p w14:paraId="45DE2596">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提供教学及学籍管理服务学生人数≥1800人</w:t>
      </w:r>
    </w:p>
    <w:p w14:paraId="36BA7233">
      <w:pPr>
        <w:rPr>
          <w:rFonts w:hint="eastAsia" w:ascii="宋体" w:hAnsi="宋体" w:eastAsia="宋体" w:cs="宋体"/>
          <w:sz w:val="24"/>
          <w:szCs w:val="24"/>
          <w:highlight w:val="yellow"/>
          <w:lang w:val="en-US" w:eastAsia="zh-CN"/>
        </w:rPr>
      </w:pPr>
      <w:r>
        <w:rPr>
          <w:rFonts w:hint="eastAsia" w:ascii="宋体" w:hAnsi="宋体" w:eastAsia="宋体" w:cs="宋体"/>
          <w:sz w:val="24"/>
          <w:szCs w:val="24"/>
          <w:lang w:val="en-US" w:eastAsia="zh-CN"/>
        </w:rPr>
        <w:t>保障线上教学课程门数（包括直播、录播、视频课程）≥120门</w:t>
      </w:r>
    </w:p>
    <w:p w14:paraId="79C43AA3">
      <w:pPr>
        <w:pStyle w:val="3"/>
        <w:bidi w:val="0"/>
        <w:rPr>
          <w:rFonts w:hint="eastAsia" w:ascii="宋体" w:hAnsi="宋体" w:eastAsia="宋体" w:cs="宋体"/>
          <w:sz w:val="24"/>
          <w:szCs w:val="24"/>
          <w:lang w:val="en-US" w:eastAsia="zh-CN"/>
        </w:rPr>
      </w:pPr>
      <w:bookmarkStart w:id="772" w:name="_Toc19773"/>
      <w:r>
        <w:rPr>
          <w:rFonts w:hint="eastAsia" w:ascii="宋体" w:hAnsi="宋体" w:eastAsia="宋体" w:cs="宋体"/>
          <w:sz w:val="24"/>
          <w:szCs w:val="24"/>
          <w:lang w:val="en-US" w:eastAsia="zh-CN"/>
        </w:rPr>
        <w:t>3、质量指标</w:t>
      </w:r>
      <w:bookmarkEnd w:id="772"/>
    </w:p>
    <w:p w14:paraId="468FF4A5">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提供教学及学籍管理服务学生覆盖率≥95%</w:t>
      </w:r>
    </w:p>
    <w:p w14:paraId="344EC13F">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线上课程数量覆盖率≥90%</w:t>
      </w:r>
    </w:p>
    <w:p w14:paraId="10DA0176">
      <w:pPr>
        <w:keepNext/>
        <w:keepLines/>
        <w:widowControl w:val="0"/>
        <w:numPr>
          <w:ilvl w:val="0"/>
          <w:numId w:val="0"/>
        </w:numPr>
        <w:bidi w:val="0"/>
        <w:spacing w:before="260" w:beforeLines="0" w:beforeAutospacing="0" w:after="260" w:afterLines="0" w:afterAutospacing="0" w:line="413" w:lineRule="auto"/>
        <w:ind w:leftChars="0"/>
        <w:jc w:val="left"/>
        <w:outlineLvl w:val="1"/>
        <w:rPr>
          <w:rFonts w:hint="eastAsia" w:ascii="宋体" w:hAnsi="宋体" w:eastAsia="宋体" w:cs="宋体"/>
          <w:b/>
          <w:kern w:val="2"/>
          <w:sz w:val="24"/>
          <w:szCs w:val="24"/>
          <w:lang w:val="en-US" w:eastAsia="zh-CN" w:bidi="ar-SA"/>
        </w:rPr>
      </w:pPr>
      <w:bookmarkStart w:id="773" w:name="_Toc26414"/>
      <w:r>
        <w:rPr>
          <w:rFonts w:hint="eastAsia" w:ascii="宋体" w:hAnsi="宋体" w:eastAsia="宋体" w:cs="宋体"/>
          <w:b/>
          <w:kern w:val="2"/>
          <w:sz w:val="24"/>
          <w:szCs w:val="24"/>
          <w:lang w:val="en-US" w:eastAsia="zh-CN" w:bidi="ar-SA"/>
        </w:rPr>
        <w:t>4、服务内容</w:t>
      </w:r>
      <w:bookmarkEnd w:id="773"/>
    </w:p>
    <w:p w14:paraId="639D7B59">
      <w:pPr>
        <w:pageBreakBefore w:val="0"/>
        <w:widowControl w:val="0"/>
        <w:numPr>
          <w:ilvl w:val="0"/>
          <w:numId w:val="8"/>
        </w:numPr>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snapToGrid w:val="0"/>
          <w:kern w:val="21"/>
          <w:sz w:val="24"/>
          <w:szCs w:val="24"/>
          <w:lang w:val="en-US" w:eastAsia="zh-CN"/>
        </w:rPr>
      </w:pPr>
      <w:r>
        <w:rPr>
          <w:rFonts w:hint="eastAsia" w:ascii="宋体" w:hAnsi="宋体" w:eastAsia="宋体" w:cs="宋体"/>
          <w:snapToGrid w:val="0"/>
          <w:kern w:val="21"/>
          <w:sz w:val="24"/>
          <w:szCs w:val="24"/>
          <w:lang w:val="en-US" w:eastAsia="zh-CN"/>
        </w:rPr>
        <w:t>教学管理服务：管理年度专业信息，可批量导入和单个添加，实现在线排课、调课、考勤及统计课时信息等功能；</w:t>
      </w:r>
    </w:p>
    <w:p w14:paraId="5CA9DBC2">
      <w:pPr>
        <w:pageBreakBefore w:val="0"/>
        <w:widowControl w:val="0"/>
        <w:numPr>
          <w:ilvl w:val="0"/>
          <w:numId w:val="8"/>
        </w:numPr>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snapToGrid w:val="0"/>
          <w:kern w:val="21"/>
          <w:sz w:val="24"/>
          <w:szCs w:val="24"/>
          <w:lang w:val="en-US" w:eastAsia="zh-CN"/>
        </w:rPr>
      </w:pPr>
      <w:r>
        <w:rPr>
          <w:rFonts w:hint="eastAsia" w:ascii="宋体" w:hAnsi="宋体" w:eastAsia="宋体" w:cs="宋体"/>
          <w:snapToGrid w:val="0"/>
          <w:kern w:val="21"/>
          <w:sz w:val="24"/>
          <w:szCs w:val="24"/>
          <w:lang w:val="en-US" w:eastAsia="zh-CN"/>
        </w:rPr>
        <w:t>班级管理服务：可按年级、层次分班；</w:t>
      </w:r>
    </w:p>
    <w:p w14:paraId="2C387714">
      <w:pPr>
        <w:pageBreakBefore w:val="0"/>
        <w:widowControl w:val="0"/>
        <w:numPr>
          <w:ilvl w:val="0"/>
          <w:numId w:val="8"/>
        </w:numPr>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snapToGrid w:val="0"/>
          <w:kern w:val="21"/>
          <w:sz w:val="24"/>
          <w:szCs w:val="24"/>
          <w:lang w:val="en-US" w:eastAsia="zh-CN"/>
        </w:rPr>
      </w:pPr>
      <w:r>
        <w:rPr>
          <w:rFonts w:hint="eastAsia" w:ascii="宋体" w:hAnsi="宋体" w:eastAsia="宋体" w:cs="宋体"/>
          <w:snapToGrid w:val="0"/>
          <w:kern w:val="21"/>
          <w:sz w:val="24"/>
          <w:szCs w:val="24"/>
          <w:lang w:val="en-US" w:eastAsia="zh-CN"/>
        </w:rPr>
        <w:t>专业教学计划服务：设置学分、考核方式、课内学时、实践学时、自学学时管理等功能；</w:t>
      </w:r>
    </w:p>
    <w:p w14:paraId="2FBFD977">
      <w:pPr>
        <w:pageBreakBefore w:val="0"/>
        <w:widowControl w:val="0"/>
        <w:numPr>
          <w:ilvl w:val="0"/>
          <w:numId w:val="8"/>
        </w:numPr>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snapToGrid w:val="0"/>
          <w:kern w:val="21"/>
          <w:sz w:val="24"/>
          <w:szCs w:val="24"/>
          <w:lang w:val="en-US" w:eastAsia="zh-CN"/>
        </w:rPr>
      </w:pPr>
      <w:r>
        <w:rPr>
          <w:rFonts w:hint="eastAsia" w:ascii="宋体" w:hAnsi="宋体" w:eastAsia="宋体" w:cs="宋体"/>
          <w:snapToGrid w:val="0"/>
          <w:kern w:val="21"/>
          <w:sz w:val="24"/>
          <w:szCs w:val="24"/>
          <w:lang w:val="en-US" w:eastAsia="zh-CN"/>
        </w:rPr>
        <w:t>教师服务：教师可以浏览和上传课件、视频、作业、试卷，自制课程作业库，设置发布作业的时间及相关要求，在线批改作业、论文等；</w:t>
      </w:r>
    </w:p>
    <w:p w14:paraId="6B3D2F83">
      <w:pPr>
        <w:pageBreakBefore w:val="0"/>
        <w:widowControl w:val="0"/>
        <w:numPr>
          <w:ilvl w:val="0"/>
          <w:numId w:val="8"/>
        </w:numPr>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snapToGrid w:val="0"/>
          <w:kern w:val="21"/>
          <w:sz w:val="24"/>
          <w:szCs w:val="24"/>
          <w:lang w:val="en-US" w:eastAsia="zh-CN"/>
        </w:rPr>
      </w:pPr>
      <w:r>
        <w:rPr>
          <w:rFonts w:hint="eastAsia" w:ascii="宋体" w:hAnsi="宋体" w:eastAsia="宋体" w:cs="宋体"/>
          <w:snapToGrid w:val="0"/>
          <w:kern w:val="21"/>
          <w:sz w:val="24"/>
          <w:szCs w:val="24"/>
          <w:lang w:val="en-US" w:eastAsia="zh-CN"/>
        </w:rPr>
        <w:t>排课服务：能够根据培养方案实现线上排课，自动生成课程安排表及汇总表等。</w:t>
      </w:r>
    </w:p>
    <w:p w14:paraId="67F8D90E">
      <w:pPr>
        <w:pageBreakBefore w:val="0"/>
        <w:widowControl w:val="0"/>
        <w:numPr>
          <w:ilvl w:val="0"/>
          <w:numId w:val="8"/>
        </w:numPr>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snapToGrid w:val="0"/>
          <w:kern w:val="21"/>
          <w:sz w:val="24"/>
          <w:szCs w:val="24"/>
        </w:rPr>
      </w:pPr>
      <w:r>
        <w:rPr>
          <w:rFonts w:hint="eastAsia" w:ascii="宋体" w:hAnsi="宋体" w:eastAsia="宋体" w:cs="宋体"/>
          <w:snapToGrid w:val="0"/>
          <w:kern w:val="21"/>
          <w:sz w:val="24"/>
          <w:szCs w:val="24"/>
        </w:rPr>
        <w:t>支持管理，制定、执行、查看、</w:t>
      </w:r>
      <w:r>
        <w:rPr>
          <w:rFonts w:hint="eastAsia" w:ascii="宋体" w:hAnsi="宋体" w:eastAsia="宋体" w:cs="宋体"/>
          <w:snapToGrid w:val="0"/>
          <w:kern w:val="21"/>
          <w:sz w:val="24"/>
          <w:szCs w:val="24"/>
          <w:lang w:eastAsia="zh-Hans"/>
        </w:rPr>
        <w:t>修改</w:t>
      </w:r>
      <w:r>
        <w:rPr>
          <w:rFonts w:hint="eastAsia" w:ascii="宋体" w:hAnsi="宋体" w:eastAsia="宋体" w:cs="宋体"/>
          <w:snapToGrid w:val="0"/>
          <w:kern w:val="21"/>
          <w:sz w:val="24"/>
          <w:szCs w:val="24"/>
        </w:rPr>
        <w:t>教学计划。</w:t>
      </w:r>
    </w:p>
    <w:p w14:paraId="7AE7CA71">
      <w:pPr>
        <w:pageBreakBefore w:val="0"/>
        <w:widowControl w:val="0"/>
        <w:numPr>
          <w:ilvl w:val="0"/>
          <w:numId w:val="8"/>
        </w:numPr>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snapToGrid w:val="0"/>
          <w:kern w:val="21"/>
          <w:sz w:val="24"/>
          <w:szCs w:val="24"/>
        </w:rPr>
      </w:pPr>
      <w:r>
        <w:rPr>
          <w:rFonts w:hint="eastAsia" w:ascii="宋体" w:hAnsi="宋体" w:eastAsia="宋体" w:cs="宋体"/>
          <w:snapToGrid w:val="0"/>
          <w:kern w:val="21"/>
          <w:sz w:val="24"/>
          <w:szCs w:val="24"/>
        </w:rPr>
        <w:t>支持按照班级、个人统计学习进度。</w:t>
      </w:r>
    </w:p>
    <w:p w14:paraId="46323365">
      <w:pPr>
        <w:pageBreakBefore w:val="0"/>
        <w:widowControl w:val="0"/>
        <w:numPr>
          <w:ilvl w:val="0"/>
          <w:numId w:val="8"/>
        </w:numPr>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snapToGrid w:val="0"/>
          <w:kern w:val="21"/>
          <w:sz w:val="24"/>
          <w:szCs w:val="24"/>
        </w:rPr>
      </w:pPr>
      <w:r>
        <w:rPr>
          <w:rFonts w:hint="eastAsia" w:ascii="宋体" w:hAnsi="宋体" w:eastAsia="宋体" w:cs="宋体"/>
          <w:snapToGrid w:val="0"/>
          <w:kern w:val="21"/>
          <w:sz w:val="24"/>
          <w:szCs w:val="24"/>
        </w:rPr>
        <w:t>支持教师教学情况统计，系统需要能够记录和导出教师的教学行为，统计教师答疑情况和试卷批改情况，以便管理员跟踪教师的教学效果和进度，并在需要时提供支持。</w:t>
      </w:r>
    </w:p>
    <w:p w14:paraId="37DBB86F">
      <w:pPr>
        <w:pageBreakBefore w:val="0"/>
        <w:widowControl w:val="0"/>
        <w:numPr>
          <w:ilvl w:val="0"/>
          <w:numId w:val="8"/>
        </w:numPr>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snapToGrid w:val="0"/>
          <w:kern w:val="21"/>
          <w:sz w:val="24"/>
          <w:szCs w:val="24"/>
        </w:rPr>
      </w:pPr>
      <w:r>
        <w:rPr>
          <w:rFonts w:hint="eastAsia" w:ascii="宋体" w:hAnsi="宋体" w:eastAsia="宋体" w:cs="宋体"/>
          <w:snapToGrid w:val="0"/>
          <w:kern w:val="21"/>
          <w:sz w:val="24"/>
          <w:szCs w:val="24"/>
        </w:rPr>
        <w:t>支持按照视频观看数量、观看时长、作业完成分数等信息发送通知进行督学。</w:t>
      </w:r>
    </w:p>
    <w:p w14:paraId="212B90A1">
      <w:pPr>
        <w:pageBreakBefore w:val="0"/>
        <w:widowControl w:val="0"/>
        <w:numPr>
          <w:ilvl w:val="0"/>
          <w:numId w:val="8"/>
        </w:numPr>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snapToGrid w:val="0"/>
          <w:kern w:val="21"/>
          <w:sz w:val="24"/>
          <w:szCs w:val="24"/>
        </w:rPr>
      </w:pPr>
      <w:r>
        <w:rPr>
          <w:rFonts w:hint="eastAsia" w:ascii="宋体" w:hAnsi="宋体" w:eastAsia="宋体" w:cs="宋体"/>
          <w:snapToGrid w:val="0"/>
          <w:kern w:val="21"/>
          <w:sz w:val="24"/>
          <w:szCs w:val="24"/>
        </w:rPr>
        <w:t>支持课表管理，可以在线制作课程表；支持新增课表、批量导入课表、在线申请调课、审核，以日历形式展示课表。</w:t>
      </w:r>
    </w:p>
    <w:p w14:paraId="03A82935">
      <w:pPr>
        <w:pageBreakBefore w:val="0"/>
        <w:widowControl w:val="0"/>
        <w:numPr>
          <w:ilvl w:val="0"/>
          <w:numId w:val="8"/>
        </w:numPr>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snapToGrid w:val="0"/>
          <w:kern w:val="21"/>
          <w:sz w:val="24"/>
          <w:szCs w:val="24"/>
        </w:rPr>
      </w:pPr>
      <w:r>
        <w:rPr>
          <w:rFonts w:hint="eastAsia" w:ascii="宋体" w:hAnsi="宋体" w:eastAsia="宋体" w:cs="宋体"/>
          <w:snapToGrid w:val="0"/>
          <w:kern w:val="21"/>
          <w:sz w:val="24"/>
          <w:szCs w:val="24"/>
          <w:lang w:eastAsia="zh-Hans"/>
        </w:rPr>
        <w:t>支持</w:t>
      </w:r>
      <w:r>
        <w:rPr>
          <w:rFonts w:hint="eastAsia" w:ascii="宋体" w:hAnsi="宋体" w:eastAsia="宋体" w:cs="宋体"/>
          <w:snapToGrid w:val="0"/>
          <w:kern w:val="21"/>
          <w:sz w:val="24"/>
          <w:szCs w:val="24"/>
        </w:rPr>
        <w:t>学校教学安排统计，显示每学期各专业的课程安排数，以及各种考核类型设置的课程数统计；</w:t>
      </w:r>
    </w:p>
    <w:p w14:paraId="6D732BC5">
      <w:pPr>
        <w:pageBreakBefore w:val="0"/>
        <w:widowControl w:val="0"/>
        <w:numPr>
          <w:ilvl w:val="0"/>
          <w:numId w:val="8"/>
        </w:numPr>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snapToGrid w:val="0"/>
          <w:kern w:val="21"/>
          <w:sz w:val="24"/>
          <w:szCs w:val="24"/>
        </w:rPr>
      </w:pPr>
      <w:r>
        <w:rPr>
          <w:rFonts w:hint="eastAsia" w:ascii="宋体" w:hAnsi="宋体" w:eastAsia="宋体" w:cs="宋体"/>
          <w:snapToGrid w:val="0"/>
          <w:kern w:val="21"/>
          <w:sz w:val="24"/>
          <w:szCs w:val="24"/>
        </w:rPr>
        <w:t>支持</w:t>
      </w:r>
      <w:r>
        <w:rPr>
          <w:rFonts w:hint="eastAsia" w:ascii="宋体" w:hAnsi="宋体" w:eastAsia="宋体" w:cs="宋体"/>
          <w:snapToGrid w:val="0"/>
          <w:kern w:val="21"/>
          <w:sz w:val="24"/>
          <w:szCs w:val="24"/>
          <w:lang w:eastAsia="zh-Hans"/>
        </w:rPr>
        <w:t>管理员设置得分规则，</w:t>
      </w:r>
      <w:r>
        <w:rPr>
          <w:rFonts w:hint="eastAsia" w:ascii="宋体" w:hAnsi="宋体" w:eastAsia="宋体" w:cs="宋体"/>
          <w:snapToGrid w:val="0"/>
          <w:kern w:val="21"/>
          <w:sz w:val="24"/>
          <w:szCs w:val="24"/>
        </w:rPr>
        <w:t>包括课程视频、课程作业、讨论（发表或回复讨论权重）、直播录播观看、期末考试、面授考勤等</w:t>
      </w:r>
      <w:r>
        <w:rPr>
          <w:rFonts w:hint="eastAsia" w:ascii="宋体" w:hAnsi="宋体" w:eastAsia="宋体" w:cs="宋体"/>
          <w:snapToGrid w:val="0"/>
          <w:kern w:val="21"/>
          <w:sz w:val="24"/>
          <w:szCs w:val="24"/>
          <w:lang w:eastAsia="zh-Hans"/>
        </w:rPr>
        <w:t>分值</w:t>
      </w:r>
      <w:r>
        <w:rPr>
          <w:rFonts w:hint="eastAsia" w:ascii="宋体" w:hAnsi="宋体" w:eastAsia="宋体" w:cs="宋体"/>
          <w:snapToGrid w:val="0"/>
          <w:kern w:val="21"/>
          <w:sz w:val="24"/>
          <w:szCs w:val="24"/>
        </w:rPr>
        <w:t>。</w:t>
      </w:r>
    </w:p>
    <w:p w14:paraId="16B8D277">
      <w:pPr>
        <w:pageBreakBefore w:val="0"/>
        <w:widowControl w:val="0"/>
        <w:numPr>
          <w:ilvl w:val="0"/>
          <w:numId w:val="8"/>
        </w:numPr>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snapToGrid w:val="0"/>
          <w:kern w:val="21"/>
          <w:sz w:val="24"/>
          <w:szCs w:val="24"/>
          <w:lang w:val="en-US" w:eastAsia="zh-CN"/>
        </w:rPr>
      </w:pPr>
      <w:bookmarkStart w:id="774" w:name="_Toc26788"/>
      <w:r>
        <w:rPr>
          <w:rFonts w:hint="eastAsia" w:ascii="宋体" w:hAnsi="宋体" w:eastAsia="宋体" w:cs="宋体"/>
          <w:snapToGrid w:val="0"/>
          <w:kern w:val="21"/>
          <w:sz w:val="24"/>
          <w:szCs w:val="24"/>
          <w:lang w:val="en-US" w:eastAsia="zh-CN"/>
        </w:rPr>
        <w:t>在线作业</w:t>
      </w:r>
      <w:bookmarkEnd w:id="774"/>
    </w:p>
    <w:p w14:paraId="63A76FEB">
      <w:pPr>
        <w:pageBreakBefore w:val="0"/>
        <w:widowControl w:val="0"/>
        <w:numPr>
          <w:ilvl w:val="0"/>
          <w:numId w:val="9"/>
        </w:numPr>
        <w:kinsoku/>
        <w:wordWrap/>
        <w:overflowPunct/>
        <w:topLinePunct w:val="0"/>
        <w:autoSpaceDE/>
        <w:autoSpaceDN/>
        <w:bidi w:val="0"/>
        <w:adjustRightInd/>
        <w:snapToGrid/>
        <w:spacing w:after="120" w:afterLines="0" w:line="360" w:lineRule="auto"/>
        <w:ind w:left="425" w:leftChars="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支持自定义扩展题型、支持单题录入和多题导入，word文件和图片直接导入，并提供相应的操作说明。</w:t>
      </w:r>
    </w:p>
    <w:p w14:paraId="2B11F813">
      <w:pPr>
        <w:pageBreakBefore w:val="0"/>
        <w:widowControl w:val="0"/>
        <w:numPr>
          <w:ilvl w:val="0"/>
          <w:numId w:val="9"/>
        </w:numPr>
        <w:kinsoku/>
        <w:wordWrap/>
        <w:overflowPunct/>
        <w:topLinePunct w:val="0"/>
        <w:autoSpaceDE/>
        <w:autoSpaceDN/>
        <w:bidi w:val="0"/>
        <w:adjustRightInd/>
        <w:snapToGrid/>
        <w:spacing w:after="120" w:afterLines="0" w:line="360" w:lineRule="auto"/>
        <w:ind w:left="425" w:leftChars="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Hans" w:bidi="ar-SA"/>
        </w:rPr>
        <w:t>支持</w:t>
      </w:r>
      <w:r>
        <w:rPr>
          <w:rFonts w:hint="eastAsia" w:ascii="宋体" w:hAnsi="宋体" w:eastAsia="宋体" w:cs="宋体"/>
          <w:kern w:val="2"/>
          <w:sz w:val="24"/>
          <w:szCs w:val="24"/>
          <w:lang w:val="en-US" w:eastAsia="zh-CN" w:bidi="ar-SA"/>
        </w:rPr>
        <w:t>手工挑题组卷，</w:t>
      </w:r>
      <w:r>
        <w:rPr>
          <w:rFonts w:hint="eastAsia" w:ascii="宋体" w:hAnsi="宋体" w:eastAsia="宋体" w:cs="宋体"/>
          <w:kern w:val="2"/>
          <w:sz w:val="24"/>
          <w:szCs w:val="24"/>
          <w:lang w:val="en-US" w:eastAsia="zh-Hans" w:bidi="ar-SA"/>
        </w:rPr>
        <w:t>支持按照</w:t>
      </w:r>
      <w:r>
        <w:rPr>
          <w:rFonts w:hint="eastAsia" w:ascii="宋体" w:hAnsi="宋体" w:eastAsia="宋体" w:cs="宋体"/>
          <w:kern w:val="2"/>
          <w:sz w:val="24"/>
          <w:szCs w:val="24"/>
          <w:lang w:val="en-US" w:eastAsia="zh-CN" w:bidi="ar-SA"/>
        </w:rPr>
        <w:t>规则</w:t>
      </w:r>
      <w:r>
        <w:rPr>
          <w:rFonts w:hint="eastAsia" w:ascii="宋体" w:hAnsi="宋体" w:eastAsia="宋体" w:cs="宋体"/>
          <w:kern w:val="2"/>
          <w:sz w:val="24"/>
          <w:szCs w:val="24"/>
          <w:lang w:val="en-US" w:eastAsia="zh-Hans" w:bidi="ar-SA"/>
        </w:rPr>
        <w:t>要求</w:t>
      </w:r>
      <w:r>
        <w:rPr>
          <w:rFonts w:hint="eastAsia" w:ascii="宋体" w:hAnsi="宋体" w:eastAsia="宋体" w:cs="宋体"/>
          <w:kern w:val="2"/>
          <w:sz w:val="24"/>
          <w:szCs w:val="24"/>
          <w:lang w:val="en-US" w:eastAsia="zh-CN" w:bidi="ar-SA"/>
        </w:rPr>
        <w:t>系统自动生成试题；</w:t>
      </w:r>
      <w:r>
        <w:rPr>
          <w:rFonts w:hint="eastAsia" w:ascii="宋体" w:hAnsi="宋体" w:eastAsia="宋体" w:cs="宋体"/>
          <w:kern w:val="2"/>
          <w:sz w:val="24"/>
          <w:szCs w:val="24"/>
          <w:lang w:val="en-US" w:eastAsia="zh-Hans" w:bidi="ar-SA"/>
        </w:rPr>
        <w:t>须</w:t>
      </w:r>
      <w:r>
        <w:rPr>
          <w:rFonts w:hint="eastAsia" w:ascii="宋体" w:hAnsi="宋体" w:eastAsia="宋体" w:cs="宋体"/>
          <w:kern w:val="2"/>
          <w:sz w:val="24"/>
          <w:szCs w:val="24"/>
          <w:lang w:val="en-US" w:eastAsia="zh-CN" w:bidi="ar-SA"/>
        </w:rPr>
        <w:t>支持随机试卷和多科组卷；</w:t>
      </w:r>
      <w:r>
        <w:rPr>
          <w:rFonts w:hint="eastAsia" w:ascii="宋体" w:hAnsi="宋体" w:eastAsia="宋体" w:cs="宋体"/>
          <w:kern w:val="2"/>
          <w:sz w:val="24"/>
          <w:szCs w:val="24"/>
          <w:lang w:val="en-US" w:eastAsia="zh-Hans" w:bidi="ar-SA"/>
        </w:rPr>
        <w:t>支持</w:t>
      </w:r>
      <w:r>
        <w:rPr>
          <w:rFonts w:hint="eastAsia" w:ascii="宋体" w:hAnsi="宋体" w:eastAsia="宋体" w:cs="宋体"/>
          <w:kern w:val="2"/>
          <w:sz w:val="24"/>
          <w:szCs w:val="24"/>
          <w:lang w:val="en-US" w:eastAsia="zh-CN" w:bidi="ar-SA"/>
        </w:rPr>
        <w:t>自动生成试卷分析。</w:t>
      </w:r>
    </w:p>
    <w:p w14:paraId="26D8E16B">
      <w:pPr>
        <w:pageBreakBefore w:val="0"/>
        <w:widowControl w:val="0"/>
        <w:numPr>
          <w:ilvl w:val="0"/>
          <w:numId w:val="9"/>
        </w:numPr>
        <w:kinsoku/>
        <w:wordWrap/>
        <w:overflowPunct/>
        <w:topLinePunct w:val="0"/>
        <w:autoSpaceDE/>
        <w:autoSpaceDN/>
        <w:bidi w:val="0"/>
        <w:adjustRightInd/>
        <w:snapToGrid/>
        <w:spacing w:after="120" w:afterLines="0" w:line="360" w:lineRule="auto"/>
        <w:ind w:left="425" w:leftChars="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Hans" w:bidi="ar-SA"/>
        </w:rPr>
        <w:t>支持</w:t>
      </w:r>
      <w:r>
        <w:rPr>
          <w:rFonts w:hint="eastAsia" w:ascii="宋体" w:hAnsi="宋体" w:eastAsia="宋体" w:cs="宋体"/>
          <w:kern w:val="2"/>
          <w:sz w:val="24"/>
          <w:szCs w:val="24"/>
          <w:lang w:val="en-US" w:eastAsia="zh-CN" w:bidi="ar-SA"/>
        </w:rPr>
        <w:t>试卷导出模板设置，可将试卷导出用做线下考试使用。</w:t>
      </w:r>
    </w:p>
    <w:p w14:paraId="426E55C5">
      <w:pPr>
        <w:pageBreakBefore w:val="0"/>
        <w:widowControl w:val="0"/>
        <w:numPr>
          <w:ilvl w:val="0"/>
          <w:numId w:val="9"/>
        </w:numPr>
        <w:kinsoku/>
        <w:wordWrap/>
        <w:overflowPunct/>
        <w:topLinePunct w:val="0"/>
        <w:autoSpaceDE/>
        <w:autoSpaceDN/>
        <w:bidi w:val="0"/>
        <w:adjustRightInd/>
        <w:snapToGrid/>
        <w:spacing w:after="120" w:afterLines="0" w:line="360" w:lineRule="auto"/>
        <w:ind w:left="425" w:leftChars="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Hans" w:bidi="ar-SA"/>
        </w:rPr>
        <w:t>支持</w:t>
      </w:r>
      <w:r>
        <w:rPr>
          <w:rFonts w:hint="eastAsia" w:ascii="宋体" w:hAnsi="宋体" w:eastAsia="宋体" w:cs="宋体"/>
          <w:kern w:val="2"/>
          <w:sz w:val="24"/>
          <w:szCs w:val="24"/>
          <w:lang w:val="en-US" w:eastAsia="zh-CN" w:bidi="ar-SA"/>
        </w:rPr>
        <w:t>试题纠错管理功能。</w:t>
      </w:r>
    </w:p>
    <w:p w14:paraId="53A3020F">
      <w:pPr>
        <w:pageBreakBefore w:val="0"/>
        <w:widowControl w:val="0"/>
        <w:numPr>
          <w:ilvl w:val="0"/>
          <w:numId w:val="9"/>
        </w:numPr>
        <w:kinsoku/>
        <w:wordWrap/>
        <w:overflowPunct/>
        <w:topLinePunct w:val="0"/>
        <w:autoSpaceDE/>
        <w:autoSpaceDN/>
        <w:bidi w:val="0"/>
        <w:adjustRightInd/>
        <w:snapToGrid/>
        <w:spacing w:after="120" w:afterLines="0" w:line="360" w:lineRule="auto"/>
        <w:ind w:left="425" w:leftChars="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Hans" w:bidi="ar-SA"/>
        </w:rPr>
        <w:t>支持</w:t>
      </w:r>
      <w:r>
        <w:rPr>
          <w:rFonts w:hint="eastAsia" w:ascii="宋体" w:hAnsi="宋体" w:eastAsia="宋体" w:cs="宋体"/>
          <w:kern w:val="2"/>
          <w:sz w:val="24"/>
          <w:szCs w:val="24"/>
          <w:lang w:val="en-US" w:eastAsia="zh-CN" w:bidi="ar-SA"/>
        </w:rPr>
        <w:t>操作日志详细记录用户信息和操作时间。</w:t>
      </w:r>
    </w:p>
    <w:p w14:paraId="09FA6AFB">
      <w:pPr>
        <w:pStyle w:val="2"/>
        <w:bidi w:val="0"/>
        <w:jc w:val="left"/>
        <w:rPr>
          <w:rFonts w:hint="eastAsia" w:ascii="宋体" w:hAnsi="宋体" w:eastAsia="宋体" w:cs="宋体"/>
          <w:sz w:val="24"/>
          <w:szCs w:val="24"/>
          <w:lang w:val="en-US" w:eastAsia="zh-CN"/>
        </w:rPr>
      </w:pPr>
      <w:bookmarkStart w:id="775" w:name="_Toc20591"/>
      <w:r>
        <w:rPr>
          <w:rFonts w:hint="eastAsia" w:ascii="宋体" w:hAnsi="宋体" w:eastAsia="宋体" w:cs="宋体"/>
          <w:sz w:val="24"/>
          <w:szCs w:val="24"/>
          <w:lang w:val="en-US" w:eastAsia="zh-CN"/>
        </w:rPr>
        <w:t>四、考务管理服务</w:t>
      </w:r>
      <w:bookmarkEnd w:id="775"/>
    </w:p>
    <w:p w14:paraId="2253B8BB">
      <w:pPr>
        <w:pStyle w:val="3"/>
        <w:bidi w:val="0"/>
        <w:rPr>
          <w:rFonts w:hint="eastAsia" w:ascii="宋体" w:hAnsi="宋体" w:eastAsia="宋体" w:cs="宋体"/>
          <w:sz w:val="24"/>
          <w:szCs w:val="24"/>
          <w:lang w:val="en-US" w:eastAsia="zh-CN"/>
        </w:rPr>
      </w:pPr>
      <w:bookmarkStart w:id="776" w:name="_Toc2848"/>
      <w:r>
        <w:rPr>
          <w:rFonts w:hint="eastAsia" w:ascii="宋体" w:hAnsi="宋体" w:eastAsia="宋体" w:cs="宋体"/>
          <w:sz w:val="24"/>
          <w:szCs w:val="24"/>
          <w:lang w:val="en-US" w:eastAsia="zh-CN"/>
        </w:rPr>
        <w:t>1、成本指标</w:t>
      </w:r>
      <w:bookmarkEnd w:id="776"/>
    </w:p>
    <w:p w14:paraId="6547301A">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考务管理服务</w:t>
      </w:r>
    </w:p>
    <w:p w14:paraId="12476C50">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2、数量指标</w:t>
      </w:r>
    </w:p>
    <w:p w14:paraId="559757F7">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保障线上考试课程门数≥120门</w:t>
      </w:r>
    </w:p>
    <w:p w14:paraId="40D7055C">
      <w:pPr>
        <w:pStyle w:val="3"/>
        <w:bidi w:val="0"/>
        <w:rPr>
          <w:rFonts w:hint="eastAsia" w:ascii="宋体" w:hAnsi="宋体" w:eastAsia="宋体" w:cs="宋体"/>
          <w:sz w:val="24"/>
          <w:szCs w:val="24"/>
          <w:lang w:val="en-US" w:eastAsia="zh-CN"/>
        </w:rPr>
      </w:pPr>
      <w:bookmarkStart w:id="777" w:name="_Toc25754"/>
      <w:r>
        <w:rPr>
          <w:rFonts w:hint="eastAsia" w:ascii="宋体" w:hAnsi="宋体" w:eastAsia="宋体" w:cs="宋体"/>
          <w:sz w:val="24"/>
          <w:szCs w:val="24"/>
          <w:lang w:val="en-US" w:eastAsia="zh-CN"/>
        </w:rPr>
        <w:t>3、质量指标</w:t>
      </w:r>
      <w:bookmarkEnd w:id="777"/>
    </w:p>
    <w:p w14:paraId="767DA8C5">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线上考试课程数量覆盖率≥95%</w:t>
      </w:r>
    </w:p>
    <w:p w14:paraId="2414A0DC">
      <w:pPr>
        <w:keepNext/>
        <w:keepLines/>
        <w:widowControl w:val="0"/>
        <w:numPr>
          <w:ilvl w:val="0"/>
          <w:numId w:val="0"/>
        </w:numPr>
        <w:bidi w:val="0"/>
        <w:spacing w:before="260" w:beforeLines="0" w:beforeAutospacing="0" w:after="260" w:afterLines="0" w:afterAutospacing="0" w:line="413" w:lineRule="auto"/>
        <w:ind w:leftChars="0"/>
        <w:jc w:val="left"/>
        <w:outlineLvl w:val="1"/>
        <w:rPr>
          <w:rFonts w:hint="eastAsia" w:ascii="宋体" w:hAnsi="宋体" w:eastAsia="宋体" w:cs="宋体"/>
          <w:b/>
          <w:kern w:val="2"/>
          <w:sz w:val="24"/>
          <w:szCs w:val="24"/>
          <w:lang w:val="en-US" w:eastAsia="zh-CN" w:bidi="ar-SA"/>
        </w:rPr>
      </w:pPr>
      <w:bookmarkStart w:id="778" w:name="_Toc13496"/>
      <w:r>
        <w:rPr>
          <w:rFonts w:hint="eastAsia" w:ascii="宋体" w:hAnsi="宋体" w:eastAsia="宋体" w:cs="宋体"/>
          <w:b/>
          <w:kern w:val="2"/>
          <w:sz w:val="24"/>
          <w:szCs w:val="24"/>
          <w:lang w:val="en-US" w:eastAsia="zh-CN" w:bidi="ar-SA"/>
        </w:rPr>
        <w:t>4、服务内容</w:t>
      </w:r>
      <w:bookmarkEnd w:id="778"/>
    </w:p>
    <w:p w14:paraId="349E717B">
      <w:pPr>
        <w:numPr>
          <w:ilvl w:val="0"/>
          <w:numId w:val="10"/>
        </w:numPr>
        <w:ind w:left="0"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线上线下考试服务：包括机考、纸考、在线考试等；线下考试设置考场安排，支持学生自主约考，管理员统一约考；实现自动排考：自定义考场，支持考场信息管理、考场混排设置，可实现按一键自动排考，批量导入考试安排数据，自主排考等三种模式；</w:t>
      </w:r>
    </w:p>
    <w:p w14:paraId="13317F79">
      <w:pPr>
        <w:numPr>
          <w:ilvl w:val="0"/>
          <w:numId w:val="10"/>
        </w:numPr>
        <w:ind w:left="0"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考试报名服务：支持学生自主报名，集体报名，老师批量导入，报名身份证认证与审核等服务；支持系统审核和人工审核服务；</w:t>
      </w:r>
    </w:p>
    <w:p w14:paraId="6711B0DD">
      <w:pPr>
        <w:numPr>
          <w:ilvl w:val="0"/>
          <w:numId w:val="10"/>
        </w:numPr>
        <w:ind w:left="0"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考试过程服务：支持设置考试承诺书模板，重置考生考试，管理学生身份证照片，设置考试须知内容、签署考试承诺书、导出学生考试承诺书，自动生成准考证号，批量清除准考证号服务。</w:t>
      </w:r>
    </w:p>
    <w:p w14:paraId="6684FB21">
      <w:pPr>
        <w:numPr>
          <w:ilvl w:val="0"/>
          <w:numId w:val="10"/>
        </w:numPr>
        <w:ind w:left="0"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监考服务：支持自定义考试人脸识别阈值标准；考试安全防作弊体系：自主限制考场ip范围，自主设定考生端防作弊规范，监控学生切屏复制等异常操作。实时在线视频巡考，监控学生作答，支持记录异常行为并向学生发送警告等服务。</w:t>
      </w:r>
    </w:p>
    <w:p w14:paraId="3B466037">
      <w:pPr>
        <w:numPr>
          <w:ilvl w:val="0"/>
          <w:numId w:val="10"/>
        </w:numPr>
        <w:ind w:left="0"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阅卷服务：支持客观题自动阅卷主观题辅助阅卷服务。</w:t>
      </w:r>
    </w:p>
    <w:p w14:paraId="6D46E3F4">
      <w:pPr>
        <w:pStyle w:val="2"/>
        <w:bidi w:val="0"/>
        <w:jc w:val="left"/>
        <w:rPr>
          <w:rFonts w:hint="eastAsia" w:ascii="宋体" w:hAnsi="宋体" w:eastAsia="宋体" w:cs="宋体"/>
          <w:sz w:val="24"/>
          <w:szCs w:val="24"/>
          <w:lang w:val="en-US" w:eastAsia="zh-CN"/>
        </w:rPr>
      </w:pPr>
      <w:bookmarkStart w:id="779" w:name="_Toc815"/>
      <w:r>
        <w:rPr>
          <w:rFonts w:hint="eastAsia" w:ascii="宋体" w:hAnsi="宋体" w:eastAsia="宋体" w:cs="宋体"/>
          <w:sz w:val="24"/>
          <w:szCs w:val="24"/>
          <w:lang w:val="en-US" w:eastAsia="zh-CN"/>
        </w:rPr>
        <w:t>五、智慧论文服务</w:t>
      </w:r>
      <w:bookmarkEnd w:id="779"/>
    </w:p>
    <w:p w14:paraId="4613455D">
      <w:pPr>
        <w:pStyle w:val="3"/>
        <w:bidi w:val="0"/>
        <w:rPr>
          <w:rFonts w:hint="eastAsia" w:ascii="宋体" w:hAnsi="宋体" w:eastAsia="宋体" w:cs="宋体"/>
          <w:sz w:val="24"/>
          <w:szCs w:val="24"/>
          <w:lang w:val="en-US" w:eastAsia="zh-CN"/>
        </w:rPr>
      </w:pPr>
      <w:bookmarkStart w:id="780" w:name="_Toc7686"/>
      <w:r>
        <w:rPr>
          <w:rFonts w:hint="eastAsia" w:ascii="宋体" w:hAnsi="宋体" w:eastAsia="宋体" w:cs="宋体"/>
          <w:sz w:val="24"/>
          <w:szCs w:val="24"/>
          <w:lang w:val="en-US" w:eastAsia="zh-CN"/>
        </w:rPr>
        <w:t>1、成本指标</w:t>
      </w:r>
      <w:bookmarkEnd w:id="780"/>
    </w:p>
    <w:p w14:paraId="2468D380">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智慧论文服务</w:t>
      </w:r>
    </w:p>
    <w:p w14:paraId="18E8BA1A">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2、数量指标</w:t>
      </w:r>
    </w:p>
    <w:p w14:paraId="736643EE">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保障提供≥900名学生的智慧论文服务</w:t>
      </w:r>
    </w:p>
    <w:p w14:paraId="2541014E">
      <w:pPr>
        <w:pStyle w:val="3"/>
        <w:bidi w:val="0"/>
        <w:rPr>
          <w:rFonts w:hint="eastAsia" w:ascii="宋体" w:hAnsi="宋体" w:eastAsia="宋体" w:cs="宋体"/>
          <w:sz w:val="24"/>
          <w:szCs w:val="24"/>
          <w:lang w:val="en-US" w:eastAsia="zh-CN"/>
        </w:rPr>
      </w:pPr>
      <w:bookmarkStart w:id="781" w:name="_Toc12987"/>
      <w:r>
        <w:rPr>
          <w:rFonts w:hint="eastAsia" w:ascii="宋体" w:hAnsi="宋体" w:eastAsia="宋体" w:cs="宋体"/>
          <w:sz w:val="24"/>
          <w:szCs w:val="24"/>
          <w:lang w:val="en-US" w:eastAsia="zh-CN"/>
        </w:rPr>
        <w:t>3、质量指标</w:t>
      </w:r>
      <w:bookmarkEnd w:id="781"/>
    </w:p>
    <w:p w14:paraId="16FF6968">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智慧论文服务人数覆盖率≥95%</w:t>
      </w:r>
    </w:p>
    <w:p w14:paraId="3397995C">
      <w:pPr>
        <w:keepNext/>
        <w:keepLines/>
        <w:widowControl w:val="0"/>
        <w:numPr>
          <w:ilvl w:val="0"/>
          <w:numId w:val="0"/>
        </w:numPr>
        <w:bidi w:val="0"/>
        <w:spacing w:before="260" w:beforeLines="0" w:beforeAutospacing="0" w:after="260" w:afterLines="0" w:afterAutospacing="0" w:line="413" w:lineRule="auto"/>
        <w:ind w:leftChars="0"/>
        <w:jc w:val="left"/>
        <w:outlineLvl w:val="1"/>
        <w:rPr>
          <w:rFonts w:hint="eastAsia" w:ascii="宋体" w:hAnsi="宋体" w:eastAsia="宋体" w:cs="宋体"/>
          <w:b/>
          <w:kern w:val="2"/>
          <w:sz w:val="24"/>
          <w:szCs w:val="24"/>
          <w:lang w:val="en-US" w:eastAsia="zh-CN" w:bidi="ar-SA"/>
        </w:rPr>
      </w:pPr>
      <w:bookmarkStart w:id="782" w:name="_Toc7459"/>
      <w:r>
        <w:rPr>
          <w:rFonts w:hint="eastAsia" w:ascii="宋体" w:hAnsi="宋体" w:eastAsia="宋体" w:cs="宋体"/>
          <w:b/>
          <w:kern w:val="2"/>
          <w:sz w:val="24"/>
          <w:szCs w:val="24"/>
          <w:lang w:val="en-US" w:eastAsia="zh-CN" w:bidi="ar-SA"/>
        </w:rPr>
        <w:t>4、服务内容</w:t>
      </w:r>
      <w:bookmarkEnd w:id="782"/>
    </w:p>
    <w:p w14:paraId="079EE599">
      <w:pPr>
        <w:pStyle w:val="4"/>
        <w:numPr>
          <w:ilvl w:val="0"/>
          <w:numId w:val="0"/>
        </w:numPr>
        <w:tabs>
          <w:tab w:val="clear" w:pos="425"/>
          <w:tab w:val="clear" w:pos="709"/>
        </w:tabs>
        <w:bidi w:val="0"/>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1.内容概述</w:t>
      </w:r>
    </w:p>
    <w:p w14:paraId="7903D838">
      <w:pPr>
        <w:pageBreakBefore w:val="0"/>
        <w:widowControl w:val="0"/>
        <w:numPr>
          <w:ilvl w:val="0"/>
          <w:numId w:val="11"/>
        </w:numPr>
        <w:kinsoku/>
        <w:wordWrap/>
        <w:overflowPunct/>
        <w:topLinePunct w:val="0"/>
        <w:autoSpaceDE/>
        <w:autoSpaceDN/>
        <w:bidi w:val="0"/>
        <w:adjustRightInd/>
        <w:snapToGrid/>
        <w:ind w:left="425"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论文指导助手服务：实现论文格式检测及修改功能，以及内容评阅指导辅助服务；</w:t>
      </w:r>
    </w:p>
    <w:p w14:paraId="78201D2C">
      <w:pPr>
        <w:pageBreakBefore w:val="0"/>
        <w:widowControl w:val="0"/>
        <w:numPr>
          <w:ilvl w:val="0"/>
          <w:numId w:val="11"/>
        </w:numPr>
        <w:kinsoku/>
        <w:wordWrap/>
        <w:overflowPunct/>
        <w:topLinePunct w:val="0"/>
        <w:autoSpaceDE/>
        <w:autoSpaceDN/>
        <w:bidi w:val="0"/>
        <w:adjustRightInd/>
        <w:snapToGrid/>
        <w:ind w:left="425"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论文要求管理服务：针对每个专业设置并发布相关的论文过程资料文件；</w:t>
      </w:r>
    </w:p>
    <w:p w14:paraId="402F8FC0">
      <w:pPr>
        <w:pageBreakBefore w:val="0"/>
        <w:widowControl w:val="0"/>
        <w:numPr>
          <w:ilvl w:val="0"/>
          <w:numId w:val="11"/>
        </w:numPr>
        <w:kinsoku/>
        <w:wordWrap/>
        <w:overflowPunct/>
        <w:topLinePunct w:val="0"/>
        <w:autoSpaceDE/>
        <w:autoSpaceDN/>
        <w:bidi w:val="0"/>
        <w:adjustRightInd/>
        <w:snapToGrid/>
        <w:ind w:left="425"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论文提交时间设置：依次是论文开题报告截止时间、中期检查截止时间、终稿提交时间等；</w:t>
      </w:r>
    </w:p>
    <w:p w14:paraId="1B106465">
      <w:pPr>
        <w:pageBreakBefore w:val="0"/>
        <w:widowControl w:val="0"/>
        <w:numPr>
          <w:ilvl w:val="0"/>
          <w:numId w:val="11"/>
        </w:numPr>
        <w:kinsoku/>
        <w:wordWrap/>
        <w:overflowPunct/>
        <w:topLinePunct w:val="0"/>
        <w:autoSpaceDE/>
        <w:autoSpaceDN/>
        <w:bidi w:val="0"/>
        <w:adjustRightInd/>
        <w:snapToGrid/>
        <w:ind w:left="425"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指导老师设置服务：支持指导老师分配设置，保证论文指导的高效化和优质化；</w:t>
      </w:r>
    </w:p>
    <w:p w14:paraId="2E785FFB">
      <w:pPr>
        <w:pageBreakBefore w:val="0"/>
        <w:widowControl w:val="0"/>
        <w:numPr>
          <w:ilvl w:val="0"/>
          <w:numId w:val="11"/>
        </w:numPr>
        <w:kinsoku/>
        <w:wordWrap/>
        <w:overflowPunct/>
        <w:topLinePunct w:val="0"/>
        <w:autoSpaceDE/>
        <w:autoSpaceDN/>
        <w:bidi w:val="0"/>
        <w:adjustRightInd/>
        <w:snapToGrid/>
        <w:ind w:left="425"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论文批次设置服务:支持论文批次设置，能对指定批次的学生论文进行批量添加、撤销并导出数据；</w:t>
      </w:r>
    </w:p>
    <w:p w14:paraId="1A2EE98A">
      <w:pPr>
        <w:pageBreakBefore w:val="0"/>
        <w:widowControl w:val="0"/>
        <w:numPr>
          <w:ilvl w:val="0"/>
          <w:numId w:val="11"/>
        </w:numPr>
        <w:kinsoku/>
        <w:wordWrap/>
        <w:overflowPunct/>
        <w:topLinePunct w:val="0"/>
        <w:autoSpaceDE/>
        <w:autoSpaceDN/>
        <w:bidi w:val="0"/>
        <w:adjustRightInd/>
        <w:snapToGrid/>
        <w:ind w:left="425"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论文信息查询服务：可以查询学生论文的进度、论文存档信息、指导老师评语、学生论文成绩等；</w:t>
      </w:r>
    </w:p>
    <w:p w14:paraId="6CB8712F">
      <w:pPr>
        <w:pageBreakBefore w:val="0"/>
        <w:widowControl w:val="0"/>
        <w:numPr>
          <w:ilvl w:val="0"/>
          <w:numId w:val="11"/>
        </w:numPr>
        <w:kinsoku/>
        <w:wordWrap/>
        <w:overflowPunct/>
        <w:topLinePunct w:val="0"/>
        <w:autoSpaceDE/>
        <w:autoSpaceDN/>
        <w:bidi w:val="0"/>
        <w:adjustRightInd/>
        <w:snapToGrid/>
        <w:ind w:left="425"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论文开题报告管理服务：在线提交开题报告及论文，支持批量审核与下载批阅；</w:t>
      </w:r>
    </w:p>
    <w:p w14:paraId="6382AB7E">
      <w:pPr>
        <w:pageBreakBefore w:val="0"/>
        <w:widowControl w:val="0"/>
        <w:numPr>
          <w:ilvl w:val="0"/>
          <w:numId w:val="11"/>
        </w:numPr>
        <w:kinsoku/>
        <w:wordWrap/>
        <w:overflowPunct/>
        <w:topLinePunct w:val="0"/>
        <w:autoSpaceDE/>
        <w:autoSpaceDN/>
        <w:bidi w:val="0"/>
        <w:adjustRightInd/>
        <w:snapToGrid/>
        <w:ind w:left="425"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论文成绩发布服务：支持自定义论文成绩或等级标准，自动生成及发布论文成绩；</w:t>
      </w:r>
    </w:p>
    <w:p w14:paraId="6C8E174E">
      <w:pPr>
        <w:pageBreakBefore w:val="0"/>
        <w:widowControl w:val="0"/>
        <w:numPr>
          <w:ilvl w:val="0"/>
          <w:numId w:val="11"/>
        </w:numPr>
        <w:kinsoku/>
        <w:wordWrap/>
        <w:overflowPunct/>
        <w:topLinePunct w:val="0"/>
        <w:autoSpaceDE/>
        <w:autoSpaceDN/>
        <w:bidi w:val="0"/>
        <w:adjustRightInd/>
        <w:snapToGrid/>
        <w:ind w:left="425"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论文批改服务：支持指导老师在线批阅，指导痕迹全程记录。</w:t>
      </w:r>
    </w:p>
    <w:p w14:paraId="46149C15">
      <w:pPr>
        <w:keepNext/>
        <w:keepLines/>
        <w:pageBreakBefore w:val="0"/>
        <w:widowControl w:val="0"/>
        <w:numPr>
          <w:ilvl w:val="0"/>
          <w:numId w:val="0"/>
        </w:numPr>
        <w:kinsoku/>
        <w:wordWrap/>
        <w:overflowPunct/>
        <w:topLinePunct w:val="0"/>
        <w:autoSpaceDE/>
        <w:autoSpaceDN/>
        <w:bidi w:val="0"/>
        <w:adjustRightInd/>
        <w:snapToGrid/>
        <w:spacing w:before="260" w:beforeLines="0" w:beforeAutospacing="0" w:after="260" w:afterLines="0" w:afterAutospacing="0" w:line="413" w:lineRule="auto"/>
        <w:jc w:val="left"/>
        <w:textAlignment w:val="auto"/>
        <w:outlineLvl w:val="2"/>
        <w:rPr>
          <w:rFonts w:hint="eastAsia" w:ascii="宋体" w:hAnsi="宋体" w:eastAsia="宋体" w:cs="宋体"/>
          <w:b/>
          <w:kern w:val="2"/>
          <w:sz w:val="24"/>
          <w:szCs w:val="24"/>
          <w:lang w:val="en-US" w:eastAsia="zh-CN" w:bidi="ar-SA"/>
        </w:rPr>
      </w:pPr>
      <w:bookmarkStart w:id="783" w:name="_Toc23593"/>
      <w:bookmarkStart w:id="784" w:name="_Toc28835"/>
      <w:bookmarkStart w:id="785" w:name="_Toc1408910974"/>
      <w:bookmarkStart w:id="786" w:name="_Toc19055"/>
      <w:r>
        <w:rPr>
          <w:rFonts w:hint="eastAsia" w:ascii="宋体" w:hAnsi="宋体" w:eastAsia="宋体" w:cs="宋体"/>
          <w:b/>
          <w:kern w:val="2"/>
          <w:sz w:val="24"/>
          <w:szCs w:val="24"/>
          <w:lang w:val="en-US" w:eastAsia="zh-CN" w:bidi="ar-SA"/>
        </w:rPr>
        <w:t>2.过程管理</w:t>
      </w:r>
      <w:bookmarkEnd w:id="783"/>
      <w:bookmarkEnd w:id="784"/>
      <w:bookmarkEnd w:id="785"/>
      <w:bookmarkEnd w:id="786"/>
    </w:p>
    <w:p w14:paraId="19B64142">
      <w:pPr>
        <w:pageBreakBefore w:val="0"/>
        <w:widowControl w:val="0"/>
        <w:numPr>
          <w:ilvl w:val="0"/>
          <w:numId w:val="12"/>
        </w:numPr>
        <w:kinsoku/>
        <w:wordWrap/>
        <w:overflowPunct/>
        <w:topLinePunct w:val="0"/>
        <w:autoSpaceDE/>
        <w:autoSpaceDN/>
        <w:bidi w:val="0"/>
        <w:adjustRightInd/>
        <w:snapToGrid/>
        <w:ind w:left="-415" w:leftChars="0" w:firstLine="480" w:firstLineChars="200"/>
        <w:textAlignment w:val="auto"/>
        <w:rPr>
          <w:rFonts w:hint="eastAsia" w:ascii="宋体" w:hAnsi="宋体" w:eastAsia="宋体" w:cs="宋体"/>
          <w:sz w:val="24"/>
          <w:szCs w:val="24"/>
          <w:lang w:val="en-US" w:eastAsia="zh-CN"/>
        </w:rPr>
      </w:pPr>
      <w:bookmarkStart w:id="787" w:name="_Toc26719"/>
      <w:bookmarkStart w:id="788" w:name="_Toc32264"/>
      <w:bookmarkStart w:id="789" w:name="_Toc1412048196"/>
      <w:bookmarkStart w:id="790" w:name="_Toc15105"/>
      <w:r>
        <w:rPr>
          <w:rFonts w:hint="eastAsia" w:ascii="宋体" w:hAnsi="宋体" w:eastAsia="宋体" w:cs="宋体"/>
          <w:sz w:val="24"/>
          <w:szCs w:val="24"/>
          <w:lang w:val="en-US" w:eastAsia="zh-CN"/>
        </w:rPr>
        <w:t>流程管理</w:t>
      </w:r>
      <w:bookmarkEnd w:id="787"/>
      <w:bookmarkEnd w:id="788"/>
      <w:bookmarkEnd w:id="789"/>
      <w:bookmarkEnd w:id="790"/>
    </w:p>
    <w:p w14:paraId="43A64DA2">
      <w:pPr>
        <w:pageBreakBefore w:val="0"/>
        <w:widowControl w:val="0"/>
        <w:numPr>
          <w:ilvl w:val="0"/>
          <w:numId w:val="13"/>
        </w:numPr>
        <w:kinsoku/>
        <w:wordWrap/>
        <w:overflowPunct/>
        <w:topLinePunct w:val="0"/>
        <w:autoSpaceDE/>
        <w:autoSpaceDN/>
        <w:bidi w:val="0"/>
        <w:adjustRightInd/>
        <w:snapToGrid/>
        <w:ind w:left="425"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支持自定义论文批次与学生范围，学校可以逐批次地启动和监控论文流程，确保每个环节的顺利进行；</w:t>
      </w:r>
    </w:p>
    <w:p w14:paraId="18E2F976">
      <w:pPr>
        <w:pageBreakBefore w:val="0"/>
        <w:widowControl w:val="0"/>
        <w:numPr>
          <w:ilvl w:val="0"/>
          <w:numId w:val="13"/>
        </w:numPr>
        <w:kinsoku/>
        <w:wordWrap/>
        <w:overflowPunct/>
        <w:topLinePunct w:val="0"/>
        <w:autoSpaceDE/>
        <w:autoSpaceDN/>
        <w:bidi w:val="0"/>
        <w:adjustRightInd/>
        <w:snapToGrid/>
        <w:ind w:left="425"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实现不同批次论文写作流程自定义设置；</w:t>
      </w:r>
    </w:p>
    <w:p w14:paraId="4FD2D5DD">
      <w:pPr>
        <w:pageBreakBefore w:val="0"/>
        <w:widowControl w:val="0"/>
        <w:numPr>
          <w:ilvl w:val="0"/>
          <w:numId w:val="13"/>
        </w:numPr>
        <w:kinsoku/>
        <w:wordWrap/>
        <w:overflowPunct/>
        <w:topLinePunct w:val="0"/>
        <w:autoSpaceDE/>
        <w:autoSpaceDN/>
        <w:bidi w:val="0"/>
        <w:adjustRightInd/>
        <w:snapToGrid/>
        <w:ind w:left="425"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自定义论文通过标准；</w:t>
      </w:r>
    </w:p>
    <w:p w14:paraId="7138CDAD">
      <w:pPr>
        <w:pageBreakBefore w:val="0"/>
        <w:widowControl w:val="0"/>
        <w:numPr>
          <w:ilvl w:val="0"/>
          <w:numId w:val="13"/>
        </w:numPr>
        <w:kinsoku/>
        <w:wordWrap/>
        <w:overflowPunct/>
        <w:topLinePunct w:val="0"/>
        <w:autoSpaceDE/>
        <w:autoSpaceDN/>
        <w:bidi w:val="0"/>
        <w:adjustRightInd/>
        <w:snapToGrid/>
        <w:ind w:left="425"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支持开启论文格式检测，可设置格式检测模板范围、上传方式等，保证论文的质量和学术水平；</w:t>
      </w:r>
    </w:p>
    <w:p w14:paraId="2C3943EA">
      <w:pPr>
        <w:pageBreakBefore w:val="0"/>
        <w:widowControl w:val="0"/>
        <w:numPr>
          <w:ilvl w:val="0"/>
          <w:numId w:val="13"/>
        </w:numPr>
        <w:kinsoku/>
        <w:wordWrap/>
        <w:overflowPunct/>
        <w:topLinePunct w:val="0"/>
        <w:autoSpaceDE/>
        <w:autoSpaceDN/>
        <w:bidi w:val="0"/>
        <w:adjustRightInd/>
        <w:snapToGrid/>
        <w:ind w:left="425"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统一管理论文批次下学生，支持批量加入与撤回。</w:t>
      </w:r>
    </w:p>
    <w:p w14:paraId="06513A39">
      <w:pPr>
        <w:pageBreakBefore w:val="0"/>
        <w:widowControl w:val="0"/>
        <w:numPr>
          <w:ilvl w:val="0"/>
          <w:numId w:val="12"/>
        </w:numPr>
        <w:kinsoku/>
        <w:wordWrap/>
        <w:overflowPunct/>
        <w:topLinePunct w:val="0"/>
        <w:autoSpaceDE/>
        <w:autoSpaceDN/>
        <w:bidi w:val="0"/>
        <w:adjustRightInd/>
        <w:snapToGrid/>
        <w:ind w:left="-415" w:leftChars="0" w:firstLine="480" w:firstLineChars="200"/>
        <w:textAlignment w:val="auto"/>
        <w:rPr>
          <w:rFonts w:hint="eastAsia" w:ascii="宋体" w:hAnsi="宋体" w:eastAsia="宋体" w:cs="宋体"/>
          <w:sz w:val="24"/>
          <w:szCs w:val="24"/>
          <w:lang w:val="en-US" w:eastAsia="zh-CN"/>
        </w:rPr>
      </w:pPr>
      <w:bookmarkStart w:id="791" w:name="_Toc28389"/>
      <w:bookmarkStart w:id="792" w:name="_Toc3648"/>
      <w:bookmarkStart w:id="793" w:name="_Toc30970"/>
      <w:bookmarkStart w:id="794" w:name="_Toc452247175"/>
      <w:r>
        <w:rPr>
          <w:rFonts w:hint="eastAsia" w:ascii="宋体" w:hAnsi="宋体" w:eastAsia="宋体" w:cs="宋体"/>
          <w:sz w:val="24"/>
          <w:szCs w:val="24"/>
          <w:lang w:val="en-US" w:eastAsia="zh-CN"/>
        </w:rPr>
        <w:t>资料管理与发布</w:t>
      </w:r>
      <w:bookmarkEnd w:id="791"/>
      <w:bookmarkEnd w:id="792"/>
      <w:bookmarkEnd w:id="793"/>
      <w:bookmarkEnd w:id="794"/>
    </w:p>
    <w:p w14:paraId="00B9F329">
      <w:pPr>
        <w:pageBreakBefore w:val="0"/>
        <w:widowControl w:val="0"/>
        <w:numPr>
          <w:ilvl w:val="0"/>
          <w:numId w:val="14"/>
        </w:numPr>
        <w:kinsoku/>
        <w:wordWrap/>
        <w:overflowPunct/>
        <w:topLinePunct w:val="0"/>
        <w:autoSpaceDE/>
        <w:autoSpaceDN/>
        <w:bidi w:val="0"/>
        <w:adjustRightInd/>
        <w:snapToGrid/>
        <w:ind w:left="425"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支持发布各环节资料模板供学生参考，学生下载后可提交资料；</w:t>
      </w:r>
    </w:p>
    <w:p w14:paraId="425B7C74">
      <w:pPr>
        <w:pageBreakBefore w:val="0"/>
        <w:widowControl w:val="0"/>
        <w:numPr>
          <w:ilvl w:val="0"/>
          <w:numId w:val="14"/>
        </w:numPr>
        <w:kinsoku/>
        <w:wordWrap/>
        <w:overflowPunct/>
        <w:topLinePunct w:val="0"/>
        <w:autoSpaceDE/>
        <w:autoSpaceDN/>
        <w:bidi w:val="0"/>
        <w:adjustRightInd/>
        <w:snapToGrid/>
        <w:ind w:left="425"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可依据学校要求设置不同类型过程资料，设置是否进行审核，支持批量下载与审核；</w:t>
      </w:r>
    </w:p>
    <w:p w14:paraId="6CB2B644">
      <w:pPr>
        <w:pageBreakBefore w:val="0"/>
        <w:widowControl w:val="0"/>
        <w:numPr>
          <w:ilvl w:val="0"/>
          <w:numId w:val="14"/>
        </w:numPr>
        <w:kinsoku/>
        <w:wordWrap/>
        <w:overflowPunct/>
        <w:topLinePunct w:val="0"/>
        <w:autoSpaceDE/>
        <w:autoSpaceDN/>
        <w:bidi w:val="0"/>
        <w:adjustRightInd/>
        <w:snapToGrid/>
        <w:ind w:left="425"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数据备份与恢复：定期自动备份所有模板和相关数据，以防数据丢失，同时提供数据恢复功能。</w:t>
      </w:r>
    </w:p>
    <w:p w14:paraId="6528A52E">
      <w:pPr>
        <w:pageBreakBefore w:val="0"/>
        <w:widowControl w:val="0"/>
        <w:numPr>
          <w:ilvl w:val="0"/>
          <w:numId w:val="12"/>
        </w:numPr>
        <w:kinsoku/>
        <w:wordWrap/>
        <w:overflowPunct/>
        <w:topLinePunct w:val="0"/>
        <w:autoSpaceDE/>
        <w:autoSpaceDN/>
        <w:bidi w:val="0"/>
        <w:adjustRightInd/>
        <w:snapToGrid/>
        <w:ind w:left="-415" w:leftChars="0" w:firstLine="480" w:firstLineChars="200"/>
        <w:textAlignment w:val="auto"/>
        <w:rPr>
          <w:rFonts w:hint="eastAsia" w:ascii="宋体" w:hAnsi="宋体" w:eastAsia="宋体" w:cs="宋体"/>
          <w:sz w:val="24"/>
          <w:szCs w:val="24"/>
          <w:lang w:val="en-US" w:eastAsia="zh-CN"/>
        </w:rPr>
      </w:pPr>
      <w:bookmarkStart w:id="795" w:name="_Toc26092"/>
      <w:bookmarkStart w:id="796" w:name="_Toc27425"/>
      <w:bookmarkStart w:id="797" w:name="_Toc380"/>
      <w:bookmarkStart w:id="798" w:name="_Toc973643492"/>
      <w:r>
        <w:rPr>
          <w:rFonts w:hint="eastAsia" w:ascii="宋体" w:hAnsi="宋体" w:eastAsia="宋体" w:cs="宋体"/>
          <w:sz w:val="24"/>
          <w:szCs w:val="24"/>
          <w:lang w:val="en-US" w:eastAsia="zh-CN"/>
        </w:rPr>
        <w:t>教师分配与选题</w:t>
      </w:r>
      <w:bookmarkEnd w:id="795"/>
      <w:bookmarkEnd w:id="796"/>
      <w:bookmarkEnd w:id="797"/>
      <w:bookmarkEnd w:id="798"/>
    </w:p>
    <w:p w14:paraId="55998825">
      <w:pPr>
        <w:pageBreakBefore w:val="0"/>
        <w:widowControl w:val="0"/>
        <w:numPr>
          <w:ilvl w:val="0"/>
          <w:numId w:val="15"/>
        </w:numPr>
        <w:kinsoku/>
        <w:wordWrap/>
        <w:overflowPunct/>
        <w:topLinePunct w:val="0"/>
        <w:autoSpaceDE/>
        <w:autoSpaceDN/>
        <w:bidi w:val="0"/>
        <w:adjustRightInd/>
        <w:snapToGrid/>
        <w:ind w:left="425"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支持实现论文指导教师与评审老师分配业务及相关查询的管理，支持批量分配、批量取消及批量导入；</w:t>
      </w:r>
    </w:p>
    <w:p w14:paraId="7391E5DE">
      <w:pPr>
        <w:pageBreakBefore w:val="0"/>
        <w:widowControl w:val="0"/>
        <w:numPr>
          <w:ilvl w:val="0"/>
          <w:numId w:val="15"/>
        </w:numPr>
        <w:kinsoku/>
        <w:wordWrap/>
        <w:overflowPunct/>
        <w:topLinePunct w:val="0"/>
        <w:autoSpaceDE/>
        <w:autoSpaceDN/>
        <w:bidi w:val="0"/>
        <w:adjustRightInd/>
        <w:snapToGrid/>
        <w:ind w:left="425"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工作量均衡考虑：在分配过程中，通过系统管理，能更准确的把握每位教师的指导与评审工作量，避免个别教师负担过重，保证工作分配的公平性；</w:t>
      </w:r>
    </w:p>
    <w:p w14:paraId="4D514E0F">
      <w:pPr>
        <w:pageBreakBefore w:val="0"/>
        <w:widowControl w:val="0"/>
        <w:numPr>
          <w:ilvl w:val="0"/>
          <w:numId w:val="15"/>
        </w:numPr>
        <w:kinsoku/>
        <w:wordWrap/>
        <w:overflowPunct/>
        <w:topLinePunct w:val="0"/>
        <w:autoSpaceDE/>
        <w:autoSpaceDN/>
        <w:bidi w:val="0"/>
        <w:adjustRightInd/>
        <w:snapToGrid/>
        <w:ind w:left="425"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支持学生自选或老师指定题目，学生可以自己选择题目，等待老师应答，老师可以指定学生选题，包括研究方向、撰写语种等；</w:t>
      </w:r>
    </w:p>
    <w:p w14:paraId="77179416">
      <w:pPr>
        <w:pageBreakBefore w:val="0"/>
        <w:widowControl w:val="0"/>
        <w:numPr>
          <w:ilvl w:val="0"/>
          <w:numId w:val="15"/>
        </w:numPr>
        <w:kinsoku/>
        <w:wordWrap/>
        <w:overflowPunct/>
        <w:topLinePunct w:val="0"/>
        <w:autoSpaceDE/>
        <w:autoSpaceDN/>
        <w:bidi w:val="0"/>
        <w:adjustRightInd/>
        <w:snapToGrid/>
        <w:ind w:left="425"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支持批量导入选题信息，特别是在指导大规模学生团队时，大大节省时间和精力；</w:t>
      </w:r>
    </w:p>
    <w:p w14:paraId="0CAA7356">
      <w:pPr>
        <w:pageBreakBefore w:val="0"/>
        <w:widowControl w:val="0"/>
        <w:numPr>
          <w:ilvl w:val="0"/>
          <w:numId w:val="15"/>
        </w:numPr>
        <w:kinsoku/>
        <w:wordWrap/>
        <w:overflowPunct/>
        <w:topLinePunct w:val="0"/>
        <w:autoSpaceDE/>
        <w:autoSpaceDN/>
        <w:bidi w:val="0"/>
        <w:adjustRightInd/>
        <w:snapToGrid/>
        <w:ind w:left="425"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批量导出选题数据，便于学校存档和统计分析。</w:t>
      </w:r>
    </w:p>
    <w:p w14:paraId="58633EA9">
      <w:pPr>
        <w:pageBreakBefore w:val="0"/>
        <w:widowControl w:val="0"/>
        <w:numPr>
          <w:ilvl w:val="0"/>
          <w:numId w:val="12"/>
        </w:numPr>
        <w:kinsoku/>
        <w:wordWrap/>
        <w:overflowPunct/>
        <w:topLinePunct w:val="0"/>
        <w:autoSpaceDE/>
        <w:autoSpaceDN/>
        <w:bidi w:val="0"/>
        <w:adjustRightInd/>
        <w:snapToGrid/>
        <w:ind w:left="-415" w:leftChars="0" w:firstLine="480" w:firstLineChars="200"/>
        <w:textAlignment w:val="auto"/>
        <w:rPr>
          <w:rFonts w:hint="eastAsia" w:ascii="宋体" w:hAnsi="宋体" w:eastAsia="宋体" w:cs="宋体"/>
          <w:sz w:val="24"/>
          <w:szCs w:val="24"/>
          <w:lang w:val="en-US" w:eastAsia="zh-CN"/>
        </w:rPr>
      </w:pPr>
      <w:bookmarkStart w:id="799" w:name="_Toc7604"/>
      <w:bookmarkStart w:id="800" w:name="_Toc3409"/>
      <w:bookmarkStart w:id="801" w:name="_Toc200779904"/>
      <w:bookmarkStart w:id="802" w:name="_Toc9647"/>
      <w:r>
        <w:rPr>
          <w:rFonts w:hint="eastAsia" w:ascii="宋体" w:hAnsi="宋体" w:eastAsia="宋体" w:cs="宋体"/>
          <w:sz w:val="24"/>
          <w:szCs w:val="24"/>
          <w:lang w:val="en-US" w:eastAsia="zh-CN"/>
        </w:rPr>
        <w:t>指导过程管理</w:t>
      </w:r>
      <w:bookmarkEnd w:id="799"/>
      <w:bookmarkEnd w:id="800"/>
      <w:bookmarkEnd w:id="801"/>
      <w:bookmarkEnd w:id="802"/>
    </w:p>
    <w:p w14:paraId="0E0D15E2">
      <w:pPr>
        <w:pageBreakBefore w:val="0"/>
        <w:widowControl w:val="0"/>
        <w:numPr>
          <w:ilvl w:val="0"/>
          <w:numId w:val="16"/>
        </w:numPr>
        <w:kinsoku/>
        <w:wordWrap/>
        <w:overflowPunct/>
        <w:topLinePunct w:val="0"/>
        <w:autoSpaceDE/>
        <w:autoSpaceDN/>
        <w:bidi w:val="0"/>
        <w:adjustRightInd/>
        <w:snapToGrid/>
        <w:ind w:left="425"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学生可在线提交开题报告、中期报告、毕业论文（初稿、二稿、终稿）等毕业论文撰写过程中的文档内容；</w:t>
      </w:r>
    </w:p>
    <w:p w14:paraId="68CD144F">
      <w:pPr>
        <w:pageBreakBefore w:val="0"/>
        <w:widowControl w:val="0"/>
        <w:numPr>
          <w:ilvl w:val="0"/>
          <w:numId w:val="16"/>
        </w:numPr>
        <w:kinsoku/>
        <w:wordWrap/>
        <w:overflowPunct/>
        <w:topLinePunct w:val="0"/>
        <w:autoSpaceDE/>
        <w:autoSpaceDN/>
        <w:bidi w:val="0"/>
        <w:adjustRightInd/>
        <w:snapToGrid/>
        <w:ind w:left="425"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实现学生论文开题报告管理，支持指导老师下载批阅与评审老师批量审核；</w:t>
      </w:r>
    </w:p>
    <w:p w14:paraId="4EF25A24">
      <w:pPr>
        <w:pageBreakBefore w:val="0"/>
        <w:widowControl w:val="0"/>
        <w:numPr>
          <w:ilvl w:val="0"/>
          <w:numId w:val="16"/>
        </w:numPr>
        <w:kinsoku/>
        <w:wordWrap/>
        <w:overflowPunct/>
        <w:topLinePunct w:val="0"/>
        <w:autoSpaceDE/>
        <w:autoSpaceDN/>
        <w:bidi w:val="0"/>
        <w:adjustRightInd/>
        <w:snapToGrid/>
        <w:ind w:left="425"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实现批量审核、上传、下载中期报告；</w:t>
      </w:r>
    </w:p>
    <w:p w14:paraId="1EDC6DA8">
      <w:pPr>
        <w:pageBreakBefore w:val="0"/>
        <w:widowControl w:val="0"/>
        <w:numPr>
          <w:ilvl w:val="0"/>
          <w:numId w:val="16"/>
        </w:numPr>
        <w:kinsoku/>
        <w:wordWrap/>
        <w:overflowPunct/>
        <w:topLinePunct w:val="0"/>
        <w:autoSpaceDE/>
        <w:autoSpaceDN/>
        <w:bidi w:val="0"/>
        <w:adjustRightInd/>
        <w:snapToGrid/>
        <w:ind w:left="425"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支持查看论文字数，方便论文审核批阅；</w:t>
      </w:r>
    </w:p>
    <w:p w14:paraId="4FC09CF5">
      <w:pPr>
        <w:pageBreakBefore w:val="0"/>
        <w:widowControl w:val="0"/>
        <w:numPr>
          <w:ilvl w:val="0"/>
          <w:numId w:val="16"/>
        </w:numPr>
        <w:kinsoku/>
        <w:wordWrap/>
        <w:overflowPunct/>
        <w:topLinePunct w:val="0"/>
        <w:autoSpaceDE/>
        <w:autoSpaceDN/>
        <w:bidi w:val="0"/>
        <w:adjustRightInd/>
        <w:snapToGrid/>
        <w:ind w:left="425"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智能盲审专家：系统根据论文的研究领域、关键词自动匹配智能评审专家，辅助评审老师提高评审效率，实现智能盲审，避免评审偏见，保证评审公正。系统自动处理文档去标识化，确保盲审要求得到满足；</w:t>
      </w:r>
    </w:p>
    <w:p w14:paraId="59C97EB4">
      <w:pPr>
        <w:pageBreakBefore w:val="0"/>
        <w:widowControl w:val="0"/>
        <w:numPr>
          <w:ilvl w:val="0"/>
          <w:numId w:val="16"/>
        </w:numPr>
        <w:kinsoku/>
        <w:wordWrap/>
        <w:overflowPunct/>
        <w:topLinePunct w:val="0"/>
        <w:autoSpaceDE/>
        <w:autoSpaceDN/>
        <w:bidi w:val="0"/>
        <w:adjustRightInd/>
        <w:snapToGrid/>
        <w:ind w:left="425"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论文内容智能检测：系统内置智能评审标准和评估指标，给出具体、建设性的反馈，同时提供内容质量检测报告；</w:t>
      </w:r>
    </w:p>
    <w:p w14:paraId="62CE35FC">
      <w:pPr>
        <w:pageBreakBefore w:val="0"/>
        <w:widowControl w:val="0"/>
        <w:numPr>
          <w:ilvl w:val="0"/>
          <w:numId w:val="16"/>
        </w:numPr>
        <w:kinsoku/>
        <w:wordWrap/>
        <w:overflowPunct/>
        <w:topLinePunct w:val="0"/>
        <w:autoSpaceDE/>
        <w:autoSpaceDN/>
        <w:bidi w:val="0"/>
        <w:adjustRightInd/>
        <w:snapToGrid/>
        <w:ind w:left="425"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论文指导痕迹全程记录，平台论文指导专家提供高速、高质量指导反馈意见，支持在线查看、下载，指导老师可直接引用或结合个性化修改意见进行补充；</w:t>
      </w:r>
    </w:p>
    <w:p w14:paraId="1AE65554">
      <w:pPr>
        <w:pageBreakBefore w:val="0"/>
        <w:widowControl w:val="0"/>
        <w:numPr>
          <w:ilvl w:val="0"/>
          <w:numId w:val="16"/>
        </w:numPr>
        <w:kinsoku/>
        <w:wordWrap/>
        <w:overflowPunct/>
        <w:topLinePunct w:val="0"/>
        <w:autoSpaceDE/>
        <w:autoSpaceDN/>
        <w:bidi w:val="0"/>
        <w:adjustRightInd/>
        <w:snapToGrid/>
        <w:ind w:left="425"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支持评审老师批量审核毕业论文；</w:t>
      </w:r>
    </w:p>
    <w:p w14:paraId="41998F17">
      <w:pPr>
        <w:pageBreakBefore w:val="0"/>
        <w:widowControl w:val="0"/>
        <w:numPr>
          <w:ilvl w:val="0"/>
          <w:numId w:val="16"/>
        </w:numPr>
        <w:kinsoku/>
        <w:wordWrap/>
        <w:overflowPunct/>
        <w:topLinePunct w:val="0"/>
        <w:autoSpaceDE/>
        <w:autoSpaceDN/>
        <w:bidi w:val="0"/>
        <w:adjustRightInd/>
        <w:snapToGrid/>
        <w:ind w:left="425"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记录评审专家的评审历史和质量，评估其评审效率和公正性，为后续评审专家提供参考；</w:t>
      </w:r>
    </w:p>
    <w:p w14:paraId="7665E5FF">
      <w:pPr>
        <w:pageBreakBefore w:val="0"/>
        <w:widowControl w:val="0"/>
        <w:numPr>
          <w:ilvl w:val="0"/>
          <w:numId w:val="16"/>
        </w:numPr>
        <w:kinsoku/>
        <w:wordWrap/>
        <w:overflowPunct/>
        <w:topLinePunct w:val="0"/>
        <w:autoSpaceDE/>
        <w:autoSpaceDN/>
        <w:bidi w:val="0"/>
        <w:adjustRightInd/>
        <w:snapToGrid/>
        <w:ind w:left="425"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指导意见归档：汇总所有评审专家的意见和建议，生成综合评审报告，提供给学生参考。同时，系统直接通知学生评审结果及改进；</w:t>
      </w:r>
    </w:p>
    <w:p w14:paraId="66CFB526">
      <w:pPr>
        <w:pageBreakBefore w:val="0"/>
        <w:widowControl w:val="0"/>
        <w:numPr>
          <w:ilvl w:val="0"/>
          <w:numId w:val="16"/>
        </w:numPr>
        <w:kinsoku/>
        <w:wordWrap/>
        <w:overflowPunct/>
        <w:topLinePunct w:val="0"/>
        <w:autoSpaceDE/>
        <w:autoSpaceDN/>
        <w:bidi w:val="0"/>
        <w:adjustRightInd/>
        <w:snapToGrid/>
        <w:ind w:left="425"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支持批量下载论文、格式检测报告、查重报告的最新稿/所有稿；</w:t>
      </w:r>
    </w:p>
    <w:p w14:paraId="77AFB2FC">
      <w:pPr>
        <w:pageBreakBefore w:val="0"/>
        <w:widowControl w:val="0"/>
        <w:numPr>
          <w:ilvl w:val="0"/>
          <w:numId w:val="12"/>
        </w:numPr>
        <w:kinsoku/>
        <w:wordWrap/>
        <w:overflowPunct/>
        <w:topLinePunct w:val="0"/>
        <w:autoSpaceDE/>
        <w:autoSpaceDN/>
        <w:bidi w:val="0"/>
        <w:adjustRightInd/>
        <w:snapToGrid/>
        <w:ind w:left="-415" w:leftChars="0" w:firstLine="480" w:firstLineChars="200"/>
        <w:textAlignment w:val="auto"/>
        <w:rPr>
          <w:rFonts w:hint="eastAsia" w:ascii="宋体" w:hAnsi="宋体" w:eastAsia="宋体" w:cs="宋体"/>
          <w:sz w:val="24"/>
          <w:szCs w:val="24"/>
          <w:lang w:val="en-US" w:eastAsia="zh-CN"/>
        </w:rPr>
      </w:pPr>
      <w:bookmarkStart w:id="803" w:name="_Toc19480"/>
      <w:bookmarkStart w:id="804" w:name="_Toc811037091"/>
      <w:bookmarkStart w:id="805" w:name="_Toc1448"/>
      <w:bookmarkStart w:id="806" w:name="_Toc8462"/>
      <w:r>
        <w:rPr>
          <w:rFonts w:hint="eastAsia" w:ascii="宋体" w:hAnsi="宋体" w:eastAsia="宋体" w:cs="宋体"/>
          <w:sz w:val="24"/>
          <w:szCs w:val="24"/>
          <w:lang w:val="en-US" w:eastAsia="zh-CN"/>
        </w:rPr>
        <w:t>论文答辩</w:t>
      </w:r>
      <w:bookmarkEnd w:id="803"/>
      <w:bookmarkEnd w:id="804"/>
      <w:bookmarkEnd w:id="805"/>
      <w:bookmarkEnd w:id="806"/>
    </w:p>
    <w:p w14:paraId="1192ABD6">
      <w:pPr>
        <w:pageBreakBefore w:val="0"/>
        <w:widowControl w:val="0"/>
        <w:numPr>
          <w:ilvl w:val="0"/>
          <w:numId w:val="17"/>
        </w:numPr>
        <w:kinsoku/>
        <w:wordWrap/>
        <w:overflowPunct/>
        <w:topLinePunct w:val="0"/>
        <w:autoSpaceDE/>
        <w:autoSpaceDN/>
        <w:bidi w:val="0"/>
        <w:adjustRightInd/>
        <w:snapToGrid/>
        <w:ind w:left="425"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支持批量上传答辩文件；</w:t>
      </w:r>
    </w:p>
    <w:p w14:paraId="4198EF53">
      <w:pPr>
        <w:pageBreakBefore w:val="0"/>
        <w:widowControl w:val="0"/>
        <w:numPr>
          <w:ilvl w:val="0"/>
          <w:numId w:val="17"/>
        </w:numPr>
        <w:kinsoku/>
        <w:wordWrap/>
        <w:overflowPunct/>
        <w:topLinePunct w:val="0"/>
        <w:autoSpaceDE/>
        <w:autoSpaceDN/>
        <w:bidi w:val="0"/>
        <w:adjustRightInd/>
        <w:snapToGrid/>
        <w:ind w:left="425"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支持批量录入审核结果、答辩综合评审意见，并给出答辩成绩。如果发现论文存在的问题，可再次提出审核意见，问题较多者审核不通过。</w:t>
      </w:r>
    </w:p>
    <w:p w14:paraId="6CA8DD77">
      <w:pPr>
        <w:pageBreakBefore w:val="0"/>
        <w:widowControl w:val="0"/>
        <w:numPr>
          <w:ilvl w:val="0"/>
          <w:numId w:val="12"/>
        </w:numPr>
        <w:kinsoku/>
        <w:wordWrap/>
        <w:overflowPunct/>
        <w:topLinePunct w:val="0"/>
        <w:autoSpaceDE/>
        <w:autoSpaceDN/>
        <w:bidi w:val="0"/>
        <w:adjustRightInd/>
        <w:snapToGrid/>
        <w:ind w:left="-415" w:leftChars="0" w:firstLine="480" w:firstLineChars="200"/>
        <w:textAlignment w:val="auto"/>
        <w:rPr>
          <w:rFonts w:hint="eastAsia" w:ascii="宋体" w:hAnsi="宋体" w:eastAsia="宋体" w:cs="宋体"/>
          <w:sz w:val="24"/>
          <w:szCs w:val="24"/>
          <w:lang w:val="en-US" w:eastAsia="zh-CN"/>
        </w:rPr>
      </w:pPr>
      <w:bookmarkStart w:id="807" w:name="_Toc1021680928"/>
      <w:bookmarkStart w:id="808" w:name="_Toc2823"/>
      <w:bookmarkStart w:id="809" w:name="_Toc17261"/>
      <w:bookmarkStart w:id="810" w:name="_Toc9166"/>
      <w:r>
        <w:rPr>
          <w:rFonts w:hint="eastAsia" w:ascii="宋体" w:hAnsi="宋体" w:eastAsia="宋体" w:cs="宋体"/>
          <w:sz w:val="24"/>
          <w:szCs w:val="24"/>
          <w:lang w:val="en-US" w:eastAsia="zh-CN"/>
        </w:rPr>
        <w:t>论文成绩</w:t>
      </w:r>
      <w:bookmarkEnd w:id="807"/>
      <w:bookmarkEnd w:id="808"/>
      <w:bookmarkEnd w:id="809"/>
      <w:bookmarkEnd w:id="810"/>
    </w:p>
    <w:p w14:paraId="317F33CA">
      <w:pPr>
        <w:pageBreakBefore w:val="0"/>
        <w:widowControl w:val="0"/>
        <w:numPr>
          <w:ilvl w:val="0"/>
          <w:numId w:val="18"/>
        </w:numPr>
        <w:kinsoku/>
        <w:wordWrap/>
        <w:overflowPunct/>
        <w:topLinePunct w:val="0"/>
        <w:autoSpaceDE/>
        <w:autoSpaceDN/>
        <w:bidi w:val="0"/>
        <w:adjustRightInd/>
        <w:snapToGrid/>
        <w:ind w:left="425"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支持按照系统设定的比例填写论文成绩计算学生毕业论文总成绩；</w:t>
      </w:r>
    </w:p>
    <w:p w14:paraId="40D8F792">
      <w:pPr>
        <w:pageBreakBefore w:val="0"/>
        <w:widowControl w:val="0"/>
        <w:numPr>
          <w:ilvl w:val="0"/>
          <w:numId w:val="18"/>
        </w:numPr>
        <w:kinsoku/>
        <w:wordWrap/>
        <w:overflowPunct/>
        <w:topLinePunct w:val="0"/>
        <w:autoSpaceDE/>
        <w:autoSpaceDN/>
        <w:bidi w:val="0"/>
        <w:adjustRightInd/>
        <w:snapToGrid/>
        <w:ind w:left="425"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在线录入：允许指导教师或评审委员会在线输入学生的论文成绩，包括各阶段成绩（如开题报告、中期检查、论文评审、答辩表现等）和最终总成绩。</w:t>
      </w:r>
    </w:p>
    <w:p w14:paraId="5882842A">
      <w:pPr>
        <w:pageBreakBefore w:val="0"/>
        <w:widowControl w:val="0"/>
        <w:numPr>
          <w:ilvl w:val="0"/>
          <w:numId w:val="18"/>
        </w:numPr>
        <w:kinsoku/>
        <w:wordWrap/>
        <w:overflowPunct/>
        <w:topLinePunct w:val="0"/>
        <w:autoSpaceDE/>
        <w:autoSpaceDN/>
        <w:bidi w:val="0"/>
        <w:adjustRightInd/>
        <w:snapToGrid/>
        <w:ind w:left="425"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支持批量导入审核结果、审核意见、论文分数，可一键导出论文成绩数据。</w:t>
      </w:r>
    </w:p>
    <w:p w14:paraId="6F94B8AB">
      <w:pPr>
        <w:keepNext/>
        <w:keepLines/>
        <w:pageBreakBefore w:val="0"/>
        <w:widowControl w:val="0"/>
        <w:numPr>
          <w:ilvl w:val="0"/>
          <w:numId w:val="0"/>
        </w:numPr>
        <w:kinsoku/>
        <w:wordWrap/>
        <w:overflowPunct/>
        <w:topLinePunct w:val="0"/>
        <w:autoSpaceDE/>
        <w:autoSpaceDN/>
        <w:bidi w:val="0"/>
        <w:adjustRightInd/>
        <w:snapToGrid/>
        <w:spacing w:before="260" w:beforeLines="0" w:beforeAutospacing="0" w:after="260" w:afterLines="0" w:afterAutospacing="0" w:line="413" w:lineRule="auto"/>
        <w:ind w:left="480" w:leftChars="0"/>
        <w:jc w:val="left"/>
        <w:textAlignment w:val="auto"/>
        <w:outlineLvl w:val="2"/>
        <w:rPr>
          <w:rFonts w:hint="eastAsia" w:ascii="宋体" w:hAnsi="宋体" w:eastAsia="宋体" w:cs="宋体"/>
          <w:b/>
          <w:kern w:val="2"/>
          <w:sz w:val="24"/>
          <w:szCs w:val="24"/>
          <w:lang w:val="en-US" w:eastAsia="zh-CN" w:bidi="ar-SA"/>
        </w:rPr>
      </w:pPr>
      <w:bookmarkStart w:id="811" w:name="_Toc23194"/>
      <w:bookmarkStart w:id="812" w:name="_Toc112115484"/>
      <w:bookmarkStart w:id="813" w:name="_Toc4489"/>
      <w:bookmarkStart w:id="814" w:name="_Toc25546"/>
      <w:r>
        <w:rPr>
          <w:rFonts w:hint="eastAsia" w:ascii="宋体" w:hAnsi="宋体" w:eastAsia="宋体" w:cs="宋体"/>
          <w:b/>
          <w:kern w:val="2"/>
          <w:sz w:val="24"/>
          <w:szCs w:val="24"/>
          <w:lang w:val="en-US" w:eastAsia="zh-CN" w:bidi="ar-SA"/>
        </w:rPr>
        <w:t>3.论文归档</w:t>
      </w:r>
      <w:bookmarkEnd w:id="811"/>
      <w:bookmarkEnd w:id="812"/>
      <w:bookmarkEnd w:id="813"/>
      <w:bookmarkEnd w:id="814"/>
    </w:p>
    <w:p w14:paraId="6A1EB8B4">
      <w:pPr>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支持用户数据永久保存和导出功能。各流程线上数据按需导出，实现导出文档规范、整齐，直接打印存档。支持多维度、多样化的信息综合查询和统计分析等。</w:t>
      </w:r>
    </w:p>
    <w:p w14:paraId="0D5C53D7">
      <w:pPr>
        <w:keepNext/>
        <w:keepLines/>
        <w:pageBreakBefore w:val="0"/>
        <w:widowControl w:val="0"/>
        <w:numPr>
          <w:ilvl w:val="0"/>
          <w:numId w:val="0"/>
        </w:numPr>
        <w:kinsoku/>
        <w:wordWrap/>
        <w:overflowPunct/>
        <w:topLinePunct w:val="0"/>
        <w:autoSpaceDE/>
        <w:autoSpaceDN/>
        <w:bidi w:val="0"/>
        <w:adjustRightInd/>
        <w:snapToGrid/>
        <w:spacing w:before="260" w:beforeLines="0" w:beforeAutospacing="0" w:after="260" w:afterLines="0" w:afterAutospacing="0" w:line="413" w:lineRule="auto"/>
        <w:ind w:left="480" w:leftChars="0"/>
        <w:jc w:val="left"/>
        <w:textAlignment w:val="auto"/>
        <w:outlineLvl w:val="2"/>
        <w:rPr>
          <w:rFonts w:hint="eastAsia" w:ascii="宋体" w:hAnsi="宋体" w:eastAsia="宋体" w:cs="宋体"/>
          <w:b/>
          <w:kern w:val="2"/>
          <w:sz w:val="24"/>
          <w:szCs w:val="24"/>
          <w:lang w:val="en-US" w:eastAsia="zh-CN" w:bidi="ar-SA"/>
        </w:rPr>
      </w:pPr>
      <w:bookmarkStart w:id="815" w:name="_Toc981781169"/>
      <w:bookmarkStart w:id="816" w:name="_Toc1213"/>
      <w:bookmarkStart w:id="817" w:name="_Toc18099"/>
      <w:bookmarkStart w:id="818" w:name="_Toc28538"/>
      <w:r>
        <w:rPr>
          <w:rFonts w:hint="eastAsia" w:ascii="宋体" w:hAnsi="宋体" w:eastAsia="宋体" w:cs="宋体"/>
          <w:b/>
          <w:kern w:val="2"/>
          <w:sz w:val="24"/>
          <w:szCs w:val="24"/>
          <w:lang w:val="en-US" w:eastAsia="zh-CN" w:bidi="ar-SA"/>
        </w:rPr>
        <w:t>4.论文格式检测</w:t>
      </w:r>
      <w:bookmarkEnd w:id="815"/>
      <w:bookmarkEnd w:id="816"/>
      <w:bookmarkEnd w:id="817"/>
      <w:bookmarkEnd w:id="818"/>
    </w:p>
    <w:p w14:paraId="430C3AA3">
      <w:pPr>
        <w:pageBreakBefore w:val="0"/>
        <w:widowControl w:val="0"/>
        <w:numPr>
          <w:ilvl w:val="0"/>
          <w:numId w:val="19"/>
        </w:numPr>
        <w:kinsoku/>
        <w:wordWrap/>
        <w:overflowPunct/>
        <w:topLinePunct w:val="0"/>
        <w:autoSpaceDE/>
        <w:autoSpaceDN/>
        <w:bidi w:val="0"/>
        <w:adjustRightInd/>
        <w:snapToGrid/>
        <w:ind w:left="-415" w:leftChars="0" w:firstLine="480" w:firstLineChars="200"/>
        <w:textAlignment w:val="auto"/>
        <w:rPr>
          <w:rFonts w:hint="eastAsia" w:ascii="宋体" w:hAnsi="宋体" w:eastAsia="宋体" w:cs="宋体"/>
          <w:sz w:val="24"/>
          <w:szCs w:val="24"/>
          <w:lang w:val="en-US" w:eastAsia="zh-CN"/>
        </w:rPr>
      </w:pPr>
      <w:bookmarkStart w:id="819" w:name="_Toc1290"/>
      <w:bookmarkStart w:id="820" w:name="_Toc1679247482"/>
      <w:bookmarkStart w:id="821" w:name="_Toc12833"/>
      <w:bookmarkStart w:id="822" w:name="_Toc11940"/>
      <w:r>
        <w:rPr>
          <w:rFonts w:hint="eastAsia" w:ascii="宋体" w:hAnsi="宋体" w:eastAsia="宋体" w:cs="宋体"/>
          <w:sz w:val="24"/>
          <w:szCs w:val="24"/>
          <w:lang w:val="en-US" w:eastAsia="zh-CN"/>
        </w:rPr>
        <w:t>基础信息管理</w:t>
      </w:r>
      <w:bookmarkEnd w:id="819"/>
      <w:bookmarkEnd w:id="820"/>
      <w:bookmarkEnd w:id="821"/>
      <w:bookmarkEnd w:id="822"/>
    </w:p>
    <w:p w14:paraId="551E0DD3">
      <w:pPr>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支持学校管理员对模板、适用范围、检测次数的增删改查管理。</w:t>
      </w:r>
    </w:p>
    <w:p w14:paraId="01CB08AA">
      <w:pPr>
        <w:pageBreakBefore w:val="0"/>
        <w:widowControl w:val="0"/>
        <w:numPr>
          <w:ilvl w:val="0"/>
          <w:numId w:val="19"/>
        </w:numPr>
        <w:kinsoku/>
        <w:wordWrap/>
        <w:overflowPunct/>
        <w:topLinePunct w:val="0"/>
        <w:autoSpaceDE/>
        <w:autoSpaceDN/>
        <w:bidi w:val="0"/>
        <w:adjustRightInd/>
        <w:snapToGrid/>
        <w:ind w:left="-415" w:leftChars="0" w:firstLine="480" w:firstLineChars="200"/>
        <w:textAlignment w:val="auto"/>
        <w:rPr>
          <w:rFonts w:hint="eastAsia" w:ascii="宋体" w:hAnsi="宋体" w:eastAsia="宋体" w:cs="宋体"/>
          <w:sz w:val="24"/>
          <w:szCs w:val="24"/>
          <w:lang w:val="en-US" w:eastAsia="zh-CN"/>
        </w:rPr>
      </w:pPr>
      <w:bookmarkStart w:id="823" w:name="_Toc23968"/>
      <w:bookmarkStart w:id="824" w:name="_Toc24603"/>
      <w:bookmarkStart w:id="825" w:name="_Toc15451"/>
      <w:bookmarkStart w:id="826" w:name="_Toc882341100"/>
      <w:r>
        <w:rPr>
          <w:rFonts w:hint="eastAsia" w:ascii="宋体" w:hAnsi="宋体" w:eastAsia="宋体" w:cs="宋体"/>
          <w:sz w:val="24"/>
          <w:szCs w:val="24"/>
          <w:lang w:val="en-US" w:eastAsia="zh-CN"/>
        </w:rPr>
        <w:t>论文检测系统</w:t>
      </w:r>
      <w:bookmarkEnd w:id="823"/>
      <w:bookmarkEnd w:id="824"/>
      <w:bookmarkEnd w:id="825"/>
      <w:bookmarkEnd w:id="826"/>
    </w:p>
    <w:p w14:paraId="4132FC78">
      <w:pPr>
        <w:pageBreakBefore w:val="0"/>
        <w:widowControl w:val="0"/>
        <w:numPr>
          <w:ilvl w:val="0"/>
          <w:numId w:val="20"/>
        </w:numPr>
        <w:kinsoku/>
        <w:wordWrap/>
        <w:overflowPunct/>
        <w:topLinePunct w:val="0"/>
        <w:autoSpaceDE/>
        <w:autoSpaceDN/>
        <w:bidi w:val="0"/>
        <w:adjustRightInd/>
        <w:snapToGrid/>
        <w:ind w:left="425"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支持中英文检测；</w:t>
      </w:r>
    </w:p>
    <w:p w14:paraId="2B1CDC09">
      <w:pPr>
        <w:pageBreakBefore w:val="0"/>
        <w:widowControl w:val="0"/>
        <w:numPr>
          <w:ilvl w:val="0"/>
          <w:numId w:val="20"/>
        </w:numPr>
        <w:kinsoku/>
        <w:wordWrap/>
        <w:overflowPunct/>
        <w:topLinePunct w:val="0"/>
        <w:autoSpaceDE/>
        <w:autoSpaceDN/>
        <w:bidi w:val="0"/>
        <w:adjustRightInd/>
        <w:snapToGrid/>
        <w:ind w:left="425"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格式检测：支持系统内提交.doc、.docx格式的文档检测，检测矫正流程包括选择服务、进行检测、自动校正、报告生成、查看报告；</w:t>
      </w:r>
    </w:p>
    <w:p w14:paraId="02F2B25F">
      <w:pPr>
        <w:pageBreakBefore w:val="0"/>
        <w:widowControl w:val="0"/>
        <w:numPr>
          <w:ilvl w:val="0"/>
          <w:numId w:val="20"/>
        </w:numPr>
        <w:kinsoku/>
        <w:wordWrap/>
        <w:overflowPunct/>
        <w:topLinePunct w:val="0"/>
        <w:autoSpaceDE/>
        <w:autoSpaceDN/>
        <w:bidi w:val="0"/>
        <w:adjustRightInd/>
        <w:snapToGrid/>
        <w:ind w:left="425"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检测报告：支持下载原文检测报告和问题批注、校正检测报告、自动校正文件等多样性报告结果展示，检测报告中可查看检测结果、文档信息，论文结构分析对比，结构问题汇总，字数分析，页面设置分析，问题片段。</w:t>
      </w:r>
    </w:p>
    <w:p w14:paraId="2D67F37F">
      <w:pPr>
        <w:pageBreakBefore w:val="0"/>
        <w:widowControl w:val="0"/>
        <w:numPr>
          <w:ilvl w:val="0"/>
          <w:numId w:val="20"/>
        </w:numPr>
        <w:kinsoku/>
        <w:wordWrap/>
        <w:overflowPunct/>
        <w:topLinePunct w:val="0"/>
        <w:autoSpaceDE/>
        <w:autoSpaceDN/>
        <w:bidi w:val="0"/>
        <w:adjustRightInd/>
        <w:snapToGrid/>
        <w:ind w:left="425"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可查看检测报告列表包括报告编码、检测论文、格式检测模板、错误数、差错率等；</w:t>
      </w:r>
    </w:p>
    <w:p w14:paraId="0C9EFB31">
      <w:pPr>
        <w:pageBreakBefore w:val="0"/>
        <w:widowControl w:val="0"/>
        <w:numPr>
          <w:ilvl w:val="0"/>
          <w:numId w:val="20"/>
        </w:numPr>
        <w:kinsoku/>
        <w:wordWrap/>
        <w:overflowPunct/>
        <w:topLinePunct w:val="0"/>
        <w:autoSpaceDE/>
        <w:autoSpaceDN/>
        <w:bidi w:val="0"/>
        <w:adjustRightInd/>
        <w:snapToGrid/>
        <w:ind w:left="425"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对接：可提供论文检测，格式检测开放接口，可实现与学校正在使用的系统进行无缝连接。</w:t>
      </w:r>
    </w:p>
    <w:p w14:paraId="1318F513">
      <w:pPr>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sz w:val="24"/>
          <w:szCs w:val="24"/>
          <w:lang w:val="en-US" w:eastAsia="zh-CN"/>
        </w:rPr>
      </w:pPr>
    </w:p>
    <w:p w14:paraId="75140817">
      <w:pPr>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b/>
          <w:kern w:val="44"/>
          <w:sz w:val="24"/>
          <w:szCs w:val="24"/>
          <w:lang w:val="en-US" w:eastAsia="zh-CN" w:bidi="ar-SA"/>
        </w:rPr>
      </w:pPr>
      <w:r>
        <w:rPr>
          <w:rFonts w:hint="eastAsia" w:ascii="宋体" w:hAnsi="宋体" w:eastAsia="宋体" w:cs="宋体"/>
          <w:b/>
          <w:kern w:val="44"/>
          <w:sz w:val="24"/>
          <w:szCs w:val="24"/>
          <w:lang w:val="en-US" w:eastAsia="zh-CN" w:bidi="ar-SA"/>
        </w:rPr>
        <w:t>技术参数</w:t>
      </w:r>
    </w:p>
    <w:p w14:paraId="6C9D684F">
      <w:pPr>
        <w:keepNext/>
        <w:keepLines/>
        <w:pageBreakBefore w:val="0"/>
        <w:widowControl w:val="0"/>
        <w:numPr>
          <w:ilvl w:val="0"/>
          <w:numId w:val="0"/>
        </w:numPr>
        <w:tabs>
          <w:tab w:val="left" w:pos="0"/>
        </w:tabs>
        <w:kinsoku/>
        <w:wordWrap/>
        <w:overflowPunct/>
        <w:topLinePunct w:val="0"/>
        <w:autoSpaceDE/>
        <w:autoSpaceDN/>
        <w:bidi w:val="0"/>
        <w:adjustRightInd/>
        <w:snapToGrid/>
        <w:spacing w:before="340" w:beforeLines="0" w:beforeAutospacing="0" w:after="330" w:afterLines="0" w:afterAutospacing="0" w:line="640" w:lineRule="exact"/>
        <w:ind w:leftChars="0" w:firstLine="482" w:firstLineChars="200"/>
        <w:jc w:val="left"/>
        <w:textAlignment w:val="auto"/>
        <w:outlineLvl w:val="0"/>
        <w:rPr>
          <w:rFonts w:hint="eastAsia" w:ascii="宋体" w:hAnsi="宋体" w:eastAsia="宋体" w:cs="宋体"/>
          <w:b/>
          <w:kern w:val="44"/>
          <w:sz w:val="24"/>
          <w:szCs w:val="24"/>
          <w:lang w:val="en-US" w:eastAsia="zh-CN" w:bidi="ar-SA"/>
        </w:rPr>
      </w:pPr>
      <w:bookmarkStart w:id="827" w:name="_Toc7108"/>
      <w:r>
        <w:rPr>
          <w:rFonts w:hint="eastAsia" w:ascii="宋体" w:hAnsi="宋体" w:eastAsia="宋体" w:cs="宋体"/>
          <w:b/>
          <w:bCs/>
          <w:sz w:val="24"/>
          <w:szCs w:val="24"/>
          <w:lang w:val="en-US" w:eastAsia="zh-CN"/>
        </w:rPr>
        <w:t>（一）系统性能总体要求</w:t>
      </w:r>
      <w:bookmarkEnd w:id="827"/>
    </w:p>
    <w:tbl>
      <w:tblPr>
        <w:tblStyle w:val="2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1"/>
        <w:gridCol w:w="943"/>
        <w:gridCol w:w="6946"/>
      </w:tblGrid>
      <w:tr w14:paraId="65210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365" w:type="pct"/>
            <w:noWrap w:val="0"/>
            <w:vAlign w:val="center"/>
          </w:tcPr>
          <w:p w14:paraId="0B4096DA">
            <w:pPr>
              <w:pageBreakBefore w:val="0"/>
              <w:widowControl w:val="0"/>
              <w:wordWrap/>
              <w:overflowPunct/>
              <w:topLinePunct w:val="0"/>
              <w:bidi w:val="0"/>
              <w:spacing w:line="360" w:lineRule="auto"/>
              <w:ind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554" w:type="pct"/>
            <w:noWrap w:val="0"/>
            <w:vAlign w:val="center"/>
          </w:tcPr>
          <w:p w14:paraId="12955174">
            <w:pPr>
              <w:pageBreakBefore w:val="0"/>
              <w:widowControl w:val="0"/>
              <w:wordWrap/>
              <w:overflowPunct/>
              <w:topLinePunct w:val="0"/>
              <w:bidi w:val="0"/>
              <w:spacing w:line="360" w:lineRule="auto"/>
              <w:ind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系统功能</w:t>
            </w:r>
          </w:p>
        </w:tc>
        <w:tc>
          <w:tcPr>
            <w:tcW w:w="4080" w:type="pct"/>
            <w:noWrap w:val="0"/>
            <w:vAlign w:val="center"/>
          </w:tcPr>
          <w:p w14:paraId="57850100">
            <w:pPr>
              <w:pageBreakBefore w:val="0"/>
              <w:widowControl w:val="0"/>
              <w:wordWrap/>
              <w:overflowPunct/>
              <w:topLinePunct w:val="0"/>
              <w:bidi w:val="0"/>
              <w:spacing w:line="360" w:lineRule="auto"/>
              <w:ind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技术参数</w:t>
            </w:r>
          </w:p>
        </w:tc>
      </w:tr>
      <w:tr w14:paraId="67CCD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 w:type="pct"/>
            <w:noWrap w:val="0"/>
            <w:vAlign w:val="center"/>
          </w:tcPr>
          <w:p w14:paraId="54DC4BCB">
            <w:pPr>
              <w:pageBreakBefore w:val="0"/>
              <w:widowControl w:val="0"/>
              <w:numPr>
                <w:ilvl w:val="0"/>
                <w:numId w:val="21"/>
              </w:numPr>
              <w:tabs>
                <w:tab w:val="left" w:pos="420"/>
                <w:tab w:val="clear" w:pos="0"/>
              </w:tabs>
              <w:wordWrap/>
              <w:overflowPunct/>
              <w:topLinePunct w:val="0"/>
              <w:bidi w:val="0"/>
              <w:spacing w:line="360" w:lineRule="auto"/>
              <w:ind w:left="425" w:leftChars="0" w:hanging="425" w:firstLineChars="0"/>
              <w:jc w:val="center"/>
              <w:rPr>
                <w:rFonts w:hint="eastAsia" w:ascii="宋体" w:hAnsi="宋体" w:eastAsia="宋体" w:cs="宋体"/>
                <w:sz w:val="24"/>
                <w:szCs w:val="24"/>
              </w:rPr>
            </w:pPr>
          </w:p>
        </w:tc>
        <w:tc>
          <w:tcPr>
            <w:tcW w:w="554" w:type="pct"/>
            <w:noWrap w:val="0"/>
            <w:vAlign w:val="center"/>
          </w:tcPr>
          <w:p w14:paraId="3CF4CA0A">
            <w:pPr>
              <w:pageBreakBefore w:val="0"/>
              <w:widowControl w:val="0"/>
              <w:wordWrap/>
              <w:overflowPunct/>
              <w:topLinePunct w:val="0"/>
              <w:bidi w:val="0"/>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平台技术架构</w:t>
            </w:r>
          </w:p>
        </w:tc>
        <w:tc>
          <w:tcPr>
            <w:tcW w:w="4080" w:type="pct"/>
            <w:noWrap w:val="0"/>
            <w:vAlign w:val="center"/>
          </w:tcPr>
          <w:p w14:paraId="78DC8DAD">
            <w:pPr>
              <w:pageBreakBefore w:val="0"/>
              <w:widowControl w:val="0"/>
              <w:numPr>
                <w:ilvl w:val="0"/>
                <w:numId w:val="0"/>
              </w:numPr>
              <w:wordWrap/>
              <w:overflowPunct/>
              <w:topLinePunct w:val="0"/>
              <w:bidi w:val="0"/>
              <w:spacing w:line="360" w:lineRule="auto"/>
              <w:ind w:leftChars="0"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（1）采用B/S,C/S模式，并能支持32/64位Windows/Linux操作系统部署（包含但不仅限于此）；使用Tomcat、Jboss、Weblogic、IIS、Undertow、Nginx等主流技术作为Web服务器；</w:t>
            </w:r>
          </w:p>
          <w:p w14:paraId="1ABB065A">
            <w:pPr>
              <w:pageBreakBefore w:val="0"/>
              <w:widowControl w:val="0"/>
              <w:numPr>
                <w:ilvl w:val="0"/>
                <w:numId w:val="0"/>
              </w:numPr>
              <w:wordWrap/>
              <w:overflowPunct/>
              <w:topLinePunct w:val="0"/>
              <w:bidi w:val="0"/>
              <w:spacing w:line="360" w:lineRule="auto"/>
              <w:ind w:leftChars="0"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（2）支持分布式集群部署，实际部署节点可以根据需求增减节点；</w:t>
            </w:r>
          </w:p>
          <w:p w14:paraId="599A795A">
            <w:pPr>
              <w:pageBreakBefore w:val="0"/>
              <w:widowControl w:val="0"/>
              <w:numPr>
                <w:ilvl w:val="0"/>
                <w:numId w:val="0"/>
              </w:numPr>
              <w:wordWrap/>
              <w:overflowPunct/>
              <w:topLinePunct w:val="0"/>
              <w:bidi w:val="0"/>
              <w:spacing w:line="360" w:lineRule="auto"/>
              <w:ind w:leftChars="0"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（3）使用Nginx部署负载均衡；</w:t>
            </w:r>
          </w:p>
          <w:p w14:paraId="685FE58E">
            <w:pPr>
              <w:pageBreakBefore w:val="0"/>
              <w:widowControl w:val="0"/>
              <w:numPr>
                <w:ilvl w:val="0"/>
                <w:numId w:val="0"/>
              </w:numPr>
              <w:wordWrap/>
              <w:overflowPunct/>
              <w:topLinePunct w:val="0"/>
              <w:bidi w:val="0"/>
              <w:spacing w:line="360" w:lineRule="auto"/>
              <w:ind w:leftChars="0"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（4）内容采用CDN分发技术，支持视频、文档格式自动转换、码流自动转换的功能，以适应不同的访问终端（Android，iOS）；视频类资源系统自动转码为mp4、m3u8等多种格式。</w:t>
            </w:r>
          </w:p>
        </w:tc>
      </w:tr>
      <w:tr w14:paraId="6149B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 w:type="pct"/>
            <w:noWrap w:val="0"/>
            <w:vAlign w:val="center"/>
          </w:tcPr>
          <w:p w14:paraId="7EC359BE">
            <w:pPr>
              <w:pageBreakBefore w:val="0"/>
              <w:widowControl w:val="0"/>
              <w:numPr>
                <w:ilvl w:val="0"/>
                <w:numId w:val="21"/>
              </w:numPr>
              <w:tabs>
                <w:tab w:val="left" w:pos="420"/>
                <w:tab w:val="clear" w:pos="0"/>
              </w:tabs>
              <w:wordWrap/>
              <w:overflowPunct/>
              <w:topLinePunct w:val="0"/>
              <w:bidi w:val="0"/>
              <w:spacing w:line="360" w:lineRule="auto"/>
              <w:ind w:left="425" w:leftChars="0" w:hanging="425" w:firstLineChars="0"/>
              <w:jc w:val="center"/>
              <w:rPr>
                <w:rFonts w:hint="eastAsia" w:ascii="宋体" w:hAnsi="宋体" w:eastAsia="宋体" w:cs="宋体"/>
                <w:sz w:val="24"/>
                <w:szCs w:val="24"/>
              </w:rPr>
            </w:pPr>
          </w:p>
        </w:tc>
        <w:tc>
          <w:tcPr>
            <w:tcW w:w="554" w:type="pct"/>
            <w:noWrap w:val="0"/>
            <w:vAlign w:val="center"/>
          </w:tcPr>
          <w:p w14:paraId="42AF91BB">
            <w:pPr>
              <w:pageBreakBefore w:val="0"/>
              <w:widowControl w:val="0"/>
              <w:wordWrap/>
              <w:overflowPunct/>
              <w:topLinePunct w:val="0"/>
              <w:bidi w:val="0"/>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数据库存储</w:t>
            </w:r>
          </w:p>
        </w:tc>
        <w:tc>
          <w:tcPr>
            <w:tcW w:w="4080" w:type="pct"/>
            <w:noWrap w:val="0"/>
            <w:vAlign w:val="center"/>
          </w:tcPr>
          <w:p w14:paraId="09AD86A6">
            <w:pPr>
              <w:pageBreakBefore w:val="0"/>
              <w:widowControl w:val="0"/>
              <w:wordWrap/>
              <w:overflowPunct/>
              <w:topLinePunct w:val="0"/>
              <w:bidi w:val="0"/>
              <w:spacing w:line="360" w:lineRule="auto"/>
              <w:ind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（1）数据库基于MySQL、Oracle、SQL server、PostgreSQL等系统；</w:t>
            </w:r>
          </w:p>
          <w:p w14:paraId="37BC7309">
            <w:pPr>
              <w:pageBreakBefore w:val="0"/>
              <w:widowControl w:val="0"/>
              <w:wordWrap/>
              <w:overflowPunct/>
              <w:topLinePunct w:val="0"/>
              <w:bidi w:val="0"/>
              <w:spacing w:line="360" w:lineRule="auto"/>
              <w:ind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（2）系统支持非结构性数据存储OSS，支持海量非结构化数据存储（包含但不仅限于此，Word、Excel、PPT、PDF、图片、视频等）；</w:t>
            </w:r>
          </w:p>
          <w:p w14:paraId="3004648A">
            <w:pPr>
              <w:pageBreakBefore w:val="0"/>
              <w:widowControl w:val="0"/>
              <w:wordWrap/>
              <w:overflowPunct/>
              <w:topLinePunct w:val="0"/>
              <w:bidi w:val="0"/>
              <w:spacing w:line="360" w:lineRule="auto"/>
              <w:ind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（3）存储容量支持PB以上；</w:t>
            </w:r>
          </w:p>
          <w:p w14:paraId="53E4791A">
            <w:pPr>
              <w:pageBreakBefore w:val="0"/>
              <w:widowControl w:val="0"/>
              <w:wordWrap/>
              <w:overflowPunct/>
              <w:topLinePunct w:val="0"/>
              <w:bidi w:val="0"/>
              <w:spacing w:line="360" w:lineRule="auto"/>
              <w:ind w:firstLine="0" w:firstLineChars="0"/>
              <w:jc w:val="both"/>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lang w:val="en-US" w:eastAsia="zh-CN" w:bidi="ar-SA"/>
              </w:rPr>
              <w:t>（4）系统支持TB级单个文件上传。</w:t>
            </w:r>
          </w:p>
        </w:tc>
      </w:tr>
      <w:tr w14:paraId="568B7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 w:type="pct"/>
            <w:noWrap w:val="0"/>
            <w:vAlign w:val="center"/>
          </w:tcPr>
          <w:p w14:paraId="0768F917">
            <w:pPr>
              <w:pageBreakBefore w:val="0"/>
              <w:widowControl w:val="0"/>
              <w:numPr>
                <w:ilvl w:val="0"/>
                <w:numId w:val="21"/>
              </w:numPr>
              <w:tabs>
                <w:tab w:val="left" w:pos="420"/>
                <w:tab w:val="clear" w:pos="0"/>
              </w:tabs>
              <w:wordWrap/>
              <w:overflowPunct/>
              <w:topLinePunct w:val="0"/>
              <w:bidi w:val="0"/>
              <w:spacing w:line="360" w:lineRule="auto"/>
              <w:ind w:left="425" w:leftChars="0" w:hanging="425" w:firstLineChars="0"/>
              <w:jc w:val="center"/>
              <w:rPr>
                <w:rFonts w:hint="eastAsia" w:ascii="宋体" w:hAnsi="宋体" w:eastAsia="宋体" w:cs="宋体"/>
                <w:sz w:val="24"/>
                <w:szCs w:val="24"/>
              </w:rPr>
            </w:pPr>
          </w:p>
        </w:tc>
        <w:tc>
          <w:tcPr>
            <w:tcW w:w="554" w:type="pct"/>
            <w:noWrap w:val="0"/>
            <w:vAlign w:val="center"/>
          </w:tcPr>
          <w:p w14:paraId="10DFF63A">
            <w:pPr>
              <w:pageBreakBefore w:val="0"/>
              <w:widowControl w:val="0"/>
              <w:wordWrap/>
              <w:overflowPunct/>
              <w:topLinePunct w:val="0"/>
              <w:bidi w:val="0"/>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平台开发语言</w:t>
            </w:r>
          </w:p>
        </w:tc>
        <w:tc>
          <w:tcPr>
            <w:tcW w:w="4080" w:type="pct"/>
            <w:noWrap w:val="0"/>
            <w:vAlign w:val="center"/>
          </w:tcPr>
          <w:p w14:paraId="69ECF3BA">
            <w:pPr>
              <w:pageBreakBefore w:val="0"/>
              <w:widowControl w:val="0"/>
              <w:wordWrap/>
              <w:overflowPunct/>
              <w:topLinePunct w:val="0"/>
              <w:bidi w:val="0"/>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（1）前端开发语言指标：PC端采用主流包含但不仅限于此的HTML、JavaScript、CSS语言和主流的Vue.js、Element-ui和Bootstrap的框架开发； 移动端采用移动端原生语言开发结合HTML5内容开发，以保证更新的效率；</w:t>
            </w:r>
          </w:p>
          <w:p w14:paraId="5FB69826">
            <w:pPr>
              <w:pageBreakBefore w:val="0"/>
              <w:widowControl w:val="0"/>
              <w:wordWrap/>
              <w:overflowPunct/>
              <w:topLinePunct w:val="0"/>
              <w:bidi w:val="0"/>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（2）服务端开发语言指标：服务端使用JAVA进行开发，采用Springcloud微服务基础架构和主流框架（如Spring）和对接数据框架（如Mybatis），以保证系统扩展性。</w:t>
            </w:r>
          </w:p>
        </w:tc>
      </w:tr>
      <w:tr w14:paraId="3881B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 w:type="pct"/>
            <w:noWrap w:val="0"/>
            <w:vAlign w:val="center"/>
          </w:tcPr>
          <w:p w14:paraId="7437B181">
            <w:pPr>
              <w:pageBreakBefore w:val="0"/>
              <w:widowControl w:val="0"/>
              <w:numPr>
                <w:ilvl w:val="0"/>
                <w:numId w:val="21"/>
              </w:numPr>
              <w:tabs>
                <w:tab w:val="left" w:pos="420"/>
                <w:tab w:val="clear" w:pos="0"/>
              </w:tabs>
              <w:wordWrap/>
              <w:overflowPunct/>
              <w:topLinePunct w:val="0"/>
              <w:bidi w:val="0"/>
              <w:spacing w:line="360" w:lineRule="auto"/>
              <w:ind w:left="425" w:leftChars="0" w:hanging="425" w:firstLineChars="0"/>
              <w:jc w:val="center"/>
              <w:rPr>
                <w:rFonts w:hint="eastAsia" w:ascii="宋体" w:hAnsi="宋体" w:eastAsia="宋体" w:cs="宋体"/>
                <w:sz w:val="24"/>
                <w:szCs w:val="24"/>
              </w:rPr>
            </w:pPr>
          </w:p>
        </w:tc>
        <w:tc>
          <w:tcPr>
            <w:tcW w:w="554" w:type="pct"/>
            <w:noWrap w:val="0"/>
            <w:vAlign w:val="center"/>
          </w:tcPr>
          <w:p w14:paraId="0C0D29C0">
            <w:pPr>
              <w:pageBreakBefore w:val="0"/>
              <w:widowControl w:val="0"/>
              <w:wordWrap/>
              <w:overflowPunct/>
              <w:topLinePunct w:val="0"/>
              <w:bidi w:val="0"/>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管理后台访问</w:t>
            </w:r>
          </w:p>
        </w:tc>
        <w:tc>
          <w:tcPr>
            <w:tcW w:w="4080" w:type="pct"/>
            <w:noWrap w:val="0"/>
            <w:vAlign w:val="center"/>
          </w:tcPr>
          <w:p w14:paraId="27517F1F">
            <w:pPr>
              <w:pageBreakBefore w:val="0"/>
              <w:widowControl w:val="0"/>
              <w:wordWrap/>
              <w:overflowPunct/>
              <w:topLinePunct w:val="0"/>
              <w:bidi w:val="0"/>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管理后台支持Window操作系统IE8版以上、Chrome、360等主流浏览器访问，支持Mac OS操作系统Safari浏览器服务。</w:t>
            </w:r>
          </w:p>
        </w:tc>
      </w:tr>
      <w:tr w14:paraId="0801D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 w:type="pct"/>
            <w:noWrap w:val="0"/>
            <w:vAlign w:val="center"/>
          </w:tcPr>
          <w:p w14:paraId="279BAB33">
            <w:pPr>
              <w:pageBreakBefore w:val="0"/>
              <w:widowControl w:val="0"/>
              <w:numPr>
                <w:ilvl w:val="0"/>
                <w:numId w:val="21"/>
              </w:numPr>
              <w:tabs>
                <w:tab w:val="left" w:pos="420"/>
                <w:tab w:val="clear" w:pos="0"/>
              </w:tabs>
              <w:wordWrap/>
              <w:overflowPunct/>
              <w:topLinePunct w:val="0"/>
              <w:bidi w:val="0"/>
              <w:spacing w:line="360" w:lineRule="auto"/>
              <w:ind w:left="425" w:leftChars="0" w:hanging="425" w:firstLineChars="0"/>
              <w:jc w:val="center"/>
              <w:rPr>
                <w:rFonts w:hint="eastAsia" w:ascii="宋体" w:hAnsi="宋体" w:eastAsia="宋体" w:cs="宋体"/>
                <w:sz w:val="24"/>
                <w:szCs w:val="24"/>
              </w:rPr>
            </w:pPr>
          </w:p>
        </w:tc>
        <w:tc>
          <w:tcPr>
            <w:tcW w:w="554" w:type="pct"/>
            <w:noWrap w:val="0"/>
            <w:vAlign w:val="center"/>
          </w:tcPr>
          <w:p w14:paraId="3C5678D3">
            <w:pPr>
              <w:pageBreakBefore w:val="0"/>
              <w:widowControl w:val="0"/>
              <w:wordWrap/>
              <w:overflowPunct/>
              <w:topLinePunct w:val="0"/>
              <w:bidi w:val="0"/>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平台接口</w:t>
            </w:r>
          </w:p>
        </w:tc>
        <w:tc>
          <w:tcPr>
            <w:tcW w:w="4080" w:type="pct"/>
            <w:noWrap w:val="0"/>
            <w:vAlign w:val="center"/>
          </w:tcPr>
          <w:p w14:paraId="2E98E05F">
            <w:pPr>
              <w:pageBreakBefore w:val="0"/>
              <w:widowControl w:val="0"/>
              <w:wordWrap/>
              <w:overflowPunct/>
              <w:topLinePunct w:val="0"/>
              <w:bidi w:val="0"/>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（1）平台采用标准RESTful协议提供服务对外接口服务，支持跨平台的HTTP的请求，以保证系统的扩展性，能够与上级</w:t>
            </w:r>
            <w:r>
              <w:rPr>
                <w:rFonts w:hint="eastAsia" w:ascii="宋体" w:hAnsi="宋体" w:eastAsia="宋体" w:cs="宋体"/>
                <w:sz w:val="24"/>
                <w:szCs w:val="24"/>
                <w:lang w:val="en-US" w:eastAsia="zh-CN"/>
              </w:rPr>
              <w:t>教育</w:t>
            </w:r>
            <w:r>
              <w:rPr>
                <w:rFonts w:hint="eastAsia" w:ascii="宋体" w:hAnsi="宋体" w:eastAsia="宋体" w:cs="宋体"/>
                <w:sz w:val="24"/>
                <w:szCs w:val="24"/>
              </w:rPr>
              <w:t>管理系统数据上报接口；</w:t>
            </w:r>
          </w:p>
          <w:p w14:paraId="5AE9340B">
            <w:pPr>
              <w:pageBreakBefore w:val="0"/>
              <w:widowControl w:val="0"/>
              <w:wordWrap/>
              <w:overflowPunct/>
              <w:topLinePunct w:val="0"/>
              <w:bidi w:val="0"/>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（2）平台采用标准JSon格式完成接口间调用或前后端的数据传输。</w:t>
            </w:r>
          </w:p>
        </w:tc>
      </w:tr>
      <w:tr w14:paraId="711CD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 w:type="pct"/>
            <w:noWrap w:val="0"/>
            <w:vAlign w:val="center"/>
          </w:tcPr>
          <w:p w14:paraId="334592E8">
            <w:pPr>
              <w:pageBreakBefore w:val="0"/>
              <w:widowControl w:val="0"/>
              <w:numPr>
                <w:ilvl w:val="0"/>
                <w:numId w:val="21"/>
              </w:numPr>
              <w:tabs>
                <w:tab w:val="left" w:pos="420"/>
                <w:tab w:val="clear" w:pos="0"/>
              </w:tabs>
              <w:wordWrap/>
              <w:overflowPunct/>
              <w:topLinePunct w:val="0"/>
              <w:bidi w:val="0"/>
              <w:spacing w:line="360" w:lineRule="auto"/>
              <w:ind w:left="425" w:leftChars="0" w:hanging="425" w:firstLineChars="0"/>
              <w:jc w:val="center"/>
              <w:rPr>
                <w:rFonts w:hint="eastAsia" w:ascii="宋体" w:hAnsi="宋体" w:eastAsia="宋体" w:cs="宋体"/>
                <w:sz w:val="24"/>
                <w:szCs w:val="24"/>
              </w:rPr>
            </w:pPr>
          </w:p>
        </w:tc>
        <w:tc>
          <w:tcPr>
            <w:tcW w:w="554" w:type="pct"/>
            <w:noWrap w:val="0"/>
            <w:vAlign w:val="center"/>
          </w:tcPr>
          <w:p w14:paraId="103765D5">
            <w:pPr>
              <w:pageBreakBefore w:val="0"/>
              <w:widowControl w:val="0"/>
              <w:wordWrap/>
              <w:overflowPunct/>
              <w:topLinePunct w:val="0"/>
              <w:bidi w:val="0"/>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系统并发支撑能力</w:t>
            </w:r>
          </w:p>
        </w:tc>
        <w:tc>
          <w:tcPr>
            <w:tcW w:w="4080" w:type="pct"/>
            <w:noWrap w:val="0"/>
            <w:vAlign w:val="center"/>
          </w:tcPr>
          <w:p w14:paraId="1C373A46">
            <w:pPr>
              <w:pageBreakBefore w:val="0"/>
              <w:widowControl w:val="0"/>
              <w:wordWrap/>
              <w:overflowPunct/>
              <w:topLinePunct w:val="0"/>
              <w:bidi w:val="0"/>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平台支持多个应用系统的服务请求响应，能同时响应多个外部系统的多个反馈消息。能满足并发事件响应能力的需求，能杜绝消息阻塞、提高事务处理效率。</w:t>
            </w:r>
          </w:p>
          <w:p w14:paraId="76437402">
            <w:pPr>
              <w:pageBreakBefore w:val="0"/>
              <w:widowControl w:val="0"/>
              <w:wordWrap/>
              <w:overflowPunct/>
              <w:topLinePunct w:val="0"/>
              <w:bidi w:val="0"/>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（1）平台的系统设计满足大规模用户使用，应满足并发数不少于</w:t>
            </w:r>
            <w:r>
              <w:rPr>
                <w:rFonts w:hint="eastAsia" w:ascii="宋体" w:hAnsi="宋体" w:eastAsia="宋体" w:cs="宋体"/>
                <w:sz w:val="24"/>
                <w:szCs w:val="24"/>
                <w:lang w:val="en-US" w:eastAsia="zh-CN"/>
              </w:rPr>
              <w:t>5</w:t>
            </w:r>
            <w:r>
              <w:rPr>
                <w:rFonts w:hint="eastAsia" w:ascii="宋体" w:hAnsi="宋体" w:eastAsia="宋体" w:cs="宋体"/>
                <w:sz w:val="24"/>
                <w:szCs w:val="24"/>
              </w:rPr>
              <w:t>千，同时在线人数不少于</w:t>
            </w:r>
            <w:r>
              <w:rPr>
                <w:rFonts w:hint="eastAsia" w:ascii="宋体" w:hAnsi="宋体" w:eastAsia="宋体" w:cs="宋体"/>
                <w:sz w:val="24"/>
                <w:szCs w:val="24"/>
                <w:lang w:val="en-US" w:eastAsia="zh-CN"/>
              </w:rPr>
              <w:t>1</w:t>
            </w:r>
            <w:r>
              <w:rPr>
                <w:rFonts w:hint="eastAsia" w:ascii="宋体" w:hAnsi="宋体" w:eastAsia="宋体" w:cs="宋体"/>
                <w:sz w:val="24"/>
                <w:szCs w:val="24"/>
              </w:rPr>
              <w:t>万，同时在线视频数不少于</w:t>
            </w:r>
            <w:r>
              <w:rPr>
                <w:rFonts w:hint="eastAsia" w:ascii="宋体" w:hAnsi="宋体" w:eastAsia="宋体" w:cs="宋体"/>
                <w:sz w:val="24"/>
                <w:szCs w:val="24"/>
                <w:lang w:val="en-US" w:eastAsia="zh-CN"/>
              </w:rPr>
              <w:t>1</w:t>
            </w:r>
            <w:r>
              <w:rPr>
                <w:rFonts w:hint="eastAsia" w:ascii="宋体" w:hAnsi="宋体" w:eastAsia="宋体" w:cs="宋体"/>
                <w:sz w:val="24"/>
                <w:szCs w:val="24"/>
              </w:rPr>
              <w:t>万，平台人数不少于10万的性能要求；</w:t>
            </w:r>
          </w:p>
          <w:p w14:paraId="7D6F1BFD">
            <w:pPr>
              <w:pageBreakBefore w:val="0"/>
              <w:widowControl w:val="0"/>
              <w:wordWrap/>
              <w:overflowPunct/>
              <w:topLinePunct w:val="0"/>
              <w:bidi w:val="0"/>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（2）页面响应不高于3秒；检索响应不高于3秒；视频点播响应不高于6秒。</w:t>
            </w:r>
          </w:p>
        </w:tc>
      </w:tr>
      <w:tr w14:paraId="206D4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365" w:type="pct"/>
            <w:noWrap w:val="0"/>
            <w:vAlign w:val="center"/>
          </w:tcPr>
          <w:p w14:paraId="4368FC40">
            <w:pPr>
              <w:pageBreakBefore w:val="0"/>
              <w:widowControl w:val="0"/>
              <w:numPr>
                <w:ilvl w:val="0"/>
                <w:numId w:val="21"/>
              </w:numPr>
              <w:tabs>
                <w:tab w:val="left" w:pos="420"/>
                <w:tab w:val="clear" w:pos="0"/>
              </w:tabs>
              <w:wordWrap/>
              <w:overflowPunct/>
              <w:topLinePunct w:val="0"/>
              <w:bidi w:val="0"/>
              <w:spacing w:line="360" w:lineRule="auto"/>
              <w:ind w:left="425" w:leftChars="0" w:hanging="425" w:firstLineChars="0"/>
              <w:jc w:val="center"/>
              <w:rPr>
                <w:rFonts w:hint="eastAsia" w:ascii="宋体" w:hAnsi="宋体" w:eastAsia="宋体" w:cs="宋体"/>
                <w:sz w:val="24"/>
                <w:szCs w:val="24"/>
              </w:rPr>
            </w:pPr>
          </w:p>
        </w:tc>
        <w:tc>
          <w:tcPr>
            <w:tcW w:w="554" w:type="pct"/>
            <w:noWrap w:val="0"/>
            <w:vAlign w:val="center"/>
          </w:tcPr>
          <w:p w14:paraId="2FBFE13C">
            <w:pPr>
              <w:pageBreakBefore w:val="0"/>
              <w:widowControl w:val="0"/>
              <w:wordWrap/>
              <w:overflowPunct/>
              <w:topLinePunct w:val="0"/>
              <w:bidi w:val="0"/>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安全性</w:t>
            </w:r>
          </w:p>
        </w:tc>
        <w:tc>
          <w:tcPr>
            <w:tcW w:w="4080" w:type="pct"/>
            <w:noWrap w:val="0"/>
            <w:vAlign w:val="center"/>
          </w:tcPr>
          <w:p w14:paraId="7ACADCA6">
            <w:pPr>
              <w:pageBreakBefore w:val="0"/>
              <w:widowControl w:val="0"/>
              <w:wordWrap/>
              <w:overflowPunct/>
              <w:topLinePunct w:val="0"/>
              <w:bidi w:val="0"/>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（1）平台数据安全性：系统提供系统数据与应用安全的解决方案。实现每天单表、数据库备份，包括手动备份和自动备份；提供监控平台,7×24小时监控平台运行状况、与各性能指标；</w:t>
            </w:r>
          </w:p>
          <w:p w14:paraId="6EFE8E2A">
            <w:pPr>
              <w:pageBreakBefore w:val="0"/>
              <w:widowControl w:val="0"/>
              <w:wordWrap/>
              <w:overflowPunct/>
              <w:topLinePunct w:val="0"/>
              <w:bidi w:val="0"/>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（2）平台访问安全性：平台资源在使用过程中使用ssl进行加密传输，确保资源不会被第三方非法获得；平台能有效地防止常见的对于网站和信息系统的攻击。</w:t>
            </w:r>
          </w:p>
        </w:tc>
      </w:tr>
      <w:tr w14:paraId="5B6D8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365" w:type="pct"/>
            <w:noWrap w:val="0"/>
            <w:vAlign w:val="center"/>
          </w:tcPr>
          <w:p w14:paraId="6253423B">
            <w:pPr>
              <w:pageBreakBefore w:val="0"/>
              <w:widowControl w:val="0"/>
              <w:numPr>
                <w:ilvl w:val="0"/>
                <w:numId w:val="21"/>
              </w:numPr>
              <w:tabs>
                <w:tab w:val="left" w:pos="420"/>
                <w:tab w:val="clear" w:pos="0"/>
              </w:tabs>
              <w:wordWrap/>
              <w:overflowPunct/>
              <w:topLinePunct w:val="0"/>
              <w:bidi w:val="0"/>
              <w:spacing w:line="360" w:lineRule="auto"/>
              <w:ind w:left="425" w:leftChars="0" w:hanging="425" w:firstLineChars="0"/>
              <w:jc w:val="center"/>
              <w:rPr>
                <w:rFonts w:hint="eastAsia" w:ascii="宋体" w:hAnsi="宋体" w:eastAsia="宋体" w:cs="宋体"/>
                <w:sz w:val="24"/>
                <w:szCs w:val="24"/>
              </w:rPr>
            </w:pPr>
          </w:p>
        </w:tc>
        <w:tc>
          <w:tcPr>
            <w:tcW w:w="554" w:type="pct"/>
            <w:noWrap w:val="0"/>
            <w:vAlign w:val="center"/>
          </w:tcPr>
          <w:p w14:paraId="374BCD40">
            <w:pPr>
              <w:pageBreakBefore w:val="0"/>
              <w:widowControl w:val="0"/>
              <w:wordWrap/>
              <w:overflowPunct/>
              <w:topLinePunct w:val="0"/>
              <w:bidi w:val="0"/>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移动端</w:t>
            </w:r>
          </w:p>
        </w:tc>
        <w:tc>
          <w:tcPr>
            <w:tcW w:w="4080" w:type="pct"/>
            <w:noWrap w:val="0"/>
            <w:vAlign w:val="center"/>
          </w:tcPr>
          <w:p w14:paraId="540FC494">
            <w:pPr>
              <w:pageBreakBefore w:val="0"/>
              <w:widowControl w:val="0"/>
              <w:wordWrap/>
              <w:overflowPunct/>
              <w:topLinePunct w:val="0"/>
              <w:bidi w:val="0"/>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支持IOS、安卓、鸿蒙等操作系统。</w:t>
            </w:r>
          </w:p>
        </w:tc>
      </w:tr>
      <w:tr w14:paraId="3EA9C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365" w:type="pct"/>
            <w:noWrap w:val="0"/>
            <w:vAlign w:val="center"/>
          </w:tcPr>
          <w:p w14:paraId="58ADF399">
            <w:pPr>
              <w:pageBreakBefore w:val="0"/>
              <w:widowControl w:val="0"/>
              <w:numPr>
                <w:ilvl w:val="0"/>
                <w:numId w:val="21"/>
              </w:numPr>
              <w:tabs>
                <w:tab w:val="left" w:pos="420"/>
                <w:tab w:val="clear" w:pos="0"/>
              </w:tabs>
              <w:wordWrap/>
              <w:overflowPunct/>
              <w:topLinePunct w:val="0"/>
              <w:bidi w:val="0"/>
              <w:spacing w:line="360" w:lineRule="auto"/>
              <w:ind w:left="425" w:leftChars="0" w:hanging="425" w:firstLineChars="0"/>
              <w:jc w:val="center"/>
              <w:rPr>
                <w:rFonts w:hint="eastAsia" w:ascii="宋体" w:hAnsi="宋体" w:eastAsia="宋体" w:cs="宋体"/>
                <w:sz w:val="24"/>
                <w:szCs w:val="24"/>
              </w:rPr>
            </w:pPr>
          </w:p>
        </w:tc>
        <w:tc>
          <w:tcPr>
            <w:tcW w:w="554" w:type="pct"/>
            <w:noWrap w:val="0"/>
            <w:vAlign w:val="center"/>
          </w:tcPr>
          <w:p w14:paraId="0935ACAB">
            <w:pPr>
              <w:pageBreakBefore w:val="0"/>
              <w:widowControl w:val="0"/>
              <w:wordWrap/>
              <w:overflowPunct/>
              <w:topLinePunct w:val="0"/>
              <w:bidi w:val="0"/>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PC端</w:t>
            </w:r>
          </w:p>
        </w:tc>
        <w:tc>
          <w:tcPr>
            <w:tcW w:w="4080" w:type="pct"/>
            <w:noWrap w:val="0"/>
            <w:vAlign w:val="center"/>
          </w:tcPr>
          <w:p w14:paraId="6D7C0552">
            <w:pPr>
              <w:pageBreakBefore w:val="0"/>
              <w:widowControl w:val="0"/>
              <w:wordWrap/>
              <w:overflowPunct/>
              <w:topLinePunct w:val="0"/>
              <w:bidi w:val="0"/>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支持Windows、MacOS等操作系统。</w:t>
            </w:r>
          </w:p>
        </w:tc>
      </w:tr>
      <w:tr w14:paraId="1652A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 w:type="pct"/>
            <w:noWrap w:val="0"/>
            <w:vAlign w:val="center"/>
          </w:tcPr>
          <w:p w14:paraId="7530CF85">
            <w:pPr>
              <w:pageBreakBefore w:val="0"/>
              <w:widowControl w:val="0"/>
              <w:numPr>
                <w:ilvl w:val="0"/>
                <w:numId w:val="21"/>
              </w:numPr>
              <w:tabs>
                <w:tab w:val="left" w:pos="420"/>
                <w:tab w:val="clear" w:pos="0"/>
              </w:tabs>
              <w:wordWrap/>
              <w:overflowPunct/>
              <w:topLinePunct w:val="0"/>
              <w:bidi w:val="0"/>
              <w:spacing w:line="360" w:lineRule="auto"/>
              <w:ind w:left="425" w:leftChars="0" w:hanging="425" w:firstLineChars="0"/>
              <w:jc w:val="center"/>
              <w:rPr>
                <w:rFonts w:hint="eastAsia" w:ascii="宋体" w:hAnsi="宋体" w:eastAsia="宋体" w:cs="宋体"/>
                <w:sz w:val="24"/>
                <w:szCs w:val="24"/>
              </w:rPr>
            </w:pPr>
          </w:p>
        </w:tc>
        <w:tc>
          <w:tcPr>
            <w:tcW w:w="554" w:type="pct"/>
            <w:noWrap w:val="0"/>
            <w:vAlign w:val="center"/>
          </w:tcPr>
          <w:p w14:paraId="2BE57014">
            <w:pPr>
              <w:pageBreakBefore w:val="0"/>
              <w:widowControl w:val="0"/>
              <w:wordWrap/>
              <w:overflowPunct/>
              <w:topLinePunct w:val="0"/>
              <w:bidi w:val="0"/>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信息标准</w:t>
            </w:r>
          </w:p>
        </w:tc>
        <w:tc>
          <w:tcPr>
            <w:tcW w:w="4080" w:type="pct"/>
            <w:noWrap w:val="0"/>
            <w:vAlign w:val="center"/>
          </w:tcPr>
          <w:p w14:paraId="33EA0094">
            <w:pPr>
              <w:pageBreakBefore w:val="0"/>
              <w:widowControl w:val="0"/>
              <w:wordWrap/>
              <w:overflowPunct/>
              <w:topLinePunct w:val="0"/>
              <w:bidi w:val="0"/>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lang w:val="en-US" w:eastAsia="zh-Hans"/>
              </w:rPr>
              <w:t>系统应遵守《教育部关于发布〈教育管理信息教育管理基础代码〉等七个教育信息化行业标准的通知》（教技〔2012〕3号）中的《教育管理信息教育管理基础信息》《教育管理信息高等学校管理信息》等信息化标准。</w:t>
            </w:r>
          </w:p>
        </w:tc>
      </w:tr>
    </w:tbl>
    <w:p w14:paraId="4C309AF2">
      <w:pPr>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sz w:val="24"/>
          <w:szCs w:val="24"/>
          <w:lang w:val="en-US" w:eastAsia="zh-CN"/>
        </w:rPr>
      </w:pPr>
    </w:p>
    <w:p w14:paraId="0391C37D">
      <w:pPr>
        <w:rPr>
          <w:rFonts w:hint="eastAsia" w:ascii="宋体" w:hAnsi="宋体" w:eastAsia="宋体" w:cs="宋体"/>
          <w:sz w:val="24"/>
          <w:szCs w:val="24"/>
          <w:lang w:val="en-US" w:eastAsia="zh-CN"/>
        </w:rPr>
      </w:pPr>
    </w:p>
    <w:p w14:paraId="07B5685E">
      <w:pPr>
        <w:rPr>
          <w:rFonts w:hint="eastAsia" w:ascii="宋体" w:hAnsi="宋体" w:eastAsia="宋体" w:cs="宋体"/>
          <w:sz w:val="24"/>
          <w:szCs w:val="24"/>
        </w:rPr>
      </w:pPr>
    </w:p>
    <w:p w14:paraId="6618E59F">
      <w:pPr>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sz w:val="24"/>
          <w:szCs w:val="24"/>
          <w:lang w:val="en-US" w:eastAsia="zh-CN"/>
        </w:rPr>
      </w:pPr>
    </w:p>
    <w:p w14:paraId="38BFF491">
      <w:pPr>
        <w:rPr>
          <w:rFonts w:hint="eastAsia" w:ascii="宋体" w:hAnsi="宋体" w:eastAsia="宋体" w:cs="宋体"/>
          <w:sz w:val="24"/>
          <w:szCs w:val="24"/>
          <w:lang w:val="en-US" w:eastAsia="zh-CN"/>
        </w:rPr>
      </w:pPr>
    </w:p>
    <w:p w14:paraId="25468D47">
      <w:pPr>
        <w:rPr>
          <w:rFonts w:hint="eastAsia" w:ascii="宋体" w:hAnsi="宋体" w:eastAsia="宋体" w:cs="宋体"/>
          <w:sz w:val="24"/>
          <w:szCs w:val="24"/>
          <w:lang w:val="en-US" w:eastAsia="zh-CN"/>
        </w:rPr>
      </w:pPr>
    </w:p>
    <w:p w14:paraId="06A6B1B4">
      <w:pPr>
        <w:pStyle w:val="29"/>
        <w:ind w:firstLine="480" w:firstLineChars="200"/>
        <w:jc w:val="left"/>
        <w:rPr>
          <w:rFonts w:hint="eastAsia" w:ascii="宋体" w:hAnsi="宋体" w:eastAsia="宋体" w:cs="宋体"/>
          <w:color w:val="auto"/>
          <w:sz w:val="24"/>
          <w:highlight w:val="none"/>
          <w:lang w:val="en-US" w:eastAsia="zh-CN"/>
        </w:rPr>
      </w:pPr>
    </w:p>
    <w:sectPr>
      <w:footerReference r:id="rId11" w:type="default"/>
      <w:pgSz w:w="11905" w:h="16838"/>
      <w:pgMar w:top="1440" w:right="1803" w:bottom="1440" w:left="1803" w:header="1020" w:footer="867" w:gutter="0"/>
      <w:paperSrc/>
      <w:pgBorders w:offsetFrom="page">
        <w:top w:val="single" w:color="auto" w:sz="12" w:space="24"/>
        <w:left w:val="single" w:color="auto" w:sz="12" w:space="24"/>
        <w:bottom w:val="single" w:color="auto" w:sz="12" w:space="24"/>
        <w:right w:val="single" w:color="auto" w:sz="12" w:space="24"/>
      </w:pgBorders>
      <w:pgNumType w:start="1"/>
      <w:cols w:space="72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2FF" w:usb1="400004FF" w:usb2="00000000" w:usb3="00000000" w:csb0="2000019F" w:csb1="00000000"/>
  </w:font>
  <w:font w:name="Arial Unicode MS">
    <w:panose1 w:val="020B0604020202020204"/>
    <w:charset w:val="86"/>
    <w:family w:val="auto"/>
    <w:pitch w:val="default"/>
    <w:sig w:usb0="FFFFFFFF" w:usb1="E9FFFFFF" w:usb2="0000003F" w:usb3="00000000" w:csb0="603F01FF" w:csb1="FFFF0000"/>
  </w:font>
  <w:font w:name="Adobe 仿宋 Std R">
    <w:altName w:val="仿宋"/>
    <w:panose1 w:val="00000000000000000000"/>
    <w:charset w:val="86"/>
    <w:family w:val="auto"/>
    <w:pitch w:val="default"/>
    <w:sig w:usb0="00000000" w:usb1="00000000" w:usb2="00000016" w:usb3="00000000" w:csb0="00060007"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E7A20B">
    <w:pPr>
      <w:pStyle w:val="14"/>
      <w:tabs>
        <w:tab w:val="center" w:pos="4153"/>
        <w:tab w:val="right" w:pos="8306"/>
        <w:tab w:val="clear" w:pos="4140"/>
        <w:tab w:val="clear" w:pos="8300"/>
      </w:tabs>
      <w:ind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0F4FD">
    <w:pPr>
      <w:pStyle w:val="14"/>
      <w:framePr w:wrap="around" w:vAnchor="text" w:hAnchor="margin" w:xAlign="center" w:y="1"/>
      <w:tabs>
        <w:tab w:val="center" w:pos="4153"/>
        <w:tab w:val="right" w:pos="8306"/>
        <w:tab w:val="clear" w:pos="4140"/>
        <w:tab w:val="clear" w:pos="8300"/>
      </w:tabs>
      <w:ind w:firstLine="360"/>
      <w:rPr>
        <w:rStyle w:val="26"/>
      </w:rPr>
    </w:pPr>
    <w:r>
      <w:fldChar w:fldCharType="begin"/>
    </w:r>
    <w:r>
      <w:rPr>
        <w:rStyle w:val="26"/>
      </w:rPr>
      <w:instrText xml:space="preserve">PAGE  </w:instrText>
    </w:r>
    <w:r>
      <w:fldChar w:fldCharType="separate"/>
    </w:r>
    <w:r>
      <w:fldChar w:fldCharType="end"/>
    </w:r>
  </w:p>
  <w:p w14:paraId="4B4ECDE4">
    <w:pPr>
      <w:pStyle w:val="14"/>
      <w:tabs>
        <w:tab w:val="center" w:pos="4153"/>
        <w:tab w:val="right" w:pos="8306"/>
        <w:tab w:val="clear" w:pos="4140"/>
        <w:tab w:val="clear" w:pos="8300"/>
      </w:tabs>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54C4E">
    <w:pPr>
      <w:pStyle w:val="14"/>
      <w:tabs>
        <w:tab w:val="center" w:pos="4153"/>
        <w:tab w:val="right" w:pos="8306"/>
        <w:tab w:val="clear" w:pos="4140"/>
        <w:tab w:val="clear" w:pos="8300"/>
      </w:tabs>
      <w:ind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ED355">
    <w:pPr>
      <w:pStyle w:val="14"/>
      <w:tabs>
        <w:tab w:val="center" w:pos="4153"/>
        <w:tab w:val="right" w:pos="8306"/>
        <w:tab w:val="clear" w:pos="4140"/>
        <w:tab w:val="clear" w:pos="8300"/>
      </w:tabs>
      <w:ind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矩形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446B79AE">
                          <w:pPr>
                            <w:pStyle w:val="14"/>
                          </w:pPr>
                          <w:r>
                            <w:fldChar w:fldCharType="begin"/>
                          </w:r>
                          <w:r>
                            <w:instrText xml:space="preserve"> PAGE  \* MERGEFORMAT </w:instrText>
                          </w:r>
                          <w:r>
                            <w:fldChar w:fldCharType="separate"/>
                          </w:r>
                          <w:r>
                            <w:t>17</w:t>
                          </w:r>
                          <w:r>
                            <w:fldChar w:fldCharType="end"/>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DfGHFbvwEAAIwDAAAOAAAAAAAAAAEAIAAAAB8BAABkcnMvZTJvRG9jLnhtbFBLBQYA&#10;AAAABgAGAFkBAABQBQAAAAA=&#10;">
              <v:fill on="f" focussize="0,0"/>
              <v:stroke on="f"/>
              <v:imagedata o:title=""/>
              <o:lock v:ext="edit" aspectratio="f"/>
              <v:textbox inset="0mm,0mm,0mm,0mm" style="mso-fit-shape-to-text:t;">
                <w:txbxContent>
                  <w:p w14:paraId="446B79AE">
                    <w:pPr>
                      <w:pStyle w:val="14"/>
                    </w:pPr>
                    <w:r>
                      <w:fldChar w:fldCharType="begin"/>
                    </w:r>
                    <w:r>
                      <w:instrText xml:space="preserve"> PAGE  \* MERGEFORMAT </w:instrText>
                    </w:r>
                    <w:r>
                      <w:fldChar w:fldCharType="separate"/>
                    </w:r>
                    <w:r>
                      <w:t>17</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D6140">
    <w:pPr>
      <w:pStyle w:val="15"/>
      <w:pBdr>
        <w:bottom w:val="none" w:color="auto" w:sz="0" w:space="1"/>
      </w:pBdr>
      <w:jc w:val="both"/>
    </w:pPr>
    <w:r>
      <w:rPr>
        <w:rFonts w:hint="eastAsia"/>
        <w:b/>
        <w:color w:val="C00000"/>
      </w:rPr>
      <w:drawing>
        <wp:anchor distT="0" distB="0" distL="114300" distR="114300" simplePos="0" relativeHeight="251659264" behindDoc="1" locked="0" layoutInCell="1" allowOverlap="1">
          <wp:simplePos x="0" y="0"/>
          <wp:positionH relativeFrom="column">
            <wp:posOffset>12700</wp:posOffset>
          </wp:positionH>
          <wp:positionV relativeFrom="paragraph">
            <wp:posOffset>-147320</wp:posOffset>
          </wp:positionV>
          <wp:extent cx="401320" cy="396240"/>
          <wp:effectExtent l="0" t="0" r="10160" b="0"/>
          <wp:wrapTight wrapText="bothSides">
            <wp:wrapPolygon>
              <wp:start x="0" y="0"/>
              <wp:lineTo x="0" y="20769"/>
              <wp:lineTo x="20506" y="20769"/>
              <wp:lineTo x="20506"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401320" cy="39624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DEE4E">
    <w:pPr>
      <w:pStyle w:val="15"/>
      <w:tabs>
        <w:tab w:val="center" w:pos="4153"/>
        <w:tab w:val="right" w:pos="8306"/>
        <w:tab w:val="clear" w:pos="4140"/>
        <w:tab w:val="clear" w:pos="8300"/>
      </w:tabs>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33773">
    <w:pPr>
      <w:pStyle w:val="15"/>
      <w:tabs>
        <w:tab w:val="center" w:pos="4153"/>
        <w:tab w:val="right" w:pos="8306"/>
        <w:tab w:val="clear" w:pos="4140"/>
        <w:tab w:val="clear" w:pos="8300"/>
      </w:tabs>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A442B6"/>
    <w:multiLevelType w:val="singleLevel"/>
    <w:tmpl w:val="84A442B6"/>
    <w:lvl w:ilvl="0" w:tentative="0">
      <w:start w:val="1"/>
      <w:numFmt w:val="decimal"/>
      <w:lvlText w:val="(%1)"/>
      <w:lvlJc w:val="left"/>
      <w:pPr>
        <w:tabs>
          <w:tab w:val="left" w:pos="-840"/>
        </w:tabs>
        <w:ind w:left="-415" w:hanging="425"/>
      </w:pPr>
      <w:rPr>
        <w:rFonts w:hint="default"/>
      </w:rPr>
    </w:lvl>
  </w:abstractNum>
  <w:abstractNum w:abstractNumId="1">
    <w:nsid w:val="BEAE9D80"/>
    <w:multiLevelType w:val="singleLevel"/>
    <w:tmpl w:val="BEAE9D80"/>
    <w:lvl w:ilvl="0" w:tentative="0">
      <w:start w:val="1"/>
      <w:numFmt w:val="decimal"/>
      <w:suff w:val="nothing"/>
      <w:lvlText w:val="%1．"/>
      <w:lvlJc w:val="left"/>
      <w:pPr>
        <w:ind w:left="0" w:firstLine="400"/>
      </w:pPr>
      <w:rPr>
        <w:rFonts w:hint="default"/>
      </w:rPr>
    </w:lvl>
  </w:abstractNum>
  <w:abstractNum w:abstractNumId="2">
    <w:nsid w:val="BEFB2A77"/>
    <w:multiLevelType w:val="singleLevel"/>
    <w:tmpl w:val="BEFB2A77"/>
    <w:lvl w:ilvl="0" w:tentative="0">
      <w:start w:val="1"/>
      <w:numFmt w:val="decimal"/>
      <w:lvlText w:val="(%1)"/>
      <w:lvlJc w:val="left"/>
      <w:pPr>
        <w:tabs>
          <w:tab w:val="left" w:pos="-840"/>
        </w:tabs>
        <w:ind w:left="-415" w:hanging="425"/>
      </w:pPr>
      <w:rPr>
        <w:rFonts w:hint="default"/>
      </w:rPr>
    </w:lvl>
  </w:abstractNum>
  <w:abstractNum w:abstractNumId="3">
    <w:nsid w:val="C60F951D"/>
    <w:multiLevelType w:val="singleLevel"/>
    <w:tmpl w:val="C60F951D"/>
    <w:lvl w:ilvl="0" w:tentative="0">
      <w:start w:val="1"/>
      <w:numFmt w:val="decimal"/>
      <w:suff w:val="nothing"/>
      <w:lvlText w:val="%1．"/>
      <w:lvlJc w:val="left"/>
      <w:pPr>
        <w:ind w:left="0" w:firstLine="400"/>
      </w:pPr>
      <w:rPr>
        <w:rFonts w:hint="default"/>
      </w:rPr>
    </w:lvl>
  </w:abstractNum>
  <w:abstractNum w:abstractNumId="4">
    <w:nsid w:val="CD34D17E"/>
    <w:multiLevelType w:val="singleLevel"/>
    <w:tmpl w:val="CD34D17E"/>
    <w:lvl w:ilvl="0" w:tentative="0">
      <w:start w:val="1"/>
      <w:numFmt w:val="decimal"/>
      <w:lvlText w:val="%1)"/>
      <w:lvlJc w:val="left"/>
      <w:pPr>
        <w:ind w:left="425" w:hanging="425"/>
      </w:pPr>
      <w:rPr>
        <w:rFonts w:hint="default"/>
      </w:rPr>
    </w:lvl>
  </w:abstractNum>
  <w:abstractNum w:abstractNumId="5">
    <w:nsid w:val="ED19E434"/>
    <w:multiLevelType w:val="singleLevel"/>
    <w:tmpl w:val="ED19E434"/>
    <w:lvl w:ilvl="0" w:tentative="0">
      <w:start w:val="1"/>
      <w:numFmt w:val="decimal"/>
      <w:lvlText w:val="(%1)"/>
      <w:lvlJc w:val="left"/>
      <w:pPr>
        <w:ind w:left="425" w:hanging="425"/>
      </w:pPr>
      <w:rPr>
        <w:rFonts w:hint="default"/>
      </w:rPr>
    </w:lvl>
  </w:abstractNum>
  <w:abstractNum w:abstractNumId="6">
    <w:nsid w:val="EF67EA0C"/>
    <w:multiLevelType w:val="singleLevel"/>
    <w:tmpl w:val="EF67EA0C"/>
    <w:lvl w:ilvl="0" w:tentative="0">
      <w:start w:val="1"/>
      <w:numFmt w:val="decimal"/>
      <w:suff w:val="nothing"/>
      <w:lvlText w:val="%1．"/>
      <w:lvlJc w:val="left"/>
      <w:pPr>
        <w:ind w:left="0" w:firstLine="400"/>
      </w:pPr>
      <w:rPr>
        <w:rFonts w:hint="default"/>
      </w:rPr>
    </w:lvl>
  </w:abstractNum>
  <w:abstractNum w:abstractNumId="7">
    <w:nsid w:val="00000002"/>
    <w:multiLevelType w:val="multilevel"/>
    <w:tmpl w:val="00000002"/>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40"/>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8">
    <w:nsid w:val="00000009"/>
    <w:multiLevelType w:val="singleLevel"/>
    <w:tmpl w:val="00000009"/>
    <w:lvl w:ilvl="0" w:tentative="0">
      <w:start w:val="6"/>
      <w:numFmt w:val="chineseCounting"/>
      <w:suff w:val="space"/>
      <w:lvlText w:val="第%1部分"/>
      <w:lvlJc w:val="left"/>
      <w:rPr>
        <w:rFonts w:hint="eastAsia"/>
      </w:rPr>
    </w:lvl>
  </w:abstractNum>
  <w:abstractNum w:abstractNumId="9">
    <w:nsid w:val="0000000A"/>
    <w:multiLevelType w:val="singleLevel"/>
    <w:tmpl w:val="0000000A"/>
    <w:lvl w:ilvl="0" w:tentative="0">
      <w:start w:val="1"/>
      <w:numFmt w:val="decimal"/>
      <w:suff w:val="nothing"/>
      <w:lvlText w:val="%1"/>
      <w:lvlJc w:val="left"/>
      <w:pPr>
        <w:tabs>
          <w:tab w:val="left" w:pos="0"/>
        </w:tabs>
        <w:ind w:left="0" w:firstLine="0"/>
      </w:pPr>
      <w:rPr>
        <w:rFonts w:hint="default"/>
      </w:rPr>
    </w:lvl>
  </w:abstractNum>
  <w:abstractNum w:abstractNumId="10">
    <w:nsid w:val="0000000C"/>
    <w:multiLevelType w:val="multilevel"/>
    <w:tmpl w:val="0000000C"/>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720"/>
        </w:tabs>
        <w:ind w:left="567" w:hanging="567"/>
      </w:pPr>
      <w:rPr>
        <w:rFonts w:hint="eastAsia"/>
      </w:rPr>
    </w:lvl>
    <w:lvl w:ilvl="2" w:tentative="0">
      <w:start w:val="1"/>
      <w:numFmt w:val="chineseCountingThousand"/>
      <w:pStyle w:val="4"/>
      <w:lvlText w:val="%3、"/>
      <w:lvlJc w:val="left"/>
      <w:pPr>
        <w:tabs>
          <w:tab w:val="left" w:pos="709"/>
        </w:tabs>
        <w:ind w:left="709" w:hanging="709"/>
      </w:pPr>
      <w:rPr>
        <w:rFonts w:hint="eastAsia"/>
        <w:b/>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1">
    <w:nsid w:val="0000000E"/>
    <w:multiLevelType w:val="multilevel"/>
    <w:tmpl w:val="0000000E"/>
    <w:lvl w:ilvl="0" w:tentative="0">
      <w:start w:val="1"/>
      <w:numFmt w:val="decimal"/>
      <w:lvlText w:val="（%1）"/>
      <w:lvlJc w:val="left"/>
      <w:pPr>
        <w:ind w:left="845" w:hanging="420"/>
      </w:pPr>
    </w:lvl>
    <w:lvl w:ilvl="1" w:tentative="0">
      <w:start w:val="1"/>
      <w:numFmt w:val="decimal"/>
      <w:lvlText w:val="%2."/>
      <w:lvlJc w:val="left"/>
      <w:pPr>
        <w:ind w:left="1130" w:hanging="420"/>
      </w:pPr>
      <w:rPr>
        <w:rFonts w:hint="eastAsia"/>
      </w:r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2">
    <w:nsid w:val="01E1271B"/>
    <w:multiLevelType w:val="singleLevel"/>
    <w:tmpl w:val="01E1271B"/>
    <w:lvl w:ilvl="0" w:tentative="0">
      <w:start w:val="1"/>
      <w:numFmt w:val="decimal"/>
      <w:lvlText w:val="%1)"/>
      <w:lvlJc w:val="left"/>
      <w:pPr>
        <w:ind w:left="425" w:hanging="425"/>
      </w:pPr>
      <w:rPr>
        <w:rFonts w:hint="default"/>
      </w:rPr>
    </w:lvl>
  </w:abstractNum>
  <w:abstractNum w:abstractNumId="13">
    <w:nsid w:val="1A3D46A0"/>
    <w:multiLevelType w:val="singleLevel"/>
    <w:tmpl w:val="1A3D46A0"/>
    <w:lvl w:ilvl="0" w:tentative="0">
      <w:start w:val="1"/>
      <w:numFmt w:val="decimal"/>
      <w:lvlText w:val="%1)"/>
      <w:lvlJc w:val="left"/>
      <w:pPr>
        <w:ind w:left="425" w:hanging="425"/>
      </w:pPr>
      <w:rPr>
        <w:rFonts w:hint="default"/>
      </w:rPr>
    </w:lvl>
  </w:abstractNum>
  <w:abstractNum w:abstractNumId="14">
    <w:nsid w:val="2768FE09"/>
    <w:multiLevelType w:val="singleLevel"/>
    <w:tmpl w:val="2768FE09"/>
    <w:lvl w:ilvl="0" w:tentative="0">
      <w:start w:val="1"/>
      <w:numFmt w:val="decimal"/>
      <w:suff w:val="nothing"/>
      <w:lvlText w:val="%1．"/>
      <w:lvlJc w:val="left"/>
      <w:pPr>
        <w:ind w:left="0" w:firstLine="400"/>
      </w:pPr>
      <w:rPr>
        <w:rFonts w:hint="default"/>
      </w:rPr>
    </w:lvl>
  </w:abstractNum>
  <w:abstractNum w:abstractNumId="15">
    <w:nsid w:val="277BCBF2"/>
    <w:multiLevelType w:val="singleLevel"/>
    <w:tmpl w:val="277BCBF2"/>
    <w:lvl w:ilvl="0" w:tentative="0">
      <w:start w:val="1"/>
      <w:numFmt w:val="decimal"/>
      <w:lvlText w:val="%1)"/>
      <w:lvlJc w:val="left"/>
      <w:pPr>
        <w:ind w:left="425" w:hanging="425"/>
      </w:pPr>
      <w:rPr>
        <w:rFonts w:hint="default"/>
      </w:rPr>
    </w:lvl>
  </w:abstractNum>
  <w:abstractNum w:abstractNumId="16">
    <w:nsid w:val="2DFCA530"/>
    <w:multiLevelType w:val="singleLevel"/>
    <w:tmpl w:val="2DFCA530"/>
    <w:lvl w:ilvl="0" w:tentative="0">
      <w:start w:val="1"/>
      <w:numFmt w:val="decimal"/>
      <w:lvlText w:val="%1)"/>
      <w:lvlJc w:val="left"/>
      <w:pPr>
        <w:ind w:left="425" w:hanging="425"/>
      </w:pPr>
      <w:rPr>
        <w:rFonts w:hint="default"/>
      </w:rPr>
    </w:lvl>
  </w:abstractNum>
  <w:abstractNum w:abstractNumId="17">
    <w:nsid w:val="40B0F21F"/>
    <w:multiLevelType w:val="singleLevel"/>
    <w:tmpl w:val="40B0F21F"/>
    <w:lvl w:ilvl="0" w:tentative="0">
      <w:start w:val="1"/>
      <w:numFmt w:val="decimal"/>
      <w:suff w:val="nothing"/>
      <w:lvlText w:val="%1"/>
      <w:lvlJc w:val="left"/>
      <w:pPr>
        <w:tabs>
          <w:tab w:val="left" w:pos="0"/>
        </w:tabs>
        <w:ind w:left="425" w:hanging="425"/>
      </w:pPr>
      <w:rPr>
        <w:rFonts w:hint="default"/>
      </w:rPr>
    </w:lvl>
  </w:abstractNum>
  <w:abstractNum w:abstractNumId="18">
    <w:nsid w:val="62A8D264"/>
    <w:multiLevelType w:val="singleLevel"/>
    <w:tmpl w:val="62A8D264"/>
    <w:lvl w:ilvl="0" w:tentative="0">
      <w:start w:val="1"/>
      <w:numFmt w:val="decimal"/>
      <w:lvlText w:val="%1)"/>
      <w:lvlJc w:val="left"/>
      <w:pPr>
        <w:ind w:left="425" w:hanging="425"/>
      </w:pPr>
      <w:rPr>
        <w:rFonts w:hint="default"/>
      </w:rPr>
    </w:lvl>
  </w:abstractNum>
  <w:abstractNum w:abstractNumId="19">
    <w:nsid w:val="75FACD7D"/>
    <w:multiLevelType w:val="singleLevel"/>
    <w:tmpl w:val="75FACD7D"/>
    <w:lvl w:ilvl="0" w:tentative="0">
      <w:start w:val="1"/>
      <w:numFmt w:val="decimal"/>
      <w:lvlText w:val="%1)"/>
      <w:lvlJc w:val="left"/>
      <w:pPr>
        <w:ind w:left="425" w:hanging="425"/>
      </w:pPr>
      <w:rPr>
        <w:rFonts w:hint="default"/>
      </w:rPr>
    </w:lvl>
  </w:abstractNum>
  <w:abstractNum w:abstractNumId="20">
    <w:nsid w:val="7D7BBCB8"/>
    <w:multiLevelType w:val="singleLevel"/>
    <w:tmpl w:val="7D7BBCB8"/>
    <w:lvl w:ilvl="0" w:tentative="0">
      <w:start w:val="1"/>
      <w:numFmt w:val="decimal"/>
      <w:lvlText w:val="%1)"/>
      <w:lvlJc w:val="left"/>
      <w:pPr>
        <w:ind w:left="425" w:hanging="425"/>
      </w:pPr>
      <w:rPr>
        <w:rFonts w:hint="default"/>
      </w:rPr>
    </w:lvl>
  </w:abstractNum>
  <w:num w:numId="1">
    <w:abstractNumId w:val="10"/>
  </w:num>
  <w:num w:numId="2">
    <w:abstractNumId w:val="7"/>
  </w:num>
  <w:num w:numId="3">
    <w:abstractNumId w:val="9"/>
  </w:num>
  <w:num w:numId="4">
    <w:abstractNumId w:val="11"/>
  </w:num>
  <w:num w:numId="5">
    <w:abstractNumId w:val="8"/>
  </w:num>
  <w:num w:numId="6">
    <w:abstractNumId w:val="6"/>
  </w:num>
  <w:num w:numId="7">
    <w:abstractNumId w:val="1"/>
  </w:num>
  <w:num w:numId="8">
    <w:abstractNumId w:val="3"/>
  </w:num>
  <w:num w:numId="9">
    <w:abstractNumId w:val="5"/>
  </w:num>
  <w:num w:numId="10">
    <w:abstractNumId w:val="14"/>
  </w:num>
  <w:num w:numId="11">
    <w:abstractNumId w:val="19"/>
  </w:num>
  <w:num w:numId="12">
    <w:abstractNumId w:val="2"/>
  </w:num>
  <w:num w:numId="13">
    <w:abstractNumId w:val="18"/>
  </w:num>
  <w:num w:numId="14">
    <w:abstractNumId w:val="13"/>
  </w:num>
  <w:num w:numId="15">
    <w:abstractNumId w:val="20"/>
  </w:num>
  <w:num w:numId="16">
    <w:abstractNumId w:val="15"/>
  </w:num>
  <w:num w:numId="17">
    <w:abstractNumId w:val="4"/>
  </w:num>
  <w:num w:numId="18">
    <w:abstractNumId w:val="16"/>
  </w:num>
  <w:num w:numId="19">
    <w:abstractNumId w:val="0"/>
  </w:num>
  <w:num w:numId="20">
    <w:abstractNumId w:val="1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5MmFhYWI0ZjRiOTEzN2JhMGRlOThjMTk1NDg2YzgifQ=="/>
  </w:docVars>
  <w:rsids>
    <w:rsidRoot w:val="00172A27"/>
    <w:rsid w:val="00213309"/>
    <w:rsid w:val="03CD3C47"/>
    <w:rsid w:val="047563BF"/>
    <w:rsid w:val="060A3515"/>
    <w:rsid w:val="09BA2AC6"/>
    <w:rsid w:val="113E520E"/>
    <w:rsid w:val="12B93B37"/>
    <w:rsid w:val="172C6A97"/>
    <w:rsid w:val="1856303E"/>
    <w:rsid w:val="1B66681C"/>
    <w:rsid w:val="1CD3207F"/>
    <w:rsid w:val="1F7A2683"/>
    <w:rsid w:val="20716DB5"/>
    <w:rsid w:val="2B26027D"/>
    <w:rsid w:val="2C312CC7"/>
    <w:rsid w:val="2F632595"/>
    <w:rsid w:val="3332654C"/>
    <w:rsid w:val="35BF6763"/>
    <w:rsid w:val="364639DC"/>
    <w:rsid w:val="38F835BE"/>
    <w:rsid w:val="40D777C3"/>
    <w:rsid w:val="4219265A"/>
    <w:rsid w:val="43F43539"/>
    <w:rsid w:val="4AC656F9"/>
    <w:rsid w:val="4B782460"/>
    <w:rsid w:val="4BDC0057"/>
    <w:rsid w:val="4E212B00"/>
    <w:rsid w:val="4ED066A7"/>
    <w:rsid w:val="4F3D3087"/>
    <w:rsid w:val="50011E81"/>
    <w:rsid w:val="500A342C"/>
    <w:rsid w:val="50DD5B89"/>
    <w:rsid w:val="51436A98"/>
    <w:rsid w:val="51C2179F"/>
    <w:rsid w:val="51E1236A"/>
    <w:rsid w:val="533C051F"/>
    <w:rsid w:val="551D23EA"/>
    <w:rsid w:val="56EB6742"/>
    <w:rsid w:val="5B192CFC"/>
    <w:rsid w:val="5B6B2994"/>
    <w:rsid w:val="60AE3E7D"/>
    <w:rsid w:val="61C471B3"/>
    <w:rsid w:val="64EC3485"/>
    <w:rsid w:val="696C085C"/>
    <w:rsid w:val="6E1A6AD8"/>
    <w:rsid w:val="717720EF"/>
    <w:rsid w:val="7A0435B7"/>
    <w:rsid w:val="7A9A70B1"/>
    <w:rsid w:val="7C9A763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qFormat="1" w:uiPriority="0" w:name="heading 5"/>
    <w:lsdException w:qFormat="1" w:uiPriority="0" w:name="heading 6"/>
    <w:lsdException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400" w:lineRule="atLeast"/>
      <w:jc w:val="both"/>
    </w:pPr>
    <w:rPr>
      <w:rFonts w:ascii="宋体" w:hAnsi="宋体" w:eastAsia="Times New Roman" w:cs="宋体"/>
      <w:color w:val="000000"/>
      <w:sz w:val="21"/>
      <w:lang w:val="en-US" w:eastAsia="zh-CN"/>
    </w:rPr>
  </w:style>
  <w:style w:type="paragraph" w:styleId="2">
    <w:name w:val="heading 1"/>
    <w:basedOn w:val="1"/>
    <w:next w:val="1"/>
    <w:uiPriority w:val="0"/>
    <w:pPr>
      <w:keepNext/>
      <w:keepLines/>
      <w:spacing w:before="340" w:beforeLines="0" w:after="330" w:afterLines="0" w:line="360" w:lineRule="auto"/>
      <w:jc w:val="center"/>
      <w:outlineLvl w:val="0"/>
    </w:pPr>
    <w:rPr>
      <w:rFonts w:ascii="Times New Roman" w:hAnsi="Times New Roman" w:eastAsia="宋体" w:cs="Times New Roman"/>
      <w:b/>
      <w:bCs/>
      <w:color w:val="auto"/>
      <w:kern w:val="44"/>
      <w:sz w:val="32"/>
      <w:szCs w:val="44"/>
    </w:rPr>
  </w:style>
  <w:style w:type="paragraph" w:styleId="3">
    <w:name w:val="heading 2"/>
    <w:basedOn w:val="1"/>
    <w:next w:val="1"/>
    <w:uiPriority w:val="0"/>
    <w:pPr>
      <w:keepNext/>
      <w:keepLines/>
      <w:spacing w:line="360" w:lineRule="auto"/>
      <w:jc w:val="left"/>
      <w:outlineLvl w:val="1"/>
    </w:pPr>
    <w:rPr>
      <w:rFonts w:ascii="Arial" w:hAnsi="Arial" w:eastAsia="宋体" w:cs="Times New Roman"/>
      <w:b/>
      <w:bCs/>
      <w:iCs/>
      <w:sz w:val="24"/>
      <w:szCs w:val="32"/>
    </w:rPr>
  </w:style>
  <w:style w:type="paragraph" w:styleId="4">
    <w:name w:val="heading 3"/>
    <w:basedOn w:val="1"/>
    <w:next w:val="1"/>
    <w:uiPriority w:val="0"/>
    <w:pPr>
      <w:numPr>
        <w:ilvl w:val="2"/>
        <w:numId w:val="1"/>
      </w:numPr>
      <w:tabs>
        <w:tab w:val="left" w:pos="425"/>
      </w:tabs>
      <w:outlineLvl w:val="2"/>
    </w:pPr>
    <w:rPr>
      <w:rFonts w:cs="Times New Roman"/>
    </w:rPr>
  </w:style>
  <w:style w:type="paragraph" w:styleId="5">
    <w:name w:val="heading 4"/>
    <w:basedOn w:val="1"/>
    <w:next w:val="1"/>
    <w:uiPriority w:val="0"/>
    <w:pPr>
      <w:keepNext/>
      <w:keepLines/>
      <w:spacing w:line="374" w:lineRule="auto"/>
      <w:outlineLvl w:val="3"/>
    </w:pPr>
    <w:rPr>
      <w:rFonts w:ascii="Calibri Light" w:hAnsi="Calibri Light" w:eastAsia="宋体" w:cs="Times New Roman"/>
      <w:b/>
      <w:bCs/>
      <w:sz w:val="28"/>
      <w:szCs w:val="28"/>
    </w:rPr>
  </w:style>
  <w:style w:type="paragraph" w:styleId="6">
    <w:name w:val="heading 7"/>
    <w:basedOn w:val="1"/>
    <w:next w:val="1"/>
    <w:uiPriority w:val="0"/>
    <w:pPr>
      <w:spacing w:before="1" w:beforeLines="0"/>
      <w:ind w:left="1541"/>
      <w:outlineLvl w:val="6"/>
    </w:pPr>
    <w:rPr>
      <w:b/>
      <w:bCs/>
      <w:sz w:val="24"/>
      <w:szCs w:val="24"/>
    </w:rPr>
  </w:style>
  <w:style w:type="character" w:default="1" w:styleId="23">
    <w:name w:val="Default Paragraph Font"/>
    <w:uiPriority w:val="0"/>
  </w:style>
  <w:style w:type="table" w:default="1" w:styleId="22">
    <w:name w:val="Normal Table"/>
    <w:unhideWhenUsed/>
    <w:qFormat/>
    <w:uiPriority w:val="99"/>
    <w:tblPr>
      <w:tblStyle w:val="22"/>
      <w:tblCellMar>
        <w:top w:w="0" w:type="dxa"/>
        <w:left w:w="108" w:type="dxa"/>
        <w:bottom w:w="0" w:type="dxa"/>
        <w:right w:w="108" w:type="dxa"/>
      </w:tblCellMar>
    </w:tblPr>
  </w:style>
  <w:style w:type="paragraph" w:styleId="7">
    <w:name w:val="annotation text"/>
    <w:basedOn w:val="1"/>
    <w:uiPriority w:val="0"/>
    <w:pPr>
      <w:jc w:val="left"/>
    </w:pPr>
    <w:rPr>
      <w:rFonts w:ascii="Times New Roman" w:hAnsi="Times New Roman" w:eastAsia="宋体" w:cs="Times New Roman"/>
    </w:rPr>
  </w:style>
  <w:style w:type="paragraph" w:styleId="8">
    <w:name w:val="Body Text"/>
    <w:basedOn w:val="1"/>
    <w:next w:val="9"/>
    <w:uiPriority w:val="0"/>
    <w:pPr>
      <w:spacing w:line="360" w:lineRule="atLeast"/>
    </w:pPr>
    <w:rPr>
      <w:rFonts w:eastAsia="宋体"/>
      <w:sz w:val="24"/>
    </w:rPr>
  </w:style>
  <w:style w:type="paragraph" w:customStyle="1" w:styleId="9">
    <w:name w:val="一级条标题"/>
    <w:basedOn w:val="10"/>
    <w:next w:val="11"/>
    <w:uiPriority w:val="0"/>
    <w:pPr>
      <w:spacing w:line="240" w:lineRule="auto"/>
      <w:ind w:left="420"/>
      <w:outlineLvl w:val="2"/>
    </w:pPr>
    <w:rPr>
      <w:rFonts w:ascii="Times New Roman" w:hAnsi="Times New Roman" w:eastAsia="宋体"/>
    </w:rPr>
  </w:style>
  <w:style w:type="paragraph" w:customStyle="1" w:styleId="10">
    <w:name w:val="章标题"/>
    <w:next w:val="1"/>
    <w:uiPriority w:val="0"/>
    <w:pPr>
      <w:spacing w:line="360" w:lineRule="auto"/>
      <w:jc w:val="both"/>
      <w:outlineLvl w:val="1"/>
    </w:pPr>
    <w:rPr>
      <w:rFonts w:ascii="黑体" w:hAnsi="Calibri" w:eastAsia="黑体" w:cs="Times New Roman"/>
      <w:sz w:val="21"/>
      <w:szCs w:val="22"/>
      <w:lang w:val="en-US" w:eastAsia="zh-CN"/>
    </w:rPr>
  </w:style>
  <w:style w:type="paragraph" w:customStyle="1" w:styleId="11">
    <w:name w:val="段"/>
    <w:next w:val="1"/>
    <w:uiPriority w:val="0"/>
    <w:pPr>
      <w:autoSpaceDE w:val="0"/>
      <w:autoSpaceDN w:val="0"/>
      <w:spacing w:line="360" w:lineRule="auto"/>
      <w:ind w:firstLine="200" w:firstLineChars="200"/>
      <w:jc w:val="both"/>
    </w:pPr>
    <w:rPr>
      <w:rFonts w:ascii="宋体" w:hAnsi="Calibri" w:eastAsia="Times New Roman" w:cs="Times New Roman"/>
      <w:sz w:val="21"/>
      <w:szCs w:val="22"/>
      <w:lang w:val="en-US" w:eastAsia="zh-CN"/>
    </w:rPr>
  </w:style>
  <w:style w:type="paragraph" w:styleId="12">
    <w:name w:val="Plain Text"/>
    <w:basedOn w:val="1"/>
    <w:next w:val="1"/>
    <w:uiPriority w:val="0"/>
    <w:pPr>
      <w:widowControl w:val="0"/>
      <w:spacing w:after="0" w:line="400" w:lineRule="atLeast"/>
      <w:jc w:val="both"/>
    </w:pPr>
    <w:rPr>
      <w:rFonts w:ascii="宋体" w:hAnsi="Courier New" w:eastAsia="宋体" w:cs="宋体"/>
      <w:color w:val="000000"/>
      <w:sz w:val="21"/>
      <w:szCs w:val="20"/>
      <w:lang w:val="en-US" w:eastAsia="zh-CN" w:bidi="ar-SA"/>
    </w:rPr>
  </w:style>
  <w:style w:type="paragraph" w:styleId="13">
    <w:name w:val="Balloon Text"/>
    <w:basedOn w:val="1"/>
    <w:link w:val="25"/>
    <w:uiPriority w:val="0"/>
    <w:pPr>
      <w:spacing w:line="240" w:lineRule="auto"/>
    </w:pPr>
    <w:rPr>
      <w:rFonts w:ascii="宋体" w:hAnsi="宋体" w:eastAsia="Times New Roman" w:cs="宋体"/>
      <w:color w:val="000000"/>
      <w:sz w:val="18"/>
      <w:szCs w:val="18"/>
    </w:rPr>
  </w:style>
  <w:style w:type="paragraph" w:styleId="14">
    <w:name w:val="footer"/>
    <w:basedOn w:val="1"/>
    <w:uiPriority w:val="0"/>
    <w:pPr>
      <w:tabs>
        <w:tab w:val="center" w:pos="4140"/>
        <w:tab w:val="right" w:pos="8300"/>
      </w:tabs>
      <w:snapToGrid w:val="0"/>
      <w:jc w:val="left"/>
    </w:pPr>
    <w:rPr>
      <w:rFonts w:eastAsia="宋体" w:cs="Times New Roman"/>
      <w:bCs/>
      <w:iCs/>
      <w:sz w:val="18"/>
    </w:rPr>
  </w:style>
  <w:style w:type="paragraph" w:styleId="15">
    <w:name w:val="header"/>
    <w:basedOn w:val="1"/>
    <w:uiPriority w:val="0"/>
    <w:pPr>
      <w:pBdr>
        <w:bottom w:val="single" w:color="auto" w:sz="6" w:space="1"/>
      </w:pBdr>
      <w:tabs>
        <w:tab w:val="center" w:pos="4140"/>
        <w:tab w:val="right" w:pos="8300"/>
      </w:tabs>
      <w:snapToGrid w:val="0"/>
      <w:jc w:val="center"/>
    </w:pPr>
    <w:rPr>
      <w:rFonts w:eastAsia="宋体"/>
      <w:sz w:val="18"/>
      <w:szCs w:val="18"/>
    </w:rPr>
  </w:style>
  <w:style w:type="paragraph" w:styleId="16">
    <w:name w:val="toc 1"/>
    <w:basedOn w:val="1"/>
    <w:next w:val="1"/>
    <w:uiPriority w:val="0"/>
  </w:style>
  <w:style w:type="paragraph" w:styleId="17">
    <w:name w:val="Subtitle"/>
    <w:basedOn w:val="1"/>
    <w:next w:val="1"/>
    <w:uiPriority w:val="0"/>
    <w:pPr>
      <w:spacing w:before="240" w:beforeLines="0" w:after="60" w:afterLines="0" w:line="312" w:lineRule="auto"/>
      <w:jc w:val="center"/>
      <w:outlineLvl w:val="1"/>
    </w:pPr>
    <w:rPr>
      <w:rFonts w:ascii="Calibri Light" w:hAnsi="Calibri Light" w:cs="Times New Roman"/>
      <w:b/>
      <w:bCs/>
      <w:kern w:val="28"/>
      <w:sz w:val="32"/>
      <w:szCs w:val="32"/>
    </w:rPr>
  </w:style>
  <w:style w:type="paragraph" w:styleId="18">
    <w:name w:val="toc 2"/>
    <w:basedOn w:val="1"/>
    <w:next w:val="1"/>
    <w:uiPriority w:val="0"/>
    <w:pPr>
      <w:ind w:left="420" w:leftChars="200"/>
    </w:pPr>
  </w:style>
  <w:style w:type="paragraph" w:styleId="19">
    <w:name w:val="Normal (Web)"/>
    <w:basedOn w:val="1"/>
    <w:next w:val="1"/>
    <w:qFormat/>
    <w:uiPriority w:val="0"/>
    <w:pPr>
      <w:spacing w:before="100" w:beforeAutospacing="1" w:after="100" w:afterAutospacing="1"/>
      <w:ind w:left="0" w:right="0"/>
      <w:jc w:val="left"/>
    </w:pPr>
    <w:rPr>
      <w:kern w:val="0"/>
      <w:sz w:val="24"/>
      <w:lang w:val="en-US" w:eastAsia="zh-CN" w:bidi="ar"/>
    </w:rPr>
  </w:style>
  <w:style w:type="paragraph" w:styleId="20">
    <w:name w:val="Title"/>
    <w:basedOn w:val="1"/>
    <w:next w:val="1"/>
    <w:uiPriority w:val="0"/>
    <w:pPr>
      <w:spacing w:before="120" w:beforeLines="0" w:after="120" w:afterLines="0" w:line="360" w:lineRule="auto"/>
      <w:jc w:val="center"/>
      <w:outlineLvl w:val="0"/>
    </w:pPr>
    <w:rPr>
      <w:rFonts w:ascii="Cambria" w:hAnsi="Cambria" w:eastAsia="宋体"/>
      <w:b/>
      <w:bCs/>
      <w:sz w:val="36"/>
      <w:szCs w:val="32"/>
    </w:rPr>
  </w:style>
  <w:style w:type="paragraph" w:styleId="21">
    <w:name w:val="Body Text First Indent"/>
    <w:basedOn w:val="8"/>
    <w:next w:val="1"/>
    <w:qFormat/>
    <w:uiPriority w:val="0"/>
    <w:pPr>
      <w:spacing w:line="312" w:lineRule="auto"/>
      <w:ind w:firstLine="420"/>
    </w:pPr>
  </w:style>
  <w:style w:type="character" w:styleId="24">
    <w:name w:val="Hyperlink"/>
    <w:basedOn w:val="23"/>
    <w:qFormat/>
    <w:uiPriority w:val="0"/>
    <w:rPr>
      <w:color w:val="0563C1"/>
      <w:u w:val="single"/>
    </w:rPr>
  </w:style>
  <w:style w:type="character" w:customStyle="1" w:styleId="25">
    <w:name w:val="批注框文本 字符"/>
    <w:basedOn w:val="23"/>
    <w:link w:val="13"/>
    <w:uiPriority w:val="0"/>
    <w:rPr>
      <w:rFonts w:ascii="宋体" w:hAnsi="宋体" w:eastAsia="Times New Roman" w:cs="宋体"/>
      <w:color w:val="000000"/>
      <w:sz w:val="18"/>
      <w:szCs w:val="18"/>
    </w:rPr>
  </w:style>
  <w:style w:type="character" w:customStyle="1" w:styleId="26">
    <w:name w:val="page number"/>
    <w:uiPriority w:val="0"/>
    <w:rPr>
      <w:rFonts w:ascii="Times New Roman" w:hAnsi="Times New Roman" w:eastAsia="宋体" w:cs="Times New Roman"/>
    </w:rPr>
  </w:style>
  <w:style w:type="character" w:customStyle="1" w:styleId="27">
    <w:name w:val="HTML Sample"/>
    <w:basedOn w:val="23"/>
    <w:uiPriority w:val="0"/>
    <w:rPr>
      <w:rFonts w:ascii="Courier New" w:hAnsi="Courier New"/>
    </w:rPr>
  </w:style>
  <w:style w:type="character" w:customStyle="1" w:styleId="28">
    <w:name w:val="纯文本 字符"/>
    <w:basedOn w:val="23"/>
    <w:link w:val="29"/>
    <w:uiPriority w:val="0"/>
    <w:rPr>
      <w:rFonts w:ascii="宋体" w:hAnsi="Courier New" w:cs="宋体"/>
      <w:color w:val="000000"/>
      <w:sz w:val="21"/>
    </w:rPr>
  </w:style>
  <w:style w:type="paragraph" w:customStyle="1" w:styleId="29">
    <w:name w:val="Plain Text"/>
    <w:basedOn w:val="1"/>
    <w:link w:val="28"/>
    <w:uiPriority w:val="0"/>
    <w:rPr>
      <w:rFonts w:ascii="宋体" w:hAnsi="Courier New" w:cs="宋体"/>
      <w:color w:val="000000"/>
      <w:sz w:val="21"/>
    </w:rPr>
  </w:style>
  <w:style w:type="paragraph" w:customStyle="1" w:styleId="30">
    <w:name w:val="Normal_4"/>
    <w:uiPriority w:val="0"/>
    <w:pPr>
      <w:spacing w:before="120" w:beforeLines="0" w:after="240" w:afterLines="0"/>
      <w:jc w:val="both"/>
    </w:pPr>
    <w:rPr>
      <w:rFonts w:ascii="Calibri" w:hAnsi="Calibri" w:eastAsia="Calibri" w:cs="Times New Roman"/>
      <w:sz w:val="22"/>
      <w:szCs w:val="22"/>
      <w:lang w:eastAsia="en-US"/>
    </w:rPr>
  </w:style>
  <w:style w:type="paragraph" w:customStyle="1" w:styleId="31">
    <w:name w:val="Normal Indent"/>
    <w:basedOn w:val="1"/>
    <w:uiPriority w:val="0"/>
    <w:pPr>
      <w:ind w:firstLine="420" w:firstLineChars="200"/>
    </w:pPr>
    <w:rPr>
      <w:rFonts w:ascii="Times New Roman" w:hAnsi="Times New Roman" w:cs="Times New Roman"/>
    </w:rPr>
  </w:style>
  <w:style w:type="paragraph" w:customStyle="1" w:styleId="32">
    <w:name w:val="样式 10 磅"/>
    <w:uiPriority w:val="0"/>
    <w:pPr>
      <w:widowControl w:val="0"/>
      <w:jc w:val="both"/>
    </w:pPr>
    <w:rPr>
      <w:rFonts w:ascii="Times New Roman" w:hAnsi="Times New Roman" w:eastAsia="宋体" w:cs="Times New Roman"/>
      <w:kern w:val="2"/>
      <w:sz w:val="21"/>
      <w:szCs w:val="24"/>
      <w:lang w:val="en-US" w:eastAsia="zh-CN"/>
    </w:rPr>
  </w:style>
  <w:style w:type="paragraph" w:customStyle="1" w:styleId="33">
    <w:name w:val="Date"/>
    <w:basedOn w:val="1"/>
    <w:next w:val="1"/>
    <w:uiPriority w:val="0"/>
    <w:pPr>
      <w:spacing w:line="240" w:lineRule="auto"/>
      <w:jc w:val="left"/>
    </w:pPr>
  </w:style>
  <w:style w:type="paragraph" w:customStyle="1" w:styleId="34">
    <w:name w:val="Body Text Indent 2"/>
    <w:basedOn w:val="1"/>
    <w:next w:val="35"/>
    <w:uiPriority w:val="0"/>
    <w:pPr>
      <w:spacing w:after="120" w:afterLines="0" w:line="480" w:lineRule="auto"/>
      <w:ind w:left="420" w:leftChars="200"/>
    </w:pPr>
  </w:style>
  <w:style w:type="paragraph" w:customStyle="1" w:styleId="35">
    <w:name w:val="reader-word-layer reader-word-s46-2"/>
    <w:basedOn w:val="1"/>
    <w:next w:val="36"/>
    <w:uiPriority w:val="0"/>
    <w:pPr>
      <w:widowControl/>
    </w:pPr>
    <w:rPr>
      <w:sz w:val="24"/>
    </w:rPr>
  </w:style>
  <w:style w:type="paragraph" w:customStyle="1" w:styleId="36">
    <w:name w:val="xl35"/>
    <w:basedOn w:val="1"/>
    <w:next w:val="1"/>
    <w:uiPriority w:val="0"/>
    <w:pPr>
      <w:widowControl/>
      <w:shd w:val="clear" w:color="FFFFFF" w:fill="FFFFFF"/>
    </w:pPr>
    <w:rPr>
      <w:rFonts w:ascii="Arial Unicode MS" w:eastAsia="Arial Unicode MS"/>
      <w:sz w:val="24"/>
    </w:rPr>
  </w:style>
  <w:style w:type="paragraph" w:customStyle="1" w:styleId="37">
    <w:name w:val="HTML Preformatted"/>
    <w:basedOn w:val="1"/>
    <w:uiPriority w:val="0"/>
    <w:pPr>
      <w:widowControl/>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30" w:lineRule="atLeast"/>
      <w:jc w:val="left"/>
    </w:pPr>
    <w:rPr>
      <w:rFonts w:ascii="Arial" w:hAnsi="Arial" w:cs="Times New Roman"/>
      <w:szCs w:val="21"/>
    </w:rPr>
  </w:style>
  <w:style w:type="paragraph" w:customStyle="1" w:styleId="38">
    <w:name w:val="Normal (Web)"/>
    <w:basedOn w:val="1"/>
    <w:uiPriority w:val="0"/>
    <w:pPr>
      <w:spacing w:before="100" w:beforeLines="0" w:beforeAutospacing="1" w:after="100" w:afterLines="0" w:afterAutospacing="1"/>
      <w:jc w:val="left"/>
    </w:pPr>
    <w:rPr>
      <w:rFonts w:eastAsia="宋体"/>
      <w:sz w:val="24"/>
    </w:rPr>
  </w:style>
  <w:style w:type="paragraph" w:customStyle="1" w:styleId="39">
    <w:name w:val="Body Text First Indent"/>
    <w:basedOn w:val="8"/>
    <w:uiPriority w:val="0"/>
    <w:pPr>
      <w:ind w:firstLine="420" w:firstLineChars="100"/>
    </w:pPr>
  </w:style>
  <w:style w:type="paragraph" w:customStyle="1" w:styleId="40">
    <w:name w:val="标题 5（有编号）（绿盟科技）"/>
    <w:basedOn w:val="1"/>
    <w:next w:val="41"/>
    <w:uiPriority w:val="0"/>
    <w:pPr>
      <w:keepNext/>
      <w:keepLines/>
      <w:numPr>
        <w:ilvl w:val="4"/>
        <w:numId w:val="2"/>
      </w:numPr>
      <w:spacing w:before="280" w:beforeLines="0" w:after="156" w:afterLines="0" w:line="377" w:lineRule="auto"/>
      <w:outlineLvl w:val="4"/>
    </w:pPr>
    <w:rPr>
      <w:rFonts w:eastAsia="黑体"/>
      <w:b/>
      <w:szCs w:val="28"/>
    </w:rPr>
  </w:style>
  <w:style w:type="paragraph" w:customStyle="1" w:styleId="41">
    <w:name w:val="正文（绿盟科技）"/>
    <w:uiPriority w:val="0"/>
    <w:pPr>
      <w:spacing w:line="300" w:lineRule="auto"/>
    </w:pPr>
    <w:rPr>
      <w:rFonts w:ascii="Times New Roman" w:hAnsi="Times New Roman" w:eastAsia="宋体" w:cs="黑体"/>
      <w:sz w:val="21"/>
      <w:szCs w:val="21"/>
      <w:lang w:val="en-US" w:eastAsia="zh-CN"/>
    </w:rPr>
  </w:style>
  <w:style w:type="paragraph" w:customStyle="1" w:styleId="42">
    <w:name w:val="Body Text First Indent 21"/>
    <w:basedOn w:val="43"/>
    <w:uiPriority w:val="0"/>
    <w:pPr>
      <w:ind w:firstLine="420" w:firstLineChars="200"/>
    </w:pPr>
  </w:style>
  <w:style w:type="paragraph" w:customStyle="1" w:styleId="43">
    <w:name w:val="Body Text Indent1"/>
    <w:basedOn w:val="1"/>
    <w:uiPriority w:val="0"/>
    <w:pPr>
      <w:ind w:left="420" w:leftChars="200"/>
    </w:pPr>
    <w:rPr>
      <w:rFonts w:ascii="Times New Roman" w:hAnsi="Times New Roman" w:eastAsia="宋体" w:cs="Times New Roman"/>
      <w:szCs w:val="24"/>
    </w:rPr>
  </w:style>
  <w:style w:type="paragraph" w:customStyle="1" w:styleId="44">
    <w:name w:val="WPSOffice手动目录 1"/>
    <w:uiPriority w:val="0"/>
    <w:rPr>
      <w:rFonts w:ascii="Calibri" w:hAnsi="Calibri" w:eastAsia="宋体" w:cs="Times New Roman"/>
      <w:lang w:val="en-US" w:eastAsia="zh-CN"/>
    </w:rPr>
  </w:style>
  <w:style w:type="paragraph" w:customStyle="1" w:styleId="45">
    <w:name w:val="正文1"/>
    <w:uiPriority w:val="0"/>
    <w:pPr>
      <w:adjustRightInd w:val="0"/>
      <w:spacing w:before="120" w:beforeLines="0" w:after="120" w:afterLines="0" w:line="180" w:lineRule="auto"/>
      <w:ind w:firstLine="200" w:firstLineChars="200"/>
    </w:pPr>
    <w:rPr>
      <w:rFonts w:ascii="Times New Roman" w:hAnsi="Times New Roman" w:eastAsia="Adobe 仿宋 Std R" w:cs="Times New Roman"/>
      <w:kern w:val="2"/>
      <w:sz w:val="21"/>
      <w:szCs w:val="21"/>
      <w:lang w:val="en-US" w:eastAsia="zh-CN"/>
    </w:rPr>
  </w:style>
  <w:style w:type="paragraph" w:customStyle="1" w:styleId="46">
    <w:name w:val="WPSOffice手动目录 2"/>
    <w:uiPriority w:val="0"/>
    <w:pPr>
      <w:ind w:left="200" w:leftChars="200"/>
    </w:pPr>
    <w:rPr>
      <w:rFonts w:ascii="Calibri" w:hAnsi="Calibri" w:eastAsia="宋体" w:cs="Times New Roman"/>
      <w:lang w:val="en-US" w:eastAsia="zh-CN"/>
    </w:rPr>
  </w:style>
  <w:style w:type="paragraph" w:customStyle="1" w:styleId="47">
    <w:name w:val="List Paragraph"/>
    <w:basedOn w:val="1"/>
    <w:uiPriority w:val="0"/>
    <w:pPr>
      <w:ind w:firstLine="420" w:firstLineChars="200"/>
    </w:pPr>
    <w:rPr>
      <w:rFonts w:ascii="Calibri" w:hAnsi="Calibri" w:eastAsia="宋体" w:cs="Times New Roman"/>
      <w:szCs w:val="22"/>
    </w:rPr>
  </w:style>
  <w:style w:type="paragraph" w:customStyle="1" w:styleId="48">
    <w:name w:val="正文（正式）"/>
    <w:basedOn w:val="1"/>
    <w:uiPriority w:val="0"/>
    <w:pPr>
      <w:adjustRightInd w:val="0"/>
      <w:snapToGrid w:val="0"/>
      <w:spacing w:line="312" w:lineRule="auto"/>
      <w:ind w:firstLine="200" w:firstLineChars="200"/>
    </w:pPr>
    <w:rPr>
      <w:rFonts w:ascii="Times New Roman" w:hAnsi="Times New Roman" w:cs="Times New Roman"/>
      <w:bCs/>
      <w:sz w:val="24"/>
      <w:szCs w:val="28"/>
    </w:rPr>
  </w:style>
  <w:style w:type="paragraph" w:customStyle="1" w:styleId="49">
    <w:name w:val="Table Paragraph"/>
    <w:basedOn w:val="1"/>
    <w:uiPriority w:val="0"/>
  </w:style>
  <w:style w:type="paragraph" w:customStyle="1" w:styleId="50">
    <w:name w:val="HtmlNormal"/>
    <w:basedOn w:val="1"/>
    <w:uiPriority w:val="0"/>
    <w:pPr>
      <w:spacing w:before="100" w:beforeLines="0" w:beforeAutospacing="1" w:after="100" w:afterLines="0" w:afterAutospacing="1"/>
      <w:jc w:val="left"/>
      <w:textAlignment w:val="baseline"/>
    </w:pPr>
    <w:rPr>
      <w:sz w:val="24"/>
      <w:szCs w:val="24"/>
    </w:rPr>
  </w:style>
  <w:style w:type="paragraph" w:customStyle="1" w:styleId="51">
    <w:name w:val="_Style 29"/>
    <w:basedOn w:val="1"/>
    <w:uiPriority w:val="0"/>
    <w:pPr>
      <w:ind w:firstLine="420" w:firstLineChars="200"/>
    </w:pPr>
    <w:rPr>
      <w:rFonts w:ascii="Times New Roman" w:hAnsi="Times New Roman" w:cs="Times New Roman"/>
    </w:rPr>
  </w:style>
  <w:style w:type="paragraph" w:customStyle="1" w:styleId="52">
    <w:name w:val="Normal_55"/>
    <w:uiPriority w:val="0"/>
    <w:pPr>
      <w:spacing w:before="120" w:beforeLines="0" w:after="240" w:afterLines="0"/>
      <w:jc w:val="both"/>
    </w:pPr>
    <w:rPr>
      <w:rFonts w:ascii="Calibri" w:hAnsi="Calibri" w:eastAsia="Calibri" w:cs="Times New Roman"/>
      <w:sz w:val="22"/>
      <w:szCs w:val="22"/>
      <w:lang w:eastAsia="en-US"/>
    </w:rPr>
  </w:style>
  <w:style w:type="paragraph" w:customStyle="1" w:styleId="53">
    <w:name w:val="正文_0"/>
    <w:uiPriority w:val="0"/>
    <w:pPr>
      <w:widowControl w:val="0"/>
      <w:spacing w:line="360" w:lineRule="auto"/>
      <w:jc w:val="both"/>
    </w:pPr>
    <w:rPr>
      <w:rFonts w:ascii="Calibri" w:hAnsi="Calibri" w:eastAsia="Times New Roman" w:cs="Times New Roman"/>
      <w:kern w:val="2"/>
      <w:sz w:val="21"/>
      <w:szCs w:val="24"/>
      <w:lang w:val="en-US" w:eastAsia="zh-CN"/>
    </w:rPr>
  </w:style>
  <w:style w:type="paragraph" w:customStyle="1" w:styleId="54">
    <w:name w:val="*正文"/>
    <w:basedOn w:val="1"/>
    <w:uiPriority w:val="0"/>
    <w:pPr>
      <w:widowControl w:val="0"/>
      <w:spacing w:line="560" w:lineRule="exact"/>
      <w:ind w:firstLine="200" w:firstLineChars="200"/>
      <w:jc w:val="both"/>
    </w:pPr>
    <w:rPr>
      <w:rFonts w:ascii="宋体" w:hAnsi="宋体"/>
      <w:kern w:val="2"/>
      <w:lang w:val="zh-CN"/>
    </w:rPr>
  </w:style>
  <w:style w:type="character" w:customStyle="1" w:styleId="55">
    <w:name w:val="font61"/>
    <w:basedOn w:val="23"/>
    <w:uiPriority w:val="0"/>
    <w:rPr>
      <w:rFonts w:ascii="宋体" w:hAnsi="宋体" w:eastAsia="宋体" w:cs="宋体"/>
      <w:b/>
      <w:bCs/>
      <w:color w:val="000000"/>
      <w:sz w:val="22"/>
      <w:szCs w:val="22"/>
      <w:u w:val="none"/>
    </w:rPr>
  </w:style>
  <w:style w:type="character" w:customStyle="1" w:styleId="56">
    <w:name w:val="font21"/>
    <w:basedOn w:val="23"/>
    <w:uiPriority w:val="0"/>
    <w:rPr>
      <w:rFonts w:ascii="宋体" w:hAnsi="宋体" w:eastAsia="宋体" w:cs="宋体"/>
      <w:color w:val="000000"/>
      <w:sz w:val="22"/>
      <w:szCs w:val="22"/>
      <w:u w:val="none"/>
    </w:rPr>
  </w:style>
  <w:style w:type="character" w:customStyle="1" w:styleId="57">
    <w:name w:val="font51"/>
    <w:basedOn w:val="23"/>
    <w:uiPriority w:val="0"/>
    <w:rPr>
      <w:rFonts w:ascii="宋体" w:hAnsi="宋体" w:eastAsia="宋体" w:cs="宋体"/>
      <w:color w:val="000000"/>
      <w:sz w:val="10"/>
      <w:szCs w:val="10"/>
      <w:u w:val="none"/>
    </w:rPr>
  </w:style>
  <w:style w:type="character" w:customStyle="1" w:styleId="58">
    <w:name w:val="font71"/>
    <w:basedOn w:val="23"/>
    <w:uiPriority w:val="0"/>
    <w:rPr>
      <w:rFonts w:hint="default" w:ascii="Arial" w:hAnsi="Arial" w:cs="Arial"/>
      <w:color w:val="000000"/>
      <w:sz w:val="15"/>
      <w:szCs w:val="15"/>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63</Pages>
  <Words>26446</Words>
  <Characters>28316</Characters>
  <Lines>277</Lines>
  <Paragraphs>78</Paragraphs>
  <TotalTime>2</TotalTime>
  <ScaleCrop>false</ScaleCrop>
  <LinksUpToDate>false</LinksUpToDate>
  <CharactersWithSpaces>29778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2023-03-27T19:38:47Z</dcterms:created>
  <dc:creator>Administrator</dc:creator>
  <cp:lastModifiedBy>Administrator</cp:lastModifiedBy>
  <cp:lastPrinted>2023-05-29T00:58:38Z</cp:lastPrinted>
  <dcterms:modified xsi:type="dcterms:W3CDTF">2024-10-10T07:04:11Z</dcterms:modified>
  <dc:title>Administrator</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FFF53535F0D449DDB2AF430FE7C10163_13</vt:lpwstr>
  </property>
</Properties>
</file>