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《兴业银行西宁分行本部及营业部新址装修工程造价咨询服务项目》供应商征集反馈材料-公司名称（全称）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1"/>
        <w:gridCol w:w="1380"/>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rPr>
              <w:t>一、采购需求及资格要求</w:t>
            </w:r>
            <w:r>
              <w:rPr>
                <w:rFonts w:hint="eastAsia" w:ascii="仿宋" w:hAnsi="仿宋" w:eastAsia="仿宋" w:cs="仿宋"/>
                <w:b/>
                <w:bCs/>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1.2结算审核应在收到竣工结算资料后1个月内完成初审报告。</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w:t>
            </w:r>
            <w:r>
              <w:rPr>
                <w:rFonts w:hint="eastAsia" w:ascii="仿宋" w:hAnsi="仿宋" w:eastAsia="仿宋" w:cs="仿宋"/>
                <w:b w:val="0"/>
                <w:bCs w:val="0"/>
                <w:sz w:val="24"/>
                <w:szCs w:val="24"/>
              </w:rPr>
              <w:t>拟派的项目负责人需具备全国注册土建或安装专业一级造价师执业资格。</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2.1为中华人民共和国境内（不含港澳台）合法注册的独立法人，并具有有效的营业执照，成立时间不少于3（含）年，应具有依法缴纳税收的良好记录，财务状况良好。</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2.2在兴业银行开立对公账户，若中标本项目，则通过兴业银行对公账户结算该项目相关费用。</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2.3充分理解我行服务需求并能够根据需求提供相应的服务。</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2.5经营范围经国家行政管理部门依法批准，同时获得从事行业有效执业证明、行政许可、专业资质等证照。</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2.6两年内目标服务领域未出现严重安全事件。</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8"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2.7造价咨询单位在两年内，需至少有一项同类型、同规模以上的银行类装饰工程造价咨询服务业绩。</w:t>
            </w:r>
          </w:p>
        </w:tc>
        <w:tc>
          <w:tcPr>
            <w:tcW w:w="80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c>
          <w:tcPr>
            <w:tcW w:w="211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4"/>
                <w:szCs w:val="24"/>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FF0000"/>
          <w:sz w:val="32"/>
          <w:szCs w:val="32"/>
        </w:rPr>
        <w:t>《</w:t>
      </w:r>
      <w:r>
        <w:rPr>
          <w:rFonts w:hint="eastAsia" w:ascii="仿宋" w:hAnsi="仿宋" w:eastAsia="仿宋" w:cs="仿宋"/>
          <w:b w:val="0"/>
          <w:bCs w:val="0"/>
          <w:color w:val="FF0000"/>
          <w:sz w:val="32"/>
          <w:szCs w:val="32"/>
          <w:lang w:val="en-US" w:eastAsia="zh-CN"/>
        </w:rPr>
        <w:t>近两年</w:t>
      </w:r>
      <w:r>
        <w:rPr>
          <w:rFonts w:hint="eastAsia" w:ascii="仿宋" w:hAnsi="仿宋" w:eastAsia="仿宋" w:cs="仿宋"/>
          <w:b w:val="0"/>
          <w:bCs w:val="0"/>
          <w:color w:val="FF0000"/>
          <w:sz w:val="32"/>
          <w:szCs w:val="32"/>
        </w:rPr>
        <w:t>同类型、同规模以上的银行类装饰工程造价咨询服务</w:t>
      </w:r>
      <w:r>
        <w:rPr>
          <w:rFonts w:hint="eastAsia" w:ascii="仿宋" w:hAnsi="仿宋" w:eastAsia="仿宋" w:cs="仿宋"/>
          <w:b w:val="0"/>
          <w:bCs w:val="0"/>
          <w:color w:val="FF0000"/>
          <w:sz w:val="32"/>
          <w:szCs w:val="32"/>
          <w:lang w:val="en-US" w:eastAsia="zh-CN"/>
        </w:rPr>
        <w:t>案例</w:t>
      </w:r>
      <w:r>
        <w:rPr>
          <w:rFonts w:hint="eastAsia" w:ascii="仿宋" w:hAnsi="仿宋" w:eastAsia="仿宋" w:cs="仿宋"/>
          <w:b w:val="0"/>
          <w:bCs w:val="0"/>
          <w:sz w:val="32"/>
          <w:szCs w:val="32"/>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1306063"/>
    <w:rsid w:val="081E4DE5"/>
    <w:rsid w:val="0DED7F9F"/>
    <w:rsid w:val="10DA162E"/>
    <w:rsid w:val="119A387C"/>
    <w:rsid w:val="13DD0D7A"/>
    <w:rsid w:val="20445EA3"/>
    <w:rsid w:val="365B1D40"/>
    <w:rsid w:val="44707090"/>
    <w:rsid w:val="499567F7"/>
    <w:rsid w:val="503B1E49"/>
    <w:rsid w:val="5966279D"/>
    <w:rsid w:val="600218C0"/>
    <w:rsid w:val="78823E03"/>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224</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张永健</cp:lastModifiedBy>
  <dcterms:modified xsi:type="dcterms:W3CDTF">2025-03-28T08:53:42Z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