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5"/>
        <w:gridCol w:w="1749"/>
        <w:gridCol w:w="745"/>
        <w:gridCol w:w="4306"/>
        <w:gridCol w:w="693"/>
        <w:gridCol w:w="574"/>
      </w:tblGrid>
      <w:tr w14:paraId="71C94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AA91">
            <w:pPr>
              <w:rPr>
                <w:rFonts w:hint="eastAsia"/>
              </w:rPr>
            </w:pPr>
            <w:r>
              <w:rPr>
                <w:rFonts w:hint="eastAsia"/>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9FEF">
            <w:pPr>
              <w:rPr>
                <w:rFonts w:hint="eastAsia"/>
                <w:lang w:val="en-US"/>
              </w:rPr>
            </w:pPr>
            <w:r>
              <w:rPr>
                <w:rFonts w:hint="eastAsia"/>
                <w:lang w:val="en-US" w:eastAsia="zh-CN"/>
              </w:rPr>
              <w:t>标段名称及项目编号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63A3">
            <w:pPr>
              <w:rPr>
                <w:rFonts w:hint="eastAsia"/>
                <w:lang w:val="en-US"/>
              </w:rPr>
            </w:pPr>
            <w:r>
              <w:rPr>
                <w:rFonts w:hint="eastAsia"/>
                <w:lang w:val="en-US" w:eastAsia="zh-CN"/>
              </w:rPr>
              <w:t>招标范围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E9EB">
            <w:pPr>
              <w:rPr>
                <w:rFonts w:hint="eastAsia"/>
              </w:rPr>
            </w:pPr>
            <w:r>
              <w:rPr>
                <w:rFonts w:hint="eastAsia"/>
                <w:lang w:val="en-US" w:eastAsia="zh-CN"/>
              </w:rPr>
              <w:t>工期要求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543E">
            <w:pPr>
              <w:rPr>
                <w:rFonts w:hint="eastAsia"/>
              </w:rPr>
            </w:pPr>
            <w:r>
              <w:rPr>
                <w:rFonts w:hint="eastAsia"/>
                <w:lang w:val="en-US" w:eastAsia="zh-CN"/>
              </w:rPr>
              <w:t>交货地点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240A86">
            <w:pPr>
              <w:rPr>
                <w:rFonts w:hint="eastAsia"/>
              </w:rPr>
            </w:pPr>
            <w:r>
              <w:rPr>
                <w:rFonts w:hint="eastAsia"/>
                <w:lang w:val="en-US" w:eastAsia="zh-CN"/>
              </w:rPr>
              <w:t>信息服务费（元）</w:t>
            </w:r>
          </w:p>
        </w:tc>
      </w:tr>
      <w:tr w14:paraId="13E32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4D576E">
            <w:pPr>
              <w:rPr>
                <w:rFonts w:hint="eastAsia"/>
              </w:rPr>
            </w:pPr>
            <w:r>
              <w:rPr>
                <w:rFonts w:hint="eastAsia"/>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A6778C">
            <w:pPr>
              <w:rPr>
                <w:rFonts w:hint="eastAsia"/>
              </w:rPr>
            </w:pPr>
            <w:r>
              <w:rPr>
                <w:rFonts w:hint="eastAsia"/>
                <w:lang w:val="en-US" w:eastAsia="zh-CN"/>
              </w:rPr>
              <w:t>国家电投集团黄河上游水电开发有限责任公司光伏产业技术分公司E10通用逆变器换型改造-逆变器采购项目（</w:t>
            </w:r>
            <w:r>
              <w:rPr>
                <w:rFonts w:hint="eastAsia"/>
              </w:rPr>
              <w:t>DNYZC-2025-05-01-410-01</w:t>
            </w:r>
            <w:r>
              <w:rPr>
                <w:rFonts w:hint="eastAsia"/>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C8E976">
            <w:pPr>
              <w:rPr>
                <w:rFonts w:hint="eastAsia"/>
              </w:rPr>
            </w:pPr>
            <w:r>
              <w:rPr>
                <w:rFonts w:hint="eastAsia"/>
              </w:rPr>
              <w:t>1.1项目概况</w:t>
            </w:r>
          </w:p>
          <w:p w14:paraId="6A0D469D">
            <w:pPr>
              <w:rPr>
                <w:rFonts w:hint="eastAsia"/>
              </w:rPr>
            </w:pPr>
            <w:r>
              <w:rPr>
                <w:rFonts w:hint="eastAsia"/>
              </w:rPr>
              <w:t>试验基地光伏电站位于青海省海南州共和县以南约28km处塔拉滩生态太阳能发电园区内，平均海拔2980m。地处青藏高原属高原性气候，高寒缺氧，全年冷期长，温差变幅大，太阳辐射强，气候日差较大，气温变差较大，设备使用环境温度-27℃～35℃。址区毗邻于G214国道，交通便利，运输方便。因试验基地光伏电站E10子阵逆变器频繁故障，影响电站发电量及设备稳定运行，需对4台集中式逆变器及附属设备进行采购更换，单台逆变器额定功率为1MW。</w:t>
            </w:r>
          </w:p>
          <w:p w14:paraId="5402BF8C">
            <w:pPr>
              <w:rPr>
                <w:rFonts w:hint="eastAsia"/>
              </w:rPr>
            </w:pPr>
            <w:r>
              <w:rPr>
                <w:rFonts w:hint="eastAsia"/>
              </w:rPr>
              <w:t>1.2招标范围及主要工作内容</w:t>
            </w:r>
          </w:p>
          <w:p w14:paraId="6CD14726">
            <w:pPr>
              <w:rPr>
                <w:rFonts w:hint="eastAsia"/>
              </w:rPr>
            </w:pPr>
            <w:r>
              <w:rPr>
                <w:rFonts w:hint="eastAsia"/>
              </w:rPr>
              <w:t>1.2.1招标范围</w:t>
            </w:r>
          </w:p>
          <w:p w14:paraId="2FC08AB3">
            <w:pPr>
              <w:rPr>
                <w:rFonts w:hint="eastAsia"/>
              </w:rPr>
            </w:pPr>
            <w:r>
              <w:rPr>
                <w:rFonts w:hint="eastAsia"/>
              </w:rPr>
              <w:t>因试验基地E10逆变器频繁故障，影响电站发电量及设备稳定运行，需对4台集中式逆变器及附属设备进行采购更换。</w:t>
            </w:r>
          </w:p>
          <w:p w14:paraId="40506AB8">
            <w:pPr>
              <w:rPr>
                <w:rFonts w:hint="eastAsia"/>
              </w:rPr>
            </w:pPr>
            <w:r>
              <w:rPr>
                <w:rFonts w:hint="eastAsia"/>
              </w:rPr>
              <w:t>1.2.2主要工作内容</w:t>
            </w:r>
          </w:p>
          <w:p w14:paraId="41B994FA">
            <w:pPr>
              <w:rPr>
                <w:rFonts w:hint="eastAsia"/>
              </w:rPr>
            </w:pPr>
            <w:r>
              <w:rPr>
                <w:rFonts w:hint="eastAsia"/>
              </w:rPr>
              <w:t>（1）设备采购：</w:t>
            </w:r>
          </w:p>
          <w:p w14:paraId="448A9040">
            <w:pPr>
              <w:rPr>
                <w:rFonts w:hint="eastAsia"/>
              </w:rPr>
            </w:pPr>
            <w:r>
              <w:rPr>
                <w:rFonts w:hint="eastAsia"/>
              </w:rPr>
              <w:t>①采购集中式逆变器4台（试验基地光伏电站E10子阵原逆变器为户外型逆变器，新采购逆变器需配备配套集装箱，投标方需充分利用现场原基础，若原基础不满足安装要求，由投标方负责加装基础）。</w:t>
            </w:r>
          </w:p>
          <w:p w14:paraId="6938EBC4">
            <w:pPr>
              <w:rPr>
                <w:rFonts w:hint="eastAsia"/>
              </w:rPr>
            </w:pPr>
            <w:r>
              <w:rPr>
                <w:rFonts w:hint="eastAsia"/>
              </w:rPr>
              <w:t>②逆变器至数采装置通讯线缆等附属设备。（该地区环境温度-27℃～35℃，逆变器风机电源由逆变器自身提供且启停由逆变器控制。）</w:t>
            </w:r>
          </w:p>
          <w:p w14:paraId="1684EBAB">
            <w:pPr>
              <w:rPr>
                <w:rFonts w:hint="eastAsia"/>
              </w:rPr>
            </w:pPr>
            <w:r>
              <w:rPr>
                <w:rFonts w:hint="eastAsia"/>
              </w:rPr>
              <w:t>（2）集装箱内需配置逆变器排风系统（排风采用下进侧出）。</w:t>
            </w:r>
          </w:p>
          <w:p w14:paraId="7F6D06A3">
            <w:pPr>
              <w:rPr>
                <w:rFonts w:hint="eastAsia"/>
              </w:rPr>
            </w:pPr>
            <w:r>
              <w:rPr>
                <w:rFonts w:hint="eastAsia"/>
              </w:rPr>
              <w:t>（3）设备并网调试、与监控、快频装置联调、通讯调试，配合监控厂家进行监控系统数据库及画面制作；当前子阵设备通讯方式为直流汇流箱（RCS485通讯）、集中式逆变器（103/104通讯/RCS485）一起接入数据采集装置通过光电转换通道上传监控系统。集中式逆变器通讯通过原来传输通道上传。</w:t>
            </w:r>
          </w:p>
          <w:p w14:paraId="1A42EE23">
            <w:pPr>
              <w:rPr>
                <w:rFonts w:hint="eastAsia"/>
              </w:rPr>
            </w:pPr>
            <w:r>
              <w:rPr>
                <w:rFonts w:hint="eastAsia"/>
              </w:rPr>
              <w:t>（4）附属资料：安装图纸、说明书、出厂报告、型式试验报告、满足青豫直流近区低电压耐受能力、高电压耐受能力、频率适应性、全景监控、快频装置调节性能要求、高低电压连续穿越等现场测试实验报告。</w:t>
            </w:r>
          </w:p>
          <w:p w14:paraId="0CB6EC96">
            <w:pPr>
              <w:rPr>
                <w:rFonts w:hint="eastAsia"/>
              </w:rPr>
            </w:pPr>
            <w:r>
              <w:rPr>
                <w:rFonts w:hint="eastAsia"/>
              </w:rPr>
              <w:t>（5）提供完整的设备和附件（提供设备标识牌及安装，标识牌内容及编号由招标方提供）。任何元件和装置，如果在本技术条款中没有提到，但对于逆变器的安全、稳定运行是必需的，也应包括在内，其费用包括在合同总价中。</w:t>
            </w:r>
          </w:p>
          <w:p w14:paraId="40431BC8">
            <w:pPr>
              <w:rPr>
                <w:rFonts w:hint="eastAsia"/>
              </w:rPr>
            </w:pPr>
            <w:r>
              <w:rPr>
                <w:rFonts w:hint="eastAsia"/>
              </w:rPr>
              <w:t>1）标识牌要求：</w:t>
            </w:r>
          </w:p>
          <w:p w14:paraId="45D0EDE1">
            <w:pPr>
              <w:rPr>
                <w:rFonts w:hint="eastAsia"/>
              </w:rPr>
            </w:pPr>
            <w:r>
              <w:rPr>
                <w:rFonts w:hint="eastAsia"/>
              </w:rPr>
              <w:t>字体：黑体</w:t>
            </w:r>
          </w:p>
          <w:p w14:paraId="5347A99F">
            <w:pPr>
              <w:rPr>
                <w:rFonts w:hint="eastAsia"/>
              </w:rPr>
            </w:pPr>
            <w:r>
              <w:rPr>
                <w:rFonts w:hint="eastAsia"/>
              </w:rPr>
              <w:t>字体高度：4mm</w:t>
            </w:r>
          </w:p>
          <w:p w14:paraId="08268D40">
            <w:pPr>
              <w:rPr>
                <w:rFonts w:hint="eastAsia"/>
              </w:rPr>
            </w:pPr>
            <w:r>
              <w:rPr>
                <w:rFonts w:hint="eastAsia"/>
              </w:rPr>
              <w:t>字体颜色：红字</w:t>
            </w:r>
          </w:p>
          <w:p w14:paraId="6B5EB0DD">
            <w:pPr>
              <w:rPr>
                <w:rFonts w:hint="eastAsia"/>
              </w:rPr>
            </w:pPr>
            <w:r>
              <w:rPr>
                <w:rFonts w:hint="eastAsia"/>
              </w:rPr>
              <w:t>底色：白底</w:t>
            </w:r>
          </w:p>
          <w:p w14:paraId="624088D2">
            <w:pPr>
              <w:rPr>
                <w:rFonts w:hint="eastAsia"/>
              </w:rPr>
            </w:pPr>
            <w:r>
              <w:rPr>
                <w:rFonts w:hint="eastAsia"/>
              </w:rPr>
              <w:t>边框颜色：红色</w:t>
            </w:r>
          </w:p>
          <w:p w14:paraId="60E36BA9">
            <w:pPr>
              <w:rPr>
                <w:rFonts w:hint="eastAsia"/>
              </w:rPr>
            </w:pPr>
            <w:r>
              <w:rPr>
                <w:rFonts w:hint="eastAsia"/>
              </w:rPr>
              <w:t>厚度不小于：1.5mm</w:t>
            </w:r>
          </w:p>
          <w:p w14:paraId="551673EE">
            <w:pPr>
              <w:rPr>
                <w:rFonts w:hint="eastAsia"/>
              </w:rPr>
            </w:pPr>
            <w:r>
              <w:rPr>
                <w:rFonts w:hint="eastAsia"/>
              </w:rPr>
              <w:t>材质：不锈钢</w:t>
            </w:r>
          </w:p>
          <w:p w14:paraId="0111EA03">
            <w:pPr>
              <w:rPr>
                <w:rFonts w:hint="eastAsia"/>
              </w:rPr>
            </w:pPr>
            <w:r>
              <w:rPr>
                <w:rFonts w:hint="eastAsia"/>
              </w:rPr>
              <w:t>字体工艺：采用刻蚀</w:t>
            </w:r>
          </w:p>
          <w:p w14:paraId="4006DA92">
            <w:pPr>
              <w:rPr>
                <w:rFonts w:hint="eastAsia"/>
              </w:rPr>
            </w:pPr>
            <w:r>
              <w:rPr>
                <w:rFonts w:hint="eastAsia"/>
              </w:rPr>
              <w:t>固定方式：强力胶粘贴</w:t>
            </w:r>
          </w:p>
        </w:tc>
        <w:tc>
          <w:tcPr>
            <w:tcW w:w="0" w:type="auto"/>
            <w:tcBorders>
              <w:top w:val="nil"/>
              <w:left w:val="nil"/>
              <w:bottom w:val="nil"/>
              <w:right w:val="nil"/>
            </w:tcBorders>
            <w:shd w:val="clear" w:color="auto" w:fill="auto"/>
            <w:noWrap/>
            <w:vAlign w:val="center"/>
          </w:tcPr>
          <w:p w14:paraId="2AD2F299">
            <w:pPr>
              <w:rPr>
                <w:rFonts w:hint="eastAsia"/>
                <w:lang w:val="en-US" w:eastAsia="zh-CN"/>
              </w:rPr>
            </w:pPr>
            <w:r>
              <w:rPr>
                <w:rFonts w:hint="eastAsia"/>
                <w:lang w:val="en-US" w:eastAsia="zh-CN"/>
              </w:rPr>
              <w:t>1.2.3交货地点时间及安装工期：</w:t>
            </w:r>
          </w:p>
          <w:p w14:paraId="3DA075B3">
            <w:pPr>
              <w:rPr>
                <w:rFonts w:hint="eastAsia"/>
                <w:lang w:val="en-US" w:eastAsia="zh-CN"/>
              </w:rPr>
            </w:pPr>
            <w:r>
              <w:rPr>
                <w:rFonts w:hint="eastAsia"/>
                <w:lang w:val="en-US" w:eastAsia="zh-CN"/>
              </w:rPr>
              <w:t>（1）交货地点：实证试验基地光伏电站内。</w:t>
            </w:r>
          </w:p>
          <w:p w14:paraId="7DA3CA74">
            <w:pPr>
              <w:rPr>
                <w:rFonts w:hint="eastAsia"/>
                <w:lang w:val="en-US" w:eastAsia="zh-CN"/>
              </w:rPr>
            </w:pPr>
            <w:r>
              <w:rPr>
                <w:rFonts w:hint="eastAsia"/>
                <w:lang w:val="en-US" w:eastAsia="zh-CN"/>
              </w:rPr>
              <w:t>（2）交货时间：自合同签订后30天开始供货，30天内完成所有设备的供货。</w:t>
            </w:r>
          </w:p>
          <w:p w14:paraId="36BF9718">
            <w:pPr>
              <w:rPr>
                <w:rFonts w:hint="eastAsia"/>
              </w:rPr>
            </w:pPr>
            <w:r>
              <w:rPr>
                <w:rFonts w:hint="eastAsia"/>
                <w:lang w:val="en-US" w:eastAsia="zh-CN"/>
              </w:rPr>
              <w:t>（3）交货方式：车下交货。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CFD17">
            <w:pPr>
              <w:rPr>
                <w:rFonts w:hint="eastAsia"/>
              </w:rPr>
            </w:pPr>
            <w:r>
              <w:rPr>
                <w:rFonts w:hint="eastAsia"/>
              </w:rPr>
              <w:t>交货地点：实证试验基地光伏电站内。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FB751">
            <w:pPr>
              <w:rPr>
                <w:rFonts w:hint="eastAsia"/>
              </w:rPr>
            </w:pPr>
            <w:r>
              <w:rPr>
                <w:rFonts w:hint="eastAsia"/>
                <w:lang w:val="en-US" w:eastAsia="zh-CN"/>
              </w:rPr>
              <w:t>300.00</w:t>
            </w:r>
          </w:p>
        </w:tc>
      </w:tr>
      <w:tr w14:paraId="37EF7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DC1B97">
            <w:pPr>
              <w:rPr>
                <w:rFonts w:hint="eastAsia"/>
              </w:rPr>
            </w:pPr>
            <w:r>
              <w:rPr>
                <w:rFonts w:hint="eastAsia"/>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CD5D6C">
            <w:pPr>
              <w:rPr>
                <w:rFonts w:hint="eastAsia"/>
                <w:lang w:eastAsia="zh-CN"/>
              </w:rPr>
            </w:pPr>
            <w:r>
              <w:rPr>
                <w:rFonts w:hint="eastAsia"/>
              </w:rPr>
              <w:t>国家电投集团黄河上游水电开发有限责任公司光伏产业技术分公司试验基地E14科士达逆变器换型改造-逆变器采购项目</w:t>
            </w:r>
            <w:r>
              <w:rPr>
                <w:rFonts w:hint="eastAsia"/>
                <w:lang w:eastAsia="zh-CN"/>
              </w:rPr>
              <w:t>（</w:t>
            </w:r>
            <w:r>
              <w:rPr>
                <w:rFonts w:hint="eastAsia"/>
              </w:rPr>
              <w:t>DNYZC-2025-05-01-410-02</w:t>
            </w:r>
            <w:r>
              <w:rPr>
                <w:rFonts w:hint="eastAsia"/>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0FEDEF">
            <w:pPr>
              <w:rPr>
                <w:rFonts w:hint="eastAsia"/>
              </w:rPr>
            </w:pPr>
            <w:r>
              <w:rPr>
                <w:rFonts w:hint="eastAsia"/>
              </w:rPr>
              <w:t>1.1项目概况</w:t>
            </w:r>
          </w:p>
          <w:p w14:paraId="46C6B327">
            <w:pPr>
              <w:rPr>
                <w:rFonts w:hint="eastAsia"/>
              </w:rPr>
            </w:pPr>
            <w:r>
              <w:rPr>
                <w:rFonts w:hint="eastAsia"/>
              </w:rPr>
              <w:t>试验基地光伏电站位于青海省海南州共和县以南约28km处塔拉滩生态太阳能发电园区内，平均海拔2980m。地处青藏高原属高原性气候，高寒缺氧，全年冷期长，温差变幅大，太阳辐射强，气候日差较大，气温变差较大，设备使用环境温度-27℃～35℃。址区毗邻于G214国道，交通便利，运输方便。因实证试验基地E14逆变器频繁故障，影响电站发电量及设备稳定运行，需对30台组串式逆变器及附属设备进行采购更换。</w:t>
            </w:r>
          </w:p>
          <w:p w14:paraId="714DEAE9">
            <w:pPr>
              <w:rPr>
                <w:rFonts w:hint="eastAsia"/>
              </w:rPr>
            </w:pPr>
            <w:r>
              <w:rPr>
                <w:rFonts w:hint="eastAsia"/>
              </w:rPr>
              <w:t>1.2招标范围及主要工作内容</w:t>
            </w:r>
          </w:p>
          <w:p w14:paraId="2F2C596D">
            <w:pPr>
              <w:rPr>
                <w:rFonts w:hint="eastAsia"/>
              </w:rPr>
            </w:pPr>
            <w:r>
              <w:rPr>
                <w:rFonts w:hint="eastAsia"/>
              </w:rPr>
              <w:t>1.2.1招标范围</w:t>
            </w:r>
          </w:p>
          <w:p w14:paraId="28EE84A5">
            <w:pPr>
              <w:rPr>
                <w:rFonts w:hint="eastAsia"/>
              </w:rPr>
            </w:pPr>
            <w:r>
              <w:rPr>
                <w:rFonts w:hint="eastAsia"/>
              </w:rPr>
              <w:t>因实证试验基地E14逆变器频繁故障，影响电站发电量及设备稳定运行，需对30台组串式逆变器及附属设备进行采购更换。</w:t>
            </w:r>
          </w:p>
          <w:p w14:paraId="75E7D862">
            <w:pPr>
              <w:rPr>
                <w:rFonts w:hint="eastAsia"/>
              </w:rPr>
            </w:pPr>
            <w:r>
              <w:rPr>
                <w:rFonts w:hint="eastAsia"/>
              </w:rPr>
              <w:t>1.2.2主要工作内容</w:t>
            </w:r>
          </w:p>
          <w:p w14:paraId="735C7C2E">
            <w:pPr>
              <w:rPr>
                <w:rFonts w:hint="eastAsia"/>
              </w:rPr>
            </w:pPr>
            <w:r>
              <w:rPr>
                <w:rFonts w:hint="eastAsia"/>
              </w:rPr>
              <w:t>（1）设备采购：</w:t>
            </w:r>
          </w:p>
          <w:p w14:paraId="36D34EDF">
            <w:pPr>
              <w:rPr>
                <w:rFonts w:hint="eastAsia"/>
              </w:rPr>
            </w:pPr>
            <w:r>
              <w:rPr>
                <w:rFonts w:hint="eastAsia"/>
              </w:rPr>
              <w:t>①采购组串式逆变器30台。（试验基地光伏电站E14子阵原逆变器为组串式逆变器，安装支架尺寸5cm*7cm单台功率20KW，新采购逆变器需配套逆变器挂架，满足现场安装需求）</w:t>
            </w:r>
          </w:p>
          <w:p w14:paraId="09C3CA5F">
            <w:pPr>
              <w:rPr>
                <w:rFonts w:hint="eastAsia"/>
              </w:rPr>
            </w:pPr>
            <w:r>
              <w:rPr>
                <w:rFonts w:hint="eastAsia"/>
              </w:rPr>
              <w:t>②逆变器至数采装置通讯线缆等附属设备。（该地区环境温度-27℃～35℃，逆变器风机电源由逆变器自身提供且启停由逆变器控制。）</w:t>
            </w:r>
          </w:p>
          <w:p w14:paraId="07518114">
            <w:pPr>
              <w:rPr>
                <w:rFonts w:hint="eastAsia"/>
              </w:rPr>
            </w:pPr>
            <w:r>
              <w:rPr>
                <w:rFonts w:hint="eastAsia"/>
              </w:rPr>
              <w:t>（2）设备并网调试、与监控、快频装置联调、通讯调试，配合监控厂家进行监控系统数据库及画面制作；当前子阵设备通讯方式为直流汇流箱（RCS485通讯）、组串式逆变器（103/104通讯/RCS485）一起接入数据采集装置通过光电转换通道上传监控系统。组串式逆变器通讯通过原来传输通道上传。</w:t>
            </w:r>
          </w:p>
          <w:p w14:paraId="481C5B0E">
            <w:pPr>
              <w:rPr>
                <w:rFonts w:hint="eastAsia"/>
              </w:rPr>
            </w:pPr>
            <w:r>
              <w:rPr>
                <w:rFonts w:hint="eastAsia"/>
              </w:rPr>
              <w:t>（3）附属资料：安装图纸、说明书、出厂报告、型式试验报告、满足青豫直流近区低电压耐受能力、高电压耐受能力、频率适应性、全景监控、快频装置调节性能要求、高低电压连续穿越等现场测试实验报告。</w:t>
            </w:r>
          </w:p>
          <w:p w14:paraId="174D17C2">
            <w:pPr>
              <w:rPr>
                <w:rFonts w:hint="eastAsia"/>
              </w:rPr>
            </w:pPr>
            <w:r>
              <w:rPr>
                <w:rFonts w:hint="eastAsia"/>
              </w:rPr>
              <w:t>（4）提供完整的设备和附件（提供设备标识牌及安装，标识牌内容及编号由招标方提供）。任何元件和装置，如果在本技术条款中没有提到，但对于逆变器的安全、稳定运行是必需的，也应包括在内，其费用包括在合同总价中。</w:t>
            </w:r>
          </w:p>
          <w:p w14:paraId="362F86FE">
            <w:pPr>
              <w:rPr>
                <w:rFonts w:hint="eastAsia"/>
              </w:rPr>
            </w:pPr>
            <w:r>
              <w:rPr>
                <w:rFonts w:hint="eastAsia"/>
              </w:rPr>
              <w:t>1）标识牌要求：</w:t>
            </w:r>
          </w:p>
          <w:p w14:paraId="59AD05E7">
            <w:pPr>
              <w:rPr>
                <w:rFonts w:hint="eastAsia"/>
              </w:rPr>
            </w:pPr>
            <w:r>
              <w:rPr>
                <w:rFonts w:hint="eastAsia"/>
              </w:rPr>
              <w:t>字体：黑体</w:t>
            </w:r>
          </w:p>
          <w:p w14:paraId="0D2D2B40">
            <w:pPr>
              <w:rPr>
                <w:rFonts w:hint="eastAsia"/>
              </w:rPr>
            </w:pPr>
            <w:r>
              <w:rPr>
                <w:rFonts w:hint="eastAsia"/>
              </w:rPr>
              <w:t>字体高度：4mm</w:t>
            </w:r>
          </w:p>
          <w:p w14:paraId="2B31C2AD">
            <w:pPr>
              <w:rPr>
                <w:rFonts w:hint="eastAsia"/>
              </w:rPr>
            </w:pPr>
            <w:r>
              <w:rPr>
                <w:rFonts w:hint="eastAsia"/>
              </w:rPr>
              <w:t>字体颜色：红字</w:t>
            </w:r>
          </w:p>
          <w:p w14:paraId="6D7CEC74">
            <w:pPr>
              <w:rPr>
                <w:rFonts w:hint="eastAsia"/>
              </w:rPr>
            </w:pPr>
            <w:r>
              <w:rPr>
                <w:rFonts w:hint="eastAsia"/>
              </w:rPr>
              <w:t>底色：白底</w:t>
            </w:r>
          </w:p>
          <w:p w14:paraId="29BE95EF">
            <w:pPr>
              <w:rPr>
                <w:rFonts w:hint="eastAsia"/>
              </w:rPr>
            </w:pPr>
            <w:r>
              <w:rPr>
                <w:rFonts w:hint="eastAsia"/>
              </w:rPr>
              <w:t>边框颜色：红色</w:t>
            </w:r>
          </w:p>
          <w:p w14:paraId="4E77CAF8">
            <w:pPr>
              <w:rPr>
                <w:rFonts w:hint="eastAsia"/>
              </w:rPr>
            </w:pPr>
            <w:r>
              <w:rPr>
                <w:rFonts w:hint="eastAsia"/>
              </w:rPr>
              <w:t>厚度不小于：1.5mm</w:t>
            </w:r>
          </w:p>
          <w:p w14:paraId="3D47B19E">
            <w:pPr>
              <w:rPr>
                <w:rFonts w:hint="eastAsia"/>
              </w:rPr>
            </w:pPr>
            <w:r>
              <w:rPr>
                <w:rFonts w:hint="eastAsia"/>
              </w:rPr>
              <w:t>材质：不锈钢</w:t>
            </w:r>
          </w:p>
          <w:p w14:paraId="6C3643DE">
            <w:pPr>
              <w:rPr>
                <w:rFonts w:hint="eastAsia"/>
              </w:rPr>
            </w:pPr>
            <w:r>
              <w:rPr>
                <w:rFonts w:hint="eastAsia"/>
              </w:rPr>
              <w:t>字体工艺：采用刻蚀</w:t>
            </w:r>
          </w:p>
          <w:p w14:paraId="12B6C775">
            <w:pPr>
              <w:rPr>
                <w:rFonts w:hint="eastAsia"/>
              </w:rPr>
            </w:pPr>
            <w:r>
              <w:rPr>
                <w:rFonts w:hint="eastAsia"/>
              </w:rPr>
              <w:t>固定方式：强力胶粘贴</w:t>
            </w:r>
          </w:p>
          <w:p w14:paraId="7305730B">
            <w:pPr>
              <w:rPr>
                <w:rFonts w:hint="eastAsia"/>
              </w:rPr>
            </w:pPr>
            <w:r>
              <w:rPr>
                <w:rFonts w:hint="eastAsia"/>
              </w:rPr>
              <w:t>（5）配合现场设备单机测试工作。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368847">
            <w:pPr>
              <w:rPr>
                <w:rFonts w:hint="eastAsia"/>
              </w:rPr>
            </w:pPr>
            <w:r>
              <w:rPr>
                <w:rFonts w:hint="eastAsia"/>
              </w:rPr>
              <w:t>1.2.3交货地点时间及安装工期：</w:t>
            </w:r>
          </w:p>
          <w:p w14:paraId="10147BE2">
            <w:pPr>
              <w:rPr>
                <w:rFonts w:hint="eastAsia"/>
              </w:rPr>
            </w:pPr>
            <w:r>
              <w:rPr>
                <w:rFonts w:hint="eastAsia"/>
              </w:rPr>
              <w:t>（1）交货地点：实证试验基地光伏电站内。</w:t>
            </w:r>
          </w:p>
          <w:p w14:paraId="341E93DB">
            <w:pPr>
              <w:rPr>
                <w:rFonts w:hint="eastAsia"/>
              </w:rPr>
            </w:pPr>
            <w:r>
              <w:rPr>
                <w:rFonts w:hint="eastAsia"/>
              </w:rPr>
              <w:t>（2）交货时间：自合同签订后30天开始供货，30天内完成所有设备的供货。</w:t>
            </w:r>
          </w:p>
          <w:p w14:paraId="4F34A515">
            <w:pPr>
              <w:rPr>
                <w:rFonts w:hint="eastAsia"/>
              </w:rPr>
            </w:pPr>
            <w:r>
              <w:rPr>
                <w:rFonts w:hint="eastAsia"/>
              </w:rPr>
              <w:t>（3）交货方式：车下交货。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5CCBF8">
            <w:pPr>
              <w:rPr>
                <w:rFonts w:hint="eastAsia"/>
              </w:rPr>
            </w:pPr>
            <w:r>
              <w:rPr>
                <w:rFonts w:hint="eastAsia"/>
              </w:rPr>
              <w:t>交货地点：实证试验基地光伏电站内。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192F06">
            <w:pPr>
              <w:rPr>
                <w:rFonts w:hint="eastAsia"/>
              </w:rPr>
            </w:pPr>
            <w:r>
              <w:rPr>
                <w:rFonts w:hint="eastAsia"/>
                <w:lang w:val="en-US" w:eastAsia="zh-CN"/>
              </w:rPr>
              <w:t>300.00</w:t>
            </w:r>
          </w:p>
        </w:tc>
      </w:tr>
    </w:tbl>
    <w:p w14:paraId="27A3A3BD">
      <w:pPr>
        <w:jc w:val="right"/>
      </w:pPr>
      <w:bookmarkStart w:id="0" w:name="_GoBack"/>
      <w:bookmarkEnd w:id="0"/>
    </w:p>
    <w:sectPr>
      <w:pgSz w:w="11906" w:h="16838"/>
      <w:pgMar w:top="1134" w:right="1800" w:bottom="1440" w:left="1800"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ind w:left="987" w:hanging="420"/>
      </w:pPr>
      <w:rPr>
        <w:rFonts w:hint="eastAsia"/>
      </w:rPr>
    </w:lvl>
    <w:lvl w:ilvl="1" w:tentative="0">
      <w:start w:val="1"/>
      <w:numFmt w:val="lowerLetter"/>
      <w:pStyle w:val="2"/>
      <w:lvlText w:val="%2)"/>
      <w:lvlJc w:val="left"/>
      <w:pPr>
        <w:ind w:left="1680"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00000013"/>
    <w:multiLevelType w:val="multilevel"/>
    <w:tmpl w:val="00000013"/>
    <w:lvl w:ilvl="0" w:tentative="0">
      <w:start w:val="1"/>
      <w:numFmt w:val="decimal"/>
      <w:pStyle w:val="3"/>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E57B3B"/>
    <w:rsid w:val="0CFD46F3"/>
    <w:rsid w:val="329152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iPriority w:val="0"/>
  </w:style>
  <w:style w:type="table" w:default="1" w:styleId="12">
    <w:name w:val="Normal Table"/>
    <w:semiHidden/>
    <w:qFormat/>
    <w:uiPriority w:val="0"/>
    <w:tblPr>
      <w:tblStyle w:val="12"/>
      <w:tblCellMar>
        <w:top w:w="0" w:type="dxa"/>
        <w:left w:w="108" w:type="dxa"/>
        <w:bottom w:w="0" w:type="dxa"/>
        <w:right w:w="108" w:type="dxa"/>
      </w:tblCellMar>
    </w:tblPr>
  </w:style>
  <w:style w:type="paragraph" w:customStyle="1" w:styleId="2">
    <w:name w:val="引言二级条标题"/>
    <w:basedOn w:val="3"/>
    <w:next w:val="7"/>
    <w:qFormat/>
    <w:uiPriority w:val="0"/>
    <w:pPr>
      <w:numPr>
        <w:ilvl w:val="1"/>
        <w:numId w:val="1"/>
      </w:numPr>
      <w:tabs>
        <w:tab w:val="left" w:pos="0"/>
        <w:tab w:val="left" w:pos="360"/>
        <w:tab w:val="left" w:pos="425"/>
        <w:tab w:val="left" w:pos="1200"/>
        <w:tab w:val="left" w:pos="1320"/>
        <w:tab w:val="left" w:pos="2160"/>
      </w:tabs>
      <w:jc w:val="left"/>
    </w:pPr>
    <w:rPr>
      <w:sz w:val="20"/>
    </w:rPr>
  </w:style>
  <w:style w:type="paragraph" w:customStyle="1" w:styleId="3">
    <w:name w:val="引言一级条标题"/>
    <w:basedOn w:val="4"/>
    <w:next w:val="7"/>
    <w:qFormat/>
    <w:uiPriority w:val="0"/>
    <w:pPr>
      <w:widowControl/>
      <w:numPr>
        <w:ilvl w:val="0"/>
        <w:numId w:val="2"/>
      </w:numPr>
      <w:tabs>
        <w:tab w:val="left" w:pos="0"/>
        <w:tab w:val="left" w:pos="425"/>
        <w:tab w:val="left" w:pos="1200"/>
        <w:tab w:val="left" w:pos="2160"/>
      </w:tabs>
    </w:pPr>
    <w:rPr>
      <w:rFonts w:ascii="Times New Roman" w:hAnsi="Times New Roman" w:eastAsia="黑体"/>
    </w:rPr>
  </w:style>
  <w:style w:type="paragraph" w:customStyle="1" w:styleId="4">
    <w:name w:val="正文1"/>
    <w:basedOn w:val="5"/>
    <w:next w:val="2"/>
    <w:semiHidden/>
    <w:qFormat/>
    <w:uiPriority w:val="0"/>
    <w:pPr>
      <w:keepNext w:val="0"/>
      <w:keepLines w:val="0"/>
      <w:tabs>
        <w:tab w:val="left" w:pos="0"/>
        <w:tab w:val="left" w:pos="425"/>
        <w:tab w:val="left" w:pos="1200"/>
        <w:tab w:val="left" w:pos="2160"/>
      </w:tabs>
      <w:adjustRightInd w:val="0"/>
      <w:spacing w:before="0" w:after="0" w:line="490" w:lineRule="exact"/>
      <w:textAlignment w:val="baseline"/>
      <w:outlineLvl w:val="9"/>
    </w:pPr>
    <w:rPr>
      <w:rFonts w:ascii="仿宋_GB2312" w:eastAsia="仿宋_GB2312"/>
      <w:kern w:val="0"/>
      <w:sz w:val="34"/>
    </w:rPr>
  </w:style>
  <w:style w:type="paragraph" w:customStyle="1" w:styleId="5">
    <w:name w:val="样式1"/>
    <w:basedOn w:val="6"/>
    <w:qFormat/>
    <w:uiPriority w:val="0"/>
    <w:pPr>
      <w:tabs>
        <w:tab w:val="left" w:pos="1200"/>
      </w:tabs>
      <w:spacing w:before="100" w:after="100"/>
    </w:pPr>
    <w:rPr>
      <w:rFonts w:hAnsi="宋体"/>
    </w:rPr>
  </w:style>
  <w:style w:type="paragraph" w:customStyle="1" w:styleId="6">
    <w:name w:val="标题 11"/>
    <w:basedOn w:val="1"/>
    <w:qFormat/>
    <w:uiPriority w:val="0"/>
    <w:pPr>
      <w:keepNext/>
      <w:keepLines/>
      <w:spacing w:before="340" w:after="330" w:line="578" w:lineRule="auto"/>
      <w:outlineLvl w:val="0"/>
    </w:pPr>
    <w:rPr>
      <w:b/>
      <w:bCs/>
      <w:sz w:val="44"/>
      <w:szCs w:val="44"/>
    </w:rPr>
  </w:style>
  <w:style w:type="paragraph" w:customStyle="1" w:styleId="7">
    <w:name w:val="段"/>
    <w:basedOn w:val="8"/>
    <w:qFormat/>
    <w:uiPriority w:val="0"/>
    <w:pPr>
      <w:autoSpaceDE w:val="0"/>
      <w:autoSpaceDN w:val="0"/>
      <w:ind w:firstLine="200" w:firstLineChars="200"/>
    </w:pPr>
    <w:rPr>
      <w:rFonts w:hAnsi="Times New Roman"/>
      <w:sz w:val="21"/>
    </w:rPr>
  </w:style>
  <w:style w:type="paragraph" w:styleId="8">
    <w:name w:val="Plain Text"/>
    <w:basedOn w:val="1"/>
    <w:next w:val="9"/>
    <w:qFormat/>
    <w:uiPriority w:val="0"/>
    <w:pPr>
      <w:adjustRightInd w:val="0"/>
      <w:spacing w:line="312" w:lineRule="atLeast"/>
      <w:textAlignment w:val="baseline"/>
    </w:pPr>
    <w:rPr>
      <w:rFonts w:ascii="宋体" w:hAnsi="Courier New" w:cs="Times New Roman"/>
      <w:kern w:val="0"/>
      <w:sz w:val="20"/>
      <w:szCs w:val="20"/>
    </w:rPr>
  </w:style>
  <w:style w:type="paragraph" w:customStyle="1" w:styleId="9">
    <w:name w:val="标准"/>
    <w:basedOn w:val="1"/>
    <w:qFormat/>
    <w:uiPriority w:val="0"/>
    <w:pPr>
      <w:adjustRightInd w:val="0"/>
      <w:spacing w:line="312" w:lineRule="atLeast"/>
      <w:textAlignment w:val="baseline"/>
    </w:pPr>
    <w:rPr>
      <w:rFonts w:ascii="Times New Roman" w:hAnsi="Times New Roman" w:cs="Times New Roman"/>
      <w:kern w:val="0"/>
      <w:sz w:val="24"/>
      <w:szCs w:val="24"/>
    </w:rPr>
  </w:style>
  <w:style w:type="paragraph" w:styleId="10">
    <w:name w:val="table of authorities"/>
    <w:basedOn w:val="1"/>
    <w:next w:val="1"/>
    <w:qFormat/>
    <w:uiPriority w:val="0"/>
    <w:pPr>
      <w:ind w:left="420" w:leftChars="200"/>
    </w:pPr>
    <w:rPr>
      <w:rFonts w:ascii="Times New Roman" w:hAnsi="Times New Roman" w:eastAsia="宋体" w:cs="Times New Roman"/>
      <w:sz w:val="28"/>
      <w:szCs w:val="20"/>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1576</Words>
  <Characters>1849</Characters>
  <Lines>0</Lines>
  <Paragraphs>0</Paragraphs>
  <TotalTime>0</TotalTime>
  <ScaleCrop>false</ScaleCrop>
  <LinksUpToDate>false</LinksUpToDate>
  <CharactersWithSpaces>1983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2025-05-16T09:37:59Z</dcterms:created>
  <dc:creator>Administrator</dc:creator>
  <cp:lastModifiedBy>玉簪轻绾融于发</cp:lastModifiedBy>
  <dcterms:modified xsi:type="dcterms:W3CDTF">2025-05-16T11:13:59Z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eyJoZGlkIjoiY2U3MDU1ZDlhMzFlNmI3MWUzZjJkZWM3YTYwNjU0MTIiLCJ1c2VySWQiOiIxMjY4MjI5OTY0In0=</vt:lpwstr>
  </property>
  <property fmtid="{D5CDD505-2E9C-101B-9397-08002B2CF9AE}" pid="4" name="ICV">
    <vt:lpwstr>952B3C9FE9514D01BB9BD3D722AC4E4D_13</vt:lpwstr>
  </property>
</Properties>
</file>