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0C8C0B">
      <w:pPr>
        <w:pStyle w:val="16"/>
        <w:spacing w:beforeLines="0" w:afterLines="0"/>
        <w:rPr>
          <w:rFonts w:hint="eastAsia" w:ascii="黑体" w:hAnsi="黑体" w:eastAsia="黑体" w:cs="黑体"/>
          <w:b/>
          <w:color w:val="auto"/>
          <w:kern w:val="2"/>
          <w:sz w:val="24"/>
          <w:szCs w:val="24"/>
          <w:highlight w:val="none"/>
          <w:lang w:val="en-US" w:eastAsia="zh-CN"/>
        </w:rPr>
      </w:pPr>
      <w:r>
        <w:rPr>
          <w:rFonts w:hint="eastAsia" w:ascii="黑体" w:hAnsi="黑体" w:eastAsia="黑体" w:cs="黑体"/>
          <w:b/>
          <w:color w:val="auto"/>
          <w:kern w:val="2"/>
          <w:sz w:val="24"/>
          <w:szCs w:val="24"/>
          <w:highlight w:val="none"/>
          <w:lang w:val="en-US"/>
        </w:rPr>
        <w:t>附件</w:t>
      </w:r>
      <w:r>
        <w:rPr>
          <w:rFonts w:hint="eastAsia" w:ascii="黑体" w:hAnsi="黑体" w:eastAsia="黑体" w:cs="黑体"/>
          <w:b/>
          <w:color w:val="auto"/>
          <w:kern w:val="2"/>
          <w:sz w:val="24"/>
          <w:szCs w:val="24"/>
          <w:highlight w:val="none"/>
          <w:lang w:val="en-US" w:eastAsia="zh-CN"/>
        </w:rPr>
        <w:t>1</w:t>
      </w:r>
      <w:r>
        <w:rPr>
          <w:rFonts w:hint="eastAsia" w:ascii="黑体" w:hAnsi="黑体" w:eastAsia="黑体" w:cs="黑体"/>
          <w:b/>
          <w:color w:val="auto"/>
          <w:kern w:val="2"/>
          <w:sz w:val="24"/>
          <w:szCs w:val="24"/>
          <w:highlight w:val="none"/>
          <w:lang w:val="en-US"/>
        </w:rPr>
        <w:t>：专用资质业绩要求</w:t>
      </w:r>
      <w:r>
        <w:rPr>
          <w:rFonts w:hint="eastAsia" w:ascii="黑体" w:hAnsi="黑体" w:eastAsia="黑体" w:cs="黑体"/>
          <w:b/>
          <w:color w:val="auto"/>
          <w:kern w:val="2"/>
          <w:sz w:val="24"/>
          <w:szCs w:val="24"/>
          <w:highlight w:val="none"/>
          <w:lang w:val="en-US" w:eastAsia="zh-CN"/>
        </w:rPr>
        <w:t>（无专用</w:t>
      </w:r>
      <w:r>
        <w:rPr>
          <w:rFonts w:hint="eastAsia" w:ascii="黑体" w:hAnsi="黑体" w:eastAsia="黑体" w:cs="黑体"/>
          <w:b/>
          <w:color w:val="auto"/>
          <w:kern w:val="2"/>
          <w:sz w:val="24"/>
          <w:szCs w:val="24"/>
          <w:highlight w:val="none"/>
          <w:lang w:val="en-US"/>
        </w:rPr>
        <w:t>专用资质业绩要求</w:t>
      </w:r>
      <w:r>
        <w:rPr>
          <w:rFonts w:hint="eastAsia" w:ascii="黑体" w:hAnsi="黑体" w:eastAsia="黑体" w:cs="黑体"/>
          <w:b/>
          <w:color w:val="auto"/>
          <w:kern w:val="2"/>
          <w:sz w:val="24"/>
          <w:szCs w:val="24"/>
          <w:highlight w:val="none"/>
          <w:lang w:val="en-US" w:eastAsia="zh-CN"/>
        </w:rPr>
        <w:t>的标包，满足通用资格要求即可）</w:t>
      </w:r>
    </w:p>
    <w:p w14:paraId="6792BB38">
      <w:pPr>
        <w:pStyle w:val="17"/>
        <w:spacing w:beforeLines="0" w:afterLines="0"/>
        <w:jc w:val="both"/>
        <w:rPr>
          <w:rFonts w:hint="eastAsia" w:hAnsi="Calibri" w:cs="Times New Roman"/>
          <w:color w:val="auto"/>
          <w:sz w:val="24"/>
          <w:szCs w:val="24"/>
          <w:highlight w:val="none"/>
        </w:rPr>
      </w:pPr>
    </w:p>
    <w:tbl>
      <w:tblPr>
        <w:tblStyle w:val="12"/>
        <w:tblW w:w="144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476"/>
        <w:gridCol w:w="1341"/>
        <w:gridCol w:w="2362"/>
        <w:gridCol w:w="2731"/>
        <w:gridCol w:w="1966"/>
        <w:gridCol w:w="1966"/>
        <w:gridCol w:w="1468"/>
        <w:gridCol w:w="1170"/>
      </w:tblGrid>
      <w:tr w14:paraId="5BC64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858" w:hRule="atLeast"/>
          <w:tblHeader/>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FFB42E">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适用标包</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6ADA9C">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小类</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7E356F9">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业绩要求（不少于）</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BAAA5D">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2E4134">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关键参数</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E407B8">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生产设备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D16C19">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hint="eastAsia" w:ascii="宋体" w:hAnsi="宋体" w:eastAsia="宋体" w:cs="宋体"/>
                <w:b/>
                <w:i w:val="0"/>
                <w:color w:val="000000"/>
                <w:kern w:val="0"/>
                <w:sz w:val="20"/>
                <w:szCs w:val="20"/>
                <w:u w:val="none"/>
                <w:lang w:val="en-US" w:eastAsia="zh-CN" w:bidi="ar"/>
              </w:rPr>
              <w:t>试验设备</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D89685">
            <w:pPr>
              <w:keepNext w:val="0"/>
              <w:keepLines w:val="0"/>
              <w:widowControl/>
              <w:suppressLineNumbers w:val="0"/>
              <w:jc w:val="center"/>
              <w:textAlignment w:val="center"/>
              <w:rPr>
                <w:rFonts w:hint="eastAsia" w:ascii="宋体" w:hAnsi="宋体" w:eastAsia="宋体" w:cs="宋体"/>
                <w:b/>
                <w:i w:val="0"/>
                <w:color w:val="000000"/>
                <w:kern w:val="0"/>
                <w:sz w:val="20"/>
                <w:szCs w:val="20"/>
                <w:u w:val="none"/>
                <w:lang w:val="en-US" w:eastAsia="zh-CN" w:bidi="ar"/>
              </w:rPr>
            </w:pPr>
            <w:r>
              <w:rPr>
                <w:rFonts w:ascii="Times New Roman" w:hAnsi="Times New Roman" w:cs="Times New Roman" w:eastAsiaTheme="minorEastAsia"/>
                <w:b/>
                <w:kern w:val="0"/>
                <w:szCs w:val="21"/>
                <w:highlight w:val="none"/>
                <w:lang w:bidi="ar"/>
              </w:rPr>
              <w:t>3C认证证书</w:t>
            </w:r>
          </w:p>
        </w:tc>
      </w:tr>
      <w:tr w14:paraId="1347F1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2"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F1616F">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001充气式高压开关柜包1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6F818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10kV高压开关柜</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DEB251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150台</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3CFD45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1、国家认可的第三方检测机构出具的有效的本体型式试验报告；                            2、配套关键组件断路器须取得国家认可的第三方检测机构出具的有效的型式试验报告。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E8DBF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内部电弧允许持续时间≧0.5s；温升试验1.1倍额定电流；接地开关额定短路电流关合次数≧2次；局放试验≤100pC。可移开部件的机械操作试验≧3000次。</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DD4367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1、数控折弯机（或具备折剪冲功能的数控加工中心）</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2、数控剪板机（或具备折剪冲功能的数控加工中心）</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3、数控冲床（或具备折剪冲功能的数控加工中心）</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4、母排加工机</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42C44D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1、工频耐压装置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2、二次回路工频耐压装置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3、回路电阻测试仪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4、机械特性测试仪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5、绝缘电阻测试仪</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44707C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21BF32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57"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FF4BD9">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003瓷柱式交流断路器包1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AA8FED">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瓷柱式交流断路器</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484C6C">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6F1812">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国家认可的第三方检测机构出具的有效的本体型式试验报告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0C6E9A">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CB7CACB">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5F7CDB3">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079A60">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6FA51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57"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241BCA4">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011能量管理系统包1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44349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能量管理系统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759E0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275F81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提供国家认可第三方检验检测机构出具的检验检测报告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49C30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D5D63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BBD29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045395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48CBF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98"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6D984C7">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013合并单元包1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5DC63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合并单元</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26F46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AD6F5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提供国家认可第三方检验检测机构出具的型式试验报告或检验检测报告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3075F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7056FC9">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7BF6C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FB91F5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7F02C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2F188C1">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014智能终端包1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AD74F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智能终端</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EF250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AF656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提供国家认可第三方检验检测机构出具的型式试验报告或检验检测报告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52FC79">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AE90A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4C68B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91771B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74B6D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B7F46C0">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017数据网网络管理系统包1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E21636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数据网网络管理系统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630EA4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247E5A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提供国家认可第三方检验检测机构出具的检验检测报告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B8A62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0A94F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80B6E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8D535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1BDE9E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444FFA">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022软件包1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AEA93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生产管理系统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82CC4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0E1C0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68B37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E12C0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052B2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A00C4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3882F6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F3B56B">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022软件包2</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13F50D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生产管理系统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39AD7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2019年1月1日至投标/首次应答截止日期间，投标人/应答人具有同类产品销售业绩。</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774C4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B9E4E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DC8975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7C9E6A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8F3107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4E6DB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072FC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026电缆保护管包1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C6AE3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电缆保护管</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AEAD4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250000米</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79157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国家认可的第三方检测机构出具有效的检测报告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96DC3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43446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8FB50F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4C4A28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033E4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A0DDD9A">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026电缆保护管包2</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DB469B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电缆保护管</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FB929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250000米</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19C916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国家认可的第三方检测机构出具有效的检测报告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793B1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DB3128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321BB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AC24D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4F9D2B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4DAE681">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029仪器仪表包5</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A842AA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低压故障排除实训装置、电能计量运行仿真系统、三相电能表接线仿真系统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255079">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近3年低具有同类（低压故障排除实训装置、电能计量运行仿真系统、三相电能表接线仿真系统）的销售业绩各10套以上</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B4B3D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国家认可的第三方检测机构出具的合格全性能试验报告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6271C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F6DC6B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BCF448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52CAC8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22EDB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0A2569">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029仪器仪表包6</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7560D0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钳形电流表</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748E1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F9330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国家认可的第三方检测机构出具的有效的钳形电流表的校准证书。</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18435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5786E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3、包装类设备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08AAE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1、多功能校准器（标准源）</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2、标准电流表（数字多用表）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3、绝缘电阻测试仪</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85D9A2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398B65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01817DF">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029仪器仪表包7</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1F2239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局放测试仪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EA989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9D7DB6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国家认可的第三方检测机构出具的有效的局放测试仪的型式试验报告。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C7DB3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5B833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3、包装类设备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CB577A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1、信号发生器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2、示波器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3、频谱分析仪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4、高低温湿热、老化箱</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5、绝缘电阻测试仪</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B51F17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6561A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B4B0EF">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029仪器仪表包9</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16F29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开关机械特性测试仪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4DABD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9367FC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国家认可的第三方检测机构出具的有效的开关机械特性测试仪的型式试验报告。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F2BF1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AD811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A35C6C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1、开关机械特性测试仪时间基准装置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2、开关机械特性测试仪行程基准装置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3、耐压测试仪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4、绝缘电阻测试仪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5、数字万用表</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B9AA7B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1F7E6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A48A3C7">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029仪器仪表包10</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30FDF1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紫外线成像仪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3867A2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CD8E9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国家认可的第三方检测机构出具的有效的紫外线成像仪的型式试验报告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F8FF9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10833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3、包装类设备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ABBF9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1、直流电源</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2、高低温湿热、老化箱</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5B9AB7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5D097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19B2490">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029仪器仪表包12</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4BA088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SF6气体检漏仪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655CC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08EFF2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国家认可的第三方检测机构出具的有效的SF6气体检漏仪的型式试验报告。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9A699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A0D98D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3、包装类设备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9F2BC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1、六氟化硫配气装置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2、流量控制器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3、气体流量计</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4、示波器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5、检漏仪校准装置（含标气）</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6、数字万用表</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7、黑体辐射源（红外法）</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8、高低温湿热、老化箱</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07D69F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75151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522B851">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029仪器仪表包13</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9C5F73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变压器参数测试仪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47A7F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9C1291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国家认可的第三方检测机构出具的有效的变压器参数测试仪的型式试验报告。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88744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FDC9D9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CA5ACC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1、三相交直流指示仪表校验装置</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2、交直流耐压测试仪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3、绝缘电阻测试仪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4、高低温湿热、老化箱</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531C9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1DC4F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6CCE37">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029仪器仪表包15</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3D60B6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红外热成像仪</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851B68">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BDF574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国家认可的第三方检测机构出具的有效的红外热成像仪的型式试验报告。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4A85E1">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F57D59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1、装配类设备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2、焊接类设备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3、包装类设备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72F208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1、黑体辐射源</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2、高低温湿热老化箱</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2C7BAE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r w14:paraId="6FCA3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041D475">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040消防系统包1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183A2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消防系统</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C3715F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累计销售业绩不少于100万元。注：销售业绩必须提供招标文件所需证明材料。</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8BD4C0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1311A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150D41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97FE41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A390E8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投标人/应答人所投产品中属于最新强制性认证名录中的，需提供CCC中国国家强制性产品认证证书</w:t>
            </w:r>
          </w:p>
        </w:tc>
      </w:tr>
      <w:tr w14:paraId="15717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4F6A210">
            <w:pPr>
              <w:keepNext w:val="0"/>
              <w:keepLines w:val="0"/>
              <w:widowControl/>
              <w:suppressLineNumbers w:val="0"/>
              <w:jc w:val="center"/>
              <w:textAlignment w:val="center"/>
              <w:rPr>
                <w:rFonts w:hint="default"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049办公家具包1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F7F52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办公用柜、架、箱</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E7673C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累计销售业绩不少于2000万元。注：销售业绩必须提供招标文件所需证明材料。</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4C1CD9">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1A5B36">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633AC34">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386E38A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4A29CF7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投标人/应答人所投产品中属于最新强制性认证名录中的，需提供CCC中国国家强制性产品认证证书</w:t>
            </w:r>
          </w:p>
        </w:tc>
      </w:tr>
      <w:tr w14:paraId="01A9E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C9CA02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049办公家具包2</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1F22FDF2">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主控桌</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273AEAE">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累计销售业绩不少于2000万元。注：销售业绩必须提供招标文件所需证明材料。</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6DD3EED0">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国家认可的第三方检测机构出具的有效的检验检测报告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6356A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14415B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7EB4715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80327F5">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投标人/应答人所投产品中属于最新强制性认证名录中的，需提供CCC中国国家强制性产品认证证书</w:t>
            </w:r>
          </w:p>
        </w:tc>
      </w:tr>
      <w:tr w14:paraId="46F63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404" w:hRule="atLeast"/>
          <w:jc w:val="center"/>
        </w:trPr>
        <w:tc>
          <w:tcPr>
            <w:tcW w:w="147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E4495E7">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051电缆分支箱包1</w:t>
            </w:r>
          </w:p>
        </w:tc>
        <w:tc>
          <w:tcPr>
            <w:tcW w:w="134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4856FCA">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低压电缆分支箱</w:t>
            </w:r>
          </w:p>
        </w:tc>
        <w:tc>
          <w:tcPr>
            <w:tcW w:w="236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967206B">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1000台</w:t>
            </w:r>
          </w:p>
        </w:tc>
        <w:tc>
          <w:tcPr>
            <w:tcW w:w="2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42B8DBC">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国家认可的第三方检测机构出具有效的低压电缆分支箱（塑壳断路器）型式试验报告。</w:t>
            </w:r>
          </w:p>
        </w:tc>
        <w:tc>
          <w:tcPr>
            <w:tcW w:w="19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CF8E03">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开关为塑壳断路器、额定电流不低于630A、额定电压0.4kV、额定绝缘电压不低于0.66kV、外壳防护等级不低于IP44、额定短时耐受电流不低于10kA/1s。</w:t>
            </w:r>
          </w:p>
        </w:tc>
        <w:tc>
          <w:tcPr>
            <w:tcW w:w="1966"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23FF3E6F">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1、母线加工机</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2、折弯机</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3、冲床</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4、剪板机</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5、摇臂钻床等非便携式钻孔设备（或以上具备同样功能的数控设备），运输及起重设备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6、焊机及焊接设备</w:t>
            </w:r>
          </w:p>
        </w:tc>
        <w:tc>
          <w:tcPr>
            <w:tcW w:w="146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5E2592CD">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1、回路电阻测试仪</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2、工频耐压（电压）设备</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3、绝缘电阻测试仪</w:t>
            </w:r>
          </w:p>
        </w:tc>
        <w:tc>
          <w:tcPr>
            <w:tcW w:w="117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14:paraId="03FC0429">
            <w:pPr>
              <w:keepNext w:val="0"/>
              <w:keepLines w:val="0"/>
              <w:widowControl/>
              <w:suppressLineNumbers w:val="0"/>
              <w:jc w:val="center"/>
              <w:textAlignment w:val="center"/>
              <w:rPr>
                <w:rFonts w:hint="eastAsia" w:ascii="宋体" w:hAnsi="宋体" w:eastAsia="宋体" w:cs="宋体"/>
                <w:i w:val="0"/>
                <w:color w:val="000000"/>
                <w:kern w:val="0"/>
                <w:sz w:val="18"/>
                <w:szCs w:val="18"/>
                <w:u w:val="none"/>
                <w:lang w:val="en-US" w:eastAsia="zh-CN" w:bidi="ar"/>
              </w:rPr>
            </w:pPr>
            <w:r>
              <w:rPr>
                <w:rFonts w:hint="eastAsia" w:ascii="宋体" w:hAnsi="宋体" w:eastAsia="宋体" w:cs="宋体"/>
                <w:i w:val="0"/>
                <w:color w:val="000000"/>
                <w:kern w:val="0"/>
                <w:sz w:val="18"/>
                <w:szCs w:val="18"/>
                <w:u w:val="none"/>
                <w:lang w:val="en-US" w:eastAsia="zh-CN" w:bidi="ar"/>
              </w:rPr>
              <w:t>/</w:t>
            </w:r>
          </w:p>
        </w:tc>
      </w:tr>
    </w:tbl>
    <w:p w14:paraId="190BEAB9">
      <w:pPr>
        <w:rPr>
          <w:rFonts w:hint="default"/>
        </w:rPr>
      </w:pPr>
    </w:p>
    <w:p w14:paraId="2A13CD9D">
      <w:pPr>
        <w:rPr>
          <w:rFonts w:hint="eastAsia"/>
        </w:rPr>
      </w:pPr>
      <w:bookmarkStart w:id="0" w:name="_GoBack"/>
      <w:bookmarkEnd w:id="0"/>
    </w:p>
    <w:sectPr>
      <w:headerReference r:id="rId4" w:type="default"/>
      <w:footerReference r:id="rId5" w:type="default"/>
      <w:footnotePr>
        <w:pos w:val="beneathText"/>
      </w:footnotePr>
      <w:pgSz w:w="16838" w:h="11906" w:orient="landscape"/>
      <w:pgMar w:top="1689" w:right="1134" w:bottom="1349" w:left="1134" w:header="850" w:footer="992" w:gutter="0"/>
      <w:pgNumType w:fmt="decimal"/>
      <w:cols w:space="0" w:num="1"/>
      <w:rtlGutter w:val="0"/>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A2712">
    <w:pPr>
      <w:pStyle w:val="8"/>
      <w:spacing w:beforeLines="0" w:afterLines="0" w:line="14" w:lineRule="auto"/>
      <w:ind w:firstLine="240"/>
      <w:rPr>
        <w:rFonts w:hint="default"/>
        <w:sz w:val="12"/>
        <w:szCs w:val="21"/>
      </w:rPr>
    </w:pPr>
    <w:r>
      <w:rPr>
        <w:sz w:val="1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476F19">
                          <w:pPr>
                            <w:pStyle w:val="9"/>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0476F19">
                    <w:pPr>
                      <w:pStyle w:val="9"/>
                      <w:rPr>
                        <w:rFonts w:hint="eastAsia" w:eastAsia="等线"/>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A0F854">
    <w:pPr>
      <w:pStyle w:val="10"/>
      <w:pBdr>
        <w:bottom w:val="none" w:color="auto" w:sz="0" w:space="0"/>
      </w:pBdr>
      <w:spacing w:beforeLines="0" w:afterLines="0"/>
      <w:ind w:firstLine="360"/>
      <w:rPr>
        <w:rFonts w:hint="default"/>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pos w:val="beneathText"/>
    <w:footnote w:id="0"/>
    <w:footnote w:id="1"/>
  </w:footnotePr>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29A56A4"/>
    <w:rsid w:val="6E7C09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nhideWhenUsed/>
    <w:qFormat/>
    <w:uiPriority w:val="0"/>
    <w:pPr>
      <w:widowControl w:val="0"/>
      <w:spacing w:beforeLines="0" w:afterLines="0"/>
      <w:jc w:val="both"/>
    </w:pPr>
    <w:rPr>
      <w:rFonts w:hint="eastAsia" w:ascii="等线" w:hAnsi="等线" w:eastAsia="等线" w:cs="Times New Roman"/>
      <w:kern w:val="2"/>
      <w:sz w:val="21"/>
      <w:szCs w:val="22"/>
      <w:lang w:val="en-US" w:eastAsia="zh-CN" w:bidi="ar-SA"/>
    </w:rPr>
  </w:style>
  <w:style w:type="paragraph" w:styleId="7">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13">
    <w:name w:val="Default Paragraph Font"/>
    <w:semiHidden/>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5"/>
    <w:unhideWhenUsed/>
    <w:qFormat/>
    <w:uiPriority w:val="0"/>
    <w:pPr>
      <w:spacing w:beforeLines="0" w:afterLines="0"/>
      <w:ind w:firstLine="420"/>
    </w:pPr>
    <w:rPr>
      <w:rFonts w:hint="eastAsia"/>
      <w:sz w:val="21"/>
      <w:szCs w:val="24"/>
    </w:rPr>
  </w:style>
  <w:style w:type="paragraph" w:styleId="3">
    <w:name w:val="Body Text Indent"/>
    <w:basedOn w:val="1"/>
    <w:next w:val="4"/>
    <w:unhideWhenUsed/>
    <w:qFormat/>
    <w:uiPriority w:val="0"/>
    <w:pPr>
      <w:autoSpaceDE w:val="0"/>
      <w:autoSpaceDN w:val="0"/>
      <w:spacing w:beforeLines="0" w:after="120" w:afterLines="0"/>
      <w:ind w:left="420"/>
    </w:pPr>
    <w:rPr>
      <w:rFonts w:hint="eastAsia" w:ascii="Times New Roman" w:hAnsi="Times New Roman" w:eastAsia="宋体"/>
      <w:sz w:val="21"/>
      <w:szCs w:val="24"/>
      <w:lang w:val="zh-CN"/>
    </w:rPr>
  </w:style>
  <w:style w:type="paragraph" w:styleId="4">
    <w:name w:val="envelope return"/>
    <w:basedOn w:val="1"/>
    <w:qFormat/>
    <w:uiPriority w:val="0"/>
    <w:pPr>
      <w:snapToGrid w:val="0"/>
    </w:pPr>
    <w:rPr>
      <w:rFonts w:hint="eastAsia" w:ascii="Arial" w:hAnsi="Arial" w:eastAsia="宋体" w:cs="Times New Roman"/>
      <w:szCs w:val="20"/>
    </w:rPr>
  </w:style>
  <w:style w:type="paragraph" w:customStyle="1" w:styleId="5">
    <w:name w:val="表格文字"/>
    <w:basedOn w:val="6"/>
    <w:next w:val="1"/>
    <w:unhideWhenUsed/>
    <w:qFormat/>
    <w:uiPriority w:val="0"/>
    <w:pPr>
      <w:spacing w:beforeLines="0" w:afterLines="0"/>
      <w:ind w:firstLine="0" w:firstLineChars="0"/>
      <w:jc w:val="center"/>
    </w:pPr>
    <w:rPr>
      <w:rFonts w:hint="eastAsia"/>
      <w:sz w:val="21"/>
      <w:szCs w:val="20"/>
    </w:rPr>
  </w:style>
  <w:style w:type="paragraph" w:styleId="6">
    <w:name w:val="List"/>
    <w:basedOn w:val="1"/>
    <w:unhideWhenUsed/>
    <w:qFormat/>
    <w:uiPriority w:val="0"/>
    <w:pPr>
      <w:spacing w:beforeLines="0" w:afterLines="0"/>
      <w:ind w:left="200" w:hanging="200" w:hangingChars="200"/>
    </w:pPr>
    <w:rPr>
      <w:rFonts w:hint="eastAsia" w:ascii="宋体" w:hAnsi="宋体" w:eastAsia="宋体" w:cs="宋体"/>
      <w:sz w:val="21"/>
      <w:szCs w:val="21"/>
    </w:rPr>
  </w:style>
  <w:style w:type="paragraph" w:styleId="8">
    <w:name w:val="Body Text"/>
    <w:basedOn w:val="1"/>
    <w:next w:val="1"/>
    <w:unhideWhenUsed/>
    <w:qFormat/>
    <w:uiPriority w:val="0"/>
    <w:pPr>
      <w:autoSpaceDE w:val="0"/>
      <w:autoSpaceDN w:val="0"/>
      <w:spacing w:beforeLines="0" w:afterLines="0"/>
      <w:jc w:val="left"/>
    </w:pPr>
    <w:rPr>
      <w:rFonts w:hint="eastAsia" w:ascii="宋体" w:hAnsi="宋体" w:eastAsia="宋体" w:cs="宋体"/>
      <w:sz w:val="21"/>
      <w:szCs w:val="21"/>
      <w:lang w:val="zh-CN"/>
    </w:rPr>
  </w:style>
  <w:style w:type="paragraph" w:styleId="9">
    <w:name w:val="footer"/>
    <w:basedOn w:val="1"/>
    <w:unhideWhenUsed/>
    <w:qFormat/>
    <w:uiPriority w:val="99"/>
    <w:pPr>
      <w:tabs>
        <w:tab w:val="center" w:pos="4153"/>
        <w:tab w:val="right" w:pos="8306"/>
      </w:tabs>
      <w:snapToGrid w:val="0"/>
      <w:spacing w:beforeLines="0" w:afterLines="0"/>
      <w:jc w:val="left"/>
    </w:pPr>
    <w:rPr>
      <w:rFonts w:hint="eastAsia"/>
      <w:sz w:val="18"/>
      <w:szCs w:val="18"/>
    </w:rPr>
  </w:style>
  <w:style w:type="paragraph" w:styleId="10">
    <w:name w:val="header"/>
    <w:basedOn w:val="1"/>
    <w:unhideWhenUsed/>
    <w:qFormat/>
    <w:uiPriority w:val="0"/>
    <w:pPr>
      <w:pBdr>
        <w:bottom w:val="single" w:color="auto" w:sz="6" w:space="1"/>
      </w:pBdr>
      <w:tabs>
        <w:tab w:val="center" w:pos="4153"/>
        <w:tab w:val="right" w:pos="8306"/>
      </w:tabs>
      <w:snapToGrid w:val="0"/>
      <w:spacing w:beforeLines="0" w:afterLines="0"/>
      <w:jc w:val="center"/>
    </w:pPr>
    <w:rPr>
      <w:rFonts w:hint="eastAsia"/>
      <w:sz w:val="18"/>
      <w:szCs w:val="18"/>
    </w:rPr>
  </w:style>
  <w:style w:type="paragraph" w:styleId="11">
    <w:name w:val="Normal (Web)"/>
    <w:basedOn w:val="1"/>
    <w:uiPriority w:val="0"/>
    <w:pPr>
      <w:spacing w:before="0" w:beforeAutospacing="1" w:after="0" w:afterAutospacing="1"/>
      <w:ind w:left="0" w:right="0"/>
      <w:jc w:val="left"/>
    </w:pPr>
    <w:rPr>
      <w:kern w:val="0"/>
      <w:sz w:val="24"/>
      <w:lang w:val="en-US" w:eastAsia="zh-CN" w:bidi="ar"/>
    </w:rPr>
  </w:style>
  <w:style w:type="character" w:styleId="14">
    <w:name w:val="Strong"/>
    <w:basedOn w:val="13"/>
    <w:qFormat/>
    <w:uiPriority w:val="0"/>
    <w:rPr>
      <w:b/>
    </w:rPr>
  </w:style>
  <w:style w:type="character" w:styleId="15">
    <w:name w:val="HTML Sample"/>
    <w:basedOn w:val="13"/>
    <w:uiPriority w:val="0"/>
    <w:rPr>
      <w:rFonts w:ascii="Courier New" w:hAnsi="Courier New"/>
    </w:rPr>
  </w:style>
  <w:style w:type="paragraph" w:customStyle="1" w:styleId="16">
    <w:name w:val="正文文本2"/>
    <w:basedOn w:val="1"/>
    <w:unhideWhenUsed/>
    <w:qFormat/>
    <w:uiPriority w:val="0"/>
    <w:pPr>
      <w:autoSpaceDE w:val="0"/>
      <w:autoSpaceDN w:val="0"/>
      <w:spacing w:beforeLines="0" w:afterLines="0"/>
      <w:jc w:val="left"/>
    </w:pPr>
    <w:rPr>
      <w:rFonts w:hint="eastAsia" w:ascii="宋体" w:hAnsi="宋体" w:eastAsia="宋体"/>
      <w:sz w:val="20"/>
      <w:szCs w:val="21"/>
      <w:lang w:val="zh-CN"/>
    </w:rPr>
  </w:style>
  <w:style w:type="paragraph" w:customStyle="1" w:styleId="17">
    <w:name w:val="样式8"/>
    <w:basedOn w:val="18"/>
    <w:unhideWhenUsed/>
    <w:qFormat/>
    <w:uiPriority w:val="1"/>
    <w:pPr>
      <w:spacing w:beforeLines="0" w:afterLines="0"/>
    </w:pPr>
    <w:rPr>
      <w:rFonts w:hint="eastAsia"/>
      <w:sz w:val="28"/>
      <w:szCs w:val="28"/>
    </w:rPr>
  </w:style>
  <w:style w:type="paragraph" w:customStyle="1" w:styleId="18">
    <w:name w:val="一级标题"/>
    <w:basedOn w:val="1"/>
    <w:unhideWhenUsed/>
    <w:qFormat/>
    <w:uiPriority w:val="0"/>
    <w:pPr>
      <w:adjustRightInd w:val="0"/>
      <w:snapToGrid w:val="0"/>
      <w:spacing w:beforeLines="0" w:afterLines="0"/>
      <w:jc w:val="center"/>
      <w:outlineLvl w:val="0"/>
    </w:pPr>
    <w:rPr>
      <w:rFonts w:hint="eastAsia" w:ascii="黑体" w:hAnsi="宋体" w:eastAsia="黑体" w:cs="宋体"/>
      <w:b/>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1249</Words>
  <Characters>1484</Characters>
  <Lines>0</Lines>
  <Paragraphs>0</Paragraphs>
  <TotalTime>0</TotalTime>
  <ScaleCrop>false</ScaleCrop>
  <LinksUpToDate>false</LinksUpToDate>
  <CharactersWithSpaces>1789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2025-05-16T10:25:00Z</dcterms:created>
  <dc:creator>QQ</dc:creator>
  <cp:lastModifiedBy>玉簪轻绾融于发</cp:lastModifiedBy>
  <dcterms:modified xsi:type="dcterms:W3CDTF">2025-05-16T11:28:14Z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eyJoZGlkIjoiY2U3MDU1ZDlhMzFlNmI3MWUzZjJkZWM3YTYwNjU0MTIiLCJ1c2VySWQiOiIxMjY4MjI5OTY0In0=</vt:lpwstr>
  </property>
  <property fmtid="{D5CDD505-2E9C-101B-9397-08002B2CF9AE}" pid="4" name="ICV">
    <vt:lpwstr>5519F09122F249538577729563662016_13</vt:lpwstr>
  </property>
</Properties>
</file>