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6EC16">
      <w:pPr>
        <w:pStyle w:val="10"/>
        <w:wordWrap/>
        <w:spacing w:before="157" w:beforeLines="50" w:line="360" w:lineRule="auto"/>
        <w:jc w:val="both"/>
        <w:rPr>
          <w:rFonts w:hint="eastAsia" w:ascii="宋体" w:hAnsi="宋体" w:eastAsia="宋体" w:cs="宋体"/>
          <w:color w:val="auto"/>
          <w:sz w:val="30"/>
          <w:szCs w:val="30"/>
        </w:rPr>
      </w:pPr>
    </w:p>
    <w:p w14:paraId="30DEFF0E">
      <w:pPr>
        <w:pStyle w:val="10"/>
        <w:wordWrap/>
        <w:spacing w:before="157" w:beforeLines="50" w:line="360" w:lineRule="auto"/>
        <w:jc w:val="both"/>
        <w:rPr>
          <w:rFonts w:hint="eastAsia" w:ascii="宋体" w:hAnsi="宋体" w:eastAsia="宋体" w:cs="宋体"/>
          <w:color w:val="auto"/>
          <w:sz w:val="30"/>
          <w:szCs w:val="30"/>
        </w:rPr>
      </w:pPr>
    </w:p>
    <w:p w14:paraId="34E8E9DB">
      <w:pPr>
        <w:pStyle w:val="10"/>
        <w:widowControl w:val="0"/>
        <w:wordWrap/>
        <w:spacing w:before="313" w:beforeLines="100" w:line="360" w:lineRule="auto"/>
        <w:jc w:val="both"/>
        <w:textAlignment w:val="auto"/>
        <w:rPr>
          <w:rFonts w:hint="eastAsia" w:ascii="宋体" w:hAnsi="宋体" w:eastAsia="宋体" w:cs="宋体"/>
          <w:b/>
          <w:bCs/>
          <w:color w:val="auto"/>
          <w:sz w:val="72"/>
          <w:szCs w:val="72"/>
        </w:rPr>
      </w:pPr>
    </w:p>
    <w:p w14:paraId="61F1F581">
      <w:pPr>
        <w:pStyle w:val="10"/>
        <w:widowControl w:val="0"/>
        <w:wordWrap/>
        <w:adjustRightInd w:val="0"/>
        <w:snapToGrid w:val="0"/>
        <w:spacing w:before="313" w:beforeLines="100" w:line="360" w:lineRule="auto"/>
        <w:jc w:val="center"/>
        <w:textAlignment w:val="auto"/>
        <w:rPr>
          <w:rFonts w:hint="eastAsia" w:ascii="宋体" w:hAnsi="宋体" w:eastAsia="宋体" w:cs="宋体"/>
          <w:b/>
          <w:bCs/>
          <w:color w:val="auto"/>
          <w:sz w:val="72"/>
          <w:szCs w:val="72"/>
        </w:rPr>
      </w:pPr>
      <w:r>
        <w:rPr>
          <w:rFonts w:hint="eastAsia" w:ascii="宋体" w:hAnsi="宋体" w:eastAsia="宋体" w:cs="宋体"/>
          <w:b/>
          <w:bCs/>
          <w:color w:val="auto"/>
          <w:sz w:val="72"/>
          <w:szCs w:val="72"/>
        </w:rPr>
        <w:t>竞争性谈判文件</w:t>
      </w:r>
    </w:p>
    <w:p w14:paraId="4268CBE9">
      <w:pPr>
        <w:pStyle w:val="10"/>
        <w:widowControl w:val="0"/>
        <w:wordWrap/>
        <w:adjustRightInd w:val="0"/>
        <w:snapToGrid w:val="0"/>
        <w:spacing w:before="313" w:beforeLines="100" w:line="360" w:lineRule="auto"/>
        <w:textAlignment w:val="auto"/>
        <w:rPr>
          <w:rFonts w:hint="eastAsia" w:ascii="宋体" w:hAnsi="宋体" w:eastAsia="宋体" w:cs="宋体"/>
          <w:b/>
          <w:bCs/>
          <w:color w:val="auto"/>
          <w:sz w:val="30"/>
          <w:szCs w:val="30"/>
        </w:rPr>
      </w:pPr>
    </w:p>
    <w:p w14:paraId="4EE7D17E">
      <w:pPr>
        <w:pStyle w:val="10"/>
        <w:widowControl w:val="0"/>
        <w:wordWrap/>
        <w:adjustRightInd w:val="0"/>
        <w:snapToGrid w:val="0"/>
        <w:spacing w:before="313" w:beforeLines="100" w:line="360" w:lineRule="auto"/>
        <w:textAlignment w:val="auto"/>
        <w:rPr>
          <w:rFonts w:hint="eastAsia" w:ascii="宋体" w:hAnsi="宋体" w:eastAsia="宋体" w:cs="宋体"/>
          <w:b/>
          <w:bCs/>
          <w:color w:val="auto"/>
          <w:sz w:val="30"/>
          <w:szCs w:val="30"/>
        </w:rPr>
      </w:pPr>
    </w:p>
    <w:p w14:paraId="2867E2BD">
      <w:pPr>
        <w:widowControl w:val="0"/>
        <w:wordWrap/>
        <w:adjustRightInd w:val="0"/>
        <w:snapToGrid w:val="0"/>
        <w:spacing w:before="157" w:beforeLines="50" w:line="360" w:lineRule="auto"/>
        <w:ind w:left="2249" w:hanging="2249" w:hangingChars="700"/>
        <w:textAlignment w:val="auto"/>
        <w:rPr>
          <w:rFonts w:hint="eastAsia" w:ascii="宋体" w:hAnsi="宋体" w:eastAsia="宋体" w:cs="宋体"/>
          <w:b/>
          <w:bCs/>
          <w:color w:val="auto"/>
          <w:sz w:val="32"/>
          <w:szCs w:val="32"/>
          <w:u w:val="none"/>
          <w:lang w:val="en-US" w:eastAsia="zh-CN"/>
        </w:rPr>
      </w:pPr>
      <w:r>
        <w:rPr>
          <w:rFonts w:hint="eastAsia" w:ascii="宋体" w:hAnsi="宋体" w:eastAsia="宋体" w:cs="宋体"/>
          <w:b/>
          <w:bCs/>
          <w:color w:val="auto"/>
          <w:sz w:val="32"/>
          <w:szCs w:val="32"/>
        </w:rPr>
        <w:t>采购项目名</w:t>
      </w:r>
      <w:r>
        <w:rPr>
          <w:rFonts w:hint="eastAsia" w:ascii="宋体" w:hAnsi="宋体" w:eastAsia="宋体" w:cs="宋体"/>
          <w:b/>
          <w:bCs/>
          <w:color w:val="auto"/>
          <w:sz w:val="32"/>
          <w:szCs w:val="32"/>
          <w:u w:val="none"/>
        </w:rPr>
        <w:t>称</w:t>
      </w:r>
      <w:r>
        <w:rPr>
          <w:rFonts w:hint="eastAsia" w:ascii="宋体" w:hAnsi="宋体" w:eastAsia="宋体" w:cs="宋体"/>
          <w:b/>
          <w:bCs/>
          <w:color w:val="auto"/>
          <w:sz w:val="32"/>
          <w:szCs w:val="32"/>
          <w:u w:val="none"/>
          <w:lang w:eastAsia="zh-CN"/>
        </w:rPr>
        <w:t>：</w:t>
      </w:r>
      <w:r>
        <w:rPr>
          <w:rFonts w:hint="eastAsia" w:ascii="宋体" w:hAnsi="宋体" w:eastAsia="宋体" w:cs="宋体"/>
          <w:b/>
          <w:bCs/>
          <w:color w:val="auto"/>
          <w:sz w:val="32"/>
          <w:szCs w:val="32"/>
          <w:u w:val="none"/>
          <w:lang w:val="en-US" w:eastAsia="zh-CN"/>
        </w:rPr>
        <w:t>网络与数据安全服务运维项目-安全设备维保服务项目</w:t>
      </w:r>
    </w:p>
    <w:p w14:paraId="62F99AF3">
      <w:pPr>
        <w:widowControl w:val="0"/>
        <w:wordWrap/>
        <w:adjustRightInd w:val="0"/>
        <w:snapToGrid w:val="0"/>
        <w:spacing w:before="157" w:beforeLines="50" w:line="360" w:lineRule="auto"/>
        <w:ind w:firstLine="0" w:firstLineChars="0"/>
        <w:jc w:val="left"/>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采购项目编号：</w:t>
      </w:r>
      <w:r>
        <w:rPr>
          <w:rFonts w:hint="eastAsia" w:ascii="宋体" w:hAnsi="宋体" w:eastAsia="宋体" w:cs="宋体"/>
          <w:b/>
          <w:bCs/>
          <w:color w:val="auto"/>
          <w:kern w:val="0"/>
          <w:sz w:val="32"/>
          <w:szCs w:val="32"/>
          <w:u w:val="none"/>
          <w:lang w:val="en-US" w:eastAsia="zh-CN"/>
        </w:rPr>
        <w:t>DZZB-2025-028</w:t>
      </w:r>
    </w:p>
    <w:p w14:paraId="0CAA4B97">
      <w:pPr>
        <w:widowControl w:val="0"/>
        <w:wordWrap/>
        <w:adjustRightInd w:val="0"/>
        <w:snapToGrid w:val="0"/>
        <w:spacing w:before="157" w:beforeLines="50" w:line="360" w:lineRule="auto"/>
        <w:ind w:firstLine="0" w:firstLineChars="0"/>
        <w:textAlignment w:val="auto"/>
        <w:rPr>
          <w:rFonts w:hint="eastAsia" w:ascii="宋体" w:hAnsi="宋体" w:eastAsia="宋体" w:cs="宋体"/>
          <w:b/>
          <w:bCs/>
          <w:color w:val="auto"/>
          <w:sz w:val="32"/>
          <w:szCs w:val="32"/>
          <w:u w:val="single"/>
          <w:lang w:val="en-US" w:eastAsia="zh-CN"/>
        </w:rPr>
      </w:pPr>
      <w:r>
        <w:rPr>
          <w:rFonts w:hint="eastAsia" w:ascii="宋体" w:hAnsi="宋体" w:eastAsia="宋体" w:cs="宋体"/>
          <w:b/>
          <w:bCs/>
          <w:color w:val="auto"/>
          <w:sz w:val="32"/>
          <w:szCs w:val="32"/>
        </w:rPr>
        <w:t>采   购   人：</w:t>
      </w:r>
      <w:r>
        <w:rPr>
          <w:rFonts w:hint="eastAsia" w:ascii="宋体" w:hAnsi="宋体" w:eastAsia="宋体" w:cs="宋体"/>
          <w:b/>
          <w:bCs/>
          <w:color w:val="auto"/>
          <w:kern w:val="0"/>
          <w:sz w:val="32"/>
          <w:szCs w:val="32"/>
          <w:u w:val="none"/>
          <w:lang w:val="en-US" w:eastAsia="zh-CN"/>
        </w:rPr>
        <w:t>青海民族大学</w:t>
      </w:r>
    </w:p>
    <w:p w14:paraId="3F8D3464">
      <w:pPr>
        <w:widowControl w:val="0"/>
        <w:wordWrap/>
        <w:adjustRightInd w:val="0"/>
        <w:snapToGrid w:val="0"/>
        <w:spacing w:before="157" w:beforeLines="50" w:line="360" w:lineRule="auto"/>
        <w:ind w:firstLine="0" w:firstLineChars="0"/>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采购代理机构：</w:t>
      </w:r>
      <w:r>
        <w:rPr>
          <w:rFonts w:hint="eastAsia" w:ascii="宋体" w:hAnsi="宋体" w:eastAsia="宋体" w:cs="宋体"/>
          <w:b/>
          <w:bCs/>
          <w:color w:val="auto"/>
          <w:kern w:val="0"/>
          <w:sz w:val="32"/>
          <w:szCs w:val="32"/>
          <w:u w:val="none"/>
          <w:lang w:val="zh-CN"/>
        </w:rPr>
        <w:t>青海鼎钊招标代理有限公司</w:t>
      </w:r>
    </w:p>
    <w:p w14:paraId="404FE693">
      <w:pPr>
        <w:wordWrap/>
        <w:autoSpaceDE w:val="0"/>
        <w:autoSpaceDN w:val="0"/>
        <w:adjustRightInd w:val="0"/>
        <w:spacing w:before="157" w:beforeLines="50" w:line="360" w:lineRule="auto"/>
        <w:jc w:val="left"/>
        <w:rPr>
          <w:rFonts w:hint="eastAsia" w:ascii="宋体" w:hAnsi="宋体" w:eastAsia="宋体" w:cs="宋体"/>
          <w:b/>
          <w:bCs/>
          <w:color w:val="auto"/>
          <w:kern w:val="0"/>
          <w:sz w:val="30"/>
          <w:szCs w:val="30"/>
          <w:lang w:val="zh-CN"/>
        </w:rPr>
      </w:pPr>
    </w:p>
    <w:p w14:paraId="5562CF82">
      <w:pPr>
        <w:wordWrap/>
        <w:autoSpaceDE w:val="0"/>
        <w:autoSpaceDN w:val="0"/>
        <w:adjustRightInd w:val="0"/>
        <w:spacing w:before="157" w:beforeLines="50" w:line="360" w:lineRule="auto"/>
        <w:jc w:val="left"/>
        <w:rPr>
          <w:rFonts w:hint="eastAsia" w:ascii="宋体" w:hAnsi="宋体" w:eastAsia="宋体" w:cs="宋体"/>
          <w:b/>
          <w:bCs/>
          <w:color w:val="auto"/>
          <w:kern w:val="0"/>
          <w:sz w:val="30"/>
          <w:szCs w:val="30"/>
          <w:lang w:val="zh-CN"/>
        </w:rPr>
      </w:pPr>
    </w:p>
    <w:p w14:paraId="0508A929">
      <w:pPr>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2025年05月21日</w:t>
      </w:r>
    </w:p>
    <w:p w14:paraId="2BCC36B7">
      <w:pPr>
        <w:jc w:val="center"/>
        <w:rPr>
          <w:rFonts w:hint="eastAsia" w:ascii="宋体" w:hAnsi="宋体" w:eastAsia="宋体" w:cs="宋体"/>
          <w:color w:val="auto"/>
          <w:kern w:val="0"/>
          <w:sz w:val="44"/>
          <w:szCs w:val="44"/>
          <w:lang w:val="zh-CN"/>
        </w:rPr>
      </w:pPr>
      <w:r>
        <w:rPr>
          <w:rFonts w:hint="eastAsia" w:ascii="宋体" w:hAnsi="宋体" w:eastAsia="宋体" w:cs="宋体"/>
          <w:color w:val="auto"/>
          <w:kern w:val="0"/>
          <w:sz w:val="44"/>
          <w:szCs w:val="44"/>
          <w:lang w:val="zh-CN"/>
        </w:rPr>
        <w:br w:type="page"/>
      </w:r>
    </w:p>
    <w:p w14:paraId="43445671">
      <w:pPr>
        <w:spacing w:before="0" w:beforeLines="0" w:after="0" w:afterLines="0" w:line="240" w:lineRule="auto"/>
        <w:ind w:left="0" w:leftChars="0" w:right="0" w:firstLine="0" w:firstLineChars="0"/>
        <w:jc w:val="center"/>
        <w:rPr>
          <w:rFonts w:hint="eastAsia" w:ascii="宋体" w:hAnsi="宋体" w:eastAsia="宋体" w:cs="宋体"/>
          <w:color w:val="auto"/>
        </w:rPr>
      </w:pPr>
      <w:r>
        <w:rPr>
          <w:rFonts w:hint="eastAsia" w:ascii="宋体" w:hAnsi="宋体" w:eastAsia="宋体" w:cs="宋体"/>
          <w:color w:val="auto"/>
          <w:sz w:val="44"/>
          <w:szCs w:val="44"/>
        </w:rPr>
        <w:t>目</w:t>
      </w:r>
      <w:r>
        <w:rPr>
          <w:rFonts w:hint="eastAsia" w:ascii="宋体" w:hAnsi="宋体" w:eastAsia="宋体" w:cs="宋体"/>
          <w:color w:val="auto"/>
          <w:sz w:val="44"/>
          <w:szCs w:val="44"/>
          <w:lang w:val="en-US" w:eastAsia="zh-CN"/>
        </w:rPr>
        <w:t xml:space="preserve">  </w:t>
      </w:r>
      <w:r>
        <w:rPr>
          <w:rFonts w:hint="eastAsia" w:ascii="宋体" w:hAnsi="宋体" w:eastAsia="宋体" w:cs="宋体"/>
          <w:color w:val="auto"/>
          <w:sz w:val="44"/>
          <w:szCs w:val="44"/>
        </w:rPr>
        <w:t>录</w:t>
      </w:r>
    </w:p>
    <w:p w14:paraId="41EF1565">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"1-3"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_Toc13304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lang w:val="en-US" w:eastAsia="zh-CN" w:bidi="ar-SA"/>
        </w:rPr>
        <w:t xml:space="preserve">第一部分  </w:t>
      </w:r>
      <w:r>
        <w:rPr>
          <w:rFonts w:hint="eastAsia" w:ascii="宋体" w:hAnsi="宋体" w:eastAsia="宋体" w:cs="宋体"/>
          <w:bCs/>
          <w:color w:val="auto"/>
          <w:sz w:val="24"/>
          <w:szCs w:val="24"/>
          <w:lang w:val="en-US" w:eastAsia="zh-CN"/>
        </w:rPr>
        <w:t>谈判须知前附表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_Toc13304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9B31E69">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_Toc19955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sz w:val="24"/>
          <w:szCs w:val="24"/>
          <w:lang w:val="en-US" w:eastAsia="zh-CN"/>
        </w:rPr>
        <w:t>第二部分  谈判须知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_Toc19955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C724756">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_Toc8350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一、说明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_Toc8350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E563D2A">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_Toc3322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1.适用范围</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_Toc3322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64E33D2">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_Toc2112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2.采购人及代理机构</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_Toc2112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53B9277">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_Toc19728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3.供应商的资格要求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_Toc19728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3510EAE">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_Toc13228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4.谈判费用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_Toc13228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B4C960D">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_Toc5605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二、谈判文件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_Toc5605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9C1D452">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_Toc19841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5.谈判文件的组成</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_Toc19841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4ACA27F">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_Toc27269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6.谈判文件的澄清</w:t>
      </w:r>
      <w:r>
        <w:rPr>
          <w:rFonts w:hint="eastAsia" w:ascii="宋体" w:hAnsi="宋体" w:eastAsia="宋体" w:cs="宋体"/>
          <w:bCs/>
          <w:color w:val="auto"/>
          <w:kern w:val="2"/>
          <w:sz w:val="24"/>
          <w:szCs w:val="24"/>
          <w:lang w:val="zh-CN" w:eastAsia="zh-CN" w:bidi="ar-SA"/>
        </w:rPr>
        <w:t>或者</w:t>
      </w:r>
      <w:r>
        <w:rPr>
          <w:rFonts w:hint="eastAsia" w:ascii="宋体" w:hAnsi="宋体" w:eastAsia="宋体" w:cs="宋体"/>
          <w:bCs/>
          <w:color w:val="auto"/>
          <w:kern w:val="2"/>
          <w:sz w:val="24"/>
          <w:szCs w:val="24"/>
          <w:lang w:val="en-US" w:eastAsia="zh-CN" w:bidi="ar-SA"/>
        </w:rPr>
        <w:t>修改</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_Toc27269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8808A14">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_Toc27617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7.谈判文件的询问或质疑</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_Toc27617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68D119D">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_Toc12997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三、响应文件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_Toc12997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7BCAF9A1">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_Toc16540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8.一般要求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_Toc16540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EEFF57B">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_Toc25922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9.报价要求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_Toc25922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AB19DC4">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_Toc27585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10.保证金</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_Toc27585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DF7CFFC">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_Toc7718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11.响应文件的组成</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_Toc7718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94EECCA">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_Toc3004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12.响应文件有效期</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_Toc3004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47F3211">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_Toc29012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13.响应文件的签署及规定</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_Toc29012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23A046B">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_Toc16239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四、响应文件的递交</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_Toc16239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36E5649">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_Toc31398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14.响应文件的密封和标记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_Toc31398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FCBF39D">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_Toc12764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15.响应文件的递交与接收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_Toc12764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7715C41C">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_Toc1373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16.响应文件的</w:t>
      </w:r>
      <w:r>
        <w:rPr>
          <w:rFonts w:hint="eastAsia" w:ascii="宋体" w:hAnsi="宋体" w:eastAsia="宋体" w:cs="宋体"/>
          <w:bCs/>
          <w:color w:val="auto"/>
          <w:kern w:val="2"/>
          <w:sz w:val="24"/>
          <w:szCs w:val="24"/>
          <w:lang w:val="zh-CN" w:eastAsia="zh-CN" w:bidi="ar-SA"/>
        </w:rPr>
        <w:t>补充、修改或者撤回</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_Toc1373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BF0A7F0">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_Toc17502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五、响应文件的评审与谈判</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_Toc17502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94508ED">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_Toc11267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17.谈判小组</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_Toc11267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2B70449">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_Toc21386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18.响应文件审查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_Toc21386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12</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2ADB0A4">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_Toc7233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19.谈判程序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_Toc7233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13</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FD97CCD">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_Toc13352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20.澄清</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_Toc13352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13</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4707DFC">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_Toc18040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21.退出谈判</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_Toc18040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14</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2278C4F">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_Toc12522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22.最后报价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_Toc12522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14</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11970A7">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_Toc16163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23.确定成交供应商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_Toc16163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14</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8DE9F45">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_Toc22206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24.重新评审</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_Toc22206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C98E66F">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_Toc2122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25.谈判终止</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_Toc2122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DCD7045">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_Toc3325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26.串通情形认定及处理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_Toc3325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ACEE021">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_Toc27536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highlight w:val="none"/>
          <w:lang w:val="en-US" w:eastAsia="zh-CN" w:bidi="ar-SA"/>
        </w:rPr>
        <w:t>六、成交结果信息公布与授予合同</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_Toc27536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EBD1205">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_Toc8130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27.成交信息的公布与通知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_Toc8130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89DF22D">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_Toc4510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28.授予合同</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_Toc4510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398EC4C">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_Toc22051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29.履约验收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_Toc22051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C9181F5">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_Toc10745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highlight w:val="none"/>
          <w:lang w:val="en-US" w:eastAsia="zh-CN" w:bidi="ar-SA"/>
        </w:rPr>
        <w:t>七、询问与质疑</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_Toc10745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7B352213">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_Toc15153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30.对采购过程、结果的询问及质疑</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_Toc15153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5E3EB9A">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_Toc20109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highlight w:val="none"/>
          <w:lang w:val="en-US" w:eastAsia="zh-CN" w:bidi="ar-SA"/>
        </w:rPr>
        <w:t>八、采购政策</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_Toc20109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0A9A85B">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_Toc14303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31.采购政策</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_Toc14303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769B0716">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_Toc26727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highlight w:val="none"/>
          <w:lang w:val="en-US" w:eastAsia="zh-CN" w:bidi="ar-SA"/>
        </w:rPr>
        <w:t>九、其他规定</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_Toc26727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66E1675">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_Toc19781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32.代理服务费</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_Toc19781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ABA6C02">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_Toc18298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33.其他规定</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_Toc18298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C96C413">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_Toc31195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sz w:val="24"/>
          <w:szCs w:val="24"/>
          <w:highlight w:val="none"/>
          <w:lang w:val="en-US" w:eastAsia="zh-CN"/>
        </w:rPr>
        <w:t>第三部分  采购需求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_Toc31195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7D2301CE">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_Toc28010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highlight w:val="none"/>
          <w:lang w:val="zh-CN" w:eastAsia="zh-CN" w:bidi="ar-SA"/>
        </w:rPr>
        <w:t>十、响应说明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_Toc28010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BE0632B">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_Toc27034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highlight w:val="none"/>
          <w:lang w:val="zh-CN" w:eastAsia="zh-CN" w:bidi="ar-SA"/>
        </w:rPr>
        <w:t>十一、重要指标</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_Toc27034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8A7AD01">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_Toc19363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sz w:val="24"/>
          <w:szCs w:val="24"/>
          <w:lang w:eastAsia="zh-CN"/>
        </w:rPr>
        <w:t>第四部分</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lang w:eastAsia="zh-CN"/>
        </w:rPr>
        <w:t>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_Toc19363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7CC74ACC">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_Toc20524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十二、响应文件的组成</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_Toc20524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23292E4">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_Toc30546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zh-CN" w:eastAsia="zh-CN" w:bidi="ar-SA"/>
        </w:rPr>
        <w:t>（一）资格审查部分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_Toc30546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B8B3614">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_Toc1423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zh-CN" w:eastAsia="zh-CN" w:bidi="ar-SA"/>
        </w:rPr>
        <w:t>（二）有效性、完整性、响应程度审查部分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_Toc1423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50B2FAB">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_Toc10743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十三、响应文件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_Toc10743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22</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913411A">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_Toc214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附件1：响应函</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23</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94FB62C">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_Toc23458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附件2：法定代表人证明书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_Toc23458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24</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6353E70">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_Toc27119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附件3：法定代表人授权书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_Toc27119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25</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449E98F">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_Toc27688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附件4：供应商承诺函</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_Toc27688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1B1F8F5">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_Toc659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附件5：供应商诚信承诺书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_Toc659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9BFC07A">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_Toc15042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附件6：供应商资格证明文件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_Toc15042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EC5D0F3">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_Toc26577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附件7：财务状况、缴纳税收和社会保障资金证明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_Toc26577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29</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EB38179">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_Toc18432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附件8：无重大违法记录声明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_Toc18432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30</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D9A6AE0">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_Toc30928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附件9：谈判</w:t>
      </w:r>
      <w:r>
        <w:rPr>
          <w:rFonts w:hint="eastAsia" w:ascii="宋体" w:hAnsi="宋体" w:eastAsia="宋体" w:cs="宋体"/>
          <w:bCs w:val="0"/>
          <w:color w:val="auto"/>
          <w:kern w:val="2"/>
          <w:sz w:val="24"/>
          <w:szCs w:val="24"/>
          <w:lang w:val="zh-CN" w:eastAsia="zh-CN" w:bidi="ar-SA"/>
        </w:rPr>
        <w:t>保证金证明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_Toc30928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AC05852">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_Toc7156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附件10：谈判首次报价表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_Toc7156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33</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BA9FCAF">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_Toc21692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附件11：分项报价表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_Toc21692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34</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48ED47A">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_Toc15096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附件12：服务响应表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_Toc15096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35</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27C4CE8">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_Toc12537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附件13：服务相关资料（具备履行合同所必须的设备和专业技术能力证明）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_Toc12537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7313BB72">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_Toc1417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附件14：享受采购政策优惠的证明资料</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006185C">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_Toc4623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附件15：最后报价表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_Toc4623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ACB4280">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_Toc1031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sz w:val="24"/>
          <w:szCs w:val="24"/>
          <w:lang w:eastAsia="zh-CN"/>
        </w:rPr>
        <w:t>第五部分</w:t>
      </w:r>
      <w:r>
        <w:rPr>
          <w:rFonts w:hint="eastAsia" w:ascii="宋体" w:hAnsi="宋体" w:eastAsia="宋体" w:cs="宋体"/>
          <w:bCs/>
          <w:color w:val="auto"/>
          <w:sz w:val="24"/>
          <w:szCs w:val="24"/>
        </w:rPr>
        <w:t xml:space="preserve"> </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lang w:eastAsia="zh-CN"/>
        </w:rPr>
        <w:t>采购项目合同书</w:t>
      </w:r>
      <w:r>
        <w:rPr>
          <w:rFonts w:hint="eastAsia" w:ascii="宋体" w:hAnsi="宋体" w:eastAsia="宋体" w:cs="宋体"/>
          <w:bCs/>
          <w:color w:val="auto"/>
          <w:sz w:val="24"/>
          <w:szCs w:val="24"/>
        </w:rPr>
        <w:t>范本</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_Toc1031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39</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17C1635">
      <w:pPr>
        <w:bidi w:val="0"/>
        <w:rPr>
          <w:rFonts w:hint="eastAsia" w:ascii="宋体" w:hAnsi="宋体" w:eastAsia="宋体" w:cs="宋体"/>
          <w:color w:val="auto"/>
          <w:lang w:val="en-US" w:eastAsia="zh-CN"/>
        </w:rPr>
      </w:pPr>
      <w:r>
        <w:rPr>
          <w:rFonts w:hint="eastAsia" w:ascii="宋体" w:hAnsi="宋体" w:eastAsia="宋体" w:cs="宋体"/>
          <w:color w:val="auto"/>
          <w:sz w:val="24"/>
          <w:szCs w:val="24"/>
          <w:lang w:val="en-US" w:eastAsia="zh-CN"/>
        </w:rPr>
        <w:fldChar w:fldCharType="end"/>
      </w:r>
      <w:bookmarkStart w:id="0" w:name="_Toc13304"/>
      <w:bookmarkStart w:id="1" w:name="_Toc20903"/>
    </w:p>
    <w:p w14:paraId="1315F3A3">
      <w:pPr>
        <w:rPr>
          <w:rFonts w:hint="eastAsia" w:ascii="宋体" w:hAnsi="宋体" w:eastAsia="宋体" w:cs="宋体"/>
          <w:color w:val="auto"/>
          <w:kern w:val="2"/>
          <w:szCs w:val="32"/>
          <w:lang w:val="en-US" w:eastAsia="zh-CN" w:bidi="ar-SA"/>
        </w:rPr>
      </w:pPr>
      <w:r>
        <w:rPr>
          <w:rFonts w:hint="eastAsia" w:ascii="宋体" w:hAnsi="宋体" w:eastAsia="宋体" w:cs="宋体"/>
          <w:color w:val="auto"/>
          <w:kern w:val="2"/>
          <w:szCs w:val="32"/>
          <w:lang w:val="en-US" w:eastAsia="zh-CN" w:bidi="ar-SA"/>
        </w:rPr>
        <w:br w:type="page"/>
      </w:r>
    </w:p>
    <w:p w14:paraId="672BB572">
      <w:pPr>
        <w:pStyle w:val="2"/>
        <w:keepNext/>
        <w:widowControl w:val="0"/>
        <w:numPr>
          <w:ilvl w:val="0"/>
          <w:numId w:val="0"/>
        </w:numPr>
        <w:wordWrap/>
        <w:adjustRightInd w:val="0"/>
        <w:snapToGrid w:val="0"/>
        <w:spacing w:before="157" w:beforeLines="50" w:line="360" w:lineRule="auto"/>
        <w:jc w:val="center"/>
        <w:textAlignment w:val="auto"/>
        <w:outlineLvl w:val="0"/>
        <w:rPr>
          <w:rFonts w:hint="eastAsia" w:ascii="宋体" w:hAnsi="宋体" w:eastAsia="宋体" w:cs="宋体"/>
          <w:b/>
          <w:bCs/>
          <w:color w:val="auto"/>
          <w:sz w:val="32"/>
          <w:szCs w:val="32"/>
          <w:lang w:val="en-US" w:eastAsia="zh-CN"/>
        </w:rPr>
      </w:pPr>
      <w:r>
        <w:rPr>
          <w:rFonts w:hint="eastAsia" w:ascii="宋体" w:hAnsi="宋体" w:eastAsia="宋体" w:cs="宋体"/>
          <w:b/>
          <w:bCs/>
          <w:color w:val="auto"/>
          <w:kern w:val="2"/>
          <w:sz w:val="32"/>
          <w:szCs w:val="32"/>
          <w:lang w:val="en-US" w:eastAsia="zh-CN" w:bidi="ar-SA"/>
        </w:rPr>
        <w:t xml:space="preserve">第一部分  </w:t>
      </w:r>
      <w:bookmarkEnd w:id="0"/>
      <w:bookmarkEnd w:id="1"/>
      <w:r>
        <w:rPr>
          <w:rFonts w:hint="eastAsia" w:ascii="宋体" w:hAnsi="宋体" w:eastAsia="宋体" w:cs="宋体"/>
          <w:b/>
          <w:bCs/>
          <w:color w:val="auto"/>
          <w:sz w:val="32"/>
          <w:szCs w:val="32"/>
          <w:lang w:val="en-US" w:eastAsia="zh-CN"/>
        </w:rPr>
        <w:t>谈判须知前附表</w:t>
      </w:r>
    </w:p>
    <w:tbl>
      <w:tblPr>
        <w:tblStyle w:val="20"/>
        <w:tblW w:w="1020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40" w:type="dxa"/>
          <w:bottom w:w="0" w:type="dxa"/>
          <w:right w:w="40" w:type="dxa"/>
        </w:tblCellMar>
      </w:tblPr>
      <w:tblGrid>
        <w:gridCol w:w="2328"/>
        <w:gridCol w:w="7877"/>
      </w:tblGrid>
      <w:tr w14:paraId="76531D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2138C44E">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采购项目</w:t>
            </w:r>
            <w:r>
              <w:rPr>
                <w:rFonts w:hint="eastAsia" w:ascii="宋体" w:hAnsi="宋体" w:eastAsia="宋体" w:cs="宋体"/>
                <w:color w:val="auto"/>
                <w:sz w:val="24"/>
                <w:szCs w:val="24"/>
                <w:lang w:eastAsia="zh-CN"/>
              </w:rPr>
              <w:t>名称</w:t>
            </w:r>
          </w:p>
        </w:tc>
        <w:tc>
          <w:tcPr>
            <w:tcW w:w="7877" w:type="dxa"/>
            <w:tcBorders>
              <w:tl2br w:val="nil"/>
              <w:tr2bl w:val="nil"/>
            </w:tcBorders>
            <w:vAlign w:val="top"/>
          </w:tcPr>
          <w:p w14:paraId="1EB0E917">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网络与数据安全服务运维项目-安全设备维保服务项目</w:t>
            </w:r>
          </w:p>
        </w:tc>
      </w:tr>
      <w:tr w14:paraId="24E709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7F5D1D18">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采购项目编号</w:t>
            </w:r>
          </w:p>
        </w:tc>
        <w:tc>
          <w:tcPr>
            <w:tcW w:w="7877" w:type="dxa"/>
            <w:tcBorders>
              <w:tl2br w:val="nil"/>
              <w:tr2bl w:val="nil"/>
            </w:tcBorders>
            <w:vAlign w:val="top"/>
          </w:tcPr>
          <w:p w14:paraId="220F4BDB">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kern w:val="2"/>
                <w:sz w:val="24"/>
                <w:szCs w:val="24"/>
                <w:u w:val="single"/>
                <w:lang w:val="zh-CN"/>
              </w:rPr>
            </w:pPr>
            <w:r>
              <w:rPr>
                <w:rFonts w:hint="eastAsia" w:ascii="宋体" w:hAnsi="宋体" w:eastAsia="宋体" w:cs="宋体"/>
                <w:b w:val="0"/>
                <w:bCs/>
                <w:color w:val="auto"/>
                <w:kern w:val="0"/>
                <w:sz w:val="24"/>
                <w:szCs w:val="24"/>
                <w:u w:val="none"/>
                <w:lang w:val="en-US" w:eastAsia="zh-CN"/>
              </w:rPr>
              <w:t>DZZB-2025-028</w:t>
            </w:r>
          </w:p>
        </w:tc>
      </w:tr>
      <w:tr w14:paraId="1E9BF6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2EC3D204">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采购方式</w:t>
            </w:r>
          </w:p>
        </w:tc>
        <w:tc>
          <w:tcPr>
            <w:tcW w:w="7877" w:type="dxa"/>
            <w:tcBorders>
              <w:tl2br w:val="nil"/>
              <w:tr2bl w:val="nil"/>
            </w:tcBorders>
            <w:vAlign w:val="top"/>
          </w:tcPr>
          <w:p w14:paraId="7466B596">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竞争性谈判</w:t>
            </w:r>
          </w:p>
        </w:tc>
      </w:tr>
      <w:tr w14:paraId="1EDE47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17E63BB4">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采购预算额度</w:t>
            </w:r>
          </w:p>
        </w:tc>
        <w:tc>
          <w:tcPr>
            <w:tcW w:w="7877" w:type="dxa"/>
            <w:tcBorders>
              <w:tl2br w:val="nil"/>
              <w:tr2bl w:val="nil"/>
            </w:tcBorders>
            <w:vAlign w:val="top"/>
          </w:tcPr>
          <w:p w14:paraId="2A1069F4">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57万元</w:t>
            </w:r>
          </w:p>
        </w:tc>
      </w:tr>
      <w:tr w14:paraId="3720FD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469C2F88">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项目分包个数</w:t>
            </w:r>
          </w:p>
        </w:tc>
        <w:tc>
          <w:tcPr>
            <w:tcW w:w="7877" w:type="dxa"/>
            <w:tcBorders>
              <w:tl2br w:val="nil"/>
              <w:tr2bl w:val="nil"/>
            </w:tcBorders>
            <w:vAlign w:val="top"/>
          </w:tcPr>
          <w:p w14:paraId="0FAB4951">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w:t>
            </w:r>
          </w:p>
        </w:tc>
      </w:tr>
      <w:tr w14:paraId="7621E3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179EF78D">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供应商</w:t>
            </w:r>
            <w:r>
              <w:rPr>
                <w:rFonts w:hint="eastAsia" w:ascii="宋体" w:hAnsi="宋体" w:eastAsia="宋体" w:cs="宋体"/>
                <w:color w:val="auto"/>
                <w:sz w:val="24"/>
                <w:szCs w:val="24"/>
              </w:rPr>
              <w:t>资格条件</w:t>
            </w:r>
          </w:p>
        </w:tc>
        <w:tc>
          <w:tcPr>
            <w:tcW w:w="7877" w:type="dxa"/>
            <w:tcBorders>
              <w:tl2br w:val="nil"/>
              <w:tr2bl w:val="nil"/>
            </w:tcBorders>
            <w:vAlign w:val="top"/>
          </w:tcPr>
          <w:p w14:paraId="039C2FBC">
            <w:pPr>
              <w:pStyle w:val="11"/>
              <w:keepNext w:val="0"/>
              <w:keepLines w:val="0"/>
              <w:pageBreakBefore w:val="0"/>
              <w:widowControl w:val="0"/>
              <w:kinsoku/>
              <w:wordWrap/>
              <w:overflowPunct/>
              <w:topLinePunct w:val="0"/>
              <w:bidi w:val="0"/>
              <w:adjustRightInd/>
              <w:snapToGrid/>
              <w:spacing w:line="36" w:lineRule="atLeast"/>
              <w:ind w:left="0" w:leftChars="0"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符合</w:t>
            </w:r>
            <w:r>
              <w:rPr>
                <w:rFonts w:hint="eastAsia" w:ascii="宋体" w:hAnsi="宋体" w:eastAsia="宋体" w:cs="宋体"/>
                <w:color w:val="auto"/>
                <w:sz w:val="24"/>
                <w:szCs w:val="24"/>
                <w:lang w:val="en-US" w:eastAsia="zh-CN"/>
              </w:rPr>
              <w:t>相关法律法规规定</w:t>
            </w:r>
            <w:r>
              <w:rPr>
                <w:rFonts w:hint="eastAsia" w:ascii="宋体" w:hAnsi="宋体" w:eastAsia="宋体" w:cs="宋体"/>
                <w:color w:val="auto"/>
                <w:sz w:val="24"/>
                <w:szCs w:val="24"/>
                <w:lang w:val="zh-CN"/>
              </w:rPr>
              <w:t>，并提供下列材料：</w:t>
            </w:r>
          </w:p>
          <w:p w14:paraId="1C2A91BC">
            <w:pPr>
              <w:pStyle w:val="11"/>
              <w:keepNext w:val="0"/>
              <w:keepLines w:val="0"/>
              <w:pageBreakBefore w:val="0"/>
              <w:widowControl w:val="0"/>
              <w:kinsoku/>
              <w:wordWrap/>
              <w:overflowPunct/>
              <w:topLinePunct w:val="0"/>
              <w:bidi w:val="0"/>
              <w:adjustRightInd/>
              <w:snapToGrid/>
              <w:spacing w:line="36" w:lineRule="atLeast"/>
              <w:ind w:left="0" w:leftChars="0"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的营业执照等证明文件，自然人的身份证明。</w:t>
            </w:r>
          </w:p>
          <w:p w14:paraId="3781BF80">
            <w:pPr>
              <w:pStyle w:val="11"/>
              <w:keepNext w:val="0"/>
              <w:keepLines w:val="0"/>
              <w:pageBreakBefore w:val="0"/>
              <w:widowControl w:val="0"/>
              <w:kinsoku/>
              <w:wordWrap/>
              <w:overflowPunct/>
              <w:topLinePunct w:val="0"/>
              <w:bidi w:val="0"/>
              <w:adjustRightInd/>
              <w:snapToGrid/>
              <w:spacing w:line="36" w:lineRule="atLeast"/>
              <w:ind w:left="0" w:leftChars="0"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）财务状况报告，依法缴纳税收和社会保障资金的相关材料。</w:t>
            </w:r>
          </w:p>
          <w:p w14:paraId="3742B5E6">
            <w:pPr>
              <w:pStyle w:val="11"/>
              <w:keepNext w:val="0"/>
              <w:keepLines w:val="0"/>
              <w:pageBreakBefore w:val="0"/>
              <w:widowControl w:val="0"/>
              <w:kinsoku/>
              <w:wordWrap/>
              <w:overflowPunct/>
              <w:topLinePunct w:val="0"/>
              <w:bidi w:val="0"/>
              <w:adjustRightInd/>
              <w:snapToGrid/>
              <w:spacing w:line="36" w:lineRule="atLeast"/>
              <w:ind w:left="0" w:leftChars="0"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）具备履行合同所必需的设备和专业技术能力的证明材料。</w:t>
            </w:r>
          </w:p>
          <w:p w14:paraId="7AF5E08A">
            <w:pPr>
              <w:pStyle w:val="11"/>
              <w:keepNext w:val="0"/>
              <w:keepLines w:val="0"/>
              <w:pageBreakBefore w:val="0"/>
              <w:widowControl w:val="0"/>
              <w:kinsoku/>
              <w:wordWrap/>
              <w:overflowPunct/>
              <w:topLinePunct w:val="0"/>
              <w:bidi w:val="0"/>
              <w:adjustRightInd/>
              <w:snapToGrid/>
              <w:spacing w:line="36" w:lineRule="atLeast"/>
              <w:ind w:left="0" w:leftChars="0"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）参加采购活动前3年内在经营活动中没有重大违法记录的书面声明。</w:t>
            </w:r>
          </w:p>
          <w:p w14:paraId="599C4D4C">
            <w:pPr>
              <w:pStyle w:val="11"/>
              <w:keepNext w:val="0"/>
              <w:keepLines w:val="0"/>
              <w:pageBreakBefore w:val="0"/>
              <w:widowControl w:val="0"/>
              <w:kinsoku/>
              <w:wordWrap/>
              <w:overflowPunct/>
              <w:topLinePunct w:val="0"/>
              <w:bidi w:val="0"/>
              <w:adjustRightInd/>
              <w:snapToGrid/>
              <w:spacing w:line="36" w:lineRule="atLeast"/>
              <w:ind w:left="0" w:leftChars="0"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）具备法律、行政法规规定的其他条件的证明材料。</w:t>
            </w:r>
          </w:p>
          <w:p w14:paraId="2B460351">
            <w:pPr>
              <w:pStyle w:val="11"/>
              <w:keepNext w:val="0"/>
              <w:keepLines w:val="0"/>
              <w:pageBreakBefore w:val="0"/>
              <w:widowControl w:val="0"/>
              <w:kinsoku/>
              <w:wordWrap/>
              <w:overflowPunct/>
              <w:topLinePunct w:val="0"/>
              <w:bidi w:val="0"/>
              <w:adjustRightInd/>
              <w:snapToGrid/>
              <w:spacing w:line="36" w:lineRule="atLeast"/>
              <w:ind w:left="0" w:leftChars="0"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经信用中国（www.creditchina.gov.cn）、中国政府采购网（www.ccgp.gov.cn）等渠道查询后，列入失信被执行人、重大税收违法案件当事人名单、政府采购严重违法失信行为记录名单的，取消投标资格；</w:t>
            </w:r>
          </w:p>
          <w:p w14:paraId="1C779DDD">
            <w:pPr>
              <w:pStyle w:val="11"/>
              <w:keepNext w:val="0"/>
              <w:keepLines w:val="0"/>
              <w:pageBreakBefore w:val="0"/>
              <w:widowControl w:val="0"/>
              <w:kinsoku/>
              <w:wordWrap/>
              <w:overflowPunct/>
              <w:topLinePunct w:val="0"/>
              <w:bidi w:val="0"/>
              <w:adjustRightInd/>
              <w:snapToGrid/>
              <w:spacing w:line="36" w:lineRule="atLeast"/>
              <w:ind w:left="0" w:leftChars="0"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单位负责人为同一人或者存在直接控股、管理关系的不同</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，不得参加同一合同项下的采购活动。否则，皆取消投标资格；</w:t>
            </w:r>
          </w:p>
          <w:p w14:paraId="4C3C690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为本采购项目提供整体设计、规范编制或者项目管理、监理、检测等服务的</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，不得再参加该采购项目的其他采购活动；</w:t>
            </w:r>
          </w:p>
          <w:p w14:paraId="18CA5812">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none"/>
                <w:lang w:val="en-US" w:eastAsia="zh-CN"/>
              </w:rPr>
              <w:t>5.供应商必须向采购代理机构购买谈判文件并登记，未经向采购代理机构购买谈判文件并登记的潜在供应商均无资格参加本次采购活动。</w:t>
            </w:r>
          </w:p>
        </w:tc>
      </w:tr>
      <w:tr w14:paraId="465062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4B588512">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是否接收联合体形式</w:t>
            </w:r>
          </w:p>
        </w:tc>
        <w:tc>
          <w:tcPr>
            <w:tcW w:w="7877" w:type="dxa"/>
            <w:tcBorders>
              <w:tl2br w:val="nil"/>
              <w:tr2bl w:val="nil"/>
            </w:tcBorders>
            <w:vAlign w:val="top"/>
          </w:tcPr>
          <w:p w14:paraId="7EFA6634">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u w:val="none"/>
                <w:lang w:val="zh-CN"/>
              </w:rPr>
              <w:t>本项目</w:t>
            </w:r>
            <w:r>
              <w:rPr>
                <w:rFonts w:hint="eastAsia" w:ascii="宋体" w:hAnsi="宋体" w:eastAsia="宋体" w:cs="宋体"/>
                <w:color w:val="auto"/>
                <w:kern w:val="0"/>
                <w:sz w:val="24"/>
                <w:szCs w:val="24"/>
                <w:u w:val="none"/>
                <w:lang w:val="en-US" w:eastAsia="zh-CN"/>
              </w:rPr>
              <w:t>不接受</w:t>
            </w:r>
            <w:r>
              <w:rPr>
                <w:rFonts w:hint="eastAsia" w:ascii="宋体" w:hAnsi="宋体" w:eastAsia="宋体" w:cs="宋体"/>
                <w:color w:val="auto"/>
                <w:kern w:val="0"/>
                <w:sz w:val="24"/>
                <w:szCs w:val="24"/>
                <w:u w:val="none"/>
                <w:lang w:val="zh-CN"/>
              </w:rPr>
              <w:t>供应商以联合体方式进行谈判</w:t>
            </w:r>
          </w:p>
        </w:tc>
      </w:tr>
      <w:tr w14:paraId="1A330D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0D58C5A2">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进口产品</w:t>
            </w:r>
          </w:p>
        </w:tc>
        <w:tc>
          <w:tcPr>
            <w:tcW w:w="7877" w:type="dxa"/>
            <w:tcBorders>
              <w:tl2br w:val="nil"/>
              <w:tr2bl w:val="nil"/>
            </w:tcBorders>
            <w:vAlign w:val="center"/>
          </w:tcPr>
          <w:p w14:paraId="2A508672">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b w:val="0"/>
                <w:bCs/>
                <w:color w:val="auto"/>
                <w:sz w:val="24"/>
                <w:szCs w:val="24"/>
                <w:highlight w:val="none"/>
                <w:u w:val="none"/>
              </w:rPr>
              <w:t>本项目拒绝进</w:t>
            </w:r>
            <w:r>
              <w:rPr>
                <w:rFonts w:hint="eastAsia" w:ascii="宋体" w:hAnsi="宋体" w:eastAsia="宋体" w:cs="宋体"/>
                <w:color w:val="auto"/>
                <w:sz w:val="24"/>
                <w:szCs w:val="24"/>
                <w:highlight w:val="none"/>
                <w:u w:val="none"/>
              </w:rPr>
              <w:t>口产品参加谈判采购</w:t>
            </w:r>
          </w:p>
        </w:tc>
      </w:tr>
      <w:tr w14:paraId="5B3535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7C6FD6E6">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auto"/>
                <w:sz w:val="24"/>
                <w:szCs w:val="24"/>
                <w:u w:val="single" w:color="auto"/>
                <w:lang w:eastAsia="zh-CN"/>
              </w:rPr>
            </w:pPr>
            <w:r>
              <w:rPr>
                <w:rFonts w:hint="eastAsia" w:ascii="宋体" w:hAnsi="宋体" w:eastAsia="宋体" w:cs="宋体"/>
                <w:bCs/>
                <w:color w:val="auto"/>
                <w:sz w:val="24"/>
                <w:szCs w:val="24"/>
                <w:u w:val="none" w:color="auto"/>
              </w:rPr>
              <w:t>谈判文件的实质性变动内容</w:t>
            </w:r>
          </w:p>
        </w:tc>
        <w:tc>
          <w:tcPr>
            <w:tcW w:w="7877" w:type="dxa"/>
            <w:tcBorders>
              <w:tl2br w:val="nil"/>
              <w:tr2bl w:val="nil"/>
            </w:tcBorders>
            <w:vAlign w:val="center"/>
          </w:tcPr>
          <w:p w14:paraId="7146DFD4">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b w:val="0"/>
                <w:bCs/>
                <w:color w:val="auto"/>
                <w:sz w:val="24"/>
                <w:szCs w:val="24"/>
                <w:u w:val="single" w:color="auto"/>
              </w:rPr>
            </w:pPr>
            <w:r>
              <w:rPr>
                <w:rFonts w:hint="eastAsia" w:ascii="宋体" w:hAnsi="宋体" w:eastAsia="宋体" w:cs="宋体"/>
                <w:color w:val="auto"/>
                <w:sz w:val="24"/>
                <w:szCs w:val="24"/>
                <w:highlight w:val="none"/>
                <w:u w:val="none" w:color="auto"/>
                <w:lang w:val="en-US" w:eastAsia="zh-CN"/>
              </w:rPr>
              <w:t>允许根据谈判工作实际情况，对</w:t>
            </w:r>
            <w:r>
              <w:rPr>
                <w:rFonts w:hint="eastAsia" w:ascii="宋体" w:hAnsi="宋体" w:eastAsia="宋体" w:cs="宋体"/>
                <w:color w:val="auto"/>
                <w:kern w:val="2"/>
                <w:sz w:val="24"/>
                <w:szCs w:val="24"/>
                <w:u w:val="none" w:color="auto"/>
                <w:lang w:val="en-US" w:eastAsia="zh-CN" w:bidi="ar-SA"/>
              </w:rPr>
              <w:t>技术标准及要求</w:t>
            </w:r>
            <w:r>
              <w:rPr>
                <w:rFonts w:hint="eastAsia" w:ascii="宋体" w:hAnsi="宋体" w:eastAsia="宋体" w:cs="宋体"/>
                <w:color w:val="auto"/>
                <w:sz w:val="24"/>
                <w:szCs w:val="24"/>
                <w:highlight w:val="none"/>
                <w:u w:val="none" w:color="auto"/>
                <w:lang w:val="en-US" w:eastAsia="zh-CN"/>
              </w:rPr>
              <w:t>进行实质性修改。</w:t>
            </w:r>
          </w:p>
        </w:tc>
      </w:tr>
      <w:tr w14:paraId="32A91D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1185161E">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公告发布时间</w:t>
            </w:r>
          </w:p>
        </w:tc>
        <w:tc>
          <w:tcPr>
            <w:tcW w:w="7877" w:type="dxa"/>
            <w:tcBorders>
              <w:tl2br w:val="nil"/>
              <w:tr2bl w:val="nil"/>
            </w:tcBorders>
            <w:vAlign w:val="top"/>
          </w:tcPr>
          <w:p w14:paraId="183BA95E">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u w:val="none"/>
                <w:lang w:val="en-US" w:eastAsia="zh-CN"/>
              </w:rPr>
              <w:t>2025年05月21日</w:t>
            </w:r>
          </w:p>
        </w:tc>
      </w:tr>
      <w:tr w14:paraId="12BAB8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4311C4A3">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bCs/>
                <w:color w:val="auto"/>
                <w:sz w:val="24"/>
                <w:szCs w:val="24"/>
                <w:lang w:eastAsia="zh-CN"/>
              </w:rPr>
            </w:pPr>
            <w:r>
              <w:rPr>
                <w:rFonts w:hint="eastAsia" w:ascii="宋体" w:hAnsi="宋体" w:eastAsia="宋体" w:cs="宋体"/>
                <w:color w:val="auto"/>
                <w:sz w:val="24"/>
                <w:szCs w:val="24"/>
              </w:rPr>
              <w:t>文件发售起止时间</w:t>
            </w:r>
          </w:p>
        </w:tc>
        <w:tc>
          <w:tcPr>
            <w:tcW w:w="7877" w:type="dxa"/>
            <w:tcBorders>
              <w:tl2br w:val="nil"/>
              <w:tr2bl w:val="nil"/>
            </w:tcBorders>
            <w:vAlign w:val="top"/>
          </w:tcPr>
          <w:p w14:paraId="71C4D794">
            <w:pPr>
              <w:pStyle w:val="11"/>
              <w:rPr>
                <w:rFonts w:hint="eastAsia" w:ascii="宋体" w:hAnsi="宋体" w:eastAsia="宋体" w:cs="宋体"/>
                <w:color w:val="auto"/>
                <w:lang w:eastAsia="zh-CN"/>
              </w:rPr>
            </w:pPr>
            <w:r>
              <w:rPr>
                <w:rFonts w:hint="eastAsia" w:ascii="宋体" w:hAnsi="宋体" w:eastAsia="宋体" w:cs="宋体"/>
                <w:color w:val="auto"/>
                <w:kern w:val="2"/>
                <w:sz w:val="24"/>
                <w:szCs w:val="24"/>
                <w:highlight w:val="none"/>
                <w:u w:val="none" w:color="auto"/>
                <w:lang w:val="zh-CN" w:eastAsia="zh-CN" w:bidi="ar-SA"/>
              </w:rPr>
              <w:t>2025年05月2</w:t>
            </w:r>
            <w:r>
              <w:rPr>
                <w:rFonts w:hint="eastAsia" w:ascii="宋体" w:hAnsi="宋体" w:cs="宋体"/>
                <w:color w:val="auto"/>
                <w:kern w:val="2"/>
                <w:sz w:val="24"/>
                <w:szCs w:val="24"/>
                <w:highlight w:val="none"/>
                <w:u w:val="none" w:color="auto"/>
                <w:lang w:val="en-US" w:eastAsia="zh-CN" w:bidi="ar-SA"/>
              </w:rPr>
              <w:t>2</w:t>
            </w:r>
            <w:bookmarkStart w:id="494" w:name="_GoBack"/>
            <w:bookmarkEnd w:id="494"/>
            <w:r>
              <w:rPr>
                <w:rFonts w:hint="eastAsia" w:ascii="宋体" w:hAnsi="宋体" w:eastAsia="宋体" w:cs="宋体"/>
                <w:color w:val="auto"/>
                <w:kern w:val="2"/>
                <w:sz w:val="24"/>
                <w:szCs w:val="24"/>
                <w:highlight w:val="none"/>
                <w:u w:val="none" w:color="auto"/>
                <w:lang w:val="zh-CN" w:eastAsia="zh-CN" w:bidi="ar-SA"/>
              </w:rPr>
              <w:t>日至</w:t>
            </w:r>
            <w:r>
              <w:rPr>
                <w:rFonts w:hint="eastAsia" w:ascii="宋体" w:hAnsi="宋体" w:eastAsia="宋体" w:cs="宋体"/>
                <w:color w:val="auto"/>
                <w:kern w:val="2"/>
                <w:sz w:val="24"/>
                <w:szCs w:val="24"/>
                <w:highlight w:val="none"/>
                <w:u w:val="none" w:color="auto"/>
                <w:lang w:val="en-US" w:eastAsia="zh-CN" w:bidi="ar-SA"/>
              </w:rPr>
              <w:t>05</w:t>
            </w:r>
            <w:r>
              <w:rPr>
                <w:rFonts w:hint="eastAsia" w:ascii="宋体" w:hAnsi="宋体" w:eastAsia="宋体" w:cs="宋体"/>
                <w:color w:val="auto"/>
                <w:kern w:val="2"/>
                <w:sz w:val="24"/>
                <w:szCs w:val="24"/>
                <w:highlight w:val="none"/>
                <w:u w:val="none" w:color="auto"/>
                <w:lang w:val="zh-CN" w:eastAsia="zh-CN" w:bidi="ar-SA"/>
              </w:rPr>
              <w:t>月</w:t>
            </w:r>
            <w:r>
              <w:rPr>
                <w:rFonts w:hint="eastAsia" w:ascii="宋体" w:hAnsi="宋体" w:eastAsia="宋体" w:cs="宋体"/>
                <w:color w:val="auto"/>
                <w:kern w:val="2"/>
                <w:sz w:val="24"/>
                <w:szCs w:val="24"/>
                <w:highlight w:val="none"/>
                <w:u w:val="none" w:color="auto"/>
                <w:lang w:val="en-US" w:eastAsia="zh-CN" w:bidi="ar-SA"/>
              </w:rPr>
              <w:t>26</w:t>
            </w:r>
            <w:r>
              <w:rPr>
                <w:rFonts w:hint="eastAsia" w:ascii="宋体" w:hAnsi="宋体" w:eastAsia="宋体" w:cs="宋体"/>
                <w:color w:val="auto"/>
                <w:kern w:val="2"/>
                <w:sz w:val="24"/>
                <w:szCs w:val="24"/>
                <w:highlight w:val="none"/>
                <w:u w:val="none" w:color="auto"/>
                <w:lang w:val="zh-CN" w:eastAsia="zh-CN" w:bidi="ar-SA"/>
              </w:rPr>
              <w:t>日，每天</w:t>
            </w:r>
            <w:r>
              <w:rPr>
                <w:rFonts w:hint="eastAsia" w:ascii="宋体" w:hAnsi="宋体" w:eastAsia="宋体" w:cs="宋体"/>
                <w:color w:val="auto"/>
                <w:kern w:val="2"/>
                <w:sz w:val="24"/>
                <w:szCs w:val="24"/>
                <w:highlight w:val="none"/>
                <w:u w:val="none" w:color="auto"/>
                <w:lang w:val="en-US" w:eastAsia="zh-CN" w:bidi="ar-SA"/>
              </w:rPr>
              <w:t>上午9:00-12:00</w:t>
            </w:r>
            <w:r>
              <w:rPr>
                <w:rFonts w:hint="eastAsia" w:ascii="宋体" w:hAnsi="宋体" w:eastAsia="宋体" w:cs="宋体"/>
                <w:color w:val="auto"/>
                <w:kern w:val="2"/>
                <w:sz w:val="24"/>
                <w:szCs w:val="24"/>
                <w:highlight w:val="none"/>
                <w:u w:val="none" w:color="auto"/>
                <w:lang w:val="zh-CN" w:eastAsia="zh-CN" w:bidi="ar-SA"/>
              </w:rPr>
              <w:t>,</w:t>
            </w:r>
            <w:r>
              <w:rPr>
                <w:rFonts w:hint="eastAsia" w:ascii="宋体" w:hAnsi="宋体" w:eastAsia="宋体" w:cs="宋体"/>
                <w:color w:val="auto"/>
                <w:kern w:val="2"/>
                <w:sz w:val="24"/>
                <w:szCs w:val="24"/>
                <w:highlight w:val="none"/>
                <w:u w:val="none" w:color="auto"/>
                <w:lang w:val="en-US" w:eastAsia="zh-CN" w:bidi="ar-SA"/>
              </w:rPr>
              <w:t>下午2:30-5:30</w:t>
            </w:r>
            <w:r>
              <w:rPr>
                <w:rFonts w:hint="eastAsia" w:ascii="宋体" w:hAnsi="宋体" w:eastAsia="宋体" w:cs="宋体"/>
                <w:color w:val="auto"/>
                <w:kern w:val="2"/>
                <w:sz w:val="24"/>
                <w:szCs w:val="24"/>
                <w:highlight w:val="none"/>
                <w:u w:val="none" w:color="auto"/>
                <w:lang w:val="zh-CN" w:eastAsia="zh-CN" w:bidi="ar-SA"/>
              </w:rPr>
              <w:t>（节假日除外）。</w:t>
            </w:r>
          </w:p>
        </w:tc>
      </w:tr>
      <w:tr w14:paraId="564443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5C3197EC">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获取方式</w:t>
            </w:r>
          </w:p>
        </w:tc>
        <w:tc>
          <w:tcPr>
            <w:tcW w:w="7877" w:type="dxa"/>
            <w:tcBorders>
              <w:tl2br w:val="nil"/>
              <w:tr2bl w:val="nil"/>
            </w:tcBorders>
            <w:vAlign w:val="center"/>
          </w:tcPr>
          <w:p w14:paraId="0A64B234">
            <w:pPr>
              <w:keepNext w:val="0"/>
              <w:keepLines w:val="0"/>
              <w:pageBreakBefore w:val="0"/>
              <w:widowControl w:val="0"/>
              <w:tabs>
                <w:tab w:val="left" w:pos="320"/>
              </w:tabs>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现场购买或网上购买</w:t>
            </w:r>
          </w:p>
        </w:tc>
      </w:tr>
      <w:tr w14:paraId="7022D3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1D27F99B">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bCs/>
                <w:color w:val="auto"/>
                <w:sz w:val="24"/>
                <w:szCs w:val="24"/>
                <w:lang w:eastAsia="zh-CN"/>
              </w:rPr>
            </w:pPr>
            <w:r>
              <w:rPr>
                <w:rFonts w:hint="eastAsia" w:ascii="宋体" w:hAnsi="宋体" w:eastAsia="宋体" w:cs="宋体"/>
                <w:color w:val="auto"/>
                <w:sz w:val="24"/>
                <w:szCs w:val="24"/>
              </w:rPr>
              <w:t>文件售价</w:t>
            </w:r>
          </w:p>
        </w:tc>
        <w:tc>
          <w:tcPr>
            <w:tcW w:w="7877" w:type="dxa"/>
            <w:tcBorders>
              <w:tl2br w:val="nil"/>
              <w:tr2bl w:val="nil"/>
            </w:tcBorders>
            <w:vAlign w:val="center"/>
          </w:tcPr>
          <w:p w14:paraId="14C7A1FF">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none"/>
                <w:lang w:val="en-US" w:eastAsia="zh-CN"/>
              </w:rPr>
              <w:t>500</w:t>
            </w:r>
            <w:r>
              <w:rPr>
                <w:rFonts w:hint="eastAsia" w:ascii="宋体" w:hAnsi="宋体" w:eastAsia="宋体" w:cs="宋体"/>
                <w:color w:val="auto"/>
                <w:sz w:val="24"/>
                <w:szCs w:val="24"/>
              </w:rPr>
              <w:t>元/</w:t>
            </w:r>
            <w:r>
              <w:rPr>
                <w:rFonts w:hint="eastAsia" w:ascii="宋体" w:hAnsi="宋体" w:eastAsia="宋体" w:cs="宋体"/>
                <w:color w:val="auto"/>
                <w:sz w:val="24"/>
                <w:szCs w:val="24"/>
                <w:lang w:val="en-US" w:eastAsia="zh-CN"/>
              </w:rPr>
              <w:t>份</w:t>
            </w:r>
            <w:r>
              <w:rPr>
                <w:rFonts w:hint="eastAsia" w:ascii="宋体" w:hAnsi="宋体" w:eastAsia="宋体" w:cs="宋体"/>
                <w:color w:val="auto"/>
                <w:sz w:val="24"/>
                <w:szCs w:val="24"/>
              </w:rPr>
              <w:t>（谈判文件售后不退,谈判资格不能转让）</w:t>
            </w:r>
          </w:p>
        </w:tc>
      </w:tr>
      <w:tr w14:paraId="1182E8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456B3559">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文件发售地点</w:t>
            </w:r>
          </w:p>
        </w:tc>
        <w:tc>
          <w:tcPr>
            <w:tcW w:w="7877" w:type="dxa"/>
            <w:tcBorders>
              <w:tl2br w:val="nil"/>
              <w:tr2bl w:val="nil"/>
            </w:tcBorders>
            <w:vAlign w:val="center"/>
          </w:tcPr>
          <w:p w14:paraId="397E16AD">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地址：西宁市东川工业园区金桥路39号1号楼2楼（新力景瑞新城）</w:t>
            </w:r>
          </w:p>
          <w:p w14:paraId="38E50E02">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标书购买联系人：王女士</w:t>
            </w:r>
          </w:p>
          <w:p w14:paraId="6A1073CB">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电话：0971-8179315</w:t>
            </w:r>
          </w:p>
          <w:p w14:paraId="522D906C">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电子邮箱：qhdzzgs@163.com</w:t>
            </w:r>
          </w:p>
        </w:tc>
      </w:tr>
      <w:tr w14:paraId="016D7F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7F3C47FD">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购买</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文件时应提供的材料</w:t>
            </w:r>
          </w:p>
        </w:tc>
        <w:tc>
          <w:tcPr>
            <w:tcW w:w="7877" w:type="dxa"/>
            <w:tcBorders>
              <w:tl2br w:val="nil"/>
              <w:tr2bl w:val="nil"/>
            </w:tcBorders>
            <w:vAlign w:val="center"/>
          </w:tcPr>
          <w:p w14:paraId="18FA65A2">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供应商的营业执照复印件、法人授权委托书及法人和委托代理人身份证复印件。</w:t>
            </w:r>
          </w:p>
          <w:p w14:paraId="0BB639C5">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以上资料均需加盖公章。（采购代理机构对以上资料留存备案）</w:t>
            </w:r>
          </w:p>
          <w:p w14:paraId="658ABE87">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eastAsia="zh-CN"/>
              </w:rPr>
              <w:t>注：需网上购买标书的供应商应将以上材料扫描后发至我公司联系邮箱，在邮件中标明购买项目名称、项目编号、包号、联系人及联系方式，并与我公司工作人员进行联系确认。</w:t>
            </w:r>
          </w:p>
        </w:tc>
      </w:tr>
      <w:tr w14:paraId="0F1887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276CE8EA">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采购人名称、地址、电话、联系人</w:t>
            </w:r>
          </w:p>
        </w:tc>
        <w:tc>
          <w:tcPr>
            <w:tcW w:w="7877" w:type="dxa"/>
            <w:tcBorders>
              <w:tl2br w:val="nil"/>
              <w:tr2bl w:val="nil"/>
            </w:tcBorders>
            <w:vAlign w:val="center"/>
          </w:tcPr>
          <w:p w14:paraId="6A46B806">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采购人：青海民族大学</w:t>
            </w:r>
          </w:p>
          <w:p w14:paraId="1356062C">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联系人：</w:t>
            </w:r>
            <w:r>
              <w:rPr>
                <w:rFonts w:hint="eastAsia" w:ascii="宋体" w:hAnsi="宋体" w:eastAsia="宋体" w:cs="宋体"/>
                <w:color w:val="auto"/>
                <w:sz w:val="24"/>
                <w:szCs w:val="24"/>
                <w:lang w:val="en-US" w:eastAsia="zh-CN"/>
              </w:rPr>
              <w:t>李老师</w:t>
            </w:r>
          </w:p>
          <w:p w14:paraId="1ADD9BA2">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联系电话：</w:t>
            </w:r>
            <w:r>
              <w:rPr>
                <w:rStyle w:val="26"/>
                <w:rFonts w:hint="eastAsia" w:ascii="宋体" w:hAnsi="宋体" w:eastAsia="宋体" w:cs="宋体"/>
                <w:i w:val="0"/>
                <w:iCs w:val="0"/>
                <w:caps w:val="0"/>
                <w:color w:val="auto"/>
                <w:spacing w:val="0"/>
                <w:sz w:val="24"/>
                <w:szCs w:val="24"/>
              </w:rPr>
              <w:t>0971-8802687</w:t>
            </w:r>
          </w:p>
          <w:p w14:paraId="5FF486C6">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outlineLvl w:val="9"/>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zh-CN" w:eastAsia="zh-CN"/>
              </w:rPr>
              <w:t>联系地址：西宁市城东区八一路3号</w:t>
            </w:r>
          </w:p>
        </w:tc>
      </w:tr>
      <w:tr w14:paraId="6F06B0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1A6DAB48">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采购代理机构及联系人电话</w:t>
            </w:r>
          </w:p>
        </w:tc>
        <w:tc>
          <w:tcPr>
            <w:tcW w:w="7877" w:type="dxa"/>
            <w:tcBorders>
              <w:tl2br w:val="nil"/>
              <w:tr2bl w:val="nil"/>
            </w:tcBorders>
            <w:vAlign w:val="center"/>
          </w:tcPr>
          <w:p w14:paraId="4828DCF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采购代理机构：青海鼎钊招标代理有限公司</w:t>
            </w:r>
          </w:p>
          <w:p w14:paraId="03F8957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rPr>
              <w:t>联系人：</w:t>
            </w:r>
            <w:r>
              <w:rPr>
                <w:rFonts w:hint="eastAsia" w:ascii="宋体" w:hAnsi="宋体" w:eastAsia="宋体" w:cs="宋体"/>
                <w:color w:val="auto"/>
                <w:kern w:val="0"/>
                <w:sz w:val="24"/>
                <w:szCs w:val="24"/>
                <w:lang w:val="en-US" w:eastAsia="zh-CN"/>
              </w:rPr>
              <w:t>许先生、彭女士</w:t>
            </w:r>
          </w:p>
          <w:p w14:paraId="22625EA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rPr>
              <w:t>联系电话：</w:t>
            </w:r>
            <w:r>
              <w:rPr>
                <w:rFonts w:hint="eastAsia" w:ascii="宋体" w:hAnsi="宋体" w:eastAsia="宋体" w:cs="宋体"/>
                <w:color w:val="auto"/>
                <w:kern w:val="0"/>
                <w:sz w:val="24"/>
                <w:szCs w:val="24"/>
                <w:lang w:val="en-US" w:eastAsia="zh-CN"/>
              </w:rPr>
              <w:t>0971-8179315</w:t>
            </w:r>
          </w:p>
          <w:p w14:paraId="79F7093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联系地址：西宁市东川工业园区金桥路39号1号楼2楼（新力景瑞新城）</w:t>
            </w:r>
          </w:p>
        </w:tc>
      </w:tr>
      <w:tr w14:paraId="28FBD8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0314D5EA">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保证金</w:t>
            </w:r>
          </w:p>
        </w:tc>
        <w:tc>
          <w:tcPr>
            <w:tcW w:w="7877" w:type="dxa"/>
            <w:tcBorders>
              <w:tl2br w:val="nil"/>
              <w:tr2bl w:val="nil"/>
            </w:tcBorders>
            <w:vAlign w:val="center"/>
          </w:tcPr>
          <w:p w14:paraId="1ABA8174">
            <w:pPr>
              <w:keepNext w:val="0"/>
              <w:keepLines w:val="0"/>
              <w:pageBreakBefore w:val="0"/>
              <w:widowControl w:val="0"/>
              <w:numPr>
                <w:ilvl w:val="0"/>
                <w:numId w:val="0"/>
              </w:numPr>
              <w:kinsoku/>
              <w:wordWrap/>
              <w:overflowPunct/>
              <w:topLinePunct w:val="0"/>
              <w:bidi w:val="0"/>
              <w:adjustRightInd/>
              <w:snapToGrid/>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u w:val="none"/>
                <w:lang w:val="en-US" w:eastAsia="zh-CN"/>
              </w:rPr>
              <w:t>1.保证金金额：</w:t>
            </w:r>
            <w:r>
              <w:rPr>
                <w:rFonts w:hint="eastAsia" w:ascii="宋体" w:hAnsi="宋体" w:eastAsia="宋体" w:cs="宋体"/>
                <w:b/>
                <w:bCs/>
                <w:color w:val="auto"/>
                <w:sz w:val="24"/>
                <w:szCs w:val="24"/>
                <w:u w:val="none"/>
                <w:lang w:val="en-US" w:eastAsia="zh-CN"/>
              </w:rPr>
              <w:t>10000.00元</w:t>
            </w:r>
          </w:p>
          <w:p w14:paraId="699159C0">
            <w:pPr>
              <w:keepNext w:val="0"/>
              <w:keepLines w:val="0"/>
              <w:pageBreakBefore w:val="0"/>
              <w:widowControl w:val="0"/>
              <w:numPr>
                <w:ilvl w:val="0"/>
                <w:numId w:val="0"/>
              </w:numPr>
              <w:kinsoku/>
              <w:wordWrap/>
              <w:overflowPunct/>
              <w:topLinePunct w:val="0"/>
              <w:bidi w:val="0"/>
              <w:adjustRightInd/>
              <w:snapToGrid/>
              <w:spacing w:line="240" w:lineRule="auto"/>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2.开户银行：</w:t>
            </w:r>
            <w:r>
              <w:rPr>
                <w:rFonts w:hint="eastAsia" w:ascii="宋体" w:hAnsi="宋体" w:eastAsia="宋体" w:cs="宋体"/>
                <w:color w:val="auto"/>
                <w:sz w:val="24"/>
                <w:szCs w:val="24"/>
                <w:lang w:val="zh-CN"/>
              </w:rPr>
              <w:t>上海浦东发展银行股份有限公司西宁城东支行</w:t>
            </w:r>
          </w:p>
          <w:p w14:paraId="1763D24A">
            <w:pPr>
              <w:keepNext w:val="0"/>
              <w:keepLines w:val="0"/>
              <w:pageBreakBefore w:val="0"/>
              <w:widowControl w:val="0"/>
              <w:numPr>
                <w:ilvl w:val="0"/>
                <w:numId w:val="0"/>
              </w:numPr>
              <w:kinsoku/>
              <w:wordWrap/>
              <w:overflowPunct/>
              <w:topLinePunct w:val="0"/>
              <w:bidi w:val="0"/>
              <w:adjustRightInd/>
              <w:snapToGrid/>
              <w:spacing w:line="24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u w:val="none"/>
                <w:lang w:val="en-US" w:eastAsia="zh-CN"/>
              </w:rPr>
              <w:t>收款账号：</w:t>
            </w:r>
            <w:r>
              <w:rPr>
                <w:rFonts w:hint="eastAsia" w:ascii="宋体" w:hAnsi="宋体" w:eastAsia="宋体" w:cs="宋体"/>
                <w:color w:val="auto"/>
                <w:sz w:val="24"/>
                <w:szCs w:val="24"/>
                <w:lang w:eastAsia="zh-CN"/>
              </w:rPr>
              <w:t>35030078801500000377</w:t>
            </w:r>
          </w:p>
          <w:p w14:paraId="7924286A">
            <w:pPr>
              <w:pStyle w:val="27"/>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收款人：青海鼎钊招标代理有限公司</w:t>
            </w:r>
          </w:p>
          <w:p w14:paraId="38ECADF7">
            <w:pPr>
              <w:keepNext w:val="0"/>
              <w:keepLines w:val="0"/>
              <w:pageBreakBefore w:val="0"/>
              <w:widowControl w:val="0"/>
              <w:numPr>
                <w:ilvl w:val="0"/>
                <w:numId w:val="0"/>
              </w:numPr>
              <w:kinsoku/>
              <w:wordWrap/>
              <w:overflowPunct/>
              <w:topLinePunct w:val="0"/>
              <w:bidi w:val="0"/>
              <w:adjustRightInd/>
              <w:snapToGrid/>
              <w:spacing w:line="24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u w:val="none"/>
                <w:lang w:val="en-US" w:eastAsia="zh-CN"/>
              </w:rPr>
              <w:t>3.交付方式：</w:t>
            </w:r>
            <w:r>
              <w:rPr>
                <w:rFonts w:hint="eastAsia" w:ascii="宋体" w:hAnsi="宋体" w:eastAsia="宋体" w:cs="宋体"/>
                <w:b w:val="0"/>
                <w:bCs w:val="0"/>
                <w:color w:val="auto"/>
                <w:sz w:val="24"/>
                <w:szCs w:val="24"/>
              </w:rPr>
              <w:t>谈判保证金应当以转账、支票、本票或者金融机构、担保机构出具的保函等非现金形式提交。</w:t>
            </w:r>
          </w:p>
          <w:p w14:paraId="5188886D">
            <w:pPr>
              <w:keepNext w:val="0"/>
              <w:keepLines w:val="0"/>
              <w:pageBreakBefore w:val="0"/>
              <w:widowControl w:val="0"/>
              <w:numPr>
                <w:ilvl w:val="0"/>
                <w:numId w:val="0"/>
              </w:numPr>
              <w:kinsoku/>
              <w:wordWrap/>
              <w:overflowPunct/>
              <w:topLinePunct w:val="0"/>
              <w:bidi w:val="0"/>
              <w:adjustRightInd/>
              <w:snapToGrid/>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4.其他注意事项（详见谈判文件）</w:t>
            </w:r>
          </w:p>
        </w:tc>
      </w:tr>
      <w:tr w14:paraId="15DDDB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17F8738C">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响应文件有效期</w:t>
            </w:r>
          </w:p>
        </w:tc>
        <w:tc>
          <w:tcPr>
            <w:tcW w:w="7877" w:type="dxa"/>
            <w:tcBorders>
              <w:tl2br w:val="nil"/>
              <w:tr2bl w:val="nil"/>
            </w:tcBorders>
            <w:vAlign w:val="center"/>
          </w:tcPr>
          <w:p w14:paraId="4DF5ACBF">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自谈判提交响应文件截止之日起不少于</w:t>
            </w:r>
            <w:r>
              <w:rPr>
                <w:rFonts w:hint="eastAsia" w:ascii="宋体" w:hAnsi="宋体" w:eastAsia="宋体" w:cs="宋体"/>
                <w:color w:val="auto"/>
                <w:sz w:val="24"/>
                <w:szCs w:val="24"/>
                <w:u w:val="none"/>
                <w:lang w:val="en-US" w:eastAsia="zh-CN"/>
              </w:rPr>
              <w:t>60</w:t>
            </w:r>
            <w:r>
              <w:rPr>
                <w:rFonts w:hint="eastAsia" w:ascii="宋体" w:hAnsi="宋体" w:eastAsia="宋体" w:cs="宋体"/>
                <w:color w:val="auto"/>
                <w:sz w:val="24"/>
                <w:szCs w:val="24"/>
                <w:lang w:val="en-US" w:eastAsia="zh-CN"/>
              </w:rPr>
              <w:t>天</w:t>
            </w:r>
          </w:p>
        </w:tc>
      </w:tr>
      <w:tr w14:paraId="6F0122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686EEBF7">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响应</w:t>
            </w:r>
            <w:r>
              <w:rPr>
                <w:rFonts w:hint="eastAsia" w:ascii="宋体" w:hAnsi="宋体" w:eastAsia="宋体" w:cs="宋体"/>
                <w:color w:val="auto"/>
                <w:sz w:val="24"/>
                <w:szCs w:val="24"/>
              </w:rPr>
              <w:t>文件份数</w:t>
            </w:r>
          </w:p>
        </w:tc>
        <w:tc>
          <w:tcPr>
            <w:tcW w:w="7877" w:type="dxa"/>
            <w:tcBorders>
              <w:tl2br w:val="nil"/>
              <w:tr2bl w:val="nil"/>
            </w:tcBorders>
            <w:vAlign w:val="center"/>
          </w:tcPr>
          <w:p w14:paraId="788F4A39">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u w:val="none"/>
                <w:lang w:val="en-US" w:eastAsia="zh-CN"/>
              </w:rPr>
              <w:t>一份正本、两份副本、</w:t>
            </w:r>
            <w:r>
              <w:rPr>
                <w:rFonts w:hint="eastAsia" w:ascii="宋体" w:hAnsi="宋体" w:eastAsia="宋体" w:cs="宋体"/>
                <w:color w:val="auto"/>
                <w:sz w:val="24"/>
                <w:szCs w:val="24"/>
                <w:highlight w:val="none"/>
                <w:u w:val="none"/>
                <w:lang w:val="en-US" w:eastAsia="zh-CN"/>
              </w:rPr>
              <w:t>一份电子版</w:t>
            </w:r>
          </w:p>
        </w:tc>
      </w:tr>
      <w:tr w14:paraId="02ACFA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062243E7">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封套上应载明的信息</w:t>
            </w:r>
          </w:p>
        </w:tc>
        <w:tc>
          <w:tcPr>
            <w:tcW w:w="7877" w:type="dxa"/>
            <w:tcBorders>
              <w:tl2br w:val="nil"/>
              <w:tr2bl w:val="nil"/>
            </w:tcBorders>
            <w:vAlign w:val="center"/>
          </w:tcPr>
          <w:p w14:paraId="51D38B71">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1.项目名称、采购项目编号、包号；</w:t>
            </w:r>
          </w:p>
          <w:p w14:paraId="70CCCE2D">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2.供应商名称；</w:t>
            </w:r>
          </w:p>
          <w:p w14:paraId="55072BCE">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3.响应文件送达时间、地址；</w:t>
            </w:r>
          </w:p>
          <w:p w14:paraId="14FE0037">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4.响应文件密封情况；</w:t>
            </w:r>
          </w:p>
          <w:p w14:paraId="73B19883">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none"/>
                <w:lang w:val="en-US" w:eastAsia="zh-CN"/>
              </w:rPr>
              <w:t>5.采购人、采购代理机构名称；</w:t>
            </w:r>
          </w:p>
        </w:tc>
      </w:tr>
      <w:tr w14:paraId="08A1C2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23E28599">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响应文件的递交</w:t>
            </w:r>
            <w:r>
              <w:rPr>
                <w:rFonts w:hint="eastAsia" w:ascii="宋体" w:hAnsi="宋体" w:eastAsia="宋体" w:cs="宋体"/>
                <w:color w:val="auto"/>
                <w:sz w:val="24"/>
                <w:szCs w:val="24"/>
                <w:lang w:eastAsia="zh-CN"/>
              </w:rPr>
              <w:t>截止时间</w:t>
            </w:r>
          </w:p>
        </w:tc>
        <w:tc>
          <w:tcPr>
            <w:tcW w:w="7877" w:type="dxa"/>
            <w:tcBorders>
              <w:tl2br w:val="nil"/>
              <w:tr2bl w:val="nil"/>
            </w:tcBorders>
            <w:vAlign w:val="center"/>
          </w:tcPr>
          <w:p w14:paraId="1AEE33C4">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b w:val="0"/>
                <w:bCs w:val="0"/>
                <w:color w:val="auto"/>
                <w:sz w:val="24"/>
                <w:szCs w:val="24"/>
                <w:u w:val="none"/>
                <w:lang w:val="en-US" w:eastAsia="zh-CN"/>
              </w:rPr>
              <w:t>2025年05月27日下午14时30分</w:t>
            </w:r>
          </w:p>
        </w:tc>
      </w:tr>
      <w:tr w14:paraId="51E19A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7355B391">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开启时间及谈判地点</w:t>
            </w:r>
          </w:p>
        </w:tc>
        <w:tc>
          <w:tcPr>
            <w:tcW w:w="7877" w:type="dxa"/>
            <w:tcBorders>
              <w:tl2br w:val="nil"/>
              <w:tr2bl w:val="nil"/>
            </w:tcBorders>
            <w:vAlign w:val="center"/>
          </w:tcPr>
          <w:p w14:paraId="500BB67D">
            <w:pPr>
              <w:keepNext w:val="0"/>
              <w:keepLines w:val="0"/>
              <w:pageBreakBefore w:val="0"/>
              <w:widowControl w:val="0"/>
              <w:numPr>
                <w:ilvl w:val="0"/>
                <w:numId w:val="0"/>
              </w:numPr>
              <w:kinsoku/>
              <w:wordWrap/>
              <w:overflowPunct/>
              <w:topLinePunct w:val="0"/>
              <w:bidi w:val="0"/>
              <w:adjustRightInd/>
              <w:snapToGrid/>
              <w:spacing w:line="240" w:lineRule="auto"/>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1.响应文件开启时间：</w:t>
            </w:r>
            <w:r>
              <w:rPr>
                <w:rFonts w:hint="eastAsia" w:ascii="宋体" w:hAnsi="宋体" w:eastAsia="宋体" w:cs="宋体"/>
                <w:b w:val="0"/>
                <w:bCs w:val="0"/>
                <w:color w:val="auto"/>
                <w:sz w:val="24"/>
                <w:szCs w:val="24"/>
                <w:u w:val="none"/>
                <w:lang w:val="en-US" w:eastAsia="zh-CN"/>
              </w:rPr>
              <w:t>2025年05月27日下午14时30分</w:t>
            </w:r>
          </w:p>
          <w:p w14:paraId="29D0EEFD">
            <w:pPr>
              <w:keepNext w:val="0"/>
              <w:keepLines w:val="0"/>
              <w:pageBreakBefore w:val="0"/>
              <w:widowControl w:val="0"/>
              <w:numPr>
                <w:ilvl w:val="0"/>
                <w:numId w:val="0"/>
              </w:numPr>
              <w:kinsoku/>
              <w:wordWrap/>
              <w:overflowPunct/>
              <w:topLinePunct w:val="0"/>
              <w:bidi w:val="0"/>
              <w:adjustRightInd/>
              <w:snapToGrid/>
              <w:spacing w:line="240" w:lineRule="auto"/>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none"/>
                <w:lang w:val="en-US" w:eastAsia="zh-CN"/>
              </w:rPr>
              <w:t>2.谈判地点：</w:t>
            </w:r>
            <w:r>
              <w:rPr>
                <w:rFonts w:hint="eastAsia" w:ascii="宋体" w:hAnsi="宋体" w:eastAsia="宋体" w:cs="宋体"/>
                <w:color w:val="auto"/>
                <w:sz w:val="24"/>
                <w:szCs w:val="24"/>
                <w:lang w:eastAsia="zh-CN"/>
              </w:rPr>
              <w:t>西宁市东川工业园区金桥路39号1号楼2楼（新力景瑞新城）</w:t>
            </w:r>
          </w:p>
        </w:tc>
      </w:tr>
      <w:tr w14:paraId="0EE31C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3ADC042D">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政策功能</w:t>
            </w:r>
          </w:p>
        </w:tc>
        <w:tc>
          <w:tcPr>
            <w:tcW w:w="7877" w:type="dxa"/>
            <w:tcBorders>
              <w:tl2br w:val="nil"/>
              <w:tr2bl w:val="nil"/>
            </w:tcBorders>
            <w:vAlign w:val="center"/>
          </w:tcPr>
          <w:p w14:paraId="3E97FDA7">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对于提供节能、环保标志产品，采购人及其委托的采购代理机构应当依据国家确定的认证机构出具的、处于有效期之内的节能产品、环境标志产品认证证书，对获得证书的产品实施政府优先采购或强制采购。</w:t>
            </w:r>
          </w:p>
        </w:tc>
      </w:tr>
      <w:tr w14:paraId="06C3E9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33AF1290">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代理服务费</w:t>
            </w:r>
          </w:p>
        </w:tc>
        <w:tc>
          <w:tcPr>
            <w:tcW w:w="7877" w:type="dxa"/>
            <w:tcBorders>
              <w:tl2br w:val="nil"/>
              <w:tr2bl w:val="nil"/>
            </w:tcBorders>
            <w:vAlign w:val="center"/>
          </w:tcPr>
          <w:p w14:paraId="4C7D42BF">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u w:val="none"/>
                <w:lang w:val="en-US" w:eastAsia="zh-CN"/>
              </w:rPr>
              <w:t>金额：5000.00元</w:t>
            </w:r>
          </w:p>
          <w:p w14:paraId="7BF4DD6B">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kern w:val="0"/>
                <w:sz w:val="24"/>
                <w:szCs w:val="24"/>
                <w:lang w:val="zh-CN"/>
              </w:rPr>
              <w:t>收取对象：</w:t>
            </w:r>
            <w:r>
              <w:rPr>
                <w:rFonts w:hint="eastAsia" w:ascii="宋体" w:hAnsi="宋体" w:eastAsia="宋体" w:cs="宋体"/>
                <w:color w:val="auto"/>
                <w:kern w:val="0"/>
                <w:sz w:val="24"/>
                <w:szCs w:val="24"/>
                <w:u w:val="none"/>
                <w:lang w:val="zh-CN"/>
              </w:rPr>
              <w:t>成交供应商</w:t>
            </w:r>
          </w:p>
        </w:tc>
      </w:tr>
      <w:tr w14:paraId="56C70D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4AE12060">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其他规定</w:t>
            </w:r>
          </w:p>
        </w:tc>
        <w:tc>
          <w:tcPr>
            <w:tcW w:w="7877" w:type="dxa"/>
            <w:tcBorders>
              <w:tl2br w:val="nil"/>
              <w:tr2bl w:val="nil"/>
            </w:tcBorders>
            <w:vAlign w:val="center"/>
          </w:tcPr>
          <w:p w14:paraId="6FEEE337">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zh-CN" w:eastAsia="zh-CN"/>
              </w:rPr>
              <w:t>公告发布</w:t>
            </w:r>
            <w:r>
              <w:rPr>
                <w:rFonts w:hint="eastAsia" w:ascii="宋体" w:hAnsi="宋体" w:eastAsia="宋体" w:cs="宋体"/>
                <w:color w:val="auto"/>
                <w:sz w:val="24"/>
                <w:szCs w:val="24"/>
                <w:highlight w:val="none"/>
                <w:lang w:val="en-US" w:eastAsia="zh-CN"/>
              </w:rPr>
              <w:t>网站</w:t>
            </w:r>
            <w:r>
              <w:rPr>
                <w:rFonts w:hint="eastAsia" w:ascii="宋体" w:hAnsi="宋体" w:eastAsia="宋体" w:cs="宋体"/>
                <w:color w:val="auto"/>
                <w:sz w:val="24"/>
                <w:szCs w:val="24"/>
                <w:highlight w:val="none"/>
                <w:lang w:val="zh-CN" w:eastAsia="zh-CN"/>
              </w:rPr>
              <w:t>：《青海省电子招标投标公共服务平台》、《青海项目信息网》。</w:t>
            </w:r>
          </w:p>
        </w:tc>
      </w:tr>
    </w:tbl>
    <w:p w14:paraId="13C4372E">
      <w:pPr>
        <w:rPr>
          <w:rFonts w:hint="eastAsia" w:ascii="宋体" w:hAnsi="宋体" w:eastAsia="宋体" w:cs="宋体"/>
          <w:b w:val="0"/>
          <w:bCs w:val="0"/>
          <w:color w:val="auto"/>
          <w:sz w:val="44"/>
          <w:szCs w:val="44"/>
          <w:lang w:val="en-US" w:eastAsia="zh-CN"/>
        </w:rPr>
      </w:pPr>
      <w:bookmarkStart w:id="2" w:name="_Toc7063_WPSOffice_Level1"/>
      <w:bookmarkStart w:id="3" w:name="_Toc13430_WPSOffice_Level1"/>
      <w:bookmarkStart w:id="4" w:name="_Toc19849"/>
      <w:bookmarkStart w:id="5" w:name="_Toc25918_WPSOffice_Level1"/>
      <w:bookmarkStart w:id="6" w:name="_Toc17554"/>
      <w:bookmarkStart w:id="7" w:name="_Toc29806_WPSOffice_Level1"/>
      <w:bookmarkStart w:id="8" w:name="_Toc29348_WPSOffice_Level1"/>
      <w:bookmarkStart w:id="9" w:name="_Toc26774_WPSOffice_Level1"/>
      <w:bookmarkStart w:id="10" w:name="_Toc68"/>
      <w:r>
        <w:rPr>
          <w:rFonts w:hint="eastAsia" w:ascii="宋体" w:hAnsi="宋体" w:eastAsia="宋体" w:cs="宋体"/>
          <w:b w:val="0"/>
          <w:bCs w:val="0"/>
          <w:color w:val="auto"/>
          <w:sz w:val="44"/>
          <w:szCs w:val="44"/>
          <w:lang w:val="en-US" w:eastAsia="zh-CN"/>
        </w:rPr>
        <w:br w:type="page"/>
      </w:r>
    </w:p>
    <w:p w14:paraId="2FA43E3F">
      <w:pPr>
        <w:pStyle w:val="2"/>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32"/>
          <w:szCs w:val="32"/>
          <w:lang w:val="en-US" w:eastAsia="zh-CN"/>
        </w:rPr>
      </w:pPr>
      <w:bookmarkStart w:id="11" w:name="_Toc19955"/>
      <w:r>
        <w:rPr>
          <w:rFonts w:hint="eastAsia" w:ascii="宋体" w:hAnsi="宋体" w:eastAsia="宋体" w:cs="宋体"/>
          <w:b/>
          <w:bCs/>
          <w:color w:val="auto"/>
          <w:sz w:val="32"/>
          <w:szCs w:val="32"/>
          <w:lang w:val="en-US" w:eastAsia="zh-CN"/>
        </w:rPr>
        <w:t>第二部分  谈判须知</w:t>
      </w:r>
      <w:bookmarkEnd w:id="2"/>
      <w:bookmarkEnd w:id="3"/>
      <w:bookmarkEnd w:id="4"/>
      <w:bookmarkEnd w:id="5"/>
      <w:bookmarkEnd w:id="6"/>
      <w:bookmarkEnd w:id="7"/>
      <w:bookmarkEnd w:id="8"/>
      <w:bookmarkEnd w:id="9"/>
      <w:bookmarkEnd w:id="10"/>
      <w:bookmarkEnd w:id="11"/>
    </w:p>
    <w:p w14:paraId="493E10EA">
      <w:pPr>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1"/>
        <w:rPr>
          <w:rFonts w:hint="eastAsia" w:ascii="宋体" w:hAnsi="宋体" w:eastAsia="宋体" w:cs="宋体"/>
          <w:b/>
          <w:bCs/>
          <w:color w:val="auto"/>
          <w:kern w:val="2"/>
          <w:sz w:val="28"/>
          <w:szCs w:val="28"/>
          <w:lang w:val="en-US" w:eastAsia="zh-CN" w:bidi="ar-SA"/>
        </w:rPr>
      </w:pPr>
      <w:bookmarkStart w:id="12" w:name="_Toc9336"/>
      <w:bookmarkStart w:id="13" w:name="_Toc16562"/>
      <w:bookmarkStart w:id="14" w:name="_Toc29348_WPSOffice_Level2"/>
      <w:bookmarkStart w:id="15" w:name="_Toc7063_WPSOffice_Level2"/>
      <w:bookmarkStart w:id="16" w:name="_Toc17019_WPSOffice_Level2"/>
      <w:bookmarkStart w:id="17" w:name="_Toc8350"/>
      <w:bookmarkStart w:id="18" w:name="_Toc27795"/>
      <w:bookmarkStart w:id="19" w:name="_Toc34637765"/>
      <w:r>
        <w:rPr>
          <w:rFonts w:hint="eastAsia" w:ascii="宋体" w:hAnsi="宋体" w:eastAsia="宋体" w:cs="宋体"/>
          <w:b/>
          <w:bCs/>
          <w:color w:val="auto"/>
          <w:kern w:val="2"/>
          <w:sz w:val="28"/>
          <w:szCs w:val="28"/>
          <w:lang w:val="en-US" w:eastAsia="zh-CN" w:bidi="ar-SA"/>
        </w:rPr>
        <w:t>一、说明</w:t>
      </w:r>
      <w:bookmarkEnd w:id="12"/>
      <w:bookmarkEnd w:id="13"/>
      <w:bookmarkEnd w:id="14"/>
      <w:bookmarkEnd w:id="15"/>
      <w:bookmarkEnd w:id="16"/>
      <w:bookmarkEnd w:id="17"/>
      <w:bookmarkEnd w:id="18"/>
      <w:bookmarkEnd w:id="19"/>
    </w:p>
    <w:p w14:paraId="189BCA67">
      <w:pPr>
        <w:pStyle w:val="4"/>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20" w:name="_Toc29026"/>
      <w:bookmarkStart w:id="21" w:name="_Toc11775_WPSOffice_Level3"/>
      <w:bookmarkStart w:id="22" w:name="_Toc3322"/>
      <w:bookmarkStart w:id="23" w:name="_Toc13645"/>
      <w:bookmarkStart w:id="24" w:name="_Toc7063_WPSOffice_Level3"/>
      <w:r>
        <w:rPr>
          <w:rFonts w:hint="eastAsia" w:ascii="宋体" w:hAnsi="宋体" w:eastAsia="宋体" w:cs="宋体"/>
          <w:b/>
          <w:bCs/>
          <w:color w:val="auto"/>
          <w:kern w:val="2"/>
          <w:sz w:val="24"/>
          <w:szCs w:val="24"/>
          <w:lang w:val="en-US" w:eastAsia="zh-CN" w:bidi="ar-SA"/>
        </w:rPr>
        <w:t>1.适用范围</w:t>
      </w:r>
      <w:bookmarkEnd w:id="20"/>
      <w:bookmarkEnd w:id="21"/>
      <w:bookmarkEnd w:id="22"/>
      <w:bookmarkEnd w:id="23"/>
      <w:bookmarkEnd w:id="24"/>
    </w:p>
    <w:p w14:paraId="47D89372">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本竞争性谈判文件仅适用于</w:t>
      </w:r>
      <w:r>
        <w:rPr>
          <w:rFonts w:hint="eastAsia" w:ascii="宋体" w:hAnsi="宋体" w:eastAsia="宋体" w:cs="宋体"/>
          <w:color w:val="auto"/>
          <w:sz w:val="24"/>
          <w:szCs w:val="24"/>
          <w:lang w:eastAsia="zh-CN"/>
        </w:rPr>
        <w:t>前述</w:t>
      </w:r>
      <w:r>
        <w:rPr>
          <w:rFonts w:hint="eastAsia" w:ascii="宋体" w:hAnsi="宋体" w:eastAsia="宋体" w:cs="宋体"/>
          <w:b/>
          <w:color w:val="auto"/>
          <w:sz w:val="24"/>
          <w:szCs w:val="24"/>
        </w:rPr>
        <w:t>【</w:t>
      </w:r>
      <w:r>
        <w:rPr>
          <w:rFonts w:hint="eastAsia" w:ascii="宋体" w:hAnsi="宋体" w:eastAsia="宋体" w:cs="宋体"/>
          <w:b w:val="0"/>
          <w:bCs/>
          <w:color w:val="auto"/>
          <w:sz w:val="24"/>
          <w:szCs w:val="24"/>
          <w:lang w:eastAsia="zh-CN"/>
        </w:rPr>
        <w:t>谈判须知前附表</w:t>
      </w:r>
      <w:r>
        <w:rPr>
          <w:rFonts w:hint="eastAsia" w:ascii="宋体" w:hAnsi="宋体" w:eastAsia="宋体" w:cs="宋体"/>
          <w:b/>
          <w:color w:val="auto"/>
          <w:sz w:val="24"/>
          <w:szCs w:val="24"/>
        </w:rPr>
        <w:t>】</w:t>
      </w:r>
      <w:r>
        <w:rPr>
          <w:rFonts w:hint="eastAsia" w:ascii="宋体" w:hAnsi="宋体" w:eastAsia="宋体" w:cs="宋体"/>
          <w:color w:val="auto"/>
          <w:sz w:val="24"/>
          <w:szCs w:val="24"/>
        </w:rPr>
        <w:t>中所叙述的采购项目。</w:t>
      </w:r>
    </w:p>
    <w:p w14:paraId="48BF0281">
      <w:pPr>
        <w:pStyle w:val="4"/>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25" w:name="_Toc1646"/>
      <w:bookmarkStart w:id="26" w:name="_Toc2404_WPSOffice_Level3"/>
      <w:bookmarkStart w:id="27" w:name="_Toc2112"/>
      <w:bookmarkStart w:id="28" w:name="_Toc15754_WPSOffice_Level3"/>
      <w:bookmarkStart w:id="29" w:name="_Toc12080"/>
      <w:r>
        <w:rPr>
          <w:rFonts w:hint="eastAsia" w:ascii="宋体" w:hAnsi="宋体" w:eastAsia="宋体" w:cs="宋体"/>
          <w:b/>
          <w:bCs/>
          <w:color w:val="auto"/>
          <w:kern w:val="2"/>
          <w:sz w:val="24"/>
          <w:szCs w:val="24"/>
          <w:lang w:val="en-US" w:eastAsia="zh-CN" w:bidi="ar-SA"/>
        </w:rPr>
        <w:t>2.采购人及代理机构</w:t>
      </w:r>
      <w:bookmarkEnd w:id="25"/>
      <w:bookmarkEnd w:id="26"/>
      <w:bookmarkEnd w:id="27"/>
      <w:bookmarkEnd w:id="28"/>
      <w:bookmarkEnd w:id="29"/>
    </w:p>
    <w:p w14:paraId="6DACF3E2">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采购人名称、地址、电话、联系人见【</w:t>
      </w:r>
      <w:r>
        <w:rPr>
          <w:rFonts w:hint="eastAsia" w:ascii="宋体" w:hAnsi="宋体" w:eastAsia="宋体" w:cs="宋体"/>
          <w:color w:val="auto"/>
          <w:sz w:val="24"/>
          <w:szCs w:val="24"/>
          <w:lang w:eastAsia="zh-CN"/>
        </w:rPr>
        <w:t>谈判须知前附表</w:t>
      </w:r>
      <w:r>
        <w:rPr>
          <w:rFonts w:hint="eastAsia" w:ascii="宋体" w:hAnsi="宋体" w:eastAsia="宋体" w:cs="宋体"/>
          <w:color w:val="auto"/>
          <w:sz w:val="24"/>
          <w:szCs w:val="24"/>
        </w:rPr>
        <w:t>】。</w:t>
      </w:r>
    </w:p>
    <w:p w14:paraId="3CB46C3A">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采购</w:t>
      </w:r>
      <w:r>
        <w:rPr>
          <w:rFonts w:hint="eastAsia" w:ascii="宋体" w:hAnsi="宋体" w:eastAsia="宋体" w:cs="宋体"/>
          <w:color w:val="auto"/>
          <w:sz w:val="24"/>
          <w:szCs w:val="24"/>
          <w:lang w:val="zh-CN"/>
        </w:rPr>
        <w:t>代理机构名称</w:t>
      </w:r>
      <w:r>
        <w:rPr>
          <w:rFonts w:hint="eastAsia" w:ascii="宋体" w:hAnsi="宋体" w:eastAsia="宋体" w:cs="宋体"/>
          <w:color w:val="auto"/>
          <w:sz w:val="24"/>
          <w:szCs w:val="24"/>
        </w:rPr>
        <w:t>、地址、电话、联系人</w:t>
      </w:r>
      <w:r>
        <w:rPr>
          <w:rFonts w:hint="eastAsia" w:ascii="宋体" w:hAnsi="宋体" w:eastAsia="宋体" w:cs="宋体"/>
          <w:color w:val="auto"/>
          <w:sz w:val="24"/>
          <w:szCs w:val="24"/>
          <w:lang w:eastAsia="zh-CN"/>
        </w:rPr>
        <w:t>、邮箱</w:t>
      </w:r>
      <w:r>
        <w:rPr>
          <w:rFonts w:hint="eastAsia" w:ascii="宋体" w:hAnsi="宋体" w:eastAsia="宋体" w:cs="宋体"/>
          <w:color w:val="auto"/>
          <w:sz w:val="24"/>
          <w:szCs w:val="24"/>
        </w:rPr>
        <w:t>见【</w:t>
      </w:r>
      <w:r>
        <w:rPr>
          <w:rFonts w:hint="eastAsia" w:ascii="宋体" w:hAnsi="宋体" w:eastAsia="宋体" w:cs="宋体"/>
          <w:color w:val="auto"/>
          <w:sz w:val="24"/>
          <w:szCs w:val="24"/>
          <w:lang w:eastAsia="zh-CN"/>
        </w:rPr>
        <w:t>谈判须知前附表</w:t>
      </w:r>
      <w:r>
        <w:rPr>
          <w:rFonts w:hint="eastAsia" w:ascii="宋体" w:hAnsi="宋体" w:eastAsia="宋体" w:cs="宋体"/>
          <w:color w:val="auto"/>
          <w:sz w:val="24"/>
          <w:szCs w:val="24"/>
        </w:rPr>
        <w:t>】。</w:t>
      </w:r>
    </w:p>
    <w:p w14:paraId="4EF33821">
      <w:pPr>
        <w:pStyle w:val="4"/>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30" w:name="_Toc31395"/>
      <w:bookmarkStart w:id="31" w:name="_Toc19728"/>
      <w:bookmarkStart w:id="32" w:name="_Toc8089_WPSOffice_Level3"/>
      <w:bookmarkStart w:id="33" w:name="_Toc21695"/>
      <w:bookmarkStart w:id="34" w:name="_Toc955_WPSOffice_Level3"/>
      <w:r>
        <w:rPr>
          <w:rFonts w:hint="eastAsia" w:ascii="宋体" w:hAnsi="宋体" w:eastAsia="宋体" w:cs="宋体"/>
          <w:b/>
          <w:bCs/>
          <w:color w:val="auto"/>
          <w:kern w:val="2"/>
          <w:sz w:val="24"/>
          <w:szCs w:val="24"/>
          <w:lang w:val="en-US" w:eastAsia="zh-CN" w:bidi="ar-SA"/>
        </w:rPr>
        <w:t>3.供应商的资格要求</w:t>
      </w:r>
      <w:bookmarkEnd w:id="30"/>
      <w:bookmarkEnd w:id="31"/>
      <w:bookmarkEnd w:id="32"/>
      <w:bookmarkEnd w:id="33"/>
      <w:bookmarkEnd w:id="34"/>
    </w:p>
    <w:p w14:paraId="2899A957">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3.1供应商是指响应谈判文件要求、参加竞争性谈判采购的法人、其他组织或者自然人。</w:t>
      </w:r>
    </w:p>
    <w:p w14:paraId="653D32F3">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3.2供应商应当符合【谈判须知前附表】规定的供应商资格条件。</w:t>
      </w:r>
    </w:p>
    <w:p w14:paraId="52F4C2C6">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3.3【谈判须知前附表】规定接受联合体形式的，供应商除应符合上述资格条件的规定外，还应遵守以下规定：</w:t>
      </w:r>
    </w:p>
    <w:p w14:paraId="2DB48A9A">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（l）联合体中有同类资质的供应商按照联合体分工承担相同工作的，应当按照资质等级较低的供应商确定资质等级。</w:t>
      </w:r>
    </w:p>
    <w:p w14:paraId="133B460F">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（2）联合体各方应按谈判文件提供的格式签订联合体协议书，明确联合体牵头人和各方的权利义务、合同工作量比例；</w:t>
      </w:r>
    </w:p>
    <w:p w14:paraId="5DC56891">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（3）联合体各方签订联合体协议书后，</w:t>
      </w:r>
      <w:r>
        <w:rPr>
          <w:rFonts w:hint="eastAsia" w:ascii="宋体" w:hAnsi="宋体" w:eastAsia="宋体" w:cs="宋体"/>
          <w:color w:val="auto"/>
          <w:sz w:val="24"/>
          <w:szCs w:val="24"/>
          <w:lang w:val="zh-CN"/>
        </w:rPr>
        <w:t>不得再单独参加或者与其他供应商组成新的联合体参加同一合同项下的采购活动。</w:t>
      </w:r>
    </w:p>
    <w:p w14:paraId="43AF50DB">
      <w:pPr>
        <w:pStyle w:val="4"/>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35" w:name="_Toc18921"/>
      <w:bookmarkStart w:id="36" w:name="_Toc24112_WPSOffice_Level3"/>
      <w:bookmarkStart w:id="37" w:name="_Toc29322_WPSOffice_Level3"/>
      <w:bookmarkStart w:id="38" w:name="_Toc15386"/>
      <w:bookmarkStart w:id="39" w:name="_Toc13228"/>
      <w:r>
        <w:rPr>
          <w:rFonts w:hint="eastAsia" w:ascii="宋体" w:hAnsi="宋体" w:eastAsia="宋体" w:cs="宋体"/>
          <w:b/>
          <w:bCs/>
          <w:color w:val="auto"/>
          <w:kern w:val="2"/>
          <w:sz w:val="24"/>
          <w:szCs w:val="24"/>
          <w:lang w:val="en-US" w:eastAsia="zh-CN" w:bidi="ar-SA"/>
        </w:rPr>
        <w:t>4.谈判费用</w:t>
      </w:r>
      <w:bookmarkEnd w:id="35"/>
      <w:bookmarkEnd w:id="36"/>
      <w:bookmarkEnd w:id="37"/>
      <w:bookmarkEnd w:id="38"/>
      <w:bookmarkEnd w:id="39"/>
    </w:p>
    <w:p w14:paraId="382426F6">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无论谈判的结果如何，供应商应自行承担所有与竞争性谈判采购活动有关的全部费用。</w:t>
      </w:r>
    </w:p>
    <w:p w14:paraId="4F1F2467">
      <w:pPr>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color w:val="auto"/>
          <w:kern w:val="2"/>
          <w:sz w:val="28"/>
          <w:szCs w:val="28"/>
          <w:lang w:val="en-US" w:eastAsia="zh-CN" w:bidi="ar-SA"/>
        </w:rPr>
      </w:pPr>
      <w:bookmarkStart w:id="40" w:name="_Toc28758"/>
      <w:bookmarkStart w:id="41" w:name="_Toc19663_WPSOffice_Level2"/>
      <w:bookmarkStart w:id="42" w:name="_Toc34637766"/>
      <w:bookmarkStart w:id="43" w:name="_Toc2404_WPSOffice_Level2"/>
      <w:bookmarkStart w:id="44" w:name="_Toc5605"/>
      <w:bookmarkStart w:id="45" w:name="_Toc24182"/>
      <w:bookmarkStart w:id="46" w:name="_Toc24356"/>
      <w:bookmarkStart w:id="47" w:name="_Toc4912_WPSOffice_Level2"/>
      <w:r>
        <w:rPr>
          <w:rFonts w:hint="eastAsia" w:ascii="宋体" w:hAnsi="宋体" w:eastAsia="宋体" w:cs="宋体"/>
          <w:b/>
          <w:bCs/>
          <w:color w:val="auto"/>
          <w:kern w:val="2"/>
          <w:sz w:val="28"/>
          <w:szCs w:val="28"/>
          <w:lang w:val="en-US" w:eastAsia="zh-CN" w:bidi="ar-SA"/>
        </w:rPr>
        <w:t>二、谈判文件</w:t>
      </w:r>
      <w:bookmarkEnd w:id="40"/>
      <w:bookmarkEnd w:id="41"/>
      <w:bookmarkEnd w:id="42"/>
      <w:bookmarkEnd w:id="43"/>
      <w:bookmarkEnd w:id="44"/>
      <w:bookmarkEnd w:id="45"/>
      <w:bookmarkEnd w:id="46"/>
      <w:bookmarkEnd w:id="47"/>
    </w:p>
    <w:p w14:paraId="6379D1BA">
      <w:pPr>
        <w:pStyle w:val="4"/>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48" w:name="_Toc29785_WPSOffice_Level3"/>
      <w:bookmarkStart w:id="49" w:name="_Toc19841"/>
      <w:bookmarkStart w:id="50" w:name="_Toc14464"/>
      <w:bookmarkStart w:id="51" w:name="_Toc18786_WPSOffice_Level3"/>
      <w:bookmarkStart w:id="52" w:name="_Toc1826"/>
      <w:r>
        <w:rPr>
          <w:rFonts w:hint="eastAsia" w:ascii="宋体" w:hAnsi="宋体" w:eastAsia="宋体" w:cs="宋体"/>
          <w:b/>
          <w:bCs/>
          <w:color w:val="auto"/>
          <w:kern w:val="2"/>
          <w:sz w:val="24"/>
          <w:szCs w:val="24"/>
          <w:lang w:val="en-US" w:eastAsia="zh-CN" w:bidi="ar-SA"/>
        </w:rPr>
        <w:t>5.谈判文件的组成</w:t>
      </w:r>
      <w:bookmarkEnd w:id="48"/>
      <w:bookmarkEnd w:id="49"/>
      <w:bookmarkEnd w:id="50"/>
      <w:bookmarkEnd w:id="51"/>
      <w:bookmarkEnd w:id="52"/>
    </w:p>
    <w:p w14:paraId="44936C93">
      <w:pPr>
        <w:pStyle w:val="1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5.1谈判文件由下列文件组成：</w:t>
      </w:r>
    </w:p>
    <w:p w14:paraId="3B3FCBAE">
      <w:pPr>
        <w:pStyle w:val="1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谈判须知前附表</w:t>
      </w:r>
    </w:p>
    <w:p w14:paraId="52BAEA5C">
      <w:pPr>
        <w:pStyle w:val="1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（2）谈判须知</w:t>
      </w:r>
    </w:p>
    <w:p w14:paraId="23870BB4">
      <w:pPr>
        <w:pStyle w:val="1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（3）采购需求</w:t>
      </w:r>
    </w:p>
    <w:p w14:paraId="38AAC92F">
      <w:pPr>
        <w:pStyle w:val="1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（4）响应文件格式</w:t>
      </w:r>
    </w:p>
    <w:p w14:paraId="12ABE162">
      <w:pPr>
        <w:pStyle w:val="1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（5）采购项目合同书范本</w:t>
      </w:r>
    </w:p>
    <w:p w14:paraId="35EF4A2C">
      <w:pPr>
        <w:pStyle w:val="1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5.2采购人、采购代理机构或者谈判小组在提交首次响应文件截止之日前对已发出的谈判文件进行的澄清或者修改，构成谈判文件的组成部分。</w:t>
      </w:r>
    </w:p>
    <w:p w14:paraId="618C7C48">
      <w:pPr>
        <w:pStyle w:val="1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5.3谈判文件中，谈判小组根据与供应商谈判情况可能实质性变动的内容见【谈判须知前附表】。对谈判文件作出的实质性变动是谈判文件的有效组成部分。</w:t>
      </w:r>
    </w:p>
    <w:p w14:paraId="3E3C6BB2">
      <w:pPr>
        <w:pStyle w:val="4"/>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53" w:name="_Toc1317"/>
      <w:bookmarkStart w:id="54" w:name="_Toc27269"/>
      <w:bookmarkStart w:id="55" w:name="_Toc25455_WPSOffice_Level3"/>
      <w:bookmarkStart w:id="56" w:name="_Toc18056"/>
      <w:bookmarkStart w:id="57" w:name="_Toc31604_WPSOffice_Level3"/>
      <w:r>
        <w:rPr>
          <w:rFonts w:hint="eastAsia" w:ascii="宋体" w:hAnsi="宋体" w:eastAsia="宋体" w:cs="宋体"/>
          <w:b/>
          <w:bCs/>
          <w:color w:val="auto"/>
          <w:kern w:val="2"/>
          <w:sz w:val="24"/>
          <w:szCs w:val="24"/>
          <w:lang w:val="en-US" w:eastAsia="zh-CN" w:bidi="ar-SA"/>
        </w:rPr>
        <w:t>6.谈判文件的澄清</w:t>
      </w:r>
      <w:r>
        <w:rPr>
          <w:rFonts w:hint="eastAsia" w:ascii="宋体" w:hAnsi="宋体" w:eastAsia="宋体" w:cs="宋体"/>
          <w:b/>
          <w:bCs/>
          <w:color w:val="auto"/>
          <w:kern w:val="2"/>
          <w:sz w:val="24"/>
          <w:szCs w:val="24"/>
          <w:lang w:val="zh-CN" w:eastAsia="zh-CN" w:bidi="ar-SA"/>
        </w:rPr>
        <w:t>或者</w:t>
      </w:r>
      <w:r>
        <w:rPr>
          <w:rFonts w:hint="eastAsia" w:ascii="宋体" w:hAnsi="宋体" w:eastAsia="宋体" w:cs="宋体"/>
          <w:b/>
          <w:bCs/>
          <w:color w:val="auto"/>
          <w:kern w:val="2"/>
          <w:sz w:val="24"/>
          <w:szCs w:val="24"/>
          <w:lang w:val="en-US" w:eastAsia="zh-CN" w:bidi="ar-SA"/>
        </w:rPr>
        <w:t>修改</w:t>
      </w:r>
      <w:bookmarkEnd w:id="53"/>
      <w:bookmarkEnd w:id="54"/>
      <w:bookmarkEnd w:id="55"/>
      <w:bookmarkEnd w:id="56"/>
      <w:bookmarkEnd w:id="57"/>
    </w:p>
    <w:p w14:paraId="515861D1">
      <w:pPr>
        <w:pStyle w:val="1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6.1在提交首次响应文件截止之日前，采购人、采购代理机构或者谈判小组可以对已发出的谈判文件进行必要的澄清或者修改。</w:t>
      </w:r>
    </w:p>
    <w:p w14:paraId="106668D2">
      <w:pPr>
        <w:pStyle w:val="1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6.2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14:paraId="7B266137">
      <w:pPr>
        <w:pStyle w:val="4"/>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58" w:name="_Toc27004"/>
      <w:bookmarkStart w:id="59" w:name="_Toc25126"/>
      <w:bookmarkStart w:id="60" w:name="_Toc30"/>
      <w:bookmarkStart w:id="61" w:name="_Toc6866_WPSOffice_Level3"/>
      <w:bookmarkStart w:id="62" w:name="_Toc4138_WPSOffice_Level3"/>
      <w:bookmarkStart w:id="63" w:name="_Toc27617"/>
      <w:bookmarkStart w:id="64" w:name="_Toc34637767"/>
      <w:r>
        <w:rPr>
          <w:rFonts w:hint="eastAsia" w:ascii="宋体" w:hAnsi="宋体" w:eastAsia="宋体" w:cs="宋体"/>
          <w:b/>
          <w:bCs/>
          <w:color w:val="auto"/>
          <w:kern w:val="2"/>
          <w:sz w:val="24"/>
          <w:szCs w:val="24"/>
          <w:lang w:val="en-US" w:eastAsia="zh-CN" w:bidi="ar-SA"/>
        </w:rPr>
        <w:t>7.谈判文件的询问或质疑</w:t>
      </w:r>
      <w:bookmarkEnd w:id="58"/>
      <w:bookmarkEnd w:id="59"/>
      <w:bookmarkEnd w:id="60"/>
      <w:bookmarkEnd w:id="61"/>
      <w:bookmarkEnd w:id="62"/>
      <w:bookmarkEnd w:id="63"/>
    </w:p>
    <w:p w14:paraId="468CEB4C">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7.1供应商对谈判文件有疑问的，可以向采购人、采购代理机构提出询问。</w:t>
      </w:r>
    </w:p>
    <w:p w14:paraId="1678835F">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7.2提出质疑的供应商应当符合相关规定，对谈判文件提出质疑的，应当在获取采购文件或者采购文件公告期限届满之日起7个工作日内，按法律法规及其规章的规定向采购人、采购代理机构书面提出质疑。</w:t>
      </w:r>
    </w:p>
    <w:p w14:paraId="6912447A">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7.3供应商认为谈判文件使自己的权益受到损害的，应以书面形式提出质疑（不接受匿名质疑），供应商须在法定质疑期内一次性提出针对同一采购程序环节的质疑。</w:t>
      </w:r>
    </w:p>
    <w:p w14:paraId="4FCD0255">
      <w:pPr>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color w:val="auto"/>
          <w:kern w:val="2"/>
          <w:sz w:val="28"/>
          <w:szCs w:val="28"/>
          <w:lang w:val="en-US" w:eastAsia="zh-CN" w:bidi="ar-SA"/>
        </w:rPr>
      </w:pPr>
      <w:bookmarkStart w:id="65" w:name="_Toc12997"/>
      <w:bookmarkStart w:id="66" w:name="_Toc5732_WPSOffice_Level2"/>
      <w:bookmarkStart w:id="67" w:name="_Toc23235_WPSOffice_Level2"/>
      <w:bookmarkStart w:id="68" w:name="_Toc16902"/>
      <w:bookmarkStart w:id="69" w:name="_Toc28815"/>
      <w:bookmarkStart w:id="70" w:name="_Toc955_WPSOffice_Level2"/>
      <w:r>
        <w:rPr>
          <w:rFonts w:hint="eastAsia" w:ascii="宋体" w:hAnsi="宋体" w:eastAsia="宋体" w:cs="宋体"/>
          <w:b/>
          <w:bCs/>
          <w:color w:val="auto"/>
          <w:kern w:val="2"/>
          <w:sz w:val="28"/>
          <w:szCs w:val="28"/>
          <w:lang w:val="en-US" w:eastAsia="zh-CN" w:bidi="ar-SA"/>
        </w:rPr>
        <w:t>三、响应文件</w:t>
      </w:r>
      <w:bookmarkEnd w:id="64"/>
      <w:bookmarkEnd w:id="65"/>
      <w:bookmarkEnd w:id="66"/>
      <w:bookmarkEnd w:id="67"/>
      <w:bookmarkEnd w:id="68"/>
      <w:bookmarkEnd w:id="69"/>
      <w:bookmarkEnd w:id="70"/>
    </w:p>
    <w:p w14:paraId="3AAC3B9C">
      <w:pPr>
        <w:pStyle w:val="4"/>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71" w:name="_Toc22063"/>
      <w:bookmarkStart w:id="72" w:name="_Toc10843_WPSOffice_Level3"/>
      <w:bookmarkStart w:id="73" w:name="_Toc1096_WPSOffice_Level3"/>
      <w:bookmarkStart w:id="74" w:name="_Toc2475"/>
      <w:bookmarkStart w:id="75" w:name="_Toc17983"/>
      <w:bookmarkStart w:id="76" w:name="_Toc16540"/>
      <w:r>
        <w:rPr>
          <w:rFonts w:hint="eastAsia" w:ascii="宋体" w:hAnsi="宋体" w:eastAsia="宋体" w:cs="宋体"/>
          <w:b/>
          <w:bCs/>
          <w:color w:val="auto"/>
          <w:kern w:val="2"/>
          <w:sz w:val="24"/>
          <w:szCs w:val="24"/>
          <w:lang w:val="en-US" w:eastAsia="zh-CN" w:bidi="ar-SA"/>
        </w:rPr>
        <w:t>8.一般要求</w:t>
      </w:r>
      <w:bookmarkEnd w:id="71"/>
      <w:bookmarkEnd w:id="72"/>
      <w:bookmarkEnd w:id="73"/>
      <w:bookmarkEnd w:id="74"/>
      <w:bookmarkEnd w:id="75"/>
      <w:bookmarkEnd w:id="76"/>
    </w:p>
    <w:p w14:paraId="4AF926F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14:paraId="3BEF0D8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14:paraId="34BAC41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8.3除谈判文件中另有规定外，响应文件所使用的度量衡单位，均须采用国家法定计量单位。未列明时应默认为我国法定计量单位。</w:t>
      </w:r>
    </w:p>
    <w:p w14:paraId="34C9C8C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8.4响应文件应采用书面形式，电报、传真、电子邮件形式的响应文件概不接受。</w:t>
      </w:r>
    </w:p>
    <w:p w14:paraId="111994F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8.5</w:t>
      </w:r>
      <w:r>
        <w:rPr>
          <w:rFonts w:hint="eastAsia" w:ascii="宋体" w:hAnsi="宋体" w:eastAsia="宋体" w:cs="宋体"/>
          <w:b/>
          <w:bCs/>
          <w:color w:val="auto"/>
          <w:kern w:val="2"/>
          <w:sz w:val="24"/>
          <w:szCs w:val="24"/>
          <w:lang w:val="en-US" w:eastAsia="zh-CN" w:bidi="ar-SA"/>
        </w:rPr>
        <w:t>供应商应按谈判文件中提供的响应文件格式进行填写。</w:t>
      </w:r>
    </w:p>
    <w:p w14:paraId="7D94D77C">
      <w:pPr>
        <w:pStyle w:val="4"/>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77" w:name="_Toc16030"/>
      <w:bookmarkStart w:id="78" w:name="_Toc14527_WPSOffice_Level3"/>
      <w:bookmarkStart w:id="79" w:name="_Toc25922"/>
      <w:bookmarkStart w:id="80" w:name="_Toc12007"/>
      <w:bookmarkStart w:id="81" w:name="_Toc20423_WPSOffice_Level3"/>
      <w:r>
        <w:rPr>
          <w:rFonts w:hint="eastAsia" w:ascii="宋体" w:hAnsi="宋体" w:eastAsia="宋体" w:cs="宋体"/>
          <w:b/>
          <w:bCs/>
          <w:color w:val="auto"/>
          <w:kern w:val="2"/>
          <w:sz w:val="24"/>
          <w:szCs w:val="24"/>
          <w:lang w:val="en-US" w:eastAsia="zh-CN" w:bidi="ar-SA"/>
        </w:rPr>
        <w:t>9.报价要求</w:t>
      </w:r>
      <w:bookmarkEnd w:id="77"/>
      <w:bookmarkEnd w:id="78"/>
      <w:bookmarkEnd w:id="79"/>
      <w:bookmarkEnd w:id="80"/>
      <w:bookmarkEnd w:id="81"/>
    </w:p>
    <w:p w14:paraId="56233E6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9.1供应商应当根据谈判文件“分项报价表”逐一报价；</w:t>
      </w:r>
    </w:p>
    <w:p w14:paraId="2532CBBA">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9.2在首次报价表、分项报价表、最后报价表填写报价时应注意下列要求：</w:t>
      </w:r>
    </w:p>
    <w:p w14:paraId="32439C5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（1）采购需求要求的</w:t>
      </w:r>
      <w:r>
        <w:rPr>
          <w:rFonts w:hint="eastAsia" w:ascii="宋体" w:hAnsi="宋体" w:eastAsia="宋体" w:cs="宋体"/>
          <w:bCs/>
          <w:color w:val="auto"/>
          <w:sz w:val="24"/>
          <w:szCs w:val="24"/>
          <w:u w:val="none"/>
          <w:lang w:eastAsia="zh-CN"/>
        </w:rPr>
        <w:t>维护费、检测费、保险费、代理服务费、税金及其他不可预见费等全部费用</w:t>
      </w:r>
      <w:r>
        <w:rPr>
          <w:rFonts w:hint="eastAsia" w:ascii="宋体" w:hAnsi="宋体" w:eastAsia="宋体" w:cs="宋体"/>
          <w:color w:val="auto"/>
          <w:kern w:val="2"/>
          <w:sz w:val="24"/>
          <w:szCs w:val="24"/>
          <w:u w:val="none"/>
          <w:lang w:val="en-US" w:eastAsia="zh-CN" w:bidi="ar-SA"/>
        </w:rPr>
        <w:t>。</w:t>
      </w:r>
    </w:p>
    <w:p w14:paraId="0512E63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（2）所有根据合同或其它原因应由供应商交纳和支付的税款和费用。</w:t>
      </w:r>
    </w:p>
    <w:p w14:paraId="46493CC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（3）供应商报价应为完成本竞争性谈判文件中所要求的货物/服务/工程所应包括内容的所有价格。</w:t>
      </w:r>
    </w:p>
    <w:p w14:paraId="550D2C7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9.3</w:t>
      </w:r>
      <w:r>
        <w:rPr>
          <w:rFonts w:hint="eastAsia" w:ascii="宋体" w:hAnsi="宋体" w:eastAsia="宋体" w:cs="宋体"/>
          <w:color w:val="auto"/>
          <w:kern w:val="2"/>
          <w:sz w:val="24"/>
          <w:szCs w:val="24"/>
          <w:lang w:val="zh-CN" w:eastAsia="zh-CN" w:bidi="ar-SA"/>
        </w:rPr>
        <w:t>供应商</w:t>
      </w:r>
      <w:r>
        <w:rPr>
          <w:rFonts w:hint="eastAsia" w:ascii="宋体" w:hAnsi="宋体" w:eastAsia="宋体" w:cs="宋体"/>
          <w:color w:val="auto"/>
          <w:kern w:val="2"/>
          <w:sz w:val="24"/>
          <w:szCs w:val="24"/>
          <w:lang w:val="en-US" w:eastAsia="zh-CN" w:bidi="ar-SA"/>
        </w:rPr>
        <w:t>的</w:t>
      </w:r>
      <w:r>
        <w:rPr>
          <w:rFonts w:hint="eastAsia" w:ascii="宋体" w:hAnsi="宋体" w:eastAsia="宋体" w:cs="宋体"/>
          <w:b/>
          <w:bCs/>
          <w:color w:val="auto"/>
          <w:kern w:val="2"/>
          <w:sz w:val="24"/>
          <w:szCs w:val="24"/>
          <w:lang w:val="en-US" w:eastAsia="zh-CN" w:bidi="ar-SA"/>
        </w:rPr>
        <w:t>每次报价均不得超过采购项目预算，否则视为无效响应</w:t>
      </w:r>
      <w:r>
        <w:rPr>
          <w:rFonts w:hint="eastAsia" w:ascii="宋体" w:hAnsi="宋体" w:eastAsia="宋体" w:cs="宋体"/>
          <w:color w:val="auto"/>
          <w:kern w:val="2"/>
          <w:sz w:val="24"/>
          <w:szCs w:val="24"/>
          <w:lang w:val="en-US" w:eastAsia="zh-CN" w:bidi="ar-SA"/>
        </w:rPr>
        <w:t>。采购项目预算见【谈判须知前附表】。</w:t>
      </w:r>
    </w:p>
    <w:p w14:paraId="1E415E5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9.4供应商提交的最后报价在</w:t>
      </w:r>
      <w:r>
        <w:rPr>
          <w:rFonts w:hint="eastAsia" w:ascii="宋体" w:hAnsi="宋体" w:eastAsia="宋体" w:cs="宋体"/>
          <w:b/>
          <w:bCs/>
          <w:color w:val="auto"/>
          <w:kern w:val="2"/>
          <w:sz w:val="24"/>
          <w:szCs w:val="24"/>
          <w:lang w:val="en-US" w:eastAsia="zh-CN" w:bidi="ar-SA"/>
        </w:rPr>
        <w:t>合同执行过程中是固定不变的</w:t>
      </w:r>
      <w:r>
        <w:rPr>
          <w:rFonts w:hint="eastAsia" w:ascii="宋体" w:hAnsi="宋体" w:eastAsia="宋体" w:cs="宋体"/>
          <w:color w:val="auto"/>
          <w:kern w:val="2"/>
          <w:sz w:val="24"/>
          <w:szCs w:val="24"/>
          <w:lang w:val="en-US" w:eastAsia="zh-CN" w:bidi="ar-SA"/>
        </w:rPr>
        <w:t>，不得以任何理由予以变更。</w:t>
      </w:r>
      <w:r>
        <w:rPr>
          <w:rFonts w:hint="eastAsia" w:ascii="宋体" w:hAnsi="宋体" w:eastAsia="宋体" w:cs="宋体"/>
          <w:b/>
          <w:bCs/>
          <w:color w:val="auto"/>
          <w:kern w:val="2"/>
          <w:sz w:val="24"/>
          <w:szCs w:val="24"/>
          <w:lang w:val="en-US" w:eastAsia="zh-CN" w:bidi="ar-SA"/>
        </w:rPr>
        <w:t>以可变动价格提交的报价将被认为是非实质响应而被拒绝。</w:t>
      </w:r>
    </w:p>
    <w:p w14:paraId="0C657692">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9.5</w:t>
      </w:r>
      <w:r>
        <w:rPr>
          <w:rFonts w:hint="eastAsia" w:ascii="宋体" w:hAnsi="宋体" w:eastAsia="宋体" w:cs="宋体"/>
          <w:b/>
          <w:bCs/>
          <w:color w:val="auto"/>
          <w:kern w:val="2"/>
          <w:sz w:val="24"/>
          <w:szCs w:val="24"/>
          <w:lang w:val="en-US" w:eastAsia="zh-CN" w:bidi="ar-SA"/>
        </w:rPr>
        <w:t>谈判报价为总价</w:t>
      </w:r>
      <w:r>
        <w:rPr>
          <w:rFonts w:hint="eastAsia" w:ascii="宋体" w:hAnsi="宋体" w:eastAsia="宋体" w:cs="宋体"/>
          <w:color w:val="auto"/>
          <w:kern w:val="2"/>
          <w:sz w:val="24"/>
          <w:szCs w:val="24"/>
          <w:lang w:val="en-US" w:eastAsia="zh-CN" w:bidi="ar-SA"/>
        </w:rPr>
        <w:t>。供应商须按要求填写谈判总报价，最后报价不得出现两个或两个以上的报价方案。</w:t>
      </w:r>
    </w:p>
    <w:p w14:paraId="56D0296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9.6报价币种为人民币。</w:t>
      </w:r>
    </w:p>
    <w:p w14:paraId="519568BD">
      <w:pPr>
        <w:pStyle w:val="4"/>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82" w:name="_Toc30481"/>
      <w:bookmarkStart w:id="83" w:name="_Toc30839"/>
      <w:bookmarkStart w:id="84" w:name="_Toc19609_WPSOffice_Level3"/>
      <w:bookmarkStart w:id="85" w:name="_Toc24956_WPSOffice_Level3"/>
      <w:bookmarkStart w:id="86" w:name="_Toc27585"/>
      <w:r>
        <w:rPr>
          <w:rFonts w:hint="eastAsia" w:ascii="宋体" w:hAnsi="宋体" w:eastAsia="宋体" w:cs="宋体"/>
          <w:b/>
          <w:bCs/>
          <w:color w:val="auto"/>
          <w:kern w:val="2"/>
          <w:sz w:val="24"/>
          <w:szCs w:val="24"/>
          <w:lang w:val="en-US" w:eastAsia="zh-CN" w:bidi="ar-SA"/>
        </w:rPr>
        <w:t>10.保证金</w:t>
      </w:r>
      <w:bookmarkEnd w:id="82"/>
      <w:bookmarkEnd w:id="83"/>
      <w:bookmarkEnd w:id="84"/>
      <w:bookmarkEnd w:id="85"/>
      <w:bookmarkEnd w:id="86"/>
    </w:p>
    <w:p w14:paraId="3A0F32F2">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10.1供应商应按【谈判须知前附表】的规定，在</w:t>
      </w:r>
      <w:r>
        <w:rPr>
          <w:rFonts w:hint="eastAsia" w:ascii="宋体" w:hAnsi="宋体" w:eastAsia="宋体" w:cs="宋体"/>
          <w:b/>
          <w:bCs/>
          <w:color w:val="auto"/>
          <w:kern w:val="2"/>
          <w:sz w:val="24"/>
          <w:szCs w:val="24"/>
          <w:lang w:val="en-US" w:eastAsia="zh-CN" w:bidi="ar-SA"/>
        </w:rPr>
        <w:t>提交响应文件的截止时间前</w:t>
      </w:r>
      <w:r>
        <w:rPr>
          <w:rFonts w:hint="eastAsia" w:ascii="宋体" w:hAnsi="宋体" w:eastAsia="宋体" w:cs="宋体"/>
          <w:color w:val="auto"/>
          <w:kern w:val="2"/>
          <w:sz w:val="24"/>
          <w:szCs w:val="24"/>
          <w:lang w:val="en-US" w:eastAsia="zh-CN" w:bidi="ar-SA"/>
        </w:rPr>
        <w:t>提交不少于本谈判文件规定的人民币金额的谈判保证金。谈判保证金应当以转账、支票、本票或者金融机构、担保机构出具的保函等非现金形式提交。供应商未按照谈判文件要求提交谈判保证金的，视为非实质性响应，其响应文件不予接受。谈判保证金所有递交方式均以到账时间为准。</w:t>
      </w:r>
    </w:p>
    <w:p w14:paraId="3FF943A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10.2</w:t>
      </w:r>
      <w:r>
        <w:rPr>
          <w:rFonts w:hint="eastAsia" w:ascii="宋体" w:hAnsi="宋体" w:eastAsia="宋体" w:cs="宋体"/>
          <w:color w:val="auto"/>
          <w:kern w:val="2"/>
          <w:sz w:val="24"/>
          <w:szCs w:val="24"/>
          <w:lang w:val="zh-CN" w:eastAsia="zh-CN" w:bidi="ar-SA"/>
        </w:rPr>
        <w:t>供应商为联合体的，可以由联合体中的一方或者共同交纳保证金，其交纳的保证金，对联合体各方均具有约束力。</w:t>
      </w:r>
    </w:p>
    <w:p w14:paraId="7F488C4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10.3</w:t>
      </w:r>
      <w:r>
        <w:rPr>
          <w:rFonts w:hint="eastAsia" w:ascii="宋体" w:hAnsi="宋体" w:eastAsia="宋体" w:cs="宋体"/>
          <w:b/>
          <w:bCs/>
          <w:color w:val="auto"/>
          <w:kern w:val="2"/>
          <w:sz w:val="24"/>
          <w:szCs w:val="24"/>
          <w:lang w:val="en-US" w:eastAsia="zh-CN" w:bidi="ar-SA"/>
        </w:rPr>
        <w:t>保证金的退还按以下规定办理：</w:t>
      </w:r>
    </w:p>
    <w:p w14:paraId="67E1E1D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（1）成交供应商的保证金，在采购合同签订后5个工作日内退还，但因供应商自身原因导致无法退还的除外。</w:t>
      </w:r>
    </w:p>
    <w:p w14:paraId="422F50D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（2）未成交供应商的保证金，在成交通知书发出后5个工作日内退还。</w:t>
      </w:r>
    </w:p>
    <w:p w14:paraId="4CA38F2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（3）终止竞争性谈判采购活动的，在发布项目终止公告后5个工作日内退还。</w:t>
      </w:r>
    </w:p>
    <w:p w14:paraId="29BDC31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10.4</w:t>
      </w:r>
      <w:r>
        <w:rPr>
          <w:rFonts w:hint="eastAsia" w:ascii="宋体" w:hAnsi="宋体" w:eastAsia="宋体" w:cs="宋体"/>
          <w:b/>
          <w:bCs/>
          <w:color w:val="auto"/>
          <w:kern w:val="2"/>
          <w:sz w:val="24"/>
          <w:szCs w:val="24"/>
          <w:lang w:val="en-US" w:eastAsia="zh-CN" w:bidi="ar-SA"/>
        </w:rPr>
        <w:t>有下列情形之一的，保证金不予退还</w:t>
      </w:r>
      <w:r>
        <w:rPr>
          <w:rFonts w:hint="eastAsia" w:ascii="宋体" w:hAnsi="宋体" w:eastAsia="宋体" w:cs="宋体"/>
          <w:color w:val="auto"/>
          <w:kern w:val="2"/>
          <w:sz w:val="24"/>
          <w:szCs w:val="24"/>
          <w:lang w:val="en-US" w:eastAsia="zh-CN" w:bidi="ar-SA"/>
        </w:rPr>
        <w:t>：</w:t>
      </w:r>
    </w:p>
    <w:p w14:paraId="56CFA7B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（1）供应商在提交响应文件截止时间后撤回响应文件的；</w:t>
      </w:r>
    </w:p>
    <w:p w14:paraId="6E38972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（2）供应商在响应文件中提供虚假材料的；</w:t>
      </w:r>
    </w:p>
    <w:p w14:paraId="6B8546F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（3）除因不可抗力或谈判文件认可的情形以外，成交供应商不与采购人签订合同的；</w:t>
      </w:r>
    </w:p>
    <w:p w14:paraId="43FFACD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（4）供应商与采购人、其他供应商或者采购代理机构恶意串通的；</w:t>
      </w:r>
    </w:p>
    <w:p w14:paraId="7088A79A">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（5）谈判文件规定的其他情形。</w:t>
      </w:r>
    </w:p>
    <w:p w14:paraId="5DF4D884">
      <w:pPr>
        <w:pStyle w:val="4"/>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87" w:name="_Toc4945_WPSOffice_Level3"/>
      <w:bookmarkStart w:id="88" w:name="_Toc7718"/>
      <w:bookmarkStart w:id="89" w:name="_Toc18765_WPSOffice_Level3"/>
      <w:bookmarkStart w:id="90" w:name="_Toc5897"/>
      <w:bookmarkStart w:id="91" w:name="_Toc14144"/>
      <w:r>
        <w:rPr>
          <w:rFonts w:hint="eastAsia" w:ascii="宋体" w:hAnsi="宋体" w:eastAsia="宋体" w:cs="宋体"/>
          <w:b/>
          <w:bCs/>
          <w:color w:val="auto"/>
          <w:kern w:val="2"/>
          <w:sz w:val="24"/>
          <w:szCs w:val="24"/>
          <w:lang w:val="en-US" w:eastAsia="zh-CN" w:bidi="ar-SA"/>
        </w:rPr>
        <w:t>11.响应文件的组成</w:t>
      </w:r>
      <w:bookmarkEnd w:id="87"/>
      <w:bookmarkEnd w:id="88"/>
      <w:bookmarkEnd w:id="89"/>
      <w:bookmarkEnd w:id="90"/>
      <w:bookmarkEnd w:id="91"/>
    </w:p>
    <w:p w14:paraId="09B8108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11.1响应文件包括下列内容：</w:t>
      </w:r>
    </w:p>
    <w:p w14:paraId="27597D0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lang w:val="en-US" w:eastAsia="zh-CN" w:bidi="ar-SA"/>
        </w:rPr>
        <w:t>供应商应提交相关证明材料，作为其参加谈判和成交后有能力履行合同的证明。编写的响应文件须包括以下内容（</w:t>
      </w:r>
      <w:r>
        <w:rPr>
          <w:rFonts w:hint="eastAsia" w:ascii="宋体" w:hAnsi="宋体" w:eastAsia="宋体" w:cs="宋体"/>
          <w:color w:val="auto"/>
          <w:kern w:val="2"/>
          <w:sz w:val="24"/>
          <w:szCs w:val="24"/>
          <w:highlight w:val="none"/>
          <w:lang w:val="en-US" w:eastAsia="zh-CN" w:bidi="ar-SA"/>
        </w:rPr>
        <w:t>格式详见谈判文件第四部分内容）：</w:t>
      </w:r>
    </w:p>
    <w:p w14:paraId="064F1025">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kern w:val="2"/>
          <w:sz w:val="24"/>
          <w:szCs w:val="24"/>
          <w:lang w:val="en-US" w:eastAsia="zh-CN" w:bidi="ar-SA"/>
        </w:rPr>
        <w:t>11.1.1</w:t>
      </w:r>
      <w:r>
        <w:rPr>
          <w:rFonts w:hint="eastAsia" w:ascii="宋体" w:hAnsi="宋体" w:eastAsia="宋体" w:cs="宋体"/>
          <w:b/>
          <w:bCs/>
          <w:color w:val="auto"/>
          <w:kern w:val="2"/>
          <w:sz w:val="24"/>
          <w:szCs w:val="24"/>
          <w:lang w:val="zh-CN" w:eastAsia="zh-CN" w:bidi="ar-SA"/>
        </w:rPr>
        <w:t>资格审查部分</w:t>
      </w:r>
    </w:p>
    <w:p w14:paraId="5CF6993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1、响应函</w:t>
      </w:r>
    </w:p>
    <w:p w14:paraId="6D48F622">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2、法定代表人证明书</w:t>
      </w:r>
    </w:p>
    <w:p w14:paraId="2596285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3、法定代表人授权书</w:t>
      </w:r>
    </w:p>
    <w:p w14:paraId="189FA8B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4、供应商承诺函</w:t>
      </w:r>
    </w:p>
    <w:p w14:paraId="479A12A2">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5、供应商诚信承诺书</w:t>
      </w:r>
    </w:p>
    <w:p w14:paraId="12DD952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6、供应商资格证明文件</w:t>
      </w:r>
    </w:p>
    <w:p w14:paraId="699E532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7、财务状况、缴纳税收和社会保障资金证明</w:t>
      </w:r>
    </w:p>
    <w:p w14:paraId="0D3B0CA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8、无重大违法记录声明</w:t>
      </w:r>
    </w:p>
    <w:p w14:paraId="69BE131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9、谈判保证金证明</w:t>
      </w:r>
    </w:p>
    <w:p w14:paraId="494C685C">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kern w:val="2"/>
          <w:sz w:val="24"/>
          <w:szCs w:val="24"/>
          <w:lang w:val="en-US" w:eastAsia="zh-CN" w:bidi="ar-SA"/>
        </w:rPr>
        <w:t>11.1.2有效性、完整性、响应程度审查</w:t>
      </w:r>
      <w:r>
        <w:rPr>
          <w:rFonts w:hint="eastAsia" w:ascii="宋体" w:hAnsi="宋体" w:eastAsia="宋体" w:cs="宋体"/>
          <w:b/>
          <w:bCs/>
          <w:color w:val="auto"/>
          <w:kern w:val="2"/>
          <w:sz w:val="24"/>
          <w:szCs w:val="24"/>
          <w:lang w:val="zh-CN" w:eastAsia="zh-CN" w:bidi="ar-SA"/>
        </w:rPr>
        <w:t>部分</w:t>
      </w:r>
    </w:p>
    <w:p w14:paraId="67C9A71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lang w:val="zh-CN" w:eastAsia="zh-CN" w:bidi="ar-SA"/>
        </w:rPr>
        <w:t>、谈判首次报价表</w:t>
      </w:r>
    </w:p>
    <w:p w14:paraId="4446C9BA">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、分项报价表</w:t>
      </w:r>
    </w:p>
    <w:p w14:paraId="2744079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、服务响应表</w:t>
      </w:r>
    </w:p>
    <w:p w14:paraId="4F20C31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kern w:val="2"/>
          <w:sz w:val="24"/>
          <w:szCs w:val="24"/>
          <w:lang w:val="zh-CN" w:eastAsia="zh-CN" w:bidi="ar-SA"/>
        </w:rPr>
        <w:t>、</w:t>
      </w:r>
      <w:r>
        <w:rPr>
          <w:rFonts w:hint="eastAsia" w:ascii="宋体" w:hAnsi="宋体" w:eastAsia="宋体" w:cs="宋体"/>
          <w:color w:val="auto"/>
          <w:kern w:val="2"/>
          <w:sz w:val="24"/>
          <w:szCs w:val="24"/>
          <w:lang w:val="en-US" w:eastAsia="zh-CN" w:bidi="ar-SA"/>
        </w:rPr>
        <w:t>服务相关资料（</w:t>
      </w:r>
      <w:r>
        <w:rPr>
          <w:rFonts w:hint="eastAsia" w:ascii="宋体" w:hAnsi="宋体" w:eastAsia="宋体" w:cs="宋体"/>
          <w:color w:val="auto"/>
          <w:kern w:val="2"/>
          <w:sz w:val="24"/>
          <w:szCs w:val="24"/>
          <w:lang w:val="zh-CN" w:eastAsia="zh-CN" w:bidi="ar-SA"/>
        </w:rPr>
        <w:t>具备履行合同所必须的设备和专业技术能力证明</w:t>
      </w:r>
      <w:r>
        <w:rPr>
          <w:rFonts w:hint="eastAsia" w:ascii="宋体" w:hAnsi="宋体" w:eastAsia="宋体" w:cs="宋体"/>
          <w:color w:val="auto"/>
          <w:kern w:val="2"/>
          <w:sz w:val="24"/>
          <w:szCs w:val="24"/>
          <w:lang w:val="en-US" w:eastAsia="zh-CN" w:bidi="ar-SA"/>
        </w:rPr>
        <w:t>）</w:t>
      </w:r>
    </w:p>
    <w:p w14:paraId="46E1474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kern w:val="2"/>
          <w:sz w:val="24"/>
          <w:szCs w:val="24"/>
          <w:lang w:val="zh-CN" w:eastAsia="zh-CN" w:bidi="ar-SA"/>
        </w:rPr>
        <w:t>、供应商认为在其他方面有必要说明的事项</w:t>
      </w:r>
    </w:p>
    <w:p w14:paraId="62A2EE9A">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r>
        <w:rPr>
          <w:rFonts w:hint="eastAsia" w:ascii="宋体" w:hAnsi="宋体" w:eastAsia="宋体" w:cs="宋体"/>
          <w:color w:val="auto"/>
          <w:kern w:val="2"/>
          <w:sz w:val="24"/>
          <w:szCs w:val="24"/>
          <w:lang w:val="zh-CN" w:eastAsia="zh-CN" w:bidi="ar-SA"/>
        </w:rPr>
        <w:t>、</w:t>
      </w:r>
      <w:r>
        <w:rPr>
          <w:rFonts w:hint="eastAsia" w:ascii="宋体" w:hAnsi="宋体" w:eastAsia="宋体" w:cs="宋体"/>
          <w:color w:val="auto"/>
          <w:kern w:val="2"/>
          <w:sz w:val="24"/>
          <w:szCs w:val="24"/>
          <w:lang w:val="en-US" w:eastAsia="zh-CN" w:bidi="ar-SA"/>
        </w:rPr>
        <w:t>谈判最后报价表</w:t>
      </w:r>
    </w:p>
    <w:p w14:paraId="41D09B1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w:t>
      </w:r>
      <w:r>
        <w:rPr>
          <w:rFonts w:hint="eastAsia" w:ascii="宋体" w:hAnsi="宋体" w:eastAsia="宋体" w:cs="宋体"/>
          <w:color w:val="auto"/>
          <w:kern w:val="2"/>
          <w:sz w:val="24"/>
          <w:szCs w:val="24"/>
          <w:lang w:val="zh-CN" w:eastAsia="zh-CN" w:bidi="ar-SA"/>
        </w:rPr>
        <w:t>、其他证明材料</w:t>
      </w:r>
    </w:p>
    <w:p w14:paraId="254E7B1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zh-CN" w:eastAsia="zh-CN" w:bidi="ar-SA"/>
        </w:rPr>
        <w:t>供应商须按上述内容、顺序和格式编制响应文件，并按要求编制目录、页码，并保证所提供的全部资料真实可信，自愿承担相应责任。</w:t>
      </w:r>
    </w:p>
    <w:p w14:paraId="63C6825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11.2在谈判过程中，</w:t>
      </w:r>
      <w:r>
        <w:rPr>
          <w:rFonts w:hint="eastAsia" w:ascii="宋体" w:hAnsi="宋体" w:eastAsia="宋体" w:cs="宋体"/>
          <w:b/>
          <w:bCs/>
          <w:color w:val="auto"/>
          <w:kern w:val="2"/>
          <w:sz w:val="24"/>
          <w:szCs w:val="24"/>
          <w:lang w:val="en-US" w:eastAsia="zh-CN" w:bidi="ar-SA"/>
        </w:rPr>
        <w:t>供应商根据谈判小组书面形式要求提交的最后报价</w:t>
      </w:r>
      <w:r>
        <w:rPr>
          <w:rFonts w:hint="eastAsia" w:ascii="宋体" w:hAnsi="宋体" w:eastAsia="宋体" w:cs="宋体"/>
          <w:b/>
          <w:bCs/>
          <w:color w:val="auto"/>
          <w:kern w:val="2"/>
          <w:sz w:val="24"/>
          <w:szCs w:val="24"/>
          <w:u w:val="none"/>
          <w:lang w:val="en-US" w:eastAsia="zh-CN" w:bidi="ar-SA"/>
        </w:rPr>
        <w:t>(或者重新提交的响应文件和最后报价)</w:t>
      </w:r>
      <w:r>
        <w:rPr>
          <w:rFonts w:hint="eastAsia" w:ascii="宋体" w:hAnsi="宋体" w:eastAsia="宋体" w:cs="宋体"/>
          <w:color w:val="auto"/>
          <w:kern w:val="2"/>
          <w:sz w:val="24"/>
          <w:szCs w:val="24"/>
          <w:lang w:val="en-US" w:eastAsia="zh-CN" w:bidi="ar-SA"/>
        </w:rPr>
        <w:t>是响应文件的有效组成部分。</w:t>
      </w:r>
    </w:p>
    <w:p w14:paraId="176719BF">
      <w:pPr>
        <w:pStyle w:val="4"/>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92" w:name="_Toc3004"/>
      <w:bookmarkStart w:id="93" w:name="_Toc26621"/>
      <w:bookmarkStart w:id="94" w:name="_Toc3694_WPSOffice_Level3"/>
      <w:bookmarkStart w:id="95" w:name="_Toc14930_WPSOffice_Level3"/>
      <w:bookmarkStart w:id="96" w:name="_Toc11674"/>
      <w:r>
        <w:rPr>
          <w:rFonts w:hint="eastAsia" w:ascii="宋体" w:hAnsi="宋体" w:eastAsia="宋体" w:cs="宋体"/>
          <w:b/>
          <w:bCs/>
          <w:color w:val="auto"/>
          <w:kern w:val="2"/>
          <w:sz w:val="24"/>
          <w:szCs w:val="24"/>
          <w:lang w:val="en-US" w:eastAsia="zh-CN" w:bidi="ar-SA"/>
        </w:rPr>
        <w:t>12.响应文件有效期</w:t>
      </w:r>
      <w:bookmarkEnd w:id="92"/>
      <w:bookmarkEnd w:id="93"/>
      <w:bookmarkEnd w:id="94"/>
      <w:bookmarkEnd w:id="95"/>
      <w:bookmarkEnd w:id="96"/>
    </w:p>
    <w:p w14:paraId="7F832857">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响应文件有效期见【谈判须知前附表】，在此期间响应文件对供应商具有法律约束力，从提交首次响应文件截止时间之日起计算。</w:t>
      </w:r>
      <w:r>
        <w:rPr>
          <w:rFonts w:hint="eastAsia" w:ascii="宋体" w:hAnsi="宋体" w:eastAsia="宋体" w:cs="宋体"/>
          <w:b/>
          <w:bCs/>
          <w:color w:val="auto"/>
          <w:kern w:val="2"/>
          <w:sz w:val="24"/>
          <w:szCs w:val="24"/>
          <w:lang w:val="zh-CN" w:eastAsia="zh-CN" w:bidi="ar-SA"/>
        </w:rPr>
        <w:t>响应文件有效期不足的将被视为无效响应。</w:t>
      </w:r>
    </w:p>
    <w:p w14:paraId="791F51EB">
      <w:pPr>
        <w:pStyle w:val="4"/>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97" w:name="_Toc31682_WPSOffice_Level3"/>
      <w:bookmarkStart w:id="98" w:name="_Toc8507_WPSOffice_Level3"/>
      <w:bookmarkStart w:id="99" w:name="_Toc21033"/>
      <w:bookmarkStart w:id="100" w:name="_Toc29012"/>
      <w:bookmarkStart w:id="101" w:name="_Toc20265"/>
      <w:r>
        <w:rPr>
          <w:rFonts w:hint="eastAsia" w:ascii="宋体" w:hAnsi="宋体" w:eastAsia="宋体" w:cs="宋体"/>
          <w:b/>
          <w:bCs/>
          <w:color w:val="auto"/>
          <w:kern w:val="2"/>
          <w:sz w:val="24"/>
          <w:szCs w:val="24"/>
          <w:lang w:val="en-US" w:eastAsia="zh-CN" w:bidi="ar-SA"/>
        </w:rPr>
        <w:t>13.响应文件的签署及规定</w:t>
      </w:r>
      <w:bookmarkEnd w:id="97"/>
      <w:bookmarkEnd w:id="98"/>
      <w:bookmarkEnd w:id="99"/>
      <w:bookmarkEnd w:id="100"/>
      <w:bookmarkEnd w:id="101"/>
    </w:p>
    <w:p w14:paraId="5EC581EA">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14:paraId="513B25EE">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13.2 </w:t>
      </w:r>
      <w:r>
        <w:rPr>
          <w:rFonts w:hint="eastAsia" w:ascii="宋体" w:hAnsi="宋体" w:eastAsia="宋体" w:cs="宋体"/>
          <w:color w:val="auto"/>
          <w:kern w:val="2"/>
          <w:sz w:val="24"/>
          <w:szCs w:val="24"/>
          <w:lang w:val="zh-CN" w:eastAsia="zh-CN" w:bidi="ar-SA"/>
        </w:rPr>
        <w:t>供应商应按照谈判文件所提供的文件格式，分别填写谈判文件</w:t>
      </w:r>
      <w:r>
        <w:rPr>
          <w:rFonts w:hint="eastAsia" w:ascii="宋体" w:hAnsi="宋体" w:eastAsia="宋体" w:cs="宋体"/>
          <w:color w:val="auto"/>
          <w:kern w:val="2"/>
          <w:sz w:val="24"/>
          <w:szCs w:val="24"/>
          <w:highlight w:val="none"/>
          <w:lang w:val="zh-CN" w:eastAsia="zh-CN" w:bidi="ar-SA"/>
        </w:rPr>
        <w:t>第四部分</w:t>
      </w:r>
      <w:r>
        <w:rPr>
          <w:rFonts w:hint="eastAsia" w:ascii="宋体" w:hAnsi="宋体" w:eastAsia="宋体" w:cs="宋体"/>
          <w:color w:val="auto"/>
          <w:kern w:val="2"/>
          <w:sz w:val="24"/>
          <w:szCs w:val="24"/>
          <w:lang w:val="zh-CN" w:eastAsia="zh-CN" w:bidi="ar-SA"/>
        </w:rPr>
        <w:t>的内容，</w:t>
      </w:r>
      <w:r>
        <w:rPr>
          <w:rFonts w:hint="eastAsia" w:ascii="宋体" w:hAnsi="宋体" w:eastAsia="宋体" w:cs="宋体"/>
          <w:b w:val="0"/>
          <w:bCs w:val="0"/>
          <w:color w:val="auto"/>
          <w:kern w:val="2"/>
          <w:sz w:val="24"/>
          <w:szCs w:val="24"/>
          <w:highlight w:val="none"/>
          <w:lang w:val="zh-CN" w:eastAsia="zh-CN" w:bidi="ar-SA"/>
        </w:rPr>
        <w:t>应分别注明所提供</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eastAsia="宋体" w:cs="宋体"/>
          <w:b w:val="0"/>
          <w:bCs w:val="0"/>
          <w:color w:val="auto"/>
          <w:kern w:val="2"/>
          <w:sz w:val="24"/>
          <w:szCs w:val="24"/>
          <w:highlight w:val="none"/>
          <w:lang w:val="zh-CN" w:eastAsia="zh-CN" w:bidi="ar-SA"/>
        </w:rPr>
        <w:t>的名称、数量和价格等内容</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lang w:val="zh-CN" w:eastAsia="zh-CN" w:bidi="ar-SA"/>
        </w:rPr>
        <w:t>谈判文件要求签字、盖章的地方必须由供应商的法定代表人或委托代理人签字、盖章。</w:t>
      </w:r>
    </w:p>
    <w:p w14:paraId="2908FC48">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13.3响应文件正本一份，副本、电子版份数见【谈判须知前附表】。</w:t>
      </w:r>
      <w:r>
        <w:rPr>
          <w:rFonts w:hint="eastAsia" w:ascii="宋体" w:hAnsi="宋体" w:eastAsia="宋体" w:cs="宋体"/>
          <w:color w:val="auto"/>
          <w:kern w:val="2"/>
          <w:sz w:val="24"/>
          <w:szCs w:val="24"/>
          <w:lang w:val="en-US" w:eastAsia="zh-CN" w:bidi="ar-SA"/>
        </w:rPr>
        <w:t>纸质响应文件须清楚地注明“正本”或“副本”的字样。</w:t>
      </w:r>
      <w:r>
        <w:rPr>
          <w:rFonts w:hint="eastAsia" w:ascii="宋体" w:hAnsi="宋体" w:eastAsia="宋体" w:cs="宋体"/>
          <w:color w:val="auto"/>
          <w:sz w:val="24"/>
          <w:szCs w:val="24"/>
        </w:rPr>
        <w:t>若副本和正本不一致，</w:t>
      </w:r>
      <w:r>
        <w:rPr>
          <w:rFonts w:hint="eastAsia" w:ascii="宋体" w:hAnsi="宋体" w:eastAsia="宋体" w:cs="宋体"/>
          <w:b/>
          <w:bCs/>
          <w:color w:val="auto"/>
          <w:sz w:val="24"/>
          <w:szCs w:val="24"/>
        </w:rPr>
        <w:t>以纸质正本文件为准。</w:t>
      </w:r>
      <w:r>
        <w:rPr>
          <w:rFonts w:hint="eastAsia" w:ascii="宋体" w:hAnsi="宋体" w:eastAsia="宋体" w:cs="宋体"/>
          <w:b/>
          <w:bCs/>
          <w:color w:val="auto"/>
          <w:sz w:val="24"/>
          <w:szCs w:val="24"/>
          <w:lang w:val="en-US" w:eastAsia="zh-CN"/>
        </w:rPr>
        <w:t>电子版</w:t>
      </w:r>
      <w:r>
        <w:rPr>
          <w:rFonts w:hint="eastAsia" w:ascii="宋体" w:hAnsi="宋体" w:eastAsia="宋体" w:cs="宋体"/>
          <w:color w:val="auto"/>
          <w:sz w:val="24"/>
          <w:szCs w:val="24"/>
          <w:u w:val="none"/>
          <w:lang w:val="en-US" w:eastAsia="zh-CN"/>
        </w:rPr>
        <w:t>采用U盘制作（电子文档应与正本内容完全一致，即书面响应文件正本的扫描件，包括盖章和签字；电子文档为不可修改文档，即PDF格式）</w:t>
      </w:r>
    </w:p>
    <w:p w14:paraId="382B38BB">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13.4 响应</w:t>
      </w:r>
      <w:r>
        <w:rPr>
          <w:rFonts w:hint="eastAsia" w:ascii="宋体" w:hAnsi="宋体" w:eastAsia="宋体" w:cs="宋体"/>
          <w:color w:val="auto"/>
          <w:kern w:val="2"/>
          <w:sz w:val="24"/>
          <w:szCs w:val="24"/>
          <w:lang w:val="zh-CN" w:eastAsia="zh-CN" w:bidi="ar-SA"/>
        </w:rPr>
        <w:t>文件统一使用A4幅面的纸张印制，必须胶装成册并编制目录，其他方式装订的响应文件一概不予接受。</w:t>
      </w:r>
      <w:r>
        <w:rPr>
          <w:rFonts w:hint="eastAsia" w:ascii="宋体" w:hAnsi="宋体" w:eastAsia="宋体" w:cs="宋体"/>
          <w:b/>
          <w:bCs/>
          <w:color w:val="auto"/>
          <w:kern w:val="2"/>
          <w:sz w:val="24"/>
          <w:szCs w:val="24"/>
          <w:lang w:val="zh-CN" w:eastAsia="zh-CN" w:bidi="ar-SA"/>
        </w:rPr>
        <w:t>响应文件的正本需打印或用不褪色、不变质的墨水书写，副本可采用正本的复印件。</w:t>
      </w:r>
    </w:p>
    <w:p w14:paraId="4E4B0320">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13.5 响应文件不得行间插字，若有修改错漏处，应由供应商法定代表人或者其委托代理人签字、加盖公章。否则，将导致响应文件无效。</w:t>
      </w:r>
    </w:p>
    <w:p w14:paraId="089D8AA6">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13.6在谈判过程中，供应商按谈判文件规定和谈判小组要求提交的最后报价(或者重新提交的响应文件和最后报价)，须打印或用不褪色材料书写，</w:t>
      </w:r>
      <w:r>
        <w:rPr>
          <w:rFonts w:hint="eastAsia" w:ascii="宋体" w:hAnsi="宋体" w:eastAsia="宋体" w:cs="宋体"/>
          <w:b/>
          <w:bCs/>
          <w:color w:val="auto"/>
          <w:kern w:val="2"/>
          <w:sz w:val="24"/>
          <w:szCs w:val="24"/>
          <w:lang w:val="en-US" w:eastAsia="zh-CN" w:bidi="ar-SA"/>
        </w:rPr>
        <w:t>并经供应商代表签字，或者加盖供应商单位公章。否则，将导致响应文件无效。</w:t>
      </w:r>
    </w:p>
    <w:p w14:paraId="0B75341D">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13.7供应商无论成交与否，其响应文件不予退还。</w:t>
      </w:r>
    </w:p>
    <w:p w14:paraId="1B87630A">
      <w:pPr>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color w:val="auto"/>
          <w:kern w:val="2"/>
          <w:sz w:val="28"/>
          <w:szCs w:val="28"/>
          <w:lang w:val="en-US" w:eastAsia="zh-CN" w:bidi="ar-SA"/>
        </w:rPr>
      </w:pPr>
      <w:bookmarkStart w:id="102" w:name="_Toc34637768"/>
      <w:bookmarkStart w:id="103" w:name="_Toc25869"/>
      <w:bookmarkStart w:id="104" w:name="_Toc31349_WPSOffice_Level2"/>
      <w:bookmarkStart w:id="105" w:name="_Toc24112_WPSOffice_Level2"/>
      <w:bookmarkStart w:id="106" w:name="_Toc16239"/>
      <w:bookmarkStart w:id="107" w:name="_Toc32627_WPSOffice_Level2"/>
      <w:bookmarkStart w:id="108" w:name="_Toc30575"/>
      <w:bookmarkStart w:id="109" w:name="_Toc8361"/>
      <w:r>
        <w:rPr>
          <w:rFonts w:hint="eastAsia" w:ascii="宋体" w:hAnsi="宋体" w:eastAsia="宋体" w:cs="宋体"/>
          <w:b/>
          <w:bCs/>
          <w:color w:val="auto"/>
          <w:kern w:val="2"/>
          <w:sz w:val="28"/>
          <w:szCs w:val="28"/>
          <w:lang w:val="en-US" w:eastAsia="zh-CN" w:bidi="ar-SA"/>
        </w:rPr>
        <w:t>四、响应文件的递交</w:t>
      </w:r>
      <w:bookmarkEnd w:id="102"/>
      <w:bookmarkEnd w:id="103"/>
      <w:bookmarkEnd w:id="104"/>
      <w:bookmarkEnd w:id="105"/>
      <w:bookmarkEnd w:id="106"/>
      <w:bookmarkEnd w:id="107"/>
      <w:bookmarkEnd w:id="108"/>
      <w:bookmarkEnd w:id="109"/>
    </w:p>
    <w:p w14:paraId="0757C96B">
      <w:pPr>
        <w:pStyle w:val="4"/>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10" w:name="_Toc6095"/>
      <w:bookmarkStart w:id="111" w:name="_Toc4459"/>
      <w:bookmarkStart w:id="112" w:name="_Toc20825_WPSOffice_Level3"/>
      <w:bookmarkStart w:id="113" w:name="_Toc23622_WPSOffice_Level3"/>
      <w:bookmarkStart w:id="114" w:name="_Toc31398"/>
      <w:r>
        <w:rPr>
          <w:rFonts w:hint="eastAsia" w:ascii="宋体" w:hAnsi="宋体" w:eastAsia="宋体" w:cs="宋体"/>
          <w:b/>
          <w:bCs/>
          <w:color w:val="auto"/>
          <w:kern w:val="2"/>
          <w:sz w:val="24"/>
          <w:szCs w:val="24"/>
          <w:lang w:val="en-US" w:eastAsia="zh-CN" w:bidi="ar-SA"/>
        </w:rPr>
        <w:t>14.响应文件的密封和标记</w:t>
      </w:r>
      <w:bookmarkEnd w:id="110"/>
      <w:bookmarkEnd w:id="111"/>
      <w:bookmarkEnd w:id="112"/>
      <w:bookmarkEnd w:id="113"/>
      <w:bookmarkEnd w:id="114"/>
    </w:p>
    <w:p w14:paraId="63C9C9FF">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14.1响应文件应密封包装，以保证其响应文件信息在提交首次响应文件截止时间前不被透露。</w:t>
      </w:r>
    </w:p>
    <w:p w14:paraId="62358EEE">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14.2</w:t>
      </w:r>
      <w:r>
        <w:rPr>
          <w:rFonts w:hint="eastAsia" w:ascii="宋体" w:hAnsi="宋体" w:eastAsia="宋体" w:cs="宋体"/>
          <w:color w:val="auto"/>
          <w:sz w:val="24"/>
          <w:szCs w:val="24"/>
        </w:rPr>
        <w:t>响应文件</w:t>
      </w:r>
      <w:r>
        <w:rPr>
          <w:rFonts w:hint="eastAsia" w:ascii="宋体" w:hAnsi="宋体" w:eastAsia="宋体" w:cs="宋体"/>
          <w:color w:val="auto"/>
          <w:sz w:val="24"/>
          <w:szCs w:val="24"/>
        </w:rPr>
        <w:t>正本、所有副本</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电子版</w:t>
      </w:r>
      <w:r>
        <w:rPr>
          <w:rFonts w:hint="eastAsia" w:ascii="宋体" w:hAnsi="宋体" w:eastAsia="宋体" w:cs="宋体"/>
          <w:color w:val="auto"/>
          <w:sz w:val="24"/>
          <w:szCs w:val="24"/>
        </w:rPr>
        <w:t>应</w:t>
      </w:r>
      <w:r>
        <w:rPr>
          <w:rFonts w:hint="eastAsia" w:ascii="宋体" w:hAnsi="宋体" w:eastAsia="宋体" w:cs="宋体"/>
          <w:color w:val="auto"/>
          <w:sz w:val="24"/>
          <w:szCs w:val="24"/>
          <w:lang w:val="en-US" w:eastAsia="zh-CN"/>
        </w:rPr>
        <w:t>分别</w:t>
      </w:r>
      <w:r>
        <w:rPr>
          <w:rFonts w:hint="eastAsia" w:ascii="宋体" w:hAnsi="宋体" w:eastAsia="宋体" w:cs="宋体"/>
          <w:color w:val="auto"/>
          <w:sz w:val="24"/>
          <w:szCs w:val="24"/>
        </w:rPr>
        <w:t>密封包装</w:t>
      </w:r>
      <w:r>
        <w:rPr>
          <w:rFonts w:hint="eastAsia" w:ascii="宋体" w:hAnsi="宋体" w:eastAsia="宋体" w:cs="宋体"/>
          <w:color w:val="auto"/>
          <w:kern w:val="2"/>
          <w:sz w:val="24"/>
          <w:szCs w:val="24"/>
          <w:lang w:val="en-US" w:eastAsia="zh-CN" w:bidi="ar-SA"/>
        </w:rPr>
        <w:t>，密封袋上应写明的内容见【谈判须知前附表】</w:t>
      </w:r>
    </w:p>
    <w:p w14:paraId="724965A6">
      <w:pPr>
        <w:pStyle w:val="4"/>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15" w:name="_Toc13231_WPSOffice_Level3"/>
      <w:bookmarkStart w:id="116" w:name="_Toc7845_WPSOffice_Level3"/>
      <w:bookmarkStart w:id="117" w:name="_Toc12764"/>
      <w:bookmarkStart w:id="118" w:name="_Toc18048"/>
      <w:bookmarkStart w:id="119" w:name="_Toc1241"/>
      <w:r>
        <w:rPr>
          <w:rFonts w:hint="eastAsia" w:ascii="宋体" w:hAnsi="宋体" w:eastAsia="宋体" w:cs="宋体"/>
          <w:b/>
          <w:bCs/>
          <w:color w:val="auto"/>
          <w:kern w:val="2"/>
          <w:sz w:val="24"/>
          <w:szCs w:val="24"/>
          <w:lang w:val="en-US" w:eastAsia="zh-CN" w:bidi="ar-SA"/>
        </w:rPr>
        <w:t>15.响应文件的递交与接收</w:t>
      </w:r>
      <w:bookmarkEnd w:id="115"/>
      <w:bookmarkEnd w:id="116"/>
      <w:bookmarkEnd w:id="117"/>
      <w:bookmarkEnd w:id="118"/>
      <w:bookmarkEnd w:id="119"/>
    </w:p>
    <w:p w14:paraId="6EE35C49">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供应商应在【谈判须知前附表】规定的时间和地点提交响应文件。</w:t>
      </w:r>
      <w:r>
        <w:rPr>
          <w:rFonts w:hint="eastAsia" w:ascii="宋体" w:hAnsi="宋体" w:eastAsia="宋体" w:cs="宋体"/>
          <w:b/>
          <w:bCs/>
          <w:color w:val="auto"/>
          <w:kern w:val="2"/>
          <w:sz w:val="24"/>
          <w:szCs w:val="24"/>
          <w:lang w:val="en-US" w:eastAsia="zh-CN" w:bidi="ar-SA"/>
        </w:rPr>
        <w:t>在截止时间后送达的响应文件为无效文件</w:t>
      </w:r>
      <w:r>
        <w:rPr>
          <w:rFonts w:hint="eastAsia" w:ascii="宋体" w:hAnsi="宋体" w:eastAsia="宋体" w:cs="宋体"/>
          <w:color w:val="auto"/>
          <w:kern w:val="2"/>
          <w:sz w:val="24"/>
          <w:szCs w:val="24"/>
          <w:lang w:val="en-US" w:eastAsia="zh-CN" w:bidi="ar-SA"/>
        </w:rPr>
        <w:t>，采购人、采购代理机构或者谈判小组拒收逾期送达的响应文件。</w:t>
      </w:r>
    </w:p>
    <w:p w14:paraId="373A5869">
      <w:pPr>
        <w:pStyle w:val="4"/>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20" w:name="_Toc19521_WPSOffice_Level3"/>
      <w:bookmarkStart w:id="121" w:name="_Toc1373"/>
      <w:bookmarkStart w:id="122" w:name="_Toc31959"/>
      <w:bookmarkStart w:id="123" w:name="_Toc5063_WPSOffice_Level3"/>
      <w:bookmarkStart w:id="124" w:name="_Toc17912"/>
      <w:r>
        <w:rPr>
          <w:rFonts w:hint="eastAsia" w:ascii="宋体" w:hAnsi="宋体" w:eastAsia="宋体" w:cs="宋体"/>
          <w:b/>
          <w:bCs/>
          <w:color w:val="auto"/>
          <w:kern w:val="2"/>
          <w:sz w:val="24"/>
          <w:szCs w:val="24"/>
          <w:lang w:val="en-US" w:eastAsia="zh-CN" w:bidi="ar-SA"/>
        </w:rPr>
        <w:t>16.响应文件的</w:t>
      </w:r>
      <w:r>
        <w:rPr>
          <w:rFonts w:hint="eastAsia" w:ascii="宋体" w:hAnsi="宋体" w:eastAsia="宋体" w:cs="宋体"/>
          <w:b/>
          <w:bCs/>
          <w:color w:val="auto"/>
          <w:kern w:val="2"/>
          <w:sz w:val="24"/>
          <w:szCs w:val="24"/>
          <w:lang w:val="zh-CN" w:eastAsia="zh-CN" w:bidi="ar-SA"/>
        </w:rPr>
        <w:t>补充、修改或者撤回</w:t>
      </w:r>
      <w:bookmarkEnd w:id="120"/>
      <w:bookmarkEnd w:id="121"/>
      <w:bookmarkEnd w:id="122"/>
      <w:bookmarkEnd w:id="123"/>
      <w:bookmarkEnd w:id="124"/>
    </w:p>
    <w:p w14:paraId="792DCF69">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bookmarkStart w:id="125" w:name="_Toc32435"/>
      <w:bookmarkStart w:id="126" w:name="_Toc34637769"/>
      <w:r>
        <w:rPr>
          <w:rFonts w:hint="eastAsia" w:ascii="宋体" w:hAnsi="宋体" w:eastAsia="宋体" w:cs="宋体"/>
          <w:color w:val="auto"/>
          <w:kern w:val="2"/>
          <w:sz w:val="24"/>
          <w:szCs w:val="24"/>
          <w:lang w:val="en-US" w:eastAsia="zh-CN" w:bidi="ar-SA"/>
        </w:rPr>
        <w:t>供应商在谈判截止时间前，可以对所递交的响应文件进行补充、修改或者撤回，并书面通知采购人或者采购代理机构。补充、修改的内容作为响应文件的组成部分，补充、修改的内容与响应文件不一致的，以补充、修改的内容为准。</w:t>
      </w:r>
      <w:bookmarkEnd w:id="125"/>
    </w:p>
    <w:p w14:paraId="6DFA8424">
      <w:pPr>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color w:val="auto"/>
          <w:kern w:val="2"/>
          <w:sz w:val="28"/>
          <w:szCs w:val="28"/>
          <w:lang w:val="en-US" w:eastAsia="zh-CN" w:bidi="ar-SA"/>
        </w:rPr>
      </w:pPr>
      <w:bookmarkStart w:id="127" w:name="_Toc25721_WPSOffice_Level2"/>
      <w:bookmarkStart w:id="128" w:name="_Toc12974"/>
      <w:bookmarkStart w:id="129" w:name="_Toc10968"/>
      <w:bookmarkStart w:id="130" w:name="_Toc17502"/>
      <w:bookmarkStart w:id="131" w:name="_Toc29785_WPSOffice_Level2"/>
      <w:bookmarkStart w:id="132" w:name="_Toc18610_WPSOffice_Level2"/>
      <w:bookmarkStart w:id="133" w:name="_Toc31993"/>
      <w:r>
        <w:rPr>
          <w:rFonts w:hint="eastAsia" w:ascii="宋体" w:hAnsi="宋体" w:eastAsia="宋体" w:cs="宋体"/>
          <w:b/>
          <w:bCs/>
          <w:color w:val="auto"/>
          <w:kern w:val="2"/>
          <w:sz w:val="28"/>
          <w:szCs w:val="28"/>
          <w:lang w:val="en-US" w:eastAsia="zh-CN" w:bidi="ar-SA"/>
        </w:rPr>
        <w:t>五、响应文件的评审与谈判</w:t>
      </w:r>
      <w:bookmarkEnd w:id="126"/>
      <w:bookmarkEnd w:id="127"/>
      <w:bookmarkEnd w:id="128"/>
      <w:bookmarkEnd w:id="129"/>
      <w:bookmarkEnd w:id="130"/>
      <w:bookmarkEnd w:id="131"/>
      <w:bookmarkEnd w:id="132"/>
      <w:bookmarkEnd w:id="133"/>
    </w:p>
    <w:p w14:paraId="3593F409">
      <w:pPr>
        <w:pStyle w:val="4"/>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34" w:name="_Toc18713_WPSOffice_Level3"/>
      <w:bookmarkStart w:id="135" w:name="_Toc174"/>
      <w:bookmarkStart w:id="136" w:name="_Toc11267"/>
      <w:bookmarkStart w:id="137" w:name="_Toc19596_WPSOffice_Level3"/>
      <w:bookmarkStart w:id="138" w:name="_Toc26446"/>
      <w:r>
        <w:rPr>
          <w:rFonts w:hint="eastAsia" w:ascii="宋体" w:hAnsi="宋体" w:eastAsia="宋体" w:cs="宋体"/>
          <w:b/>
          <w:bCs/>
          <w:color w:val="auto"/>
          <w:kern w:val="2"/>
          <w:sz w:val="24"/>
          <w:szCs w:val="24"/>
          <w:lang w:val="en-US" w:eastAsia="zh-CN" w:bidi="ar-SA"/>
        </w:rPr>
        <w:t>17.谈判小组</w:t>
      </w:r>
      <w:bookmarkEnd w:id="134"/>
      <w:bookmarkEnd w:id="135"/>
      <w:bookmarkEnd w:id="136"/>
      <w:bookmarkEnd w:id="137"/>
      <w:bookmarkEnd w:id="138"/>
    </w:p>
    <w:p w14:paraId="660568E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17.1竞争性谈判小组由采购人代表和评审专家共</w:t>
      </w:r>
      <w:r>
        <w:rPr>
          <w:rFonts w:hint="eastAsia" w:ascii="宋体" w:hAnsi="宋体" w:eastAsia="宋体" w:cs="宋体"/>
          <w:color w:val="auto"/>
          <w:kern w:val="2"/>
          <w:sz w:val="24"/>
          <w:szCs w:val="24"/>
          <w:u w:val="none"/>
          <w:lang w:val="en-US" w:eastAsia="zh-CN" w:bidi="ar-SA"/>
        </w:rPr>
        <w:t>3</w:t>
      </w:r>
      <w:r>
        <w:rPr>
          <w:rFonts w:hint="eastAsia" w:ascii="宋体" w:hAnsi="宋体" w:eastAsia="宋体" w:cs="宋体"/>
          <w:color w:val="auto"/>
          <w:kern w:val="2"/>
          <w:sz w:val="24"/>
          <w:szCs w:val="24"/>
          <w:lang w:val="en-US" w:eastAsia="zh-CN" w:bidi="ar-SA"/>
        </w:rPr>
        <w:t>人组成，其中评审专家</w:t>
      </w:r>
      <w:r>
        <w:rPr>
          <w:rFonts w:hint="eastAsia" w:ascii="宋体" w:hAnsi="宋体" w:eastAsia="宋体" w:cs="宋体"/>
          <w:color w:val="auto"/>
          <w:kern w:val="2"/>
          <w:sz w:val="24"/>
          <w:szCs w:val="24"/>
          <w:u w:val="none"/>
          <w:lang w:val="en-US" w:eastAsia="zh-CN" w:bidi="ar-SA"/>
        </w:rPr>
        <w:t>2</w:t>
      </w:r>
      <w:r>
        <w:rPr>
          <w:rFonts w:hint="eastAsia" w:ascii="宋体" w:hAnsi="宋体" w:eastAsia="宋体" w:cs="宋体"/>
          <w:color w:val="auto"/>
          <w:kern w:val="2"/>
          <w:sz w:val="24"/>
          <w:szCs w:val="24"/>
          <w:lang w:val="en-US" w:eastAsia="zh-CN" w:bidi="ar-SA"/>
        </w:rPr>
        <w:t>名。采购人不得以评审专家身份参加本采购项目的评审。谈判小组评审专家从评审专家库内相关专业的专家名单中随机抽取。</w:t>
      </w:r>
    </w:p>
    <w:p w14:paraId="1B5368D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17.2谈判由采购代理机构负责组织，具体谈判事务由依法组建的谈判小组负责，</w:t>
      </w:r>
      <w:r>
        <w:rPr>
          <w:rFonts w:hint="eastAsia" w:ascii="宋体" w:hAnsi="宋体" w:eastAsia="宋体" w:cs="宋体"/>
          <w:b/>
          <w:bCs/>
          <w:color w:val="auto"/>
          <w:kern w:val="2"/>
          <w:sz w:val="24"/>
          <w:szCs w:val="24"/>
          <w:lang w:val="en-US" w:eastAsia="zh-CN" w:bidi="ar-SA"/>
        </w:rPr>
        <w:t>并独立履行下列职责</w:t>
      </w:r>
      <w:r>
        <w:rPr>
          <w:rFonts w:hint="eastAsia" w:ascii="宋体" w:hAnsi="宋体" w:eastAsia="宋体" w:cs="宋体"/>
          <w:color w:val="auto"/>
          <w:kern w:val="2"/>
          <w:sz w:val="24"/>
          <w:szCs w:val="24"/>
          <w:lang w:val="en-US" w:eastAsia="zh-CN" w:bidi="ar-SA"/>
        </w:rPr>
        <w:t>：</w:t>
      </w:r>
    </w:p>
    <w:p w14:paraId="1A26082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u w:val="none"/>
          <w:lang w:val="en-US" w:eastAsia="zh-CN" w:bidi="ar-SA"/>
        </w:rPr>
        <w:t>确认谈判文件</w:t>
      </w:r>
      <w:r>
        <w:rPr>
          <w:rFonts w:hint="eastAsia" w:ascii="宋体" w:hAnsi="宋体" w:eastAsia="宋体" w:cs="宋体"/>
          <w:color w:val="auto"/>
          <w:kern w:val="2"/>
          <w:sz w:val="24"/>
          <w:szCs w:val="24"/>
          <w:lang w:val="en-US" w:eastAsia="zh-CN" w:bidi="ar-SA"/>
        </w:rPr>
        <w:t>；</w:t>
      </w:r>
    </w:p>
    <w:p w14:paraId="6B681EB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（2）审查供应商的响应文件并作出评价；</w:t>
      </w:r>
    </w:p>
    <w:p w14:paraId="5142E8D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（3）要求供应商对谈判文件有关事项作出澄清或者说明；</w:t>
      </w:r>
    </w:p>
    <w:p w14:paraId="768D6D2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（4）编写评审报告；</w:t>
      </w:r>
    </w:p>
    <w:p w14:paraId="7D89A14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（5）确定成交候选人名单，以及根据采购人委托直接确定成交供应商；</w:t>
      </w:r>
    </w:p>
    <w:p w14:paraId="036EC50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（6）告知采购人、采购代理机构在评审过程中发现的供应商的违法违规行为。</w:t>
      </w:r>
    </w:p>
    <w:p w14:paraId="2C9DC9D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17.3谈判小组应遵守并履行下列义务：</w:t>
      </w:r>
    </w:p>
    <w:p w14:paraId="462FFD9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（1）遵纪守法，客观、公正、廉洁地履行职责；</w:t>
      </w:r>
    </w:p>
    <w:p w14:paraId="564DCFD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（2）按照谈判文件规定的成交方法评审，对评审意见承担谈判小组成员责任；</w:t>
      </w:r>
    </w:p>
    <w:p w14:paraId="6C30081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（3）对响应文件、谈判情况和谈判中获悉的国家秘密、商业秘密保密；</w:t>
      </w:r>
    </w:p>
    <w:p w14:paraId="7B5C76D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（4）参与评审报告的起草；</w:t>
      </w:r>
    </w:p>
    <w:p w14:paraId="352EB41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（5）配合采购人、采购代理机构答复供应商提出的质疑；</w:t>
      </w:r>
    </w:p>
    <w:p w14:paraId="40BE8C9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（6）配合相关部门的投诉处理和监督检查工作。</w:t>
      </w:r>
    </w:p>
    <w:p w14:paraId="03C3E94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17.4</w:t>
      </w:r>
      <w:r>
        <w:rPr>
          <w:rFonts w:hint="eastAsia" w:ascii="宋体" w:hAnsi="宋体" w:eastAsia="宋体" w:cs="宋体"/>
          <w:b/>
          <w:bCs/>
          <w:color w:val="auto"/>
          <w:kern w:val="2"/>
          <w:sz w:val="24"/>
          <w:szCs w:val="24"/>
          <w:lang w:val="en-US" w:eastAsia="zh-CN" w:bidi="ar-SA"/>
        </w:rPr>
        <w:t>谈判小组成员有下列情形之一的，应当回避</w:t>
      </w:r>
      <w:r>
        <w:rPr>
          <w:rFonts w:hint="eastAsia" w:ascii="宋体" w:hAnsi="宋体" w:eastAsia="宋体" w:cs="宋体"/>
          <w:color w:val="auto"/>
          <w:kern w:val="2"/>
          <w:sz w:val="24"/>
          <w:szCs w:val="24"/>
          <w:lang w:val="en-US" w:eastAsia="zh-CN" w:bidi="ar-SA"/>
        </w:rPr>
        <w:t>：</w:t>
      </w:r>
    </w:p>
    <w:p w14:paraId="0A660F3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（1）参加采购活动前 3 年内与供应商存在劳动关系；</w:t>
      </w:r>
    </w:p>
    <w:p w14:paraId="525501D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（2）参加采购活动前 3 年内担任供应商的董事、监事；</w:t>
      </w:r>
    </w:p>
    <w:p w14:paraId="611D4E5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（3）参加采购活动前 3 年内是供应商的控股股东或者实际控制人；</w:t>
      </w:r>
    </w:p>
    <w:p w14:paraId="7170A3C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（4）与供应商的法定代表人或者负责人有夫妻、直系血亲、三代以内旁系血亲或者近姻亲关系；</w:t>
      </w:r>
    </w:p>
    <w:p w14:paraId="0299FD9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（5）与供应商有其他可能影响采购活动公平、公正进行的关系。</w:t>
      </w:r>
      <w:bookmarkStart w:id="139" w:name="_Toc16350_WPSOffice_Level3"/>
      <w:bookmarkStart w:id="140" w:name="_Toc19122"/>
    </w:p>
    <w:p w14:paraId="106DB781">
      <w:pPr>
        <w:pStyle w:val="4"/>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41" w:name="_Toc21386"/>
      <w:bookmarkStart w:id="142" w:name="_Toc22044_WPSOffice_Level3"/>
      <w:r>
        <w:rPr>
          <w:rFonts w:hint="eastAsia" w:ascii="宋体" w:hAnsi="宋体" w:eastAsia="宋体" w:cs="宋体"/>
          <w:b/>
          <w:bCs/>
          <w:color w:val="auto"/>
          <w:kern w:val="2"/>
          <w:sz w:val="24"/>
          <w:szCs w:val="24"/>
          <w:lang w:val="en-US" w:eastAsia="zh-CN" w:bidi="ar-SA"/>
        </w:rPr>
        <w:t>18.响应文件审查</w:t>
      </w:r>
      <w:bookmarkEnd w:id="139"/>
      <w:bookmarkEnd w:id="140"/>
      <w:bookmarkEnd w:id="141"/>
      <w:bookmarkEnd w:id="142"/>
    </w:p>
    <w:p w14:paraId="54D764B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18.1谈判小组应当对响应文件进行评审，并根据谈判文件规定的程序、评定成交的标准等事项与</w:t>
      </w:r>
      <w:r>
        <w:rPr>
          <w:rFonts w:hint="eastAsia" w:ascii="宋体" w:hAnsi="宋体" w:eastAsia="宋体" w:cs="宋体"/>
          <w:b/>
          <w:bCs/>
          <w:color w:val="auto"/>
          <w:kern w:val="2"/>
          <w:sz w:val="24"/>
          <w:szCs w:val="24"/>
          <w:lang w:val="en-US" w:eastAsia="zh-CN" w:bidi="ar-SA"/>
        </w:rPr>
        <w:t>实质性响应谈判文件要求的供应商进行谈判</w:t>
      </w:r>
      <w:r>
        <w:rPr>
          <w:rFonts w:hint="eastAsia" w:ascii="宋体" w:hAnsi="宋体" w:eastAsia="宋体" w:cs="宋体"/>
          <w:color w:val="auto"/>
          <w:kern w:val="2"/>
          <w:sz w:val="24"/>
          <w:szCs w:val="24"/>
          <w:lang w:val="en-US" w:eastAsia="zh-CN" w:bidi="ar-SA"/>
        </w:rPr>
        <w:t>。</w:t>
      </w:r>
    </w:p>
    <w:p w14:paraId="2745177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18.2在对供应商进行审查时，</w:t>
      </w:r>
      <w:r>
        <w:rPr>
          <w:rFonts w:hint="eastAsia" w:ascii="宋体" w:hAnsi="宋体" w:eastAsia="宋体" w:cs="宋体"/>
          <w:b/>
          <w:bCs/>
          <w:color w:val="auto"/>
          <w:kern w:val="2"/>
          <w:sz w:val="24"/>
          <w:szCs w:val="24"/>
          <w:lang w:val="en-US" w:eastAsia="zh-CN" w:bidi="ar-SA"/>
        </w:rPr>
        <w:t>存在下列情况之一的，按无效处理：</w:t>
      </w:r>
    </w:p>
    <w:p w14:paraId="1FFDA9E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（1）不符合谈判文件第一部分  谈判须知前附表“供应商资格条件”的；</w:t>
      </w:r>
    </w:p>
    <w:p w14:paraId="00A9E53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（2）未按第11.1.1款“</w:t>
      </w:r>
      <w:r>
        <w:rPr>
          <w:rFonts w:hint="eastAsia" w:ascii="宋体" w:hAnsi="宋体" w:eastAsia="宋体" w:cs="宋体"/>
          <w:color w:val="auto"/>
          <w:kern w:val="2"/>
          <w:sz w:val="24"/>
          <w:szCs w:val="24"/>
          <w:lang w:val="zh-CN" w:eastAsia="zh-CN" w:bidi="ar-SA"/>
        </w:rPr>
        <w:t>资格审查部分</w:t>
      </w:r>
      <w:r>
        <w:rPr>
          <w:rFonts w:hint="eastAsia" w:ascii="宋体" w:hAnsi="宋体" w:eastAsia="宋体" w:cs="宋体"/>
          <w:color w:val="auto"/>
          <w:kern w:val="2"/>
          <w:sz w:val="24"/>
          <w:szCs w:val="24"/>
          <w:lang w:val="en-US" w:eastAsia="zh-CN" w:bidi="ar-SA"/>
        </w:rPr>
        <w:t>”要求提供相关资料的；</w:t>
      </w:r>
    </w:p>
    <w:p w14:paraId="505332C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（3）响应文件没有按谈判文件规定和要求签字、盖章的；</w:t>
      </w:r>
    </w:p>
    <w:p w14:paraId="5CA1F1E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（4）谈判有效期不能满足谈判文件要求的；</w:t>
      </w:r>
    </w:p>
    <w:p w14:paraId="16EA24D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（5）谈判报价超过谈判文件规定的采购预算额度的；</w:t>
      </w:r>
    </w:p>
    <w:p w14:paraId="64863DD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（6）所提供产品的技术规格、技术标准不符合采购项目要求的；</w:t>
      </w:r>
    </w:p>
    <w:p w14:paraId="3FB0ED2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（7）响应文件含有采购人不能接受的附加条件的；</w:t>
      </w:r>
    </w:p>
    <w:p w14:paraId="5811BE5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（8）响应文件不满足谈判文件实质性要求和条件的；</w:t>
      </w:r>
    </w:p>
    <w:p w14:paraId="1A5C6D2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（9）谈判小组认为应按无效谈判处理的其他情况；</w:t>
      </w:r>
    </w:p>
    <w:p w14:paraId="025BC9B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（10）法律、法规规定的其他情形。</w:t>
      </w:r>
    </w:p>
    <w:p w14:paraId="1435BA22">
      <w:pPr>
        <w:pStyle w:val="4"/>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43" w:name="_Toc7233"/>
      <w:bookmarkStart w:id="144" w:name="_Toc1673_WPSOffice_Level3"/>
      <w:bookmarkStart w:id="145" w:name="_Toc17887_WPSOffice_Level3"/>
      <w:bookmarkStart w:id="146" w:name="_Toc11154"/>
      <w:bookmarkStart w:id="147" w:name="_Toc17197"/>
      <w:r>
        <w:rPr>
          <w:rFonts w:hint="eastAsia" w:ascii="宋体" w:hAnsi="宋体" w:eastAsia="宋体" w:cs="宋体"/>
          <w:b/>
          <w:bCs/>
          <w:color w:val="auto"/>
          <w:kern w:val="2"/>
          <w:sz w:val="24"/>
          <w:szCs w:val="24"/>
          <w:lang w:val="en-US" w:eastAsia="zh-CN" w:bidi="ar-SA"/>
        </w:rPr>
        <w:t>19.谈判程序</w:t>
      </w:r>
      <w:bookmarkEnd w:id="143"/>
      <w:bookmarkEnd w:id="144"/>
      <w:bookmarkEnd w:id="145"/>
      <w:bookmarkEnd w:id="146"/>
      <w:bookmarkEnd w:id="147"/>
    </w:p>
    <w:p w14:paraId="7DB8F0E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19.1在谈判过程中，谈判小组所有成员集中与单一供应商分别进行谈判，负责审议所有通过资格条件供应商的响应文件，给予所有参加谈判的供应商平等的谈判机会。供应商应派其代表参加谈判。在谈判过程中谈判的任何一方不得向他人透露与谈判有关的技术资料、价格或其他信息。</w:t>
      </w:r>
    </w:p>
    <w:p w14:paraId="6A84A0E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19.2在谈判过程中，</w:t>
      </w:r>
      <w:r>
        <w:rPr>
          <w:rFonts w:hint="eastAsia" w:ascii="宋体" w:hAnsi="宋体" w:eastAsia="宋体" w:cs="宋体"/>
          <w:color w:val="auto"/>
          <w:kern w:val="2"/>
          <w:sz w:val="24"/>
          <w:szCs w:val="24"/>
          <w:u w:val="none"/>
          <w:lang w:val="en-US" w:eastAsia="zh-CN" w:bidi="ar-SA"/>
        </w:rPr>
        <w:t>谈判小组可以根据谈判文件和谈判情况实质性变动技术标准及要求中的技术、服务要求以及合同草案条款，但不得变动谈判文件中的其他内容。</w:t>
      </w:r>
      <w:r>
        <w:rPr>
          <w:rFonts w:hint="eastAsia" w:ascii="宋体" w:hAnsi="宋体" w:eastAsia="宋体" w:cs="宋体"/>
          <w:color w:val="auto"/>
          <w:kern w:val="2"/>
          <w:sz w:val="24"/>
          <w:szCs w:val="24"/>
          <w:lang w:val="en-US" w:eastAsia="zh-CN" w:bidi="ar-SA"/>
        </w:rPr>
        <w:t>实质性变动的内容，须经采购人代表确认，谈判小组将以书面形式将修改内容同时通知所有参加谈判的供应商。</w:t>
      </w:r>
    </w:p>
    <w:p w14:paraId="3022426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lang w:val="en-US" w:eastAsia="zh-CN" w:bidi="ar-SA"/>
        </w:rPr>
        <w:t>19.3</w:t>
      </w:r>
      <w:r>
        <w:rPr>
          <w:rFonts w:hint="eastAsia" w:ascii="宋体" w:hAnsi="宋体" w:eastAsia="宋体" w:cs="宋体"/>
          <w:color w:val="auto"/>
          <w:kern w:val="2"/>
          <w:sz w:val="24"/>
          <w:szCs w:val="24"/>
          <w:u w:val="none"/>
          <w:lang w:val="en-US" w:eastAsia="zh-CN" w:bidi="ar-SA"/>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66D0D4F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19.4响应文件中首次报价表内的报价为首次报价，根据技术、服务等满足谈判文件要求的情况，供应商可进行二次报价。</w:t>
      </w:r>
    </w:p>
    <w:p w14:paraId="3621FBB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u w:val="single" w:color="auto"/>
          <w:lang w:val="en-US" w:eastAsia="zh-CN" w:bidi="ar-SA"/>
        </w:rPr>
      </w:pPr>
      <w:r>
        <w:rPr>
          <w:rFonts w:hint="eastAsia" w:ascii="宋体" w:hAnsi="宋体" w:eastAsia="宋体" w:cs="宋体"/>
          <w:color w:val="auto"/>
          <w:kern w:val="2"/>
          <w:sz w:val="24"/>
          <w:szCs w:val="24"/>
          <w:lang w:val="en-US" w:eastAsia="zh-CN" w:bidi="ar-SA"/>
        </w:rPr>
        <w:t>19.5</w:t>
      </w:r>
      <w:r>
        <w:rPr>
          <w:rFonts w:hint="eastAsia" w:ascii="宋体" w:hAnsi="宋体" w:eastAsia="宋体" w:cs="宋体"/>
          <w:color w:val="auto"/>
          <w:kern w:val="2"/>
          <w:sz w:val="24"/>
          <w:szCs w:val="24"/>
          <w:u w:val="none" w:color="auto"/>
          <w:lang w:val="en-US" w:eastAsia="zh-CN" w:bidi="ar-SA"/>
        </w:rPr>
        <w:t>谈判小组认为供应商的最后报价明显低于其他通过有效性、完整性、响应程度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14:paraId="0B0DBC1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19.6谈判工作在有关部门的监督下依法开展，任何单位和个人不得非法干预、影响谈判工作和谈判结果。</w:t>
      </w:r>
    </w:p>
    <w:p w14:paraId="20794CE3">
      <w:pPr>
        <w:pStyle w:val="4"/>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48" w:name="_Toc13352"/>
      <w:bookmarkStart w:id="149" w:name="_Toc2176"/>
      <w:bookmarkStart w:id="150" w:name="_Toc24288_WPSOffice_Level3"/>
      <w:bookmarkStart w:id="151" w:name="_Toc25644_WPSOffice_Level3"/>
      <w:bookmarkStart w:id="152" w:name="_Toc14903"/>
      <w:r>
        <w:rPr>
          <w:rFonts w:hint="eastAsia" w:ascii="宋体" w:hAnsi="宋体" w:eastAsia="宋体" w:cs="宋体"/>
          <w:b/>
          <w:bCs/>
          <w:color w:val="auto"/>
          <w:kern w:val="2"/>
          <w:sz w:val="24"/>
          <w:szCs w:val="24"/>
          <w:lang w:val="en-US" w:eastAsia="zh-CN" w:bidi="ar-SA"/>
        </w:rPr>
        <w:t>20.澄清</w:t>
      </w:r>
      <w:bookmarkEnd w:id="148"/>
      <w:bookmarkEnd w:id="149"/>
      <w:bookmarkEnd w:id="150"/>
      <w:bookmarkEnd w:id="151"/>
      <w:bookmarkEnd w:id="152"/>
    </w:p>
    <w:p w14:paraId="19C247D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14:paraId="2F27FE5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供应商的澄清、说明或者更正响应文件应当采用书面形式，由法定代表人或其授权代表签字或者加盖公章。由授权代表签字的，应当附法定代表人授权书。供应商为自然人的，应当由本人签字并附身份证明，供应商的澄清、说明或者更正不得超出谈判文件的范围或者改变响应文件的实质性内容。</w:t>
      </w:r>
    </w:p>
    <w:p w14:paraId="63BAC9A5">
      <w:pPr>
        <w:pStyle w:val="4"/>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53" w:name="_Toc18040"/>
      <w:bookmarkStart w:id="154" w:name="_Toc6898_WPSOffice_Level3"/>
      <w:bookmarkStart w:id="155" w:name="_Toc4997"/>
      <w:bookmarkStart w:id="156" w:name="_Toc13262_WPSOffice_Level3"/>
      <w:bookmarkStart w:id="157" w:name="_Toc8374"/>
      <w:r>
        <w:rPr>
          <w:rFonts w:hint="eastAsia" w:ascii="宋体" w:hAnsi="宋体" w:eastAsia="宋体" w:cs="宋体"/>
          <w:b/>
          <w:bCs/>
          <w:color w:val="auto"/>
          <w:kern w:val="2"/>
          <w:sz w:val="24"/>
          <w:szCs w:val="24"/>
          <w:lang w:val="en-US" w:eastAsia="zh-CN" w:bidi="ar-SA"/>
        </w:rPr>
        <w:t>21.退出谈判</w:t>
      </w:r>
      <w:bookmarkEnd w:id="153"/>
      <w:bookmarkEnd w:id="154"/>
      <w:bookmarkEnd w:id="155"/>
      <w:bookmarkEnd w:id="156"/>
      <w:bookmarkEnd w:id="157"/>
    </w:p>
    <w:p w14:paraId="258849E9">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在提交最后报价之前，可以根据谈判情况退出谈判，并由法定代表人或其授权代表签字或加盖公章书面通知采购人、采购代理机构或者谈判小组。采购人、采购代理机构按规定退还退出谈判的供应商的保证金。</w:t>
      </w:r>
    </w:p>
    <w:p w14:paraId="55C2B940">
      <w:pPr>
        <w:pStyle w:val="4"/>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58" w:name="_Toc32003"/>
      <w:bookmarkStart w:id="159" w:name="_Toc5048_WPSOffice_Level3"/>
      <w:bookmarkStart w:id="160" w:name="_Toc18169_WPSOffice_Level3"/>
      <w:bookmarkStart w:id="161" w:name="_Toc12522"/>
      <w:bookmarkStart w:id="162" w:name="_Toc14748"/>
      <w:r>
        <w:rPr>
          <w:rFonts w:hint="eastAsia" w:ascii="宋体" w:hAnsi="宋体" w:eastAsia="宋体" w:cs="宋体"/>
          <w:b/>
          <w:bCs/>
          <w:color w:val="auto"/>
          <w:kern w:val="2"/>
          <w:sz w:val="24"/>
          <w:szCs w:val="24"/>
          <w:lang w:val="en-US" w:eastAsia="zh-CN" w:bidi="ar-SA"/>
        </w:rPr>
        <w:t>22.最后报价</w:t>
      </w:r>
      <w:bookmarkEnd w:id="158"/>
      <w:bookmarkEnd w:id="159"/>
      <w:bookmarkEnd w:id="160"/>
      <w:bookmarkEnd w:id="161"/>
      <w:bookmarkEnd w:id="162"/>
    </w:p>
    <w:p w14:paraId="4C47991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22.1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14:paraId="236905C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u w:val="none" w:color="auto"/>
          <w:lang w:val="en-US" w:eastAsia="zh-CN" w:bidi="ar-SA"/>
        </w:rPr>
      </w:pPr>
      <w:r>
        <w:rPr>
          <w:rFonts w:hint="eastAsia" w:ascii="宋体" w:hAnsi="宋体" w:eastAsia="宋体" w:cs="宋体"/>
          <w:color w:val="auto"/>
          <w:kern w:val="2"/>
          <w:sz w:val="24"/>
          <w:szCs w:val="24"/>
          <w:u w:val="none" w:color="auto"/>
          <w:lang w:val="en-US" w:eastAsia="zh-CN" w:bidi="ar-SA"/>
        </w:rPr>
        <w:t>22.2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6D25520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22.3最后报价的评审</w:t>
      </w:r>
    </w:p>
    <w:p w14:paraId="0C38731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最后报价出现大写金额和小写金额不一致的，以大写金额为准。</w:t>
      </w:r>
    </w:p>
    <w:p w14:paraId="6C0C04C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22.4</w:t>
      </w:r>
      <w:r>
        <w:rPr>
          <w:rFonts w:hint="eastAsia" w:ascii="宋体" w:hAnsi="宋体" w:eastAsia="宋体" w:cs="宋体"/>
          <w:color w:val="auto"/>
          <w:kern w:val="2"/>
          <w:sz w:val="24"/>
          <w:szCs w:val="24"/>
          <w:u w:val="none" w:color="auto"/>
          <w:lang w:val="en-US" w:eastAsia="zh-CN" w:bidi="ar-SA"/>
        </w:rPr>
        <w:t>最后报价如果高于其响应文件中的首次报价的，以最后报价为准。</w:t>
      </w:r>
    </w:p>
    <w:p w14:paraId="1EE999F2">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22.5采购人、采购代理机构在按规定公布供应商的最后报价前，不得公开供应商的技术资料、价格和其他信息。</w:t>
      </w:r>
    </w:p>
    <w:p w14:paraId="448C67D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u w:val="none" w:color="auto"/>
          <w:lang w:val="en-US" w:eastAsia="zh-CN" w:bidi="ar-SA"/>
        </w:rPr>
      </w:pPr>
      <w:r>
        <w:rPr>
          <w:rFonts w:hint="eastAsia" w:ascii="宋体" w:hAnsi="宋体" w:eastAsia="宋体" w:cs="宋体"/>
          <w:color w:val="auto"/>
          <w:kern w:val="2"/>
          <w:sz w:val="24"/>
          <w:szCs w:val="24"/>
          <w:u w:val="none" w:color="auto"/>
          <w:lang w:val="en-US" w:eastAsia="zh-CN" w:bidi="ar-SA"/>
        </w:rPr>
        <w:t>22.6若最后报价时出现最低价相同的情形，谈判小组应召集报价相同的供应商进行再次报价（或直接提出成交候选人）（由采购人、代理机构自主选择）。</w:t>
      </w:r>
    </w:p>
    <w:p w14:paraId="22C9570B">
      <w:pPr>
        <w:pStyle w:val="4"/>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63" w:name="_Toc7275"/>
      <w:bookmarkStart w:id="164" w:name="_Toc8242_WPSOffice_Level3"/>
      <w:bookmarkStart w:id="165" w:name="_Toc16163"/>
      <w:bookmarkStart w:id="166" w:name="_Toc1797"/>
      <w:bookmarkStart w:id="167" w:name="_Toc16084_WPSOffice_Level3"/>
      <w:r>
        <w:rPr>
          <w:rFonts w:hint="eastAsia" w:ascii="宋体" w:hAnsi="宋体" w:eastAsia="宋体" w:cs="宋体"/>
          <w:b/>
          <w:bCs/>
          <w:color w:val="auto"/>
          <w:kern w:val="2"/>
          <w:sz w:val="24"/>
          <w:szCs w:val="24"/>
          <w:lang w:val="en-US" w:eastAsia="zh-CN" w:bidi="ar-SA"/>
        </w:rPr>
        <w:t>23.确定成交供应商</w:t>
      </w:r>
      <w:bookmarkEnd w:id="163"/>
      <w:bookmarkEnd w:id="164"/>
      <w:bookmarkEnd w:id="165"/>
      <w:bookmarkEnd w:id="166"/>
      <w:bookmarkEnd w:id="167"/>
    </w:p>
    <w:p w14:paraId="77EA916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23.1谈判小组应当从质量和服务均能满足采购文件实质性响应要求的供应商中，按照最后报价由低到高的顺序提出3名以上成交候选人，并编写评审报告。供应商最后报价涉及算术修正，按上款规定由低到高顺序排序。</w:t>
      </w:r>
    </w:p>
    <w:p w14:paraId="0EF097D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7557921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23.3采购代理机构应当在评审结束后2个工作日内将评审报告送采购人确认。</w:t>
      </w:r>
    </w:p>
    <w:p w14:paraId="50F75522">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23.4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14:paraId="21263C4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23.5采购人逾期未确定成交供应商且不提出异议的，视为确定评审报告提出的最后报价最低的供应商为成交供应商。</w:t>
      </w:r>
    </w:p>
    <w:p w14:paraId="2C0E8C75">
      <w:pPr>
        <w:pStyle w:val="4"/>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68" w:name="_Toc24684"/>
      <w:bookmarkStart w:id="169" w:name="_Toc10295"/>
      <w:bookmarkStart w:id="170" w:name="_Toc20869_WPSOffice_Level3"/>
      <w:bookmarkStart w:id="171" w:name="_Toc17639_WPSOffice_Level3"/>
      <w:bookmarkStart w:id="172" w:name="_Toc22206"/>
      <w:r>
        <w:rPr>
          <w:rFonts w:hint="eastAsia" w:ascii="宋体" w:hAnsi="宋体" w:eastAsia="宋体" w:cs="宋体"/>
          <w:b/>
          <w:bCs/>
          <w:color w:val="auto"/>
          <w:kern w:val="2"/>
          <w:sz w:val="24"/>
          <w:szCs w:val="24"/>
          <w:lang w:val="en-US" w:eastAsia="zh-CN" w:bidi="ar-SA"/>
        </w:rPr>
        <w:t>24.重新评审</w:t>
      </w:r>
      <w:bookmarkEnd w:id="168"/>
      <w:bookmarkEnd w:id="169"/>
      <w:bookmarkEnd w:id="170"/>
      <w:bookmarkEnd w:id="171"/>
      <w:bookmarkEnd w:id="172"/>
    </w:p>
    <w:p w14:paraId="04C8DDD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24.1除资格审查认定错误和价格计算错误外，采购人、采购代理机构不以任何理由组织重新评审。</w:t>
      </w:r>
    </w:p>
    <w:p w14:paraId="15AF415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24.2采购人、采购代理机构发现谈判小组未按照谈判文件规定的评定成交标准进行评审的，应当重新开展采购活动。</w:t>
      </w:r>
    </w:p>
    <w:p w14:paraId="5E5B3E47">
      <w:pPr>
        <w:pStyle w:val="4"/>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73" w:name="_Toc1388_WPSOffice_Level3"/>
      <w:bookmarkStart w:id="174" w:name="_Toc2122"/>
      <w:bookmarkStart w:id="175" w:name="_Toc26374_WPSOffice_Level3"/>
      <w:bookmarkStart w:id="176" w:name="_Toc3509"/>
      <w:bookmarkStart w:id="177" w:name="_Toc12673"/>
      <w:r>
        <w:rPr>
          <w:rFonts w:hint="eastAsia" w:ascii="宋体" w:hAnsi="宋体" w:eastAsia="宋体" w:cs="宋体"/>
          <w:b/>
          <w:bCs/>
          <w:color w:val="auto"/>
          <w:kern w:val="2"/>
          <w:sz w:val="24"/>
          <w:szCs w:val="24"/>
          <w:lang w:val="en-US" w:eastAsia="zh-CN" w:bidi="ar-SA"/>
        </w:rPr>
        <w:t>25.谈判终止</w:t>
      </w:r>
      <w:bookmarkEnd w:id="173"/>
      <w:bookmarkEnd w:id="174"/>
      <w:bookmarkEnd w:id="175"/>
      <w:bookmarkEnd w:id="176"/>
      <w:bookmarkEnd w:id="177"/>
    </w:p>
    <w:p w14:paraId="554F821A">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25.1出现下列情形之一的，采购人、采购代理机构应当终止竞争性谈判采购活动，在指定的媒体上发布项目终止公告并说明原因，重新开展采购活动：</w:t>
      </w:r>
    </w:p>
    <w:p w14:paraId="6F5B216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（1）因情况变化，不再符合规定的竞争性谈判采购方式适用情形的；</w:t>
      </w:r>
    </w:p>
    <w:p w14:paraId="03461F9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（2）出现影响采购公正的违法、违规行为的；</w:t>
      </w:r>
    </w:p>
    <w:p w14:paraId="7C843B0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（3）在采购过程中符合谈判要求的供应商或者报价未超过采购预算的供应商不足3家的，或者提交最后报价的供应商少于3家的；</w:t>
      </w:r>
    </w:p>
    <w:p w14:paraId="7AA7C13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（4）因重大变故，采购任务取消的。</w:t>
      </w:r>
    </w:p>
    <w:p w14:paraId="539B0608">
      <w:pPr>
        <w:pStyle w:val="4"/>
        <w:keepNext/>
        <w:keepLines/>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78" w:name="_Toc18635_WPSOffice_Level3"/>
      <w:bookmarkStart w:id="179" w:name="_Toc32730"/>
      <w:bookmarkStart w:id="180" w:name="_Toc3325"/>
      <w:bookmarkStart w:id="181" w:name="_Toc20688_WPSOffice_Level3"/>
      <w:bookmarkStart w:id="182" w:name="_Toc11721"/>
      <w:r>
        <w:rPr>
          <w:rFonts w:hint="eastAsia" w:ascii="宋体" w:hAnsi="宋体" w:eastAsia="宋体" w:cs="宋体"/>
          <w:b/>
          <w:bCs/>
          <w:color w:val="auto"/>
          <w:kern w:val="2"/>
          <w:sz w:val="24"/>
          <w:szCs w:val="24"/>
          <w:lang w:val="en-US" w:eastAsia="zh-CN" w:bidi="ar-SA"/>
        </w:rPr>
        <w:t>26.串通情形认定及处理</w:t>
      </w:r>
      <w:bookmarkEnd w:id="178"/>
      <w:bookmarkEnd w:id="179"/>
      <w:bookmarkEnd w:id="180"/>
      <w:bookmarkEnd w:id="181"/>
      <w:bookmarkEnd w:id="182"/>
    </w:p>
    <w:p w14:paraId="69ECAB37">
      <w:pPr>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26.1供应商不得与采购人、采购代理机构、其他供应商恶意串通；不得向采购人、采购代理机构或者谈判小组成员行贿或者提供其他不正当利益；不得提供虚假材料谋取成交；不得以任何方式干扰、影响</w:t>
      </w:r>
      <w:r>
        <w:rPr>
          <w:rFonts w:hint="eastAsia" w:ascii="宋体" w:hAnsi="宋体" w:eastAsia="宋体" w:cs="宋体"/>
          <w:color w:val="auto"/>
          <w:sz w:val="24"/>
          <w:szCs w:val="24"/>
          <w:lang w:val="en-US" w:eastAsia="zh-CN"/>
        </w:rPr>
        <w:t>采购工作。</w:t>
      </w:r>
    </w:p>
    <w:p w14:paraId="55B695C0">
      <w:pPr>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26.2</w:t>
      </w:r>
      <w:r>
        <w:rPr>
          <w:rFonts w:hint="eastAsia" w:ascii="宋体" w:hAnsi="宋体" w:eastAsia="宋体" w:cs="宋体"/>
          <w:b/>
          <w:bCs/>
          <w:color w:val="auto"/>
          <w:sz w:val="24"/>
          <w:szCs w:val="24"/>
          <w:lang w:val="en-US" w:eastAsia="zh-CN"/>
        </w:rPr>
        <w:t>有下列情形之一的，成交无效，</w:t>
      </w:r>
      <w:r>
        <w:rPr>
          <w:rFonts w:hint="eastAsia" w:ascii="宋体" w:hAnsi="宋体" w:eastAsia="宋体" w:cs="宋体"/>
          <w:color w:val="auto"/>
          <w:sz w:val="24"/>
          <w:szCs w:val="24"/>
          <w:lang w:val="en-US" w:eastAsia="zh-CN"/>
        </w:rPr>
        <w:t>对供应商</w:t>
      </w:r>
      <w:r>
        <w:rPr>
          <w:rFonts w:hint="eastAsia" w:ascii="宋体" w:hAnsi="宋体" w:eastAsia="宋体" w:cs="宋体"/>
          <w:color w:val="auto"/>
          <w:sz w:val="24"/>
          <w:szCs w:val="24"/>
          <w:lang w:val="zh-CN" w:eastAsia="zh-CN"/>
        </w:rPr>
        <w:t>依照《政府采购法》第七十七条的规定追究法律责任：</w:t>
      </w:r>
    </w:p>
    <w:p w14:paraId="12F2E03C">
      <w:pPr>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lang w:val="en-US" w:eastAsia="zh-CN"/>
        </w:rPr>
      </w:pPr>
      <w:bookmarkStart w:id="183" w:name="_Toc34637770"/>
      <w:bookmarkStart w:id="184" w:name="_Toc22761"/>
      <w:r>
        <w:rPr>
          <w:rFonts w:hint="eastAsia" w:ascii="宋体" w:hAnsi="宋体" w:eastAsia="宋体" w:cs="宋体"/>
          <w:color w:val="auto"/>
          <w:sz w:val="24"/>
          <w:szCs w:val="24"/>
          <w:lang w:val="en-US" w:eastAsia="zh-CN"/>
        </w:rPr>
        <w:t xml:space="preserve">  （1）供应商直接或者间接从采购人或者采购代理机构处获得其他供应商的相关情况并修改其响应文件；</w:t>
      </w:r>
    </w:p>
    <w:p w14:paraId="54555B0D">
      <w:pPr>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（2）供应商按照采购人或者采购代理机构的授意撤换、修改响应文件；</w:t>
      </w:r>
    </w:p>
    <w:p w14:paraId="1DF8E40B">
      <w:pPr>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（3）供应商之间协商报价、技术方案等响应文件的实质性内容；</w:t>
      </w:r>
    </w:p>
    <w:p w14:paraId="539C03B1">
      <w:pPr>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（4）属于同一集团、协会、商会等组织成员的供应商按照该组织要求协同参加采购活动；</w:t>
      </w:r>
    </w:p>
    <w:p w14:paraId="28223A8C">
      <w:pPr>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（5）供应商之间事先约定由某一特定供应商成交；</w:t>
      </w:r>
    </w:p>
    <w:p w14:paraId="16FAB687">
      <w:pPr>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（6）供应商之间商定部分供应商放弃参加采购活动或者放弃成交；</w:t>
      </w:r>
    </w:p>
    <w:p w14:paraId="698BE74A">
      <w:pPr>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（7）供应商与采购人或者采购代理机构之间、供应商相互之间，为谋求特定供应商成交或者排斥其他供应商的其他串通行为。</w:t>
      </w:r>
    </w:p>
    <w:p w14:paraId="28BA0627">
      <w:pPr>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26.3 </w:t>
      </w:r>
      <w:r>
        <w:rPr>
          <w:rFonts w:hint="eastAsia" w:ascii="宋体" w:hAnsi="宋体" w:eastAsia="宋体" w:cs="宋体"/>
          <w:b/>
          <w:bCs/>
          <w:color w:val="auto"/>
          <w:sz w:val="24"/>
          <w:szCs w:val="24"/>
          <w:lang w:val="en-US" w:eastAsia="zh-CN"/>
        </w:rPr>
        <w:t>有下列情形之一的，视为供应商串通，其响应无效：</w:t>
      </w:r>
    </w:p>
    <w:p w14:paraId="1C5532FD">
      <w:pPr>
        <w:keepNext w:val="0"/>
        <w:keepLines w:val="0"/>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（1）不同供应商的响应文件由同一单位或者个人编制；</w:t>
      </w:r>
    </w:p>
    <w:p w14:paraId="2A874DED">
      <w:pPr>
        <w:keepNext w:val="0"/>
        <w:keepLines w:val="0"/>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（2）不同供应商委托同一单位或者个人办理谈判事宜；</w:t>
      </w:r>
    </w:p>
    <w:p w14:paraId="16C3C919">
      <w:pPr>
        <w:keepNext w:val="0"/>
        <w:keepLines w:val="0"/>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（3）不同供应商的响应文件载明的项目管理成员或者联系人员为同一人；</w:t>
      </w:r>
    </w:p>
    <w:p w14:paraId="29A1F617">
      <w:pPr>
        <w:keepNext w:val="0"/>
        <w:keepLines w:val="0"/>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（4）不同供应商的响应文件异常一致或者报价呈规律性差异；</w:t>
      </w:r>
    </w:p>
    <w:p w14:paraId="0DFBC25F">
      <w:pPr>
        <w:keepNext w:val="0"/>
        <w:keepLines w:val="0"/>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（5）不同供应商的响应文件相互混装；</w:t>
      </w:r>
    </w:p>
    <w:p w14:paraId="23EC16E0">
      <w:pPr>
        <w:keepNext w:val="0"/>
        <w:keepLines w:val="0"/>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（6）不同供应商的保证金从同一单位或者个人的账户转出。</w:t>
      </w:r>
    </w:p>
    <w:p w14:paraId="65ED814D">
      <w:pPr>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color w:val="auto"/>
          <w:kern w:val="2"/>
          <w:sz w:val="28"/>
          <w:szCs w:val="28"/>
          <w:highlight w:val="none"/>
          <w:lang w:val="en-US" w:eastAsia="zh-CN" w:bidi="ar-SA"/>
        </w:rPr>
      </w:pPr>
      <w:bookmarkStart w:id="185" w:name="_Toc27536"/>
      <w:r>
        <w:rPr>
          <w:rFonts w:hint="eastAsia" w:ascii="宋体" w:hAnsi="宋体" w:eastAsia="宋体" w:cs="宋体"/>
          <w:b/>
          <w:bCs/>
          <w:color w:val="auto"/>
          <w:kern w:val="2"/>
          <w:sz w:val="28"/>
          <w:szCs w:val="28"/>
          <w:highlight w:val="none"/>
          <w:lang w:val="en-US" w:eastAsia="zh-CN" w:bidi="ar-SA"/>
        </w:rPr>
        <w:t>六、成交结果信息公布与授予合同</w:t>
      </w:r>
      <w:bookmarkEnd w:id="183"/>
      <w:bookmarkEnd w:id="184"/>
      <w:bookmarkEnd w:id="185"/>
    </w:p>
    <w:p w14:paraId="4F7F2A83">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186" w:name="_Toc30784_WPSOffice_Level3"/>
      <w:bookmarkStart w:id="187" w:name="_Toc947"/>
      <w:bookmarkStart w:id="188" w:name="_Toc8130"/>
      <w:bookmarkStart w:id="189" w:name="_Toc23126"/>
      <w:bookmarkStart w:id="190" w:name="_Toc8339_WPSOffice_Level3"/>
      <w:r>
        <w:rPr>
          <w:rFonts w:hint="eastAsia" w:ascii="宋体" w:hAnsi="宋体" w:eastAsia="宋体" w:cs="宋体"/>
          <w:b/>
          <w:bCs/>
          <w:color w:val="auto"/>
          <w:kern w:val="2"/>
          <w:sz w:val="24"/>
          <w:szCs w:val="24"/>
          <w:lang w:val="en-US" w:eastAsia="zh-CN" w:bidi="ar-SA"/>
        </w:rPr>
        <w:t>27.成交信息的公布与通知</w:t>
      </w:r>
      <w:bookmarkEnd w:id="186"/>
      <w:bookmarkEnd w:id="187"/>
      <w:bookmarkEnd w:id="188"/>
      <w:bookmarkEnd w:id="189"/>
      <w:bookmarkEnd w:id="190"/>
    </w:p>
    <w:p w14:paraId="0F9C0EF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highlight w:val="none"/>
          <w:lang w:val="en-US" w:eastAsia="zh-CN" w:bidi="ar-SA"/>
        </w:rPr>
        <w:t>27.1采购代理机构应自确定成交供应商之日起2个工作日内在</w:t>
      </w:r>
      <w:r>
        <w:rPr>
          <w:rFonts w:hint="eastAsia" w:ascii="宋体" w:hAnsi="宋体" w:eastAsia="宋体" w:cs="宋体"/>
          <w:color w:val="auto"/>
          <w:sz w:val="24"/>
          <w:szCs w:val="24"/>
          <w:highlight w:val="none"/>
          <w:lang w:val="zh-CN" w:eastAsia="zh-CN"/>
        </w:rPr>
        <w:t>《青海省电子招标投标公共服务平台》、《青海项目信息网》</w:t>
      </w:r>
      <w:r>
        <w:rPr>
          <w:rFonts w:hint="eastAsia" w:ascii="宋体" w:hAnsi="宋体" w:eastAsia="宋体" w:cs="宋体"/>
          <w:color w:val="auto"/>
          <w:kern w:val="2"/>
          <w:sz w:val="24"/>
          <w:szCs w:val="24"/>
          <w:highlight w:val="none"/>
          <w:lang w:val="en-US" w:eastAsia="zh-CN" w:bidi="ar-SA"/>
        </w:rPr>
        <w:t>上公告成交结果，</w:t>
      </w:r>
      <w:r>
        <w:rPr>
          <w:rFonts w:hint="eastAsia" w:ascii="宋体" w:hAnsi="宋体" w:eastAsia="宋体" w:cs="宋体"/>
          <w:color w:val="auto"/>
          <w:kern w:val="2"/>
          <w:sz w:val="24"/>
          <w:szCs w:val="24"/>
          <w:lang w:val="en-US" w:eastAsia="zh-CN" w:bidi="ar-SA"/>
        </w:rPr>
        <w:t>同时向成交供应商发出《成交通知书》。成交通知书对采购人和成交供应商具有同等法律效力。</w:t>
      </w:r>
    </w:p>
    <w:p w14:paraId="2EE5BA8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27.2成交结果公告应当包括以下内容：</w:t>
      </w:r>
    </w:p>
    <w:p w14:paraId="35377C2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（1）采购人和采购代理机构的名称、地址和联系方式；</w:t>
      </w:r>
    </w:p>
    <w:p w14:paraId="4E813AE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（2）项目名称和项目编号；</w:t>
      </w:r>
    </w:p>
    <w:p w14:paraId="20B38EA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（3）成交供应商名称、地址和成交金额；</w:t>
      </w:r>
    </w:p>
    <w:p w14:paraId="7F93744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（4）主要成交标的的名称、数量、单价、服务要求；</w:t>
      </w:r>
    </w:p>
    <w:p w14:paraId="7B3CD78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（5）谈判小组成员名单。</w:t>
      </w:r>
    </w:p>
    <w:p w14:paraId="505CD77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27.3《成交通知书》发出后，采购人不得违法改变采购结果，成交供应商无正当理由不得放弃。</w:t>
      </w:r>
    </w:p>
    <w:p w14:paraId="25D79A4E">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191" w:name="_Toc20586"/>
      <w:bookmarkStart w:id="192" w:name="_Toc4510"/>
      <w:bookmarkStart w:id="193" w:name="_Toc13860_WPSOffice_Level3"/>
      <w:bookmarkStart w:id="194" w:name="_Toc5068_WPSOffice_Level3"/>
      <w:bookmarkStart w:id="195" w:name="_Toc29441"/>
      <w:r>
        <w:rPr>
          <w:rFonts w:hint="eastAsia" w:ascii="宋体" w:hAnsi="宋体" w:eastAsia="宋体" w:cs="宋体"/>
          <w:b/>
          <w:bCs/>
          <w:color w:val="auto"/>
          <w:kern w:val="2"/>
          <w:sz w:val="24"/>
          <w:szCs w:val="24"/>
          <w:lang w:val="en-US" w:eastAsia="zh-CN" w:bidi="ar-SA"/>
        </w:rPr>
        <w:t>28.授予合同</w:t>
      </w:r>
      <w:bookmarkEnd w:id="191"/>
      <w:bookmarkEnd w:id="192"/>
      <w:bookmarkEnd w:id="193"/>
      <w:bookmarkEnd w:id="194"/>
      <w:bookmarkEnd w:id="195"/>
    </w:p>
    <w:p w14:paraId="25EB48A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28.1谈判文件、成交供应商的响应文件及其补充的响应文件、成交通知书等均为签订采购合同的依据。</w:t>
      </w:r>
    </w:p>
    <w:p w14:paraId="210F3E3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28.2采购人与成交供应商双方应当自《成交通知书》发出之日起30日内，按照谈判文件确定的合同文本以及采购标的、规格型号、采购金额、采购数量、技术和服务要求等事项签订采购合同。</w:t>
      </w:r>
    </w:p>
    <w:p w14:paraId="2D6848A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28.3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14:paraId="43876263">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196" w:name="_Toc16258_WPSOffice_Level3"/>
      <w:bookmarkStart w:id="197" w:name="_Toc16374"/>
      <w:bookmarkStart w:id="198" w:name="_Toc8740_WPSOffice_Level3"/>
      <w:bookmarkStart w:id="199" w:name="_Toc22051"/>
      <w:bookmarkStart w:id="200" w:name="_Toc32538"/>
      <w:bookmarkStart w:id="201" w:name="_Toc325726030"/>
      <w:bookmarkStart w:id="202" w:name="_Toc376936761"/>
      <w:r>
        <w:rPr>
          <w:rFonts w:hint="eastAsia" w:ascii="宋体" w:hAnsi="宋体" w:eastAsia="宋体" w:cs="宋体"/>
          <w:b/>
          <w:bCs/>
          <w:color w:val="auto"/>
          <w:kern w:val="2"/>
          <w:sz w:val="24"/>
          <w:szCs w:val="24"/>
          <w:lang w:val="en-US" w:eastAsia="zh-CN" w:bidi="ar-SA"/>
        </w:rPr>
        <w:t>29.履约验收</w:t>
      </w:r>
      <w:bookmarkEnd w:id="196"/>
      <w:bookmarkEnd w:id="197"/>
      <w:bookmarkEnd w:id="198"/>
      <w:bookmarkEnd w:id="199"/>
      <w:bookmarkEnd w:id="200"/>
    </w:p>
    <w:p w14:paraId="0687B24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29.1</w:t>
      </w:r>
      <w:r>
        <w:rPr>
          <w:rFonts w:hint="eastAsia" w:ascii="宋体" w:hAnsi="宋体" w:eastAsia="宋体" w:cs="宋体"/>
          <w:color w:val="auto"/>
          <w:kern w:val="2"/>
          <w:sz w:val="24"/>
          <w:szCs w:val="24"/>
          <w:u w:val="none"/>
          <w:lang w:val="en-US" w:eastAsia="zh-CN" w:bidi="ar-SA"/>
        </w:rPr>
        <w:t>履约保证金金额：甲、乙双方自行约定</w:t>
      </w:r>
    </w:p>
    <w:p w14:paraId="1F68851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29.2采购人或者采购代理机构应当按照采购合同规定的技术、服务、安全标准组织对供应商履约情况进行验收，并出具验收书。验收书应当包括每一项技术、服务、安全标准的履约情况。</w:t>
      </w:r>
    </w:p>
    <w:p w14:paraId="3809B6C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29.3采购人可以邀请参加本项目的其他供应商或者第三方机构参与验收。参与验收的供应商或者第三方机构的意见作为验收书的参考资料一并存档。</w:t>
      </w:r>
    </w:p>
    <w:p w14:paraId="79E0EE2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29.4采购人应当加强履约管理，并按照采购合同约定，及时向成交供应商支付采购资金。对于成交供应商违反采购合同约定的行为，采购人应当及时处理，依法追究其违约责任。</w:t>
      </w:r>
    </w:p>
    <w:p w14:paraId="306F6F6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29.5采购人、采购代理机构应当建立真实完整的谈判档案，妥善保存谈判的相关资料。</w:t>
      </w:r>
    </w:p>
    <w:p w14:paraId="5A2638E0">
      <w:pPr>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color w:val="auto"/>
          <w:kern w:val="2"/>
          <w:sz w:val="28"/>
          <w:szCs w:val="28"/>
          <w:highlight w:val="none"/>
          <w:lang w:val="en-US" w:eastAsia="zh-CN" w:bidi="ar-SA"/>
        </w:rPr>
      </w:pPr>
      <w:bookmarkStart w:id="203" w:name="_Toc4328"/>
      <w:bookmarkStart w:id="204" w:name="_Toc31604_WPSOffice_Level2"/>
      <w:bookmarkStart w:id="205" w:name="_Toc3517_WPSOffice_Level2"/>
      <w:bookmarkStart w:id="206" w:name="_Toc2658_WPSOffice_Level2"/>
      <w:bookmarkStart w:id="207" w:name="_Toc6881"/>
      <w:bookmarkStart w:id="208" w:name="_Toc10745"/>
      <w:bookmarkStart w:id="209" w:name="_Toc32362"/>
      <w:r>
        <w:rPr>
          <w:rFonts w:hint="eastAsia" w:ascii="宋体" w:hAnsi="宋体" w:eastAsia="宋体" w:cs="宋体"/>
          <w:b/>
          <w:bCs/>
          <w:color w:val="auto"/>
          <w:kern w:val="2"/>
          <w:sz w:val="28"/>
          <w:szCs w:val="28"/>
          <w:highlight w:val="none"/>
          <w:lang w:val="en-US" w:eastAsia="zh-CN" w:bidi="ar-SA"/>
        </w:rPr>
        <w:t>七、询问与质疑</w:t>
      </w:r>
      <w:bookmarkEnd w:id="201"/>
      <w:bookmarkEnd w:id="202"/>
      <w:bookmarkEnd w:id="203"/>
      <w:bookmarkEnd w:id="204"/>
      <w:bookmarkEnd w:id="205"/>
      <w:bookmarkEnd w:id="206"/>
      <w:bookmarkEnd w:id="207"/>
      <w:bookmarkEnd w:id="208"/>
      <w:bookmarkEnd w:id="209"/>
    </w:p>
    <w:p w14:paraId="33B76161">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210" w:name="_Toc25982_WPSOffice_Level3"/>
      <w:bookmarkStart w:id="211" w:name="_Toc29785"/>
      <w:bookmarkStart w:id="212" w:name="_Toc21641"/>
      <w:bookmarkStart w:id="213" w:name="_Toc15153"/>
      <w:bookmarkStart w:id="214" w:name="_Toc23314_WPSOffice_Level3"/>
      <w:r>
        <w:rPr>
          <w:rFonts w:hint="eastAsia" w:ascii="宋体" w:hAnsi="宋体" w:eastAsia="宋体" w:cs="宋体"/>
          <w:b/>
          <w:bCs/>
          <w:color w:val="auto"/>
          <w:kern w:val="2"/>
          <w:sz w:val="24"/>
          <w:szCs w:val="24"/>
          <w:lang w:val="en-US" w:eastAsia="zh-CN" w:bidi="ar-SA"/>
        </w:rPr>
        <w:t>30.对采购过程、结果的询问及质疑</w:t>
      </w:r>
      <w:bookmarkEnd w:id="210"/>
      <w:bookmarkEnd w:id="211"/>
      <w:bookmarkEnd w:id="212"/>
      <w:bookmarkEnd w:id="213"/>
      <w:bookmarkEnd w:id="214"/>
    </w:p>
    <w:p w14:paraId="1627855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30.1供应商对采购过程、结果有疑问的，可以向采购人、采购代理机构提出询问。</w:t>
      </w:r>
    </w:p>
    <w:p w14:paraId="41692BB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30.2供应商认为采购过程、成交结果使自己的权益受到损害的，可以在知道或者应知其权益受到损害之日起7个工作日内，以书面形式向采购人、采购代理机构提出质疑。</w:t>
      </w:r>
    </w:p>
    <w:p w14:paraId="3D896B8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30.3供应商应在法定质疑期内一次性提出针对同一采购程序环节的质疑。</w:t>
      </w:r>
    </w:p>
    <w:p w14:paraId="771C1985">
      <w:pPr>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color w:val="auto"/>
          <w:kern w:val="2"/>
          <w:sz w:val="28"/>
          <w:szCs w:val="28"/>
          <w:highlight w:val="none"/>
          <w:lang w:val="en-US" w:eastAsia="zh-CN" w:bidi="ar-SA"/>
        </w:rPr>
      </w:pPr>
      <w:bookmarkStart w:id="215" w:name="_Toc21832"/>
      <w:bookmarkStart w:id="216" w:name="_Toc34637771"/>
      <w:bookmarkStart w:id="217" w:name="_Toc9701_WPSOffice_Level2"/>
      <w:bookmarkStart w:id="218" w:name="_Toc20109"/>
      <w:bookmarkStart w:id="219" w:name="_Toc22201076"/>
      <w:bookmarkStart w:id="220" w:name="_Toc6866_WPSOffice_Level2"/>
      <w:bookmarkStart w:id="221" w:name="_Toc11509_WPSOffice_Level2"/>
      <w:bookmarkStart w:id="222" w:name="_Toc22889"/>
      <w:bookmarkStart w:id="223" w:name="_Toc4534"/>
      <w:r>
        <w:rPr>
          <w:rFonts w:hint="eastAsia" w:ascii="宋体" w:hAnsi="宋体" w:eastAsia="宋体" w:cs="宋体"/>
          <w:b/>
          <w:bCs/>
          <w:color w:val="auto"/>
          <w:kern w:val="2"/>
          <w:sz w:val="28"/>
          <w:szCs w:val="28"/>
          <w:highlight w:val="none"/>
          <w:lang w:val="en-US" w:eastAsia="zh-CN" w:bidi="ar-SA"/>
        </w:rPr>
        <w:t>八、</w:t>
      </w:r>
      <w:bookmarkEnd w:id="215"/>
      <w:bookmarkEnd w:id="216"/>
      <w:bookmarkEnd w:id="217"/>
      <w:bookmarkEnd w:id="218"/>
      <w:bookmarkEnd w:id="219"/>
      <w:bookmarkEnd w:id="220"/>
      <w:bookmarkEnd w:id="221"/>
      <w:bookmarkEnd w:id="222"/>
      <w:bookmarkEnd w:id="223"/>
      <w:r>
        <w:rPr>
          <w:rFonts w:hint="eastAsia" w:ascii="宋体" w:hAnsi="宋体" w:eastAsia="宋体" w:cs="宋体"/>
          <w:b/>
          <w:bCs/>
          <w:color w:val="auto"/>
          <w:kern w:val="2"/>
          <w:sz w:val="28"/>
          <w:szCs w:val="28"/>
          <w:highlight w:val="none"/>
          <w:lang w:val="en-US" w:eastAsia="zh-CN" w:bidi="ar-SA"/>
        </w:rPr>
        <w:t>采购政策</w:t>
      </w:r>
    </w:p>
    <w:p w14:paraId="7143138C">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2"/>
        <w:rPr>
          <w:rFonts w:hint="eastAsia" w:ascii="宋体" w:hAnsi="宋体" w:eastAsia="宋体" w:cs="宋体"/>
          <w:b/>
          <w:bCs/>
          <w:color w:val="auto"/>
          <w:kern w:val="2"/>
          <w:sz w:val="24"/>
          <w:szCs w:val="24"/>
          <w:highlight w:val="none"/>
          <w:lang w:val="en-US" w:eastAsia="zh-CN" w:bidi="ar-SA"/>
        </w:rPr>
      </w:pPr>
      <w:bookmarkStart w:id="224" w:name="_Toc17253_WPSOffice_Level3"/>
      <w:bookmarkStart w:id="225" w:name="_Toc16893"/>
      <w:bookmarkStart w:id="226" w:name="_Toc19360_WPSOffice_Level3"/>
      <w:bookmarkStart w:id="227" w:name="_Toc27584"/>
      <w:bookmarkStart w:id="228" w:name="_Toc14303"/>
      <w:r>
        <w:rPr>
          <w:rFonts w:hint="eastAsia" w:ascii="宋体" w:hAnsi="宋体" w:eastAsia="宋体" w:cs="宋体"/>
          <w:b/>
          <w:bCs/>
          <w:color w:val="auto"/>
          <w:kern w:val="2"/>
          <w:sz w:val="24"/>
          <w:szCs w:val="24"/>
          <w:highlight w:val="none"/>
          <w:lang w:val="en-US" w:eastAsia="zh-CN" w:bidi="ar-SA"/>
        </w:rPr>
        <w:t>31.</w:t>
      </w:r>
      <w:bookmarkEnd w:id="224"/>
      <w:bookmarkEnd w:id="225"/>
      <w:bookmarkEnd w:id="226"/>
      <w:bookmarkEnd w:id="227"/>
      <w:bookmarkEnd w:id="228"/>
      <w:r>
        <w:rPr>
          <w:rFonts w:hint="eastAsia" w:ascii="宋体" w:hAnsi="宋体" w:eastAsia="宋体" w:cs="宋体"/>
          <w:b/>
          <w:bCs/>
          <w:color w:val="auto"/>
          <w:kern w:val="2"/>
          <w:sz w:val="24"/>
          <w:szCs w:val="24"/>
          <w:highlight w:val="none"/>
          <w:lang w:val="en-US" w:eastAsia="zh-CN" w:bidi="ar-SA"/>
        </w:rPr>
        <w:t>采购政策</w:t>
      </w:r>
    </w:p>
    <w:p w14:paraId="1966810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31.1节能产品、环境标志产品的采购：</w:t>
      </w:r>
    </w:p>
    <w:p w14:paraId="2B6A7EB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关于调整优化节能产品、环境标志产品政府采购执行机制的通知》（财库〔2019〕9号）的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50FA96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31.2进口产品是指符合《政府采购进口产品管理办法》（财库〔2007〕119号）和《关于政府采购进口产品管理有关问题的通知》（财办库〔2008〕248号）文件规定的产品。除【谈判须知前附表】另有规定外，采购项目拒绝进口产品参加谈判。本款规定同意购买进口产品的，不限制满足谈判文件要求的国内产品参与谈判竞争。</w:t>
      </w:r>
    </w:p>
    <w:p w14:paraId="4F2571CC">
      <w:pPr>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val="0"/>
          <w:bCs w:val="0"/>
          <w:color w:val="auto"/>
          <w:kern w:val="2"/>
          <w:sz w:val="24"/>
          <w:szCs w:val="24"/>
          <w:highlight w:val="none"/>
          <w:lang w:val="en-US" w:eastAsia="zh-CN" w:bidi="ar-SA"/>
        </w:rPr>
      </w:pPr>
      <w:bookmarkStart w:id="229" w:name="_Toc30960"/>
      <w:bookmarkStart w:id="230" w:name="_Toc3719_WPSOffice_Level2"/>
      <w:bookmarkStart w:id="231" w:name="_Toc26727"/>
      <w:bookmarkStart w:id="232" w:name="_Toc15316"/>
      <w:bookmarkStart w:id="233" w:name="_Toc28078_WPSOffice_Level2"/>
      <w:bookmarkStart w:id="234" w:name="_Toc34637772"/>
      <w:bookmarkStart w:id="235" w:name="_Toc15805"/>
      <w:bookmarkStart w:id="236" w:name="_Toc10843_WPSOffice_Level2"/>
      <w:r>
        <w:rPr>
          <w:rFonts w:hint="eastAsia" w:ascii="宋体" w:hAnsi="宋体" w:eastAsia="宋体" w:cs="宋体"/>
          <w:b/>
          <w:bCs/>
          <w:color w:val="auto"/>
          <w:kern w:val="2"/>
          <w:sz w:val="28"/>
          <w:szCs w:val="28"/>
          <w:highlight w:val="none"/>
          <w:lang w:val="en-US" w:eastAsia="zh-CN" w:bidi="ar-SA"/>
        </w:rPr>
        <w:t>九、其他规定</w:t>
      </w:r>
      <w:bookmarkEnd w:id="229"/>
      <w:bookmarkEnd w:id="230"/>
      <w:bookmarkEnd w:id="231"/>
      <w:bookmarkEnd w:id="232"/>
      <w:bookmarkEnd w:id="233"/>
      <w:bookmarkEnd w:id="234"/>
      <w:bookmarkEnd w:id="235"/>
      <w:bookmarkEnd w:id="236"/>
    </w:p>
    <w:p w14:paraId="21FBA987">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237" w:name="_Toc22185_WPSOffice_Level3"/>
      <w:bookmarkStart w:id="238" w:name="_Toc10247"/>
      <w:bookmarkStart w:id="239" w:name="_Toc10855"/>
      <w:bookmarkStart w:id="240" w:name="_Toc19781"/>
      <w:bookmarkStart w:id="241" w:name="_Toc12390_WPSOffice_Level3"/>
      <w:r>
        <w:rPr>
          <w:rFonts w:hint="eastAsia" w:ascii="宋体" w:hAnsi="宋体" w:eastAsia="宋体" w:cs="宋体"/>
          <w:b/>
          <w:bCs/>
          <w:color w:val="auto"/>
          <w:kern w:val="2"/>
          <w:sz w:val="24"/>
          <w:szCs w:val="24"/>
          <w:lang w:val="en-US" w:eastAsia="zh-CN" w:bidi="ar-SA"/>
        </w:rPr>
        <w:t>32.代理服务费</w:t>
      </w:r>
      <w:bookmarkEnd w:id="237"/>
      <w:bookmarkEnd w:id="238"/>
      <w:bookmarkEnd w:id="239"/>
      <w:bookmarkEnd w:id="240"/>
      <w:bookmarkEnd w:id="241"/>
    </w:p>
    <w:p w14:paraId="76463287">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采购代理服务费由成交供应商支付的，供应商应按【谈判须知前附表】规定向采购代理机构交纳代理服务费，并在谈判文件中提供代理服务费承诺书。</w:t>
      </w:r>
    </w:p>
    <w:p w14:paraId="136EB52D">
      <w:pPr>
        <w:pStyle w:val="4"/>
        <w:pageBreakBefore w:val="0"/>
        <w:widowControl w:val="0"/>
        <w:kinsoku/>
        <w:wordWrap/>
        <w:overflowPunct/>
        <w:topLinePunct w:val="0"/>
        <w:autoSpaceDE/>
        <w:autoSpaceDN/>
        <w:bidi w:val="0"/>
        <w:adjustRightInd/>
        <w:snapToGrid/>
        <w:spacing w:before="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242" w:name="_Toc1461_WPSOffice_Level3"/>
      <w:bookmarkStart w:id="243" w:name="_Toc14580"/>
      <w:bookmarkStart w:id="244" w:name="_Toc18975"/>
      <w:bookmarkStart w:id="245" w:name="_Toc27699_WPSOffice_Level3"/>
      <w:bookmarkStart w:id="246" w:name="_Toc18298"/>
      <w:r>
        <w:rPr>
          <w:rFonts w:hint="eastAsia" w:ascii="宋体" w:hAnsi="宋体" w:eastAsia="宋体" w:cs="宋体"/>
          <w:b/>
          <w:bCs/>
          <w:color w:val="auto"/>
          <w:kern w:val="2"/>
          <w:sz w:val="24"/>
          <w:szCs w:val="24"/>
          <w:lang w:val="en-US" w:eastAsia="zh-CN" w:bidi="ar-SA"/>
        </w:rPr>
        <w:t>33.其他规定</w:t>
      </w:r>
      <w:bookmarkEnd w:id="242"/>
      <w:bookmarkEnd w:id="243"/>
      <w:bookmarkEnd w:id="244"/>
      <w:bookmarkEnd w:id="245"/>
      <w:bookmarkEnd w:id="246"/>
    </w:p>
    <w:p w14:paraId="6AF24526">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Cs w:val="21"/>
        </w:rPr>
      </w:pPr>
      <w:r>
        <w:rPr>
          <w:rFonts w:hint="eastAsia" w:ascii="宋体" w:hAnsi="宋体" w:eastAsia="宋体" w:cs="宋体"/>
          <w:color w:val="auto"/>
          <w:kern w:val="2"/>
          <w:sz w:val="24"/>
          <w:szCs w:val="24"/>
          <w:lang w:val="en-US" w:eastAsia="zh-CN" w:bidi="ar-SA"/>
        </w:rPr>
        <w:t>谈判文件的其他规定见【谈判须知前附表】。</w:t>
      </w:r>
    </w:p>
    <w:p w14:paraId="0D239211">
      <w:pPr>
        <w:pStyle w:val="2"/>
        <w:keepNext/>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val="0"/>
          <w:bCs w:val="0"/>
          <w:color w:val="auto"/>
          <w:sz w:val="44"/>
          <w:szCs w:val="44"/>
          <w:highlight w:val="none"/>
          <w:lang w:val="en-US" w:eastAsia="zh-CN"/>
        </w:rPr>
      </w:pPr>
      <w:bookmarkStart w:id="247" w:name="_Toc4912_WPSOffice_Level1"/>
      <w:bookmarkStart w:id="248" w:name="_Toc31765_WPSOffice_Level1"/>
      <w:bookmarkStart w:id="249" w:name="_Toc34637773"/>
      <w:bookmarkStart w:id="250" w:name="_Toc7566"/>
      <w:bookmarkStart w:id="251" w:name="_Toc20750"/>
      <w:bookmarkStart w:id="252" w:name="_Toc13204"/>
      <w:bookmarkStart w:id="253" w:name="_Toc7780_WPSOffice_Level1"/>
      <w:bookmarkStart w:id="254" w:name="_Toc2404_WPSOffice_Level1"/>
      <w:bookmarkStart w:id="255" w:name="_Toc29561_WPSOffice_Level1"/>
      <w:bookmarkStart w:id="256" w:name="_Toc18130_WPSOffice_Level1"/>
      <w:r>
        <w:rPr>
          <w:rFonts w:hint="eastAsia" w:ascii="宋体" w:hAnsi="宋体" w:eastAsia="宋体" w:cs="宋体"/>
          <w:b w:val="0"/>
          <w:bCs w:val="0"/>
          <w:color w:val="auto"/>
          <w:sz w:val="44"/>
          <w:szCs w:val="44"/>
          <w:highlight w:val="none"/>
          <w:lang w:val="en-US" w:eastAsia="zh-CN"/>
        </w:rPr>
        <w:br w:type="page"/>
      </w:r>
      <w:bookmarkStart w:id="257" w:name="_Toc31195"/>
      <w:r>
        <w:rPr>
          <w:rFonts w:hint="eastAsia" w:ascii="宋体" w:hAnsi="宋体" w:eastAsia="宋体" w:cs="宋体"/>
          <w:b/>
          <w:bCs/>
          <w:color w:val="auto"/>
          <w:sz w:val="32"/>
          <w:szCs w:val="32"/>
          <w:highlight w:val="none"/>
          <w:lang w:val="en-US" w:eastAsia="zh-CN"/>
        </w:rPr>
        <w:t>第三部分  采购需求</w:t>
      </w:r>
      <w:bookmarkEnd w:id="247"/>
      <w:bookmarkEnd w:id="248"/>
      <w:bookmarkEnd w:id="249"/>
      <w:bookmarkEnd w:id="250"/>
      <w:bookmarkEnd w:id="251"/>
      <w:bookmarkEnd w:id="252"/>
      <w:bookmarkEnd w:id="253"/>
      <w:bookmarkEnd w:id="254"/>
      <w:bookmarkEnd w:id="255"/>
      <w:bookmarkEnd w:id="256"/>
      <w:bookmarkEnd w:id="257"/>
    </w:p>
    <w:p w14:paraId="61E91122">
      <w:pPr>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val="0"/>
          <w:bCs w:val="0"/>
          <w:color w:val="auto"/>
          <w:kern w:val="2"/>
          <w:sz w:val="24"/>
          <w:szCs w:val="24"/>
          <w:highlight w:val="none"/>
          <w:lang w:val="zh-CN" w:eastAsia="zh-CN" w:bidi="ar-SA"/>
        </w:rPr>
      </w:pPr>
      <w:bookmarkStart w:id="258" w:name="_Toc19812_WPSOffice_Level2"/>
      <w:bookmarkStart w:id="259" w:name="_Toc515908232"/>
      <w:bookmarkStart w:id="260" w:name="_Toc13326_WPSOffice_Level2"/>
      <w:bookmarkStart w:id="261" w:name="_Toc17070"/>
      <w:bookmarkStart w:id="262" w:name="_Toc4601"/>
      <w:bookmarkStart w:id="263" w:name="_Toc28010"/>
      <w:bookmarkStart w:id="264" w:name="_Toc8656"/>
      <w:bookmarkStart w:id="265" w:name="_Toc20423_WPSOffice_Level2"/>
      <w:r>
        <w:rPr>
          <w:rFonts w:hint="eastAsia" w:ascii="宋体" w:hAnsi="宋体" w:eastAsia="宋体" w:cs="宋体"/>
          <w:b/>
          <w:bCs/>
          <w:color w:val="auto"/>
          <w:kern w:val="2"/>
          <w:sz w:val="28"/>
          <w:szCs w:val="28"/>
          <w:highlight w:val="none"/>
          <w:lang w:val="zh-CN" w:eastAsia="zh-CN" w:bidi="ar-SA"/>
        </w:rPr>
        <w:t>十、响应说明</w:t>
      </w:r>
      <w:bookmarkEnd w:id="258"/>
      <w:bookmarkEnd w:id="259"/>
      <w:bookmarkEnd w:id="260"/>
      <w:bookmarkEnd w:id="261"/>
      <w:bookmarkEnd w:id="262"/>
      <w:bookmarkEnd w:id="263"/>
      <w:bookmarkEnd w:id="264"/>
      <w:bookmarkEnd w:id="265"/>
    </w:p>
    <w:p w14:paraId="4358FB73">
      <w:pPr>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供应商可以按照谈判文件规定的包号选择响应，但必须对所响应包号中的所有内容作为一个整体进行响应，不能拆分或少报，</w:t>
      </w:r>
      <w:r>
        <w:rPr>
          <w:rFonts w:hint="eastAsia" w:ascii="宋体" w:hAnsi="宋体" w:eastAsia="宋体" w:cs="宋体"/>
          <w:color w:val="auto"/>
          <w:kern w:val="2"/>
          <w:sz w:val="24"/>
          <w:szCs w:val="24"/>
          <w:highlight w:val="none"/>
          <w:lang w:val="en-US" w:eastAsia="zh-CN" w:bidi="ar-SA"/>
        </w:rPr>
        <w:t>如有缺项、漏项，其响应无效。</w:t>
      </w:r>
    </w:p>
    <w:p w14:paraId="5043A348">
      <w:pPr>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供应商必须如实填写“服务响应表”。</w:t>
      </w:r>
    </w:p>
    <w:p w14:paraId="184E6BB4">
      <w:pPr>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3.谈判</w:t>
      </w:r>
      <w:r>
        <w:rPr>
          <w:rFonts w:hint="eastAsia" w:ascii="宋体" w:hAnsi="宋体" w:eastAsia="宋体" w:cs="宋体"/>
          <w:color w:val="auto"/>
          <w:kern w:val="2"/>
          <w:sz w:val="24"/>
          <w:szCs w:val="24"/>
          <w:highlight w:val="none"/>
          <w:lang w:val="zh-CN" w:eastAsia="zh-CN" w:bidi="ar-SA"/>
        </w:rPr>
        <w:t>内容中未特别标注为“</w:t>
      </w:r>
      <w:r>
        <w:rPr>
          <w:rFonts w:hint="eastAsia" w:ascii="宋体" w:hAnsi="宋体" w:eastAsia="宋体" w:cs="宋体"/>
          <w:color w:val="auto"/>
          <w:sz w:val="24"/>
          <w:szCs w:val="24"/>
          <w:lang w:val="zh-CN"/>
        </w:rPr>
        <w:t>原装进口</w:t>
      </w:r>
      <w:r>
        <w:rPr>
          <w:rFonts w:hint="eastAsia" w:ascii="宋体" w:hAnsi="宋体" w:eastAsia="宋体" w:cs="宋体"/>
          <w:color w:val="auto"/>
          <w:kern w:val="2"/>
          <w:sz w:val="24"/>
          <w:szCs w:val="24"/>
          <w:highlight w:val="none"/>
          <w:lang w:val="zh-CN" w:eastAsia="zh-CN" w:bidi="ar-SA"/>
        </w:rPr>
        <w:t>”字样的产品，供应商必须提供国产产品；标注为“</w:t>
      </w:r>
      <w:r>
        <w:rPr>
          <w:rFonts w:hint="eastAsia" w:ascii="宋体" w:hAnsi="宋体" w:eastAsia="宋体" w:cs="宋体"/>
          <w:color w:val="auto"/>
          <w:sz w:val="24"/>
          <w:szCs w:val="24"/>
          <w:lang w:val="zh-CN"/>
        </w:rPr>
        <w:t>原装进口</w:t>
      </w:r>
      <w:r>
        <w:rPr>
          <w:rFonts w:hint="eastAsia" w:ascii="宋体" w:hAnsi="宋体" w:eastAsia="宋体" w:cs="宋体"/>
          <w:color w:val="auto"/>
          <w:kern w:val="2"/>
          <w:sz w:val="24"/>
          <w:szCs w:val="24"/>
          <w:highlight w:val="none"/>
          <w:lang w:val="zh-CN" w:eastAsia="zh-CN" w:bidi="ar-SA"/>
        </w:rPr>
        <w:t>”字样的产品，供应商</w:t>
      </w:r>
      <w:r>
        <w:rPr>
          <w:rFonts w:hint="eastAsia" w:ascii="宋体" w:hAnsi="宋体" w:eastAsia="宋体" w:cs="宋体"/>
          <w:color w:val="auto"/>
          <w:kern w:val="2"/>
          <w:sz w:val="24"/>
          <w:szCs w:val="24"/>
          <w:highlight w:val="none"/>
          <w:lang w:val="en-US" w:eastAsia="zh-CN" w:bidi="ar-SA"/>
        </w:rPr>
        <w:t>可以投</w:t>
      </w:r>
      <w:r>
        <w:rPr>
          <w:rFonts w:hint="eastAsia" w:ascii="宋体" w:hAnsi="宋体" w:eastAsia="宋体" w:cs="宋体"/>
          <w:color w:val="auto"/>
          <w:kern w:val="2"/>
          <w:sz w:val="24"/>
          <w:szCs w:val="24"/>
          <w:highlight w:val="none"/>
          <w:lang w:val="zh-CN" w:eastAsia="zh-CN" w:bidi="ar-SA"/>
        </w:rPr>
        <w:t>进口产品，但如果因信息不对称等原因，仍有满足采购需求的国内产品要求参与采购竞争的，可以提供国产产品，并且按照公平竞争原则实施采购。</w:t>
      </w:r>
    </w:p>
    <w:p w14:paraId="4E5CC4F1">
      <w:pPr>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4.所提供产品或其任何一部分不得侵犯专利权、著作权、商标权和工业设计权等知识产权。</w:t>
      </w:r>
    </w:p>
    <w:p w14:paraId="17BA36D8">
      <w:pPr>
        <w:keepLines w:val="0"/>
        <w:pageBreakBefore w:val="0"/>
        <w:widowControl w:val="0"/>
        <w:kinsoku/>
        <w:wordWrap/>
        <w:overflowPunct/>
        <w:topLinePunct w:val="0"/>
        <w:autoSpaceDE/>
        <w:autoSpaceDN/>
        <w:bidi w:val="0"/>
        <w:adjustRightInd/>
        <w:snapToGrid/>
        <w:spacing w:line="360" w:lineRule="auto"/>
        <w:ind w:right="0"/>
        <w:jc w:val="center"/>
        <w:textAlignment w:val="auto"/>
        <w:outlineLvl w:val="1"/>
        <w:rPr>
          <w:rFonts w:hint="eastAsia" w:ascii="宋体" w:hAnsi="宋体" w:eastAsia="宋体" w:cs="宋体"/>
          <w:b/>
          <w:bCs/>
          <w:color w:val="auto"/>
          <w:kern w:val="2"/>
          <w:sz w:val="28"/>
          <w:szCs w:val="28"/>
          <w:highlight w:val="none"/>
          <w:lang w:val="zh-CN" w:eastAsia="zh-CN" w:bidi="ar-SA"/>
        </w:rPr>
      </w:pPr>
      <w:bookmarkStart w:id="266" w:name="_Toc1475"/>
      <w:bookmarkStart w:id="267" w:name="_Toc16271_WPSOffice_Level2"/>
      <w:bookmarkStart w:id="268" w:name="_Toc26560_WPSOffice_Level2"/>
      <w:bookmarkStart w:id="269" w:name="_Toc28791"/>
      <w:bookmarkStart w:id="270" w:name="_Toc19609_WPSOffice_Level2"/>
      <w:bookmarkStart w:id="271" w:name="_Toc515908233"/>
      <w:bookmarkStart w:id="272" w:name="_Toc27034"/>
      <w:bookmarkStart w:id="273" w:name="_Toc22092"/>
      <w:r>
        <w:rPr>
          <w:rFonts w:hint="eastAsia" w:ascii="宋体" w:hAnsi="宋体" w:eastAsia="宋体" w:cs="宋体"/>
          <w:b/>
          <w:bCs/>
          <w:color w:val="auto"/>
          <w:kern w:val="2"/>
          <w:sz w:val="28"/>
          <w:szCs w:val="28"/>
          <w:highlight w:val="none"/>
          <w:lang w:val="zh-CN" w:eastAsia="zh-CN" w:bidi="ar-SA"/>
        </w:rPr>
        <w:t>十一、重要指标</w:t>
      </w:r>
      <w:bookmarkEnd w:id="266"/>
      <w:bookmarkEnd w:id="267"/>
      <w:bookmarkEnd w:id="268"/>
      <w:bookmarkEnd w:id="269"/>
      <w:bookmarkEnd w:id="270"/>
      <w:bookmarkEnd w:id="271"/>
      <w:bookmarkEnd w:id="272"/>
      <w:bookmarkEnd w:id="273"/>
    </w:p>
    <w:p w14:paraId="2DB87A66">
      <w:pPr>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kern w:val="2"/>
          <w:sz w:val="24"/>
          <w:szCs w:val="24"/>
          <w:highlight w:val="none"/>
          <w:lang w:val="zh-CN" w:eastAsia="zh-CN" w:bidi="ar-SA"/>
        </w:rPr>
      </w:pPr>
      <w:bookmarkStart w:id="274" w:name="_Toc18880"/>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谈判文件在技术参数中列出了采购人可以接受的最低技术指标，供应商必须对“项目概况及技术参数表”中各项产品和指标进行实质性响应，所</w:t>
      </w:r>
      <w:r>
        <w:rPr>
          <w:rFonts w:hint="eastAsia" w:ascii="宋体" w:hAnsi="宋体" w:eastAsia="宋体" w:cs="宋体"/>
          <w:color w:val="auto"/>
          <w:kern w:val="2"/>
          <w:sz w:val="24"/>
          <w:szCs w:val="24"/>
          <w:highlight w:val="none"/>
          <w:lang w:val="en-US" w:eastAsia="zh-CN" w:bidi="ar-SA"/>
        </w:rPr>
        <w:t>投</w:t>
      </w:r>
      <w:r>
        <w:rPr>
          <w:rFonts w:hint="eastAsia" w:ascii="宋体" w:hAnsi="宋体" w:eastAsia="宋体" w:cs="宋体"/>
          <w:color w:val="auto"/>
          <w:kern w:val="2"/>
          <w:sz w:val="24"/>
          <w:szCs w:val="24"/>
          <w:highlight w:val="none"/>
          <w:lang w:val="zh-CN" w:eastAsia="zh-CN" w:bidi="ar-SA"/>
        </w:rPr>
        <w:t>的每一项产品在性能上不能低于所列的各项指标。否则，响应无效。</w:t>
      </w:r>
    </w:p>
    <w:p w14:paraId="1D29A1E9">
      <w:pPr>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谈判文件中凡需与原有设备、系统并机、兼容、匹配等要求的，请主动和采购人联系，取得原有设备、系统相关资料。若有谈判文件未提及或变更内容的，请及时与采购人或者采购代理机构联系。</w:t>
      </w:r>
    </w:p>
    <w:p w14:paraId="64E8F34F">
      <w:pPr>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技术参数”中除注明签订合同时提供</w:t>
      </w:r>
      <w:r>
        <w:rPr>
          <w:rFonts w:hint="eastAsia" w:ascii="宋体" w:hAnsi="宋体" w:eastAsia="宋体" w:cs="宋体"/>
          <w:color w:val="auto"/>
          <w:kern w:val="2"/>
          <w:sz w:val="24"/>
          <w:szCs w:val="24"/>
          <w:highlight w:val="none"/>
          <w:lang w:val="en-US" w:eastAsia="zh-CN" w:bidi="ar-SA"/>
        </w:rPr>
        <w:t>的相关授权、服务承诺等资料以外，其余相关资料在响应时必须附在响应文件中。</w:t>
      </w:r>
    </w:p>
    <w:p w14:paraId="15313154">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br w:type="page"/>
      </w:r>
    </w:p>
    <w:p w14:paraId="4E3B2D00">
      <w:pPr>
        <w:pStyle w:val="17"/>
        <w:keepNext w:val="0"/>
        <w:keepLines w:val="0"/>
        <w:pageBreakBefore w:val="0"/>
        <w:widowControl w:val="0"/>
        <w:kinsoku/>
        <w:wordWrap/>
        <w:overflowPunct/>
        <w:topLinePunct w:val="0"/>
        <w:bidi w:val="0"/>
        <w:adjustRightInd/>
        <w:snapToGrid/>
        <w:spacing w:before="0" w:after="0" w:line="360" w:lineRule="auto"/>
        <w:ind w:firstLine="0" w:firstLineChars="0"/>
        <w:jc w:val="center"/>
        <w:textAlignment w:val="auto"/>
        <w:rPr>
          <w:rFonts w:hint="eastAsia" w:ascii="宋体" w:hAnsi="宋体" w:eastAsia="宋体" w:cs="宋体"/>
          <w:b/>
          <w:bCs/>
          <w:color w:val="auto"/>
          <w:kern w:val="2"/>
          <w:sz w:val="28"/>
          <w:szCs w:val="28"/>
          <w:highlight w:val="none"/>
          <w:lang w:val="zh-CN" w:eastAsia="zh-CN" w:bidi="ar-SA"/>
        </w:rPr>
      </w:pPr>
      <w:r>
        <w:rPr>
          <w:rFonts w:hint="eastAsia" w:ascii="宋体" w:hAnsi="宋体" w:eastAsia="宋体" w:cs="宋体"/>
          <w:b/>
          <w:bCs/>
          <w:color w:val="auto"/>
          <w:kern w:val="2"/>
          <w:sz w:val="28"/>
          <w:szCs w:val="28"/>
          <w:highlight w:val="none"/>
          <w:lang w:val="en-US" w:eastAsia="zh-CN" w:bidi="ar-SA"/>
        </w:rPr>
        <w:t>项目概况及技术参数表</w:t>
      </w:r>
    </w:p>
    <w:p w14:paraId="47F22E76">
      <w:pPr>
        <w:pStyle w:val="17"/>
        <w:keepNext w:val="0"/>
        <w:keepLines w:val="0"/>
        <w:pageBreakBefore w:val="0"/>
        <w:widowControl w:val="0"/>
        <w:kinsoku/>
        <w:wordWrap/>
        <w:overflowPunct/>
        <w:topLinePunct w:val="0"/>
        <w:bidi w:val="0"/>
        <w:adjustRightInd/>
        <w:snapToGrid/>
        <w:spacing w:before="0" w:after="0" w:line="360" w:lineRule="auto"/>
        <w:ind w:firstLine="0" w:firstLineChars="0"/>
        <w:jc w:val="center"/>
        <w:textAlignment w:val="auto"/>
        <w:rPr>
          <w:rFonts w:hint="eastAsia" w:ascii="宋体" w:hAnsi="宋体" w:eastAsia="宋体" w:cs="宋体"/>
          <w:b/>
          <w:bCs/>
          <w:color w:val="auto"/>
          <w:kern w:val="2"/>
          <w:sz w:val="28"/>
          <w:szCs w:val="28"/>
          <w:highlight w:val="none"/>
          <w:lang w:val="zh-CN" w:eastAsia="zh-CN" w:bidi="ar-SA"/>
        </w:rPr>
      </w:pPr>
      <w:r>
        <w:rPr>
          <w:rFonts w:hint="eastAsia" w:ascii="宋体" w:hAnsi="宋体" w:eastAsia="宋体" w:cs="宋体"/>
          <w:b/>
          <w:bCs/>
          <w:color w:val="auto"/>
          <w:kern w:val="2"/>
          <w:sz w:val="28"/>
          <w:szCs w:val="28"/>
          <w:highlight w:val="none"/>
          <w:lang w:val="en-US" w:eastAsia="zh-CN" w:bidi="ar-SA"/>
        </w:rPr>
        <w:t>（一）</w:t>
      </w:r>
      <w:r>
        <w:rPr>
          <w:rFonts w:hint="eastAsia" w:ascii="宋体" w:hAnsi="宋体" w:eastAsia="宋体" w:cs="宋体"/>
          <w:b/>
          <w:bCs/>
          <w:color w:val="auto"/>
          <w:kern w:val="2"/>
          <w:sz w:val="28"/>
          <w:szCs w:val="28"/>
          <w:highlight w:val="none"/>
          <w:lang w:val="zh-CN" w:eastAsia="zh-CN" w:bidi="ar-SA"/>
        </w:rPr>
        <w:t>商务要求</w:t>
      </w:r>
    </w:p>
    <w:p w14:paraId="1FF1067B">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1.服务期限</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1年。</w:t>
      </w:r>
    </w:p>
    <w:p w14:paraId="197E72E1">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lang w:val="en-US" w:eastAsia="zh-CN"/>
        </w:rPr>
        <w:t>服务地点</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采购人指定地点。</w:t>
      </w:r>
    </w:p>
    <w:p w14:paraId="5DE67444">
      <w:pPr>
        <w:pStyle w:val="17"/>
        <w:keepNext w:val="0"/>
        <w:keepLines w:val="0"/>
        <w:pageBreakBefore w:val="0"/>
        <w:widowControl w:val="0"/>
        <w:kinsoku/>
        <w:wordWrap/>
        <w:overflowPunct/>
        <w:topLinePunct w:val="0"/>
        <w:bidi w:val="0"/>
        <w:adjustRightInd/>
        <w:snapToGrid/>
        <w:spacing w:before="0" w:after="0" w:line="360" w:lineRule="auto"/>
        <w:ind w:firstLine="0" w:firstLineChars="0"/>
        <w:jc w:val="center"/>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（二）技术参数</w:t>
      </w:r>
    </w:p>
    <w:tbl>
      <w:tblPr>
        <w:tblStyle w:val="20"/>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64"/>
        <w:gridCol w:w="1176"/>
        <w:gridCol w:w="6868"/>
        <w:gridCol w:w="696"/>
        <w:gridCol w:w="701"/>
      </w:tblGrid>
      <w:tr w14:paraId="3F707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722" w:type="dxa"/>
            <w:vAlign w:val="center"/>
          </w:tcPr>
          <w:p w14:paraId="43E134FE">
            <w:pPr>
              <w:spacing w:line="3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br w:type="page"/>
            </w:r>
            <w:r>
              <w:rPr>
                <w:rFonts w:hint="eastAsia" w:ascii="宋体" w:hAnsi="宋体" w:eastAsia="宋体" w:cs="宋体"/>
                <w:b/>
                <w:color w:val="auto"/>
                <w:kern w:val="0"/>
                <w:sz w:val="24"/>
                <w:szCs w:val="24"/>
              </w:rPr>
              <w:t>序号</w:t>
            </w:r>
          </w:p>
        </w:tc>
        <w:tc>
          <w:tcPr>
            <w:tcW w:w="1112" w:type="dxa"/>
            <w:vAlign w:val="center"/>
          </w:tcPr>
          <w:p w14:paraId="31BACB31">
            <w:pPr>
              <w:spacing w:line="3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名称</w:t>
            </w:r>
          </w:p>
        </w:tc>
        <w:tc>
          <w:tcPr>
            <w:tcW w:w="6492" w:type="dxa"/>
            <w:vAlign w:val="center"/>
          </w:tcPr>
          <w:p w14:paraId="6611E540">
            <w:pPr>
              <w:spacing w:line="3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技术参数</w:t>
            </w:r>
          </w:p>
        </w:tc>
        <w:tc>
          <w:tcPr>
            <w:tcW w:w="658" w:type="dxa"/>
            <w:vAlign w:val="center"/>
          </w:tcPr>
          <w:p w14:paraId="5794A8E8">
            <w:pPr>
              <w:spacing w:line="3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数量</w:t>
            </w:r>
          </w:p>
        </w:tc>
        <w:tc>
          <w:tcPr>
            <w:tcW w:w="663" w:type="dxa"/>
            <w:vAlign w:val="center"/>
          </w:tcPr>
          <w:p w14:paraId="7D20B241">
            <w:pPr>
              <w:spacing w:line="3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单位</w:t>
            </w:r>
          </w:p>
        </w:tc>
      </w:tr>
      <w:tr w14:paraId="4181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722" w:type="dxa"/>
            <w:vAlign w:val="center"/>
          </w:tcPr>
          <w:p w14:paraId="57FAB0C8">
            <w:pPr>
              <w:spacing w:line="3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112" w:type="dxa"/>
            <w:vAlign w:val="center"/>
          </w:tcPr>
          <w:p w14:paraId="475CDA8C">
            <w:pPr>
              <w:spacing w:line="3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安全设备维保</w:t>
            </w:r>
          </w:p>
        </w:tc>
        <w:tc>
          <w:tcPr>
            <w:tcW w:w="6492" w:type="dxa"/>
            <w:vAlign w:val="center"/>
          </w:tcPr>
          <w:p w14:paraId="374CCC7E">
            <w:pPr>
              <w:spacing w:line="36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1.深信服上网行为审计2台：现有深信服设备SN码：5103002217、5101004866维保续费1年至2027-03-28，含软件升级、硬件质保、URL&amp;应用识别规则库升级。</w:t>
            </w:r>
          </w:p>
          <w:p w14:paraId="184DD12C">
            <w:pPr>
              <w:spacing w:line="36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2.业务边界防火墙3台：</w:t>
            </w:r>
            <w:bookmarkStart w:id="275" w:name="OLE_LINK7"/>
            <w:r>
              <w:rPr>
                <w:rFonts w:hint="eastAsia" w:ascii="宋体" w:hAnsi="宋体" w:eastAsia="宋体" w:cs="宋体"/>
                <w:color w:val="auto"/>
                <w:kern w:val="0"/>
                <w:sz w:val="24"/>
                <w:szCs w:val="24"/>
              </w:rPr>
              <w:t>现有设备SN码：</w:t>
            </w:r>
            <w:bookmarkEnd w:id="275"/>
            <w:bookmarkStart w:id="276" w:name="OLE_LINK8"/>
            <w:r>
              <w:rPr>
                <w:rFonts w:hint="eastAsia" w:ascii="宋体" w:hAnsi="宋体" w:eastAsia="宋体" w:cs="宋体"/>
                <w:color w:val="auto"/>
                <w:kern w:val="0"/>
                <w:sz w:val="24"/>
                <w:szCs w:val="24"/>
              </w:rPr>
              <w:t>1121F635-5101012372维保续费1年至2027-03-28；设备SN码：13E6C135-5103000626维保续费1年至2026-03-10；设备SN码：D1AFE8DD-W2YCDH0075维保续费1年至2027-10-12含软件升级、硬件质保、安全特征库和URL库升级。</w:t>
            </w:r>
            <w:bookmarkEnd w:id="276"/>
          </w:p>
          <w:p w14:paraId="7C5E3ED3">
            <w:pPr>
              <w:spacing w:line="36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3.VPN 1台：现有设备SN码：D683BA3C-5071004679维保续费1年至2027-03-28，含软件升级、硬件质保。</w:t>
            </w:r>
          </w:p>
          <w:p w14:paraId="469D2D8C">
            <w:pPr>
              <w:spacing w:line="36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4.杀毒软件1套：</w:t>
            </w:r>
            <w:bookmarkStart w:id="277" w:name="OLE_LINK10"/>
            <w:r>
              <w:rPr>
                <w:rFonts w:hint="eastAsia" w:ascii="宋体" w:hAnsi="宋体" w:eastAsia="宋体" w:cs="宋体"/>
                <w:color w:val="auto"/>
                <w:kern w:val="0"/>
                <w:sz w:val="24"/>
                <w:szCs w:val="24"/>
              </w:rPr>
              <w:t>现有设备ID：</w:t>
            </w:r>
            <w:bookmarkEnd w:id="277"/>
            <w:bookmarkStart w:id="278" w:name="OLE_LINK11"/>
            <w:r>
              <w:rPr>
                <w:rFonts w:hint="eastAsia" w:ascii="宋体" w:hAnsi="宋体" w:eastAsia="宋体" w:cs="宋体"/>
                <w:color w:val="auto"/>
                <w:kern w:val="0"/>
                <w:sz w:val="24"/>
                <w:szCs w:val="24"/>
              </w:rPr>
              <w:t>15003032734维保续费1年至2026-09-13，含软件升级。</w:t>
            </w:r>
            <w:bookmarkEnd w:id="278"/>
          </w:p>
          <w:p w14:paraId="16E9284E">
            <w:pPr>
              <w:spacing w:line="36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5.零信任1套：现有设备SN码：A01D9F27、3EF0191B维保续费1年至2026-09-13，含软件升级。</w:t>
            </w:r>
          </w:p>
          <w:p w14:paraId="09BC0704">
            <w:pPr>
              <w:spacing w:line="36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6.数据库审计1台：现有设备SN码：C5AB1D5A-5101006640维保续费1年至2027-03-28，含软件升级、硬件质保。</w:t>
            </w:r>
          </w:p>
          <w:p w14:paraId="0D65CD4B">
            <w:pPr>
              <w:spacing w:line="36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7.确保维护耗材和维修备件必须保证原厂；</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提供承诺函</w:t>
            </w:r>
            <w:r>
              <w:rPr>
                <w:rFonts w:hint="eastAsia" w:ascii="宋体" w:hAnsi="宋体" w:eastAsia="宋体" w:cs="宋体"/>
                <w:color w:val="auto"/>
                <w:kern w:val="0"/>
                <w:sz w:val="24"/>
                <w:szCs w:val="24"/>
                <w:lang w:eastAsia="zh-CN"/>
              </w:rPr>
              <w:t>）</w:t>
            </w:r>
          </w:p>
          <w:p w14:paraId="15816980">
            <w:pPr>
              <w:spacing w:line="36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8.为设备提供一年的全责型维保，包含一次的全面维护保养（含备件包），故障不限次数上门维修（含备件、工时费、路费）；</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提供承诺函</w:t>
            </w:r>
            <w:r>
              <w:rPr>
                <w:rFonts w:hint="eastAsia" w:ascii="宋体" w:hAnsi="宋体" w:eastAsia="宋体" w:cs="宋体"/>
                <w:color w:val="auto"/>
                <w:kern w:val="0"/>
                <w:sz w:val="24"/>
                <w:szCs w:val="24"/>
                <w:highlight w:val="none"/>
                <w:lang w:eastAsia="zh-CN"/>
              </w:rPr>
              <w:t>）</w:t>
            </w:r>
          </w:p>
          <w:p w14:paraId="20B91045">
            <w:pPr>
              <w:spacing w:line="36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9.为维保设备提供月度巡检和季度巡检；为设备建立维保维修档案，做到维保维修过程全记录，可溯源；</w:t>
            </w:r>
          </w:p>
          <w:p w14:paraId="76B1E674">
            <w:pPr>
              <w:spacing w:line="36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服务时效性：发生设备故障，4小时解决设备故障问题，保障网络畅通；发生网络安全事件15分钟内电话沟通故障现象，24小时内上门服务（如情况紧急1小时内抵达客户现场，协助客户完成安全事件处理工作以及溯源工作）</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提供承诺函</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rPr>
              <w:t>。</w:t>
            </w:r>
          </w:p>
        </w:tc>
        <w:tc>
          <w:tcPr>
            <w:tcW w:w="658" w:type="dxa"/>
            <w:vAlign w:val="center"/>
          </w:tcPr>
          <w:p w14:paraId="21E2E39B">
            <w:pPr>
              <w:spacing w:line="3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c>
          <w:tcPr>
            <w:tcW w:w="663" w:type="dxa"/>
            <w:vAlign w:val="center"/>
          </w:tcPr>
          <w:p w14:paraId="184287B4">
            <w:pPr>
              <w:spacing w:line="3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年</w:t>
            </w:r>
          </w:p>
        </w:tc>
      </w:tr>
    </w:tbl>
    <w:p w14:paraId="39A727C9">
      <w:pPr>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br w:type="page"/>
      </w:r>
    </w:p>
    <w:bookmarkEnd w:id="274"/>
    <w:p w14:paraId="7A3FE184">
      <w:pPr>
        <w:widowControl/>
        <w:wordWrap/>
        <w:spacing w:before="157" w:beforeLines="50" w:line="560" w:lineRule="exact"/>
        <w:jc w:val="center"/>
        <w:outlineLvl w:val="0"/>
        <w:rPr>
          <w:rFonts w:hint="eastAsia" w:ascii="宋体" w:hAnsi="宋体" w:eastAsia="宋体" w:cs="宋体"/>
          <w:b/>
          <w:color w:val="auto"/>
          <w:sz w:val="44"/>
          <w:szCs w:val="44"/>
        </w:rPr>
      </w:pPr>
      <w:bookmarkStart w:id="279" w:name="_Toc19363"/>
      <w:bookmarkStart w:id="280" w:name="_Toc18643_WPSOffice_Level1"/>
      <w:bookmarkStart w:id="281" w:name="_Toc15487_WPSOffice_Level1"/>
      <w:bookmarkStart w:id="282" w:name="_Toc5732_WPSOffice_Level1"/>
      <w:bookmarkStart w:id="283" w:name="_Toc31138"/>
      <w:bookmarkStart w:id="284" w:name="_Toc22544"/>
      <w:bookmarkStart w:id="285" w:name="_Toc18208_WPSOffice_Level1"/>
      <w:bookmarkStart w:id="286" w:name="_Toc6923_WPSOffice_Level1"/>
      <w:bookmarkStart w:id="287" w:name="_Toc955_WPSOffice_Level1"/>
      <w:r>
        <w:rPr>
          <w:rFonts w:hint="eastAsia" w:ascii="宋体" w:hAnsi="宋体" w:eastAsia="宋体" w:cs="宋体"/>
          <w:b/>
          <w:bCs/>
          <w:color w:val="auto"/>
          <w:sz w:val="32"/>
          <w:szCs w:val="32"/>
          <w:lang w:eastAsia="zh-CN"/>
        </w:rPr>
        <w:t>第四部分</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lang w:eastAsia="zh-CN"/>
        </w:rPr>
        <w:t>响应文件格式</w:t>
      </w:r>
      <w:bookmarkEnd w:id="279"/>
      <w:bookmarkEnd w:id="280"/>
      <w:bookmarkEnd w:id="281"/>
      <w:bookmarkEnd w:id="282"/>
      <w:bookmarkEnd w:id="283"/>
      <w:bookmarkEnd w:id="284"/>
      <w:bookmarkEnd w:id="285"/>
      <w:bookmarkEnd w:id="286"/>
      <w:bookmarkEnd w:id="287"/>
    </w:p>
    <w:p w14:paraId="02614949">
      <w:pPr>
        <w:widowControl w:val="0"/>
        <w:wordWrap/>
        <w:adjustRightInd w:val="0"/>
        <w:snapToGrid w:val="0"/>
        <w:spacing w:line="560" w:lineRule="exact"/>
        <w:jc w:val="center"/>
        <w:textAlignment w:val="auto"/>
        <w:outlineLvl w:val="1"/>
        <w:rPr>
          <w:rFonts w:hint="eastAsia" w:ascii="宋体" w:hAnsi="宋体" w:eastAsia="宋体" w:cs="宋体"/>
          <w:color w:val="auto"/>
          <w:kern w:val="2"/>
          <w:sz w:val="32"/>
          <w:szCs w:val="32"/>
          <w:lang w:val="en-US" w:eastAsia="zh-CN" w:bidi="ar-SA"/>
        </w:rPr>
      </w:pPr>
      <w:bookmarkStart w:id="288" w:name="_Toc4945_WPSOffice_Level2"/>
      <w:bookmarkStart w:id="289" w:name="_Toc12691_WPSOffice_Level2"/>
      <w:bookmarkStart w:id="290" w:name="_Toc20524"/>
      <w:bookmarkStart w:id="291" w:name="_Toc20166_WPSOffice_Level2"/>
      <w:bookmarkStart w:id="292" w:name="_Toc11968"/>
      <w:r>
        <w:rPr>
          <w:rFonts w:hint="eastAsia" w:ascii="宋体" w:hAnsi="宋体" w:eastAsia="宋体" w:cs="宋体"/>
          <w:b/>
          <w:bCs/>
          <w:color w:val="auto"/>
          <w:kern w:val="2"/>
          <w:sz w:val="28"/>
          <w:szCs w:val="28"/>
          <w:lang w:val="en-US" w:eastAsia="zh-CN" w:bidi="ar-SA"/>
        </w:rPr>
        <w:t>十二、响应文件的组成</w:t>
      </w:r>
      <w:bookmarkEnd w:id="288"/>
      <w:bookmarkEnd w:id="289"/>
      <w:bookmarkEnd w:id="290"/>
      <w:bookmarkEnd w:id="291"/>
      <w:bookmarkEnd w:id="292"/>
    </w:p>
    <w:p w14:paraId="01348967">
      <w:pPr>
        <w:widowControl w:val="0"/>
        <w:wordWrap/>
        <w:adjustRightInd w:val="0"/>
        <w:snapToGrid w:val="0"/>
        <w:spacing w:line="560" w:lineRule="exact"/>
        <w:jc w:val="left"/>
        <w:textAlignment w:val="auto"/>
        <w:outlineLvl w:val="2"/>
        <w:rPr>
          <w:rFonts w:hint="eastAsia" w:ascii="宋体" w:hAnsi="宋体" w:eastAsia="宋体" w:cs="宋体"/>
          <w:b/>
          <w:bCs/>
          <w:color w:val="auto"/>
          <w:kern w:val="2"/>
          <w:sz w:val="24"/>
          <w:szCs w:val="24"/>
          <w:lang w:val="zh-CN" w:eastAsia="zh-CN" w:bidi="ar-SA"/>
        </w:rPr>
      </w:pPr>
      <w:bookmarkStart w:id="293" w:name="_Toc31451_WPSOffice_Level3"/>
      <w:bookmarkStart w:id="294" w:name="_Toc185_WPSOffice_Level2"/>
      <w:bookmarkStart w:id="295" w:name="_Toc22172"/>
      <w:bookmarkStart w:id="296" w:name="_Toc30546"/>
      <w:r>
        <w:rPr>
          <w:rFonts w:hint="eastAsia" w:ascii="宋体" w:hAnsi="宋体" w:eastAsia="宋体" w:cs="宋体"/>
          <w:b/>
          <w:bCs/>
          <w:color w:val="auto"/>
          <w:kern w:val="2"/>
          <w:sz w:val="24"/>
          <w:szCs w:val="24"/>
          <w:lang w:val="zh-CN" w:eastAsia="zh-CN" w:bidi="ar-SA"/>
        </w:rPr>
        <w:t>（一）资格审查部分</w:t>
      </w:r>
      <w:bookmarkEnd w:id="293"/>
      <w:bookmarkEnd w:id="294"/>
      <w:bookmarkEnd w:id="295"/>
      <w:bookmarkEnd w:id="296"/>
    </w:p>
    <w:p w14:paraId="6EA217EA">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297" w:name="_Toc19260_WPSOffice_Level3"/>
      <w:r>
        <w:rPr>
          <w:rFonts w:hint="eastAsia" w:ascii="宋体" w:hAnsi="宋体" w:eastAsia="宋体" w:cs="宋体"/>
          <w:color w:val="auto"/>
          <w:kern w:val="2"/>
          <w:sz w:val="24"/>
          <w:szCs w:val="24"/>
          <w:lang w:val="zh-CN" w:eastAsia="zh-CN" w:bidi="ar-SA"/>
        </w:rPr>
        <w:t>1、响应函（见附件1）</w:t>
      </w:r>
      <w:bookmarkEnd w:id="297"/>
    </w:p>
    <w:p w14:paraId="417BF7A9">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298" w:name="_Toc13122_WPSOffice_Level3"/>
      <w:r>
        <w:rPr>
          <w:rFonts w:hint="eastAsia" w:ascii="宋体" w:hAnsi="宋体" w:eastAsia="宋体" w:cs="宋体"/>
          <w:color w:val="auto"/>
          <w:kern w:val="2"/>
          <w:sz w:val="24"/>
          <w:szCs w:val="24"/>
          <w:lang w:val="zh-CN" w:eastAsia="zh-CN" w:bidi="ar-SA"/>
        </w:rPr>
        <w:t>2、法定代表人证明书（见附件2）</w:t>
      </w:r>
      <w:bookmarkEnd w:id="298"/>
    </w:p>
    <w:p w14:paraId="31D0588B">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299" w:name="_Toc5677_WPSOffice_Level3"/>
      <w:r>
        <w:rPr>
          <w:rFonts w:hint="eastAsia" w:ascii="宋体" w:hAnsi="宋体" w:eastAsia="宋体" w:cs="宋体"/>
          <w:color w:val="auto"/>
          <w:kern w:val="2"/>
          <w:sz w:val="24"/>
          <w:szCs w:val="24"/>
          <w:lang w:val="zh-CN" w:eastAsia="zh-CN" w:bidi="ar-SA"/>
        </w:rPr>
        <w:t>3、法定代表人授权书（见附件3）</w:t>
      </w:r>
      <w:bookmarkEnd w:id="299"/>
    </w:p>
    <w:p w14:paraId="1468021C">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00" w:name="_Toc1890_WPSOffice_Level3"/>
      <w:r>
        <w:rPr>
          <w:rFonts w:hint="eastAsia" w:ascii="宋体" w:hAnsi="宋体" w:eastAsia="宋体" w:cs="宋体"/>
          <w:color w:val="auto"/>
          <w:kern w:val="2"/>
          <w:sz w:val="24"/>
          <w:szCs w:val="24"/>
          <w:lang w:val="zh-CN" w:eastAsia="zh-CN" w:bidi="ar-SA"/>
        </w:rPr>
        <w:t>4、供应商承诺函（见附件4）</w:t>
      </w:r>
      <w:bookmarkEnd w:id="300"/>
    </w:p>
    <w:p w14:paraId="569E2EB4">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01" w:name="_Toc25873_WPSOffice_Level3"/>
      <w:r>
        <w:rPr>
          <w:rFonts w:hint="eastAsia" w:ascii="宋体" w:hAnsi="宋体" w:eastAsia="宋体" w:cs="宋体"/>
          <w:color w:val="auto"/>
          <w:kern w:val="2"/>
          <w:sz w:val="24"/>
          <w:szCs w:val="24"/>
          <w:lang w:val="zh-CN" w:eastAsia="zh-CN" w:bidi="ar-SA"/>
        </w:rPr>
        <w:t>5、供应商诚信承诺书（见附件5）</w:t>
      </w:r>
      <w:bookmarkEnd w:id="301"/>
    </w:p>
    <w:p w14:paraId="177AF96C">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02" w:name="_Toc31370_WPSOffice_Level3"/>
      <w:r>
        <w:rPr>
          <w:rFonts w:hint="eastAsia" w:ascii="宋体" w:hAnsi="宋体" w:eastAsia="宋体" w:cs="宋体"/>
          <w:color w:val="auto"/>
          <w:kern w:val="2"/>
          <w:sz w:val="24"/>
          <w:szCs w:val="24"/>
          <w:lang w:val="zh-CN" w:eastAsia="zh-CN" w:bidi="ar-SA"/>
        </w:rPr>
        <w:t>6、供应商资格证明文件（见附件6）</w:t>
      </w:r>
      <w:bookmarkEnd w:id="302"/>
    </w:p>
    <w:p w14:paraId="7BF0E4D3">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03" w:name="_Toc10045_WPSOffice_Level3"/>
      <w:r>
        <w:rPr>
          <w:rFonts w:hint="eastAsia" w:ascii="宋体" w:hAnsi="宋体" w:eastAsia="宋体" w:cs="宋体"/>
          <w:color w:val="auto"/>
          <w:kern w:val="2"/>
          <w:sz w:val="24"/>
          <w:szCs w:val="24"/>
          <w:lang w:val="zh-CN" w:eastAsia="zh-CN" w:bidi="ar-SA"/>
        </w:rPr>
        <w:t>7、财务状况、缴纳税收和社会保障资金证明（见附件7）</w:t>
      </w:r>
      <w:bookmarkEnd w:id="303"/>
    </w:p>
    <w:p w14:paraId="000E5FAE">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04" w:name="_Toc12223_WPSOffice_Level3"/>
      <w:r>
        <w:rPr>
          <w:rFonts w:hint="eastAsia" w:ascii="宋体" w:hAnsi="宋体" w:eastAsia="宋体" w:cs="宋体"/>
          <w:color w:val="auto"/>
          <w:kern w:val="2"/>
          <w:sz w:val="24"/>
          <w:szCs w:val="24"/>
          <w:lang w:val="zh-CN" w:eastAsia="zh-CN" w:bidi="ar-SA"/>
        </w:rPr>
        <w:t>8、无重大违法记录声明（见附件</w:t>
      </w:r>
      <w:r>
        <w:rPr>
          <w:rFonts w:hint="eastAsia" w:ascii="宋体" w:hAnsi="宋体" w:eastAsia="宋体" w:cs="宋体"/>
          <w:color w:val="auto"/>
          <w:kern w:val="2"/>
          <w:sz w:val="24"/>
          <w:szCs w:val="24"/>
          <w:lang w:val="en-US" w:eastAsia="zh-CN" w:bidi="ar-SA"/>
        </w:rPr>
        <w:t>8</w:t>
      </w:r>
      <w:r>
        <w:rPr>
          <w:rFonts w:hint="eastAsia" w:ascii="宋体" w:hAnsi="宋体" w:eastAsia="宋体" w:cs="宋体"/>
          <w:color w:val="auto"/>
          <w:kern w:val="2"/>
          <w:sz w:val="24"/>
          <w:szCs w:val="24"/>
          <w:lang w:val="zh-CN" w:eastAsia="zh-CN" w:bidi="ar-SA"/>
        </w:rPr>
        <w:t>）</w:t>
      </w:r>
      <w:bookmarkEnd w:id="304"/>
    </w:p>
    <w:p w14:paraId="6AEC8C92">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en-US" w:eastAsia="zh-CN" w:bidi="ar-SA"/>
        </w:rPr>
      </w:pPr>
      <w:bookmarkStart w:id="305" w:name="_Toc10394_WPSOffice_Level3"/>
      <w:r>
        <w:rPr>
          <w:rFonts w:hint="eastAsia" w:ascii="宋体" w:hAnsi="宋体" w:eastAsia="宋体" w:cs="宋体"/>
          <w:color w:val="auto"/>
          <w:kern w:val="2"/>
          <w:sz w:val="24"/>
          <w:szCs w:val="24"/>
          <w:lang w:val="en-US" w:eastAsia="zh-CN" w:bidi="ar-SA"/>
        </w:rPr>
        <w:t>9、谈判保证金证明（见附件9）</w:t>
      </w:r>
      <w:bookmarkEnd w:id="305"/>
    </w:p>
    <w:p w14:paraId="0A8058F3">
      <w:pPr>
        <w:widowControl w:val="0"/>
        <w:wordWrap/>
        <w:adjustRightInd w:val="0"/>
        <w:snapToGrid w:val="0"/>
        <w:spacing w:line="560" w:lineRule="exact"/>
        <w:jc w:val="left"/>
        <w:textAlignment w:val="auto"/>
        <w:outlineLvl w:val="2"/>
        <w:rPr>
          <w:rFonts w:hint="eastAsia" w:ascii="宋体" w:hAnsi="宋体" w:eastAsia="宋体" w:cs="宋体"/>
          <w:b/>
          <w:bCs/>
          <w:color w:val="auto"/>
          <w:kern w:val="2"/>
          <w:sz w:val="24"/>
          <w:szCs w:val="24"/>
          <w:lang w:val="zh-CN" w:eastAsia="zh-CN" w:bidi="ar-SA"/>
        </w:rPr>
      </w:pPr>
      <w:bookmarkStart w:id="306" w:name="_Toc1423"/>
      <w:bookmarkStart w:id="307" w:name="_Toc3154_WPSOffice_Level2"/>
      <w:bookmarkStart w:id="308" w:name="_Toc18301_WPSOffice_Level3"/>
      <w:bookmarkStart w:id="309" w:name="_Toc21135"/>
      <w:r>
        <w:rPr>
          <w:rFonts w:hint="eastAsia" w:ascii="宋体" w:hAnsi="宋体" w:eastAsia="宋体" w:cs="宋体"/>
          <w:b/>
          <w:bCs/>
          <w:color w:val="auto"/>
          <w:kern w:val="2"/>
          <w:sz w:val="24"/>
          <w:szCs w:val="24"/>
          <w:lang w:val="zh-CN" w:eastAsia="zh-CN" w:bidi="ar-SA"/>
        </w:rPr>
        <w:t>（二）有效性、完整性、响应程度审查部分</w:t>
      </w:r>
      <w:bookmarkEnd w:id="306"/>
      <w:bookmarkEnd w:id="307"/>
      <w:bookmarkEnd w:id="308"/>
      <w:bookmarkEnd w:id="309"/>
    </w:p>
    <w:p w14:paraId="15885848">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10" w:name="_Toc9730_WPSOffice_Level3"/>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lang w:val="zh-CN" w:eastAsia="zh-CN" w:bidi="ar-SA"/>
        </w:rPr>
        <w:t>、谈判首次报价表（见附件</w:t>
      </w:r>
      <w:r>
        <w:rPr>
          <w:rFonts w:hint="eastAsia" w:ascii="宋体" w:hAnsi="宋体" w:eastAsia="宋体" w:cs="宋体"/>
          <w:color w:val="auto"/>
          <w:kern w:val="2"/>
          <w:sz w:val="24"/>
          <w:szCs w:val="24"/>
          <w:lang w:val="en-US" w:eastAsia="zh-CN" w:bidi="ar-SA"/>
        </w:rPr>
        <w:t>10</w:t>
      </w:r>
      <w:r>
        <w:rPr>
          <w:rFonts w:hint="eastAsia" w:ascii="宋体" w:hAnsi="宋体" w:eastAsia="宋体" w:cs="宋体"/>
          <w:color w:val="auto"/>
          <w:kern w:val="2"/>
          <w:sz w:val="24"/>
          <w:szCs w:val="24"/>
          <w:lang w:val="zh-CN" w:eastAsia="zh-CN" w:bidi="ar-SA"/>
        </w:rPr>
        <w:t>）</w:t>
      </w:r>
      <w:bookmarkEnd w:id="310"/>
    </w:p>
    <w:p w14:paraId="0020906C">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11" w:name="_Toc15196_WPSOffice_Level3"/>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val="zh-CN" w:eastAsia="zh-CN" w:bidi="ar-SA"/>
        </w:rPr>
        <w:t>、分项报价表（见附件1</w:t>
      </w: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lang w:val="zh-CN" w:eastAsia="zh-CN" w:bidi="ar-SA"/>
        </w:rPr>
        <w:t>）</w:t>
      </w:r>
      <w:bookmarkEnd w:id="311"/>
    </w:p>
    <w:p w14:paraId="3F4F5819">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12" w:name="_Toc319_WPSOffice_Level3"/>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kern w:val="2"/>
          <w:sz w:val="24"/>
          <w:szCs w:val="24"/>
          <w:lang w:val="zh-CN" w:eastAsia="zh-CN" w:bidi="ar-SA"/>
        </w:rPr>
        <w:t>、服务响应表（见附件1</w:t>
      </w: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val="zh-CN" w:eastAsia="zh-CN" w:bidi="ar-SA"/>
        </w:rPr>
        <w:t>）</w:t>
      </w:r>
      <w:bookmarkEnd w:id="312"/>
    </w:p>
    <w:p w14:paraId="45AF2546">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13" w:name="_Toc22060_WPSOffice_Level3"/>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kern w:val="2"/>
          <w:sz w:val="24"/>
          <w:szCs w:val="24"/>
          <w:lang w:val="zh-CN" w:eastAsia="zh-CN" w:bidi="ar-SA"/>
        </w:rPr>
        <w:t>、服务相关资料（具备履行合同所必须的设备和专业技术能力证明）（附件1</w:t>
      </w: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kern w:val="2"/>
          <w:sz w:val="24"/>
          <w:szCs w:val="24"/>
          <w:lang w:val="zh-CN" w:eastAsia="zh-CN" w:bidi="ar-SA"/>
        </w:rPr>
        <w:t>）</w:t>
      </w:r>
    </w:p>
    <w:bookmarkEnd w:id="313"/>
    <w:p w14:paraId="7989E549">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14" w:name="_Toc16307_WPSOffice_Level3"/>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kern w:val="2"/>
          <w:sz w:val="24"/>
          <w:szCs w:val="24"/>
          <w:lang w:val="zh-CN" w:eastAsia="zh-CN" w:bidi="ar-SA"/>
        </w:rPr>
        <w:t>、供应商认为在其他方面有必要说明的事项（格式自定）</w:t>
      </w:r>
      <w:bookmarkEnd w:id="314"/>
    </w:p>
    <w:p w14:paraId="6F9E557C">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15" w:name="_Toc1748_WPSOffice_Level3"/>
      <w:r>
        <w:rPr>
          <w:rFonts w:hint="eastAsia" w:ascii="宋体" w:hAnsi="宋体" w:eastAsia="宋体" w:cs="宋体"/>
          <w:color w:val="auto"/>
          <w:kern w:val="2"/>
          <w:sz w:val="24"/>
          <w:szCs w:val="24"/>
          <w:lang w:val="en-US" w:eastAsia="zh-CN" w:bidi="ar-SA"/>
        </w:rPr>
        <w:t>6、</w:t>
      </w:r>
      <w:r>
        <w:rPr>
          <w:rFonts w:hint="eastAsia" w:ascii="宋体" w:hAnsi="宋体" w:eastAsia="宋体" w:cs="宋体"/>
          <w:color w:val="auto"/>
          <w:kern w:val="2"/>
          <w:sz w:val="24"/>
          <w:szCs w:val="24"/>
          <w:lang w:val="zh-CN" w:eastAsia="zh-CN" w:bidi="ar-SA"/>
        </w:rPr>
        <w:t>享受采购政策优惠的证明资料（见附件</w:t>
      </w:r>
      <w:r>
        <w:rPr>
          <w:rFonts w:hint="eastAsia" w:ascii="宋体" w:hAnsi="宋体" w:eastAsia="宋体" w:cs="宋体"/>
          <w:color w:val="auto"/>
          <w:kern w:val="2"/>
          <w:sz w:val="24"/>
          <w:szCs w:val="24"/>
          <w:lang w:val="en-US" w:eastAsia="zh-CN" w:bidi="ar-SA"/>
        </w:rPr>
        <w:t>14</w:t>
      </w:r>
      <w:r>
        <w:rPr>
          <w:rFonts w:hint="eastAsia" w:ascii="宋体" w:hAnsi="宋体" w:eastAsia="宋体" w:cs="宋体"/>
          <w:color w:val="auto"/>
          <w:kern w:val="2"/>
          <w:sz w:val="24"/>
          <w:szCs w:val="24"/>
          <w:lang w:val="zh-CN" w:eastAsia="zh-CN" w:bidi="ar-SA"/>
        </w:rPr>
        <w:t>）</w:t>
      </w:r>
      <w:bookmarkEnd w:id="315"/>
    </w:p>
    <w:p w14:paraId="4FEDE2AF">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en-US" w:eastAsia="zh-CN" w:bidi="ar-SA"/>
        </w:rPr>
      </w:pPr>
      <w:bookmarkStart w:id="316" w:name="_Toc5088_WPSOffice_Level3"/>
      <w:r>
        <w:rPr>
          <w:rFonts w:hint="eastAsia" w:ascii="宋体" w:hAnsi="宋体" w:eastAsia="宋体" w:cs="宋体"/>
          <w:color w:val="auto"/>
          <w:kern w:val="2"/>
          <w:sz w:val="24"/>
          <w:szCs w:val="24"/>
          <w:lang w:val="en-US" w:eastAsia="zh-CN" w:bidi="ar-SA"/>
        </w:rPr>
        <w:t>7、其他证明材料（格式自定）</w:t>
      </w:r>
      <w:bookmarkEnd w:id="316"/>
    </w:p>
    <w:p w14:paraId="57F175BB">
      <w:pPr>
        <w:widowControl w:val="0"/>
        <w:wordWrap/>
        <w:adjustRightInd w:val="0"/>
        <w:snapToGrid w:val="0"/>
        <w:spacing w:line="560" w:lineRule="exact"/>
        <w:jc w:val="left"/>
        <w:textAlignment w:val="auto"/>
        <w:rPr>
          <w:rFonts w:hint="eastAsia" w:ascii="宋体" w:hAnsi="宋体" w:eastAsia="宋体" w:cs="宋体"/>
          <w:color w:val="auto"/>
          <w:kern w:val="2"/>
          <w:sz w:val="32"/>
          <w:szCs w:val="32"/>
          <w:lang w:val="en-US" w:eastAsia="zh-CN" w:bidi="ar-SA"/>
        </w:rPr>
      </w:pPr>
      <w:bookmarkStart w:id="317" w:name="_Toc30100_WPSOffice_Level3"/>
      <w:r>
        <w:rPr>
          <w:rFonts w:hint="eastAsia" w:ascii="宋体" w:hAnsi="宋体" w:eastAsia="宋体" w:cs="宋体"/>
          <w:color w:val="auto"/>
          <w:kern w:val="2"/>
          <w:sz w:val="24"/>
          <w:szCs w:val="24"/>
          <w:lang w:val="en-US" w:eastAsia="zh-CN" w:bidi="ar-SA"/>
        </w:rPr>
        <w:t>8、谈判最后报价表（见附件15）</w:t>
      </w:r>
      <w:bookmarkEnd w:id="317"/>
    </w:p>
    <w:p w14:paraId="38EB0FC9">
      <w:pPr>
        <w:rPr>
          <w:rFonts w:hint="eastAsia" w:ascii="宋体" w:hAnsi="宋体" w:eastAsia="宋体" w:cs="宋体"/>
          <w:b/>
          <w:bCs/>
          <w:color w:val="auto"/>
          <w:kern w:val="2"/>
          <w:sz w:val="28"/>
          <w:szCs w:val="28"/>
          <w:lang w:val="en-US" w:eastAsia="zh-CN" w:bidi="ar-SA"/>
        </w:rPr>
      </w:pPr>
      <w:bookmarkStart w:id="318" w:name="_Toc5252_WPSOffice_Level2"/>
      <w:bookmarkStart w:id="319" w:name="_Toc1684_WPSOffice_Level2"/>
      <w:bookmarkStart w:id="320" w:name="_Toc14930_WPSOffice_Level2"/>
      <w:bookmarkStart w:id="321" w:name="_Toc11918"/>
      <w:r>
        <w:rPr>
          <w:rFonts w:hint="eastAsia" w:ascii="宋体" w:hAnsi="宋体" w:eastAsia="宋体" w:cs="宋体"/>
          <w:b/>
          <w:bCs/>
          <w:color w:val="auto"/>
          <w:kern w:val="2"/>
          <w:sz w:val="28"/>
          <w:szCs w:val="28"/>
          <w:lang w:val="en-US" w:eastAsia="zh-CN" w:bidi="ar-SA"/>
        </w:rPr>
        <w:br w:type="page"/>
      </w:r>
    </w:p>
    <w:p w14:paraId="6A736426">
      <w:pPr>
        <w:widowControl w:val="0"/>
        <w:wordWrap/>
        <w:adjustRightInd w:val="0"/>
        <w:snapToGrid w:val="0"/>
        <w:spacing w:line="560" w:lineRule="exact"/>
        <w:jc w:val="center"/>
        <w:textAlignment w:val="auto"/>
        <w:outlineLvl w:val="1"/>
        <w:rPr>
          <w:rFonts w:hint="eastAsia" w:ascii="宋体" w:hAnsi="宋体" w:eastAsia="宋体" w:cs="宋体"/>
          <w:b/>
          <w:bCs/>
          <w:color w:val="auto"/>
          <w:kern w:val="2"/>
          <w:sz w:val="28"/>
          <w:szCs w:val="28"/>
          <w:lang w:val="en-US" w:eastAsia="zh-CN" w:bidi="ar-SA"/>
        </w:rPr>
      </w:pPr>
      <w:bookmarkStart w:id="322" w:name="_Toc10743"/>
      <w:r>
        <w:rPr>
          <w:rFonts w:hint="eastAsia" w:ascii="宋体" w:hAnsi="宋体" w:eastAsia="宋体" w:cs="宋体"/>
          <w:b/>
          <w:bCs/>
          <w:color w:val="auto"/>
          <w:kern w:val="2"/>
          <w:sz w:val="28"/>
          <w:szCs w:val="28"/>
          <w:lang w:val="en-US" w:eastAsia="zh-CN" w:bidi="ar-SA"/>
        </w:rPr>
        <w:t>十三、</w:t>
      </w:r>
      <w:bookmarkEnd w:id="318"/>
      <w:bookmarkEnd w:id="319"/>
      <w:bookmarkEnd w:id="320"/>
      <w:bookmarkEnd w:id="321"/>
      <w:bookmarkEnd w:id="322"/>
      <w:r>
        <w:rPr>
          <w:rFonts w:hint="eastAsia" w:ascii="宋体" w:hAnsi="宋体" w:eastAsia="宋体" w:cs="宋体"/>
          <w:b/>
          <w:bCs/>
          <w:color w:val="auto"/>
          <w:kern w:val="2"/>
          <w:sz w:val="28"/>
          <w:szCs w:val="28"/>
          <w:lang w:val="en-US" w:eastAsia="zh-CN" w:bidi="ar-SA"/>
        </w:rPr>
        <w:t>响应文件</w:t>
      </w:r>
    </w:p>
    <w:p w14:paraId="34ACC14E">
      <w:pPr>
        <w:wordWrap/>
        <w:spacing w:before="157" w:beforeLines="50" w:line="560" w:lineRule="exact"/>
        <w:jc w:val="center"/>
        <w:outlineLvl w:val="9"/>
        <w:rPr>
          <w:rFonts w:hint="eastAsia" w:ascii="宋体" w:hAnsi="宋体" w:eastAsia="宋体" w:cs="宋体"/>
          <w:b/>
          <w:color w:val="auto"/>
          <w:sz w:val="44"/>
          <w:szCs w:val="44"/>
        </w:rPr>
      </w:pPr>
      <w:bookmarkStart w:id="323" w:name="_Toc28269_WPSOffice_Level3"/>
      <w:bookmarkStart w:id="324" w:name="_Toc10997_WPSOffice_Level2"/>
      <w:bookmarkStart w:id="325" w:name="_Toc31682_WPSOffice_Level2"/>
    </w:p>
    <w:p w14:paraId="418C3F52">
      <w:pPr>
        <w:wordWrap/>
        <w:spacing w:before="157" w:beforeLines="50" w:line="560" w:lineRule="exact"/>
        <w:jc w:val="center"/>
        <w:outlineLvl w:val="9"/>
        <w:rPr>
          <w:rFonts w:hint="eastAsia" w:ascii="宋体" w:hAnsi="宋体" w:eastAsia="宋体" w:cs="宋体"/>
          <w:b/>
          <w:color w:val="auto"/>
          <w:sz w:val="44"/>
          <w:szCs w:val="44"/>
        </w:rPr>
      </w:pPr>
      <w:r>
        <w:rPr>
          <w:rFonts w:hint="eastAsia" w:ascii="宋体" w:hAnsi="宋体" w:eastAsia="宋体" w:cs="宋体"/>
          <w:b/>
          <w:color w:val="auto"/>
          <w:sz w:val="44"/>
          <w:szCs w:val="44"/>
        </w:rPr>
        <w:t>采购项目</w:t>
      </w:r>
      <w:bookmarkEnd w:id="323"/>
      <w:bookmarkEnd w:id="324"/>
      <w:bookmarkEnd w:id="325"/>
      <w:bookmarkStart w:id="326" w:name="_Toc25378_WPSOffice_Level2"/>
      <w:bookmarkStart w:id="327" w:name="_Toc23622_WPSOffice_Level2"/>
    </w:p>
    <w:bookmarkEnd w:id="326"/>
    <w:bookmarkEnd w:id="327"/>
    <w:p w14:paraId="19AAE313">
      <w:pPr>
        <w:wordWrap/>
        <w:spacing w:before="157" w:beforeLines="50" w:line="560" w:lineRule="exact"/>
        <w:jc w:val="center"/>
        <w:outlineLvl w:val="9"/>
        <w:rPr>
          <w:rFonts w:hint="eastAsia" w:ascii="宋体" w:hAnsi="宋体" w:eastAsia="宋体" w:cs="宋体"/>
          <w:b/>
          <w:color w:val="auto"/>
          <w:sz w:val="44"/>
          <w:szCs w:val="44"/>
          <w:lang w:eastAsia="zh-CN"/>
        </w:rPr>
      </w:pPr>
      <w:r>
        <w:rPr>
          <w:rFonts w:hint="eastAsia" w:ascii="宋体" w:hAnsi="宋体" w:eastAsia="宋体" w:cs="宋体"/>
          <w:b/>
          <w:color w:val="auto"/>
          <w:sz w:val="44"/>
          <w:szCs w:val="44"/>
          <w:lang w:eastAsia="zh-CN"/>
        </w:rPr>
        <w:t>响应文件</w:t>
      </w:r>
    </w:p>
    <w:p w14:paraId="37A38016">
      <w:pPr>
        <w:wordWrap/>
        <w:adjustRightInd w:val="0"/>
        <w:spacing w:before="157" w:beforeLines="50" w:line="560" w:lineRule="exact"/>
        <w:ind w:firstLine="3052" w:firstLineChars="950"/>
        <w:textAlignment w:val="baseline"/>
        <w:outlineLvl w:val="9"/>
        <w:rPr>
          <w:rFonts w:hint="eastAsia" w:ascii="宋体" w:hAnsi="宋体" w:eastAsia="宋体" w:cs="宋体"/>
          <w:b/>
          <w:bCs/>
          <w:color w:val="auto"/>
          <w:sz w:val="32"/>
          <w:szCs w:val="32"/>
        </w:rPr>
      </w:pPr>
      <w:bookmarkStart w:id="328" w:name="_Toc13231_WPSOffice_Level2"/>
      <w:bookmarkStart w:id="329" w:name="_Toc28825_WPSOffice_Level2"/>
      <w:r>
        <w:rPr>
          <w:rFonts w:hint="eastAsia" w:ascii="宋体" w:hAnsi="宋体" w:eastAsia="宋体" w:cs="宋体"/>
          <w:b/>
          <w:bCs/>
          <w:color w:val="auto"/>
          <w:sz w:val="32"/>
          <w:szCs w:val="32"/>
        </w:rPr>
        <w:t>（</w:t>
      </w:r>
      <w:r>
        <w:rPr>
          <w:rFonts w:hint="eastAsia" w:ascii="宋体" w:hAnsi="宋体" w:eastAsia="宋体" w:cs="宋体"/>
          <w:b w:val="0"/>
          <w:bCs w:val="0"/>
          <w:color w:val="auto"/>
          <w:kern w:val="2"/>
          <w:sz w:val="32"/>
          <w:szCs w:val="32"/>
          <w:lang w:val="en-US" w:eastAsia="zh-CN" w:bidi="ar-SA"/>
        </w:rPr>
        <w:t>资格审查部分</w:t>
      </w:r>
      <w:r>
        <w:rPr>
          <w:rFonts w:hint="eastAsia" w:ascii="宋体" w:hAnsi="宋体" w:eastAsia="宋体" w:cs="宋体"/>
          <w:b/>
          <w:bCs/>
          <w:color w:val="auto"/>
          <w:sz w:val="32"/>
          <w:szCs w:val="32"/>
        </w:rPr>
        <w:t>）</w:t>
      </w:r>
    </w:p>
    <w:p w14:paraId="6C8E91E5">
      <w:pPr>
        <w:wordWrap/>
        <w:adjustRightInd w:val="0"/>
        <w:spacing w:before="157" w:beforeLines="50" w:line="560" w:lineRule="exact"/>
        <w:ind w:firstLine="3052" w:firstLineChars="950"/>
        <w:textAlignment w:val="baseline"/>
        <w:outlineLvl w:val="9"/>
        <w:rPr>
          <w:rFonts w:hint="eastAsia" w:ascii="宋体" w:hAnsi="宋体" w:eastAsia="宋体" w:cs="宋体"/>
          <w:b/>
          <w:bCs/>
          <w:color w:val="auto"/>
          <w:sz w:val="32"/>
          <w:szCs w:val="32"/>
        </w:rPr>
      </w:pPr>
    </w:p>
    <w:bookmarkEnd w:id="328"/>
    <w:bookmarkEnd w:id="329"/>
    <w:p w14:paraId="4475ECB8">
      <w:pPr>
        <w:wordWrap/>
        <w:adjustRightInd w:val="0"/>
        <w:spacing w:before="157" w:beforeLines="50" w:line="560" w:lineRule="exact"/>
        <w:textAlignment w:val="baseline"/>
        <w:outlineLvl w:val="9"/>
        <w:rPr>
          <w:rFonts w:hint="eastAsia" w:ascii="宋体" w:hAnsi="宋体" w:eastAsia="宋体" w:cs="宋体"/>
          <w:b/>
          <w:bCs/>
          <w:color w:val="auto"/>
          <w:sz w:val="32"/>
          <w:szCs w:val="32"/>
        </w:rPr>
      </w:pPr>
    </w:p>
    <w:p w14:paraId="5D3F6E57">
      <w:pPr>
        <w:wordWrap/>
        <w:adjustRightInd w:val="0"/>
        <w:spacing w:before="157" w:beforeLines="50" w:line="560" w:lineRule="exact"/>
        <w:textAlignment w:val="baseline"/>
        <w:outlineLvl w:val="9"/>
        <w:rPr>
          <w:rFonts w:hint="eastAsia" w:ascii="宋体" w:hAnsi="宋体" w:eastAsia="宋体" w:cs="宋体"/>
          <w:b/>
          <w:bCs/>
          <w:color w:val="auto"/>
          <w:sz w:val="32"/>
          <w:szCs w:val="32"/>
        </w:rPr>
      </w:pPr>
    </w:p>
    <w:p w14:paraId="4C09FBB2">
      <w:pPr>
        <w:wordWrap/>
        <w:adjustRightInd w:val="0"/>
        <w:spacing w:before="157" w:beforeLines="50" w:line="560" w:lineRule="exact"/>
        <w:textAlignment w:val="baseline"/>
        <w:outlineLvl w:val="9"/>
        <w:rPr>
          <w:rFonts w:hint="eastAsia" w:ascii="宋体" w:hAnsi="宋体" w:eastAsia="宋体" w:cs="宋体"/>
          <w:b/>
          <w:bCs/>
          <w:color w:val="auto"/>
          <w:sz w:val="32"/>
          <w:szCs w:val="32"/>
        </w:rPr>
      </w:pPr>
    </w:p>
    <w:p w14:paraId="791B9BB5">
      <w:pPr>
        <w:wordWrap/>
        <w:adjustRightInd w:val="0"/>
        <w:spacing w:before="157" w:beforeLines="50" w:line="560" w:lineRule="exact"/>
        <w:textAlignment w:val="baseline"/>
        <w:outlineLvl w:val="9"/>
        <w:rPr>
          <w:rFonts w:hint="eastAsia" w:ascii="宋体" w:hAnsi="宋体" w:eastAsia="宋体" w:cs="宋体"/>
          <w:b/>
          <w:bCs/>
          <w:color w:val="auto"/>
          <w:sz w:val="32"/>
          <w:szCs w:val="32"/>
          <w:lang w:eastAsia="zh-CN"/>
        </w:rPr>
      </w:pPr>
      <w:bookmarkStart w:id="330" w:name="_Toc29803_WPSOffice_Level2"/>
      <w:bookmarkStart w:id="331" w:name="_Toc19521_WPSOffice_Level2"/>
      <w:r>
        <w:rPr>
          <w:rFonts w:hint="eastAsia" w:ascii="宋体" w:hAnsi="宋体" w:eastAsia="宋体" w:cs="宋体"/>
          <w:b/>
          <w:bCs/>
          <w:color w:val="auto"/>
          <w:sz w:val="32"/>
          <w:szCs w:val="32"/>
        </w:rPr>
        <w:t>采购项目编号:</w:t>
      </w:r>
      <w:bookmarkEnd w:id="330"/>
      <w:bookmarkEnd w:id="331"/>
    </w:p>
    <w:p w14:paraId="67CE768D">
      <w:pPr>
        <w:wordWrap/>
        <w:spacing w:before="157" w:beforeLines="50" w:line="560" w:lineRule="exact"/>
        <w:ind w:left="2530" w:hanging="2249" w:hangingChars="700"/>
        <w:jc w:val="left"/>
        <w:outlineLvl w:val="9"/>
        <w:rPr>
          <w:rFonts w:hint="eastAsia" w:ascii="宋体" w:hAnsi="宋体" w:eastAsia="宋体" w:cs="宋体"/>
          <w:b/>
          <w:bCs/>
          <w:color w:val="auto"/>
          <w:sz w:val="32"/>
          <w:szCs w:val="32"/>
        </w:rPr>
      </w:pPr>
      <w:bookmarkStart w:id="332" w:name="_Toc18713_WPSOffice_Level2"/>
      <w:bookmarkStart w:id="333" w:name="_Toc14786_WPSOffice_Level2"/>
      <w:r>
        <w:rPr>
          <w:rFonts w:hint="eastAsia" w:ascii="宋体" w:hAnsi="宋体" w:eastAsia="宋体" w:cs="宋体"/>
          <w:b/>
          <w:bCs/>
          <w:color w:val="auto"/>
          <w:sz w:val="32"/>
          <w:szCs w:val="32"/>
        </w:rPr>
        <w:t>采购项目名称:</w:t>
      </w:r>
      <w:bookmarkEnd w:id="332"/>
      <w:bookmarkEnd w:id="333"/>
    </w:p>
    <w:p w14:paraId="1A804ACF">
      <w:pPr>
        <w:wordWrap/>
        <w:adjustRightInd w:val="0"/>
        <w:spacing w:before="157" w:beforeLines="50" w:line="560" w:lineRule="exact"/>
        <w:textAlignment w:val="baseline"/>
        <w:outlineLvl w:val="9"/>
        <w:rPr>
          <w:rFonts w:hint="eastAsia" w:ascii="宋体" w:hAnsi="宋体" w:eastAsia="宋体" w:cs="宋体"/>
          <w:b/>
          <w:bCs/>
          <w:color w:val="auto"/>
          <w:sz w:val="32"/>
          <w:szCs w:val="32"/>
          <w:lang w:eastAsia="zh-CN"/>
        </w:rPr>
      </w:pPr>
      <w:bookmarkStart w:id="334" w:name="_Toc22044_WPSOffice_Level2"/>
      <w:bookmarkStart w:id="335" w:name="_Toc14087_WPSOffice_Level2"/>
      <w:r>
        <w:rPr>
          <w:rFonts w:hint="eastAsia" w:ascii="宋体" w:hAnsi="宋体" w:eastAsia="宋体" w:cs="宋体"/>
          <w:b/>
          <w:bCs/>
          <w:color w:val="auto"/>
          <w:sz w:val="32"/>
          <w:szCs w:val="32"/>
          <w:lang w:eastAsia="zh-CN"/>
        </w:rPr>
        <w:t>供应商名称：</w:t>
      </w:r>
      <w:bookmarkEnd w:id="334"/>
      <w:bookmarkEnd w:id="335"/>
    </w:p>
    <w:p w14:paraId="392AE0E1">
      <w:pPr>
        <w:wordWrap/>
        <w:spacing w:before="157" w:beforeLines="50" w:line="560" w:lineRule="exact"/>
        <w:jc w:val="center"/>
        <w:outlineLvl w:val="9"/>
        <w:rPr>
          <w:rFonts w:hint="eastAsia" w:ascii="宋体" w:hAnsi="宋体" w:eastAsia="宋体" w:cs="宋体"/>
          <w:b/>
          <w:bCs/>
          <w:color w:val="auto"/>
          <w:sz w:val="32"/>
          <w:szCs w:val="32"/>
        </w:rPr>
      </w:pPr>
    </w:p>
    <w:p w14:paraId="1C5AFBCB">
      <w:pPr>
        <w:wordWrap/>
        <w:spacing w:before="157" w:beforeLines="50" w:line="560" w:lineRule="exact"/>
        <w:jc w:val="center"/>
        <w:outlineLvl w:val="9"/>
        <w:rPr>
          <w:rFonts w:hint="eastAsia" w:ascii="宋体" w:hAnsi="宋体" w:eastAsia="宋体" w:cs="宋体"/>
          <w:b/>
          <w:color w:val="auto"/>
          <w:sz w:val="32"/>
          <w:szCs w:val="32"/>
        </w:rPr>
      </w:pPr>
      <w:bookmarkStart w:id="336" w:name="_Toc1142_WPSOffice_Level3"/>
      <w:r>
        <w:rPr>
          <w:rFonts w:hint="eastAsia" w:ascii="宋体" w:hAnsi="宋体" w:eastAsia="宋体" w:cs="宋体"/>
          <w:b/>
          <w:color w:val="auto"/>
          <w:sz w:val="32"/>
          <w:szCs w:val="32"/>
        </w:rPr>
        <w:t>年  月  日</w:t>
      </w:r>
      <w:bookmarkEnd w:id="336"/>
    </w:p>
    <w:p w14:paraId="5AC05E2C">
      <w:pPr>
        <w:widowControl/>
        <w:wordWrap/>
        <w:snapToGrid w:val="0"/>
        <w:spacing w:before="157" w:beforeLines="50" w:line="560" w:lineRule="exact"/>
        <w:jc w:val="left"/>
        <w:outlineLvl w:val="9"/>
        <w:rPr>
          <w:rFonts w:hint="eastAsia" w:ascii="宋体" w:hAnsi="宋体" w:eastAsia="宋体" w:cs="宋体"/>
          <w:b/>
          <w:color w:val="auto"/>
          <w:sz w:val="28"/>
          <w:szCs w:val="28"/>
        </w:rPr>
      </w:pPr>
    </w:p>
    <w:p w14:paraId="25B4C89B">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bookmarkStart w:id="337" w:name="_Toc19203"/>
      <w:bookmarkStart w:id="338" w:name="_Toc32479_WPSOffice_Level3"/>
      <w:bookmarkStart w:id="339" w:name="_Toc27597"/>
      <w:bookmarkStart w:id="340" w:name="_Toc27578"/>
    </w:p>
    <w:p w14:paraId="13E60116">
      <w:pPr>
        <w:keepNext w:val="0"/>
        <w:keepLines w:val="0"/>
        <w:pageBreakBefore w:val="0"/>
        <w:widowControl/>
        <w:kinsoku/>
        <w:wordWrap/>
        <w:overflowPunct/>
        <w:topLinePunct w:val="0"/>
        <w:autoSpaceDE/>
        <w:autoSpaceDN/>
        <w:bidi w:val="0"/>
        <w:adjustRightInd/>
        <w:snapToGrid/>
        <w:spacing w:line="360" w:lineRule="auto"/>
        <w:ind w:right="0"/>
        <w:textAlignment w:val="auto"/>
        <w:outlineLvl w:val="1"/>
        <w:rPr>
          <w:rFonts w:hint="eastAsia" w:ascii="宋体" w:hAnsi="宋体" w:eastAsia="宋体" w:cs="宋体"/>
          <w:b/>
          <w:color w:val="auto"/>
          <w:sz w:val="24"/>
          <w:szCs w:val="24"/>
        </w:rPr>
      </w:pPr>
      <w:bookmarkStart w:id="341" w:name="_Toc214"/>
      <w:r>
        <w:rPr>
          <w:rFonts w:hint="eastAsia" w:ascii="宋体" w:hAnsi="宋体" w:eastAsia="宋体" w:cs="宋体"/>
          <w:b/>
          <w:color w:val="auto"/>
          <w:sz w:val="28"/>
          <w:szCs w:val="28"/>
          <w:lang w:eastAsia="zh-CN"/>
        </w:rPr>
        <w:t>附件1：响应函</w:t>
      </w:r>
      <w:bookmarkEnd w:id="337"/>
      <w:bookmarkEnd w:id="338"/>
      <w:bookmarkEnd w:id="339"/>
      <w:bookmarkEnd w:id="340"/>
      <w:bookmarkEnd w:id="341"/>
    </w:p>
    <w:p w14:paraId="0C040B63">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outlineLvl w:val="9"/>
        <w:rPr>
          <w:rFonts w:hint="eastAsia" w:ascii="宋体" w:hAnsi="宋体" w:eastAsia="宋体" w:cs="宋体"/>
          <w:b/>
          <w:color w:val="auto"/>
          <w:sz w:val="24"/>
          <w:szCs w:val="24"/>
        </w:rPr>
      </w:pPr>
      <w:bookmarkStart w:id="342" w:name="_Toc24288_WPSOffice_Level2"/>
      <w:bookmarkStart w:id="343" w:name="_Toc22598_WPSOffice_Level2"/>
      <w:r>
        <w:rPr>
          <w:rFonts w:hint="eastAsia" w:ascii="宋体" w:hAnsi="宋体" w:eastAsia="宋体" w:cs="宋体"/>
          <w:b/>
          <w:color w:val="auto"/>
          <w:sz w:val="24"/>
          <w:szCs w:val="24"/>
          <w:lang w:eastAsia="zh-CN"/>
        </w:rPr>
        <w:t>响</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lang w:eastAsia="zh-CN"/>
        </w:rPr>
        <w:t>应</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函</w:t>
      </w:r>
      <w:bookmarkEnd w:id="342"/>
      <w:bookmarkEnd w:id="343"/>
    </w:p>
    <w:p w14:paraId="23DFB00C">
      <w:pPr>
        <w:keepNext w:val="0"/>
        <w:keepLines w:val="0"/>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b w:val="0"/>
          <w:bCs w:val="0"/>
          <w:color w:val="auto"/>
          <w:sz w:val="24"/>
          <w:szCs w:val="24"/>
        </w:rPr>
      </w:pPr>
      <w:bookmarkStart w:id="344" w:name="_Toc16867_WPSOffice_Level2"/>
      <w:r>
        <w:rPr>
          <w:rFonts w:hint="eastAsia" w:ascii="宋体" w:hAnsi="宋体" w:eastAsia="宋体" w:cs="宋体"/>
          <w:b/>
          <w:bCs/>
          <w:color w:val="auto"/>
          <w:sz w:val="24"/>
          <w:szCs w:val="24"/>
        </w:rPr>
        <w:t>致：</w:t>
      </w:r>
      <w:r>
        <w:rPr>
          <w:rFonts w:hint="eastAsia" w:ascii="宋体" w:hAnsi="宋体" w:eastAsia="宋体" w:cs="宋体"/>
          <w:b/>
          <w:bCs/>
          <w:color w:val="auto"/>
          <w:sz w:val="24"/>
          <w:szCs w:val="24"/>
          <w:u w:val="none"/>
          <w:lang w:eastAsia="zh-CN"/>
        </w:rPr>
        <w:t>青海鼎钊招标代理有限公司</w:t>
      </w:r>
      <w:bookmarkEnd w:id="344"/>
    </w:p>
    <w:p w14:paraId="267D8318">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en-US" w:eastAsia="zh-CN"/>
        </w:rPr>
        <w:t>（项目名称及编号）</w:t>
      </w:r>
      <w:r>
        <w:rPr>
          <w:rFonts w:hint="eastAsia" w:ascii="宋体" w:hAnsi="宋体" w:eastAsia="宋体" w:cs="宋体"/>
          <w:color w:val="auto"/>
          <w:sz w:val="24"/>
          <w:szCs w:val="24"/>
        </w:rPr>
        <w:t>谈判文件，经研究，法定代表人（姓名、职务）正式授权（委托代理人姓名、职务）代表供应商（供应商名称、地址）提交</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w:t>
      </w:r>
    </w:p>
    <w:p w14:paraId="3572DB25">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14:paraId="5C5B92E8">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1、我方已详阅谈判文件的全部内容，包括澄清、修改条款等有关附件，承诺对其完全理解并接受。</w:t>
      </w:r>
    </w:p>
    <w:p w14:paraId="1D2EF1DA">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若在响应文件发出后，</w:t>
      </w:r>
      <w:r>
        <w:rPr>
          <w:rFonts w:hint="eastAsia" w:ascii="宋体" w:hAnsi="宋体" w:eastAsia="宋体" w:cs="宋体"/>
          <w:color w:val="auto"/>
          <w:sz w:val="24"/>
          <w:szCs w:val="24"/>
        </w:rPr>
        <w:t>我方在</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有效期内撤回或成交后不签约的，</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保证金将被贵方没收。</w:t>
      </w:r>
    </w:p>
    <w:p w14:paraId="7AF7F15C">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3、我方同意按照贵方要求提供与</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有关的一切数据或资料，理解并接受贵方制定的评标办法。</w:t>
      </w:r>
    </w:p>
    <w:p w14:paraId="0DB592DF">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4、与本</w:t>
      </w:r>
      <w:r>
        <w:rPr>
          <w:rFonts w:hint="eastAsia" w:ascii="宋体" w:hAnsi="宋体" w:eastAsia="宋体" w:cs="宋体"/>
          <w:color w:val="auto"/>
          <w:sz w:val="24"/>
          <w:szCs w:val="24"/>
          <w:lang w:eastAsia="zh-CN"/>
        </w:rPr>
        <w:t>次竞争性谈判</w:t>
      </w:r>
      <w:r>
        <w:rPr>
          <w:rFonts w:hint="eastAsia" w:ascii="宋体" w:hAnsi="宋体" w:eastAsia="宋体" w:cs="宋体"/>
          <w:color w:val="auto"/>
          <w:sz w:val="24"/>
          <w:szCs w:val="24"/>
        </w:rPr>
        <w:t>有关的一切正式往来通讯请寄：</w:t>
      </w:r>
    </w:p>
    <w:p w14:paraId="2243062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w:t>
      </w:r>
    </w:p>
    <w:p w14:paraId="05E77B11">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邮编：______________</w:t>
      </w:r>
    </w:p>
    <w:p w14:paraId="192965F0">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w:t>
      </w:r>
    </w:p>
    <w:p w14:paraId="7CF73B1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传真：______________</w:t>
      </w:r>
    </w:p>
    <w:p w14:paraId="39E65977">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法定代表人姓名：___________</w:t>
      </w:r>
    </w:p>
    <w:p w14:paraId="591DE8C5">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职务：_________</w:t>
      </w:r>
    </w:p>
    <w:p w14:paraId="46FA0811">
      <w:pPr>
        <w:keepNext w:val="0"/>
        <w:keepLines w:val="0"/>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rPr>
      </w:pPr>
    </w:p>
    <w:p w14:paraId="3227DCA6">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bookmarkStart w:id="345" w:name="_Toc28112_WPSOffice_Level3"/>
      <w:bookmarkStart w:id="346" w:name="_Toc1506_WPSOffice_Level3"/>
      <w:r>
        <w:rPr>
          <w:rFonts w:hint="eastAsia" w:ascii="宋体" w:hAnsi="宋体" w:eastAsia="宋体" w:cs="宋体"/>
          <w:b w:val="0"/>
          <w:bCs/>
          <w:color w:val="auto"/>
          <w:sz w:val="24"/>
          <w:szCs w:val="24"/>
          <w:lang w:eastAsia="zh-CN"/>
        </w:rPr>
        <w:t>单</w:t>
      </w:r>
      <w:r>
        <w:rPr>
          <w:rFonts w:hint="eastAsia" w:ascii="宋体" w:hAnsi="宋体" w:eastAsia="宋体" w:cs="宋体"/>
          <w:b w:val="0"/>
          <w:bCs/>
          <w:color w:val="auto"/>
          <w:sz w:val="24"/>
          <w:szCs w:val="24"/>
        </w:rPr>
        <w:t>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（公章）</w:t>
      </w:r>
      <w:bookmarkEnd w:id="345"/>
      <w:bookmarkEnd w:id="346"/>
    </w:p>
    <w:p w14:paraId="4292EA23">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bookmarkStart w:id="347" w:name="_Toc6385_WPSOffice_Level3"/>
      <w:bookmarkStart w:id="348" w:name="_Toc28651_WPSOffice_Level3"/>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bookmarkEnd w:id="347"/>
      <w:bookmarkEnd w:id="348"/>
    </w:p>
    <w:p w14:paraId="3C84A1ED">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bookmarkStart w:id="349" w:name="_Toc13325_WPSOffice_Level3"/>
      <w:bookmarkStart w:id="350" w:name="_Toc130_WPSOffice_Level3"/>
      <w:r>
        <w:rPr>
          <w:rFonts w:hint="eastAsia" w:ascii="宋体" w:hAnsi="宋体" w:eastAsia="宋体" w:cs="宋体"/>
          <w:b w:val="0"/>
          <w:bCs/>
          <w:color w:val="auto"/>
          <w:sz w:val="24"/>
          <w:szCs w:val="24"/>
        </w:rPr>
        <w:t xml:space="preserve">年   月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日</w:t>
      </w:r>
      <w:bookmarkEnd w:id="349"/>
      <w:bookmarkEnd w:id="350"/>
    </w:p>
    <w:p w14:paraId="507F0875">
      <w:pPr>
        <w:keepNext w:val="0"/>
        <w:keepLines w:val="0"/>
        <w:pageBreakBefore w:val="0"/>
        <w:widowControl/>
        <w:kinsoku/>
        <w:wordWrap/>
        <w:overflowPunct/>
        <w:topLinePunct w:val="0"/>
        <w:bidi w:val="0"/>
        <w:adjustRightInd/>
        <w:snapToGrid/>
        <w:spacing w:line="360" w:lineRule="auto"/>
        <w:ind w:right="0"/>
        <w:outlineLvl w:val="9"/>
        <w:rPr>
          <w:rFonts w:hint="eastAsia" w:ascii="宋体" w:hAnsi="宋体" w:eastAsia="宋体" w:cs="宋体"/>
          <w:b/>
          <w:color w:val="auto"/>
          <w:sz w:val="24"/>
          <w:szCs w:val="24"/>
        </w:rPr>
      </w:pPr>
    </w:p>
    <w:p w14:paraId="70235C8B">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8"/>
          <w:szCs w:val="28"/>
          <w:lang w:eastAsia="zh-CN"/>
        </w:rPr>
      </w:pPr>
      <w:bookmarkStart w:id="351" w:name="_Toc12487"/>
      <w:bookmarkStart w:id="352" w:name="_Toc20882_WPSOffice_Level3"/>
      <w:bookmarkStart w:id="353" w:name="_Toc17887_WPSOffice_Level2"/>
      <w:bookmarkStart w:id="354" w:name="_Toc16050"/>
      <w:bookmarkStart w:id="355" w:name="_Toc26257_WPSOffice_Level2"/>
      <w:bookmarkStart w:id="356" w:name="_Toc3082"/>
      <w:r>
        <w:rPr>
          <w:rFonts w:hint="eastAsia" w:ascii="宋体" w:hAnsi="宋体" w:eastAsia="宋体" w:cs="宋体"/>
          <w:b/>
          <w:color w:val="auto"/>
          <w:sz w:val="28"/>
          <w:szCs w:val="28"/>
          <w:lang w:eastAsia="zh-CN"/>
        </w:rPr>
        <w:br w:type="page"/>
      </w:r>
    </w:p>
    <w:p w14:paraId="081F5919">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b/>
          <w:bCs/>
          <w:color w:val="auto"/>
          <w:sz w:val="28"/>
          <w:szCs w:val="28"/>
        </w:rPr>
      </w:pPr>
      <w:bookmarkStart w:id="357" w:name="_Toc23458"/>
      <w:r>
        <w:rPr>
          <w:rFonts w:hint="eastAsia" w:ascii="宋体" w:hAnsi="宋体" w:eastAsia="宋体" w:cs="宋体"/>
          <w:b/>
          <w:color w:val="auto"/>
          <w:sz w:val="28"/>
          <w:szCs w:val="28"/>
          <w:lang w:eastAsia="zh-CN"/>
        </w:rPr>
        <w:t>附件2：法定代表人证明书</w:t>
      </w:r>
      <w:bookmarkEnd w:id="351"/>
      <w:bookmarkEnd w:id="352"/>
      <w:bookmarkEnd w:id="353"/>
      <w:bookmarkEnd w:id="354"/>
      <w:bookmarkEnd w:id="355"/>
      <w:bookmarkEnd w:id="356"/>
      <w:bookmarkEnd w:id="357"/>
    </w:p>
    <w:p w14:paraId="23DF99BB">
      <w:pPr>
        <w:keepNext w:val="0"/>
        <w:keepLines w:val="0"/>
        <w:pageBreakBefore w:val="0"/>
        <w:widowControl w:val="0"/>
        <w:kinsoku/>
        <w:wordWrap/>
        <w:overflowPunct/>
        <w:topLinePunct w:val="0"/>
        <w:bidi w:val="0"/>
        <w:adjustRightInd/>
        <w:snapToGrid/>
        <w:spacing w:line="360" w:lineRule="auto"/>
        <w:ind w:right="0"/>
        <w:jc w:val="center"/>
        <w:textAlignment w:val="auto"/>
        <w:outlineLvl w:val="9"/>
        <w:rPr>
          <w:rFonts w:hint="eastAsia" w:ascii="宋体" w:hAnsi="宋体" w:eastAsia="宋体" w:cs="宋体"/>
          <w:b/>
          <w:color w:val="auto"/>
          <w:sz w:val="24"/>
          <w:szCs w:val="24"/>
          <w:lang w:eastAsia="zh-CN"/>
        </w:rPr>
      </w:pPr>
      <w:bookmarkStart w:id="358" w:name="_Toc28170_WPSOffice_Level2"/>
      <w:bookmarkStart w:id="359" w:name="_Toc32036_WPSOffice_Level1"/>
      <w:bookmarkStart w:id="360" w:name="_Toc14917_WPSOffice_Level1"/>
      <w:bookmarkStart w:id="361" w:name="_Toc6898_WPSOffice_Level2"/>
      <w:r>
        <w:rPr>
          <w:rFonts w:hint="eastAsia" w:ascii="宋体" w:hAnsi="宋体" w:eastAsia="宋体" w:cs="宋体"/>
          <w:b/>
          <w:color w:val="auto"/>
          <w:sz w:val="24"/>
          <w:szCs w:val="24"/>
          <w:lang w:eastAsia="zh-CN"/>
        </w:rPr>
        <w:t>法定代表人证明书</w:t>
      </w:r>
      <w:bookmarkEnd w:id="358"/>
      <w:bookmarkEnd w:id="359"/>
      <w:bookmarkEnd w:id="360"/>
      <w:bookmarkEnd w:id="361"/>
    </w:p>
    <w:p w14:paraId="6C23088C">
      <w:pPr>
        <w:keepNext w:val="0"/>
        <w:keepLines w:val="0"/>
        <w:pageBreakBefore w:val="0"/>
        <w:kinsoku/>
        <w:wordWrap/>
        <w:overflowPunct/>
        <w:topLinePunct w:val="0"/>
        <w:bidi w:val="0"/>
        <w:adjustRightInd/>
        <w:snapToGrid/>
        <w:spacing w:line="360" w:lineRule="auto"/>
        <w:ind w:right="0"/>
        <w:outlineLvl w:val="9"/>
        <w:rPr>
          <w:rFonts w:hint="eastAsia" w:ascii="宋体" w:hAnsi="宋体" w:eastAsia="宋体" w:cs="宋体"/>
          <w:b w:val="0"/>
          <w:bCs w:val="0"/>
          <w:color w:val="auto"/>
          <w:kern w:val="0"/>
          <w:sz w:val="24"/>
          <w:szCs w:val="24"/>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u w:val="none"/>
          <w:lang w:eastAsia="zh-CN"/>
        </w:rPr>
        <w:t>青海鼎钊招标代理有限公司</w:t>
      </w:r>
    </w:p>
    <w:p w14:paraId="00D0F88A">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 xml:space="preserve">  （法定代表人姓名）  </w:t>
      </w:r>
      <w:r>
        <w:rPr>
          <w:rFonts w:hint="eastAsia" w:ascii="宋体" w:hAnsi="宋体" w:eastAsia="宋体" w:cs="宋体"/>
          <w:b w:val="0"/>
          <w:bCs w:val="0"/>
          <w:color w:val="auto"/>
          <w:sz w:val="24"/>
          <w:szCs w:val="24"/>
        </w:rPr>
        <w:t>现任我单位</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职务，为法定代表人，特此证明。</w:t>
      </w:r>
    </w:p>
    <w:p w14:paraId="465FA89E">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法定代表人基本情况：</w:t>
      </w:r>
    </w:p>
    <w:p w14:paraId="1CBB62FB">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性别：</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年龄：</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民族：</w:t>
      </w:r>
      <w:r>
        <w:rPr>
          <w:rFonts w:hint="eastAsia" w:ascii="宋体" w:hAnsi="宋体" w:eastAsia="宋体" w:cs="宋体"/>
          <w:b w:val="0"/>
          <w:bCs w:val="0"/>
          <w:color w:val="auto"/>
          <w:sz w:val="24"/>
          <w:szCs w:val="24"/>
          <w:u w:val="single"/>
        </w:rPr>
        <w:t xml:space="preserve">     </w:t>
      </w:r>
    </w:p>
    <w:p w14:paraId="744E012B">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地址：</w:t>
      </w:r>
      <w:r>
        <w:rPr>
          <w:rFonts w:hint="eastAsia" w:ascii="宋体" w:hAnsi="宋体" w:eastAsia="宋体" w:cs="宋体"/>
          <w:b w:val="0"/>
          <w:bCs w:val="0"/>
          <w:color w:val="auto"/>
          <w:sz w:val="24"/>
          <w:szCs w:val="24"/>
          <w:u w:val="single"/>
        </w:rPr>
        <w:t xml:space="preserve">                             </w:t>
      </w:r>
    </w:p>
    <w:p w14:paraId="4D4B04EC">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身份证号码：</w:t>
      </w:r>
      <w:r>
        <w:rPr>
          <w:rFonts w:hint="eastAsia" w:ascii="宋体" w:hAnsi="宋体" w:eastAsia="宋体" w:cs="宋体"/>
          <w:b w:val="0"/>
          <w:bCs w:val="0"/>
          <w:color w:val="auto"/>
          <w:sz w:val="24"/>
          <w:szCs w:val="24"/>
          <w:u w:val="single"/>
        </w:rPr>
        <w:t xml:space="preserve">                       </w:t>
      </w:r>
    </w:p>
    <w:p w14:paraId="68E07FAB">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附法定代表人第二代身份证双面扫描</w:t>
      </w:r>
      <w:r>
        <w:rPr>
          <w:rFonts w:hint="eastAsia" w:ascii="宋体" w:hAnsi="宋体" w:eastAsia="宋体" w:cs="宋体"/>
          <w:b w:val="0"/>
          <w:bCs w:val="0"/>
          <w:color w:val="auto"/>
          <w:sz w:val="24"/>
          <w:szCs w:val="24"/>
          <w:lang w:eastAsia="zh-CN"/>
        </w:rPr>
        <w:t>或其他身份证明材料</w:t>
      </w:r>
      <w:r>
        <w:rPr>
          <w:rFonts w:hint="eastAsia" w:ascii="宋体" w:hAnsi="宋体" w:eastAsia="宋体" w:cs="宋体"/>
          <w:b w:val="0"/>
          <w:bCs w:val="0"/>
          <w:color w:val="auto"/>
          <w:sz w:val="24"/>
          <w:szCs w:val="24"/>
        </w:rPr>
        <w:t>（复印件</w:t>
      </w:r>
      <w:r>
        <w:rPr>
          <w:rFonts w:hint="eastAsia" w:ascii="宋体" w:hAnsi="宋体" w:eastAsia="宋体" w:cs="宋体"/>
          <w:color w:val="auto"/>
          <w:sz w:val="24"/>
          <w:szCs w:val="24"/>
          <w:lang w:eastAsia="zh-CN"/>
        </w:rPr>
        <w:t>）</w:t>
      </w:r>
    </w:p>
    <w:p w14:paraId="76D7A062">
      <w:pPr>
        <w:keepNext w:val="0"/>
        <w:keepLines w:val="0"/>
        <w:pageBreakBefore w:val="0"/>
        <w:kinsoku/>
        <w:wordWrap/>
        <w:overflowPunct/>
        <w:topLinePunct w:val="0"/>
        <w:autoSpaceDE w:val="0"/>
        <w:autoSpaceDN w:val="0"/>
        <w:bidi w:val="0"/>
        <w:adjustRightInd/>
        <w:snapToGrid/>
        <w:spacing w:line="360" w:lineRule="auto"/>
        <w:ind w:right="0"/>
        <w:jc w:val="left"/>
        <w:outlineLvl w:val="9"/>
        <w:rPr>
          <w:rFonts w:hint="eastAsia" w:ascii="宋体" w:hAnsi="宋体" w:eastAsia="宋体" w:cs="宋体"/>
          <w:color w:val="auto"/>
          <w:kern w:val="0"/>
          <w:sz w:val="24"/>
          <w:szCs w:val="24"/>
        </w:rPr>
      </w:pPr>
    </w:p>
    <w:p w14:paraId="11A20ACF">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单</w:t>
      </w:r>
      <w:r>
        <w:rPr>
          <w:rFonts w:hint="eastAsia" w:ascii="宋体" w:hAnsi="宋体" w:eastAsia="宋体" w:cs="宋体"/>
          <w:b w:val="0"/>
          <w:bCs/>
          <w:color w:val="auto"/>
          <w:sz w:val="24"/>
          <w:szCs w:val="24"/>
        </w:rPr>
        <w:t>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（公章）</w:t>
      </w:r>
    </w:p>
    <w:p w14:paraId="477FB691">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p>
    <w:p w14:paraId="48BA2CC9">
      <w:pPr>
        <w:keepNext w:val="0"/>
        <w:keepLines w:val="0"/>
        <w:pageBreakBefore w:val="0"/>
        <w:kinsoku/>
        <w:wordWrap/>
        <w:overflowPunct/>
        <w:topLinePunct w:val="0"/>
        <w:autoSpaceDE w:val="0"/>
        <w:autoSpaceDN w:val="0"/>
        <w:bidi w:val="0"/>
        <w:adjustRightInd/>
        <w:snapToGrid/>
        <w:spacing w:line="360" w:lineRule="auto"/>
        <w:ind w:right="0"/>
        <w:jc w:val="center"/>
        <w:outlineLvl w:val="9"/>
        <w:rPr>
          <w:rFonts w:hint="eastAsia" w:ascii="宋体" w:hAnsi="宋体" w:eastAsia="宋体" w:cs="宋体"/>
          <w:b/>
          <w:color w:val="auto"/>
          <w:sz w:val="24"/>
          <w:szCs w:val="24"/>
        </w:rPr>
      </w:pPr>
      <w:r>
        <w:rPr>
          <w:rFonts w:hint="eastAsia" w:ascii="宋体" w:hAnsi="宋体" w:eastAsia="宋体" w:cs="宋体"/>
          <w:b w:val="0"/>
          <w:bCs/>
          <w:color w:val="auto"/>
          <w:sz w:val="24"/>
          <w:szCs w:val="24"/>
        </w:rPr>
        <w:t xml:space="preserve">年   月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日</w:t>
      </w:r>
    </w:p>
    <w:p w14:paraId="6EFC2A43">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4"/>
          <w:szCs w:val="24"/>
        </w:rPr>
      </w:pPr>
    </w:p>
    <w:p w14:paraId="34D87342">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8"/>
          <w:szCs w:val="28"/>
          <w:lang w:eastAsia="zh-CN"/>
        </w:rPr>
      </w:pPr>
      <w:bookmarkStart w:id="362" w:name="_Toc31901"/>
      <w:bookmarkStart w:id="363" w:name="_Toc21545_WPSOffice_Level3"/>
      <w:bookmarkStart w:id="364" w:name="_Toc27782"/>
      <w:bookmarkStart w:id="365" w:name="_Toc18183"/>
      <w:bookmarkStart w:id="366" w:name="_Toc23035_WPSOffice_Level2"/>
      <w:r>
        <w:rPr>
          <w:rFonts w:hint="eastAsia" w:ascii="宋体" w:hAnsi="宋体" w:eastAsia="宋体" w:cs="宋体"/>
          <w:b/>
          <w:color w:val="auto"/>
          <w:sz w:val="28"/>
          <w:szCs w:val="28"/>
          <w:lang w:eastAsia="zh-CN"/>
        </w:rPr>
        <w:br w:type="page"/>
      </w:r>
    </w:p>
    <w:p w14:paraId="760451CC">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b/>
          <w:color w:val="auto"/>
          <w:sz w:val="28"/>
          <w:szCs w:val="28"/>
        </w:rPr>
      </w:pPr>
      <w:bookmarkStart w:id="367" w:name="_Toc27119"/>
      <w:r>
        <w:rPr>
          <w:rFonts w:hint="eastAsia" w:ascii="宋体" w:hAnsi="宋体" w:eastAsia="宋体" w:cs="宋体"/>
          <w:b/>
          <w:color w:val="auto"/>
          <w:sz w:val="28"/>
          <w:szCs w:val="28"/>
          <w:lang w:eastAsia="zh-CN"/>
        </w:rPr>
        <w:t>附件3：法定代表人授权书</w:t>
      </w:r>
      <w:bookmarkEnd w:id="362"/>
      <w:bookmarkEnd w:id="363"/>
      <w:bookmarkEnd w:id="364"/>
      <w:bookmarkEnd w:id="365"/>
      <w:bookmarkEnd w:id="366"/>
      <w:bookmarkEnd w:id="367"/>
    </w:p>
    <w:p w14:paraId="4FC98916">
      <w:pPr>
        <w:keepNext w:val="0"/>
        <w:keepLines w:val="0"/>
        <w:pageBreakBefore w:val="0"/>
        <w:widowControl w:val="0"/>
        <w:kinsoku/>
        <w:wordWrap/>
        <w:overflowPunct/>
        <w:topLinePunct w:val="0"/>
        <w:bidi w:val="0"/>
        <w:adjustRightInd/>
        <w:snapToGrid/>
        <w:spacing w:line="360" w:lineRule="auto"/>
        <w:ind w:right="0"/>
        <w:jc w:val="center"/>
        <w:textAlignment w:val="auto"/>
        <w:outlineLvl w:val="9"/>
        <w:rPr>
          <w:rFonts w:hint="eastAsia" w:ascii="宋体" w:hAnsi="宋体" w:eastAsia="宋体" w:cs="宋体"/>
          <w:b/>
          <w:color w:val="auto"/>
          <w:sz w:val="24"/>
          <w:szCs w:val="24"/>
          <w:lang w:eastAsia="zh-CN"/>
        </w:rPr>
      </w:pPr>
      <w:bookmarkStart w:id="368" w:name="_Toc26434_WPSOffice_Level2"/>
      <w:bookmarkStart w:id="369" w:name="_Toc5048_WPSOffice_Level2"/>
      <w:bookmarkStart w:id="370" w:name="_Toc1148_WPSOffice_Level3"/>
      <w:r>
        <w:rPr>
          <w:rFonts w:hint="eastAsia" w:ascii="宋体" w:hAnsi="宋体" w:eastAsia="宋体" w:cs="宋体"/>
          <w:b/>
          <w:color w:val="auto"/>
          <w:sz w:val="24"/>
          <w:szCs w:val="24"/>
          <w:lang w:eastAsia="zh-CN"/>
        </w:rPr>
        <w:t>法定代表人授权书</w:t>
      </w:r>
      <w:bookmarkEnd w:id="368"/>
      <w:bookmarkEnd w:id="369"/>
      <w:bookmarkEnd w:id="370"/>
    </w:p>
    <w:p w14:paraId="3A91C2F7">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color w:val="auto"/>
          <w:sz w:val="24"/>
          <w:szCs w:val="24"/>
          <w:u w:val="single"/>
        </w:rPr>
      </w:pPr>
      <w:bookmarkStart w:id="371" w:name="_Toc25306_WPSOffice_Level2"/>
      <w:bookmarkStart w:id="372" w:name="_Toc16084_WPSOffice_Level2"/>
      <w:bookmarkStart w:id="373" w:name="_Toc6307_WPSOffice_Level2"/>
      <w:r>
        <w:rPr>
          <w:rFonts w:hint="eastAsia" w:ascii="宋体" w:hAnsi="宋体" w:eastAsia="宋体" w:cs="宋体"/>
          <w:b/>
          <w:bCs/>
          <w:color w:val="auto"/>
          <w:sz w:val="24"/>
          <w:szCs w:val="24"/>
        </w:rPr>
        <w:t>致：</w:t>
      </w:r>
      <w:r>
        <w:rPr>
          <w:rFonts w:hint="eastAsia" w:ascii="宋体" w:hAnsi="宋体" w:eastAsia="宋体" w:cs="宋体"/>
          <w:b/>
          <w:bCs/>
          <w:color w:val="auto"/>
          <w:sz w:val="24"/>
          <w:szCs w:val="24"/>
          <w:u w:val="none"/>
          <w:lang w:eastAsia="zh-CN"/>
        </w:rPr>
        <w:t>青海鼎钊招标代理有限公司</w:t>
      </w:r>
      <w:bookmarkEnd w:id="371"/>
      <w:bookmarkEnd w:id="372"/>
      <w:bookmarkEnd w:id="373"/>
    </w:p>
    <w:p w14:paraId="70590C1A">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4B6DF91">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w:t>
      </w:r>
      <w:r>
        <w:rPr>
          <w:rFonts w:hint="eastAsia" w:ascii="宋体" w:hAnsi="宋体" w:eastAsia="宋体" w:cs="宋体"/>
          <w:color w:val="auto"/>
          <w:sz w:val="24"/>
          <w:szCs w:val="24"/>
          <w:lang w:eastAsia="zh-CN"/>
        </w:rPr>
        <w:t>谈判、答疑</w:t>
      </w:r>
      <w:r>
        <w:rPr>
          <w:rFonts w:hint="eastAsia" w:ascii="宋体" w:hAnsi="宋体" w:eastAsia="宋体" w:cs="宋体"/>
          <w:color w:val="auto"/>
          <w:sz w:val="24"/>
          <w:szCs w:val="24"/>
        </w:rPr>
        <w:t>等具体工作，并签署全部有关的文件、资料。</w:t>
      </w:r>
    </w:p>
    <w:p w14:paraId="70AFA2CA">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14:paraId="18B803E3">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14:paraId="3A12745D">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授权期限：自</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日起至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日止。</w:t>
      </w:r>
    </w:p>
    <w:p w14:paraId="649723BA">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p>
    <w:p w14:paraId="16B8913D">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被授权人（委托代理人）签字或盖章：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14:paraId="5BCBB91C">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授权人（法定代表人）签字或盖章：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14:paraId="2B1017C5">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附被授权人第二代身份证双面扫描（或复印）件</w:t>
      </w:r>
    </w:p>
    <w:p w14:paraId="269BCB82">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color w:val="auto"/>
          <w:kern w:val="0"/>
          <w:sz w:val="24"/>
          <w:szCs w:val="24"/>
        </w:rPr>
      </w:pPr>
    </w:p>
    <w:p w14:paraId="39E56DFC">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单</w:t>
      </w:r>
      <w:r>
        <w:rPr>
          <w:rFonts w:hint="eastAsia" w:ascii="宋体" w:hAnsi="宋体" w:eastAsia="宋体" w:cs="宋体"/>
          <w:b w:val="0"/>
          <w:bCs/>
          <w:color w:val="auto"/>
          <w:sz w:val="24"/>
          <w:szCs w:val="24"/>
        </w:rPr>
        <w:t>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（公章）</w:t>
      </w:r>
    </w:p>
    <w:p w14:paraId="4560307C">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p>
    <w:p w14:paraId="7BD56860">
      <w:pPr>
        <w:keepNext w:val="0"/>
        <w:keepLines w:val="0"/>
        <w:pageBreakBefore w:val="0"/>
        <w:widowControl w:val="0"/>
        <w:kinsoku/>
        <w:wordWrap/>
        <w:overflowPunct/>
        <w:topLinePunct w:val="0"/>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年   月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日</w:t>
      </w:r>
    </w:p>
    <w:p w14:paraId="6101244A">
      <w:pPr>
        <w:keepNext w:val="0"/>
        <w:keepLines w:val="0"/>
        <w:pageBreakBefore w:val="0"/>
        <w:kinsoku/>
        <w:wordWrap/>
        <w:overflowPunct/>
        <w:topLinePunct w:val="0"/>
        <w:bidi w:val="0"/>
        <w:adjustRightInd/>
        <w:snapToGrid/>
        <w:spacing w:line="360" w:lineRule="auto"/>
        <w:ind w:right="0"/>
        <w:outlineLvl w:val="9"/>
        <w:rPr>
          <w:rFonts w:hint="eastAsia" w:ascii="宋体" w:hAnsi="宋体" w:eastAsia="宋体" w:cs="宋体"/>
          <w:b/>
          <w:bCs/>
          <w:color w:val="auto"/>
          <w:sz w:val="24"/>
          <w:szCs w:val="24"/>
        </w:rPr>
      </w:pPr>
    </w:p>
    <w:p w14:paraId="7FCCDA74">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8"/>
          <w:szCs w:val="28"/>
          <w:lang w:eastAsia="zh-CN"/>
        </w:rPr>
      </w:pPr>
      <w:bookmarkStart w:id="374" w:name="_Toc7737_WPSOffice_Level3"/>
      <w:bookmarkStart w:id="375" w:name="_Toc16704"/>
      <w:bookmarkStart w:id="376" w:name="_Toc23618"/>
      <w:bookmarkStart w:id="377" w:name="_Toc30919"/>
      <w:bookmarkStart w:id="378" w:name="_Toc26653_WPSOffice_Level3"/>
      <w:r>
        <w:rPr>
          <w:rFonts w:hint="eastAsia" w:ascii="宋体" w:hAnsi="宋体" w:eastAsia="宋体" w:cs="宋体"/>
          <w:b/>
          <w:color w:val="auto"/>
          <w:sz w:val="28"/>
          <w:szCs w:val="28"/>
          <w:lang w:eastAsia="zh-CN"/>
        </w:rPr>
        <w:br w:type="page"/>
      </w:r>
    </w:p>
    <w:p w14:paraId="239D4F2A">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b/>
          <w:color w:val="auto"/>
          <w:sz w:val="28"/>
          <w:szCs w:val="28"/>
          <w:lang w:eastAsia="zh-CN"/>
        </w:rPr>
      </w:pPr>
      <w:bookmarkStart w:id="379" w:name="_Toc27688"/>
      <w:r>
        <w:rPr>
          <w:rFonts w:hint="eastAsia" w:ascii="宋体" w:hAnsi="宋体" w:eastAsia="宋体" w:cs="宋体"/>
          <w:b/>
          <w:color w:val="auto"/>
          <w:sz w:val="28"/>
          <w:szCs w:val="28"/>
          <w:lang w:eastAsia="zh-CN"/>
        </w:rPr>
        <w:t>附件4：供应商承诺函</w:t>
      </w:r>
      <w:bookmarkEnd w:id="374"/>
      <w:bookmarkEnd w:id="375"/>
      <w:bookmarkEnd w:id="376"/>
      <w:bookmarkEnd w:id="377"/>
      <w:bookmarkEnd w:id="378"/>
      <w:bookmarkEnd w:id="379"/>
    </w:p>
    <w:p w14:paraId="467D0A87">
      <w:pPr>
        <w:keepNext w:val="0"/>
        <w:keepLines w:val="0"/>
        <w:pageBreakBefore w:val="0"/>
        <w:widowControl w:val="0"/>
        <w:kinsoku/>
        <w:wordWrap/>
        <w:overflowPunct/>
        <w:topLinePunct w:val="0"/>
        <w:bidi w:val="0"/>
        <w:adjustRightInd/>
        <w:snapToGrid/>
        <w:spacing w:line="360" w:lineRule="auto"/>
        <w:ind w:right="0"/>
        <w:jc w:val="center"/>
        <w:textAlignment w:val="auto"/>
        <w:outlineLvl w:val="9"/>
        <w:rPr>
          <w:rFonts w:hint="eastAsia" w:ascii="宋体" w:hAnsi="宋体" w:eastAsia="宋体" w:cs="宋体"/>
          <w:b/>
          <w:color w:val="auto"/>
          <w:sz w:val="24"/>
          <w:szCs w:val="24"/>
          <w:lang w:eastAsia="zh-CN"/>
        </w:rPr>
      </w:pPr>
      <w:bookmarkStart w:id="380" w:name="_Toc2453_WPSOffice_Level2"/>
      <w:bookmarkStart w:id="381" w:name="_Toc27597_WPSOffice_Level3"/>
      <w:bookmarkStart w:id="382" w:name="_Toc17639_WPSOffice_Level2"/>
      <w:r>
        <w:rPr>
          <w:rFonts w:hint="eastAsia" w:ascii="宋体" w:hAnsi="宋体" w:eastAsia="宋体" w:cs="宋体"/>
          <w:b/>
          <w:color w:val="auto"/>
          <w:sz w:val="24"/>
          <w:szCs w:val="24"/>
          <w:lang w:eastAsia="zh-CN"/>
        </w:rPr>
        <w:t>供应商承诺函</w:t>
      </w:r>
      <w:bookmarkEnd w:id="380"/>
      <w:bookmarkEnd w:id="381"/>
      <w:bookmarkEnd w:id="382"/>
    </w:p>
    <w:p w14:paraId="646C8B71">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u w:val="none"/>
          <w:lang w:eastAsia="zh-CN"/>
        </w:rPr>
        <w:t>青海鼎钊招标代理有限公司</w:t>
      </w:r>
    </w:p>
    <w:p w14:paraId="1B9B7C68">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关于贵方</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日</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eastAsia="zh-CN"/>
        </w:rPr>
        <w:t>（项目名称及编号）</w:t>
      </w:r>
      <w:r>
        <w:rPr>
          <w:rFonts w:hint="eastAsia" w:ascii="宋体" w:hAnsi="宋体" w:eastAsia="宋体" w:cs="宋体"/>
          <w:b w:val="0"/>
          <w:bCs w:val="0"/>
          <w:color w:val="auto"/>
          <w:sz w:val="24"/>
          <w:szCs w:val="24"/>
        </w:rPr>
        <w:t>采购项目，本签字人愿意参加</w:t>
      </w:r>
      <w:r>
        <w:rPr>
          <w:rFonts w:hint="eastAsia" w:ascii="宋体" w:hAnsi="宋体" w:eastAsia="宋体" w:cs="宋体"/>
          <w:b w:val="0"/>
          <w:bCs w:val="0"/>
          <w:color w:val="auto"/>
          <w:sz w:val="24"/>
          <w:szCs w:val="24"/>
          <w:lang w:eastAsia="zh-CN"/>
        </w:rPr>
        <w:t>谈判</w:t>
      </w:r>
      <w:r>
        <w:rPr>
          <w:rFonts w:hint="eastAsia" w:ascii="宋体" w:hAnsi="宋体" w:eastAsia="宋体" w:cs="宋体"/>
          <w:b w:val="0"/>
          <w:bCs w:val="0"/>
          <w:color w:val="auto"/>
          <w:sz w:val="24"/>
          <w:szCs w:val="24"/>
        </w:rPr>
        <w:t>，提供采购一览表中要求的所有产品</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服务</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，并证实提交的所有资料是准确的和真实的。同时，我代表</w:t>
      </w:r>
      <w:r>
        <w:rPr>
          <w:rFonts w:hint="eastAsia" w:ascii="宋体" w:hAnsi="宋体" w:eastAsia="宋体" w:cs="宋体"/>
          <w:b w:val="0"/>
          <w:bCs w:val="0"/>
          <w:color w:val="auto"/>
          <w:sz w:val="24"/>
          <w:szCs w:val="24"/>
          <w:u w:val="single"/>
        </w:rPr>
        <w:t>（供应商名称）</w:t>
      </w:r>
      <w:r>
        <w:rPr>
          <w:rFonts w:hint="eastAsia" w:ascii="宋体" w:hAnsi="宋体" w:eastAsia="宋体" w:cs="宋体"/>
          <w:b w:val="0"/>
          <w:bCs w:val="0"/>
          <w:color w:val="auto"/>
          <w:sz w:val="24"/>
          <w:szCs w:val="24"/>
        </w:rPr>
        <w:t>，在此作如下承诺：</w:t>
      </w:r>
    </w:p>
    <w:p w14:paraId="0AE01925">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1、完全理解和接受谈判文件的一切规定和要求；</w:t>
      </w:r>
    </w:p>
    <w:p w14:paraId="07C4933A">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2、若</w:t>
      </w:r>
      <w:r>
        <w:rPr>
          <w:rFonts w:hint="eastAsia" w:ascii="宋体" w:hAnsi="宋体" w:eastAsia="宋体" w:cs="宋体"/>
          <w:b w:val="0"/>
          <w:bCs w:val="0"/>
          <w:color w:val="auto"/>
          <w:sz w:val="24"/>
          <w:szCs w:val="24"/>
          <w:lang w:eastAsia="zh-CN"/>
        </w:rPr>
        <w:t>成交</w:t>
      </w:r>
      <w:r>
        <w:rPr>
          <w:rFonts w:hint="eastAsia" w:ascii="宋体" w:hAnsi="宋体" w:eastAsia="宋体" w:cs="宋体"/>
          <w:b w:val="0"/>
          <w:bCs w:val="0"/>
          <w:color w:val="auto"/>
          <w:sz w:val="24"/>
          <w:szCs w:val="24"/>
        </w:rPr>
        <w:t>，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14:paraId="192ECACA">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3、我方保证甲方在使用该产品或其任何一部分时，不受第三方提出的侵犯专利权、著作权、商标权和工业设计权等知识产权的起诉，若有</w:t>
      </w:r>
      <w:r>
        <w:rPr>
          <w:rFonts w:hint="eastAsia" w:ascii="宋体" w:hAnsi="宋体" w:eastAsia="宋体" w:cs="宋体"/>
          <w:b w:val="0"/>
          <w:bCs w:val="0"/>
          <w:color w:val="auto"/>
          <w:sz w:val="24"/>
          <w:szCs w:val="24"/>
          <w:lang w:eastAsia="zh-CN"/>
        </w:rPr>
        <w:t>违反</w:t>
      </w:r>
      <w:r>
        <w:rPr>
          <w:rFonts w:hint="eastAsia" w:ascii="宋体" w:hAnsi="宋体" w:eastAsia="宋体" w:cs="宋体"/>
          <w:b w:val="0"/>
          <w:bCs w:val="0"/>
          <w:color w:val="auto"/>
          <w:sz w:val="24"/>
          <w:szCs w:val="24"/>
        </w:rPr>
        <w:t>，愿承担相应的一切责任。</w:t>
      </w:r>
    </w:p>
    <w:p w14:paraId="1AACD4C8">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4、我方承诺，除谈判文件中规定的优质产品外，所投的产品均为国产产品，且均符合国家强制性标准。若有不实，愿承担相应的责任。</w:t>
      </w:r>
    </w:p>
    <w:p w14:paraId="55EA97CE">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5、在整个谈判过程中我方若有违规行为，贵方可按谈判文件之规定给予处罚，我方完全接受。</w:t>
      </w:r>
    </w:p>
    <w:p w14:paraId="3B304BB8">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6、若成交，本承诺将成为合同不可分割的一部分，与合同具有同等的法律效力。</w:t>
      </w:r>
    </w:p>
    <w:p w14:paraId="73AA8D51">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b w:val="0"/>
          <w:bCs w:val="0"/>
          <w:color w:val="auto"/>
          <w:sz w:val="24"/>
          <w:szCs w:val="24"/>
        </w:rPr>
      </w:pPr>
    </w:p>
    <w:p w14:paraId="17A66826">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单</w:t>
      </w:r>
      <w:r>
        <w:rPr>
          <w:rFonts w:hint="eastAsia" w:ascii="宋体" w:hAnsi="宋体" w:eastAsia="宋体" w:cs="宋体"/>
          <w:b w:val="0"/>
          <w:bCs/>
          <w:color w:val="auto"/>
          <w:sz w:val="24"/>
          <w:szCs w:val="24"/>
        </w:rPr>
        <w:t>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（公章）</w:t>
      </w:r>
    </w:p>
    <w:p w14:paraId="655899DA">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p>
    <w:p w14:paraId="70DF99AC">
      <w:pPr>
        <w:keepNext w:val="0"/>
        <w:keepLines w:val="0"/>
        <w:pageBreakBefore w:val="0"/>
        <w:widowControl w:val="0"/>
        <w:kinsoku/>
        <w:wordWrap/>
        <w:overflowPunct/>
        <w:topLinePunct w:val="0"/>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年   月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日</w:t>
      </w:r>
    </w:p>
    <w:p w14:paraId="55E0F0DE">
      <w:pPr>
        <w:keepNext w:val="0"/>
        <w:keepLines w:val="0"/>
        <w:pageBreakBefore w:val="0"/>
        <w:widowControl w:val="0"/>
        <w:kinsoku/>
        <w:wordWrap/>
        <w:overflowPunct/>
        <w:topLinePunct w:val="0"/>
        <w:bidi w:val="0"/>
        <w:adjustRightInd/>
        <w:snapToGrid/>
        <w:spacing w:line="360" w:lineRule="auto"/>
        <w:ind w:right="0"/>
        <w:jc w:val="both"/>
        <w:textAlignment w:val="auto"/>
        <w:outlineLvl w:val="9"/>
        <w:rPr>
          <w:rFonts w:hint="eastAsia" w:ascii="宋体" w:hAnsi="宋体" w:eastAsia="宋体" w:cs="宋体"/>
          <w:b w:val="0"/>
          <w:bCs/>
          <w:color w:val="auto"/>
          <w:sz w:val="24"/>
          <w:szCs w:val="24"/>
        </w:rPr>
      </w:pPr>
    </w:p>
    <w:p w14:paraId="1CC8FC29">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4"/>
          <w:szCs w:val="24"/>
        </w:rPr>
      </w:pPr>
      <w:bookmarkStart w:id="383" w:name="_Toc26773_WPSOffice_Level3"/>
      <w:bookmarkStart w:id="384" w:name="_Toc25740"/>
      <w:bookmarkStart w:id="385" w:name="_Toc653_WPSOffice_Level3"/>
      <w:bookmarkStart w:id="386" w:name="_Toc6416"/>
      <w:bookmarkStart w:id="387" w:name="_Toc20884"/>
      <w:r>
        <w:rPr>
          <w:rFonts w:hint="eastAsia" w:ascii="宋体" w:hAnsi="宋体" w:eastAsia="宋体" w:cs="宋体"/>
          <w:b/>
          <w:color w:val="auto"/>
          <w:sz w:val="24"/>
          <w:szCs w:val="24"/>
        </w:rPr>
        <w:br w:type="page"/>
      </w:r>
    </w:p>
    <w:p w14:paraId="6D06F478">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b/>
          <w:color w:val="auto"/>
          <w:sz w:val="24"/>
          <w:szCs w:val="24"/>
        </w:rPr>
      </w:pPr>
      <w:bookmarkStart w:id="388" w:name="_Toc659"/>
      <w:r>
        <w:rPr>
          <w:rFonts w:hint="eastAsia" w:ascii="宋体" w:hAnsi="宋体" w:eastAsia="宋体" w:cs="宋体"/>
          <w:b/>
          <w:color w:val="auto"/>
          <w:sz w:val="28"/>
          <w:szCs w:val="28"/>
          <w:lang w:eastAsia="zh-CN"/>
        </w:rPr>
        <w:t>附件5：供应商诚信承诺书</w:t>
      </w:r>
      <w:bookmarkEnd w:id="383"/>
      <w:bookmarkEnd w:id="384"/>
      <w:bookmarkEnd w:id="385"/>
      <w:bookmarkEnd w:id="386"/>
      <w:bookmarkEnd w:id="387"/>
      <w:bookmarkEnd w:id="388"/>
    </w:p>
    <w:p w14:paraId="208D6082">
      <w:pPr>
        <w:keepNext w:val="0"/>
        <w:keepLines w:val="0"/>
        <w:pageBreakBefore w:val="0"/>
        <w:kinsoku/>
        <w:wordWrap/>
        <w:overflowPunct/>
        <w:topLinePunct w:val="0"/>
        <w:bidi w:val="0"/>
        <w:adjustRightInd/>
        <w:snapToGrid/>
        <w:spacing w:line="360" w:lineRule="auto"/>
        <w:ind w:right="0"/>
        <w:jc w:val="center"/>
        <w:outlineLvl w:val="9"/>
        <w:rPr>
          <w:rFonts w:hint="eastAsia" w:ascii="宋体" w:hAnsi="宋体" w:eastAsia="宋体" w:cs="宋体"/>
          <w:b/>
          <w:color w:val="auto"/>
          <w:sz w:val="24"/>
          <w:szCs w:val="24"/>
        </w:rPr>
      </w:pPr>
      <w:bookmarkStart w:id="389" w:name="_Toc22537_WPSOffice_Level3"/>
      <w:bookmarkStart w:id="390" w:name="_Toc22989_WPSOffice_Level3"/>
      <w:r>
        <w:rPr>
          <w:rFonts w:hint="eastAsia" w:ascii="宋体" w:hAnsi="宋体" w:eastAsia="宋体" w:cs="宋体"/>
          <w:b/>
          <w:color w:val="auto"/>
          <w:sz w:val="24"/>
          <w:szCs w:val="24"/>
          <w:lang w:eastAsia="zh-CN"/>
        </w:rPr>
        <w:t>供应商诚信承诺书</w:t>
      </w:r>
      <w:bookmarkEnd w:id="389"/>
      <w:bookmarkEnd w:id="390"/>
    </w:p>
    <w:p w14:paraId="31D76380">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u w:val="none"/>
          <w:lang w:eastAsia="zh-CN"/>
        </w:rPr>
        <w:t>青海鼎钊招标代理有限公司</w:t>
      </w:r>
    </w:p>
    <w:p w14:paraId="7C22ACB3">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为了诚实、客观、有序地参与采购活动，愿就以下内容作出承诺：</w:t>
      </w:r>
    </w:p>
    <w:p w14:paraId="75CC2C73">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、自觉遵守各项法律、法规、规章、制度以及社会公德，维护廉洁环境，与同场竞争的供应商平等参加采购活动。</w:t>
      </w:r>
    </w:p>
    <w:p w14:paraId="7684DDAD">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、参加</w:t>
      </w:r>
      <w:r>
        <w:rPr>
          <w:rFonts w:hint="eastAsia" w:ascii="宋体" w:hAnsi="宋体" w:eastAsia="宋体" w:cs="宋体"/>
          <w:b w:val="0"/>
          <w:bCs w:val="0"/>
          <w:color w:val="auto"/>
          <w:sz w:val="24"/>
          <w:szCs w:val="24"/>
          <w:lang w:eastAsia="zh-CN"/>
        </w:rPr>
        <w:t>青海鼎钊招标代理有限公司</w:t>
      </w:r>
      <w:r>
        <w:rPr>
          <w:rFonts w:hint="eastAsia" w:ascii="宋体" w:hAnsi="宋体" w:eastAsia="宋体" w:cs="宋体"/>
          <w:b w:val="0"/>
          <w:bCs w:val="0"/>
          <w:color w:val="auto"/>
          <w:sz w:val="24"/>
          <w:szCs w:val="24"/>
        </w:rPr>
        <w:t>组织的采购活动时，严格按照谈判文件的规定和要求提供所需的相关材料，并对所提供的各类资料的真实性负责，不虚假</w:t>
      </w:r>
      <w:r>
        <w:rPr>
          <w:rFonts w:hint="eastAsia" w:ascii="宋体" w:hAnsi="宋体" w:eastAsia="宋体" w:cs="宋体"/>
          <w:b w:val="0"/>
          <w:bCs w:val="0"/>
          <w:color w:val="auto"/>
          <w:sz w:val="24"/>
          <w:szCs w:val="24"/>
          <w:lang w:eastAsia="zh-CN"/>
        </w:rPr>
        <w:t>响应</w:t>
      </w:r>
      <w:r>
        <w:rPr>
          <w:rFonts w:hint="eastAsia" w:ascii="宋体" w:hAnsi="宋体" w:eastAsia="宋体" w:cs="宋体"/>
          <w:b w:val="0"/>
          <w:bCs w:val="0"/>
          <w:color w:val="auto"/>
          <w:sz w:val="24"/>
          <w:szCs w:val="24"/>
        </w:rPr>
        <w:t>，不虚列业绩。</w:t>
      </w:r>
    </w:p>
    <w:p w14:paraId="6D74EFAC">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、尊重参与采购活动各相关方的合法行为，接受采购活动依法形成的意见、结果。</w:t>
      </w:r>
    </w:p>
    <w:p w14:paraId="795C2BF1">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、依法参加采购活动，不围标、串标，维护市场秩序，不提供“三无”产品、以次充好。</w:t>
      </w:r>
    </w:p>
    <w:p w14:paraId="1B717691">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、积极推动采购活动健康开展，对采购活动有疑问、异议时，按法律规定的程序实名（加盖单位</w:t>
      </w:r>
      <w:r>
        <w:rPr>
          <w:rFonts w:hint="eastAsia" w:ascii="宋体" w:hAnsi="宋体" w:eastAsia="宋体" w:cs="宋体"/>
          <w:b w:val="0"/>
          <w:bCs w:val="0"/>
          <w:color w:val="auto"/>
          <w:sz w:val="24"/>
          <w:szCs w:val="24"/>
          <w:lang w:eastAsia="zh-CN"/>
        </w:rPr>
        <w:t>公</w:t>
      </w:r>
      <w:r>
        <w:rPr>
          <w:rFonts w:hint="eastAsia" w:ascii="宋体" w:hAnsi="宋体" w:eastAsia="宋体" w:cs="宋体"/>
          <w:b w:val="0"/>
          <w:bCs w:val="0"/>
          <w:color w:val="auto"/>
          <w:sz w:val="24"/>
          <w:szCs w:val="24"/>
        </w:rPr>
        <w:t>章和法定代表人签名）反映情况，不恶意中伤、无事生非，以和谐、平等的心态参加采购活动。</w:t>
      </w:r>
    </w:p>
    <w:p w14:paraId="720A6E44">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、认真履行成交供应商应承担的责任和义务，全面执行采购合同规定的各项内容，保质保量地按时提供采购物品。</w:t>
      </w:r>
    </w:p>
    <w:p w14:paraId="46F8F662">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若本企业（单位）发生有悖于上述承诺的行为，愿意接受《中华人民共和国政府采购法》和《政府采购法实施条例》中对供应商的相关处理。</w:t>
      </w:r>
    </w:p>
    <w:p w14:paraId="2C4A2837">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本承诺是采购项目</w:t>
      </w:r>
      <w:r>
        <w:rPr>
          <w:rFonts w:hint="eastAsia" w:ascii="宋体" w:hAnsi="宋体" w:eastAsia="宋体" w:cs="宋体"/>
          <w:b w:val="0"/>
          <w:bCs w:val="0"/>
          <w:color w:val="auto"/>
          <w:sz w:val="24"/>
          <w:szCs w:val="24"/>
          <w:lang w:eastAsia="zh-CN"/>
        </w:rPr>
        <w:t>响应文件</w:t>
      </w:r>
      <w:r>
        <w:rPr>
          <w:rFonts w:hint="eastAsia" w:ascii="宋体" w:hAnsi="宋体" w:eastAsia="宋体" w:cs="宋体"/>
          <w:b w:val="0"/>
          <w:bCs w:val="0"/>
          <w:color w:val="auto"/>
          <w:sz w:val="24"/>
          <w:szCs w:val="24"/>
        </w:rPr>
        <w:t>的组成部分。</w:t>
      </w:r>
    </w:p>
    <w:p w14:paraId="45967036">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p>
    <w:p w14:paraId="4EB5AD15">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单</w:t>
      </w:r>
      <w:r>
        <w:rPr>
          <w:rFonts w:hint="eastAsia" w:ascii="宋体" w:hAnsi="宋体" w:eastAsia="宋体" w:cs="宋体"/>
          <w:b w:val="0"/>
          <w:bCs/>
          <w:color w:val="auto"/>
          <w:sz w:val="24"/>
          <w:szCs w:val="24"/>
        </w:rPr>
        <w:t>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（公章）</w:t>
      </w:r>
    </w:p>
    <w:p w14:paraId="609C66E4">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p>
    <w:p w14:paraId="38CBD856">
      <w:pPr>
        <w:keepNext w:val="0"/>
        <w:keepLines w:val="0"/>
        <w:pageBreakBefore w:val="0"/>
        <w:widowControl w:val="0"/>
        <w:kinsoku/>
        <w:wordWrap/>
        <w:overflowPunct/>
        <w:topLinePunct w:val="0"/>
        <w:bidi w:val="0"/>
        <w:adjustRightInd/>
        <w:snapToGrid/>
        <w:spacing w:line="360" w:lineRule="auto"/>
        <w:ind w:right="0" w:firstLine="480" w:firstLineChars="200"/>
        <w:jc w:val="center"/>
        <w:textAlignment w:val="auto"/>
        <w:outlineLvl w:val="9"/>
        <w:rPr>
          <w:rFonts w:hint="eastAsia" w:ascii="宋体" w:hAnsi="宋体" w:eastAsia="宋体" w:cs="宋体"/>
          <w:color w:val="auto"/>
          <w:sz w:val="24"/>
          <w:szCs w:val="24"/>
        </w:rPr>
      </w:pPr>
      <w:r>
        <w:rPr>
          <w:rFonts w:hint="eastAsia" w:ascii="宋体" w:hAnsi="宋体" w:eastAsia="宋体" w:cs="宋体"/>
          <w:b w:val="0"/>
          <w:bCs/>
          <w:color w:val="auto"/>
          <w:sz w:val="24"/>
          <w:szCs w:val="24"/>
        </w:rPr>
        <w:t xml:space="preserve">年   月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日</w:t>
      </w:r>
    </w:p>
    <w:p w14:paraId="724DE082">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color w:val="auto"/>
          <w:sz w:val="24"/>
          <w:szCs w:val="24"/>
        </w:rPr>
      </w:pPr>
    </w:p>
    <w:p w14:paraId="26A6969D">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8"/>
          <w:szCs w:val="28"/>
          <w:lang w:eastAsia="zh-CN"/>
        </w:rPr>
      </w:pPr>
      <w:bookmarkStart w:id="391" w:name="_Toc19930_WPSOffice_Level3"/>
      <w:bookmarkStart w:id="392" w:name="_Toc8368_WPSOffice_Level3"/>
      <w:bookmarkStart w:id="393" w:name="_Toc25242"/>
      <w:bookmarkStart w:id="394" w:name="_Toc6033"/>
      <w:bookmarkStart w:id="395" w:name="_Toc16847"/>
      <w:r>
        <w:rPr>
          <w:rFonts w:hint="eastAsia" w:ascii="宋体" w:hAnsi="宋体" w:eastAsia="宋体" w:cs="宋体"/>
          <w:b/>
          <w:color w:val="auto"/>
          <w:sz w:val="28"/>
          <w:szCs w:val="28"/>
          <w:lang w:eastAsia="zh-CN"/>
        </w:rPr>
        <w:br w:type="page"/>
      </w:r>
    </w:p>
    <w:p w14:paraId="5CE0FE94">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b/>
          <w:color w:val="auto"/>
          <w:sz w:val="28"/>
          <w:szCs w:val="28"/>
        </w:rPr>
      </w:pPr>
      <w:bookmarkStart w:id="396" w:name="_Toc15042"/>
      <w:r>
        <w:rPr>
          <w:rFonts w:hint="eastAsia" w:ascii="宋体" w:hAnsi="宋体" w:eastAsia="宋体" w:cs="宋体"/>
          <w:b/>
          <w:color w:val="auto"/>
          <w:sz w:val="28"/>
          <w:szCs w:val="28"/>
          <w:lang w:eastAsia="zh-CN"/>
        </w:rPr>
        <w:t>附件6：供应商资格证明文件</w:t>
      </w:r>
      <w:bookmarkEnd w:id="391"/>
      <w:bookmarkEnd w:id="392"/>
      <w:bookmarkEnd w:id="393"/>
      <w:bookmarkEnd w:id="394"/>
      <w:bookmarkEnd w:id="395"/>
      <w:bookmarkEnd w:id="396"/>
    </w:p>
    <w:p w14:paraId="55B5BAC0">
      <w:pPr>
        <w:keepNext w:val="0"/>
        <w:keepLines w:val="0"/>
        <w:pageBreakBefore w:val="0"/>
        <w:kinsoku/>
        <w:wordWrap/>
        <w:overflowPunct/>
        <w:topLinePunct w:val="0"/>
        <w:bidi w:val="0"/>
        <w:adjustRightInd/>
        <w:snapToGrid/>
        <w:spacing w:line="360" w:lineRule="auto"/>
        <w:ind w:right="0"/>
        <w:jc w:val="center"/>
        <w:outlineLvl w:val="9"/>
        <w:rPr>
          <w:rFonts w:hint="eastAsia" w:ascii="宋体" w:hAnsi="宋体" w:eastAsia="宋体" w:cs="宋体"/>
          <w:color w:val="auto"/>
          <w:sz w:val="24"/>
          <w:szCs w:val="24"/>
        </w:rPr>
      </w:pPr>
      <w:bookmarkStart w:id="397" w:name="_Toc23997_WPSOffice_Level3"/>
      <w:bookmarkStart w:id="398" w:name="_Toc9360_WPSOffice_Level3"/>
      <w:r>
        <w:rPr>
          <w:rFonts w:hint="eastAsia" w:ascii="宋体" w:hAnsi="宋体" w:eastAsia="宋体" w:cs="宋体"/>
          <w:b/>
          <w:color w:val="auto"/>
          <w:sz w:val="24"/>
          <w:szCs w:val="24"/>
          <w:lang w:eastAsia="zh-CN"/>
        </w:rPr>
        <w:t>供应商资格证明文件</w:t>
      </w:r>
      <w:bookmarkEnd w:id="397"/>
      <w:bookmarkEnd w:id="398"/>
    </w:p>
    <w:p w14:paraId="64F2F518">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资格证明材料包括：提供有效的营业执照、税务登记证、机构代码证或三证（五证）合一统一社会代码证及其他资格证明文件（扫描或复印件）。</w:t>
      </w:r>
    </w:p>
    <w:p w14:paraId="3D58F6AC">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0A7877AE">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2、根据采购项目内容，提供供应商的相关资质证书、许可证等。</w:t>
      </w:r>
    </w:p>
    <w:p w14:paraId="3F0D94B8">
      <w:pPr>
        <w:keepNext w:val="0"/>
        <w:keepLines w:val="0"/>
        <w:pageBreakBefore w:val="0"/>
        <w:widowControl/>
        <w:kinsoku/>
        <w:wordWrap/>
        <w:overflowPunct/>
        <w:topLinePunct w:val="0"/>
        <w:bidi w:val="0"/>
        <w:adjustRightInd/>
        <w:snapToGrid/>
        <w:spacing w:line="360" w:lineRule="auto"/>
        <w:ind w:right="0"/>
        <w:outlineLvl w:val="9"/>
        <w:rPr>
          <w:rFonts w:hint="eastAsia" w:ascii="宋体" w:hAnsi="宋体" w:eastAsia="宋体" w:cs="宋体"/>
          <w:b/>
          <w:color w:val="auto"/>
          <w:sz w:val="24"/>
          <w:szCs w:val="24"/>
        </w:rPr>
      </w:pPr>
    </w:p>
    <w:p w14:paraId="3175B007">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8"/>
          <w:szCs w:val="28"/>
          <w:lang w:eastAsia="zh-CN"/>
        </w:rPr>
      </w:pPr>
      <w:bookmarkStart w:id="399" w:name="_Toc29082_WPSOffice_Level3"/>
      <w:bookmarkStart w:id="400" w:name="_Toc12925"/>
      <w:bookmarkStart w:id="401" w:name="_Toc7499_WPSOffice_Level3"/>
      <w:bookmarkStart w:id="402" w:name="_Toc5898"/>
      <w:bookmarkStart w:id="403" w:name="_Toc6573"/>
      <w:r>
        <w:rPr>
          <w:rFonts w:hint="eastAsia" w:ascii="宋体" w:hAnsi="宋体" w:eastAsia="宋体" w:cs="宋体"/>
          <w:b/>
          <w:color w:val="auto"/>
          <w:sz w:val="28"/>
          <w:szCs w:val="28"/>
          <w:lang w:eastAsia="zh-CN"/>
        </w:rPr>
        <w:br w:type="page"/>
      </w:r>
    </w:p>
    <w:p w14:paraId="5574727C">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b/>
          <w:color w:val="auto"/>
          <w:sz w:val="28"/>
          <w:szCs w:val="28"/>
        </w:rPr>
      </w:pPr>
      <w:bookmarkStart w:id="404" w:name="_Toc26577"/>
      <w:r>
        <w:rPr>
          <w:rFonts w:hint="eastAsia" w:ascii="宋体" w:hAnsi="宋体" w:eastAsia="宋体" w:cs="宋体"/>
          <w:b/>
          <w:color w:val="auto"/>
          <w:sz w:val="28"/>
          <w:szCs w:val="28"/>
          <w:lang w:eastAsia="zh-CN"/>
        </w:rPr>
        <w:t>附件7：财务状况、缴纳税收和社会保障资金证明</w:t>
      </w:r>
      <w:bookmarkEnd w:id="399"/>
      <w:bookmarkEnd w:id="400"/>
      <w:bookmarkEnd w:id="401"/>
      <w:bookmarkEnd w:id="402"/>
      <w:bookmarkEnd w:id="403"/>
      <w:bookmarkEnd w:id="404"/>
    </w:p>
    <w:p w14:paraId="5DB0FF62">
      <w:pPr>
        <w:keepNext w:val="0"/>
        <w:keepLines w:val="0"/>
        <w:pageBreakBefore w:val="0"/>
        <w:kinsoku/>
        <w:wordWrap/>
        <w:overflowPunct/>
        <w:topLinePunct w:val="0"/>
        <w:bidi w:val="0"/>
        <w:adjustRightInd/>
        <w:snapToGrid/>
        <w:spacing w:line="360" w:lineRule="auto"/>
        <w:ind w:right="0"/>
        <w:jc w:val="center"/>
        <w:outlineLvl w:val="9"/>
        <w:rPr>
          <w:rFonts w:hint="eastAsia" w:ascii="宋体" w:hAnsi="宋体" w:eastAsia="宋体" w:cs="宋体"/>
          <w:b/>
          <w:color w:val="auto"/>
          <w:sz w:val="24"/>
          <w:szCs w:val="24"/>
        </w:rPr>
      </w:pPr>
      <w:bookmarkStart w:id="405" w:name="_Toc2355_WPSOffice_Level3"/>
      <w:bookmarkStart w:id="406" w:name="_Toc22184_WPSOffice_Level3"/>
      <w:r>
        <w:rPr>
          <w:rFonts w:hint="eastAsia" w:ascii="宋体" w:hAnsi="宋体" w:eastAsia="宋体" w:cs="宋体"/>
          <w:b/>
          <w:color w:val="auto"/>
          <w:sz w:val="24"/>
          <w:szCs w:val="24"/>
          <w:lang w:eastAsia="zh-CN"/>
        </w:rPr>
        <w:t>财务状况、缴纳税收和社会保障资金证明</w:t>
      </w:r>
      <w:bookmarkEnd w:id="405"/>
      <w:bookmarkEnd w:id="406"/>
    </w:p>
    <w:p w14:paraId="6AF3D775">
      <w:pPr>
        <w:keepNext w:val="0"/>
        <w:keepLines w:val="0"/>
        <w:pageBreakBefore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提供以下相关材料</w:t>
      </w:r>
      <w:r>
        <w:rPr>
          <w:rFonts w:hint="eastAsia" w:ascii="宋体" w:hAnsi="宋体" w:eastAsia="宋体" w:cs="宋体"/>
          <w:color w:val="auto"/>
          <w:sz w:val="24"/>
          <w:szCs w:val="24"/>
          <w:lang w:eastAsia="zh-CN"/>
        </w:rPr>
        <w:t>：</w:t>
      </w:r>
    </w:p>
    <w:p w14:paraId="560F1741">
      <w:pPr>
        <w:keepNext w:val="0"/>
        <w:keepLines w:val="0"/>
        <w:pageBreakBefore w:val="0"/>
        <w:kinsoku/>
        <w:wordWrap/>
        <w:overflowPunct/>
        <w:topLinePunct w:val="0"/>
        <w:autoSpaceDE w:val="0"/>
        <w:autoSpaceDN w:val="0"/>
        <w:bidi w:val="0"/>
        <w:adjustRightInd/>
        <w:snapToGrid/>
        <w:spacing w:line="360" w:lineRule="auto"/>
        <w:ind w:right="0" w:firstLine="48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供应商是法人的，</w:t>
      </w:r>
      <w:r>
        <w:rPr>
          <w:rFonts w:hint="eastAsia" w:ascii="宋体" w:hAnsi="宋体" w:eastAsia="宋体" w:cs="宋体"/>
          <w:color w:val="auto"/>
          <w:sz w:val="24"/>
          <w:szCs w:val="24"/>
        </w:rPr>
        <w:t>提供20</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年度经审计的</w:t>
      </w:r>
      <w:r>
        <w:rPr>
          <w:rFonts w:hint="eastAsia" w:ascii="宋体" w:hAnsi="宋体" w:eastAsia="宋体" w:cs="宋体"/>
          <w:color w:val="auto"/>
          <w:sz w:val="24"/>
          <w:szCs w:val="24"/>
          <w:lang w:val="en-US" w:eastAsia="zh-CN"/>
        </w:rPr>
        <w:t>完整</w:t>
      </w:r>
      <w:r>
        <w:rPr>
          <w:rFonts w:hint="eastAsia" w:ascii="宋体" w:hAnsi="宋体" w:eastAsia="宋体" w:cs="宋体"/>
          <w:color w:val="auto"/>
          <w:sz w:val="24"/>
          <w:szCs w:val="24"/>
        </w:rPr>
        <w:t>财务状况报告</w:t>
      </w:r>
      <w:r>
        <w:rPr>
          <w:rFonts w:hint="eastAsia" w:ascii="宋体" w:hAnsi="宋体" w:eastAsia="宋体" w:cs="宋体"/>
          <w:color w:val="auto"/>
          <w:sz w:val="24"/>
          <w:szCs w:val="24"/>
        </w:rPr>
        <w:t>，包括资产负债表、利润表、现金流量表及其附注</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，或其基本开户银行</w:t>
      </w:r>
      <w:r>
        <w:rPr>
          <w:rFonts w:hint="eastAsia" w:ascii="宋体" w:hAnsi="宋体" w:eastAsia="宋体" w:cs="宋体"/>
          <w:color w:val="auto"/>
          <w:sz w:val="24"/>
          <w:szCs w:val="24"/>
          <w:u w:val="none"/>
          <w:lang w:val="en-US" w:eastAsia="zh-CN"/>
        </w:rPr>
        <w:t>近三个月内</w:t>
      </w:r>
      <w:r>
        <w:rPr>
          <w:rFonts w:hint="eastAsia" w:ascii="宋体" w:hAnsi="宋体" w:eastAsia="宋体" w:cs="宋体"/>
          <w:color w:val="auto"/>
          <w:sz w:val="24"/>
          <w:szCs w:val="24"/>
        </w:rPr>
        <w:t>出具的资信证明；供应商是其他组织和自然人，没有经审计的财务报告，可以提供基本开户银行出具的资信证明。</w:t>
      </w:r>
    </w:p>
    <w:p w14:paraId="4455057E">
      <w:pPr>
        <w:keepNext w:val="0"/>
        <w:keepLines w:val="0"/>
        <w:pageBreakBefore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rPr>
        <w:t>近</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个月</w:t>
      </w:r>
      <w:r>
        <w:rPr>
          <w:rFonts w:hint="eastAsia" w:ascii="宋体" w:hAnsi="宋体" w:eastAsia="宋体" w:cs="宋体"/>
          <w:color w:val="auto"/>
          <w:sz w:val="24"/>
          <w:szCs w:val="24"/>
          <w:lang w:eastAsia="zh-CN"/>
        </w:rPr>
        <w:t>内</w:t>
      </w:r>
      <w:r>
        <w:rPr>
          <w:rFonts w:hint="eastAsia" w:ascii="宋体" w:hAnsi="宋体" w:eastAsia="宋体" w:cs="宋体"/>
          <w:color w:val="auto"/>
          <w:sz w:val="24"/>
          <w:szCs w:val="24"/>
          <w:lang w:val="en-US" w:eastAsia="zh-CN"/>
        </w:rPr>
        <w:t>任意一个月的</w:t>
      </w:r>
      <w:r>
        <w:rPr>
          <w:rFonts w:hint="eastAsia" w:ascii="宋体" w:hAnsi="宋体" w:eastAsia="宋体" w:cs="宋体"/>
          <w:color w:val="auto"/>
          <w:sz w:val="24"/>
          <w:szCs w:val="24"/>
        </w:rPr>
        <w:t>依法缴纳税收和社会保障资金记录的证明材料</w:t>
      </w:r>
      <w:r>
        <w:rPr>
          <w:rFonts w:hint="eastAsia" w:ascii="宋体" w:hAnsi="宋体" w:eastAsia="宋体" w:cs="宋体"/>
          <w:color w:val="auto"/>
          <w:sz w:val="24"/>
          <w:szCs w:val="24"/>
          <w:lang w:eastAsia="zh-CN"/>
        </w:rPr>
        <w:t>，或相关行政机关出具无欠缴应纳税款或社会保障资金的证明材料</w:t>
      </w:r>
      <w:r>
        <w:rPr>
          <w:rFonts w:hint="eastAsia" w:ascii="宋体" w:hAnsi="宋体" w:eastAsia="宋体" w:cs="宋体"/>
          <w:color w:val="auto"/>
          <w:sz w:val="24"/>
          <w:szCs w:val="24"/>
        </w:rPr>
        <w:t>。依法免税或不需要缴纳社会保障资金的供应商，应提供相应文件证明其依法免税或不需要缴纳社会保障资金。</w:t>
      </w:r>
    </w:p>
    <w:p w14:paraId="400C6F2B">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color w:val="auto"/>
          <w:sz w:val="24"/>
          <w:szCs w:val="24"/>
        </w:rPr>
      </w:pPr>
    </w:p>
    <w:p w14:paraId="4E89A7A8">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8"/>
          <w:szCs w:val="28"/>
          <w:lang w:eastAsia="zh-CN"/>
        </w:rPr>
      </w:pPr>
      <w:bookmarkStart w:id="407" w:name="_Toc21984"/>
      <w:bookmarkStart w:id="408" w:name="_Toc16098"/>
      <w:bookmarkStart w:id="409" w:name="_Toc17387_WPSOffice_Level3"/>
      <w:bookmarkStart w:id="410" w:name="_Toc13266"/>
      <w:bookmarkStart w:id="411" w:name="_Toc22959_WPSOffice_Level3"/>
      <w:r>
        <w:rPr>
          <w:rFonts w:hint="eastAsia" w:ascii="宋体" w:hAnsi="宋体" w:eastAsia="宋体" w:cs="宋体"/>
          <w:b/>
          <w:color w:val="auto"/>
          <w:sz w:val="28"/>
          <w:szCs w:val="28"/>
          <w:lang w:eastAsia="zh-CN"/>
        </w:rPr>
        <w:br w:type="page"/>
      </w:r>
    </w:p>
    <w:p w14:paraId="13081907">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b/>
          <w:color w:val="auto"/>
          <w:sz w:val="28"/>
          <w:szCs w:val="28"/>
          <w:lang w:eastAsia="zh-CN"/>
        </w:rPr>
      </w:pPr>
      <w:bookmarkStart w:id="412" w:name="_Toc18432"/>
      <w:r>
        <w:rPr>
          <w:rFonts w:hint="eastAsia" w:ascii="宋体" w:hAnsi="宋体" w:eastAsia="宋体" w:cs="宋体"/>
          <w:b/>
          <w:color w:val="auto"/>
          <w:sz w:val="28"/>
          <w:szCs w:val="28"/>
          <w:lang w:eastAsia="zh-CN"/>
        </w:rPr>
        <w:t>附件8：</w:t>
      </w:r>
      <w:bookmarkEnd w:id="407"/>
      <w:r>
        <w:rPr>
          <w:rFonts w:hint="eastAsia" w:ascii="宋体" w:hAnsi="宋体" w:eastAsia="宋体" w:cs="宋体"/>
          <w:b/>
          <w:color w:val="auto"/>
          <w:sz w:val="28"/>
          <w:szCs w:val="28"/>
          <w:lang w:eastAsia="zh-CN"/>
        </w:rPr>
        <w:t>无重大违法记录声明</w:t>
      </w:r>
      <w:bookmarkEnd w:id="408"/>
      <w:bookmarkEnd w:id="409"/>
      <w:bookmarkEnd w:id="412"/>
    </w:p>
    <w:p w14:paraId="793F21B8">
      <w:pPr>
        <w:keepNext w:val="0"/>
        <w:keepLines w:val="0"/>
        <w:pageBreakBefore w:val="0"/>
        <w:kinsoku/>
        <w:wordWrap/>
        <w:overflowPunct/>
        <w:topLinePunct w:val="0"/>
        <w:bidi w:val="0"/>
        <w:adjustRightInd/>
        <w:snapToGrid/>
        <w:spacing w:line="360" w:lineRule="auto"/>
        <w:ind w:right="0"/>
        <w:jc w:val="center"/>
        <w:outlineLvl w:val="9"/>
        <w:rPr>
          <w:rFonts w:hint="eastAsia" w:ascii="宋体" w:hAnsi="宋体" w:eastAsia="宋体" w:cs="宋体"/>
          <w:b/>
          <w:bCs/>
          <w:color w:val="auto"/>
          <w:sz w:val="24"/>
          <w:szCs w:val="24"/>
        </w:rPr>
      </w:pPr>
      <w:bookmarkStart w:id="413" w:name="_Toc25610_WPSOffice_Level3"/>
      <w:r>
        <w:rPr>
          <w:rFonts w:hint="eastAsia" w:ascii="宋体" w:hAnsi="宋体" w:eastAsia="宋体" w:cs="宋体"/>
          <w:b/>
          <w:color w:val="auto"/>
          <w:sz w:val="24"/>
          <w:szCs w:val="24"/>
          <w:lang w:val="zh-CN" w:eastAsia="zh-CN"/>
        </w:rPr>
        <w:t>无重大违法记录声明</w:t>
      </w:r>
      <w:bookmarkEnd w:id="413"/>
    </w:p>
    <w:p w14:paraId="272C784C">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u w:val="none"/>
          <w:lang w:eastAsia="zh-CN"/>
        </w:rPr>
        <w:t>青海鼎钊招标代理有限公司</w:t>
      </w:r>
    </w:p>
    <w:p w14:paraId="4A1DB375">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rPr>
        <w:t>我单位参加本次采购项目活动前三年内，在经营活动中无重大违法活动记录</w:t>
      </w:r>
      <w:r>
        <w:rPr>
          <w:rFonts w:hint="eastAsia" w:ascii="宋体" w:hAnsi="宋体" w:eastAsia="宋体" w:cs="宋体"/>
          <w:color w:val="auto"/>
          <w:sz w:val="24"/>
          <w:szCs w:val="24"/>
          <w:shd w:val="clear" w:color="auto" w:fill="FFFFFF"/>
        </w:rPr>
        <w:t>。我方对此声明负全部法律责任。</w:t>
      </w:r>
    </w:p>
    <w:p w14:paraId="582CAB7E">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75EE86B7">
      <w:pPr>
        <w:keepNext w:val="0"/>
        <w:keepLines w:val="0"/>
        <w:pageBreakBefore w:val="0"/>
        <w:widowControl w:val="0"/>
        <w:kinsoku/>
        <w:wordWrap/>
        <w:overflowPunct/>
        <w:topLinePunct w:val="0"/>
        <w:autoSpaceDE w:val="0"/>
        <w:autoSpaceDN w:val="0"/>
        <w:bidi w:val="0"/>
        <w:adjustRightInd/>
        <w:snapToGrid/>
        <w:spacing w:line="360" w:lineRule="auto"/>
        <w:ind w:right="0"/>
        <w:jc w:val="left"/>
        <w:textAlignment w:val="auto"/>
        <w:outlineLvl w:val="9"/>
        <w:rPr>
          <w:rFonts w:hint="eastAsia" w:ascii="宋体" w:hAnsi="宋体" w:eastAsia="宋体" w:cs="宋体"/>
          <w:color w:val="auto"/>
          <w:kern w:val="0"/>
          <w:sz w:val="24"/>
          <w:szCs w:val="24"/>
          <w:lang w:val="zh-CN"/>
        </w:rPr>
      </w:pPr>
    </w:p>
    <w:p w14:paraId="4CD980DA">
      <w:pPr>
        <w:keepNext w:val="0"/>
        <w:keepLines w:val="0"/>
        <w:pageBreakBefore w:val="0"/>
        <w:widowControl w:val="0"/>
        <w:kinsoku/>
        <w:wordWrap/>
        <w:overflowPunct/>
        <w:topLinePunct w:val="0"/>
        <w:bidi w:val="0"/>
        <w:adjustRightInd/>
        <w:snapToGrid/>
        <w:spacing w:line="360" w:lineRule="auto"/>
        <w:ind w:right="0"/>
        <w:jc w:val="both"/>
        <w:textAlignment w:val="auto"/>
        <w:outlineLvl w:val="9"/>
        <w:rPr>
          <w:rFonts w:hint="eastAsia" w:ascii="宋体" w:hAnsi="宋体" w:eastAsia="宋体" w:cs="宋体"/>
          <w:b w:val="0"/>
          <w:bCs/>
          <w:color w:val="auto"/>
          <w:sz w:val="24"/>
          <w:szCs w:val="24"/>
          <w:lang w:val="en-US" w:eastAsia="zh-CN"/>
        </w:rPr>
      </w:pPr>
    </w:p>
    <w:p w14:paraId="7F20C415">
      <w:pPr>
        <w:keepNext w:val="0"/>
        <w:keepLines w:val="0"/>
        <w:pageBreakBefore w:val="0"/>
        <w:widowControl w:val="0"/>
        <w:kinsoku/>
        <w:wordWrap/>
        <w:overflowPunct/>
        <w:topLinePunct w:val="0"/>
        <w:bidi w:val="0"/>
        <w:adjustRightInd/>
        <w:snapToGrid/>
        <w:spacing w:line="360" w:lineRule="auto"/>
        <w:ind w:right="0"/>
        <w:jc w:val="both"/>
        <w:textAlignment w:val="auto"/>
        <w:outlineLvl w:val="9"/>
        <w:rPr>
          <w:rFonts w:hint="eastAsia" w:ascii="宋体" w:hAnsi="宋体" w:eastAsia="宋体" w:cs="宋体"/>
          <w:b w:val="0"/>
          <w:bCs/>
          <w:color w:val="auto"/>
          <w:sz w:val="24"/>
          <w:szCs w:val="24"/>
          <w:lang w:val="en-US" w:eastAsia="zh-CN"/>
        </w:rPr>
      </w:pPr>
    </w:p>
    <w:p w14:paraId="155BB2F3">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单</w:t>
      </w:r>
      <w:r>
        <w:rPr>
          <w:rFonts w:hint="eastAsia" w:ascii="宋体" w:hAnsi="宋体" w:eastAsia="宋体" w:cs="宋体"/>
          <w:b w:val="0"/>
          <w:bCs/>
          <w:color w:val="auto"/>
          <w:sz w:val="24"/>
          <w:szCs w:val="24"/>
        </w:rPr>
        <w:t>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（公章）</w:t>
      </w:r>
    </w:p>
    <w:p w14:paraId="1873FC4A">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p>
    <w:p w14:paraId="72519AD8">
      <w:pPr>
        <w:keepNext w:val="0"/>
        <w:keepLines w:val="0"/>
        <w:pageBreakBefore w:val="0"/>
        <w:widowControl w:val="0"/>
        <w:kinsoku/>
        <w:wordWrap/>
        <w:overflowPunct/>
        <w:topLinePunct w:val="0"/>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年   月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日</w:t>
      </w:r>
    </w:p>
    <w:p w14:paraId="4A10C49E">
      <w:pPr>
        <w:keepNext w:val="0"/>
        <w:keepLines w:val="0"/>
        <w:pageBreakBefore w:val="0"/>
        <w:widowControl w:val="0"/>
        <w:kinsoku/>
        <w:wordWrap/>
        <w:overflowPunct/>
        <w:topLinePunct w:val="0"/>
        <w:bidi w:val="0"/>
        <w:adjustRightInd/>
        <w:snapToGrid/>
        <w:spacing w:line="360" w:lineRule="auto"/>
        <w:ind w:right="0"/>
        <w:jc w:val="both"/>
        <w:textAlignment w:val="auto"/>
        <w:outlineLvl w:val="9"/>
        <w:rPr>
          <w:rFonts w:hint="eastAsia" w:ascii="宋体" w:hAnsi="宋体" w:eastAsia="宋体" w:cs="宋体"/>
          <w:b w:val="0"/>
          <w:bCs/>
          <w:color w:val="auto"/>
          <w:sz w:val="24"/>
          <w:szCs w:val="24"/>
        </w:rPr>
      </w:pPr>
    </w:p>
    <w:p w14:paraId="70E80E35">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4"/>
          <w:szCs w:val="24"/>
          <w:lang w:eastAsia="zh-CN"/>
        </w:rPr>
      </w:pPr>
      <w:bookmarkStart w:id="414" w:name="_Toc24810"/>
      <w:bookmarkStart w:id="415" w:name="_Toc132_WPSOffice_Level3"/>
      <w:r>
        <w:rPr>
          <w:rFonts w:hint="eastAsia" w:ascii="宋体" w:hAnsi="宋体" w:eastAsia="宋体" w:cs="宋体"/>
          <w:b/>
          <w:color w:val="auto"/>
          <w:sz w:val="24"/>
          <w:szCs w:val="24"/>
          <w:lang w:eastAsia="zh-CN"/>
        </w:rPr>
        <w:br w:type="page"/>
      </w:r>
    </w:p>
    <w:p w14:paraId="2868C660">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color w:val="auto"/>
          <w:sz w:val="24"/>
          <w:szCs w:val="24"/>
          <w:lang w:val="zh-CN"/>
        </w:rPr>
      </w:pPr>
      <w:bookmarkStart w:id="416" w:name="_Toc30928"/>
      <w:r>
        <w:rPr>
          <w:rFonts w:hint="eastAsia" w:ascii="宋体" w:hAnsi="宋体" w:eastAsia="宋体" w:cs="宋体"/>
          <w:b/>
          <w:bCs w:val="0"/>
          <w:color w:val="auto"/>
          <w:kern w:val="2"/>
          <w:sz w:val="28"/>
          <w:szCs w:val="28"/>
          <w:lang w:val="en-US" w:eastAsia="zh-CN" w:bidi="ar-SA"/>
        </w:rPr>
        <w:t>附件9：谈判</w:t>
      </w:r>
      <w:r>
        <w:rPr>
          <w:rFonts w:hint="eastAsia" w:ascii="宋体" w:hAnsi="宋体" w:eastAsia="宋体" w:cs="宋体"/>
          <w:b/>
          <w:bCs w:val="0"/>
          <w:color w:val="auto"/>
          <w:kern w:val="2"/>
          <w:sz w:val="28"/>
          <w:szCs w:val="28"/>
          <w:lang w:val="zh-CN" w:eastAsia="zh-CN" w:bidi="ar-SA"/>
        </w:rPr>
        <w:t>保证金证明</w:t>
      </w:r>
      <w:bookmarkEnd w:id="410"/>
      <w:bookmarkEnd w:id="411"/>
      <w:bookmarkEnd w:id="414"/>
      <w:bookmarkEnd w:id="415"/>
      <w:bookmarkEnd w:id="416"/>
    </w:p>
    <w:p w14:paraId="102BCB69">
      <w:pPr>
        <w:keepNext w:val="0"/>
        <w:keepLines w:val="0"/>
        <w:pageBreakBefore w:val="0"/>
        <w:kinsoku/>
        <w:wordWrap/>
        <w:overflowPunct/>
        <w:topLinePunct w:val="0"/>
        <w:bidi w:val="0"/>
        <w:adjustRightInd/>
        <w:snapToGrid/>
        <w:spacing w:line="360" w:lineRule="auto"/>
        <w:ind w:right="0"/>
        <w:jc w:val="center"/>
        <w:outlineLvl w:val="9"/>
        <w:rPr>
          <w:rFonts w:hint="eastAsia" w:ascii="宋体" w:hAnsi="宋体" w:eastAsia="宋体" w:cs="宋体"/>
          <w:b/>
          <w:bCs/>
          <w:color w:val="auto"/>
          <w:kern w:val="0"/>
          <w:sz w:val="24"/>
          <w:szCs w:val="24"/>
          <w:lang w:val="zh-CN"/>
        </w:rPr>
      </w:pPr>
      <w:bookmarkStart w:id="417" w:name="_Toc27502_WPSOffice_Level3"/>
      <w:r>
        <w:rPr>
          <w:rFonts w:hint="eastAsia" w:ascii="宋体" w:hAnsi="宋体" w:eastAsia="宋体" w:cs="宋体"/>
          <w:b/>
          <w:color w:val="auto"/>
          <w:sz w:val="24"/>
          <w:szCs w:val="24"/>
          <w:lang w:val="zh-CN" w:eastAsia="zh-CN"/>
        </w:rPr>
        <w:t>谈判保证金证明</w:t>
      </w:r>
      <w:bookmarkEnd w:id="417"/>
    </w:p>
    <w:p w14:paraId="7434D3C8">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outlineLvl w:val="9"/>
        <w:rPr>
          <w:rFonts w:hint="eastAsia" w:ascii="宋体" w:hAnsi="宋体" w:eastAsia="宋体" w:cs="宋体"/>
          <w:b/>
          <w:bCs/>
          <w:color w:val="auto"/>
          <w:kern w:val="0"/>
          <w:sz w:val="24"/>
          <w:szCs w:val="24"/>
          <w:lang w:val="zh-CN" w:eastAsia="zh-CN"/>
        </w:rPr>
      </w:pPr>
      <w:bookmarkStart w:id="418" w:name="_Toc21234_WPSOffice_Level2"/>
      <w:bookmarkStart w:id="419" w:name="_Toc1388_WPSOffice_Level2"/>
      <w:bookmarkStart w:id="420" w:name="_Toc12243_WPSOffice_Level2"/>
      <w:r>
        <w:rPr>
          <w:rFonts w:hint="eastAsia" w:ascii="宋体" w:hAnsi="宋体" w:eastAsia="宋体" w:cs="宋体"/>
          <w:b/>
          <w:bCs/>
          <w:color w:val="auto"/>
          <w:kern w:val="0"/>
          <w:sz w:val="24"/>
          <w:szCs w:val="24"/>
          <w:lang w:val="zh-CN"/>
        </w:rPr>
        <w:t>致：</w:t>
      </w:r>
      <w:bookmarkEnd w:id="418"/>
      <w:bookmarkEnd w:id="419"/>
      <w:bookmarkEnd w:id="420"/>
      <w:r>
        <w:rPr>
          <w:rFonts w:hint="eastAsia" w:ascii="宋体" w:hAnsi="宋体" w:eastAsia="宋体" w:cs="宋体"/>
          <w:b/>
          <w:bCs/>
          <w:color w:val="auto"/>
          <w:kern w:val="0"/>
          <w:sz w:val="24"/>
          <w:szCs w:val="24"/>
          <w:u w:val="none"/>
          <w:lang w:val="en-US" w:eastAsia="zh-CN"/>
        </w:rPr>
        <w:t>青海鼎钊招标代理有限公司</w:t>
      </w:r>
    </w:p>
    <w:p w14:paraId="774ECA96">
      <w:pPr>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我方为</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（采购项目名称）项目（采购项目编号为：</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 xml:space="preserve">）递交保证金人民币 </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（大写：人民币</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元）已于</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日以转账方式汇入你方账户。</w:t>
      </w:r>
    </w:p>
    <w:p w14:paraId="0B1E6EC3">
      <w:pPr>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附</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保证金交款证明复印件（加盖公章）</w:t>
      </w:r>
    </w:p>
    <w:p w14:paraId="6627D772">
      <w:pPr>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14:paraId="682118D7">
      <w:pPr>
        <w:keepNext w:val="0"/>
        <w:keepLines w:val="0"/>
        <w:pageBreakBefore w:val="0"/>
        <w:widowControl w:val="0"/>
        <w:kinsoku/>
        <w:wordWrap/>
        <w:overflowPunct/>
        <w:topLinePunct w:val="0"/>
        <w:autoSpaceDE w:val="0"/>
        <w:autoSpaceDN w:val="0"/>
        <w:bidi w:val="0"/>
        <w:adjustRightInd/>
        <w:snapToGrid/>
        <w:spacing w:line="360" w:lineRule="auto"/>
        <w:ind w:right="0" w:firstLine="36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户    名：</w:t>
      </w:r>
    </w:p>
    <w:p w14:paraId="783909C4">
      <w:pPr>
        <w:keepNext w:val="0"/>
        <w:keepLines w:val="0"/>
        <w:pageBreakBefore w:val="0"/>
        <w:widowControl w:val="0"/>
        <w:kinsoku/>
        <w:wordWrap/>
        <w:overflowPunct/>
        <w:topLinePunct w:val="0"/>
        <w:autoSpaceDE w:val="0"/>
        <w:autoSpaceDN w:val="0"/>
        <w:bidi w:val="0"/>
        <w:adjustRightInd/>
        <w:snapToGrid/>
        <w:spacing w:line="360" w:lineRule="auto"/>
        <w:ind w:right="0" w:firstLine="36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开户银行：</w:t>
      </w:r>
    </w:p>
    <w:p w14:paraId="54E0B1EB">
      <w:pPr>
        <w:keepNext w:val="0"/>
        <w:keepLines w:val="0"/>
        <w:pageBreakBefore w:val="0"/>
        <w:widowControl w:val="0"/>
        <w:kinsoku/>
        <w:wordWrap/>
        <w:overflowPunct/>
        <w:topLinePunct w:val="0"/>
        <w:autoSpaceDE w:val="0"/>
        <w:autoSpaceDN w:val="0"/>
        <w:bidi w:val="0"/>
        <w:adjustRightInd/>
        <w:snapToGrid/>
        <w:spacing w:line="360" w:lineRule="auto"/>
        <w:ind w:right="0" w:firstLine="36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开户帐号：</w:t>
      </w:r>
    </w:p>
    <w:p w14:paraId="24FD53A1">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outlineLvl w:val="9"/>
        <w:rPr>
          <w:rFonts w:hint="eastAsia" w:ascii="宋体" w:hAnsi="宋体" w:eastAsia="宋体" w:cs="宋体"/>
          <w:color w:val="auto"/>
          <w:kern w:val="0"/>
          <w:sz w:val="24"/>
          <w:szCs w:val="24"/>
          <w:lang w:val="zh-CN"/>
        </w:rPr>
      </w:pPr>
    </w:p>
    <w:p w14:paraId="4D6C9D25">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单</w:t>
      </w:r>
      <w:r>
        <w:rPr>
          <w:rFonts w:hint="eastAsia" w:ascii="宋体" w:hAnsi="宋体" w:eastAsia="宋体" w:cs="宋体"/>
          <w:b w:val="0"/>
          <w:bCs/>
          <w:color w:val="auto"/>
          <w:sz w:val="24"/>
          <w:szCs w:val="24"/>
        </w:rPr>
        <w:t>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（公章）</w:t>
      </w:r>
    </w:p>
    <w:p w14:paraId="600212D4">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p>
    <w:p w14:paraId="32DFD479">
      <w:pPr>
        <w:keepNext w:val="0"/>
        <w:keepLines w:val="0"/>
        <w:pageBreakBefore w:val="0"/>
        <w:widowControl w:val="0"/>
        <w:kinsoku/>
        <w:wordWrap/>
        <w:overflowPunct/>
        <w:topLinePunct w:val="0"/>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年   月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日</w:t>
      </w:r>
    </w:p>
    <w:p w14:paraId="6A5C13DC">
      <w:pPr>
        <w:keepNext w:val="0"/>
        <w:keepLines w:val="0"/>
        <w:pageBreakBefore w:val="0"/>
        <w:kinsoku/>
        <w:wordWrap/>
        <w:overflowPunct/>
        <w:topLinePunct w:val="0"/>
        <w:autoSpaceDE w:val="0"/>
        <w:autoSpaceDN w:val="0"/>
        <w:bidi w:val="0"/>
        <w:adjustRightInd/>
        <w:snapToGrid/>
        <w:spacing w:line="360" w:lineRule="auto"/>
        <w:ind w:right="0"/>
        <w:outlineLvl w:val="9"/>
        <w:rPr>
          <w:rFonts w:hint="eastAsia" w:ascii="宋体" w:hAnsi="宋体" w:eastAsia="宋体" w:cs="宋体"/>
          <w:b/>
          <w:bCs/>
          <w:color w:val="auto"/>
          <w:kern w:val="0"/>
          <w:lang w:val="zh-CN"/>
        </w:rPr>
      </w:pPr>
    </w:p>
    <w:p w14:paraId="14A73FCC">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宋体" w:hAnsi="宋体" w:eastAsia="宋体" w:cs="宋体"/>
          <w:b/>
          <w:color w:val="auto"/>
          <w:sz w:val="44"/>
          <w:szCs w:val="44"/>
        </w:rPr>
      </w:pPr>
      <w:r>
        <w:rPr>
          <w:rFonts w:hint="eastAsia" w:ascii="宋体" w:hAnsi="宋体" w:eastAsia="宋体" w:cs="宋体"/>
          <w:color w:val="auto"/>
          <w:kern w:val="0"/>
          <w:lang w:val="zh-CN"/>
        </w:rPr>
        <w:br w:type="page"/>
      </w:r>
      <w:bookmarkStart w:id="421" w:name="_Toc24560_WPSOffice_Level2"/>
      <w:bookmarkStart w:id="422" w:name="_Toc20688_WPSOffice_Level2"/>
      <w:r>
        <w:rPr>
          <w:rFonts w:hint="eastAsia" w:ascii="宋体" w:hAnsi="宋体" w:eastAsia="宋体" w:cs="宋体"/>
          <w:b/>
          <w:color w:val="auto"/>
          <w:sz w:val="44"/>
          <w:szCs w:val="44"/>
        </w:rPr>
        <w:t>采购项目</w:t>
      </w:r>
      <w:bookmarkEnd w:id="421"/>
      <w:bookmarkEnd w:id="422"/>
    </w:p>
    <w:p w14:paraId="346035C2">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宋体" w:hAnsi="宋体" w:eastAsia="宋体" w:cs="宋体"/>
          <w:b/>
          <w:color w:val="auto"/>
          <w:sz w:val="44"/>
          <w:szCs w:val="44"/>
          <w:lang w:eastAsia="zh-CN"/>
        </w:rPr>
      </w:pPr>
      <w:r>
        <w:rPr>
          <w:rFonts w:hint="eastAsia" w:ascii="宋体" w:hAnsi="宋体" w:eastAsia="宋体" w:cs="宋体"/>
          <w:b/>
          <w:color w:val="auto"/>
          <w:sz w:val="44"/>
          <w:szCs w:val="44"/>
          <w:lang w:eastAsia="zh-CN"/>
        </w:rPr>
        <w:t>响应文件</w:t>
      </w:r>
    </w:p>
    <w:p w14:paraId="422C996F">
      <w:pPr>
        <w:wordWrap/>
        <w:adjustRightInd w:val="0"/>
        <w:spacing w:before="157" w:beforeLines="50" w:line="560" w:lineRule="exact"/>
        <w:jc w:val="center"/>
        <w:textAlignment w:val="baseline"/>
        <w:outlineLvl w:val="9"/>
        <w:rPr>
          <w:rFonts w:hint="eastAsia" w:ascii="宋体" w:hAnsi="宋体" w:eastAsia="宋体" w:cs="宋体"/>
          <w:b/>
          <w:bCs/>
          <w:color w:val="auto"/>
          <w:sz w:val="32"/>
          <w:szCs w:val="32"/>
        </w:rPr>
      </w:pPr>
      <w:bookmarkStart w:id="423" w:name="_Toc24224_WPSOffice_Level2"/>
      <w:bookmarkStart w:id="424" w:name="_Toc5068_WPSOffice_Level2"/>
      <w:r>
        <w:rPr>
          <w:rFonts w:hint="eastAsia" w:ascii="宋体" w:hAnsi="宋体" w:eastAsia="宋体" w:cs="宋体"/>
          <w:b/>
          <w:bCs/>
          <w:color w:val="auto"/>
          <w:sz w:val="32"/>
          <w:szCs w:val="32"/>
        </w:rPr>
        <w:t>（</w:t>
      </w:r>
      <w:r>
        <w:rPr>
          <w:rFonts w:hint="eastAsia" w:ascii="宋体" w:hAnsi="宋体" w:eastAsia="宋体" w:cs="宋体"/>
          <w:b w:val="0"/>
          <w:bCs w:val="0"/>
          <w:color w:val="auto"/>
          <w:kern w:val="2"/>
          <w:sz w:val="32"/>
          <w:szCs w:val="32"/>
          <w:lang w:val="en-US" w:eastAsia="zh-CN" w:bidi="ar-SA"/>
        </w:rPr>
        <w:t>有效性、完整性、响应程度审查部分</w:t>
      </w:r>
      <w:r>
        <w:rPr>
          <w:rFonts w:hint="eastAsia" w:ascii="宋体" w:hAnsi="宋体" w:eastAsia="宋体" w:cs="宋体"/>
          <w:b/>
          <w:bCs/>
          <w:color w:val="auto"/>
          <w:sz w:val="32"/>
          <w:szCs w:val="32"/>
        </w:rPr>
        <w:t>）</w:t>
      </w:r>
      <w:bookmarkEnd w:id="423"/>
      <w:bookmarkEnd w:id="424"/>
    </w:p>
    <w:p w14:paraId="43EAEABD">
      <w:pPr>
        <w:wordWrap/>
        <w:adjustRightInd w:val="0"/>
        <w:spacing w:before="157" w:beforeLines="50" w:line="560" w:lineRule="exact"/>
        <w:textAlignment w:val="baseline"/>
        <w:outlineLvl w:val="9"/>
        <w:rPr>
          <w:rFonts w:hint="eastAsia" w:ascii="宋体" w:hAnsi="宋体" w:eastAsia="宋体" w:cs="宋体"/>
          <w:b/>
          <w:bCs/>
          <w:color w:val="auto"/>
          <w:sz w:val="32"/>
          <w:szCs w:val="32"/>
        </w:rPr>
      </w:pPr>
    </w:p>
    <w:p w14:paraId="39BD57D9">
      <w:pPr>
        <w:wordWrap/>
        <w:adjustRightInd w:val="0"/>
        <w:spacing w:before="157" w:beforeLines="50" w:line="560" w:lineRule="exact"/>
        <w:textAlignment w:val="baseline"/>
        <w:outlineLvl w:val="9"/>
        <w:rPr>
          <w:rFonts w:hint="eastAsia" w:ascii="宋体" w:hAnsi="宋体" w:eastAsia="宋体" w:cs="宋体"/>
          <w:b/>
          <w:bCs/>
          <w:color w:val="auto"/>
          <w:sz w:val="32"/>
          <w:szCs w:val="32"/>
        </w:rPr>
      </w:pPr>
    </w:p>
    <w:p w14:paraId="630A9D6E">
      <w:pPr>
        <w:wordWrap/>
        <w:adjustRightInd w:val="0"/>
        <w:spacing w:before="157" w:beforeLines="50" w:line="560" w:lineRule="exact"/>
        <w:textAlignment w:val="baseline"/>
        <w:outlineLvl w:val="9"/>
        <w:rPr>
          <w:rFonts w:hint="eastAsia" w:ascii="宋体" w:hAnsi="宋体" w:eastAsia="宋体" w:cs="宋体"/>
          <w:b/>
          <w:bCs/>
          <w:color w:val="auto"/>
          <w:sz w:val="32"/>
          <w:szCs w:val="32"/>
        </w:rPr>
      </w:pPr>
    </w:p>
    <w:p w14:paraId="7E2E9B56">
      <w:pPr>
        <w:wordWrap/>
        <w:adjustRightInd w:val="0"/>
        <w:spacing w:before="157" w:beforeLines="50" w:line="560" w:lineRule="exact"/>
        <w:textAlignment w:val="baseline"/>
        <w:outlineLvl w:val="9"/>
        <w:rPr>
          <w:rFonts w:hint="eastAsia" w:ascii="宋体" w:hAnsi="宋体" w:eastAsia="宋体" w:cs="宋体"/>
          <w:b/>
          <w:bCs/>
          <w:color w:val="auto"/>
          <w:sz w:val="32"/>
          <w:szCs w:val="32"/>
          <w:lang w:eastAsia="zh-CN"/>
        </w:rPr>
      </w:pPr>
      <w:bookmarkStart w:id="425" w:name="_Toc14028_WPSOffice_Level2"/>
      <w:bookmarkStart w:id="426" w:name="_Toc16258_WPSOffice_Level2"/>
      <w:r>
        <w:rPr>
          <w:rFonts w:hint="eastAsia" w:ascii="宋体" w:hAnsi="宋体" w:eastAsia="宋体" w:cs="宋体"/>
          <w:b/>
          <w:bCs/>
          <w:color w:val="auto"/>
          <w:sz w:val="32"/>
          <w:szCs w:val="32"/>
        </w:rPr>
        <w:t>采购项目编号:</w:t>
      </w:r>
      <w:bookmarkEnd w:id="425"/>
      <w:bookmarkEnd w:id="426"/>
    </w:p>
    <w:p w14:paraId="7694149A">
      <w:pPr>
        <w:wordWrap/>
        <w:spacing w:before="157" w:beforeLines="50" w:line="560" w:lineRule="exact"/>
        <w:ind w:left="2530" w:hanging="2249" w:hangingChars="700"/>
        <w:jc w:val="left"/>
        <w:outlineLvl w:val="9"/>
        <w:rPr>
          <w:rFonts w:hint="eastAsia" w:ascii="宋体" w:hAnsi="宋体" w:eastAsia="宋体" w:cs="宋体"/>
          <w:b/>
          <w:bCs/>
          <w:color w:val="auto"/>
          <w:sz w:val="32"/>
          <w:szCs w:val="32"/>
        </w:rPr>
      </w:pPr>
      <w:bookmarkStart w:id="427" w:name="_Toc25982_WPSOffice_Level2"/>
      <w:bookmarkStart w:id="428" w:name="_Toc173_WPSOffice_Level2"/>
      <w:r>
        <w:rPr>
          <w:rFonts w:hint="eastAsia" w:ascii="宋体" w:hAnsi="宋体" w:eastAsia="宋体" w:cs="宋体"/>
          <w:b/>
          <w:bCs/>
          <w:color w:val="auto"/>
          <w:sz w:val="32"/>
          <w:szCs w:val="32"/>
        </w:rPr>
        <w:t>采购项目名称:</w:t>
      </w:r>
      <w:bookmarkEnd w:id="427"/>
      <w:bookmarkEnd w:id="428"/>
    </w:p>
    <w:p w14:paraId="09AC99E8">
      <w:pPr>
        <w:wordWrap/>
        <w:spacing w:before="157" w:beforeLines="50" w:line="560" w:lineRule="exact"/>
        <w:ind w:left="2530" w:hanging="2249" w:hangingChars="700"/>
        <w:jc w:val="left"/>
        <w:outlineLvl w:val="9"/>
        <w:rPr>
          <w:rFonts w:hint="eastAsia" w:ascii="宋体" w:hAnsi="宋体" w:eastAsia="宋体" w:cs="宋体"/>
          <w:b/>
          <w:bCs/>
          <w:color w:val="auto"/>
          <w:sz w:val="32"/>
          <w:szCs w:val="32"/>
          <w:lang w:eastAsia="zh-CN"/>
        </w:rPr>
      </w:pPr>
      <w:bookmarkStart w:id="429" w:name="_Toc19360_WPSOffice_Level2"/>
      <w:bookmarkStart w:id="430" w:name="_Toc24014_WPSOffice_Level2"/>
      <w:r>
        <w:rPr>
          <w:rFonts w:hint="eastAsia" w:ascii="宋体" w:hAnsi="宋体" w:eastAsia="宋体" w:cs="宋体"/>
          <w:b/>
          <w:bCs/>
          <w:color w:val="auto"/>
          <w:sz w:val="32"/>
          <w:szCs w:val="32"/>
          <w:lang w:eastAsia="zh-CN"/>
        </w:rPr>
        <w:t>供应商名称：</w:t>
      </w:r>
      <w:bookmarkEnd w:id="429"/>
      <w:bookmarkEnd w:id="430"/>
    </w:p>
    <w:p w14:paraId="527AA62E">
      <w:pPr>
        <w:wordWrap/>
        <w:spacing w:before="157" w:beforeLines="50" w:line="560" w:lineRule="exact"/>
        <w:jc w:val="center"/>
        <w:outlineLvl w:val="9"/>
        <w:rPr>
          <w:rFonts w:hint="eastAsia" w:ascii="宋体" w:hAnsi="宋体" w:eastAsia="宋体" w:cs="宋体"/>
          <w:b/>
          <w:bCs/>
          <w:color w:val="auto"/>
          <w:sz w:val="32"/>
          <w:szCs w:val="32"/>
        </w:rPr>
      </w:pPr>
    </w:p>
    <w:p w14:paraId="497C105D">
      <w:pPr>
        <w:wordWrap/>
        <w:spacing w:before="157" w:beforeLines="50" w:line="560" w:lineRule="exact"/>
        <w:jc w:val="center"/>
        <w:outlineLvl w:val="9"/>
        <w:rPr>
          <w:rFonts w:hint="eastAsia" w:ascii="宋体" w:hAnsi="宋体" w:eastAsia="宋体" w:cs="宋体"/>
          <w:b/>
          <w:color w:val="auto"/>
          <w:sz w:val="32"/>
          <w:szCs w:val="32"/>
        </w:rPr>
      </w:pPr>
      <w:bookmarkStart w:id="431" w:name="_Toc17697_WPSOffice_Level3"/>
      <w:r>
        <w:rPr>
          <w:rFonts w:hint="eastAsia" w:ascii="宋体" w:hAnsi="宋体" w:eastAsia="宋体" w:cs="宋体"/>
          <w:b/>
          <w:color w:val="auto"/>
          <w:sz w:val="32"/>
          <w:szCs w:val="32"/>
        </w:rPr>
        <w:t>年  月  日</w:t>
      </w:r>
      <w:bookmarkEnd w:id="431"/>
    </w:p>
    <w:p w14:paraId="6AF27581">
      <w:pPr>
        <w:widowControl/>
        <w:wordWrap/>
        <w:snapToGrid w:val="0"/>
        <w:spacing w:before="157" w:beforeLines="50" w:line="560" w:lineRule="exact"/>
        <w:outlineLvl w:val="9"/>
        <w:rPr>
          <w:rFonts w:hint="eastAsia" w:ascii="宋体" w:hAnsi="宋体" w:eastAsia="宋体" w:cs="宋体"/>
          <w:b/>
          <w:color w:val="auto"/>
          <w:sz w:val="28"/>
          <w:szCs w:val="28"/>
        </w:rPr>
      </w:pPr>
    </w:p>
    <w:p w14:paraId="5DFCACE6">
      <w:pPr>
        <w:rPr>
          <w:rFonts w:hint="eastAsia" w:ascii="宋体" w:hAnsi="宋体" w:eastAsia="宋体" w:cs="宋体"/>
          <w:color w:val="auto"/>
        </w:rPr>
      </w:pPr>
      <w:r>
        <w:rPr>
          <w:rFonts w:hint="eastAsia" w:ascii="宋体" w:hAnsi="宋体" w:eastAsia="宋体" w:cs="宋体"/>
          <w:color w:val="auto"/>
          <w:kern w:val="0"/>
          <w:lang w:val="zh-CN"/>
        </w:rPr>
        <w:br w:type="page"/>
      </w:r>
    </w:p>
    <w:p w14:paraId="64C9F22C">
      <w:pPr>
        <w:keepNext w:val="0"/>
        <w:keepLines w:val="0"/>
        <w:pageBreakBefore w:val="0"/>
        <w:widowControl/>
        <w:kinsoku/>
        <w:wordWrap/>
        <w:overflowPunct/>
        <w:topLinePunct w:val="0"/>
        <w:bidi w:val="0"/>
        <w:adjustRightInd/>
        <w:snapToGrid/>
        <w:spacing w:line="360" w:lineRule="auto"/>
        <w:ind w:left="0" w:leftChars="0"/>
        <w:outlineLvl w:val="1"/>
        <w:rPr>
          <w:rFonts w:hint="eastAsia" w:ascii="宋体" w:hAnsi="宋体" w:eastAsia="宋体" w:cs="宋体"/>
          <w:b/>
          <w:color w:val="auto"/>
          <w:sz w:val="24"/>
          <w:szCs w:val="24"/>
        </w:rPr>
      </w:pPr>
      <w:bookmarkStart w:id="432" w:name="_Toc2646_WPSOffice_Level3"/>
      <w:bookmarkStart w:id="433" w:name="_Toc13416_WPSOffice_Level3"/>
      <w:bookmarkStart w:id="434" w:name="_Toc18715"/>
      <w:bookmarkStart w:id="435" w:name="_Toc3360"/>
      <w:bookmarkStart w:id="436" w:name="_Toc28116"/>
      <w:bookmarkStart w:id="437" w:name="_Toc7156"/>
      <w:r>
        <w:rPr>
          <w:rFonts w:hint="eastAsia" w:ascii="宋体" w:hAnsi="宋体" w:eastAsia="宋体" w:cs="宋体"/>
          <w:b/>
          <w:bCs w:val="0"/>
          <w:color w:val="auto"/>
          <w:kern w:val="2"/>
          <w:sz w:val="24"/>
          <w:szCs w:val="24"/>
          <w:lang w:val="en-US" w:eastAsia="zh-CN" w:bidi="ar-SA"/>
        </w:rPr>
        <w:t>附件10：谈判首次报价表</w:t>
      </w:r>
      <w:bookmarkEnd w:id="432"/>
      <w:bookmarkEnd w:id="433"/>
      <w:bookmarkEnd w:id="434"/>
      <w:bookmarkEnd w:id="435"/>
      <w:bookmarkEnd w:id="436"/>
      <w:bookmarkEnd w:id="437"/>
    </w:p>
    <w:p w14:paraId="585DC4F3">
      <w:pPr>
        <w:keepNext w:val="0"/>
        <w:keepLines w:val="0"/>
        <w:pageBreakBefore w:val="0"/>
        <w:kinsoku/>
        <w:wordWrap/>
        <w:overflowPunct/>
        <w:topLinePunct w:val="0"/>
        <w:bidi w:val="0"/>
        <w:adjustRightInd/>
        <w:snapToGrid/>
        <w:spacing w:line="360" w:lineRule="auto"/>
        <w:ind w:left="0" w:leftChars="0"/>
        <w:jc w:val="center"/>
        <w:outlineLvl w:val="9"/>
        <w:rPr>
          <w:rFonts w:hint="eastAsia" w:ascii="宋体" w:hAnsi="宋体" w:eastAsia="宋体" w:cs="宋体"/>
          <w:b/>
          <w:color w:val="auto"/>
          <w:sz w:val="24"/>
          <w:szCs w:val="24"/>
        </w:rPr>
      </w:pPr>
      <w:bookmarkStart w:id="438" w:name="_Toc17115_WPSOffice_Level3"/>
      <w:bookmarkStart w:id="439" w:name="_Toc8724_WPSOffice_Level1"/>
      <w:bookmarkStart w:id="440" w:name="_Toc17322_WPSOffice_Level1"/>
      <w:r>
        <w:rPr>
          <w:rFonts w:hint="eastAsia" w:ascii="宋体" w:hAnsi="宋体" w:eastAsia="宋体" w:cs="宋体"/>
          <w:b/>
          <w:color w:val="auto"/>
          <w:sz w:val="24"/>
          <w:szCs w:val="24"/>
          <w:lang w:val="zh-CN" w:eastAsia="zh-CN"/>
        </w:rPr>
        <w:t>谈判首次报价表</w:t>
      </w:r>
      <w:bookmarkEnd w:id="438"/>
      <w:bookmarkEnd w:id="439"/>
      <w:bookmarkEnd w:id="440"/>
    </w:p>
    <w:p w14:paraId="7E002E7F">
      <w:pPr>
        <w:keepNext w:val="0"/>
        <w:keepLines w:val="0"/>
        <w:pageBreakBefore w:val="0"/>
        <w:widowControl w:val="0"/>
        <w:kinsoku/>
        <w:wordWrap/>
        <w:overflowPunct/>
        <w:topLinePunct w:val="0"/>
        <w:bidi w:val="0"/>
        <w:adjustRightInd/>
        <w:snapToGrid/>
        <w:spacing w:line="360" w:lineRule="auto"/>
        <w:ind w:left="0" w:leftChars="0"/>
        <w:jc w:val="left"/>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供应商名称</w:t>
      </w:r>
      <w:r>
        <w:rPr>
          <w:rFonts w:hint="eastAsia" w:ascii="宋体" w:hAnsi="宋体" w:eastAsia="宋体" w:cs="宋体"/>
          <w:b w:val="0"/>
          <w:bCs/>
          <w:color w:val="auto"/>
          <w:sz w:val="24"/>
          <w:szCs w:val="24"/>
          <w:lang w:eastAsia="zh-CN"/>
        </w:rPr>
        <w:t>：</w:t>
      </w:r>
    </w:p>
    <w:p w14:paraId="31F1D03A">
      <w:pPr>
        <w:keepNext w:val="0"/>
        <w:keepLines w:val="0"/>
        <w:pageBreakBefore w:val="0"/>
        <w:widowControl w:val="0"/>
        <w:kinsoku/>
        <w:wordWrap/>
        <w:overflowPunct/>
        <w:topLinePunct w:val="0"/>
        <w:bidi w:val="0"/>
        <w:adjustRightInd/>
        <w:snapToGrid/>
        <w:spacing w:line="360" w:lineRule="auto"/>
        <w:ind w:left="0" w:leftChars="0"/>
        <w:jc w:val="right"/>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单位：人民币(元)</w:t>
      </w:r>
    </w:p>
    <w:tbl>
      <w:tblPr>
        <w:tblStyle w:val="1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3624"/>
        <w:gridCol w:w="2300"/>
        <w:gridCol w:w="1048"/>
      </w:tblGrid>
      <w:tr w14:paraId="10B2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2099" w:type="dxa"/>
            <w:vAlign w:val="center"/>
          </w:tcPr>
          <w:p w14:paraId="0C0EBA1B">
            <w:pPr>
              <w:keepNext w:val="0"/>
              <w:keepLines w:val="0"/>
              <w:pageBreakBefore w:val="0"/>
              <w:widowControl w:val="0"/>
              <w:kinsoku/>
              <w:wordWrap/>
              <w:overflowPunct/>
              <w:topLinePunct w:val="0"/>
              <w:bidi w:val="0"/>
              <w:adjustRightInd/>
              <w:snapToGrid/>
              <w:spacing w:line="360" w:lineRule="auto"/>
              <w:ind w:left="0" w:leftChars="0"/>
              <w:jc w:val="center"/>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项目名称</w:t>
            </w:r>
          </w:p>
        </w:tc>
        <w:tc>
          <w:tcPr>
            <w:tcW w:w="3624" w:type="dxa"/>
            <w:vAlign w:val="center"/>
          </w:tcPr>
          <w:p w14:paraId="5CFA2C0D">
            <w:pPr>
              <w:keepNext w:val="0"/>
              <w:keepLines w:val="0"/>
              <w:pageBreakBefore w:val="0"/>
              <w:widowControl w:val="0"/>
              <w:kinsoku/>
              <w:wordWrap/>
              <w:overflowPunct/>
              <w:topLinePunct w:val="0"/>
              <w:bidi w:val="0"/>
              <w:adjustRightInd/>
              <w:snapToGrid/>
              <w:spacing w:line="360" w:lineRule="auto"/>
              <w:ind w:left="0" w:leftChars="0"/>
              <w:jc w:val="center"/>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首次</w:t>
            </w:r>
            <w:r>
              <w:rPr>
                <w:rFonts w:hint="eastAsia" w:ascii="宋体" w:hAnsi="宋体" w:eastAsia="宋体" w:cs="宋体"/>
                <w:b w:val="0"/>
                <w:bCs/>
                <w:color w:val="auto"/>
                <w:sz w:val="24"/>
                <w:szCs w:val="24"/>
              </w:rPr>
              <w:t>报价</w:t>
            </w:r>
          </w:p>
        </w:tc>
        <w:tc>
          <w:tcPr>
            <w:tcW w:w="2300" w:type="dxa"/>
            <w:vAlign w:val="center"/>
          </w:tcPr>
          <w:p w14:paraId="0EF79003">
            <w:pPr>
              <w:keepNext w:val="0"/>
              <w:keepLines w:val="0"/>
              <w:pageBreakBefore w:val="0"/>
              <w:widowControl w:val="0"/>
              <w:kinsoku/>
              <w:wordWrap/>
              <w:overflowPunct/>
              <w:topLinePunct w:val="0"/>
              <w:bidi w:val="0"/>
              <w:adjustRightInd/>
              <w:snapToGrid/>
              <w:spacing w:line="360" w:lineRule="auto"/>
              <w:ind w:left="0" w:leftChars="0"/>
              <w:jc w:val="center"/>
              <w:textAlignment w:val="baseline"/>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服务期限</w:t>
            </w:r>
          </w:p>
        </w:tc>
        <w:tc>
          <w:tcPr>
            <w:tcW w:w="1048" w:type="dxa"/>
            <w:vAlign w:val="center"/>
          </w:tcPr>
          <w:p w14:paraId="16D004FE">
            <w:pPr>
              <w:keepNext w:val="0"/>
              <w:keepLines w:val="0"/>
              <w:pageBreakBefore w:val="0"/>
              <w:widowControl w:val="0"/>
              <w:kinsoku/>
              <w:wordWrap/>
              <w:overflowPunct/>
              <w:topLinePunct w:val="0"/>
              <w:bidi w:val="0"/>
              <w:adjustRightInd/>
              <w:snapToGrid/>
              <w:spacing w:line="360" w:lineRule="auto"/>
              <w:ind w:left="240" w:leftChars="0" w:hanging="240" w:hangingChars="100"/>
              <w:jc w:val="center"/>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备注</w:t>
            </w:r>
          </w:p>
        </w:tc>
      </w:tr>
      <w:tr w14:paraId="328C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2099" w:type="dxa"/>
            <w:vMerge w:val="restart"/>
            <w:vAlign w:val="center"/>
          </w:tcPr>
          <w:p w14:paraId="301148DB">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baseline"/>
              <w:outlineLvl w:val="9"/>
              <w:rPr>
                <w:rFonts w:hint="eastAsia" w:ascii="宋体" w:hAnsi="宋体" w:eastAsia="宋体" w:cs="宋体"/>
                <w:b w:val="0"/>
                <w:bCs/>
                <w:color w:val="auto"/>
                <w:sz w:val="24"/>
                <w:szCs w:val="24"/>
              </w:rPr>
            </w:pPr>
          </w:p>
        </w:tc>
        <w:tc>
          <w:tcPr>
            <w:tcW w:w="3624" w:type="dxa"/>
            <w:vAlign w:val="top"/>
          </w:tcPr>
          <w:p w14:paraId="66AA4F0D">
            <w:pPr>
              <w:keepNext w:val="0"/>
              <w:keepLines w:val="0"/>
              <w:pageBreakBefore w:val="0"/>
              <w:widowControl w:val="0"/>
              <w:kinsoku/>
              <w:wordWrap/>
              <w:overflowPunct/>
              <w:topLinePunct w:val="0"/>
              <w:bidi w:val="0"/>
              <w:adjustRightInd/>
              <w:snapToGrid/>
              <w:spacing w:line="360" w:lineRule="auto"/>
              <w:ind w:left="0" w:leftChars="0"/>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大写：</w:t>
            </w:r>
          </w:p>
        </w:tc>
        <w:tc>
          <w:tcPr>
            <w:tcW w:w="2300" w:type="dxa"/>
            <w:vMerge w:val="restart"/>
            <w:vAlign w:val="center"/>
          </w:tcPr>
          <w:p w14:paraId="42112A27">
            <w:pPr>
              <w:keepNext w:val="0"/>
              <w:keepLines w:val="0"/>
              <w:pageBreakBefore w:val="0"/>
              <w:widowControl w:val="0"/>
              <w:kinsoku/>
              <w:wordWrap/>
              <w:overflowPunct/>
              <w:topLinePunct w:val="0"/>
              <w:bidi w:val="0"/>
              <w:adjustRightInd/>
              <w:snapToGrid/>
              <w:spacing w:line="360" w:lineRule="auto"/>
              <w:ind w:left="0" w:leftChars="0" w:firstLine="196" w:firstLineChars="82"/>
              <w:jc w:val="both"/>
              <w:textAlignment w:val="baseline"/>
              <w:outlineLvl w:val="9"/>
              <w:rPr>
                <w:rFonts w:hint="eastAsia" w:ascii="宋体" w:hAnsi="宋体" w:eastAsia="宋体" w:cs="宋体"/>
                <w:b w:val="0"/>
                <w:bCs/>
                <w:color w:val="auto"/>
                <w:sz w:val="24"/>
                <w:szCs w:val="24"/>
              </w:rPr>
            </w:pPr>
          </w:p>
        </w:tc>
        <w:tc>
          <w:tcPr>
            <w:tcW w:w="1048" w:type="dxa"/>
            <w:vMerge w:val="restart"/>
            <w:vAlign w:val="center"/>
          </w:tcPr>
          <w:p w14:paraId="3F445258">
            <w:pPr>
              <w:keepNext w:val="0"/>
              <w:keepLines w:val="0"/>
              <w:pageBreakBefore w:val="0"/>
              <w:widowControl w:val="0"/>
              <w:kinsoku/>
              <w:wordWrap/>
              <w:overflowPunct/>
              <w:topLinePunct w:val="0"/>
              <w:bidi w:val="0"/>
              <w:adjustRightInd/>
              <w:snapToGrid/>
              <w:spacing w:line="360" w:lineRule="auto"/>
              <w:ind w:left="0" w:leftChars="0"/>
              <w:jc w:val="both"/>
              <w:textAlignment w:val="baseline"/>
              <w:outlineLvl w:val="9"/>
              <w:rPr>
                <w:rFonts w:hint="eastAsia" w:ascii="宋体" w:hAnsi="宋体" w:eastAsia="宋体" w:cs="宋体"/>
                <w:b w:val="0"/>
                <w:bCs/>
                <w:color w:val="auto"/>
                <w:sz w:val="24"/>
                <w:szCs w:val="24"/>
              </w:rPr>
            </w:pPr>
          </w:p>
        </w:tc>
      </w:tr>
      <w:tr w14:paraId="68181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2099" w:type="dxa"/>
            <w:vMerge w:val="continue"/>
            <w:vAlign w:val="center"/>
          </w:tcPr>
          <w:p w14:paraId="03CBAC99">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baseline"/>
              <w:outlineLvl w:val="9"/>
              <w:rPr>
                <w:rFonts w:hint="eastAsia" w:ascii="宋体" w:hAnsi="宋体" w:eastAsia="宋体" w:cs="宋体"/>
                <w:b w:val="0"/>
                <w:bCs/>
                <w:color w:val="auto"/>
                <w:sz w:val="24"/>
                <w:szCs w:val="24"/>
              </w:rPr>
            </w:pPr>
          </w:p>
        </w:tc>
        <w:tc>
          <w:tcPr>
            <w:tcW w:w="3624" w:type="dxa"/>
            <w:vAlign w:val="top"/>
          </w:tcPr>
          <w:p w14:paraId="232A2D39">
            <w:pPr>
              <w:keepNext w:val="0"/>
              <w:keepLines w:val="0"/>
              <w:pageBreakBefore w:val="0"/>
              <w:widowControl w:val="0"/>
              <w:kinsoku/>
              <w:wordWrap/>
              <w:overflowPunct/>
              <w:topLinePunct w:val="0"/>
              <w:bidi w:val="0"/>
              <w:adjustRightInd/>
              <w:snapToGrid/>
              <w:spacing w:line="360" w:lineRule="auto"/>
              <w:ind w:left="0" w:leftChars="0"/>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小写：</w:t>
            </w:r>
          </w:p>
        </w:tc>
        <w:tc>
          <w:tcPr>
            <w:tcW w:w="2300" w:type="dxa"/>
            <w:vMerge w:val="continue"/>
            <w:vAlign w:val="top"/>
          </w:tcPr>
          <w:p w14:paraId="03918A0D">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baseline"/>
              <w:outlineLvl w:val="9"/>
              <w:rPr>
                <w:rFonts w:hint="eastAsia" w:ascii="宋体" w:hAnsi="宋体" w:eastAsia="宋体" w:cs="宋体"/>
                <w:b w:val="0"/>
                <w:bCs/>
                <w:color w:val="auto"/>
                <w:sz w:val="24"/>
                <w:szCs w:val="24"/>
              </w:rPr>
            </w:pPr>
          </w:p>
        </w:tc>
        <w:tc>
          <w:tcPr>
            <w:tcW w:w="1048" w:type="dxa"/>
            <w:vMerge w:val="continue"/>
            <w:vAlign w:val="top"/>
          </w:tcPr>
          <w:p w14:paraId="70ADC72B">
            <w:pPr>
              <w:keepNext w:val="0"/>
              <w:keepLines w:val="0"/>
              <w:pageBreakBefore w:val="0"/>
              <w:widowControl w:val="0"/>
              <w:kinsoku/>
              <w:wordWrap/>
              <w:overflowPunct/>
              <w:topLinePunct w:val="0"/>
              <w:bidi w:val="0"/>
              <w:adjustRightInd/>
              <w:snapToGrid/>
              <w:spacing w:line="360" w:lineRule="auto"/>
              <w:ind w:left="0" w:leftChars="0"/>
              <w:textAlignment w:val="baseline"/>
              <w:outlineLvl w:val="9"/>
              <w:rPr>
                <w:rFonts w:hint="eastAsia" w:ascii="宋体" w:hAnsi="宋体" w:eastAsia="宋体" w:cs="宋体"/>
                <w:b w:val="0"/>
                <w:bCs/>
                <w:color w:val="auto"/>
                <w:sz w:val="24"/>
                <w:szCs w:val="24"/>
              </w:rPr>
            </w:pPr>
          </w:p>
        </w:tc>
      </w:tr>
      <w:tr w14:paraId="2879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9071" w:type="dxa"/>
            <w:gridSpan w:val="4"/>
            <w:vAlign w:val="center"/>
          </w:tcPr>
          <w:p w14:paraId="086F56C0">
            <w:pPr>
              <w:keepNext w:val="0"/>
              <w:keepLines w:val="0"/>
              <w:pageBreakBefore w:val="0"/>
              <w:widowControl w:val="0"/>
              <w:kinsoku/>
              <w:wordWrap/>
              <w:overflowPunct/>
              <w:topLinePunct w:val="0"/>
              <w:bidi w:val="0"/>
              <w:adjustRightInd/>
              <w:snapToGrid/>
              <w:spacing w:line="360" w:lineRule="auto"/>
              <w:ind w:left="0" w:leftChars="0"/>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其他承诺及需要说明的事项：</w:t>
            </w:r>
          </w:p>
        </w:tc>
      </w:tr>
    </w:tbl>
    <w:p w14:paraId="7B282D70">
      <w:pPr>
        <w:keepNext w:val="0"/>
        <w:keepLines w:val="0"/>
        <w:pageBreakBefore w:val="0"/>
        <w:widowControl w:val="0"/>
        <w:kinsoku/>
        <w:wordWrap/>
        <w:overflowPunct/>
        <w:topLinePunct w:val="0"/>
        <w:bidi w:val="0"/>
        <w:adjustRightInd/>
        <w:snapToGrid/>
        <w:spacing w:line="360" w:lineRule="auto"/>
        <w:ind w:left="0" w:left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注：1、填写此表时不得改变表格形式。</w:t>
      </w:r>
    </w:p>
    <w:p w14:paraId="56511648">
      <w:pPr>
        <w:keepNext w:val="0"/>
        <w:keepLines w:val="0"/>
        <w:pageBreakBefore w:val="0"/>
        <w:widowControl w:val="0"/>
        <w:kinsoku/>
        <w:wordWrap/>
        <w:overflowPunct/>
        <w:topLinePunct w:val="0"/>
        <w:bidi w:val="0"/>
        <w:adjustRightInd/>
        <w:snapToGrid/>
        <w:spacing w:line="360" w:lineRule="auto"/>
        <w:ind w:left="0" w:leftChars="0"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报价为总价。包括</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lang w:eastAsia="zh-CN"/>
        </w:rPr>
        <w:t>维护费、检测费、保险费、代理服务费、税金及其他不可预见费等全部费用。</w:t>
      </w:r>
    </w:p>
    <w:p w14:paraId="086A31FD">
      <w:pPr>
        <w:keepNext w:val="0"/>
        <w:keepLines w:val="0"/>
        <w:pageBreakBefore w:val="0"/>
        <w:widowControl w:val="0"/>
        <w:kinsoku/>
        <w:wordWrap/>
        <w:overflowPunct/>
        <w:topLinePunct w:val="0"/>
        <w:bidi w:val="0"/>
        <w:adjustRightInd/>
        <w:snapToGrid/>
        <w:spacing w:line="360" w:lineRule="auto"/>
        <w:outlineLvl w:val="9"/>
        <w:rPr>
          <w:rFonts w:hint="eastAsia" w:ascii="宋体" w:hAnsi="宋体" w:eastAsia="宋体" w:cs="宋体"/>
          <w:color w:val="auto"/>
          <w:sz w:val="24"/>
          <w:szCs w:val="24"/>
        </w:rPr>
      </w:pPr>
    </w:p>
    <w:p w14:paraId="7F9045E6">
      <w:pPr>
        <w:keepNext w:val="0"/>
        <w:keepLines w:val="0"/>
        <w:pageBreakBefore w:val="0"/>
        <w:widowControl w:val="0"/>
        <w:kinsoku/>
        <w:wordWrap/>
        <w:overflowPunct/>
        <w:topLinePunct w:val="0"/>
        <w:bidi w:val="0"/>
        <w:adjustRightInd/>
        <w:snapToGrid/>
        <w:spacing w:line="360" w:lineRule="auto"/>
        <w:outlineLvl w:val="9"/>
        <w:rPr>
          <w:rFonts w:hint="eastAsia" w:ascii="宋体" w:hAnsi="宋体" w:eastAsia="宋体" w:cs="宋体"/>
          <w:color w:val="auto"/>
          <w:sz w:val="24"/>
          <w:szCs w:val="24"/>
        </w:rPr>
      </w:pPr>
    </w:p>
    <w:p w14:paraId="587C5339">
      <w:pPr>
        <w:keepNext w:val="0"/>
        <w:keepLines w:val="0"/>
        <w:pageBreakBefore w:val="0"/>
        <w:widowControl w:val="0"/>
        <w:kinsoku/>
        <w:wordWrap/>
        <w:overflowPunct/>
        <w:topLinePunct w:val="0"/>
        <w:bidi w:val="0"/>
        <w:adjustRightInd/>
        <w:snapToGrid/>
        <w:spacing w:line="360" w:lineRule="auto"/>
        <w:outlineLvl w:val="9"/>
        <w:rPr>
          <w:rFonts w:hint="eastAsia" w:ascii="宋体" w:hAnsi="宋体" w:eastAsia="宋体" w:cs="宋体"/>
          <w:color w:val="auto"/>
          <w:sz w:val="24"/>
          <w:szCs w:val="24"/>
        </w:rPr>
      </w:pPr>
    </w:p>
    <w:p w14:paraId="5ADC5191">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单</w:t>
      </w:r>
      <w:r>
        <w:rPr>
          <w:rFonts w:hint="eastAsia" w:ascii="宋体" w:hAnsi="宋体" w:eastAsia="宋体" w:cs="宋体"/>
          <w:b w:val="0"/>
          <w:bCs/>
          <w:color w:val="auto"/>
          <w:sz w:val="24"/>
          <w:szCs w:val="24"/>
        </w:rPr>
        <w:t>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（公章）</w:t>
      </w:r>
    </w:p>
    <w:p w14:paraId="09422088">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p>
    <w:p w14:paraId="40B8EF9A">
      <w:pPr>
        <w:keepNext w:val="0"/>
        <w:keepLines w:val="0"/>
        <w:pageBreakBefore w:val="0"/>
        <w:kinsoku/>
        <w:wordWrap/>
        <w:overflowPunct/>
        <w:topLinePunct w:val="0"/>
        <w:bidi w:val="0"/>
        <w:adjustRightInd/>
        <w:snapToGrid/>
        <w:spacing w:line="360" w:lineRule="auto"/>
        <w:ind w:left="0" w:leftChars="0" w:firstLine="480" w:firstLineChars="200"/>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年   月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日</w:t>
      </w:r>
    </w:p>
    <w:p w14:paraId="523D5757">
      <w:pPr>
        <w:keepNext w:val="0"/>
        <w:keepLines w:val="0"/>
        <w:pageBreakBefore w:val="0"/>
        <w:kinsoku/>
        <w:wordWrap/>
        <w:overflowPunct/>
        <w:topLinePunct w:val="0"/>
        <w:bidi w:val="0"/>
        <w:adjustRightInd/>
        <w:snapToGrid/>
        <w:spacing w:line="360" w:lineRule="auto"/>
        <w:jc w:val="both"/>
        <w:outlineLvl w:val="9"/>
        <w:rPr>
          <w:rFonts w:hint="eastAsia" w:ascii="宋体" w:hAnsi="宋体" w:eastAsia="宋体" w:cs="宋体"/>
          <w:b w:val="0"/>
          <w:bCs/>
          <w:color w:val="auto"/>
          <w:sz w:val="24"/>
          <w:szCs w:val="24"/>
        </w:rPr>
      </w:pPr>
    </w:p>
    <w:p w14:paraId="17D6380D">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b/>
          <w:color w:val="auto"/>
          <w:sz w:val="24"/>
          <w:szCs w:val="24"/>
        </w:rPr>
      </w:pPr>
      <w:bookmarkStart w:id="441" w:name="_Toc13192"/>
      <w:bookmarkStart w:id="442" w:name="_Toc18824_WPSOffice_Level3"/>
      <w:bookmarkStart w:id="443" w:name="_Toc7532"/>
      <w:bookmarkStart w:id="444" w:name="_Toc31202"/>
      <w:bookmarkStart w:id="445" w:name="_Toc3352_WPSOffice_Level3"/>
      <w:r>
        <w:rPr>
          <w:rFonts w:hint="eastAsia" w:ascii="宋体" w:hAnsi="宋体" w:eastAsia="宋体" w:cs="宋体"/>
          <w:b/>
          <w:color w:val="auto"/>
          <w:sz w:val="24"/>
          <w:szCs w:val="24"/>
        </w:rPr>
        <w:br w:type="page"/>
      </w:r>
    </w:p>
    <w:p w14:paraId="3503E0C1">
      <w:pPr>
        <w:keepNext w:val="0"/>
        <w:keepLines w:val="0"/>
        <w:pageBreakBefore w:val="0"/>
        <w:widowControl/>
        <w:kinsoku/>
        <w:wordWrap/>
        <w:overflowPunct/>
        <w:topLinePunct w:val="0"/>
        <w:bidi w:val="0"/>
        <w:adjustRightInd/>
        <w:snapToGrid/>
        <w:spacing w:line="360" w:lineRule="auto"/>
        <w:ind w:left="0" w:leftChars="0"/>
        <w:outlineLvl w:val="1"/>
        <w:rPr>
          <w:rFonts w:hint="eastAsia" w:ascii="宋体" w:hAnsi="宋体" w:eastAsia="宋体" w:cs="宋体"/>
          <w:b/>
          <w:color w:val="auto"/>
          <w:sz w:val="24"/>
          <w:szCs w:val="24"/>
        </w:rPr>
      </w:pPr>
      <w:bookmarkStart w:id="446" w:name="_Toc21692"/>
      <w:r>
        <w:rPr>
          <w:rFonts w:hint="eastAsia" w:ascii="宋体" w:hAnsi="宋体" w:eastAsia="宋体" w:cs="宋体"/>
          <w:b/>
          <w:bCs w:val="0"/>
          <w:color w:val="auto"/>
          <w:kern w:val="2"/>
          <w:sz w:val="28"/>
          <w:szCs w:val="28"/>
          <w:lang w:val="en-US" w:eastAsia="zh-CN" w:bidi="ar-SA"/>
        </w:rPr>
        <w:t>附件11：分项报价表</w:t>
      </w:r>
      <w:bookmarkEnd w:id="441"/>
      <w:bookmarkEnd w:id="442"/>
      <w:bookmarkEnd w:id="443"/>
      <w:bookmarkEnd w:id="444"/>
      <w:bookmarkEnd w:id="445"/>
      <w:bookmarkEnd w:id="446"/>
    </w:p>
    <w:p w14:paraId="4B46EC8A">
      <w:pPr>
        <w:keepNext w:val="0"/>
        <w:keepLines w:val="0"/>
        <w:pageBreakBefore w:val="0"/>
        <w:kinsoku/>
        <w:wordWrap/>
        <w:overflowPunct/>
        <w:topLinePunct w:val="0"/>
        <w:bidi w:val="0"/>
        <w:adjustRightInd/>
        <w:snapToGrid/>
        <w:spacing w:line="360" w:lineRule="auto"/>
        <w:ind w:left="0" w:leftChars="0"/>
        <w:jc w:val="center"/>
        <w:outlineLvl w:val="9"/>
        <w:rPr>
          <w:rFonts w:hint="eastAsia" w:ascii="宋体" w:hAnsi="宋体" w:eastAsia="宋体" w:cs="宋体"/>
          <w:b/>
          <w:color w:val="auto"/>
          <w:sz w:val="24"/>
          <w:szCs w:val="24"/>
        </w:rPr>
      </w:pPr>
      <w:bookmarkStart w:id="447" w:name="_Toc31256_WPSOffice_Level3"/>
      <w:bookmarkStart w:id="448" w:name="_Toc19937_WPSOffice_Level1"/>
      <w:bookmarkStart w:id="449" w:name="_Toc12587_WPSOffice_Level1"/>
      <w:r>
        <w:rPr>
          <w:rFonts w:hint="eastAsia" w:ascii="宋体" w:hAnsi="宋体" w:eastAsia="宋体" w:cs="宋体"/>
          <w:b/>
          <w:color w:val="auto"/>
          <w:sz w:val="24"/>
          <w:szCs w:val="24"/>
          <w:highlight w:val="none"/>
          <w:lang w:val="zh-CN" w:eastAsia="zh-CN"/>
        </w:rPr>
        <w:t>分项报价表</w:t>
      </w:r>
      <w:bookmarkEnd w:id="447"/>
      <w:bookmarkEnd w:id="448"/>
      <w:bookmarkEnd w:id="449"/>
    </w:p>
    <w:p w14:paraId="108588BA">
      <w:pPr>
        <w:keepNext w:val="0"/>
        <w:keepLines w:val="0"/>
        <w:pageBreakBefore w:val="0"/>
        <w:widowControl w:val="0"/>
        <w:kinsoku/>
        <w:wordWrap/>
        <w:overflowPunct/>
        <w:topLinePunct w:val="0"/>
        <w:bidi w:val="0"/>
        <w:adjustRightInd/>
        <w:snapToGrid/>
        <w:spacing w:line="360" w:lineRule="auto"/>
        <w:ind w:left="0" w:leftChars="0"/>
        <w:jc w:val="left"/>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供应商名称</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单位：人民币(元)</w:t>
      </w:r>
    </w:p>
    <w:tbl>
      <w:tblPr>
        <w:tblStyle w:val="20"/>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2"/>
        <w:gridCol w:w="1713"/>
        <w:gridCol w:w="1494"/>
        <w:gridCol w:w="1450"/>
        <w:gridCol w:w="1113"/>
        <w:gridCol w:w="924"/>
        <w:gridCol w:w="812"/>
        <w:gridCol w:w="974"/>
        <w:gridCol w:w="973"/>
      </w:tblGrid>
      <w:tr w14:paraId="01FF9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752" w:type="dxa"/>
            <w:vAlign w:val="center"/>
          </w:tcPr>
          <w:p w14:paraId="2C89E3B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序号</w:t>
            </w:r>
          </w:p>
        </w:tc>
        <w:tc>
          <w:tcPr>
            <w:tcW w:w="3207" w:type="dxa"/>
            <w:gridSpan w:val="2"/>
            <w:vAlign w:val="center"/>
          </w:tcPr>
          <w:p w14:paraId="5C66CA5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服务内容</w:t>
            </w:r>
          </w:p>
        </w:tc>
        <w:tc>
          <w:tcPr>
            <w:tcW w:w="1450" w:type="dxa"/>
            <w:vAlign w:val="center"/>
          </w:tcPr>
          <w:p w14:paraId="2EA797B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服务商</w:t>
            </w:r>
          </w:p>
        </w:tc>
        <w:tc>
          <w:tcPr>
            <w:tcW w:w="1113" w:type="dxa"/>
            <w:vAlign w:val="center"/>
          </w:tcPr>
          <w:p w14:paraId="252AFF1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数量</w:t>
            </w:r>
          </w:p>
        </w:tc>
        <w:tc>
          <w:tcPr>
            <w:tcW w:w="924" w:type="dxa"/>
            <w:vAlign w:val="center"/>
          </w:tcPr>
          <w:p w14:paraId="5C2D10F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单位</w:t>
            </w:r>
          </w:p>
        </w:tc>
        <w:tc>
          <w:tcPr>
            <w:tcW w:w="812" w:type="dxa"/>
            <w:vAlign w:val="center"/>
          </w:tcPr>
          <w:p w14:paraId="333432F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单价</w:t>
            </w:r>
          </w:p>
        </w:tc>
        <w:tc>
          <w:tcPr>
            <w:tcW w:w="974" w:type="dxa"/>
            <w:vAlign w:val="center"/>
          </w:tcPr>
          <w:p w14:paraId="1EE0048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合计</w:t>
            </w:r>
          </w:p>
        </w:tc>
        <w:tc>
          <w:tcPr>
            <w:tcW w:w="973" w:type="dxa"/>
            <w:vAlign w:val="center"/>
          </w:tcPr>
          <w:p w14:paraId="0510834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备注</w:t>
            </w:r>
          </w:p>
        </w:tc>
      </w:tr>
      <w:tr w14:paraId="43E2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752" w:type="dxa"/>
            <w:vAlign w:val="center"/>
          </w:tcPr>
          <w:p w14:paraId="39CC389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p>
        </w:tc>
        <w:tc>
          <w:tcPr>
            <w:tcW w:w="3207" w:type="dxa"/>
            <w:gridSpan w:val="2"/>
            <w:vAlign w:val="center"/>
          </w:tcPr>
          <w:p w14:paraId="186A153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450" w:type="dxa"/>
            <w:vAlign w:val="center"/>
          </w:tcPr>
          <w:p w14:paraId="5B680AC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13" w:type="dxa"/>
            <w:vAlign w:val="center"/>
          </w:tcPr>
          <w:p w14:paraId="572766B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24" w:type="dxa"/>
            <w:vAlign w:val="center"/>
          </w:tcPr>
          <w:p w14:paraId="0DBE32C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12" w:type="dxa"/>
            <w:vAlign w:val="center"/>
          </w:tcPr>
          <w:p w14:paraId="17B2255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74" w:type="dxa"/>
            <w:vAlign w:val="center"/>
          </w:tcPr>
          <w:p w14:paraId="79F246B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73" w:type="dxa"/>
            <w:vAlign w:val="center"/>
          </w:tcPr>
          <w:p w14:paraId="247C739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r>
      <w:tr w14:paraId="125D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752" w:type="dxa"/>
            <w:vAlign w:val="center"/>
          </w:tcPr>
          <w:p w14:paraId="5DF3D86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p>
        </w:tc>
        <w:tc>
          <w:tcPr>
            <w:tcW w:w="3207" w:type="dxa"/>
            <w:gridSpan w:val="2"/>
            <w:vAlign w:val="center"/>
          </w:tcPr>
          <w:p w14:paraId="3EA3D93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450" w:type="dxa"/>
            <w:vAlign w:val="center"/>
          </w:tcPr>
          <w:p w14:paraId="6193C0C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13" w:type="dxa"/>
            <w:vAlign w:val="center"/>
          </w:tcPr>
          <w:p w14:paraId="4E4E058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24" w:type="dxa"/>
            <w:vAlign w:val="center"/>
          </w:tcPr>
          <w:p w14:paraId="5ABD527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12" w:type="dxa"/>
            <w:vAlign w:val="center"/>
          </w:tcPr>
          <w:p w14:paraId="5AF6E93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74" w:type="dxa"/>
            <w:vAlign w:val="center"/>
          </w:tcPr>
          <w:p w14:paraId="17273DB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73" w:type="dxa"/>
            <w:vAlign w:val="center"/>
          </w:tcPr>
          <w:p w14:paraId="36F381C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r>
      <w:tr w14:paraId="3161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752" w:type="dxa"/>
            <w:vAlign w:val="center"/>
          </w:tcPr>
          <w:p w14:paraId="2246D03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3207" w:type="dxa"/>
            <w:gridSpan w:val="2"/>
            <w:vAlign w:val="center"/>
          </w:tcPr>
          <w:p w14:paraId="0A15BF1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450" w:type="dxa"/>
            <w:vAlign w:val="center"/>
          </w:tcPr>
          <w:p w14:paraId="08F50B3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13" w:type="dxa"/>
            <w:vAlign w:val="center"/>
          </w:tcPr>
          <w:p w14:paraId="622F551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24" w:type="dxa"/>
            <w:vAlign w:val="center"/>
          </w:tcPr>
          <w:p w14:paraId="0152109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12" w:type="dxa"/>
            <w:vAlign w:val="center"/>
          </w:tcPr>
          <w:p w14:paraId="0CB90E2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74" w:type="dxa"/>
            <w:vAlign w:val="center"/>
          </w:tcPr>
          <w:p w14:paraId="7FEB69B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73" w:type="dxa"/>
            <w:vAlign w:val="center"/>
          </w:tcPr>
          <w:p w14:paraId="2C14DD0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r>
      <w:tr w14:paraId="0461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752" w:type="dxa"/>
            <w:vAlign w:val="center"/>
          </w:tcPr>
          <w:p w14:paraId="486B066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3207" w:type="dxa"/>
            <w:gridSpan w:val="2"/>
            <w:vAlign w:val="center"/>
          </w:tcPr>
          <w:p w14:paraId="39EA083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450" w:type="dxa"/>
            <w:vAlign w:val="center"/>
          </w:tcPr>
          <w:p w14:paraId="0C62788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13" w:type="dxa"/>
            <w:vAlign w:val="center"/>
          </w:tcPr>
          <w:p w14:paraId="57CD303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24" w:type="dxa"/>
            <w:vAlign w:val="center"/>
          </w:tcPr>
          <w:p w14:paraId="4A59245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12" w:type="dxa"/>
            <w:vAlign w:val="center"/>
          </w:tcPr>
          <w:p w14:paraId="1EEB1BD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74" w:type="dxa"/>
            <w:vAlign w:val="center"/>
          </w:tcPr>
          <w:p w14:paraId="417B343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73" w:type="dxa"/>
            <w:vAlign w:val="center"/>
          </w:tcPr>
          <w:p w14:paraId="70BDC9A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r>
      <w:tr w14:paraId="0768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752" w:type="dxa"/>
            <w:vAlign w:val="center"/>
          </w:tcPr>
          <w:p w14:paraId="76F4A4D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3207" w:type="dxa"/>
            <w:gridSpan w:val="2"/>
            <w:vAlign w:val="center"/>
          </w:tcPr>
          <w:p w14:paraId="76CB484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450" w:type="dxa"/>
            <w:vAlign w:val="center"/>
          </w:tcPr>
          <w:p w14:paraId="7FE0CD6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13" w:type="dxa"/>
            <w:vAlign w:val="center"/>
          </w:tcPr>
          <w:p w14:paraId="10A305B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24" w:type="dxa"/>
            <w:vAlign w:val="center"/>
          </w:tcPr>
          <w:p w14:paraId="5419036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12" w:type="dxa"/>
            <w:vAlign w:val="center"/>
          </w:tcPr>
          <w:p w14:paraId="64F548E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74" w:type="dxa"/>
            <w:vAlign w:val="center"/>
          </w:tcPr>
          <w:p w14:paraId="3A41DE6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73" w:type="dxa"/>
            <w:vAlign w:val="center"/>
          </w:tcPr>
          <w:p w14:paraId="1992D25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r>
      <w:tr w14:paraId="020F7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jc w:val="center"/>
        </w:trPr>
        <w:tc>
          <w:tcPr>
            <w:tcW w:w="10205" w:type="dxa"/>
            <w:gridSpan w:val="9"/>
            <w:vAlign w:val="center"/>
          </w:tcPr>
          <w:p w14:paraId="6160733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其他承诺及需要说明的事项：</w:t>
            </w:r>
          </w:p>
        </w:tc>
      </w:tr>
      <w:tr w14:paraId="1C63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2465" w:type="dxa"/>
            <w:gridSpan w:val="2"/>
            <w:vAlign w:val="center"/>
          </w:tcPr>
          <w:p w14:paraId="68CF7EF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总价</w:t>
            </w:r>
          </w:p>
        </w:tc>
        <w:tc>
          <w:tcPr>
            <w:tcW w:w="7740" w:type="dxa"/>
            <w:gridSpan w:val="7"/>
            <w:vAlign w:val="center"/>
          </w:tcPr>
          <w:p w14:paraId="24C5B5D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大写：</w:t>
            </w:r>
          </w:p>
          <w:p w14:paraId="6EFB5D2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小写：</w:t>
            </w:r>
          </w:p>
        </w:tc>
      </w:tr>
    </w:tbl>
    <w:p w14:paraId="0A256699">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lang w:eastAsia="zh-CN"/>
        </w:rPr>
      </w:pPr>
      <w:bookmarkStart w:id="450" w:name="_Toc698"/>
    </w:p>
    <w:p w14:paraId="1C48F945">
      <w:pPr>
        <w:keepNext w:val="0"/>
        <w:keepLines w:val="0"/>
        <w:pageBreakBefore w:val="0"/>
        <w:kinsoku/>
        <w:wordWrap/>
        <w:overflowPunct/>
        <w:topLinePunct w:val="0"/>
        <w:autoSpaceDE/>
        <w:autoSpaceDN/>
        <w:bidi w:val="0"/>
        <w:adjustRightInd/>
        <w:snapToGrid/>
        <w:spacing w:line="360" w:lineRule="auto"/>
        <w:ind w:right="0"/>
        <w:jc w:val="both"/>
        <w:textAlignment w:val="auto"/>
        <w:outlineLvl w:val="9"/>
        <w:rPr>
          <w:rFonts w:hint="eastAsia" w:ascii="宋体" w:hAnsi="宋体" w:eastAsia="宋体" w:cs="宋体"/>
          <w:b w:val="0"/>
          <w:bCs/>
          <w:color w:val="auto"/>
          <w:sz w:val="24"/>
          <w:szCs w:val="24"/>
          <w:lang w:eastAsia="zh-CN"/>
        </w:rPr>
      </w:pPr>
    </w:p>
    <w:p w14:paraId="4167A354">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单</w:t>
      </w:r>
      <w:r>
        <w:rPr>
          <w:rFonts w:hint="eastAsia" w:ascii="宋体" w:hAnsi="宋体" w:eastAsia="宋体" w:cs="宋体"/>
          <w:b w:val="0"/>
          <w:bCs/>
          <w:color w:val="auto"/>
          <w:sz w:val="24"/>
          <w:szCs w:val="24"/>
        </w:rPr>
        <w:t>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（公章）</w:t>
      </w:r>
    </w:p>
    <w:p w14:paraId="383233E0">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p>
    <w:p w14:paraId="2ACACE40">
      <w:pPr>
        <w:keepNext w:val="0"/>
        <w:keepLines w:val="0"/>
        <w:pageBreakBefore w:val="0"/>
        <w:widowControl w:val="0"/>
        <w:kinsoku/>
        <w:wordWrap/>
        <w:overflowPunct/>
        <w:topLinePunct w:val="0"/>
        <w:bidi w:val="0"/>
        <w:adjustRightInd/>
        <w:snapToGrid/>
        <w:spacing w:line="360" w:lineRule="auto"/>
        <w:ind w:left="0" w:leftChars="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年   月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日</w:t>
      </w:r>
    </w:p>
    <w:p w14:paraId="4A33DEAA">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color w:val="auto"/>
          <w:sz w:val="24"/>
          <w:szCs w:val="24"/>
        </w:rPr>
      </w:pPr>
    </w:p>
    <w:p w14:paraId="02E154E6">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b/>
          <w:color w:val="auto"/>
          <w:sz w:val="24"/>
          <w:szCs w:val="24"/>
          <w:lang w:eastAsia="zh-CN"/>
        </w:rPr>
      </w:pPr>
      <w:bookmarkStart w:id="451" w:name="_Toc28398"/>
      <w:bookmarkStart w:id="452" w:name="_Toc28315_WPSOffice_Level3"/>
      <w:bookmarkStart w:id="453" w:name="_Toc13098_WPSOffice_Level3"/>
      <w:bookmarkStart w:id="454" w:name="_Toc20734"/>
      <w:r>
        <w:rPr>
          <w:rFonts w:hint="eastAsia" w:ascii="宋体" w:hAnsi="宋体" w:eastAsia="宋体" w:cs="宋体"/>
          <w:b/>
          <w:color w:val="auto"/>
          <w:sz w:val="24"/>
          <w:szCs w:val="24"/>
          <w:lang w:eastAsia="zh-CN"/>
        </w:rPr>
        <w:br w:type="page"/>
      </w:r>
    </w:p>
    <w:p w14:paraId="22B2AE03">
      <w:pPr>
        <w:keepNext w:val="0"/>
        <w:keepLines w:val="0"/>
        <w:pageBreakBefore w:val="0"/>
        <w:widowControl/>
        <w:kinsoku/>
        <w:wordWrap/>
        <w:overflowPunct/>
        <w:topLinePunct w:val="0"/>
        <w:bidi w:val="0"/>
        <w:adjustRightInd/>
        <w:snapToGrid/>
        <w:spacing w:line="360" w:lineRule="auto"/>
        <w:ind w:left="0" w:leftChars="0"/>
        <w:outlineLvl w:val="1"/>
        <w:rPr>
          <w:rFonts w:hint="eastAsia" w:ascii="宋体" w:hAnsi="宋体" w:eastAsia="宋体" w:cs="宋体"/>
          <w:b/>
          <w:color w:val="auto"/>
          <w:sz w:val="24"/>
          <w:szCs w:val="24"/>
        </w:rPr>
      </w:pPr>
      <w:bookmarkStart w:id="455" w:name="_Toc15096"/>
      <w:r>
        <w:rPr>
          <w:rFonts w:hint="eastAsia" w:ascii="宋体" w:hAnsi="宋体" w:eastAsia="宋体" w:cs="宋体"/>
          <w:b/>
          <w:bCs w:val="0"/>
          <w:color w:val="auto"/>
          <w:kern w:val="2"/>
          <w:sz w:val="28"/>
          <w:szCs w:val="28"/>
          <w:lang w:val="en-US" w:eastAsia="zh-CN" w:bidi="ar-SA"/>
        </w:rPr>
        <w:t>附件12：</w:t>
      </w:r>
      <w:bookmarkEnd w:id="450"/>
      <w:bookmarkEnd w:id="451"/>
      <w:bookmarkEnd w:id="452"/>
      <w:bookmarkEnd w:id="453"/>
      <w:bookmarkEnd w:id="454"/>
      <w:bookmarkEnd w:id="455"/>
      <w:r>
        <w:rPr>
          <w:rFonts w:hint="eastAsia" w:ascii="宋体" w:hAnsi="宋体" w:eastAsia="宋体" w:cs="宋体"/>
          <w:b/>
          <w:bCs w:val="0"/>
          <w:color w:val="auto"/>
          <w:kern w:val="2"/>
          <w:sz w:val="28"/>
          <w:szCs w:val="28"/>
          <w:highlight w:val="none"/>
          <w:lang w:val="en-US" w:eastAsia="zh-CN" w:bidi="ar-SA"/>
        </w:rPr>
        <w:t>服务响应表</w:t>
      </w:r>
    </w:p>
    <w:p w14:paraId="45080182">
      <w:pPr>
        <w:keepNext w:val="0"/>
        <w:keepLines w:val="0"/>
        <w:pageBreakBefore w:val="0"/>
        <w:kinsoku/>
        <w:wordWrap/>
        <w:overflowPunct/>
        <w:topLinePunct w:val="0"/>
        <w:bidi w:val="0"/>
        <w:adjustRightInd/>
        <w:snapToGrid/>
        <w:spacing w:line="360" w:lineRule="auto"/>
        <w:ind w:left="0" w:leftChars="0"/>
        <w:jc w:val="center"/>
        <w:outlineLvl w:val="9"/>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zh-CN" w:eastAsia="zh-CN"/>
        </w:rPr>
        <w:t>服务响应表</w:t>
      </w:r>
    </w:p>
    <w:p w14:paraId="63FEF389">
      <w:pPr>
        <w:keepNext w:val="0"/>
        <w:keepLines w:val="0"/>
        <w:pageBreakBefore w:val="0"/>
        <w:widowControl w:val="0"/>
        <w:kinsoku/>
        <w:wordWrap/>
        <w:overflowPunct/>
        <w:topLinePunct w:val="0"/>
        <w:bidi w:val="0"/>
        <w:adjustRightInd/>
        <w:snapToGrid/>
        <w:spacing w:line="360" w:lineRule="auto"/>
        <w:ind w:left="0" w:leftChars="0"/>
        <w:jc w:val="left"/>
        <w:textAlignment w:val="auto"/>
        <w:outlineLvl w:val="9"/>
        <w:rPr>
          <w:rFonts w:hint="eastAsia" w:ascii="宋体" w:hAnsi="宋体" w:eastAsia="宋体" w:cs="宋体"/>
          <w:b w:val="0"/>
          <w:bCs/>
          <w:color w:val="auto"/>
          <w:sz w:val="24"/>
          <w:szCs w:val="24"/>
          <w:lang w:val="en-US" w:eastAsia="zh-CN"/>
        </w:rPr>
      </w:pPr>
      <w:bookmarkStart w:id="456" w:name="_Toc14764_WPSOffice_Level2"/>
      <w:r>
        <w:rPr>
          <w:rFonts w:hint="eastAsia" w:ascii="宋体" w:hAnsi="宋体" w:eastAsia="宋体" w:cs="宋体"/>
          <w:b w:val="0"/>
          <w:bCs/>
          <w:color w:val="auto"/>
          <w:sz w:val="24"/>
          <w:szCs w:val="24"/>
        </w:rPr>
        <w:t>供应商名称</w:t>
      </w:r>
      <w:bookmarkEnd w:id="456"/>
      <w:r>
        <w:rPr>
          <w:rFonts w:hint="eastAsia" w:ascii="宋体" w:hAnsi="宋体" w:eastAsia="宋体" w:cs="宋体"/>
          <w:b w:val="0"/>
          <w:bCs/>
          <w:color w:val="auto"/>
          <w:sz w:val="24"/>
          <w:szCs w:val="24"/>
          <w:lang w:eastAsia="zh-CN"/>
        </w:rPr>
        <w:t>：</w:t>
      </w:r>
    </w:p>
    <w:tbl>
      <w:tblPr>
        <w:tblStyle w:val="19"/>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7"/>
        <w:gridCol w:w="886"/>
        <w:gridCol w:w="2766"/>
        <w:gridCol w:w="915"/>
        <w:gridCol w:w="2880"/>
        <w:gridCol w:w="873"/>
      </w:tblGrid>
      <w:tr w14:paraId="67CE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top"/>
          </w:tcPr>
          <w:p w14:paraId="7704613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3652" w:type="dxa"/>
            <w:gridSpan w:val="2"/>
            <w:vAlign w:val="top"/>
          </w:tcPr>
          <w:p w14:paraId="55F5A86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采购需求技术参数、指标</w:t>
            </w:r>
          </w:p>
        </w:tc>
        <w:tc>
          <w:tcPr>
            <w:tcW w:w="3795" w:type="dxa"/>
            <w:gridSpan w:val="2"/>
            <w:vAlign w:val="top"/>
          </w:tcPr>
          <w:p w14:paraId="0E65616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技术参数、指标</w:t>
            </w:r>
          </w:p>
        </w:tc>
        <w:tc>
          <w:tcPr>
            <w:tcW w:w="873" w:type="dxa"/>
            <w:vAlign w:val="center"/>
          </w:tcPr>
          <w:p w14:paraId="70959AA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偏离</w:t>
            </w:r>
          </w:p>
        </w:tc>
      </w:tr>
      <w:tr w14:paraId="3CAF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top"/>
          </w:tcPr>
          <w:p w14:paraId="4B95DBC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886" w:type="dxa"/>
            <w:vAlign w:val="center"/>
          </w:tcPr>
          <w:p w14:paraId="16576D5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2766" w:type="dxa"/>
            <w:vAlign w:val="center"/>
          </w:tcPr>
          <w:p w14:paraId="70B1F48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技术参数</w:t>
            </w:r>
          </w:p>
        </w:tc>
        <w:tc>
          <w:tcPr>
            <w:tcW w:w="915" w:type="dxa"/>
            <w:vAlign w:val="center"/>
          </w:tcPr>
          <w:p w14:paraId="49E78D4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2880" w:type="dxa"/>
            <w:vAlign w:val="center"/>
          </w:tcPr>
          <w:p w14:paraId="7F74386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技术参数</w:t>
            </w:r>
          </w:p>
        </w:tc>
        <w:tc>
          <w:tcPr>
            <w:tcW w:w="873" w:type="dxa"/>
            <w:vAlign w:val="top"/>
          </w:tcPr>
          <w:p w14:paraId="4F93F3B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r>
      <w:tr w14:paraId="67E8A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21B236B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86" w:type="dxa"/>
            <w:vAlign w:val="top"/>
          </w:tcPr>
          <w:p w14:paraId="08EB7C9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2766" w:type="dxa"/>
            <w:vAlign w:val="top"/>
          </w:tcPr>
          <w:p w14:paraId="27D5D2D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915" w:type="dxa"/>
            <w:vAlign w:val="top"/>
          </w:tcPr>
          <w:p w14:paraId="707E5B3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2880" w:type="dxa"/>
            <w:vAlign w:val="top"/>
          </w:tcPr>
          <w:p w14:paraId="378887E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873" w:type="dxa"/>
            <w:vAlign w:val="top"/>
          </w:tcPr>
          <w:p w14:paraId="3E38DD2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r>
      <w:tr w14:paraId="43035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7EE850C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86" w:type="dxa"/>
            <w:vAlign w:val="top"/>
          </w:tcPr>
          <w:p w14:paraId="20B9D09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2766" w:type="dxa"/>
            <w:vAlign w:val="top"/>
          </w:tcPr>
          <w:p w14:paraId="06E0092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915" w:type="dxa"/>
            <w:vAlign w:val="top"/>
          </w:tcPr>
          <w:p w14:paraId="44D8612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2880" w:type="dxa"/>
            <w:vAlign w:val="top"/>
          </w:tcPr>
          <w:p w14:paraId="1FF3050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873" w:type="dxa"/>
            <w:vAlign w:val="top"/>
          </w:tcPr>
          <w:p w14:paraId="6E9DAB3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r>
      <w:tr w14:paraId="5125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162DF59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886" w:type="dxa"/>
            <w:vAlign w:val="top"/>
          </w:tcPr>
          <w:p w14:paraId="25375B3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2766" w:type="dxa"/>
            <w:vAlign w:val="top"/>
          </w:tcPr>
          <w:p w14:paraId="72CFD1A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915" w:type="dxa"/>
            <w:vAlign w:val="top"/>
          </w:tcPr>
          <w:p w14:paraId="38AB0D2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2880" w:type="dxa"/>
            <w:vAlign w:val="top"/>
          </w:tcPr>
          <w:p w14:paraId="64B2202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873" w:type="dxa"/>
            <w:vAlign w:val="top"/>
          </w:tcPr>
          <w:p w14:paraId="5158551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r>
    </w:tbl>
    <w:p w14:paraId="17FE51C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注：本表应按照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项目概况及技术参数表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中维保内容</w:t>
      </w:r>
      <w:r>
        <w:rPr>
          <w:rFonts w:hint="eastAsia" w:ascii="宋体" w:hAnsi="宋体" w:eastAsia="宋体" w:cs="宋体"/>
          <w:color w:val="auto"/>
          <w:sz w:val="24"/>
          <w:szCs w:val="24"/>
        </w:rPr>
        <w:t>的指标逐项填写，不得遗漏。否则，按无效</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处理。</w:t>
      </w:r>
    </w:p>
    <w:p w14:paraId="40E02A1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u w:val="single"/>
        </w:rPr>
      </w:pPr>
    </w:p>
    <w:p w14:paraId="449B2487">
      <w:pPr>
        <w:pStyle w:val="18"/>
        <w:ind w:left="0" w:leftChars="0" w:firstLine="0" w:firstLineChars="0"/>
        <w:rPr>
          <w:rFonts w:hint="eastAsia" w:ascii="宋体" w:hAnsi="宋体" w:eastAsia="宋体" w:cs="宋体"/>
          <w:color w:val="auto"/>
          <w:sz w:val="24"/>
          <w:szCs w:val="24"/>
          <w:u w:val="single"/>
        </w:rPr>
      </w:pPr>
    </w:p>
    <w:p w14:paraId="187B2546">
      <w:pPr>
        <w:pStyle w:val="18"/>
        <w:ind w:left="0" w:leftChars="0" w:firstLine="0" w:firstLineChars="0"/>
        <w:rPr>
          <w:rFonts w:hint="eastAsia" w:ascii="宋体" w:hAnsi="宋体" w:eastAsia="宋体" w:cs="宋体"/>
          <w:color w:val="auto"/>
          <w:sz w:val="24"/>
          <w:szCs w:val="24"/>
          <w:u w:val="single"/>
        </w:rPr>
      </w:pPr>
    </w:p>
    <w:p w14:paraId="0F740561">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单</w:t>
      </w:r>
      <w:r>
        <w:rPr>
          <w:rFonts w:hint="eastAsia" w:ascii="宋体" w:hAnsi="宋体" w:eastAsia="宋体" w:cs="宋体"/>
          <w:b w:val="0"/>
          <w:bCs/>
          <w:color w:val="auto"/>
          <w:sz w:val="24"/>
          <w:szCs w:val="24"/>
        </w:rPr>
        <w:t>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（公章）</w:t>
      </w:r>
    </w:p>
    <w:p w14:paraId="157886CE">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p>
    <w:p w14:paraId="21C1A785">
      <w:pPr>
        <w:keepNext w:val="0"/>
        <w:keepLines w:val="0"/>
        <w:pageBreakBefore w:val="0"/>
        <w:widowControl w:val="0"/>
        <w:kinsoku/>
        <w:wordWrap/>
        <w:overflowPunct/>
        <w:topLinePunct w:val="0"/>
        <w:bidi w:val="0"/>
        <w:adjustRightInd/>
        <w:snapToGrid/>
        <w:spacing w:line="360" w:lineRule="auto"/>
        <w:ind w:left="0" w:leftChars="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年   月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日</w:t>
      </w:r>
    </w:p>
    <w:p w14:paraId="4A48E00C">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color w:val="auto"/>
          <w:sz w:val="24"/>
          <w:szCs w:val="24"/>
        </w:rPr>
      </w:pPr>
    </w:p>
    <w:p w14:paraId="05DF5A75">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b/>
          <w:bCs w:val="0"/>
          <w:color w:val="auto"/>
          <w:kern w:val="2"/>
          <w:sz w:val="28"/>
          <w:szCs w:val="28"/>
          <w:lang w:val="en-US" w:eastAsia="zh-CN" w:bidi="ar-SA"/>
        </w:rPr>
      </w:pPr>
      <w:bookmarkStart w:id="457" w:name="_Toc18025_WPSOffice_Level3"/>
      <w:bookmarkStart w:id="458" w:name="_Toc7597"/>
      <w:bookmarkStart w:id="459" w:name="_Toc14547"/>
      <w:bookmarkStart w:id="460" w:name="_Toc28501"/>
      <w:bookmarkStart w:id="461" w:name="_Toc6913_WPSOffice_Level3"/>
      <w:r>
        <w:rPr>
          <w:rFonts w:hint="eastAsia" w:ascii="宋体" w:hAnsi="宋体" w:eastAsia="宋体" w:cs="宋体"/>
          <w:b/>
          <w:bCs w:val="0"/>
          <w:color w:val="auto"/>
          <w:kern w:val="2"/>
          <w:sz w:val="28"/>
          <w:szCs w:val="28"/>
          <w:lang w:val="en-US" w:eastAsia="zh-CN" w:bidi="ar-SA"/>
        </w:rPr>
        <w:br w:type="page"/>
      </w:r>
    </w:p>
    <w:p w14:paraId="2803FD93">
      <w:pPr>
        <w:keepNext w:val="0"/>
        <w:keepLines w:val="0"/>
        <w:pageBreakBefore w:val="0"/>
        <w:widowControl/>
        <w:kinsoku/>
        <w:wordWrap/>
        <w:overflowPunct/>
        <w:topLinePunct w:val="0"/>
        <w:bidi w:val="0"/>
        <w:adjustRightInd/>
        <w:snapToGrid/>
        <w:spacing w:line="360" w:lineRule="auto"/>
        <w:ind w:left="0" w:leftChars="0"/>
        <w:outlineLvl w:val="1"/>
        <w:rPr>
          <w:rFonts w:hint="eastAsia" w:ascii="宋体" w:hAnsi="宋体" w:eastAsia="宋体" w:cs="宋体"/>
          <w:b/>
          <w:color w:val="auto"/>
          <w:sz w:val="24"/>
          <w:szCs w:val="24"/>
          <w:highlight w:val="none"/>
        </w:rPr>
      </w:pPr>
      <w:bookmarkStart w:id="462" w:name="_Toc12537"/>
      <w:r>
        <w:rPr>
          <w:rFonts w:hint="eastAsia" w:ascii="宋体" w:hAnsi="宋体" w:eastAsia="宋体" w:cs="宋体"/>
          <w:b/>
          <w:bCs w:val="0"/>
          <w:color w:val="auto"/>
          <w:kern w:val="2"/>
          <w:sz w:val="28"/>
          <w:szCs w:val="28"/>
          <w:highlight w:val="none"/>
          <w:lang w:val="en-US" w:eastAsia="zh-CN" w:bidi="ar-SA"/>
        </w:rPr>
        <w:t>附件13：</w:t>
      </w:r>
      <w:bookmarkEnd w:id="457"/>
      <w:bookmarkEnd w:id="458"/>
      <w:bookmarkEnd w:id="459"/>
      <w:bookmarkEnd w:id="460"/>
      <w:bookmarkEnd w:id="461"/>
      <w:bookmarkEnd w:id="462"/>
      <w:r>
        <w:rPr>
          <w:rFonts w:hint="eastAsia" w:ascii="宋体" w:hAnsi="宋体" w:eastAsia="宋体" w:cs="宋体"/>
          <w:b/>
          <w:bCs w:val="0"/>
          <w:color w:val="auto"/>
          <w:kern w:val="2"/>
          <w:sz w:val="28"/>
          <w:szCs w:val="28"/>
          <w:highlight w:val="none"/>
          <w:lang w:val="en-US" w:eastAsia="zh-CN" w:bidi="ar-SA"/>
        </w:rPr>
        <w:t>服务相关资料（具备履行合同所必须的设备和专业技术能力证明）</w:t>
      </w:r>
    </w:p>
    <w:p w14:paraId="1427795B">
      <w:pPr>
        <w:keepNext w:val="0"/>
        <w:keepLines w:val="0"/>
        <w:pageBreakBefore w:val="0"/>
        <w:kinsoku/>
        <w:wordWrap/>
        <w:overflowPunct/>
        <w:topLinePunct w:val="0"/>
        <w:bidi w:val="0"/>
        <w:adjustRightInd/>
        <w:snapToGrid/>
        <w:spacing w:line="360" w:lineRule="auto"/>
        <w:ind w:left="0" w:leftChars="0"/>
        <w:jc w:val="center"/>
        <w:outlineLvl w:val="9"/>
        <w:rPr>
          <w:rFonts w:hint="eastAsia" w:ascii="宋体" w:hAnsi="宋体" w:eastAsia="宋体" w:cs="宋体"/>
          <w:bCs/>
          <w:color w:val="auto"/>
          <w:sz w:val="24"/>
          <w:szCs w:val="24"/>
        </w:rPr>
      </w:pPr>
      <w:r>
        <w:rPr>
          <w:rFonts w:hint="eastAsia" w:ascii="宋体" w:hAnsi="宋体" w:eastAsia="宋体" w:cs="宋体"/>
          <w:b/>
          <w:color w:val="auto"/>
          <w:sz w:val="24"/>
          <w:szCs w:val="24"/>
          <w:lang w:val="zh-CN" w:eastAsia="zh-CN"/>
        </w:rPr>
        <w:t>服务相关资料</w:t>
      </w:r>
    </w:p>
    <w:p w14:paraId="77F2E580">
      <w:pPr>
        <w:keepNext w:val="0"/>
        <w:keepLines w:val="0"/>
        <w:pageBreakBefore w:val="0"/>
        <w:kinsoku/>
        <w:wordWrap/>
        <w:overflowPunct/>
        <w:topLinePunct w:val="0"/>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为保证本项目合同的顺利履行，</w:t>
      </w:r>
      <w:r>
        <w:rPr>
          <w:rFonts w:hint="eastAsia" w:ascii="宋体" w:hAnsi="宋体" w:eastAsia="宋体" w:cs="宋体"/>
          <w:color w:val="auto"/>
          <w:kern w:val="0"/>
          <w:sz w:val="24"/>
          <w:szCs w:val="24"/>
          <w:lang w:val="en-US" w:eastAsia="zh-CN"/>
        </w:rPr>
        <w:t>供应商</w:t>
      </w:r>
      <w:r>
        <w:rPr>
          <w:rFonts w:hint="eastAsia" w:ascii="宋体" w:hAnsi="宋体" w:eastAsia="宋体" w:cs="宋体"/>
          <w:color w:val="auto"/>
          <w:kern w:val="0"/>
          <w:sz w:val="24"/>
          <w:szCs w:val="24"/>
          <w:lang w:val="zh-CN"/>
        </w:rPr>
        <w:t>必须具备履行合同的设备和专业技术能力，须提供必须具备履行合同的设备和专业技术能力的承诺函（格式自拟），并提供相关设备的购置发票或相关人员的职称证书</w:t>
      </w:r>
      <w:r>
        <w:rPr>
          <w:rFonts w:hint="eastAsia" w:ascii="宋体" w:hAnsi="宋体" w:eastAsia="宋体" w:cs="宋体"/>
          <w:color w:val="auto"/>
          <w:kern w:val="0"/>
          <w:sz w:val="24"/>
          <w:szCs w:val="24"/>
          <w:lang w:val="en-US" w:eastAsia="zh-CN"/>
        </w:rPr>
        <w:t>或</w:t>
      </w:r>
      <w:r>
        <w:rPr>
          <w:rFonts w:hint="eastAsia" w:ascii="宋体" w:hAnsi="宋体" w:eastAsia="宋体" w:cs="宋体"/>
          <w:color w:val="auto"/>
          <w:kern w:val="0"/>
          <w:sz w:val="24"/>
          <w:szCs w:val="24"/>
          <w:lang w:val="zh-CN"/>
        </w:rPr>
        <w:t>用工合同等证明材料。</w:t>
      </w:r>
    </w:p>
    <w:p w14:paraId="4E1A043E">
      <w:pPr>
        <w:keepNext w:val="0"/>
        <w:keepLines w:val="0"/>
        <w:pageBreakBefore w:val="0"/>
        <w:widowControl/>
        <w:kinsoku/>
        <w:wordWrap/>
        <w:overflowPunct/>
        <w:topLinePunct w:val="0"/>
        <w:bidi w:val="0"/>
        <w:adjustRightInd/>
        <w:snapToGrid/>
        <w:spacing w:line="360" w:lineRule="auto"/>
        <w:ind w:left="0" w:leftChars="0"/>
        <w:jc w:val="left"/>
        <w:rPr>
          <w:rFonts w:hint="eastAsia" w:ascii="宋体" w:hAnsi="宋体" w:eastAsia="宋体" w:cs="宋体"/>
          <w:color w:val="auto"/>
          <w:spacing w:val="6"/>
          <w:kern w:val="0"/>
          <w:sz w:val="24"/>
          <w:szCs w:val="24"/>
        </w:rPr>
      </w:pPr>
    </w:p>
    <w:p w14:paraId="033F75DD">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b/>
          <w:bCs w:val="0"/>
          <w:color w:val="auto"/>
          <w:kern w:val="2"/>
          <w:sz w:val="28"/>
          <w:szCs w:val="28"/>
          <w:lang w:val="en-US" w:eastAsia="zh-CN" w:bidi="ar-SA"/>
        </w:rPr>
      </w:pPr>
      <w:bookmarkStart w:id="463" w:name="_Toc4925"/>
      <w:bookmarkStart w:id="464" w:name="_Toc11887"/>
      <w:bookmarkStart w:id="465" w:name="_Toc10368"/>
      <w:bookmarkStart w:id="466" w:name="_Toc3146_WPSOffice_Level3"/>
      <w:bookmarkStart w:id="467" w:name="_Toc31301_WPSOffice_Level3"/>
      <w:r>
        <w:rPr>
          <w:rFonts w:hint="eastAsia" w:ascii="宋体" w:hAnsi="宋体" w:eastAsia="宋体" w:cs="宋体"/>
          <w:b/>
          <w:bCs w:val="0"/>
          <w:color w:val="auto"/>
          <w:kern w:val="2"/>
          <w:sz w:val="28"/>
          <w:szCs w:val="28"/>
          <w:lang w:val="en-US" w:eastAsia="zh-CN" w:bidi="ar-SA"/>
        </w:rPr>
        <w:br w:type="page"/>
      </w:r>
    </w:p>
    <w:p w14:paraId="1A29B148">
      <w:pPr>
        <w:keepNext w:val="0"/>
        <w:keepLines w:val="0"/>
        <w:pageBreakBefore w:val="0"/>
        <w:widowControl/>
        <w:kinsoku/>
        <w:wordWrap/>
        <w:overflowPunct/>
        <w:topLinePunct w:val="0"/>
        <w:bidi w:val="0"/>
        <w:adjustRightInd/>
        <w:snapToGrid/>
        <w:spacing w:line="360" w:lineRule="auto"/>
        <w:ind w:left="0" w:leftChars="0"/>
        <w:outlineLvl w:val="1"/>
        <w:rPr>
          <w:rFonts w:hint="eastAsia" w:ascii="宋体" w:hAnsi="宋体" w:eastAsia="宋体" w:cs="宋体"/>
          <w:b/>
          <w:bCs w:val="0"/>
          <w:color w:val="auto"/>
          <w:kern w:val="2"/>
          <w:sz w:val="24"/>
          <w:szCs w:val="24"/>
          <w:lang w:val="en-US" w:eastAsia="zh-CN" w:bidi="ar-SA"/>
        </w:rPr>
      </w:pPr>
      <w:bookmarkStart w:id="468" w:name="_Toc1417"/>
      <w:r>
        <w:rPr>
          <w:rFonts w:hint="eastAsia" w:ascii="宋体" w:hAnsi="宋体" w:eastAsia="宋体" w:cs="宋体"/>
          <w:b/>
          <w:bCs w:val="0"/>
          <w:color w:val="auto"/>
          <w:kern w:val="2"/>
          <w:sz w:val="28"/>
          <w:szCs w:val="28"/>
          <w:lang w:val="en-US" w:eastAsia="zh-CN" w:bidi="ar-SA"/>
        </w:rPr>
        <w:t>附件14：享受采购政策优惠的证明资料</w:t>
      </w:r>
      <w:bookmarkEnd w:id="463"/>
      <w:bookmarkEnd w:id="464"/>
      <w:bookmarkEnd w:id="465"/>
      <w:bookmarkEnd w:id="466"/>
      <w:bookmarkEnd w:id="467"/>
      <w:bookmarkEnd w:id="468"/>
    </w:p>
    <w:p w14:paraId="4FFAEC8E">
      <w:pPr>
        <w:keepNext w:val="0"/>
        <w:keepLines w:val="0"/>
        <w:pageBreakBefore w:val="0"/>
        <w:numPr>
          <w:ilvl w:val="0"/>
          <w:numId w:val="0"/>
        </w:numPr>
        <w:kinsoku/>
        <w:wordWrap/>
        <w:overflowPunct/>
        <w:topLinePunct w:val="0"/>
        <w:bidi w:val="0"/>
        <w:adjustRightInd/>
        <w:snapToGrid/>
        <w:spacing w:line="360" w:lineRule="auto"/>
        <w:jc w:val="center"/>
        <w:outlineLvl w:val="9"/>
        <w:rPr>
          <w:rFonts w:hint="eastAsia" w:ascii="宋体" w:hAnsi="宋体" w:eastAsia="宋体" w:cs="宋体"/>
          <w:b/>
          <w:bCs/>
          <w:color w:val="auto"/>
          <w:kern w:val="2"/>
          <w:sz w:val="24"/>
          <w:szCs w:val="24"/>
          <w:lang w:val="en-US" w:eastAsia="zh-CN" w:bidi="ar-SA"/>
        </w:rPr>
      </w:pPr>
      <w:bookmarkStart w:id="469" w:name="_Toc25276"/>
      <w:r>
        <w:rPr>
          <w:rFonts w:hint="eastAsia" w:ascii="宋体" w:hAnsi="宋体" w:eastAsia="宋体" w:cs="宋体"/>
          <w:b/>
          <w:bCs/>
          <w:color w:val="auto"/>
          <w:kern w:val="2"/>
          <w:sz w:val="24"/>
          <w:szCs w:val="24"/>
          <w:lang w:val="en-US" w:eastAsia="zh-CN" w:bidi="ar-SA"/>
        </w:rPr>
        <w:t>节能产品、环境标志产品证明材料</w:t>
      </w:r>
      <w:bookmarkEnd w:id="469"/>
    </w:p>
    <w:p w14:paraId="44E016FF">
      <w:pPr>
        <w:keepNext w:val="0"/>
        <w:keepLines w:val="0"/>
        <w:pageBreakBefore w:val="0"/>
        <w:widowControl w:val="0"/>
        <w:numPr>
          <w:ilvl w:val="0"/>
          <w:numId w:val="0"/>
        </w:numPr>
        <w:kinsoku/>
        <w:wordWrap/>
        <w:overflowPunct/>
        <w:topLinePunct w:val="0"/>
        <w:bidi w:val="0"/>
        <w:adjustRightInd/>
        <w:snapToGrid/>
        <w:spacing w:line="360" w:lineRule="auto"/>
        <w:ind w:left="0" w:lef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产品</w:t>
      </w:r>
      <w:r>
        <w:rPr>
          <w:rFonts w:hint="eastAsia" w:ascii="宋体" w:hAnsi="宋体" w:eastAsia="宋体" w:cs="宋体"/>
          <w:bCs/>
          <w:color w:val="auto"/>
          <w:sz w:val="24"/>
          <w:szCs w:val="24"/>
        </w:rPr>
        <w:t>属于</w:t>
      </w:r>
      <w:r>
        <w:rPr>
          <w:rFonts w:hint="eastAsia" w:ascii="宋体" w:hAnsi="宋体" w:eastAsia="宋体" w:cs="宋体"/>
          <w:bCs/>
          <w:color w:val="auto"/>
          <w:sz w:val="24"/>
          <w:szCs w:val="24"/>
          <w:lang w:eastAsia="zh-CN"/>
        </w:rPr>
        <w:t>品目清单范围的</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lang w:eastAsia="zh-CN"/>
        </w:rPr>
        <w:t>实施政府优先采购和强制采购。</w:t>
      </w:r>
      <w:r>
        <w:rPr>
          <w:rFonts w:hint="eastAsia" w:ascii="宋体" w:hAnsi="宋体" w:eastAsia="宋体" w:cs="宋体"/>
          <w:color w:val="auto"/>
          <w:sz w:val="24"/>
          <w:szCs w:val="24"/>
        </w:rPr>
        <w:t>供应商应</w:t>
      </w: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rPr>
        <w:t>国家确定的认证机构出具的、处于有效期之内的节能产品、环境标志产品认证证书，并加盖供应商单位公章。</w:t>
      </w:r>
    </w:p>
    <w:p w14:paraId="097356C3">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color w:val="auto"/>
          <w:sz w:val="24"/>
          <w:szCs w:val="24"/>
          <w:lang w:val="en-US" w:eastAsia="zh-CN"/>
        </w:rPr>
      </w:pPr>
    </w:p>
    <w:p w14:paraId="3358A919">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b/>
          <w:bCs w:val="0"/>
          <w:color w:val="auto"/>
          <w:kern w:val="2"/>
          <w:sz w:val="28"/>
          <w:szCs w:val="28"/>
          <w:lang w:val="en-US" w:eastAsia="zh-CN" w:bidi="ar-SA"/>
        </w:rPr>
      </w:pPr>
      <w:bookmarkStart w:id="470" w:name="_Toc21346"/>
      <w:bookmarkStart w:id="471" w:name="_Toc12068_WPSOffice_Level3"/>
      <w:bookmarkStart w:id="472" w:name="_Toc23033_WPSOffice_Level3"/>
      <w:r>
        <w:rPr>
          <w:rFonts w:hint="eastAsia" w:ascii="宋体" w:hAnsi="宋体" w:eastAsia="宋体" w:cs="宋体"/>
          <w:b/>
          <w:bCs w:val="0"/>
          <w:color w:val="auto"/>
          <w:kern w:val="2"/>
          <w:sz w:val="28"/>
          <w:szCs w:val="28"/>
          <w:lang w:val="en-US" w:eastAsia="zh-CN" w:bidi="ar-SA"/>
        </w:rPr>
        <w:br w:type="page"/>
      </w:r>
    </w:p>
    <w:p w14:paraId="4BFF9EA5">
      <w:pPr>
        <w:keepNext w:val="0"/>
        <w:keepLines w:val="0"/>
        <w:pageBreakBefore w:val="0"/>
        <w:widowControl/>
        <w:kinsoku/>
        <w:wordWrap/>
        <w:overflowPunct/>
        <w:topLinePunct w:val="0"/>
        <w:bidi w:val="0"/>
        <w:adjustRightInd/>
        <w:snapToGrid/>
        <w:spacing w:line="360" w:lineRule="auto"/>
        <w:ind w:left="0" w:leftChars="0"/>
        <w:outlineLvl w:val="1"/>
        <w:rPr>
          <w:rFonts w:hint="eastAsia" w:ascii="宋体" w:hAnsi="宋体" w:eastAsia="宋体" w:cs="宋体"/>
          <w:b/>
          <w:bCs w:val="0"/>
          <w:color w:val="auto"/>
          <w:kern w:val="2"/>
          <w:sz w:val="24"/>
          <w:szCs w:val="24"/>
          <w:lang w:val="en-US" w:eastAsia="zh-CN" w:bidi="ar-SA"/>
        </w:rPr>
      </w:pPr>
      <w:bookmarkStart w:id="473" w:name="_Toc4623"/>
      <w:r>
        <w:rPr>
          <w:rFonts w:hint="eastAsia" w:ascii="宋体" w:hAnsi="宋体" w:eastAsia="宋体" w:cs="宋体"/>
          <w:b/>
          <w:bCs w:val="0"/>
          <w:color w:val="auto"/>
          <w:kern w:val="2"/>
          <w:sz w:val="28"/>
          <w:szCs w:val="28"/>
          <w:lang w:val="en-US" w:eastAsia="zh-CN" w:bidi="ar-SA"/>
        </w:rPr>
        <w:t>附件15：最后报价表</w:t>
      </w:r>
      <w:bookmarkEnd w:id="470"/>
      <w:bookmarkEnd w:id="471"/>
      <w:bookmarkEnd w:id="472"/>
      <w:bookmarkEnd w:id="473"/>
    </w:p>
    <w:p w14:paraId="313A2939">
      <w:pPr>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outlineLvl w:val="9"/>
        <w:rPr>
          <w:rFonts w:hint="eastAsia" w:ascii="宋体" w:hAnsi="宋体" w:eastAsia="宋体" w:cs="宋体"/>
          <w:b/>
          <w:bCs w:val="0"/>
          <w:color w:val="auto"/>
          <w:sz w:val="24"/>
          <w:szCs w:val="24"/>
          <w:lang w:val="zh-CN"/>
        </w:rPr>
      </w:pPr>
      <w:r>
        <w:rPr>
          <w:rFonts w:hint="eastAsia" w:ascii="宋体" w:hAnsi="宋体" w:eastAsia="宋体" w:cs="宋体"/>
          <w:b/>
          <w:bCs w:val="0"/>
          <w:color w:val="auto"/>
          <w:kern w:val="2"/>
          <w:sz w:val="24"/>
          <w:szCs w:val="24"/>
          <w:lang w:val="en-US" w:eastAsia="zh-CN" w:bidi="ar-SA"/>
        </w:rPr>
        <w:t>最后报价表</w:t>
      </w:r>
    </w:p>
    <w:p w14:paraId="33E9553B">
      <w:pPr>
        <w:keepNext w:val="0"/>
        <w:keepLines w:val="0"/>
        <w:pageBreakBefore w:val="0"/>
        <w:widowControl w:val="0"/>
        <w:kinsoku/>
        <w:wordWrap/>
        <w:overflowPunct/>
        <w:topLinePunct w:val="0"/>
        <w:bidi w:val="0"/>
        <w:adjustRightInd/>
        <w:snapToGrid/>
        <w:spacing w:line="360" w:lineRule="auto"/>
        <w:ind w:left="0" w:leftChars="0"/>
        <w:outlineLvl w:val="9"/>
        <w:rPr>
          <w:rFonts w:hint="eastAsia" w:ascii="宋体" w:hAnsi="宋体" w:eastAsia="宋体" w:cs="宋体"/>
          <w:b/>
          <w:bCs w:val="0"/>
          <w:color w:val="auto"/>
          <w:sz w:val="24"/>
          <w:szCs w:val="24"/>
        </w:rPr>
      </w:pPr>
      <w:bookmarkStart w:id="474" w:name="_Toc31451_WPSOffice_Level2"/>
      <w:bookmarkStart w:id="475" w:name="_Toc26632_WPSOffice_Level2"/>
      <w:r>
        <w:rPr>
          <w:rFonts w:hint="eastAsia" w:ascii="宋体" w:hAnsi="宋体" w:eastAsia="宋体" w:cs="宋体"/>
          <w:b/>
          <w:bCs w:val="0"/>
          <w:color w:val="auto"/>
          <w:sz w:val="24"/>
          <w:szCs w:val="24"/>
        </w:rPr>
        <w:t>项目名称：</w:t>
      </w:r>
      <w:bookmarkEnd w:id="474"/>
      <w:bookmarkEnd w:id="475"/>
    </w:p>
    <w:p w14:paraId="5F163AAB">
      <w:pPr>
        <w:keepNext w:val="0"/>
        <w:keepLines w:val="0"/>
        <w:pageBreakBefore w:val="0"/>
        <w:kinsoku/>
        <w:wordWrap/>
        <w:overflowPunct/>
        <w:topLinePunct w:val="0"/>
        <w:bidi w:val="0"/>
        <w:adjustRightInd/>
        <w:snapToGrid/>
        <w:spacing w:line="360" w:lineRule="auto"/>
        <w:outlineLvl w:val="9"/>
        <w:rPr>
          <w:rFonts w:hint="eastAsia" w:ascii="宋体" w:hAnsi="宋体" w:eastAsia="宋体" w:cs="宋体"/>
          <w:b/>
          <w:bCs w:val="0"/>
          <w:color w:val="auto"/>
          <w:sz w:val="24"/>
          <w:szCs w:val="24"/>
          <w:lang w:val="en-US" w:eastAsia="zh-CN"/>
        </w:rPr>
      </w:pPr>
      <w:bookmarkStart w:id="476" w:name="_Toc18301_WPSOffice_Level2"/>
      <w:bookmarkStart w:id="477" w:name="_Toc16830_WPSOffice_Level2"/>
      <w:r>
        <w:rPr>
          <w:rFonts w:hint="eastAsia" w:ascii="宋体" w:hAnsi="宋体" w:eastAsia="宋体" w:cs="宋体"/>
          <w:b/>
          <w:bCs w:val="0"/>
          <w:color w:val="auto"/>
          <w:sz w:val="24"/>
          <w:szCs w:val="24"/>
        </w:rPr>
        <w:t>项目编号：</w:t>
      </w:r>
    </w:p>
    <w:p w14:paraId="6023363E">
      <w:pPr>
        <w:keepNext w:val="0"/>
        <w:keepLines w:val="0"/>
        <w:pageBreakBefore w:val="0"/>
        <w:kinsoku/>
        <w:wordWrap/>
        <w:overflowPunct/>
        <w:topLinePunct w:val="0"/>
        <w:bidi w:val="0"/>
        <w:adjustRightInd/>
        <w:snapToGrid/>
        <w:spacing w:line="360" w:lineRule="auto"/>
        <w:jc w:val="right"/>
        <w:outlineLvl w:val="9"/>
        <w:rPr>
          <w:rFonts w:hint="eastAsia" w:ascii="宋体" w:hAnsi="宋体" w:eastAsia="宋体" w:cs="宋体"/>
          <w:bCs/>
          <w:color w:val="auto"/>
          <w:sz w:val="24"/>
          <w:szCs w:val="24"/>
        </w:rPr>
      </w:pPr>
      <w:r>
        <w:rPr>
          <w:rFonts w:hint="eastAsia" w:ascii="宋体" w:hAnsi="宋体" w:eastAsia="宋体" w:cs="宋体"/>
          <w:color w:val="auto"/>
          <w:sz w:val="24"/>
          <w:szCs w:val="24"/>
        </w:rPr>
        <w:t>单位：</w:t>
      </w:r>
      <w:r>
        <w:rPr>
          <w:rFonts w:hint="eastAsia" w:ascii="宋体" w:hAnsi="宋体" w:eastAsia="宋体" w:cs="宋体"/>
          <w:bCs/>
          <w:color w:val="auto"/>
          <w:sz w:val="24"/>
          <w:szCs w:val="24"/>
        </w:rPr>
        <w:t>人民币(元)</w:t>
      </w:r>
      <w:bookmarkEnd w:id="476"/>
      <w:bookmarkEnd w:id="477"/>
    </w:p>
    <w:tbl>
      <w:tblPr>
        <w:tblStyle w:val="19"/>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4208"/>
        <w:gridCol w:w="3065"/>
        <w:gridCol w:w="1879"/>
      </w:tblGrid>
      <w:tr w14:paraId="481E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3" w:type="dxa"/>
            <w:vAlign w:val="center"/>
          </w:tcPr>
          <w:p w14:paraId="3C3C9D95">
            <w:pPr>
              <w:keepNext w:val="0"/>
              <w:keepLines w:val="0"/>
              <w:pageBreakBefore w:val="0"/>
              <w:widowControl w:val="0"/>
              <w:kinsoku/>
              <w:wordWrap/>
              <w:overflowPunct/>
              <w:topLinePunct w:val="0"/>
              <w:autoSpaceDE/>
              <w:autoSpaceDN/>
              <w:bidi w:val="0"/>
              <w:adjustRightInd/>
              <w:snapToGrid/>
              <w:spacing w:line="360" w:lineRule="auto"/>
              <w:ind w:left="0" w:leftChars="0"/>
              <w:jc w:val="center"/>
              <w:outlineLvl w:val="9"/>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lang w:val="en-US" w:eastAsia="zh-CN"/>
              </w:rPr>
              <w:t>序号</w:t>
            </w:r>
          </w:p>
        </w:tc>
        <w:tc>
          <w:tcPr>
            <w:tcW w:w="4208" w:type="dxa"/>
            <w:vAlign w:val="center"/>
          </w:tcPr>
          <w:p w14:paraId="26D7026F">
            <w:pPr>
              <w:keepNext w:val="0"/>
              <w:keepLines w:val="0"/>
              <w:pageBreakBefore w:val="0"/>
              <w:widowControl w:val="0"/>
              <w:kinsoku/>
              <w:wordWrap/>
              <w:overflowPunct/>
              <w:topLinePunct w:val="0"/>
              <w:autoSpaceDE/>
              <w:autoSpaceDN/>
              <w:bidi w:val="0"/>
              <w:adjustRightInd/>
              <w:snapToGrid/>
              <w:spacing w:line="360" w:lineRule="auto"/>
              <w:ind w:left="0" w:leftChars="0"/>
              <w:jc w:val="center"/>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最初报价</w:t>
            </w:r>
          </w:p>
        </w:tc>
        <w:tc>
          <w:tcPr>
            <w:tcW w:w="3065" w:type="dxa"/>
            <w:vAlign w:val="center"/>
          </w:tcPr>
          <w:p w14:paraId="3B849DE3">
            <w:pPr>
              <w:keepNext w:val="0"/>
              <w:keepLines w:val="0"/>
              <w:pageBreakBefore w:val="0"/>
              <w:widowControl w:val="0"/>
              <w:kinsoku/>
              <w:wordWrap/>
              <w:overflowPunct/>
              <w:topLinePunct w:val="0"/>
              <w:autoSpaceDE/>
              <w:autoSpaceDN/>
              <w:bidi w:val="0"/>
              <w:adjustRightInd/>
              <w:snapToGrid/>
              <w:spacing w:line="360" w:lineRule="auto"/>
              <w:ind w:left="0" w:leftChars="0"/>
              <w:jc w:val="center"/>
              <w:outlineLvl w:val="9"/>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lang w:eastAsia="zh-CN"/>
              </w:rPr>
              <w:t>最后报价</w:t>
            </w:r>
          </w:p>
        </w:tc>
        <w:tc>
          <w:tcPr>
            <w:tcW w:w="1879" w:type="dxa"/>
            <w:vAlign w:val="center"/>
          </w:tcPr>
          <w:p w14:paraId="0B91F07E">
            <w:pPr>
              <w:keepNext w:val="0"/>
              <w:keepLines w:val="0"/>
              <w:pageBreakBefore w:val="0"/>
              <w:widowControl w:val="0"/>
              <w:kinsoku/>
              <w:wordWrap/>
              <w:overflowPunct/>
              <w:topLinePunct w:val="0"/>
              <w:autoSpaceDE/>
              <w:autoSpaceDN/>
              <w:bidi w:val="0"/>
              <w:adjustRightInd/>
              <w:snapToGrid/>
              <w:spacing w:line="360" w:lineRule="auto"/>
              <w:ind w:left="0" w:leftChars="0"/>
              <w:jc w:val="center"/>
              <w:outlineLvl w:val="9"/>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lang w:eastAsia="zh-CN"/>
              </w:rPr>
              <w:t>服务期限</w:t>
            </w:r>
          </w:p>
        </w:tc>
      </w:tr>
      <w:tr w14:paraId="2DFE5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3" w:type="dxa"/>
            <w:vMerge w:val="restart"/>
            <w:tcBorders>
              <w:left w:val="single" w:color="auto" w:sz="4" w:space="0"/>
            </w:tcBorders>
            <w:vAlign w:val="center"/>
          </w:tcPr>
          <w:p w14:paraId="7CE4AAF1">
            <w:pPr>
              <w:keepNext w:val="0"/>
              <w:keepLines w:val="0"/>
              <w:pageBreakBefore w:val="0"/>
              <w:widowControl w:val="0"/>
              <w:kinsoku/>
              <w:wordWrap/>
              <w:overflowPunct/>
              <w:topLinePunct w:val="0"/>
              <w:autoSpaceDE/>
              <w:autoSpaceDN/>
              <w:bidi w:val="0"/>
              <w:adjustRightInd/>
              <w:snapToGrid/>
              <w:spacing w:line="360" w:lineRule="auto"/>
              <w:ind w:left="0" w:leftChars="0"/>
              <w:jc w:val="center"/>
              <w:outlineLvl w:val="9"/>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1</w:t>
            </w:r>
          </w:p>
        </w:tc>
        <w:tc>
          <w:tcPr>
            <w:tcW w:w="4208" w:type="dxa"/>
            <w:vAlign w:val="top"/>
          </w:tcPr>
          <w:p w14:paraId="3AC17D00">
            <w:pPr>
              <w:keepNext w:val="0"/>
              <w:keepLines w:val="0"/>
              <w:pageBreakBefore w:val="0"/>
              <w:widowControl w:val="0"/>
              <w:kinsoku/>
              <w:wordWrap/>
              <w:overflowPunct/>
              <w:topLinePunct w:val="0"/>
              <w:autoSpaceDE/>
              <w:autoSpaceDN/>
              <w:bidi w:val="0"/>
              <w:adjustRightInd/>
              <w:snapToGrid/>
              <w:spacing w:line="360" w:lineRule="auto"/>
              <w:ind w:left="0" w:leftChars="0"/>
              <w:textAlignment w:val="baseline"/>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大写：</w:t>
            </w:r>
          </w:p>
        </w:tc>
        <w:tc>
          <w:tcPr>
            <w:tcW w:w="3065" w:type="dxa"/>
            <w:vAlign w:val="top"/>
          </w:tcPr>
          <w:p w14:paraId="0C4C8DBA">
            <w:pPr>
              <w:keepNext w:val="0"/>
              <w:keepLines w:val="0"/>
              <w:pageBreakBefore w:val="0"/>
              <w:widowControl w:val="0"/>
              <w:kinsoku/>
              <w:wordWrap/>
              <w:overflowPunct/>
              <w:topLinePunct w:val="0"/>
              <w:autoSpaceDE/>
              <w:autoSpaceDN/>
              <w:bidi w:val="0"/>
              <w:adjustRightInd/>
              <w:snapToGrid/>
              <w:spacing w:line="360" w:lineRule="auto"/>
              <w:ind w:left="0" w:leftChars="0"/>
              <w:textAlignment w:val="baseline"/>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大写：</w:t>
            </w:r>
          </w:p>
        </w:tc>
        <w:tc>
          <w:tcPr>
            <w:tcW w:w="1879" w:type="dxa"/>
            <w:vMerge w:val="restart"/>
            <w:vAlign w:val="center"/>
          </w:tcPr>
          <w:p w14:paraId="0DA0AF5C">
            <w:pPr>
              <w:keepNext w:val="0"/>
              <w:keepLines w:val="0"/>
              <w:pageBreakBefore w:val="0"/>
              <w:widowControl w:val="0"/>
              <w:kinsoku/>
              <w:wordWrap/>
              <w:overflowPunct/>
              <w:topLinePunct w:val="0"/>
              <w:autoSpaceDE/>
              <w:autoSpaceDN/>
              <w:bidi w:val="0"/>
              <w:adjustRightInd/>
              <w:snapToGrid/>
              <w:spacing w:line="360" w:lineRule="auto"/>
              <w:ind w:left="0" w:leftChars="0"/>
              <w:jc w:val="center"/>
              <w:outlineLvl w:val="9"/>
              <w:rPr>
                <w:rFonts w:hint="eastAsia" w:ascii="宋体" w:hAnsi="宋体" w:eastAsia="宋体" w:cs="宋体"/>
                <w:b/>
                <w:bCs w:val="0"/>
                <w:color w:val="auto"/>
                <w:sz w:val="24"/>
                <w:szCs w:val="24"/>
              </w:rPr>
            </w:pPr>
          </w:p>
        </w:tc>
      </w:tr>
      <w:tr w14:paraId="4A9A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3" w:type="dxa"/>
            <w:vMerge w:val="continue"/>
            <w:tcBorders>
              <w:left w:val="single" w:color="auto" w:sz="4" w:space="0"/>
              <w:right w:val="nil"/>
            </w:tcBorders>
            <w:vAlign w:val="center"/>
          </w:tcPr>
          <w:p w14:paraId="707211BB">
            <w:pPr>
              <w:keepNext w:val="0"/>
              <w:keepLines w:val="0"/>
              <w:pageBreakBefore w:val="0"/>
              <w:widowControl w:val="0"/>
              <w:kinsoku/>
              <w:wordWrap/>
              <w:overflowPunct/>
              <w:topLinePunct w:val="0"/>
              <w:autoSpaceDE/>
              <w:autoSpaceDN/>
              <w:bidi w:val="0"/>
              <w:adjustRightInd/>
              <w:snapToGrid/>
              <w:spacing w:line="360" w:lineRule="auto"/>
              <w:ind w:left="0" w:leftChars="0"/>
              <w:jc w:val="center"/>
              <w:outlineLvl w:val="9"/>
              <w:rPr>
                <w:rFonts w:hint="eastAsia" w:ascii="宋体" w:hAnsi="宋体" w:eastAsia="宋体" w:cs="宋体"/>
                <w:b/>
                <w:bCs w:val="0"/>
                <w:color w:val="auto"/>
                <w:sz w:val="24"/>
                <w:szCs w:val="24"/>
              </w:rPr>
            </w:pPr>
          </w:p>
        </w:tc>
        <w:tc>
          <w:tcPr>
            <w:tcW w:w="4208" w:type="dxa"/>
            <w:vAlign w:val="top"/>
          </w:tcPr>
          <w:p w14:paraId="7BEF83E8">
            <w:pPr>
              <w:keepNext w:val="0"/>
              <w:keepLines w:val="0"/>
              <w:pageBreakBefore w:val="0"/>
              <w:widowControl w:val="0"/>
              <w:kinsoku/>
              <w:wordWrap/>
              <w:overflowPunct/>
              <w:topLinePunct w:val="0"/>
              <w:autoSpaceDE/>
              <w:autoSpaceDN/>
              <w:bidi w:val="0"/>
              <w:adjustRightInd/>
              <w:snapToGrid/>
              <w:spacing w:line="360" w:lineRule="auto"/>
              <w:ind w:left="0" w:leftChars="0"/>
              <w:textAlignment w:val="baseline"/>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小写：</w:t>
            </w:r>
          </w:p>
        </w:tc>
        <w:tc>
          <w:tcPr>
            <w:tcW w:w="3065" w:type="dxa"/>
            <w:vAlign w:val="top"/>
          </w:tcPr>
          <w:p w14:paraId="1586B894">
            <w:pPr>
              <w:keepNext w:val="0"/>
              <w:keepLines w:val="0"/>
              <w:pageBreakBefore w:val="0"/>
              <w:widowControl w:val="0"/>
              <w:kinsoku/>
              <w:wordWrap/>
              <w:overflowPunct/>
              <w:topLinePunct w:val="0"/>
              <w:autoSpaceDE/>
              <w:autoSpaceDN/>
              <w:bidi w:val="0"/>
              <w:adjustRightInd/>
              <w:snapToGrid/>
              <w:spacing w:line="360" w:lineRule="auto"/>
              <w:ind w:left="0" w:leftChars="0"/>
              <w:textAlignment w:val="baseline"/>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小写：</w:t>
            </w:r>
          </w:p>
        </w:tc>
        <w:tc>
          <w:tcPr>
            <w:tcW w:w="1879" w:type="dxa"/>
            <w:vMerge w:val="continue"/>
            <w:vAlign w:val="center"/>
          </w:tcPr>
          <w:p w14:paraId="13F4B916">
            <w:pPr>
              <w:keepNext w:val="0"/>
              <w:keepLines w:val="0"/>
              <w:pageBreakBefore w:val="0"/>
              <w:widowControl w:val="0"/>
              <w:kinsoku/>
              <w:wordWrap/>
              <w:overflowPunct/>
              <w:topLinePunct w:val="0"/>
              <w:autoSpaceDE/>
              <w:autoSpaceDN/>
              <w:bidi w:val="0"/>
              <w:adjustRightInd/>
              <w:snapToGrid/>
              <w:spacing w:line="360" w:lineRule="auto"/>
              <w:ind w:left="0" w:leftChars="0"/>
              <w:jc w:val="center"/>
              <w:outlineLvl w:val="9"/>
              <w:rPr>
                <w:rFonts w:hint="eastAsia" w:ascii="宋体" w:hAnsi="宋体" w:eastAsia="宋体" w:cs="宋体"/>
                <w:b/>
                <w:bCs w:val="0"/>
                <w:color w:val="auto"/>
                <w:sz w:val="24"/>
                <w:szCs w:val="24"/>
              </w:rPr>
            </w:pPr>
          </w:p>
        </w:tc>
      </w:tr>
      <w:tr w14:paraId="73D5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205" w:type="dxa"/>
            <w:gridSpan w:val="4"/>
            <w:tcBorders>
              <w:bottom w:val="single" w:color="auto" w:sz="4" w:space="0"/>
            </w:tcBorders>
            <w:vAlign w:val="center"/>
          </w:tcPr>
          <w:p w14:paraId="6B67E99A">
            <w:pPr>
              <w:keepNext w:val="0"/>
              <w:keepLines w:val="0"/>
              <w:pageBreakBefore w:val="0"/>
              <w:widowControl w:val="0"/>
              <w:kinsoku/>
              <w:wordWrap/>
              <w:overflowPunct/>
              <w:topLinePunct w:val="0"/>
              <w:autoSpaceDE/>
              <w:autoSpaceDN/>
              <w:bidi w:val="0"/>
              <w:adjustRightInd/>
              <w:snapToGrid/>
              <w:spacing w:line="360" w:lineRule="auto"/>
              <w:ind w:left="0" w:leftChars="0"/>
              <w:jc w:val="left"/>
              <w:outlineLvl w:val="9"/>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rPr>
              <w:t>最终确定的质量保证及服务承诺</w:t>
            </w:r>
            <w:r>
              <w:rPr>
                <w:rFonts w:hint="eastAsia" w:ascii="宋体" w:hAnsi="宋体" w:eastAsia="宋体" w:cs="宋体"/>
                <w:b/>
                <w:bCs w:val="0"/>
                <w:color w:val="auto"/>
                <w:sz w:val="24"/>
                <w:szCs w:val="24"/>
                <w:lang w:eastAsia="zh-CN"/>
              </w:rPr>
              <w:t>：</w:t>
            </w:r>
          </w:p>
          <w:p w14:paraId="69FFF7D5">
            <w:pPr>
              <w:keepNext w:val="0"/>
              <w:keepLines w:val="0"/>
              <w:pageBreakBefore w:val="0"/>
              <w:widowControl w:val="0"/>
              <w:kinsoku/>
              <w:wordWrap/>
              <w:overflowPunct/>
              <w:topLinePunct w:val="0"/>
              <w:autoSpaceDE/>
              <w:autoSpaceDN/>
              <w:bidi w:val="0"/>
              <w:adjustRightInd/>
              <w:snapToGrid/>
              <w:spacing w:line="360" w:lineRule="auto"/>
              <w:ind w:left="0" w:leftChars="0"/>
              <w:jc w:val="left"/>
              <w:outlineLvl w:val="9"/>
              <w:rPr>
                <w:rFonts w:hint="eastAsia" w:ascii="宋体" w:hAnsi="宋体" w:eastAsia="宋体" w:cs="宋体"/>
                <w:b/>
                <w:bCs w:val="0"/>
                <w:color w:val="auto"/>
                <w:sz w:val="24"/>
                <w:szCs w:val="24"/>
                <w:lang w:eastAsia="zh-CN"/>
              </w:rPr>
            </w:pPr>
          </w:p>
          <w:p w14:paraId="6ABB9179">
            <w:pPr>
              <w:keepNext w:val="0"/>
              <w:keepLines w:val="0"/>
              <w:pageBreakBefore w:val="0"/>
              <w:widowControl w:val="0"/>
              <w:kinsoku/>
              <w:wordWrap/>
              <w:overflowPunct/>
              <w:topLinePunct w:val="0"/>
              <w:autoSpaceDE/>
              <w:autoSpaceDN/>
              <w:bidi w:val="0"/>
              <w:adjustRightInd/>
              <w:snapToGrid/>
              <w:spacing w:line="360" w:lineRule="auto"/>
              <w:ind w:left="0" w:leftChars="0"/>
              <w:jc w:val="left"/>
              <w:outlineLvl w:val="9"/>
              <w:rPr>
                <w:rFonts w:hint="eastAsia" w:ascii="宋体" w:hAnsi="宋体" w:eastAsia="宋体" w:cs="宋体"/>
                <w:b/>
                <w:bCs w:val="0"/>
                <w:color w:val="auto"/>
                <w:sz w:val="24"/>
                <w:szCs w:val="24"/>
                <w:lang w:eastAsia="zh-CN"/>
              </w:rPr>
            </w:pPr>
          </w:p>
          <w:p w14:paraId="41678BA2">
            <w:pPr>
              <w:keepNext w:val="0"/>
              <w:keepLines w:val="0"/>
              <w:pageBreakBefore w:val="0"/>
              <w:widowControl w:val="0"/>
              <w:kinsoku/>
              <w:wordWrap/>
              <w:overflowPunct/>
              <w:topLinePunct w:val="0"/>
              <w:autoSpaceDE/>
              <w:autoSpaceDN/>
              <w:bidi w:val="0"/>
              <w:adjustRightInd/>
              <w:snapToGrid/>
              <w:spacing w:line="360" w:lineRule="auto"/>
              <w:ind w:left="0" w:leftChars="0"/>
              <w:jc w:val="left"/>
              <w:outlineLvl w:val="9"/>
              <w:rPr>
                <w:rFonts w:hint="eastAsia" w:ascii="宋体" w:hAnsi="宋体" w:eastAsia="宋体" w:cs="宋体"/>
                <w:b/>
                <w:bCs w:val="0"/>
                <w:color w:val="auto"/>
                <w:sz w:val="24"/>
                <w:szCs w:val="24"/>
                <w:lang w:eastAsia="zh-CN"/>
              </w:rPr>
            </w:pPr>
          </w:p>
          <w:p w14:paraId="67F88575">
            <w:pPr>
              <w:keepNext w:val="0"/>
              <w:keepLines w:val="0"/>
              <w:pageBreakBefore w:val="0"/>
              <w:widowControl w:val="0"/>
              <w:kinsoku/>
              <w:wordWrap/>
              <w:overflowPunct/>
              <w:topLinePunct w:val="0"/>
              <w:autoSpaceDE/>
              <w:autoSpaceDN/>
              <w:bidi w:val="0"/>
              <w:adjustRightInd/>
              <w:snapToGrid/>
              <w:spacing w:line="360" w:lineRule="auto"/>
              <w:ind w:left="0" w:leftChars="0"/>
              <w:jc w:val="left"/>
              <w:outlineLvl w:val="9"/>
              <w:rPr>
                <w:rFonts w:hint="eastAsia" w:ascii="宋体" w:hAnsi="宋体" w:eastAsia="宋体" w:cs="宋体"/>
                <w:b/>
                <w:bCs w:val="0"/>
                <w:color w:val="auto"/>
                <w:sz w:val="24"/>
                <w:szCs w:val="24"/>
                <w:lang w:eastAsia="zh-CN"/>
              </w:rPr>
            </w:pPr>
          </w:p>
          <w:p w14:paraId="21989BBF">
            <w:pPr>
              <w:keepNext w:val="0"/>
              <w:keepLines w:val="0"/>
              <w:pageBreakBefore w:val="0"/>
              <w:widowControl w:val="0"/>
              <w:kinsoku/>
              <w:wordWrap/>
              <w:overflowPunct/>
              <w:topLinePunct w:val="0"/>
              <w:autoSpaceDE/>
              <w:autoSpaceDN/>
              <w:bidi w:val="0"/>
              <w:adjustRightInd/>
              <w:snapToGrid/>
              <w:spacing w:line="360" w:lineRule="auto"/>
              <w:ind w:left="0" w:leftChars="0"/>
              <w:jc w:val="left"/>
              <w:outlineLvl w:val="9"/>
              <w:rPr>
                <w:rFonts w:hint="eastAsia" w:ascii="宋体" w:hAnsi="宋体" w:eastAsia="宋体" w:cs="宋体"/>
                <w:b/>
                <w:bCs w:val="0"/>
                <w:color w:val="auto"/>
                <w:sz w:val="24"/>
                <w:szCs w:val="24"/>
                <w:lang w:eastAsia="zh-CN"/>
              </w:rPr>
            </w:pPr>
          </w:p>
          <w:p w14:paraId="40C1E86E">
            <w:pPr>
              <w:keepNext w:val="0"/>
              <w:keepLines w:val="0"/>
              <w:pageBreakBefore w:val="0"/>
              <w:widowControl w:val="0"/>
              <w:kinsoku/>
              <w:wordWrap/>
              <w:overflowPunct/>
              <w:topLinePunct w:val="0"/>
              <w:autoSpaceDE/>
              <w:autoSpaceDN/>
              <w:bidi w:val="0"/>
              <w:adjustRightInd/>
              <w:snapToGrid/>
              <w:spacing w:line="360" w:lineRule="auto"/>
              <w:ind w:left="0" w:leftChars="0"/>
              <w:jc w:val="left"/>
              <w:outlineLvl w:val="9"/>
              <w:rPr>
                <w:rFonts w:hint="eastAsia" w:ascii="宋体" w:hAnsi="宋体" w:eastAsia="宋体" w:cs="宋体"/>
                <w:b/>
                <w:bCs w:val="0"/>
                <w:color w:val="auto"/>
                <w:sz w:val="24"/>
                <w:szCs w:val="24"/>
                <w:lang w:eastAsia="zh-CN"/>
              </w:rPr>
            </w:pPr>
          </w:p>
          <w:p w14:paraId="33DEB690">
            <w:pPr>
              <w:keepNext w:val="0"/>
              <w:keepLines w:val="0"/>
              <w:pageBreakBefore w:val="0"/>
              <w:widowControl w:val="0"/>
              <w:kinsoku/>
              <w:wordWrap/>
              <w:overflowPunct/>
              <w:topLinePunct w:val="0"/>
              <w:autoSpaceDE/>
              <w:autoSpaceDN/>
              <w:bidi w:val="0"/>
              <w:adjustRightInd/>
              <w:snapToGrid/>
              <w:spacing w:line="360" w:lineRule="auto"/>
              <w:ind w:left="0" w:leftChars="0"/>
              <w:jc w:val="left"/>
              <w:outlineLvl w:val="9"/>
              <w:rPr>
                <w:rFonts w:hint="eastAsia" w:ascii="宋体" w:hAnsi="宋体" w:eastAsia="宋体" w:cs="宋体"/>
                <w:b/>
                <w:bCs w:val="0"/>
                <w:color w:val="auto"/>
                <w:sz w:val="24"/>
                <w:szCs w:val="24"/>
                <w:lang w:eastAsia="zh-CN"/>
              </w:rPr>
            </w:pPr>
          </w:p>
        </w:tc>
      </w:tr>
    </w:tbl>
    <w:p w14:paraId="72DF2952">
      <w:pPr>
        <w:keepNext w:val="0"/>
        <w:keepLines w:val="0"/>
        <w:pageBreakBefore w:val="0"/>
        <w:kinsoku/>
        <w:wordWrap/>
        <w:overflowPunct/>
        <w:topLinePunct w:val="0"/>
        <w:bidi w:val="0"/>
        <w:adjustRightInd/>
        <w:snapToGrid/>
        <w:spacing w:line="360" w:lineRule="auto"/>
        <w:ind w:firstLine="480" w:firstLineChars="200"/>
        <w:jc w:val="both"/>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此表不需装订在响应文件中，供应商须事先盖章、签字。在谈判期间，由谈判小组确定合格的供应商现场填写。</w:t>
      </w:r>
    </w:p>
    <w:p w14:paraId="5ED43502">
      <w:pPr>
        <w:keepNext w:val="0"/>
        <w:keepLines w:val="0"/>
        <w:pageBreakBefore w:val="0"/>
        <w:widowControl w:val="0"/>
        <w:kinsoku/>
        <w:wordWrap/>
        <w:overflowPunct/>
        <w:topLinePunct w:val="0"/>
        <w:autoSpaceDE w:val="0"/>
        <w:autoSpaceDN w:val="0"/>
        <w:bidi w:val="0"/>
        <w:adjustRightInd/>
        <w:snapToGrid/>
        <w:spacing w:line="360" w:lineRule="auto"/>
        <w:ind w:left="0" w:leftChars="0"/>
        <w:jc w:val="both"/>
        <w:outlineLvl w:val="9"/>
        <w:rPr>
          <w:rFonts w:hint="eastAsia" w:ascii="宋体" w:hAnsi="宋体" w:eastAsia="宋体" w:cs="宋体"/>
          <w:b/>
          <w:bCs w:val="0"/>
          <w:color w:val="auto"/>
          <w:sz w:val="24"/>
          <w:szCs w:val="24"/>
          <w:lang w:val="en-US" w:eastAsia="zh-CN"/>
        </w:rPr>
      </w:pPr>
    </w:p>
    <w:p w14:paraId="5C60D370">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单</w:t>
      </w:r>
      <w:r>
        <w:rPr>
          <w:rFonts w:hint="eastAsia" w:ascii="宋体" w:hAnsi="宋体" w:eastAsia="宋体" w:cs="宋体"/>
          <w:b w:val="0"/>
          <w:bCs/>
          <w:color w:val="auto"/>
          <w:sz w:val="24"/>
          <w:szCs w:val="24"/>
        </w:rPr>
        <w:t>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（公章）</w:t>
      </w:r>
    </w:p>
    <w:p w14:paraId="573F7C21">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p>
    <w:p w14:paraId="1C8CD4AC">
      <w:pPr>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outlineLvl w:val="9"/>
        <w:rPr>
          <w:rFonts w:hint="eastAsia" w:ascii="宋体" w:hAnsi="宋体" w:eastAsia="宋体" w:cs="宋体"/>
          <w:b/>
          <w:bCs w:val="0"/>
          <w:color w:val="auto"/>
          <w:sz w:val="24"/>
          <w:szCs w:val="24"/>
          <w:lang w:val="en-US" w:eastAsia="zh-CN"/>
        </w:rPr>
      </w:pPr>
      <w:r>
        <w:rPr>
          <w:rFonts w:hint="eastAsia" w:ascii="宋体" w:hAnsi="宋体" w:eastAsia="宋体" w:cs="宋体"/>
          <w:b w:val="0"/>
          <w:bCs/>
          <w:color w:val="auto"/>
          <w:sz w:val="24"/>
          <w:szCs w:val="24"/>
        </w:rPr>
        <w:t xml:space="preserve">年   月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日</w:t>
      </w:r>
    </w:p>
    <w:p w14:paraId="1AAE394A">
      <w:pPr>
        <w:keepNext w:val="0"/>
        <w:keepLines w:val="0"/>
        <w:pageBreakBefore w:val="0"/>
        <w:widowControl w:val="0"/>
        <w:kinsoku/>
        <w:wordWrap/>
        <w:overflowPunct/>
        <w:topLinePunct w:val="0"/>
        <w:autoSpaceDE w:val="0"/>
        <w:autoSpaceDN w:val="0"/>
        <w:bidi w:val="0"/>
        <w:adjustRightInd/>
        <w:snapToGrid/>
        <w:spacing w:line="360" w:lineRule="auto"/>
        <w:ind w:left="0" w:leftChars="0"/>
        <w:jc w:val="both"/>
        <w:outlineLvl w:val="9"/>
        <w:rPr>
          <w:rFonts w:hint="eastAsia" w:ascii="宋体" w:hAnsi="宋体" w:eastAsia="宋体" w:cs="宋体"/>
          <w:b/>
          <w:bCs w:val="0"/>
          <w:color w:val="auto"/>
          <w:sz w:val="24"/>
          <w:szCs w:val="24"/>
          <w:lang w:val="en-US" w:eastAsia="zh-CN"/>
        </w:rPr>
      </w:pPr>
    </w:p>
    <w:p w14:paraId="498FC73D">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b/>
          <w:color w:val="auto"/>
          <w:sz w:val="24"/>
        </w:rPr>
      </w:pPr>
      <w:r>
        <w:rPr>
          <w:rFonts w:hint="eastAsia" w:ascii="宋体" w:hAnsi="宋体" w:eastAsia="宋体" w:cs="宋体"/>
          <w:b/>
          <w:color w:val="auto"/>
          <w:sz w:val="24"/>
        </w:rPr>
        <w:br w:type="page"/>
      </w:r>
    </w:p>
    <w:p w14:paraId="047EABEB">
      <w:pPr>
        <w:widowControl/>
        <w:wordWrap/>
        <w:spacing w:before="157" w:beforeLines="50" w:line="560" w:lineRule="exact"/>
        <w:jc w:val="center"/>
        <w:outlineLvl w:val="0"/>
        <w:rPr>
          <w:rFonts w:hint="eastAsia" w:ascii="宋体" w:hAnsi="宋体" w:eastAsia="宋体" w:cs="宋体"/>
          <w:b/>
          <w:bCs/>
          <w:color w:val="auto"/>
          <w:sz w:val="32"/>
          <w:szCs w:val="32"/>
          <w:lang w:eastAsia="zh-CN"/>
        </w:rPr>
      </w:pPr>
      <w:bookmarkStart w:id="478" w:name="_Toc376936766"/>
      <w:bookmarkStart w:id="479" w:name="_Toc7329_WPSOffice_Level1"/>
      <w:bookmarkStart w:id="480" w:name="_Toc24112_WPSOffice_Level1"/>
      <w:bookmarkStart w:id="481" w:name="_Toc1031"/>
      <w:bookmarkStart w:id="482" w:name="_Toc5169"/>
      <w:bookmarkStart w:id="483" w:name="_Toc16082_WPSOffice_Level1"/>
      <w:bookmarkStart w:id="484" w:name="_Toc23740"/>
      <w:bookmarkStart w:id="485" w:name="_Toc416183225"/>
      <w:bookmarkStart w:id="486" w:name="_Toc27557_WPSOffice_Level1"/>
      <w:bookmarkStart w:id="487" w:name="_Toc23722_WPSOffice_Level1"/>
      <w:bookmarkStart w:id="488" w:name="_Toc16779_WPSOffice_Level1"/>
      <w:bookmarkStart w:id="489" w:name="_Toc5233"/>
      <w:bookmarkStart w:id="490" w:name="_Toc12949996"/>
      <w:r>
        <w:rPr>
          <w:rFonts w:hint="eastAsia" w:ascii="宋体" w:hAnsi="宋体" w:eastAsia="宋体" w:cs="宋体"/>
          <w:b/>
          <w:bCs/>
          <w:color w:val="auto"/>
          <w:sz w:val="32"/>
          <w:szCs w:val="32"/>
          <w:lang w:eastAsia="zh-CN"/>
        </w:rPr>
        <w:t>第五部分</w:t>
      </w:r>
      <w:r>
        <w:rPr>
          <w:rFonts w:hint="eastAsia" w:ascii="宋体" w:hAnsi="宋体" w:eastAsia="宋体" w:cs="宋体"/>
          <w:b/>
          <w:bCs/>
          <w:color w:val="auto"/>
          <w:sz w:val="32"/>
          <w:szCs w:val="32"/>
        </w:rPr>
        <w:t xml:space="preserve"> </w:t>
      </w:r>
      <w:bookmarkEnd w:id="478"/>
      <w:r>
        <w:rPr>
          <w:rFonts w:hint="eastAsia" w:ascii="宋体" w:hAnsi="宋体" w:eastAsia="宋体" w:cs="宋体"/>
          <w:b/>
          <w:bCs/>
          <w:color w:val="auto"/>
          <w:sz w:val="32"/>
          <w:szCs w:val="32"/>
          <w:lang w:val="en-US" w:eastAsia="zh-CN"/>
        </w:rPr>
        <w:t xml:space="preserve"> </w:t>
      </w:r>
      <w:bookmarkEnd w:id="479"/>
      <w:bookmarkEnd w:id="480"/>
      <w:bookmarkEnd w:id="481"/>
      <w:bookmarkEnd w:id="482"/>
      <w:r>
        <w:rPr>
          <w:rFonts w:hint="eastAsia" w:ascii="宋体" w:hAnsi="宋体" w:eastAsia="宋体" w:cs="宋体"/>
          <w:b/>
          <w:bCs/>
          <w:color w:val="auto"/>
          <w:sz w:val="32"/>
          <w:szCs w:val="32"/>
          <w:lang w:eastAsia="zh-CN"/>
        </w:rPr>
        <w:t>采购项目合同书</w:t>
      </w:r>
    </w:p>
    <w:p w14:paraId="513B0ECC">
      <w:pPr>
        <w:bidi w:val="0"/>
        <w:jc w:val="both"/>
        <w:rPr>
          <w:rFonts w:hint="eastAsia" w:ascii="宋体" w:hAnsi="宋体" w:eastAsia="宋体" w:cs="宋体"/>
          <w:color w:val="auto"/>
          <w:sz w:val="32"/>
          <w:szCs w:val="32"/>
        </w:rPr>
      </w:pPr>
      <w:bookmarkStart w:id="491" w:name="_Toc29785_WPSOffice_Level1"/>
      <w:bookmarkStart w:id="492" w:name="_Toc22776_WPSOffice_Level1"/>
      <w:bookmarkStart w:id="493" w:name="_Toc32639"/>
    </w:p>
    <w:bookmarkEnd w:id="483"/>
    <w:bookmarkEnd w:id="484"/>
    <w:bookmarkEnd w:id="485"/>
    <w:bookmarkEnd w:id="486"/>
    <w:bookmarkEnd w:id="487"/>
    <w:bookmarkEnd w:id="488"/>
    <w:bookmarkEnd w:id="489"/>
    <w:bookmarkEnd w:id="490"/>
    <w:bookmarkEnd w:id="491"/>
    <w:bookmarkEnd w:id="492"/>
    <w:bookmarkEnd w:id="493"/>
    <w:p w14:paraId="65CEED18">
      <w:pPr>
        <w:autoSpaceDE w:val="0"/>
        <w:autoSpaceDN w:val="0"/>
        <w:spacing w:line="360" w:lineRule="auto"/>
        <w:ind w:firstLine="0" w:firstLineChars="0"/>
        <w:jc w:val="center"/>
        <w:rPr>
          <w:rFonts w:hint="eastAsia" w:ascii="宋体" w:hAnsi="宋体" w:eastAsia="宋体" w:cs="宋体"/>
          <w:b/>
          <w:bCs/>
          <w:color w:val="auto"/>
          <w:sz w:val="48"/>
          <w:szCs w:val="48"/>
        </w:rPr>
      </w:pPr>
      <w:r>
        <w:rPr>
          <w:rFonts w:hint="eastAsia" w:ascii="宋体" w:hAnsi="宋体" w:eastAsia="宋体" w:cs="宋体"/>
          <w:b/>
          <w:bCs/>
          <w:color w:val="auto"/>
          <w:sz w:val="48"/>
          <w:szCs w:val="48"/>
          <w:lang w:val="zh-CN"/>
        </w:rPr>
        <w:t>采购项目合同书</w:t>
      </w:r>
    </w:p>
    <w:p w14:paraId="7224DE51">
      <w:pPr>
        <w:autoSpaceDE w:val="0"/>
        <w:autoSpaceDN w:val="0"/>
        <w:spacing w:line="360" w:lineRule="auto"/>
        <w:ind w:firstLine="0" w:firstLineChars="0"/>
        <w:jc w:val="center"/>
        <w:rPr>
          <w:rFonts w:hint="eastAsia" w:ascii="宋体" w:hAnsi="宋体" w:eastAsia="宋体" w:cs="宋体"/>
          <w:b/>
          <w:bCs/>
          <w:color w:val="auto"/>
          <w:sz w:val="48"/>
          <w:szCs w:val="48"/>
          <w:lang w:val="zh-CN" w:eastAsia="zh-CN"/>
        </w:rPr>
      </w:pPr>
      <w:r>
        <w:rPr>
          <w:rFonts w:hint="eastAsia" w:ascii="宋体" w:hAnsi="宋体" w:eastAsia="宋体" w:cs="宋体"/>
          <w:b/>
          <w:bCs/>
          <w:color w:val="auto"/>
          <w:sz w:val="48"/>
          <w:szCs w:val="48"/>
          <w:lang w:val="zh-CN" w:eastAsia="zh-CN"/>
        </w:rPr>
        <w:t>（</w:t>
      </w:r>
      <w:r>
        <w:rPr>
          <w:rFonts w:hint="eastAsia" w:ascii="宋体" w:hAnsi="宋体" w:eastAsia="宋体" w:cs="宋体"/>
          <w:b/>
          <w:bCs/>
          <w:color w:val="auto"/>
          <w:sz w:val="48"/>
          <w:szCs w:val="48"/>
          <w:lang w:val="en-US" w:eastAsia="zh-CN"/>
        </w:rPr>
        <w:t>范本</w:t>
      </w:r>
      <w:r>
        <w:rPr>
          <w:rFonts w:hint="eastAsia" w:ascii="宋体" w:hAnsi="宋体" w:eastAsia="宋体" w:cs="宋体"/>
          <w:b/>
          <w:bCs/>
          <w:color w:val="auto"/>
          <w:sz w:val="48"/>
          <w:szCs w:val="48"/>
          <w:lang w:val="zh-CN" w:eastAsia="zh-CN"/>
        </w:rPr>
        <w:t>）</w:t>
      </w:r>
    </w:p>
    <w:p w14:paraId="209CBB41">
      <w:pPr>
        <w:spacing w:line="360" w:lineRule="auto"/>
        <w:ind w:firstLine="0" w:firstLineChars="0"/>
        <w:jc w:val="both"/>
        <w:rPr>
          <w:rFonts w:hint="eastAsia" w:ascii="宋体" w:hAnsi="宋体" w:eastAsia="宋体" w:cs="宋体"/>
          <w:color w:val="auto"/>
          <w:sz w:val="24"/>
          <w:szCs w:val="24"/>
        </w:rPr>
      </w:pPr>
    </w:p>
    <w:p w14:paraId="2AEF2455">
      <w:pPr>
        <w:spacing w:line="360" w:lineRule="auto"/>
        <w:ind w:firstLine="0" w:firstLineChars="0"/>
        <w:rPr>
          <w:rFonts w:hint="eastAsia" w:ascii="宋体" w:hAnsi="宋体" w:eastAsia="宋体" w:cs="宋体"/>
          <w:color w:val="auto"/>
          <w:sz w:val="24"/>
          <w:szCs w:val="24"/>
        </w:rPr>
      </w:pPr>
    </w:p>
    <w:p w14:paraId="16EB7C47">
      <w:pPr>
        <w:spacing w:line="360" w:lineRule="auto"/>
        <w:ind w:firstLine="0" w:firstLineChars="0"/>
        <w:rPr>
          <w:rFonts w:hint="eastAsia" w:ascii="宋体" w:hAnsi="宋体" w:eastAsia="宋体" w:cs="宋体"/>
          <w:color w:val="auto"/>
          <w:sz w:val="24"/>
          <w:szCs w:val="24"/>
        </w:rPr>
      </w:pPr>
    </w:p>
    <w:p w14:paraId="36A5C41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zh-CN"/>
        </w:rPr>
        <w:t>采购项目编号：</w:t>
      </w:r>
      <w:r>
        <w:rPr>
          <w:rFonts w:hint="eastAsia" w:ascii="宋体" w:hAnsi="宋体" w:eastAsia="宋体" w:cs="宋体"/>
          <w:b/>
          <w:bCs/>
          <w:color w:val="auto"/>
          <w:sz w:val="30"/>
          <w:szCs w:val="30"/>
          <w:u w:val="single"/>
          <w:lang w:val="en-US" w:eastAsia="zh-CN"/>
        </w:rPr>
        <w:t>DZZB-</w:t>
      </w:r>
      <w:r>
        <w:rPr>
          <w:rFonts w:hint="eastAsia" w:ascii="宋体" w:hAnsi="宋体" w:eastAsia="宋体" w:cs="宋体"/>
          <w:b/>
          <w:bCs/>
          <w:color w:val="auto"/>
          <w:sz w:val="30"/>
          <w:szCs w:val="30"/>
          <w:u w:val="single"/>
          <w:lang w:val="zh-CN"/>
        </w:rPr>
        <w:t>2025-028</w:t>
      </w:r>
    </w:p>
    <w:p w14:paraId="7A3B5299">
      <w:pPr>
        <w:pStyle w:val="46"/>
        <w:keepNext w:val="0"/>
        <w:keepLines w:val="0"/>
        <w:pageBreakBefore w:val="0"/>
        <w:widowControl w:val="0"/>
        <w:kinsoku/>
        <w:wordWrap/>
        <w:overflowPunct/>
        <w:topLinePunct w:val="0"/>
        <w:bidi w:val="0"/>
        <w:adjustRightInd/>
        <w:snapToGrid/>
        <w:spacing w:line="360" w:lineRule="auto"/>
        <w:ind w:left="1807" w:hanging="1807" w:hangingChars="600"/>
        <w:jc w:val="left"/>
        <w:textAlignment w:val="auto"/>
        <w:rPr>
          <w:rFonts w:hint="eastAsia" w:ascii="宋体" w:hAnsi="宋体" w:eastAsia="宋体" w:cs="宋体"/>
          <w:b/>
          <w:bCs/>
          <w:color w:val="auto"/>
          <w:sz w:val="30"/>
          <w:szCs w:val="30"/>
        </w:rPr>
      </w:pPr>
      <w:r>
        <w:rPr>
          <w:rFonts w:hint="eastAsia" w:ascii="宋体" w:hAnsi="宋体" w:eastAsia="宋体" w:cs="宋体"/>
          <w:b/>
          <w:bCs/>
          <w:color w:val="auto"/>
          <w:sz w:val="30"/>
          <w:szCs w:val="30"/>
          <w:lang w:val="zh-CN"/>
        </w:rPr>
        <w:t>采购项目名称：</w:t>
      </w:r>
      <w:r>
        <w:rPr>
          <w:rFonts w:hint="eastAsia" w:ascii="宋体" w:hAnsi="宋体" w:eastAsia="宋体" w:cs="宋体"/>
          <w:b/>
          <w:bCs/>
          <w:color w:val="auto"/>
          <w:sz w:val="30"/>
          <w:szCs w:val="30"/>
          <w:u w:val="single"/>
          <w:lang w:val="zh-CN" w:eastAsia="zh-CN"/>
        </w:rPr>
        <w:t>网络与数据安全服务运维项目-安全设备维保服务项目</w:t>
      </w:r>
    </w:p>
    <w:p w14:paraId="23B75B6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zh-CN"/>
        </w:rPr>
        <w:t>采购合同编号：</w:t>
      </w:r>
      <w:r>
        <w:rPr>
          <w:rFonts w:hint="eastAsia" w:ascii="宋体" w:hAnsi="宋体" w:eastAsia="宋体" w:cs="宋体"/>
          <w:b/>
          <w:bCs/>
          <w:color w:val="auto"/>
          <w:sz w:val="30"/>
          <w:szCs w:val="30"/>
          <w:u w:val="single"/>
          <w:lang w:val="en-US" w:eastAsia="zh-CN"/>
        </w:rPr>
        <w:t>DZZB-</w:t>
      </w:r>
      <w:r>
        <w:rPr>
          <w:rFonts w:hint="eastAsia" w:ascii="宋体" w:hAnsi="宋体" w:eastAsia="宋体" w:cs="宋体"/>
          <w:b/>
          <w:bCs/>
          <w:color w:val="auto"/>
          <w:sz w:val="30"/>
          <w:szCs w:val="30"/>
          <w:u w:val="single"/>
          <w:lang w:val="zh-CN"/>
        </w:rPr>
        <w:t>2025-028</w:t>
      </w:r>
    </w:p>
    <w:p w14:paraId="315FFE3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30"/>
          <w:szCs w:val="30"/>
          <w:u w:val="single"/>
          <w:lang w:val="en-US" w:eastAsia="zh-CN"/>
        </w:rPr>
      </w:pPr>
      <w:r>
        <w:rPr>
          <w:rFonts w:hint="eastAsia" w:ascii="宋体" w:hAnsi="宋体" w:eastAsia="宋体" w:cs="宋体"/>
          <w:b/>
          <w:bCs/>
          <w:color w:val="auto"/>
          <w:sz w:val="30"/>
          <w:szCs w:val="30"/>
          <w:lang w:val="zh-CN"/>
        </w:rPr>
        <w:t>合同金额（人民币）：</w:t>
      </w:r>
      <w:r>
        <w:rPr>
          <w:rFonts w:hint="eastAsia" w:ascii="宋体" w:hAnsi="宋体" w:eastAsia="宋体" w:cs="宋体"/>
          <w:b/>
          <w:bCs/>
          <w:color w:val="auto"/>
          <w:sz w:val="30"/>
          <w:szCs w:val="30"/>
          <w:u w:val="single"/>
          <w:lang w:val="en-US" w:eastAsia="zh-CN"/>
        </w:rPr>
        <w:t xml:space="preserve">                      </w:t>
      </w:r>
    </w:p>
    <w:p w14:paraId="565C537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30"/>
          <w:szCs w:val="30"/>
        </w:rPr>
      </w:pPr>
      <w:r>
        <w:rPr>
          <w:rFonts w:hint="eastAsia" w:ascii="宋体" w:hAnsi="宋体" w:eastAsia="宋体" w:cs="宋体"/>
          <w:b/>
          <w:bCs/>
          <w:color w:val="auto"/>
          <w:sz w:val="30"/>
          <w:szCs w:val="30"/>
          <w:lang w:val="zh-CN"/>
        </w:rPr>
        <w:t>采购人（甲方）：</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lang w:val="zh-CN"/>
        </w:rPr>
        <w:t>（盖章）</w:t>
      </w:r>
    </w:p>
    <w:p w14:paraId="47BFD5C0">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30"/>
          <w:szCs w:val="30"/>
        </w:rPr>
      </w:pPr>
      <w:r>
        <w:rPr>
          <w:rFonts w:hint="eastAsia" w:ascii="宋体" w:hAnsi="宋体" w:eastAsia="宋体" w:cs="宋体"/>
          <w:b/>
          <w:bCs/>
          <w:color w:val="auto"/>
          <w:sz w:val="30"/>
          <w:szCs w:val="30"/>
          <w:lang w:val="zh-CN"/>
        </w:rPr>
        <w:t>供应商（乙方）：</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lang w:val="zh-CN"/>
        </w:rPr>
        <w:t>（盖章）</w:t>
      </w:r>
    </w:p>
    <w:p w14:paraId="389307F5">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30"/>
          <w:szCs w:val="30"/>
          <w:u w:val="single"/>
          <w:lang w:val="en-US" w:eastAsia="zh-CN"/>
        </w:rPr>
      </w:pPr>
      <w:r>
        <w:rPr>
          <w:rFonts w:hint="eastAsia" w:ascii="宋体" w:hAnsi="宋体" w:eastAsia="宋体" w:cs="宋体"/>
          <w:b/>
          <w:bCs/>
          <w:color w:val="auto"/>
          <w:sz w:val="30"/>
          <w:szCs w:val="30"/>
          <w:lang w:val="zh-CN"/>
        </w:rPr>
        <w:t>采购日期：</w:t>
      </w:r>
      <w:r>
        <w:rPr>
          <w:rFonts w:hint="eastAsia" w:ascii="宋体" w:hAnsi="宋体" w:eastAsia="宋体" w:cs="宋体"/>
          <w:b/>
          <w:bCs/>
          <w:color w:val="auto"/>
          <w:sz w:val="30"/>
          <w:szCs w:val="30"/>
          <w:u w:val="single"/>
          <w:lang w:val="en-US" w:eastAsia="zh-CN"/>
        </w:rPr>
        <w:t xml:space="preserve">                             </w:t>
      </w:r>
    </w:p>
    <w:p w14:paraId="10773562">
      <w:pPr>
        <w:spacing w:line="360" w:lineRule="auto"/>
        <w:ind w:left="0" w:leftChars="0" w:firstLine="0" w:firstLineChars="0"/>
        <w:rPr>
          <w:rFonts w:hint="eastAsia" w:ascii="宋体" w:hAnsi="宋体" w:eastAsia="宋体" w:cs="宋体"/>
          <w:color w:val="auto"/>
          <w:sz w:val="24"/>
          <w:szCs w:val="24"/>
        </w:rPr>
      </w:pPr>
    </w:p>
    <w:p w14:paraId="60D8C360">
      <w:pPr>
        <w:spacing w:line="360" w:lineRule="auto"/>
        <w:ind w:left="0" w:leftChars="0" w:firstLine="0" w:firstLineChars="0"/>
        <w:rPr>
          <w:rFonts w:hint="eastAsia" w:ascii="宋体" w:hAnsi="宋体" w:eastAsia="宋体" w:cs="宋体"/>
          <w:color w:val="auto"/>
          <w:sz w:val="24"/>
          <w:szCs w:val="24"/>
        </w:rPr>
      </w:pPr>
    </w:p>
    <w:p w14:paraId="15FAB1C8">
      <w:pPr>
        <w:spacing w:line="360" w:lineRule="auto"/>
        <w:ind w:left="0" w:leftChars="0" w:firstLine="0" w:firstLineChars="0"/>
        <w:rPr>
          <w:rFonts w:hint="eastAsia" w:ascii="宋体" w:hAnsi="宋体" w:eastAsia="宋体" w:cs="宋体"/>
          <w:color w:val="auto"/>
          <w:sz w:val="24"/>
          <w:szCs w:val="24"/>
        </w:rPr>
      </w:pPr>
    </w:p>
    <w:p w14:paraId="437A5A2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宋体" w:hAnsi="宋体" w:eastAsia="宋体" w:cs="宋体"/>
          <w:b/>
          <w:bCs/>
          <w:color w:val="auto"/>
          <w:sz w:val="28"/>
          <w:szCs w:val="28"/>
        </w:rPr>
      </w:pPr>
      <w:r>
        <w:rPr>
          <w:rFonts w:hint="eastAsia" w:ascii="宋体" w:hAnsi="宋体" w:eastAsia="宋体" w:cs="宋体"/>
          <w:color w:val="auto"/>
          <w:sz w:val="28"/>
          <w:szCs w:val="28"/>
        </w:rPr>
        <w:br w:type="page"/>
      </w:r>
      <w:r>
        <w:rPr>
          <w:rFonts w:hint="eastAsia" w:ascii="宋体" w:hAnsi="宋体" w:eastAsia="宋体" w:cs="宋体"/>
          <w:b/>
          <w:bCs/>
          <w:color w:val="auto"/>
          <w:sz w:val="28"/>
          <w:szCs w:val="28"/>
          <w:lang w:val="zh-CN"/>
        </w:rPr>
        <w:t>采购人（以下简称甲方）：</w:t>
      </w:r>
    </w:p>
    <w:p w14:paraId="2369A77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lang w:val="zh-CN"/>
        </w:rPr>
        <w:t>供应商（以下简称乙方）：</w:t>
      </w:r>
    </w:p>
    <w:p w14:paraId="6A1C2F30">
      <w:pPr>
        <w:pStyle w:val="46"/>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甲、乙双方根据</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lang w:val="zh-CN" w:eastAsia="zh-CN"/>
        </w:rPr>
        <w:t>网络与数据安全服务运维项目-安全设备维保服务项目</w:t>
      </w:r>
      <w:r>
        <w:rPr>
          <w:rFonts w:hint="eastAsia" w:ascii="宋体" w:hAnsi="宋体" w:eastAsia="宋体" w:cs="宋体"/>
          <w:color w:val="auto"/>
          <w:sz w:val="24"/>
          <w:szCs w:val="24"/>
          <w:lang w:val="zh-CN"/>
        </w:rPr>
        <w:t>”（项目编号：</w:t>
      </w:r>
      <w:r>
        <w:rPr>
          <w:rFonts w:hint="eastAsia" w:ascii="宋体" w:hAnsi="宋体" w:eastAsia="宋体" w:cs="宋体"/>
          <w:color w:val="auto"/>
          <w:sz w:val="24"/>
          <w:szCs w:val="24"/>
          <w:lang w:val="zh-CN" w:eastAsia="zh-CN"/>
        </w:rPr>
        <w:t>DZZB-2025-028</w:t>
      </w:r>
      <w:r>
        <w:rPr>
          <w:rFonts w:hint="eastAsia" w:ascii="宋体" w:hAnsi="宋体" w:eastAsia="宋体" w:cs="宋体"/>
          <w:color w:val="auto"/>
          <w:sz w:val="24"/>
          <w:szCs w:val="24"/>
          <w:lang w:val="zh-CN"/>
        </w:rPr>
        <w:t>）的谈判文件要求和青海鼎钊招标代理有限公司出具的《成交通知书》，并经双方协商一致，签订本合同协议书。</w:t>
      </w:r>
    </w:p>
    <w:p w14:paraId="4CB911D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一、签订本采购合同的依据</w:t>
      </w:r>
    </w:p>
    <w:p w14:paraId="7B881B0F">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本采购合同所附下列文件是构成本采购合同不可分割的部分：</w:t>
      </w:r>
    </w:p>
    <w:p w14:paraId="212D04A5">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1.谈判文件；</w:t>
      </w:r>
    </w:p>
    <w:p w14:paraId="696E5052">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2.谈判文件的更正、变更公告；</w:t>
      </w:r>
    </w:p>
    <w:p w14:paraId="04563361">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val="zh-CN"/>
        </w:rPr>
        <w:t>提交的响应文件；</w:t>
      </w:r>
    </w:p>
    <w:p w14:paraId="1A8075AF">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成交通知书；</w:t>
      </w:r>
    </w:p>
    <w:p w14:paraId="33A4D1D3">
      <w:pPr>
        <w:autoSpaceDE w:val="0"/>
        <w:autoSpaceDN w:val="0"/>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5.履约保证金凭证。</w:t>
      </w:r>
    </w:p>
    <w:p w14:paraId="7CC1DC6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b/>
          <w:color w:val="auto"/>
          <w:kern w:val="0"/>
          <w:sz w:val="24"/>
          <w:szCs w:val="24"/>
          <w:lang w:val="en-US" w:eastAsia="zh-CN" w:bidi="ar"/>
        </w:rPr>
        <w:t>二、</w:t>
      </w:r>
      <w:r>
        <w:rPr>
          <w:rFonts w:hint="eastAsia" w:ascii="宋体" w:hAnsi="宋体" w:eastAsia="宋体" w:cs="宋体"/>
          <w:b/>
          <w:bCs/>
          <w:color w:val="auto"/>
          <w:sz w:val="24"/>
          <w:szCs w:val="24"/>
          <w:lang w:val="zh-CN"/>
        </w:rPr>
        <w:t>合同标的及金额</w:t>
      </w:r>
      <w:r>
        <w:rPr>
          <w:rFonts w:hint="eastAsia" w:ascii="宋体" w:hAnsi="宋体" w:eastAsia="宋体" w:cs="宋体"/>
          <w:color w:val="auto"/>
          <w:sz w:val="24"/>
          <w:szCs w:val="24"/>
          <w:lang w:val="zh-CN"/>
        </w:rPr>
        <w:t xml:space="preserve">                                       单位：元</w:t>
      </w:r>
    </w:p>
    <w:tbl>
      <w:tblPr>
        <w:tblStyle w:val="19"/>
        <w:tblW w:w="9000" w:type="dxa"/>
        <w:jc w:val="center"/>
        <w:tblLayout w:type="fixed"/>
        <w:tblCellMar>
          <w:top w:w="0" w:type="dxa"/>
          <w:left w:w="57" w:type="dxa"/>
          <w:bottom w:w="0" w:type="dxa"/>
          <w:right w:w="57" w:type="dxa"/>
        </w:tblCellMar>
      </w:tblPr>
      <w:tblGrid>
        <w:gridCol w:w="1006"/>
        <w:gridCol w:w="1856"/>
        <w:gridCol w:w="1128"/>
        <w:gridCol w:w="1129"/>
        <w:gridCol w:w="1314"/>
        <w:gridCol w:w="1357"/>
        <w:gridCol w:w="1210"/>
      </w:tblGrid>
      <w:tr w14:paraId="59DBC218">
        <w:tblPrEx>
          <w:tblCellMar>
            <w:top w:w="0" w:type="dxa"/>
            <w:left w:w="57" w:type="dxa"/>
            <w:bottom w:w="0" w:type="dxa"/>
            <w:right w:w="57" w:type="dxa"/>
          </w:tblCellMar>
        </w:tblPrEx>
        <w:trPr>
          <w:cantSplit/>
          <w:trHeight w:val="23"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14:paraId="52A965D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856" w:type="dxa"/>
            <w:tcBorders>
              <w:top w:val="single" w:color="auto" w:sz="4" w:space="0"/>
              <w:left w:val="single" w:color="auto" w:sz="4" w:space="0"/>
              <w:bottom w:val="single" w:color="auto" w:sz="4" w:space="0"/>
              <w:right w:val="single" w:color="auto" w:sz="4" w:space="0"/>
            </w:tcBorders>
            <w:vAlign w:val="center"/>
          </w:tcPr>
          <w:p w14:paraId="2D1B3C9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服务内容</w:t>
            </w:r>
          </w:p>
        </w:tc>
        <w:tc>
          <w:tcPr>
            <w:tcW w:w="1128" w:type="dxa"/>
            <w:tcBorders>
              <w:top w:val="single" w:color="auto" w:sz="4" w:space="0"/>
              <w:left w:val="single" w:color="auto" w:sz="4" w:space="0"/>
              <w:bottom w:val="single" w:color="auto" w:sz="4" w:space="0"/>
              <w:right w:val="single" w:color="auto" w:sz="4" w:space="0"/>
            </w:tcBorders>
            <w:vAlign w:val="center"/>
          </w:tcPr>
          <w:p w14:paraId="7090658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数量</w:t>
            </w:r>
          </w:p>
        </w:tc>
        <w:tc>
          <w:tcPr>
            <w:tcW w:w="1129" w:type="dxa"/>
            <w:tcBorders>
              <w:top w:val="single" w:color="auto" w:sz="4" w:space="0"/>
              <w:left w:val="single" w:color="auto" w:sz="4" w:space="0"/>
              <w:bottom w:val="single" w:color="auto" w:sz="4" w:space="0"/>
              <w:right w:val="single" w:color="auto" w:sz="4" w:space="0"/>
            </w:tcBorders>
            <w:vAlign w:val="center"/>
          </w:tcPr>
          <w:p w14:paraId="69CA99F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单位</w:t>
            </w:r>
          </w:p>
        </w:tc>
        <w:tc>
          <w:tcPr>
            <w:tcW w:w="1314" w:type="dxa"/>
            <w:tcBorders>
              <w:top w:val="single" w:color="auto" w:sz="4" w:space="0"/>
              <w:left w:val="single" w:color="auto" w:sz="4" w:space="0"/>
              <w:bottom w:val="single" w:color="auto" w:sz="4" w:space="0"/>
              <w:right w:val="single" w:color="auto" w:sz="4" w:space="0"/>
            </w:tcBorders>
            <w:vAlign w:val="center"/>
          </w:tcPr>
          <w:p w14:paraId="6B6AA11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单价</w:t>
            </w:r>
          </w:p>
        </w:tc>
        <w:tc>
          <w:tcPr>
            <w:tcW w:w="1357" w:type="dxa"/>
            <w:tcBorders>
              <w:top w:val="single" w:color="auto" w:sz="4" w:space="0"/>
              <w:left w:val="single" w:color="auto" w:sz="4" w:space="0"/>
              <w:bottom w:val="single" w:color="auto" w:sz="4" w:space="0"/>
              <w:right w:val="single" w:color="auto" w:sz="4" w:space="0"/>
            </w:tcBorders>
            <w:vAlign w:val="center"/>
          </w:tcPr>
          <w:p w14:paraId="671522E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合计</w:t>
            </w:r>
          </w:p>
        </w:tc>
        <w:tc>
          <w:tcPr>
            <w:tcW w:w="1210" w:type="dxa"/>
            <w:tcBorders>
              <w:top w:val="single" w:color="auto" w:sz="4" w:space="0"/>
              <w:left w:val="single" w:color="auto" w:sz="4" w:space="0"/>
              <w:bottom w:val="single" w:color="auto" w:sz="4" w:space="0"/>
              <w:right w:val="single" w:color="auto" w:sz="4" w:space="0"/>
            </w:tcBorders>
            <w:vAlign w:val="center"/>
          </w:tcPr>
          <w:p w14:paraId="631928F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备注</w:t>
            </w:r>
          </w:p>
        </w:tc>
      </w:tr>
      <w:tr w14:paraId="30ED6472">
        <w:tblPrEx>
          <w:tblCellMar>
            <w:top w:w="0" w:type="dxa"/>
            <w:left w:w="57" w:type="dxa"/>
            <w:bottom w:w="0" w:type="dxa"/>
            <w:right w:w="57" w:type="dxa"/>
          </w:tblCellMar>
        </w:tblPrEx>
        <w:trPr>
          <w:cantSplit/>
          <w:trHeight w:val="23"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14:paraId="7E74DE4B">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856" w:type="dxa"/>
            <w:tcBorders>
              <w:top w:val="single" w:color="auto" w:sz="4" w:space="0"/>
              <w:left w:val="single" w:color="auto" w:sz="4" w:space="0"/>
              <w:bottom w:val="single" w:color="auto" w:sz="4" w:space="0"/>
              <w:right w:val="single" w:color="auto" w:sz="4" w:space="0"/>
            </w:tcBorders>
            <w:vAlign w:val="center"/>
          </w:tcPr>
          <w:p w14:paraId="0834B52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128" w:type="dxa"/>
            <w:tcBorders>
              <w:top w:val="single" w:color="auto" w:sz="4" w:space="0"/>
              <w:left w:val="single" w:color="auto" w:sz="4" w:space="0"/>
              <w:bottom w:val="single" w:color="auto" w:sz="4" w:space="0"/>
              <w:right w:val="single" w:color="auto" w:sz="4" w:space="0"/>
            </w:tcBorders>
            <w:vAlign w:val="center"/>
          </w:tcPr>
          <w:p w14:paraId="4CD36A5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129" w:type="dxa"/>
            <w:tcBorders>
              <w:top w:val="single" w:color="auto" w:sz="4" w:space="0"/>
              <w:left w:val="single" w:color="auto" w:sz="4" w:space="0"/>
              <w:bottom w:val="single" w:color="auto" w:sz="4" w:space="0"/>
              <w:right w:val="single" w:color="auto" w:sz="4" w:space="0"/>
            </w:tcBorders>
            <w:vAlign w:val="center"/>
          </w:tcPr>
          <w:p w14:paraId="37F038F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314" w:type="dxa"/>
            <w:tcBorders>
              <w:top w:val="single" w:color="auto" w:sz="4" w:space="0"/>
              <w:left w:val="single" w:color="auto" w:sz="4" w:space="0"/>
              <w:bottom w:val="single" w:color="auto" w:sz="4" w:space="0"/>
              <w:right w:val="single" w:color="auto" w:sz="4" w:space="0"/>
            </w:tcBorders>
            <w:vAlign w:val="center"/>
          </w:tcPr>
          <w:p w14:paraId="246BA44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357" w:type="dxa"/>
            <w:tcBorders>
              <w:top w:val="single" w:color="auto" w:sz="4" w:space="0"/>
              <w:left w:val="single" w:color="auto" w:sz="4" w:space="0"/>
              <w:bottom w:val="single" w:color="auto" w:sz="4" w:space="0"/>
              <w:right w:val="single" w:color="auto" w:sz="4" w:space="0"/>
            </w:tcBorders>
            <w:vAlign w:val="center"/>
          </w:tcPr>
          <w:p w14:paraId="2611867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210" w:type="dxa"/>
            <w:tcBorders>
              <w:top w:val="single" w:color="auto" w:sz="4" w:space="0"/>
              <w:left w:val="single" w:color="auto" w:sz="4" w:space="0"/>
              <w:bottom w:val="single" w:color="auto" w:sz="4" w:space="0"/>
              <w:right w:val="single" w:color="auto" w:sz="4" w:space="0"/>
            </w:tcBorders>
            <w:vAlign w:val="center"/>
          </w:tcPr>
          <w:p w14:paraId="3C8971B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r>
      <w:tr w14:paraId="690E0B9D">
        <w:tblPrEx>
          <w:tblCellMar>
            <w:top w:w="0" w:type="dxa"/>
            <w:left w:w="57" w:type="dxa"/>
            <w:bottom w:w="0" w:type="dxa"/>
            <w:right w:w="57" w:type="dxa"/>
          </w:tblCellMar>
        </w:tblPrEx>
        <w:trPr>
          <w:cantSplit/>
          <w:trHeight w:val="23"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14:paraId="401B2DF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856" w:type="dxa"/>
            <w:tcBorders>
              <w:top w:val="single" w:color="auto" w:sz="4" w:space="0"/>
              <w:left w:val="single" w:color="auto" w:sz="4" w:space="0"/>
              <w:bottom w:val="single" w:color="auto" w:sz="4" w:space="0"/>
              <w:right w:val="single" w:color="auto" w:sz="4" w:space="0"/>
            </w:tcBorders>
            <w:vAlign w:val="center"/>
          </w:tcPr>
          <w:p w14:paraId="06D60DF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128" w:type="dxa"/>
            <w:tcBorders>
              <w:top w:val="single" w:color="auto" w:sz="4" w:space="0"/>
              <w:left w:val="single" w:color="auto" w:sz="4" w:space="0"/>
              <w:bottom w:val="single" w:color="auto" w:sz="4" w:space="0"/>
              <w:right w:val="single" w:color="auto" w:sz="4" w:space="0"/>
            </w:tcBorders>
            <w:vAlign w:val="center"/>
          </w:tcPr>
          <w:p w14:paraId="5946BF7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129" w:type="dxa"/>
            <w:tcBorders>
              <w:top w:val="single" w:color="auto" w:sz="4" w:space="0"/>
              <w:left w:val="single" w:color="auto" w:sz="4" w:space="0"/>
              <w:bottom w:val="single" w:color="auto" w:sz="4" w:space="0"/>
              <w:right w:val="single" w:color="auto" w:sz="4" w:space="0"/>
            </w:tcBorders>
            <w:vAlign w:val="center"/>
          </w:tcPr>
          <w:p w14:paraId="3FFDB78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314" w:type="dxa"/>
            <w:tcBorders>
              <w:top w:val="single" w:color="auto" w:sz="4" w:space="0"/>
              <w:left w:val="single" w:color="auto" w:sz="4" w:space="0"/>
              <w:bottom w:val="single" w:color="auto" w:sz="4" w:space="0"/>
              <w:right w:val="single" w:color="auto" w:sz="4" w:space="0"/>
            </w:tcBorders>
            <w:vAlign w:val="center"/>
          </w:tcPr>
          <w:p w14:paraId="3F9A60F5">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357" w:type="dxa"/>
            <w:tcBorders>
              <w:top w:val="single" w:color="auto" w:sz="4" w:space="0"/>
              <w:left w:val="single" w:color="auto" w:sz="4" w:space="0"/>
              <w:bottom w:val="single" w:color="auto" w:sz="4" w:space="0"/>
              <w:right w:val="single" w:color="auto" w:sz="4" w:space="0"/>
            </w:tcBorders>
            <w:vAlign w:val="center"/>
          </w:tcPr>
          <w:p w14:paraId="282F3F6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210" w:type="dxa"/>
            <w:tcBorders>
              <w:top w:val="single" w:color="auto" w:sz="4" w:space="0"/>
              <w:left w:val="single" w:color="auto" w:sz="4" w:space="0"/>
              <w:bottom w:val="single" w:color="auto" w:sz="4" w:space="0"/>
              <w:right w:val="single" w:color="auto" w:sz="4" w:space="0"/>
            </w:tcBorders>
            <w:vAlign w:val="center"/>
          </w:tcPr>
          <w:p w14:paraId="6B815E1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r>
      <w:tr w14:paraId="31C13199">
        <w:tblPrEx>
          <w:tblCellMar>
            <w:top w:w="0" w:type="dxa"/>
            <w:left w:w="57" w:type="dxa"/>
            <w:bottom w:w="0" w:type="dxa"/>
            <w:right w:w="57" w:type="dxa"/>
          </w:tblCellMar>
        </w:tblPrEx>
        <w:trPr>
          <w:cantSplit/>
          <w:trHeight w:val="23"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14:paraId="3FC14FF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856" w:type="dxa"/>
            <w:tcBorders>
              <w:top w:val="single" w:color="auto" w:sz="4" w:space="0"/>
              <w:left w:val="single" w:color="auto" w:sz="4" w:space="0"/>
              <w:bottom w:val="single" w:color="auto" w:sz="4" w:space="0"/>
              <w:right w:val="single" w:color="auto" w:sz="4" w:space="0"/>
            </w:tcBorders>
            <w:vAlign w:val="center"/>
          </w:tcPr>
          <w:p w14:paraId="5B5F35D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128" w:type="dxa"/>
            <w:tcBorders>
              <w:top w:val="single" w:color="auto" w:sz="4" w:space="0"/>
              <w:left w:val="single" w:color="auto" w:sz="4" w:space="0"/>
              <w:bottom w:val="single" w:color="auto" w:sz="4" w:space="0"/>
              <w:right w:val="single" w:color="auto" w:sz="4" w:space="0"/>
            </w:tcBorders>
            <w:vAlign w:val="center"/>
          </w:tcPr>
          <w:p w14:paraId="566EB83C">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129" w:type="dxa"/>
            <w:tcBorders>
              <w:top w:val="single" w:color="auto" w:sz="4" w:space="0"/>
              <w:left w:val="single" w:color="auto" w:sz="4" w:space="0"/>
              <w:bottom w:val="single" w:color="auto" w:sz="4" w:space="0"/>
              <w:right w:val="single" w:color="auto" w:sz="4" w:space="0"/>
            </w:tcBorders>
            <w:vAlign w:val="center"/>
          </w:tcPr>
          <w:p w14:paraId="2A5D089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314" w:type="dxa"/>
            <w:tcBorders>
              <w:top w:val="single" w:color="auto" w:sz="4" w:space="0"/>
              <w:left w:val="single" w:color="auto" w:sz="4" w:space="0"/>
              <w:bottom w:val="single" w:color="auto" w:sz="4" w:space="0"/>
              <w:right w:val="single" w:color="auto" w:sz="4" w:space="0"/>
            </w:tcBorders>
            <w:vAlign w:val="center"/>
          </w:tcPr>
          <w:p w14:paraId="2D881C6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357" w:type="dxa"/>
            <w:tcBorders>
              <w:top w:val="single" w:color="auto" w:sz="4" w:space="0"/>
              <w:left w:val="single" w:color="auto" w:sz="4" w:space="0"/>
              <w:bottom w:val="single" w:color="auto" w:sz="4" w:space="0"/>
              <w:right w:val="single" w:color="auto" w:sz="4" w:space="0"/>
            </w:tcBorders>
            <w:vAlign w:val="center"/>
          </w:tcPr>
          <w:p w14:paraId="5288CB2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210" w:type="dxa"/>
            <w:tcBorders>
              <w:top w:val="single" w:color="auto" w:sz="4" w:space="0"/>
              <w:left w:val="single" w:color="auto" w:sz="4" w:space="0"/>
              <w:bottom w:val="single" w:color="auto" w:sz="4" w:space="0"/>
              <w:right w:val="single" w:color="auto" w:sz="4" w:space="0"/>
            </w:tcBorders>
            <w:vAlign w:val="center"/>
          </w:tcPr>
          <w:p w14:paraId="5C6D168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r>
    </w:tbl>
    <w:p w14:paraId="57F4C3C6">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根据上述采购合同文件要求，本采购合同的总金额为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w:t>
      </w:r>
    </w:p>
    <w:p w14:paraId="30020765">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本合同以人民币进行结算，合同总价包括：</w:t>
      </w:r>
      <w:r>
        <w:rPr>
          <w:rFonts w:hint="eastAsia" w:ascii="宋体" w:hAnsi="宋体" w:eastAsia="宋体" w:cs="宋体"/>
          <w:bCs/>
          <w:color w:val="auto"/>
          <w:sz w:val="24"/>
          <w:szCs w:val="24"/>
          <w:lang w:eastAsia="zh-CN"/>
        </w:rPr>
        <w:t>维护费、检测费、保险费、代理服务费、税金及其他不可预见费等全部费用</w:t>
      </w:r>
      <w:r>
        <w:rPr>
          <w:rFonts w:hint="eastAsia" w:ascii="宋体" w:hAnsi="宋体" w:eastAsia="宋体" w:cs="宋体"/>
          <w:color w:val="auto"/>
          <w:sz w:val="24"/>
          <w:szCs w:val="24"/>
          <w:lang w:val="zh-CN"/>
        </w:rPr>
        <w:t>。</w:t>
      </w:r>
    </w:p>
    <w:p w14:paraId="25F872C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服务</w:t>
      </w:r>
      <w:r>
        <w:rPr>
          <w:rFonts w:hint="eastAsia" w:ascii="宋体" w:hAnsi="宋体" w:eastAsia="宋体" w:cs="宋体"/>
          <w:b/>
          <w:bCs/>
          <w:color w:val="auto"/>
          <w:sz w:val="24"/>
          <w:szCs w:val="24"/>
          <w:lang w:val="zh-CN"/>
        </w:rPr>
        <w:t>期限、地点和要求</w:t>
      </w:r>
    </w:p>
    <w:p w14:paraId="1AB4975A">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服务期限：</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lang w:val="zh-CN"/>
        </w:rPr>
        <w:t>服务地点：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w:t>
      </w:r>
    </w:p>
    <w:p w14:paraId="7BD26026">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乙方提供不符合</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lang w:val="zh-CN"/>
        </w:rPr>
        <w:t>、响应文件和本合同规定的产品（</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lang w:val="zh-CN"/>
        </w:rPr>
        <w:t>），甲方有权拒绝接受。</w:t>
      </w:r>
    </w:p>
    <w:p w14:paraId="4DDC4D32">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乙方应将提供产品（</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lang w:val="zh-CN"/>
        </w:rPr>
        <w:t>）的</w:t>
      </w:r>
      <w:r>
        <w:rPr>
          <w:rFonts w:hint="eastAsia" w:ascii="宋体" w:hAnsi="宋体" w:eastAsia="宋体" w:cs="宋体"/>
          <w:color w:val="auto"/>
          <w:sz w:val="24"/>
          <w:szCs w:val="24"/>
          <w:lang w:val="en-US" w:eastAsia="zh-CN"/>
        </w:rPr>
        <w:t>所有材料</w:t>
      </w:r>
      <w:r>
        <w:rPr>
          <w:rFonts w:hint="eastAsia" w:ascii="宋体" w:hAnsi="宋体" w:eastAsia="宋体" w:cs="宋体"/>
          <w:color w:val="auto"/>
          <w:sz w:val="24"/>
          <w:szCs w:val="24"/>
          <w:lang w:val="zh-CN"/>
        </w:rPr>
        <w:t>交付给甲方，如有缺失应及时补齐，否则视为逾期交货。</w:t>
      </w:r>
    </w:p>
    <w:p w14:paraId="16D0536D">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甲方应当在</w:t>
      </w:r>
      <w:r>
        <w:rPr>
          <w:rFonts w:hint="eastAsia" w:ascii="宋体" w:hAnsi="宋体" w:eastAsia="宋体" w:cs="宋体"/>
          <w:color w:val="auto"/>
          <w:sz w:val="24"/>
          <w:szCs w:val="24"/>
          <w:lang w:val="en-US" w:eastAsia="zh-CN"/>
        </w:rPr>
        <w:t>项目完成后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个工作日内进行验收，逾期不验收的，乙方可视为验收合格。验收合格后，由甲乙双方签署验收单并加盖采购人公章，甲乙双方各执一份。</w:t>
      </w:r>
    </w:p>
    <w:p w14:paraId="4DB1682E">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甲方在验收过程中发现乙方有违约问题，可按</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lang w:val="zh-CN"/>
        </w:rPr>
        <w:t>、响应文件的规定要求乙方及时予以解决。</w:t>
      </w:r>
    </w:p>
    <w:p w14:paraId="5252BA1D">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乙方向甲方提供产品相关完税销售发票。</w:t>
      </w:r>
    </w:p>
    <w:p w14:paraId="60E3E69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lang w:val="zh-CN"/>
        </w:rPr>
        <w:t>、付款方式</w:t>
      </w:r>
    </w:p>
    <w:p w14:paraId="7DA5B843">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具体付款方式、付款比例等事项在签订合同时由甲、乙双方自行约定。</w:t>
      </w:r>
    </w:p>
    <w:p w14:paraId="6D94DDB7">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履约保证金由甲、乙双方自行约定（若收取履约保证金的，需约定提交履约保证金形式、退还的方式、时间、条件和不与退还的情形，明确逾期退还履约保证金的违约责任，具体数额由甲、乙双方商定，但不得超出采购合同总金额的10%）。</w:t>
      </w:r>
    </w:p>
    <w:p w14:paraId="38DC555D">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eastAsia="zh-CN"/>
        </w:rPr>
        <w:t>五、</w:t>
      </w:r>
      <w:r>
        <w:rPr>
          <w:rFonts w:hint="eastAsia" w:ascii="宋体" w:hAnsi="宋体" w:eastAsia="宋体" w:cs="宋体"/>
          <w:b/>
          <w:bCs/>
          <w:color w:val="auto"/>
          <w:sz w:val="24"/>
          <w:szCs w:val="24"/>
          <w:lang w:val="zh-CN"/>
        </w:rPr>
        <w:t>甲方的权利和义务</w:t>
      </w:r>
    </w:p>
    <w:p w14:paraId="7C59575C">
      <w:pPr>
        <w:autoSpaceDE w:val="0"/>
        <w:autoSpaceDN w:val="0"/>
        <w:spacing w:line="360" w:lineRule="auto"/>
        <w:ind w:firstLine="48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1.签署合同后，甲方应确定项目负责人（或项目联系人），负责与本合同有关的事务。甲方有权对乙方的履约行为进行检查，并及时确认乙方提交的事项。甲方应当配合乙方完成相关项目实施工作。</w:t>
      </w:r>
    </w:p>
    <w:p w14:paraId="3C0686DF">
      <w:pPr>
        <w:autoSpaceDE w:val="0"/>
        <w:autoSpaceDN w:val="0"/>
        <w:spacing w:line="360" w:lineRule="auto"/>
        <w:ind w:firstLine="48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2.甲方有权要求乙方按时提交各阶段有关安排计划，并有权定期核对乙方提供货物数量、规格、质量等内容。甲方有权督促乙方工作并要求乙方更换不符合要求的货物。</w:t>
      </w:r>
    </w:p>
    <w:p w14:paraId="6DE7B9AB">
      <w:pPr>
        <w:autoSpaceDE w:val="0"/>
        <w:autoSpaceDN w:val="0"/>
        <w:spacing w:line="360" w:lineRule="auto"/>
        <w:ind w:firstLine="48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3.甲方有权要求乙方对缺陷部分予以修复，并按合同约定享有货物保修及其他合同约定的权利。</w:t>
      </w:r>
    </w:p>
    <w:p w14:paraId="5C29D7D5">
      <w:pPr>
        <w:autoSpaceDE w:val="0"/>
        <w:autoSpaceDN w:val="0"/>
        <w:spacing w:line="360" w:lineRule="auto"/>
        <w:ind w:firstLine="48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4.甲方应当按照合同约定及时对交付的货物进行验收，未在约定的期限内对乙方履约提出任何异议或者向乙方作出任何说明的，视为验收通过。</w:t>
      </w:r>
    </w:p>
    <w:p w14:paraId="6CD7E059">
      <w:pPr>
        <w:autoSpaceDE w:val="0"/>
        <w:autoSpaceDN w:val="0"/>
        <w:spacing w:line="360" w:lineRule="auto"/>
        <w:ind w:firstLine="48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5.甲方应当根据合同约定及时向乙方支付合同价款，不得以内部人员变更、履行内部付款流程等为由，拒绝或迟延支付。</w:t>
      </w:r>
    </w:p>
    <w:p w14:paraId="2899C461">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6.国家法律法规规定及合同约定应由甲方承担的其他义务和责任。</w:t>
      </w:r>
    </w:p>
    <w:p w14:paraId="50AD91A3">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eastAsia="zh-CN"/>
        </w:rPr>
        <w:t>六、</w:t>
      </w:r>
      <w:r>
        <w:rPr>
          <w:rFonts w:hint="eastAsia" w:ascii="宋体" w:hAnsi="宋体" w:eastAsia="宋体" w:cs="宋体"/>
          <w:b/>
          <w:bCs/>
          <w:color w:val="auto"/>
          <w:sz w:val="24"/>
          <w:szCs w:val="24"/>
          <w:lang w:val="zh-CN"/>
        </w:rPr>
        <w:t>乙方的权利和义务</w:t>
      </w:r>
    </w:p>
    <w:p w14:paraId="64303824">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1.</w:t>
      </w:r>
      <w:r>
        <w:rPr>
          <w:rFonts w:hint="eastAsia" w:ascii="宋体" w:hAnsi="宋体" w:eastAsia="宋体" w:cs="宋体"/>
          <w:color w:val="auto"/>
          <w:sz w:val="24"/>
          <w:szCs w:val="24"/>
          <w:lang w:val="zh-CN"/>
        </w:rPr>
        <w:t>签署合同后，乙方</w:t>
      </w:r>
      <w:r>
        <w:rPr>
          <w:rFonts w:hint="eastAsia" w:ascii="宋体" w:hAnsi="宋体" w:eastAsia="宋体" w:cs="宋体"/>
          <w:color w:val="auto"/>
          <w:sz w:val="24"/>
          <w:szCs w:val="24"/>
          <w:lang w:val="zh-CN" w:eastAsia="zh-CN"/>
        </w:rPr>
        <w:t>应</w:t>
      </w:r>
      <w:r>
        <w:rPr>
          <w:rFonts w:hint="eastAsia" w:ascii="宋体" w:hAnsi="宋体" w:eastAsia="宋体" w:cs="宋体"/>
          <w:color w:val="auto"/>
          <w:sz w:val="24"/>
          <w:szCs w:val="24"/>
          <w:lang w:val="zh-CN"/>
        </w:rPr>
        <w:t>确定</w:t>
      </w:r>
      <w:r>
        <w:rPr>
          <w:rFonts w:hint="eastAsia" w:ascii="宋体" w:hAnsi="宋体" w:eastAsia="宋体" w:cs="宋体"/>
          <w:color w:val="auto"/>
          <w:sz w:val="24"/>
          <w:szCs w:val="24"/>
          <w:lang w:val="zh-CN" w:eastAsia="zh-CN"/>
        </w:rPr>
        <w:t>项目负责人（或项目联系人）</w:t>
      </w:r>
      <w:r>
        <w:rPr>
          <w:rFonts w:hint="eastAsia" w:ascii="宋体" w:hAnsi="宋体" w:eastAsia="宋体" w:cs="宋体"/>
          <w:color w:val="auto"/>
          <w:sz w:val="24"/>
          <w:szCs w:val="24"/>
          <w:lang w:val="zh-CN"/>
        </w:rPr>
        <w:t>，负责与本合同有关的事务。</w:t>
      </w:r>
    </w:p>
    <w:p w14:paraId="06BE90D6">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2.</w:t>
      </w:r>
      <w:r>
        <w:rPr>
          <w:rFonts w:hint="eastAsia" w:ascii="宋体" w:hAnsi="宋体" w:eastAsia="宋体" w:cs="宋体"/>
          <w:color w:val="auto"/>
          <w:sz w:val="24"/>
          <w:szCs w:val="24"/>
          <w:lang w:val="zh-CN"/>
        </w:rPr>
        <w:t>乙方应按照合同要求履约，充分合理安排，确保提供的货物</w:t>
      </w:r>
      <w:r>
        <w:rPr>
          <w:rFonts w:hint="eastAsia" w:ascii="宋体" w:hAnsi="宋体" w:eastAsia="宋体" w:cs="宋体"/>
          <w:color w:val="auto"/>
          <w:sz w:val="24"/>
          <w:szCs w:val="24"/>
          <w:lang w:val="zh-CN" w:eastAsia="zh-CN"/>
        </w:rPr>
        <w:t>及相关</w:t>
      </w:r>
      <w:r>
        <w:rPr>
          <w:rFonts w:hint="eastAsia" w:ascii="宋体" w:hAnsi="宋体" w:eastAsia="宋体" w:cs="宋体"/>
          <w:color w:val="auto"/>
          <w:sz w:val="24"/>
          <w:szCs w:val="24"/>
          <w:lang w:val="zh-CN"/>
        </w:rPr>
        <w:t>服务符合合同</w:t>
      </w:r>
      <w:r>
        <w:rPr>
          <w:rFonts w:hint="eastAsia" w:ascii="宋体" w:hAnsi="宋体" w:eastAsia="宋体" w:cs="宋体"/>
          <w:color w:val="auto"/>
          <w:sz w:val="24"/>
          <w:szCs w:val="24"/>
          <w:lang w:val="zh-CN" w:eastAsia="zh-CN"/>
        </w:rPr>
        <w:t>有关</w:t>
      </w:r>
      <w:r>
        <w:rPr>
          <w:rFonts w:hint="eastAsia" w:ascii="宋体" w:hAnsi="宋体" w:eastAsia="宋体" w:cs="宋体"/>
          <w:color w:val="auto"/>
          <w:sz w:val="24"/>
          <w:szCs w:val="24"/>
          <w:lang w:val="zh-CN"/>
        </w:rPr>
        <w:t>要求。接受项目行业管理部门及政府有关部门的指导，配合甲方的履约检查</w:t>
      </w:r>
      <w:r>
        <w:rPr>
          <w:rFonts w:hint="eastAsia" w:ascii="宋体" w:hAnsi="宋体" w:eastAsia="宋体" w:cs="宋体"/>
          <w:color w:val="auto"/>
          <w:sz w:val="24"/>
          <w:szCs w:val="24"/>
          <w:lang w:val="zh-CN" w:eastAsia="zh-CN"/>
        </w:rPr>
        <w:t>及验收</w:t>
      </w:r>
      <w:r>
        <w:rPr>
          <w:rFonts w:hint="eastAsia" w:ascii="宋体" w:hAnsi="宋体" w:eastAsia="宋体" w:cs="宋体"/>
          <w:color w:val="auto"/>
          <w:sz w:val="24"/>
          <w:szCs w:val="24"/>
          <w:lang w:val="zh-CN"/>
        </w:rPr>
        <w:t>，并负责项目实施过程中的所有协调工作。</w:t>
      </w:r>
    </w:p>
    <w:p w14:paraId="43782F4B">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3.</w:t>
      </w:r>
      <w:r>
        <w:rPr>
          <w:rFonts w:hint="eastAsia" w:ascii="宋体" w:hAnsi="宋体" w:eastAsia="宋体" w:cs="宋体"/>
          <w:color w:val="auto"/>
          <w:sz w:val="24"/>
          <w:szCs w:val="24"/>
          <w:lang w:val="zh-CN"/>
        </w:rPr>
        <w:t>乙方有权根据合同约定向甲方收取</w:t>
      </w:r>
      <w:r>
        <w:rPr>
          <w:rFonts w:hint="eastAsia" w:ascii="宋体" w:hAnsi="宋体" w:eastAsia="宋体" w:cs="宋体"/>
          <w:color w:val="auto"/>
          <w:sz w:val="24"/>
          <w:szCs w:val="24"/>
          <w:lang w:val="zh-CN" w:eastAsia="zh-CN"/>
        </w:rPr>
        <w:t>合同价款</w:t>
      </w:r>
      <w:r>
        <w:rPr>
          <w:rFonts w:hint="eastAsia" w:ascii="宋体" w:hAnsi="宋体" w:eastAsia="宋体" w:cs="宋体"/>
          <w:color w:val="auto"/>
          <w:sz w:val="24"/>
          <w:szCs w:val="24"/>
          <w:lang w:val="zh-CN"/>
        </w:rPr>
        <w:t>。</w:t>
      </w:r>
    </w:p>
    <w:p w14:paraId="1081EDDF">
      <w:pPr>
        <w:autoSpaceDE w:val="0"/>
        <w:autoSpaceDN w:val="0"/>
        <w:spacing w:line="360" w:lineRule="auto"/>
        <w:ind w:firstLine="48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4.</w:t>
      </w:r>
      <w:r>
        <w:rPr>
          <w:rFonts w:hint="eastAsia" w:ascii="宋体" w:hAnsi="宋体" w:eastAsia="宋体" w:cs="宋体"/>
          <w:color w:val="auto"/>
          <w:sz w:val="24"/>
          <w:szCs w:val="24"/>
          <w:lang w:val="zh-CN"/>
        </w:rPr>
        <w:t>国家法律法规规定</w:t>
      </w:r>
      <w:r>
        <w:rPr>
          <w:rFonts w:hint="eastAsia" w:ascii="宋体" w:hAnsi="宋体" w:eastAsia="宋体" w:cs="宋体"/>
          <w:color w:val="auto"/>
          <w:sz w:val="24"/>
          <w:szCs w:val="24"/>
          <w:lang w:val="zh-CN" w:eastAsia="zh-CN"/>
        </w:rPr>
        <w:t>及合同约定应</w:t>
      </w:r>
      <w:r>
        <w:rPr>
          <w:rFonts w:hint="eastAsia" w:ascii="宋体" w:hAnsi="宋体" w:eastAsia="宋体" w:cs="宋体"/>
          <w:color w:val="auto"/>
          <w:sz w:val="24"/>
          <w:szCs w:val="24"/>
          <w:lang w:val="zh-CN"/>
        </w:rPr>
        <w:t>由乙方承担的其他义务和责任。</w:t>
      </w:r>
    </w:p>
    <w:p w14:paraId="4FADB714">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eastAsia="zh-CN"/>
        </w:rPr>
        <w:t>七</w:t>
      </w:r>
      <w:r>
        <w:rPr>
          <w:rFonts w:hint="eastAsia" w:ascii="宋体" w:hAnsi="宋体" w:eastAsia="宋体" w:cs="宋体"/>
          <w:b/>
          <w:bCs/>
          <w:color w:val="auto"/>
          <w:sz w:val="24"/>
          <w:szCs w:val="24"/>
          <w:lang w:val="zh-CN"/>
        </w:rPr>
        <w:t>、合同的变更、终止与转让</w:t>
      </w:r>
    </w:p>
    <w:p w14:paraId="000FDA17">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1.除《中华人民共和国政府采购法》第50条规定的情形外，本合同一经签订，甲乙双方不得擅自变更、中止或终止。</w:t>
      </w:r>
    </w:p>
    <w:p w14:paraId="59FA29ED">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2.乙方不得擅自转让其应履行的合同义务。</w:t>
      </w:r>
    </w:p>
    <w:p w14:paraId="61682D3E">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eastAsia="zh-CN"/>
        </w:rPr>
        <w:t>八</w:t>
      </w:r>
      <w:r>
        <w:rPr>
          <w:rFonts w:hint="eastAsia" w:ascii="宋体" w:hAnsi="宋体" w:eastAsia="宋体" w:cs="宋体"/>
          <w:b/>
          <w:bCs/>
          <w:color w:val="auto"/>
          <w:sz w:val="24"/>
          <w:szCs w:val="24"/>
          <w:lang w:val="zh-CN"/>
        </w:rPr>
        <w:t>、违约责任</w:t>
      </w:r>
    </w:p>
    <w:p w14:paraId="084BB11A">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1.乙方所提供的产品规格、技术标准、材料等质量不合格的，应及时更换；更换不及时的，按逾期交货处罚；因质量问题甲方不同意接收的，质保金全额扣除，并由乙方赔偿由此引起的甲方的一切经济损失。</w:t>
      </w:r>
    </w:p>
    <w:p w14:paraId="5EA9939C">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2.乙方提供的货物如侵犯了第三方权益而引发纠纷或诉讼的，均由乙方负责交涉并承担全部责任。</w:t>
      </w:r>
    </w:p>
    <w:p w14:paraId="1F8CC655">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3.因包装、运输引起的货物损坏，按质量不合格处罚。</w:t>
      </w:r>
    </w:p>
    <w:p w14:paraId="7295DAE4">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4.甲方无故延期接受货物和乙方逾期交货的，每天应向对方偿付未交货物的货款3‰的违约金，但违约金累计不得超过违约货款的5%，超过</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天对方有权解除合同，违约方承担因此给对方造成的经济损失。</w:t>
      </w:r>
    </w:p>
    <w:p w14:paraId="4D230F8F">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5.乙方未按本合同和投标文件中规定的服务承诺提供售后服务的，乙方应按本合同合计金额的5%向甲方支付违约金。</w:t>
      </w:r>
    </w:p>
    <w:p w14:paraId="05D07FE7">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6.乙方提供的货物在质量保证期内，因设计、工艺或材料的缺陷和其它质量原因造成的问题，由乙方负责，费用从履约保证金中扣除，不足另补。</w:t>
      </w:r>
    </w:p>
    <w:p w14:paraId="1A0C1AE7">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7.其它违约行为按违约货款额5%收取违约金并赔偿经济损失。</w:t>
      </w:r>
    </w:p>
    <w:p w14:paraId="00818BE6">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eastAsia="zh-CN"/>
        </w:rPr>
        <w:t>九</w:t>
      </w:r>
      <w:r>
        <w:rPr>
          <w:rFonts w:hint="eastAsia" w:ascii="宋体" w:hAnsi="宋体" w:eastAsia="宋体" w:cs="宋体"/>
          <w:b/>
          <w:bCs/>
          <w:color w:val="auto"/>
          <w:sz w:val="24"/>
          <w:szCs w:val="24"/>
          <w:lang w:val="zh-CN"/>
        </w:rPr>
        <w:t>、不可抗力</w:t>
      </w:r>
    </w:p>
    <w:p w14:paraId="0CF8E21F">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不可抗力使合同的某些内容有变更必要的，双方应通过协商在</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天内达成进一步履行合同的协议，因不可抗力致使合同不能履行的，合同终止。</w:t>
      </w:r>
    </w:p>
    <w:p w14:paraId="498F3944">
      <w:pPr>
        <w:numPr>
          <w:ilvl w:val="0"/>
          <w:numId w:val="0"/>
        </w:numPr>
        <w:autoSpaceDE w:val="0"/>
        <w:autoSpaceDN w:val="0"/>
        <w:spacing w:line="360" w:lineRule="auto"/>
        <w:ind w:left="0" w:leftChars="0"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eastAsia="zh-CN" w:bidi="ar-SA"/>
        </w:rPr>
        <w:t>十、</w:t>
      </w:r>
      <w:r>
        <w:rPr>
          <w:rFonts w:hint="eastAsia" w:ascii="宋体" w:hAnsi="宋体" w:eastAsia="宋体" w:cs="宋体"/>
          <w:b/>
          <w:bCs/>
          <w:color w:val="auto"/>
          <w:sz w:val="24"/>
          <w:szCs w:val="24"/>
          <w:lang w:val="zh-CN"/>
        </w:rPr>
        <w:t>知识产权：</w:t>
      </w:r>
    </w:p>
    <w:p w14:paraId="29742C37">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乙方应保证甲方在使用该货物或其任何一部分时不受第三方提出的侵犯专利权、著作权、商标权和工业设计权等的起诉。</w:t>
      </w:r>
    </w:p>
    <w:p w14:paraId="37A00BC8">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14:paraId="07789E93">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6EF52E2E">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14:paraId="0847EF4E">
      <w:pPr>
        <w:pStyle w:val="11"/>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27D9DEE">
      <w:pPr>
        <w:autoSpaceDE w:val="0"/>
        <w:autoSpaceDN w:val="0"/>
        <w:spacing w:line="360" w:lineRule="auto"/>
        <w:ind w:left="0" w:leftChars="0"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eastAsia="zh-CN"/>
        </w:rPr>
        <w:t>十一</w:t>
      </w:r>
      <w:r>
        <w:rPr>
          <w:rFonts w:hint="eastAsia" w:ascii="宋体" w:hAnsi="宋体" w:eastAsia="宋体" w:cs="宋体"/>
          <w:b/>
          <w:bCs/>
          <w:color w:val="auto"/>
          <w:sz w:val="24"/>
          <w:szCs w:val="24"/>
          <w:lang w:val="zh-CN"/>
        </w:rPr>
        <w:t>、其他约定：</w:t>
      </w:r>
    </w:p>
    <w:p w14:paraId="6F0ED5FF">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十</w:t>
      </w:r>
      <w:r>
        <w:rPr>
          <w:rFonts w:hint="eastAsia" w:ascii="宋体" w:hAnsi="宋体" w:eastAsia="宋体" w:cs="宋体"/>
          <w:b/>
          <w:bCs/>
          <w:color w:val="auto"/>
          <w:sz w:val="24"/>
          <w:szCs w:val="24"/>
          <w:lang w:val="zh-CN" w:eastAsia="zh-CN"/>
        </w:rPr>
        <w:t>二</w:t>
      </w:r>
      <w:r>
        <w:rPr>
          <w:rFonts w:hint="eastAsia" w:ascii="宋体" w:hAnsi="宋体" w:eastAsia="宋体" w:cs="宋体"/>
          <w:b/>
          <w:bCs/>
          <w:color w:val="auto"/>
          <w:sz w:val="24"/>
          <w:szCs w:val="24"/>
          <w:lang w:val="zh-CN"/>
        </w:rPr>
        <w:t>、合同争议解决</w:t>
      </w:r>
    </w:p>
    <w:p w14:paraId="5EC96E5F">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1.因产品质量问题发生争议的，应邀请国家认可的质量检测机构进行鉴定。产品符合标准的，鉴定费由甲方承担；产品不符合标准的，鉴定费由乙方承担。</w:t>
      </w:r>
    </w:p>
    <w:p w14:paraId="4779CE27">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2.因履行本合同引起的或与本合同有关的争议，甲乙双方应首先通过友好协商解决，如果协商不能解决，可向甲方所在地仲裁委员会申请仲裁或向甲方所在地人民法院提起诉讼。</w:t>
      </w:r>
    </w:p>
    <w:p w14:paraId="304E9DD4">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3.诉讼期间，本合同继续履行。</w:t>
      </w:r>
    </w:p>
    <w:p w14:paraId="0F19A316">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十</w:t>
      </w:r>
      <w:r>
        <w:rPr>
          <w:rFonts w:hint="eastAsia" w:ascii="宋体" w:hAnsi="宋体" w:eastAsia="宋体" w:cs="宋体"/>
          <w:b/>
          <w:bCs/>
          <w:color w:val="auto"/>
          <w:sz w:val="24"/>
          <w:szCs w:val="24"/>
          <w:lang w:val="zh-CN" w:eastAsia="zh-CN"/>
        </w:rPr>
        <w:t>三</w:t>
      </w:r>
      <w:r>
        <w:rPr>
          <w:rFonts w:hint="eastAsia" w:ascii="宋体" w:hAnsi="宋体" w:eastAsia="宋体" w:cs="宋体"/>
          <w:b/>
          <w:bCs/>
          <w:color w:val="auto"/>
          <w:sz w:val="24"/>
          <w:szCs w:val="24"/>
          <w:lang w:val="zh-CN"/>
        </w:rPr>
        <w:t>、合同生效及其它：</w:t>
      </w:r>
    </w:p>
    <w:p w14:paraId="74E88DC0">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1.本合同一式</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份，经双方签字，并加盖公章即为生效。</w:t>
      </w:r>
    </w:p>
    <w:p w14:paraId="0D913307">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2.本合同未尽事宜，按民法典有关规定处理。</w:t>
      </w:r>
    </w:p>
    <w:p w14:paraId="3B32015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甲方（盖章）：</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乙方（盖章）：</w:t>
      </w:r>
    </w:p>
    <w:p w14:paraId="42A3096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法定代表人或委托代理人</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法定代表人或委托代理人</w:t>
      </w:r>
      <w:r>
        <w:rPr>
          <w:rFonts w:hint="eastAsia" w:ascii="宋体" w:hAnsi="宋体" w:eastAsia="宋体" w:cs="宋体"/>
          <w:color w:val="auto"/>
          <w:sz w:val="24"/>
          <w:szCs w:val="24"/>
        </w:rPr>
        <w:t>：</w:t>
      </w:r>
    </w:p>
    <w:p w14:paraId="1C20831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开户银行：</w:t>
      </w:r>
    </w:p>
    <w:p w14:paraId="5F91F01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账号：</w:t>
      </w:r>
    </w:p>
    <w:p w14:paraId="42FB5DC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地址：</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地址：</w:t>
      </w:r>
    </w:p>
    <w:p w14:paraId="10FC94C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联系电话：</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联系电话：</w:t>
      </w:r>
    </w:p>
    <w:p w14:paraId="31D17BD2">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eastAsia" w:ascii="宋体" w:hAnsi="宋体" w:eastAsia="宋体" w:cs="宋体"/>
          <w:color w:val="auto"/>
          <w:sz w:val="24"/>
          <w:szCs w:val="24"/>
          <w:lang w:val="zh-CN"/>
        </w:rPr>
      </w:pPr>
    </w:p>
    <w:p w14:paraId="3355D667">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签约时间：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w:t>
      </w:r>
    </w:p>
    <w:p w14:paraId="3FF8BA6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p>
    <w:p w14:paraId="5581074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采购代理机构：青海鼎钊招标代理有限公司</w:t>
      </w:r>
    </w:p>
    <w:p w14:paraId="13A9D29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负责人或经办人：</w:t>
      </w:r>
    </w:p>
    <w:p w14:paraId="622DD051">
      <w:pPr>
        <w:wordWrap w:val="0"/>
        <w:spacing w:line="360" w:lineRule="auto"/>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时间：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w:t>
      </w:r>
    </w:p>
    <w:p w14:paraId="791D31B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体">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96E0D">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DF074F">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DDF074F">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67</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C64F27"/>
    <w:multiLevelType w:val="singleLevel"/>
    <w:tmpl w:val="5EC64F2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hZTE3MDExMWUzMjJiNzEyMjNiYWY5MjMwMjMxMTYifQ=="/>
  </w:docVars>
  <w:rsids>
    <w:rsidRoot w:val="7D9B5E16"/>
    <w:rsid w:val="007E0A21"/>
    <w:rsid w:val="00AC446D"/>
    <w:rsid w:val="01360BD1"/>
    <w:rsid w:val="01690716"/>
    <w:rsid w:val="02272067"/>
    <w:rsid w:val="02637B1D"/>
    <w:rsid w:val="02664A99"/>
    <w:rsid w:val="02757C38"/>
    <w:rsid w:val="02A9297E"/>
    <w:rsid w:val="03442F30"/>
    <w:rsid w:val="03A34D06"/>
    <w:rsid w:val="03E53D21"/>
    <w:rsid w:val="03EB6161"/>
    <w:rsid w:val="04474517"/>
    <w:rsid w:val="044807EB"/>
    <w:rsid w:val="04DE17B1"/>
    <w:rsid w:val="04F70BD1"/>
    <w:rsid w:val="05210BC9"/>
    <w:rsid w:val="053D1DE9"/>
    <w:rsid w:val="055D0822"/>
    <w:rsid w:val="056913B5"/>
    <w:rsid w:val="05E12013"/>
    <w:rsid w:val="05FD3580"/>
    <w:rsid w:val="05FE3B9A"/>
    <w:rsid w:val="06057AFB"/>
    <w:rsid w:val="0624278B"/>
    <w:rsid w:val="069C28B1"/>
    <w:rsid w:val="06F2641E"/>
    <w:rsid w:val="07867AF5"/>
    <w:rsid w:val="08353F26"/>
    <w:rsid w:val="08410597"/>
    <w:rsid w:val="0891104C"/>
    <w:rsid w:val="097D3829"/>
    <w:rsid w:val="0A536242"/>
    <w:rsid w:val="0A801DDE"/>
    <w:rsid w:val="0A910426"/>
    <w:rsid w:val="0AED28F4"/>
    <w:rsid w:val="0B2B4C7E"/>
    <w:rsid w:val="0BB54002"/>
    <w:rsid w:val="0BF23610"/>
    <w:rsid w:val="0C661388"/>
    <w:rsid w:val="0CA87A52"/>
    <w:rsid w:val="0D256ADD"/>
    <w:rsid w:val="0D616E1A"/>
    <w:rsid w:val="0D711167"/>
    <w:rsid w:val="0DC739FA"/>
    <w:rsid w:val="0DCF044E"/>
    <w:rsid w:val="0E783BEB"/>
    <w:rsid w:val="0E874D29"/>
    <w:rsid w:val="0E900E79"/>
    <w:rsid w:val="0E930373"/>
    <w:rsid w:val="0F305725"/>
    <w:rsid w:val="10161A44"/>
    <w:rsid w:val="109055EB"/>
    <w:rsid w:val="10DE48CA"/>
    <w:rsid w:val="11312A9F"/>
    <w:rsid w:val="11FB2BE7"/>
    <w:rsid w:val="120D1F67"/>
    <w:rsid w:val="12400F8A"/>
    <w:rsid w:val="1289645E"/>
    <w:rsid w:val="13BC0277"/>
    <w:rsid w:val="13D2255B"/>
    <w:rsid w:val="14145796"/>
    <w:rsid w:val="14526E5B"/>
    <w:rsid w:val="1532490E"/>
    <w:rsid w:val="15E94352"/>
    <w:rsid w:val="15F101D1"/>
    <w:rsid w:val="15F6771B"/>
    <w:rsid w:val="160A7634"/>
    <w:rsid w:val="16224EA1"/>
    <w:rsid w:val="16932406"/>
    <w:rsid w:val="1716030D"/>
    <w:rsid w:val="17B514B3"/>
    <w:rsid w:val="1802614F"/>
    <w:rsid w:val="181531AE"/>
    <w:rsid w:val="185A675A"/>
    <w:rsid w:val="18631644"/>
    <w:rsid w:val="186F7576"/>
    <w:rsid w:val="18713337"/>
    <w:rsid w:val="18C211CC"/>
    <w:rsid w:val="18CA0F64"/>
    <w:rsid w:val="19062DC6"/>
    <w:rsid w:val="19227628"/>
    <w:rsid w:val="192946A2"/>
    <w:rsid w:val="19E10B40"/>
    <w:rsid w:val="1A977682"/>
    <w:rsid w:val="1ACC3E1B"/>
    <w:rsid w:val="1AD11780"/>
    <w:rsid w:val="1AEF3DAC"/>
    <w:rsid w:val="1B662DBF"/>
    <w:rsid w:val="1C0363DF"/>
    <w:rsid w:val="1C2F5B31"/>
    <w:rsid w:val="1CCE181D"/>
    <w:rsid w:val="1D7542D0"/>
    <w:rsid w:val="1D9A4A78"/>
    <w:rsid w:val="1E2F4669"/>
    <w:rsid w:val="1E662D79"/>
    <w:rsid w:val="1E756FFB"/>
    <w:rsid w:val="1ED74A41"/>
    <w:rsid w:val="1EED3CFC"/>
    <w:rsid w:val="1EF65831"/>
    <w:rsid w:val="1F1D4355"/>
    <w:rsid w:val="20525060"/>
    <w:rsid w:val="20653333"/>
    <w:rsid w:val="207F0C88"/>
    <w:rsid w:val="20ED75FE"/>
    <w:rsid w:val="214F6B44"/>
    <w:rsid w:val="21C422F5"/>
    <w:rsid w:val="22203F2D"/>
    <w:rsid w:val="223C5C3C"/>
    <w:rsid w:val="2272669E"/>
    <w:rsid w:val="227F4D71"/>
    <w:rsid w:val="2280389A"/>
    <w:rsid w:val="231A452F"/>
    <w:rsid w:val="23FC7CA6"/>
    <w:rsid w:val="241223D6"/>
    <w:rsid w:val="24262BC4"/>
    <w:rsid w:val="247C2A7C"/>
    <w:rsid w:val="24A72620"/>
    <w:rsid w:val="24FD76C4"/>
    <w:rsid w:val="25106A27"/>
    <w:rsid w:val="25A60401"/>
    <w:rsid w:val="262A5144"/>
    <w:rsid w:val="26806F3F"/>
    <w:rsid w:val="26856E0D"/>
    <w:rsid w:val="26B0198D"/>
    <w:rsid w:val="27165D37"/>
    <w:rsid w:val="278F5CF9"/>
    <w:rsid w:val="28773DCD"/>
    <w:rsid w:val="28ED597C"/>
    <w:rsid w:val="292C0CDB"/>
    <w:rsid w:val="29712103"/>
    <w:rsid w:val="29907531"/>
    <w:rsid w:val="2AD8222D"/>
    <w:rsid w:val="2ADE5E46"/>
    <w:rsid w:val="2B78699C"/>
    <w:rsid w:val="2B861E09"/>
    <w:rsid w:val="2BBE1EA7"/>
    <w:rsid w:val="2C2E5CBB"/>
    <w:rsid w:val="2CC30608"/>
    <w:rsid w:val="2D154D7E"/>
    <w:rsid w:val="2EB54D10"/>
    <w:rsid w:val="2F173B14"/>
    <w:rsid w:val="2F2319C5"/>
    <w:rsid w:val="2F7A1819"/>
    <w:rsid w:val="2F7B1CC0"/>
    <w:rsid w:val="2FD74D0A"/>
    <w:rsid w:val="307C6D0A"/>
    <w:rsid w:val="307F505D"/>
    <w:rsid w:val="30B46ED7"/>
    <w:rsid w:val="30D84A6D"/>
    <w:rsid w:val="31CD6FAF"/>
    <w:rsid w:val="32B43807"/>
    <w:rsid w:val="333853AE"/>
    <w:rsid w:val="34184F37"/>
    <w:rsid w:val="342873FA"/>
    <w:rsid w:val="348875DC"/>
    <w:rsid w:val="35061DD1"/>
    <w:rsid w:val="351554C0"/>
    <w:rsid w:val="356B65D3"/>
    <w:rsid w:val="361D0D1B"/>
    <w:rsid w:val="36E52470"/>
    <w:rsid w:val="37E21BB6"/>
    <w:rsid w:val="37EA0A78"/>
    <w:rsid w:val="381009F4"/>
    <w:rsid w:val="38177AC2"/>
    <w:rsid w:val="38330237"/>
    <w:rsid w:val="39513AD4"/>
    <w:rsid w:val="39E61C93"/>
    <w:rsid w:val="39F747FF"/>
    <w:rsid w:val="3AD61226"/>
    <w:rsid w:val="3AF96301"/>
    <w:rsid w:val="3C0E6A8C"/>
    <w:rsid w:val="3C126A18"/>
    <w:rsid w:val="3C575D49"/>
    <w:rsid w:val="3CDA061D"/>
    <w:rsid w:val="3D4C7081"/>
    <w:rsid w:val="3D9F3525"/>
    <w:rsid w:val="3DCC1178"/>
    <w:rsid w:val="3DF96E3A"/>
    <w:rsid w:val="3E004C98"/>
    <w:rsid w:val="3E2117F6"/>
    <w:rsid w:val="3E3B0987"/>
    <w:rsid w:val="3E6F1C2A"/>
    <w:rsid w:val="3E8B153F"/>
    <w:rsid w:val="3F000963"/>
    <w:rsid w:val="3F140CE0"/>
    <w:rsid w:val="3FCC1BB2"/>
    <w:rsid w:val="3FFA1B0C"/>
    <w:rsid w:val="40B97554"/>
    <w:rsid w:val="411804D0"/>
    <w:rsid w:val="42B05AFD"/>
    <w:rsid w:val="42E1293B"/>
    <w:rsid w:val="43137493"/>
    <w:rsid w:val="43803F8D"/>
    <w:rsid w:val="43815049"/>
    <w:rsid w:val="440D460E"/>
    <w:rsid w:val="44107D9B"/>
    <w:rsid w:val="444B7008"/>
    <w:rsid w:val="44D44EB9"/>
    <w:rsid w:val="44D577C1"/>
    <w:rsid w:val="45EE208A"/>
    <w:rsid w:val="460515BC"/>
    <w:rsid w:val="46A105A3"/>
    <w:rsid w:val="46E25A83"/>
    <w:rsid w:val="46EA71D0"/>
    <w:rsid w:val="47176167"/>
    <w:rsid w:val="471D1690"/>
    <w:rsid w:val="47450AB2"/>
    <w:rsid w:val="47C462E6"/>
    <w:rsid w:val="47CF0B1D"/>
    <w:rsid w:val="47E23378"/>
    <w:rsid w:val="494B2460"/>
    <w:rsid w:val="4A0D491F"/>
    <w:rsid w:val="4A426816"/>
    <w:rsid w:val="4A5342C9"/>
    <w:rsid w:val="4AD87F7A"/>
    <w:rsid w:val="4ADC6818"/>
    <w:rsid w:val="4B0D0700"/>
    <w:rsid w:val="4B1C50F9"/>
    <w:rsid w:val="4B9F2679"/>
    <w:rsid w:val="4C325F3B"/>
    <w:rsid w:val="4C8D39F2"/>
    <w:rsid w:val="4CB10ACF"/>
    <w:rsid w:val="4CC01E86"/>
    <w:rsid w:val="4D2B7562"/>
    <w:rsid w:val="4D8365F1"/>
    <w:rsid w:val="4D907A56"/>
    <w:rsid w:val="4DBB6D90"/>
    <w:rsid w:val="4DDB03B5"/>
    <w:rsid w:val="4DED4A76"/>
    <w:rsid w:val="4ED72EBD"/>
    <w:rsid w:val="4EE202E0"/>
    <w:rsid w:val="4F5C1D7A"/>
    <w:rsid w:val="509F29B8"/>
    <w:rsid w:val="51271052"/>
    <w:rsid w:val="5176769E"/>
    <w:rsid w:val="519017FF"/>
    <w:rsid w:val="51B22AB2"/>
    <w:rsid w:val="51C15159"/>
    <w:rsid w:val="51ED7A1C"/>
    <w:rsid w:val="51FE4E47"/>
    <w:rsid w:val="51FE73D1"/>
    <w:rsid w:val="529D29BD"/>
    <w:rsid w:val="53534733"/>
    <w:rsid w:val="535B4140"/>
    <w:rsid w:val="53B41740"/>
    <w:rsid w:val="53E9079A"/>
    <w:rsid w:val="54AB36A4"/>
    <w:rsid w:val="5571016F"/>
    <w:rsid w:val="557F61CB"/>
    <w:rsid w:val="55B04C26"/>
    <w:rsid w:val="55C1045E"/>
    <w:rsid w:val="55F51E57"/>
    <w:rsid w:val="56CE1471"/>
    <w:rsid w:val="57F27B11"/>
    <w:rsid w:val="587D00AE"/>
    <w:rsid w:val="58C123C1"/>
    <w:rsid w:val="58E757E0"/>
    <w:rsid w:val="59361F1D"/>
    <w:rsid w:val="595A169C"/>
    <w:rsid w:val="59970A44"/>
    <w:rsid w:val="59D24C95"/>
    <w:rsid w:val="5A1A3670"/>
    <w:rsid w:val="5A64644D"/>
    <w:rsid w:val="5AA26202"/>
    <w:rsid w:val="5ACD57F6"/>
    <w:rsid w:val="5AEF00AC"/>
    <w:rsid w:val="5B86741A"/>
    <w:rsid w:val="5BFA2163"/>
    <w:rsid w:val="5CC84CFD"/>
    <w:rsid w:val="5D4A3A21"/>
    <w:rsid w:val="5D6408DE"/>
    <w:rsid w:val="5E814705"/>
    <w:rsid w:val="5EA06FBA"/>
    <w:rsid w:val="5EEB0B5D"/>
    <w:rsid w:val="5F5C1802"/>
    <w:rsid w:val="5F8038FF"/>
    <w:rsid w:val="60AE2DC5"/>
    <w:rsid w:val="60F25329"/>
    <w:rsid w:val="62BD2BCA"/>
    <w:rsid w:val="639302F4"/>
    <w:rsid w:val="64A13896"/>
    <w:rsid w:val="650807B8"/>
    <w:rsid w:val="650A694C"/>
    <w:rsid w:val="661E127D"/>
    <w:rsid w:val="6628294C"/>
    <w:rsid w:val="6658601C"/>
    <w:rsid w:val="666E6D57"/>
    <w:rsid w:val="668C6B1C"/>
    <w:rsid w:val="668D11B6"/>
    <w:rsid w:val="66DF6D75"/>
    <w:rsid w:val="66E1441D"/>
    <w:rsid w:val="672C0C6D"/>
    <w:rsid w:val="67466E44"/>
    <w:rsid w:val="685D5724"/>
    <w:rsid w:val="6A265D97"/>
    <w:rsid w:val="6AC11213"/>
    <w:rsid w:val="6B1704BF"/>
    <w:rsid w:val="6B9E07C2"/>
    <w:rsid w:val="6BB6488D"/>
    <w:rsid w:val="6BC0391C"/>
    <w:rsid w:val="6CB03D06"/>
    <w:rsid w:val="6CB51DAA"/>
    <w:rsid w:val="6D484EC2"/>
    <w:rsid w:val="6E0E5729"/>
    <w:rsid w:val="6E672B2B"/>
    <w:rsid w:val="6F443BEB"/>
    <w:rsid w:val="6F7922B4"/>
    <w:rsid w:val="6FB824BF"/>
    <w:rsid w:val="714656D3"/>
    <w:rsid w:val="714C1AB3"/>
    <w:rsid w:val="71970FEB"/>
    <w:rsid w:val="71E64DF1"/>
    <w:rsid w:val="71FF443F"/>
    <w:rsid w:val="7202096F"/>
    <w:rsid w:val="72F0558E"/>
    <w:rsid w:val="73972F2B"/>
    <w:rsid w:val="73AD01CF"/>
    <w:rsid w:val="74435D47"/>
    <w:rsid w:val="75053FA4"/>
    <w:rsid w:val="757F7E3A"/>
    <w:rsid w:val="75BE3D92"/>
    <w:rsid w:val="76275612"/>
    <w:rsid w:val="7646191B"/>
    <w:rsid w:val="76473B85"/>
    <w:rsid w:val="76EF237F"/>
    <w:rsid w:val="76FE6E62"/>
    <w:rsid w:val="770706D4"/>
    <w:rsid w:val="77864563"/>
    <w:rsid w:val="785724B6"/>
    <w:rsid w:val="78796757"/>
    <w:rsid w:val="789F6743"/>
    <w:rsid w:val="79465555"/>
    <w:rsid w:val="7A155FD6"/>
    <w:rsid w:val="7C355CCF"/>
    <w:rsid w:val="7CAD14C7"/>
    <w:rsid w:val="7CBE2019"/>
    <w:rsid w:val="7CE5560B"/>
    <w:rsid w:val="7D38495C"/>
    <w:rsid w:val="7D403C79"/>
    <w:rsid w:val="7D9B5E16"/>
    <w:rsid w:val="7E143686"/>
    <w:rsid w:val="7E5A55AC"/>
    <w:rsid w:val="7E7F7D0E"/>
    <w:rsid w:val="7EE73E3D"/>
    <w:rsid w:val="7FBC7F56"/>
    <w:rsid w:val="7FC00A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jc w:val="center"/>
      <w:outlineLvl w:val="0"/>
    </w:pPr>
    <w:rPr>
      <w:b/>
      <w:bCs/>
      <w:sz w:val="24"/>
      <w:szCs w:val="20"/>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paragraph" w:styleId="4">
    <w:name w:val="heading 3"/>
    <w:basedOn w:val="1"/>
    <w:next w:val="1"/>
    <w:link w:val="42"/>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Note Heading"/>
    <w:basedOn w:val="1"/>
    <w:next w:val="1"/>
    <w:qFormat/>
    <w:uiPriority w:val="0"/>
    <w:pPr>
      <w:jc w:val="center"/>
    </w:pPr>
  </w:style>
  <w:style w:type="paragraph" w:styleId="7">
    <w:name w:val="annotation text"/>
    <w:basedOn w:val="1"/>
    <w:qFormat/>
    <w:uiPriority w:val="0"/>
    <w:pPr>
      <w:jc w:val="left"/>
    </w:pPr>
  </w:style>
  <w:style w:type="paragraph" w:styleId="8">
    <w:name w:val="Body Text"/>
    <w:basedOn w:val="1"/>
    <w:next w:val="6"/>
    <w:unhideWhenUsed/>
    <w:qFormat/>
    <w:uiPriority w:val="0"/>
    <w:pPr>
      <w:widowControl/>
      <w:spacing w:line="360" w:lineRule="auto"/>
      <w:jc w:val="left"/>
    </w:pPr>
    <w:rPr>
      <w:rFonts w:ascii="仿宋体" w:hAnsi="Times New Roman" w:eastAsia="仿宋体"/>
      <w:kern w:val="0"/>
      <w:sz w:val="24"/>
      <w:szCs w:val="20"/>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Body Text Indent 3"/>
    <w:basedOn w:val="1"/>
    <w:qFormat/>
    <w:uiPriority w:val="0"/>
    <w:pPr>
      <w:spacing w:after="120" w:afterLines="0"/>
      <w:ind w:left="420" w:leftChars="200"/>
    </w:pPr>
    <w:rPr>
      <w:sz w:val="16"/>
      <w:szCs w:val="20"/>
    </w:rPr>
  </w:style>
  <w:style w:type="paragraph" w:styleId="15">
    <w:name w:val="toc 2"/>
    <w:basedOn w:val="1"/>
    <w:next w:val="1"/>
    <w:qFormat/>
    <w:uiPriority w:val="0"/>
    <w:pPr>
      <w:ind w:left="420" w:leftChars="200"/>
    </w:pPr>
  </w:style>
  <w:style w:type="paragraph" w:styleId="16">
    <w:name w:val="Normal (Web)"/>
    <w:basedOn w:val="1"/>
    <w:qFormat/>
    <w:uiPriority w:val="0"/>
    <w:pPr>
      <w:spacing w:before="100" w:beforeAutospacing="1" w:after="100" w:afterAutospacing="1"/>
      <w:ind w:left="0" w:right="0"/>
      <w:jc w:val="left"/>
    </w:pPr>
    <w:rPr>
      <w:kern w:val="0"/>
      <w:sz w:val="24"/>
      <w:lang w:val="en-US" w:eastAsia="zh-CN"/>
    </w:rPr>
  </w:style>
  <w:style w:type="paragraph" w:styleId="17">
    <w:name w:val="Title"/>
    <w:basedOn w:val="1"/>
    <w:next w:val="1"/>
    <w:qFormat/>
    <w:uiPriority w:val="0"/>
    <w:pPr>
      <w:spacing w:before="240" w:after="60"/>
      <w:jc w:val="center"/>
      <w:outlineLvl w:val="0"/>
    </w:pPr>
    <w:rPr>
      <w:rFonts w:ascii="Cambria" w:hAnsi="Cambria"/>
      <w:b/>
      <w:bCs/>
      <w:sz w:val="36"/>
      <w:szCs w:val="32"/>
    </w:rPr>
  </w:style>
  <w:style w:type="paragraph" w:styleId="18">
    <w:name w:val="Body Text First Indent"/>
    <w:basedOn w:val="8"/>
    <w:qFormat/>
    <w:uiPriority w:val="0"/>
    <w:pPr>
      <w:ind w:firstLine="420" w:firstLineChars="1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qFormat/>
    <w:uiPriority w:val="0"/>
  </w:style>
  <w:style w:type="character" w:styleId="24">
    <w:name w:val="FollowedHyperlink"/>
    <w:basedOn w:val="21"/>
    <w:qFormat/>
    <w:uiPriority w:val="0"/>
    <w:rPr>
      <w:rFonts w:hint="eastAsia" w:ascii="微软雅黑" w:hAnsi="微软雅黑" w:eastAsia="微软雅黑" w:cs="微软雅黑"/>
      <w:color w:val="02396F"/>
      <w:u w:val="single"/>
    </w:rPr>
  </w:style>
  <w:style w:type="character" w:styleId="25">
    <w:name w:val="Hyperlink"/>
    <w:basedOn w:val="21"/>
    <w:qFormat/>
    <w:uiPriority w:val="0"/>
    <w:rPr>
      <w:rFonts w:ascii="微软雅黑" w:hAnsi="微软雅黑" w:eastAsia="微软雅黑" w:cs="微软雅黑"/>
      <w:color w:val="02396F"/>
      <w:u w:val="single"/>
    </w:rPr>
  </w:style>
  <w:style w:type="character" w:styleId="26">
    <w:name w:val="HTML Sample"/>
    <w:basedOn w:val="21"/>
    <w:qFormat/>
    <w:uiPriority w:val="0"/>
    <w:rPr>
      <w:rFonts w:ascii="Courier New" w:hAnsi="Courier New"/>
    </w:rPr>
  </w:style>
  <w:style w:type="paragraph" w:styleId="27">
    <w:name w:val="No Spacing"/>
    <w:qFormat/>
    <w:uiPriority w:val="99"/>
    <w:pPr>
      <w:widowControl w:val="0"/>
      <w:jc w:val="both"/>
    </w:pPr>
    <w:rPr>
      <w:rFonts w:ascii="Times New Roman" w:hAnsi="Times New Roman" w:eastAsia="宋体" w:cs="Times New Roman"/>
      <w:color w:val="000000"/>
      <w:kern w:val="2"/>
      <w:sz w:val="21"/>
      <w:szCs w:val="24"/>
      <w:lang w:val="en-US" w:eastAsia="zh-CN" w:bidi="ar-SA"/>
    </w:rPr>
  </w:style>
  <w:style w:type="paragraph" w:customStyle="1" w:styleId="28">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
    <w:name w:val="WPSOffice手动目录 1"/>
    <w:qFormat/>
    <w:uiPriority w:val="0"/>
    <w:pPr>
      <w:ind w:leftChars="0"/>
    </w:pPr>
    <w:rPr>
      <w:rFonts w:ascii="Times New Roman" w:hAnsi="Times New Roman" w:eastAsia="宋体" w:cs="Times New Roman"/>
      <w:sz w:val="20"/>
      <w:szCs w:val="20"/>
      <w:lang w:val="en-US" w:eastAsia="zh-CN" w:bidi="ar-SA"/>
    </w:rPr>
  </w:style>
  <w:style w:type="paragraph" w:customStyle="1" w:styleId="30">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1">
    <w:name w:val="p0"/>
    <w:basedOn w:val="1"/>
    <w:qFormat/>
    <w:uiPriority w:val="0"/>
    <w:pPr>
      <w:widowControl/>
    </w:pPr>
    <w:rPr>
      <w:kern w:val="0"/>
      <w:szCs w:val="21"/>
    </w:rPr>
  </w:style>
  <w:style w:type="paragraph" w:customStyle="1" w:styleId="32">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33">
    <w:name w:val="WPSOffice手动目录 2"/>
    <w:qFormat/>
    <w:uiPriority w:val="0"/>
    <w:pPr>
      <w:ind w:leftChars="200"/>
    </w:pPr>
    <w:rPr>
      <w:rFonts w:ascii="Times New Roman" w:hAnsi="Times New Roman" w:eastAsia="宋体" w:cs="Times New Roman"/>
      <w:sz w:val="20"/>
      <w:szCs w:val="20"/>
      <w:lang w:val="en-US" w:eastAsia="zh-CN" w:bidi="ar-SA"/>
    </w:rPr>
  </w:style>
  <w:style w:type="paragraph" w:customStyle="1" w:styleId="34">
    <w:name w:val="WPSOffice手动目录 3"/>
    <w:qFormat/>
    <w:uiPriority w:val="0"/>
    <w:pPr>
      <w:ind w:leftChars="400"/>
    </w:pPr>
    <w:rPr>
      <w:rFonts w:ascii="Times New Roman" w:hAnsi="Times New Roman" w:eastAsia="宋体" w:cs="Times New Roman"/>
      <w:sz w:val="20"/>
      <w:szCs w:val="20"/>
      <w:lang w:val="en-US" w:eastAsia="zh-CN" w:bidi="ar-SA"/>
    </w:rPr>
  </w:style>
  <w:style w:type="character" w:customStyle="1" w:styleId="35">
    <w:name w:val="gjfg"/>
    <w:basedOn w:val="21"/>
    <w:qFormat/>
    <w:uiPriority w:val="0"/>
  </w:style>
  <w:style w:type="character" w:customStyle="1" w:styleId="36">
    <w:name w:val="displayarti"/>
    <w:basedOn w:val="21"/>
    <w:qFormat/>
    <w:uiPriority w:val="0"/>
    <w:rPr>
      <w:color w:val="FFFFFF"/>
      <w:shd w:val="clear" w:color="010000" w:fill="A00000"/>
    </w:rPr>
  </w:style>
  <w:style w:type="character" w:customStyle="1" w:styleId="37">
    <w:name w:val="redfilefwwh"/>
    <w:basedOn w:val="21"/>
    <w:qFormat/>
    <w:uiPriority w:val="0"/>
    <w:rPr>
      <w:color w:val="BA2636"/>
      <w:sz w:val="14"/>
      <w:szCs w:val="14"/>
    </w:rPr>
  </w:style>
  <w:style w:type="character" w:customStyle="1" w:styleId="38">
    <w:name w:val="redfilenumber"/>
    <w:basedOn w:val="21"/>
    <w:qFormat/>
    <w:uiPriority w:val="0"/>
    <w:rPr>
      <w:color w:val="BA2636"/>
      <w:sz w:val="14"/>
      <w:szCs w:val="14"/>
    </w:rPr>
  </w:style>
  <w:style w:type="character" w:customStyle="1" w:styleId="39">
    <w:name w:val="qxdate"/>
    <w:basedOn w:val="21"/>
    <w:qFormat/>
    <w:uiPriority w:val="0"/>
    <w:rPr>
      <w:color w:val="333333"/>
      <w:sz w:val="14"/>
      <w:szCs w:val="14"/>
    </w:rPr>
  </w:style>
  <w:style w:type="character" w:customStyle="1" w:styleId="40">
    <w:name w:val="cfdate"/>
    <w:basedOn w:val="21"/>
    <w:qFormat/>
    <w:uiPriority w:val="0"/>
    <w:rPr>
      <w:color w:val="333333"/>
      <w:sz w:val="14"/>
      <w:szCs w:val="14"/>
    </w:rPr>
  </w:style>
  <w:style w:type="character" w:customStyle="1" w:styleId="41">
    <w:name w:val="标题 1 Char"/>
    <w:link w:val="2"/>
    <w:qFormat/>
    <w:uiPriority w:val="0"/>
    <w:rPr>
      <w:b/>
      <w:bCs/>
      <w:sz w:val="24"/>
      <w:szCs w:val="20"/>
    </w:rPr>
  </w:style>
  <w:style w:type="character" w:customStyle="1" w:styleId="42">
    <w:name w:val="标题 3 Char"/>
    <w:link w:val="4"/>
    <w:qFormat/>
    <w:uiPriority w:val="0"/>
    <w:rPr>
      <w:b/>
      <w:bCs/>
      <w:sz w:val="32"/>
      <w:szCs w:val="32"/>
    </w:rPr>
  </w:style>
  <w:style w:type="paragraph" w:customStyle="1" w:styleId="43">
    <w:name w:val="Default"/>
    <w:next w:val="44"/>
    <w:qFormat/>
    <w:uiPriority w:val="99"/>
    <w:pPr>
      <w:widowControl w:val="0"/>
      <w:autoSpaceDE w:val="0"/>
      <w:autoSpaceDN w:val="0"/>
      <w:adjustRightInd w:val="0"/>
    </w:pPr>
    <w:rPr>
      <w:rFonts w:ascii="宋体" w:hAnsi="Times New Roman" w:eastAsia="宋体" w:cs="Times New Roman"/>
      <w:color w:val="000000"/>
      <w:kern w:val="0"/>
      <w:sz w:val="24"/>
      <w:szCs w:val="22"/>
      <w:lang w:val="en-US" w:eastAsia="zh-CN" w:bidi="ar-SA"/>
    </w:rPr>
  </w:style>
  <w:style w:type="paragraph" w:customStyle="1" w:styleId="44">
    <w:name w:val="TOC 71"/>
    <w:next w:val="1"/>
    <w:qFormat/>
    <w:uiPriority w:val="0"/>
    <w:pPr>
      <w:wordWrap w:val="0"/>
      <w:ind w:left="2550"/>
      <w:jc w:val="both"/>
    </w:pPr>
    <w:rPr>
      <w:rFonts w:ascii="Times New Roman" w:hAnsi="Times New Roman" w:eastAsia="宋体" w:cs="Times New Roman"/>
      <w:kern w:val="0"/>
      <w:sz w:val="21"/>
      <w:szCs w:val="22"/>
      <w:lang w:val="en-US" w:eastAsia="zh-CN" w:bidi="ar-SA"/>
    </w:rPr>
  </w:style>
  <w:style w:type="paragraph" w:customStyle="1" w:styleId="45">
    <w:name w:val="Plain Text1"/>
    <w:basedOn w:val="1"/>
    <w:qFormat/>
    <w:uiPriority w:val="0"/>
    <w:pPr>
      <w:adjustRightInd w:val="0"/>
      <w:snapToGrid w:val="0"/>
      <w:spacing w:line="300" w:lineRule="auto"/>
      <w:jc w:val="center"/>
      <w:outlineLvl w:val="2"/>
    </w:pPr>
    <w:rPr>
      <w:rFonts w:ascii="宋体" w:hAnsi="Courier New" w:cs="Courier New"/>
      <w:b/>
      <w:bCs/>
      <w:sz w:val="28"/>
      <w:szCs w:val="21"/>
    </w:rPr>
  </w:style>
  <w:style w:type="paragraph" w:customStyle="1" w:styleId="46">
    <w:name w:val="列出段落1"/>
    <w:basedOn w:val="1"/>
    <w:autoRedefine/>
    <w:qFormat/>
    <w:uiPriority w:val="34"/>
    <w:pPr>
      <w:ind w:firstLine="42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16052</Words>
  <Characters>17034</Characters>
  <Lines>0</Lines>
  <Paragraphs>0</Paragraphs>
  <TotalTime>29</TotalTime>
  <ScaleCrop>false</ScaleCrop>
  <LinksUpToDate>false</LinksUpToDate>
  <CharactersWithSpaces>17967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2020-04-01T00:51:00Z</dcterms:created>
  <dc:creator>Administrator</dc:creator>
  <cp:lastModifiedBy>-</cp:lastModifiedBy>
  <cp:lastPrinted>2020-12-30T07:36:00Z</cp:lastPrinted>
  <dcterms:modified xsi:type="dcterms:W3CDTF">2025-05-21T09:24:28Z</dcterms:modified>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E62DF36E30A14E8B8577EA489567C44A_13</vt:lpwstr>
  </property>
  <property fmtid="{D5CDD505-2E9C-101B-9397-08002B2CF9AE}" pid="4" name="KSOTemplateDocerSaveRecord">
    <vt:lpwstr>eyJoZGlkIjoiZjJhZTE3MDExMWUzMjJiNzEyMjNiYWY5MjMwMjMxMTYiLCJ1c2VySWQiOiI0MDIyNjE5NjIifQ==</vt:lpwstr>
  </property>
</Properties>
</file>