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2"/>
        <w:tblW w:w="1375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8"/>
        <w:gridCol w:w="1881"/>
        <w:gridCol w:w="6094"/>
        <w:gridCol w:w="2325"/>
        <w:gridCol w:w="1575"/>
        <w:gridCol w:w="1142"/>
      </w:tblGrid>
      <w:tr w14:paraId="4F18BC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2BE6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18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F719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标段名称</w:t>
            </w:r>
          </w:p>
        </w:tc>
        <w:tc>
          <w:tcPr>
            <w:tcW w:w="6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6459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招标范围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3D98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工期要求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9F70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交货地点</w:t>
            </w:r>
          </w:p>
        </w:tc>
        <w:tc>
          <w:tcPr>
            <w:tcW w:w="11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D512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信息服务费（元）</w:t>
            </w:r>
          </w:p>
        </w:tc>
      </w:tr>
      <w:tr w14:paraId="7DB80F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2" w:hRule="atLeast"/>
          <w:jc w:val="center"/>
        </w:trPr>
        <w:tc>
          <w:tcPr>
            <w:tcW w:w="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D1A7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8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8CFD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电力检修公司2025年上半年八盘峡、公伯峡、苏只电站机组检修级厂房共用部分防腐刷漆项目</w:t>
            </w:r>
          </w:p>
          <w:p w14:paraId="79386B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DNYZC-2025-05-01-363-04</w:t>
            </w:r>
          </w:p>
        </w:tc>
        <w:tc>
          <w:tcPr>
            <w:tcW w:w="6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293F1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20" w:firstLineChars="200"/>
              <w:jc w:val="left"/>
              <w:rPr>
                <w:rFonts w:hint="eastAsia" w:ascii="宋体" w:hAnsi="宋体" w:eastAsia="宋体" w:cs="宋体"/>
                <w:snapToGrid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napToGrid w:val="0"/>
                <w:sz w:val="21"/>
                <w:szCs w:val="21"/>
                <w:highlight w:val="none"/>
              </w:rPr>
              <w:t>1.2.1 招标范围</w:t>
            </w:r>
          </w:p>
          <w:p w14:paraId="3314790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20" w:firstLineChars="200"/>
              <w:jc w:val="left"/>
              <w:rPr>
                <w:rFonts w:hint="eastAsia" w:ascii="宋体" w:hAnsi="宋体" w:eastAsia="宋体" w:cs="宋体"/>
                <w:snapToGrid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napToGrid w:val="0"/>
                <w:sz w:val="21"/>
                <w:szCs w:val="21"/>
                <w:highlight w:val="none"/>
              </w:rPr>
              <w:t>2025年上半年八盘峡、公伯峡、苏只电站机组技改及厂房公用部分防腐刷漆外委施工项目。</w:t>
            </w:r>
          </w:p>
          <w:p w14:paraId="4EF2E71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20" w:firstLineChars="200"/>
              <w:jc w:val="left"/>
              <w:rPr>
                <w:rFonts w:hint="eastAsia" w:ascii="宋体" w:hAnsi="宋体" w:eastAsia="宋体" w:cs="宋体"/>
                <w:snapToGrid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napToGrid w:val="0"/>
                <w:sz w:val="21"/>
                <w:szCs w:val="21"/>
                <w:highlight w:val="none"/>
              </w:rPr>
              <w:t>1.2.2 主要工作内容</w:t>
            </w:r>
          </w:p>
          <w:p w14:paraId="75951A5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20" w:firstLineChars="200"/>
              <w:jc w:val="left"/>
              <w:rPr>
                <w:rFonts w:hint="eastAsia" w:ascii="宋体" w:hAnsi="宋体" w:eastAsia="宋体" w:cs="宋体"/>
                <w:snapToGrid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napToGrid w:val="0"/>
                <w:sz w:val="21"/>
                <w:szCs w:val="21"/>
                <w:highlight w:val="none"/>
              </w:rPr>
              <w:t>八盘峡1号机技术改造、公伯峡、苏只电站厂房公用部分刷漆等项目，需开展机组段及厂房公共部分刷漆工作，施工内容包括机组段油、水、风系统管路等设备部件防腐刷漆工作；厂房公用部分厂坝间、主变、排水沟警戒线、厂房楼梯栏杆、踢脚板、踏板等部位防腐刷漆工作。</w:t>
            </w:r>
          </w:p>
          <w:p w14:paraId="2C019761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20" w:firstLineChars="200"/>
              <w:jc w:val="left"/>
              <w:rPr>
                <w:rFonts w:hint="eastAsia" w:ascii="宋体" w:hAnsi="宋体" w:eastAsia="宋体" w:cs="宋体"/>
                <w:snapToGrid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napToGrid w:val="0"/>
                <w:sz w:val="21"/>
                <w:szCs w:val="21"/>
                <w:highlight w:val="none"/>
              </w:rPr>
              <w:t>注：具体工程量清单详见招标文件。</w:t>
            </w:r>
          </w:p>
          <w:p w14:paraId="5D5B6D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6A7F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  <w:t>① 八盘峡机组技改及厂房公用部分防腐刷漆；计划工期20天。</w:t>
            </w:r>
          </w:p>
          <w:p w14:paraId="47ED1C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  <w:t>② 公伯峡厂房公用部分防腐刷漆；计划工期40天。</w:t>
            </w:r>
          </w:p>
          <w:p w14:paraId="1D0E85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  <w:t>③ 苏只厂房公用部分防腐刷漆；计划工期40天。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58762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  <w:t>项目实施地点：八盘峡水电站、公伯峡水电站、苏只水电站。</w:t>
            </w:r>
          </w:p>
        </w:tc>
        <w:tc>
          <w:tcPr>
            <w:tcW w:w="11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2244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300.00 </w:t>
            </w:r>
          </w:p>
        </w:tc>
      </w:tr>
      <w:tr w14:paraId="0B40FC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  <w:jc w:val="center"/>
        </w:trPr>
        <w:tc>
          <w:tcPr>
            <w:tcW w:w="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ADC7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8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DEE2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电力检修公司自动体外除颤器采购</w:t>
            </w:r>
          </w:p>
          <w:p w14:paraId="681084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DNYZC-2025-05-01-363-05</w:t>
            </w:r>
          </w:p>
        </w:tc>
        <w:tc>
          <w:tcPr>
            <w:tcW w:w="6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C5F632">
            <w:pPr>
              <w:spacing w:line="360" w:lineRule="auto"/>
              <w:jc w:val="left"/>
              <w:rPr>
                <w:rFonts w:ascii="Times New Roman" w:hAnsi="Times New Roman" w:eastAsia="宋体"/>
                <w:color w:val="auto"/>
                <w:sz w:val="24"/>
                <w:szCs w:val="24"/>
                <w:highlight w:val="none"/>
              </w:rPr>
            </w:pPr>
            <w:bookmarkStart w:id="0" w:name="_Hlk87627091"/>
            <w:r>
              <w:rPr>
                <w:rFonts w:ascii="Times New Roman" w:hAnsi="Times New Roman" w:eastAsia="宋体"/>
                <w:color w:val="auto"/>
                <w:sz w:val="24"/>
                <w:szCs w:val="24"/>
                <w:highlight w:val="none"/>
              </w:rPr>
              <w:t>1.2.1本次主要招标内容包括下列项目（但不限于）:</w:t>
            </w:r>
          </w:p>
          <w:bookmarkEnd w:id="0"/>
          <w:p w14:paraId="1656ADB3">
            <w:pPr>
              <w:widowControl w:val="0"/>
              <w:adjustRightInd w:val="0"/>
              <w:spacing w:line="360" w:lineRule="auto"/>
              <w:ind w:firstLine="360" w:firstLineChars="150"/>
              <w:rPr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eastAsia="宋体"/>
                <w:color w:val="auto"/>
                <w:sz w:val="24"/>
                <w:szCs w:val="24"/>
                <w:highlight w:val="none"/>
              </w:rPr>
              <w:t>电力检修公司自动体外除颤器采购</w:t>
            </w:r>
            <w:r>
              <w:rPr>
                <w:rFonts w:hint="eastAsia" w:eastAsia="宋体"/>
                <w:color w:val="auto"/>
                <w:sz w:val="24"/>
                <w:szCs w:val="24"/>
                <w:highlight w:val="none"/>
                <w:lang w:val="en-US" w:eastAsia="zh-CN"/>
              </w:rPr>
              <w:t>。</w:t>
            </w:r>
            <w:r>
              <w:rPr>
                <w:color w:val="auto"/>
                <w:sz w:val="24"/>
                <w:szCs w:val="24"/>
                <w:highlight w:val="none"/>
              </w:rPr>
              <w:t>本招标项目清单如下：</w:t>
            </w:r>
          </w:p>
          <w:tbl>
            <w:tblPr>
              <w:tblStyle w:val="12"/>
              <w:tblW w:w="5875" w:type="dxa"/>
              <w:tblInd w:w="0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387"/>
              <w:gridCol w:w="613"/>
              <w:gridCol w:w="2010"/>
              <w:gridCol w:w="468"/>
              <w:gridCol w:w="520"/>
              <w:gridCol w:w="975"/>
              <w:gridCol w:w="902"/>
            </w:tblGrid>
            <w:tr w14:paraId="627F3F20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824" w:hRule="atLeast"/>
              </w:trPr>
              <w:tc>
                <w:tcPr>
                  <w:tcW w:w="329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0B61483B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left"/>
                    <w:textAlignment w:val="auto"/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  <w:t>序号</w:t>
                  </w:r>
                </w:p>
              </w:tc>
              <w:tc>
                <w:tcPr>
                  <w:tcW w:w="521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67287FA9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left"/>
                    <w:textAlignment w:val="auto"/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  <w:t>物资名称</w:t>
                  </w:r>
                </w:p>
              </w:tc>
              <w:tc>
                <w:tcPr>
                  <w:tcW w:w="1710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27FA3270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  <w:t>规格型号及</w:t>
                  </w:r>
                </w:p>
                <w:p w14:paraId="00C4FD9C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  <w:t>产品编号</w:t>
                  </w:r>
                </w:p>
              </w:tc>
              <w:tc>
                <w:tcPr>
                  <w:tcW w:w="398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548AA64F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left"/>
                    <w:textAlignment w:val="auto"/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  <w:t>单位</w:t>
                  </w:r>
                </w:p>
              </w:tc>
              <w:tc>
                <w:tcPr>
                  <w:tcW w:w="442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123B664A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  <w:t>需求</w:t>
                  </w:r>
                </w:p>
                <w:p w14:paraId="31A132A7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  <w:t>数量</w:t>
                  </w:r>
                </w:p>
              </w:tc>
              <w:tc>
                <w:tcPr>
                  <w:tcW w:w="829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1E3F88CE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left"/>
                    <w:textAlignment w:val="auto"/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  <w:t>用途</w:t>
                  </w:r>
                </w:p>
              </w:tc>
              <w:tc>
                <w:tcPr>
                  <w:tcW w:w="767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664FAD7B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left"/>
                    <w:textAlignment w:val="auto"/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  <w:t>备注</w:t>
                  </w:r>
                </w:p>
              </w:tc>
            </w:tr>
            <w:tr w14:paraId="0DAAC9EC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90" w:hRule="atLeast"/>
              </w:trPr>
              <w:tc>
                <w:tcPr>
                  <w:tcW w:w="329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3C0FB596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  <w:t>1</w:t>
                  </w:r>
                </w:p>
              </w:tc>
              <w:tc>
                <w:tcPr>
                  <w:tcW w:w="521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421E4AAE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自动体外除颤器</w:t>
                  </w:r>
                </w:p>
              </w:tc>
              <w:tc>
                <w:tcPr>
                  <w:tcW w:w="1710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12E64516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除颤技术：电流控制双向波</w:t>
                  </w:r>
                </w:p>
                <w:p w14:paraId="1D1C6054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数据管理：支持CF卡导出数据，云平台对数据进行归档管理</w:t>
                  </w:r>
                </w:p>
                <w:p w14:paraId="7DCA3C6F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标配：主机、通用电池片、便携包；</w:t>
                  </w:r>
                </w:p>
                <w:p w14:paraId="092DC778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重量：不超过3.5kg；</w:t>
                  </w:r>
                </w:p>
                <w:p w14:paraId="649823B7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防水防尘等级：不低于IP55；</w:t>
                  </w:r>
                </w:p>
                <w:p w14:paraId="1717147F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除颤能量：成人150J-360J之间、儿童模式50J-100J，且能根据患者情况自动或手动调节；</w:t>
                  </w:r>
                </w:p>
                <w:p w14:paraId="3093C3F1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放电时间：5-8秒之间；</w:t>
                  </w:r>
                </w:p>
                <w:p w14:paraId="03FA6AF3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电池待机时长：4年（不放电条件下）；</w:t>
                  </w:r>
                </w:p>
                <w:p w14:paraId="2B1ADAC9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电池充放电次数：≥200次；</w:t>
                  </w:r>
                </w:p>
                <w:p w14:paraId="1941E44D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成人儿童模式切换：可实现成人或儿童模式手动或自动切换；</w:t>
                  </w:r>
                </w:p>
                <w:p w14:paraId="0E7B0970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其他要求：免维护锂电池，低电量提示、每日自检功能、故障提示功能等；</w:t>
                  </w:r>
                </w:p>
                <w:p w14:paraId="69D2B679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质保期：主机质保期5年；</w:t>
                  </w:r>
                </w:p>
                <w:p w14:paraId="2B789EB7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附带厂家现场使用培训。</w:t>
                  </w:r>
                </w:p>
              </w:tc>
              <w:tc>
                <w:tcPr>
                  <w:tcW w:w="398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349DC745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台</w:t>
                  </w:r>
                </w:p>
              </w:tc>
              <w:tc>
                <w:tcPr>
                  <w:tcW w:w="442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297E5FE9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default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  <w:t>13</w:t>
                  </w:r>
                </w:p>
              </w:tc>
              <w:tc>
                <w:tcPr>
                  <w:tcW w:w="829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3C398240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用于各检修、施工作业场所人员紧急医疗救护</w:t>
                  </w:r>
                </w:p>
              </w:tc>
              <w:tc>
                <w:tcPr>
                  <w:tcW w:w="767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4508DBF1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left"/>
                    <w:textAlignment w:val="auto"/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推荐品牌：荷兰飞利浦PHILIPS、国产迈瑞mindray、美国卓尔ZOLL</w:t>
                  </w: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  <w:lang w:val="en-US" w:eastAsia="zh-CN"/>
                    </w:rPr>
                    <w:t>三选一或等同于上述品牌产品</w:t>
                  </w: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。</w:t>
                  </w:r>
                </w:p>
              </w:tc>
            </w:tr>
            <w:tr w14:paraId="41EF1A10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469" w:hRule="atLeast"/>
              </w:trPr>
              <w:tc>
                <w:tcPr>
                  <w:tcW w:w="329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5249FF27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  <w:t>2</w:t>
                  </w:r>
                </w:p>
              </w:tc>
              <w:tc>
                <w:tcPr>
                  <w:tcW w:w="521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607BA8AE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除颤器机柜</w:t>
                  </w:r>
                </w:p>
              </w:tc>
              <w:tc>
                <w:tcPr>
                  <w:tcW w:w="1710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44C680B4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机箱材质：优质镀锌钢板</w:t>
                  </w:r>
                </w:p>
                <w:p w14:paraId="6E9F54CB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柜表处理：室内静电喷粉</w:t>
                  </w:r>
                </w:p>
                <w:p w14:paraId="139221E3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电池寿命：&gt;5年</w:t>
                  </w:r>
                </w:p>
                <w:p w14:paraId="7CC62486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门锁：无锁，磁铁自吸；扫码或人脸识别</w:t>
                  </w:r>
                </w:p>
                <w:p w14:paraId="403B56E7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报警功能：声光报警</w:t>
                  </w:r>
                </w:p>
                <w:p w14:paraId="6C6D1CAE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机箱尺寸：170*45*24（cm）</w:t>
                  </w:r>
                </w:p>
                <w:p w14:paraId="1AB9B19D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电源参数：DC12V、200W</w:t>
                  </w:r>
                </w:p>
                <w:p w14:paraId="25E77218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屏幕尺寸：14寸（16:9）</w:t>
                  </w:r>
                </w:p>
              </w:tc>
              <w:tc>
                <w:tcPr>
                  <w:tcW w:w="398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1781563F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  <w:t>套</w:t>
                  </w:r>
                </w:p>
              </w:tc>
              <w:tc>
                <w:tcPr>
                  <w:tcW w:w="442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6FB5C8B3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default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</w:pPr>
                  <w:r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  <w:t>13</w:t>
                  </w:r>
                </w:p>
              </w:tc>
              <w:tc>
                <w:tcPr>
                  <w:tcW w:w="829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3BDCBF62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highlight w:val="none"/>
                    </w:rPr>
                    <w:t>用于自动体外除颤器存放</w:t>
                  </w:r>
                </w:p>
              </w:tc>
              <w:tc>
                <w:tcPr>
                  <w:tcW w:w="767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2A3FC9DC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left="0" w:leftChars="0" w:right="0" w:rightChars="0" w:firstLine="0" w:firstLineChars="0"/>
                    <w:jc w:val="left"/>
                    <w:textAlignment w:val="auto"/>
                    <w:outlineLvl w:val="9"/>
                    <w:rPr>
                      <w:rFonts w:hint="eastAsia" w:ascii="宋体" w:hAnsi="宋体" w:eastAsia="宋体" w:cs="宋体"/>
                      <w:kern w:val="2"/>
                      <w:sz w:val="21"/>
                      <w:szCs w:val="21"/>
                      <w:highlight w:val="none"/>
                      <w:lang w:val="en-US" w:eastAsia="zh-CN" w:bidi="ar-SA"/>
                    </w:rPr>
                  </w:pPr>
                </w:p>
              </w:tc>
            </w:tr>
          </w:tbl>
          <w:p w14:paraId="68DCC97B">
            <w:pPr>
              <w:spacing w:line="360" w:lineRule="auto"/>
              <w:jc w:val="left"/>
              <w:rPr>
                <w:rFonts w:ascii="Times New Roman" w:hAnsi="Times New Roman" w:eastAsia="宋体"/>
                <w:color w:val="auto"/>
                <w:sz w:val="24"/>
                <w:szCs w:val="24"/>
                <w:highlight w:val="none"/>
              </w:rPr>
            </w:pPr>
          </w:p>
          <w:p w14:paraId="2389FBE9">
            <w:pPr>
              <w:widowControl w:val="0"/>
              <w:spacing w:line="360" w:lineRule="auto"/>
              <w:rPr>
                <w:rFonts w:ascii="Times New Roman" w:hAnsi="Times New Roman"/>
                <w:strike w:val="0"/>
                <w:color w:val="000000"/>
                <w:sz w:val="24"/>
                <w:szCs w:val="24"/>
                <w:highlight w:val="none"/>
                <w:lang w:bidi="ar"/>
              </w:rPr>
            </w:pPr>
            <w:r>
              <w:rPr>
                <w:rFonts w:ascii="Times New Roman" w:hAnsi="Times New Roman"/>
                <w:strike w:val="0"/>
                <w:color w:val="000000"/>
                <w:sz w:val="24"/>
                <w:szCs w:val="24"/>
                <w:highlight w:val="none"/>
                <w:lang w:bidi="ar"/>
              </w:rPr>
              <w:t>1.2.</w:t>
            </w:r>
            <w:r>
              <w:rPr>
                <w:rFonts w:hint="eastAsia" w:ascii="Times New Roman" w:hAnsi="Times New Roman"/>
                <w:strike w:val="0"/>
                <w:color w:val="000000"/>
                <w:sz w:val="24"/>
                <w:szCs w:val="24"/>
                <w:highlight w:val="none"/>
                <w:lang w:val="en-US" w:eastAsia="zh-CN" w:bidi="ar"/>
              </w:rPr>
              <w:t>2</w:t>
            </w:r>
            <w:r>
              <w:rPr>
                <w:rFonts w:ascii="Times New Roman" w:hAnsi="Times New Roman"/>
                <w:strike w:val="0"/>
                <w:color w:val="000000"/>
                <w:sz w:val="24"/>
                <w:szCs w:val="24"/>
                <w:highlight w:val="none"/>
                <w:lang w:bidi="ar"/>
              </w:rPr>
              <w:t>主要工作内容：</w:t>
            </w:r>
          </w:p>
          <w:p w14:paraId="46DD241E">
            <w:pPr>
              <w:pStyle w:val="14"/>
              <w:tabs>
                <w:tab w:val="left" w:pos="1080"/>
              </w:tabs>
              <w:spacing w:line="360" w:lineRule="auto"/>
              <w:ind w:left="0" w:firstLine="750" w:firstLineChars="300"/>
              <w:rPr>
                <w:rFonts w:hint="eastAsia"/>
              </w:rPr>
            </w:pPr>
            <w:r>
              <w:rPr>
                <w:rFonts w:hint="eastAsia" w:ascii="Times New Roman" w:hAnsi="Times New Roman" w:eastAsia="宋体"/>
                <w:color w:val="000000"/>
                <w:highlight w:val="none"/>
                <w:lang w:eastAsia="zh-CN"/>
              </w:rPr>
              <w:t>自动体外除颤器及除颤器</w:t>
            </w:r>
            <w:r>
              <w:rPr>
                <w:rFonts w:hint="eastAsia" w:ascii="Times New Roman" w:hAnsi="Times New Roman" w:eastAsia="宋体"/>
                <w:color w:val="000000"/>
                <w:highlight w:val="none"/>
                <w:lang w:val="en-US" w:eastAsia="zh-CN"/>
              </w:rPr>
              <w:t>采购、使用培训</w:t>
            </w:r>
            <w:r>
              <w:rPr>
                <w:rFonts w:hint="eastAsia" w:ascii="Times New Roman" w:hAnsi="Times New Roman" w:eastAsia="宋体"/>
                <w:color w:val="000000"/>
                <w:highlight w:val="none"/>
                <w:lang w:eastAsia="zh-CN"/>
              </w:rPr>
              <w:t>。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D2DF91">
            <w:pPr>
              <w:numPr>
                <w:ilvl w:val="0"/>
                <w:numId w:val="0"/>
              </w:numPr>
              <w:tabs>
                <w:tab w:val="left" w:pos="1080"/>
              </w:tabs>
              <w:autoSpaceDE w:val="0"/>
              <w:autoSpaceDN w:val="0"/>
              <w:adjustRightInd w:val="0"/>
              <w:spacing w:line="360" w:lineRule="auto"/>
              <w:rPr>
                <w:rFonts w:hint="default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bidi="ar"/>
              </w:rPr>
              <w:t>交货时间：</w:t>
            </w:r>
            <w:r>
              <w:rPr>
                <w:rFonts w:hint="eastAsia" w:ascii="宋体" w:hAnsi="宋体" w:eastAsia="宋体" w:cs="宋体"/>
                <w:strike w:val="0"/>
                <w:color w:val="000000"/>
                <w:kern w:val="0"/>
                <w:sz w:val="24"/>
                <w:szCs w:val="24"/>
                <w:highlight w:val="none"/>
                <w:lang w:val="en-US" w:eastAsia="zh-CN" w:bidi="ar"/>
              </w:rPr>
              <w:t>自合同签订30日内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bidi="ar"/>
              </w:rPr>
              <w:t>。</w:t>
            </w:r>
          </w:p>
          <w:p w14:paraId="1B8E4B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ED42F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  <w:t>交货地点：青海省西宁市城北区海西路9号</w:t>
            </w:r>
          </w:p>
          <w:p w14:paraId="18731FA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  <w:t>青海省海南州共和县龙羊峡镇龙羊峡水电厂</w:t>
            </w:r>
          </w:p>
          <w:p w14:paraId="7C66374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  <w:t>青海省海南州贵德县拉西瓦镇拉西瓦水电厂</w:t>
            </w:r>
          </w:p>
          <w:p w14:paraId="1CD790D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  <w:t>青海省海东市化隆县甘都镇公伯峡水电厂</w:t>
            </w:r>
          </w:p>
          <w:p w14:paraId="06208BD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  <w:t>甘肃省临夏州永靖县盐锅峡镇盐锅峡水电厂</w:t>
            </w:r>
          </w:p>
          <w:p w14:paraId="19A7048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  <w:t>宁夏回族自治州吴忠市青铜峡镇青铜峡水电厂</w:t>
            </w:r>
          </w:p>
        </w:tc>
        <w:tc>
          <w:tcPr>
            <w:tcW w:w="11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9007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300.00 </w:t>
            </w:r>
          </w:p>
        </w:tc>
      </w:tr>
    </w:tbl>
    <w:p w14:paraId="7F1FF36D">
      <w:bookmarkStart w:id="1" w:name="_GoBack"/>
      <w:bookmarkEnd w:id="1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5F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B"/>
    <w:multiLevelType w:val="multilevel"/>
    <w:tmpl w:val="0000000B"/>
    <w:lvl w:ilvl="0" w:tentative="0">
      <w:start w:val="1"/>
      <w:numFmt w:val="decimal"/>
      <w:lvlText w:val="（%1）"/>
      <w:lvlJc w:val="left"/>
      <w:pPr>
        <w:ind w:left="987" w:hanging="420"/>
      </w:pPr>
      <w:rPr>
        <w:rFonts w:hint="eastAsia"/>
      </w:rPr>
    </w:lvl>
    <w:lvl w:ilvl="1" w:tentative="0">
      <w:start w:val="1"/>
      <w:numFmt w:val="lowerLetter"/>
      <w:pStyle w:val="2"/>
      <w:lvlText w:val="%2)"/>
      <w:lvlJc w:val="left"/>
      <w:pPr>
        <w:ind w:left="1680" w:hanging="420"/>
      </w:pPr>
    </w:lvl>
    <w:lvl w:ilvl="2" w:tentative="0">
      <w:start w:val="1"/>
      <w:numFmt w:val="lowerRoman"/>
      <w:lvlText w:val="%3."/>
      <w:lvlJc w:val="right"/>
      <w:pPr>
        <w:ind w:left="1827" w:hanging="420"/>
      </w:pPr>
    </w:lvl>
    <w:lvl w:ilvl="3" w:tentative="0">
      <w:start w:val="1"/>
      <w:numFmt w:val="decimal"/>
      <w:lvlText w:val="%4."/>
      <w:lvlJc w:val="left"/>
      <w:pPr>
        <w:ind w:left="2247" w:hanging="420"/>
      </w:pPr>
    </w:lvl>
    <w:lvl w:ilvl="4" w:tentative="0">
      <w:start w:val="1"/>
      <w:numFmt w:val="lowerLetter"/>
      <w:lvlText w:val="%5)"/>
      <w:lvlJc w:val="left"/>
      <w:pPr>
        <w:ind w:left="2667" w:hanging="420"/>
      </w:pPr>
    </w:lvl>
    <w:lvl w:ilvl="5" w:tentative="0">
      <w:start w:val="1"/>
      <w:numFmt w:val="lowerRoman"/>
      <w:lvlText w:val="%6."/>
      <w:lvlJc w:val="right"/>
      <w:pPr>
        <w:ind w:left="3087" w:hanging="420"/>
      </w:pPr>
    </w:lvl>
    <w:lvl w:ilvl="6" w:tentative="0">
      <w:start w:val="1"/>
      <w:numFmt w:val="decimal"/>
      <w:lvlText w:val="%7."/>
      <w:lvlJc w:val="left"/>
      <w:pPr>
        <w:ind w:left="3507" w:hanging="420"/>
      </w:pPr>
    </w:lvl>
    <w:lvl w:ilvl="7" w:tentative="0">
      <w:start w:val="1"/>
      <w:numFmt w:val="lowerLetter"/>
      <w:lvlText w:val="%8)"/>
      <w:lvlJc w:val="left"/>
      <w:pPr>
        <w:ind w:left="3927" w:hanging="420"/>
      </w:pPr>
    </w:lvl>
    <w:lvl w:ilvl="8" w:tentative="0">
      <w:start w:val="1"/>
      <w:numFmt w:val="lowerRoman"/>
      <w:lvlText w:val="%9."/>
      <w:lvlJc w:val="right"/>
      <w:pPr>
        <w:ind w:left="4347" w:hanging="420"/>
      </w:pPr>
    </w:lvl>
  </w:abstractNum>
  <w:abstractNum w:abstractNumId="1">
    <w:nsid w:val="00000013"/>
    <w:multiLevelType w:val="multilevel"/>
    <w:tmpl w:val="00000013"/>
    <w:lvl w:ilvl="0" w:tentative="0">
      <w:start w:val="1"/>
      <w:numFmt w:val="decimal"/>
      <w:pStyle w:val="3"/>
      <w:lvlText w:val="（%1）"/>
      <w:lvlJc w:val="left"/>
      <w:pPr>
        <w:ind w:left="987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1407" w:hanging="420"/>
      </w:pPr>
    </w:lvl>
    <w:lvl w:ilvl="2" w:tentative="0">
      <w:start w:val="1"/>
      <w:numFmt w:val="lowerRoman"/>
      <w:lvlText w:val="%3."/>
      <w:lvlJc w:val="right"/>
      <w:pPr>
        <w:ind w:left="1827" w:hanging="420"/>
      </w:pPr>
    </w:lvl>
    <w:lvl w:ilvl="3" w:tentative="0">
      <w:start w:val="1"/>
      <w:numFmt w:val="decimal"/>
      <w:lvlText w:val="%4."/>
      <w:lvlJc w:val="left"/>
      <w:pPr>
        <w:ind w:left="2247" w:hanging="420"/>
      </w:pPr>
    </w:lvl>
    <w:lvl w:ilvl="4" w:tentative="0">
      <w:start w:val="1"/>
      <w:numFmt w:val="lowerLetter"/>
      <w:lvlText w:val="%5)"/>
      <w:lvlJc w:val="left"/>
      <w:pPr>
        <w:ind w:left="2667" w:hanging="420"/>
      </w:pPr>
    </w:lvl>
    <w:lvl w:ilvl="5" w:tentative="0">
      <w:start w:val="1"/>
      <w:numFmt w:val="lowerRoman"/>
      <w:lvlText w:val="%6."/>
      <w:lvlJc w:val="right"/>
      <w:pPr>
        <w:ind w:left="3087" w:hanging="420"/>
      </w:pPr>
    </w:lvl>
    <w:lvl w:ilvl="6" w:tentative="0">
      <w:start w:val="1"/>
      <w:numFmt w:val="decimal"/>
      <w:lvlText w:val="%7."/>
      <w:lvlJc w:val="left"/>
      <w:pPr>
        <w:ind w:left="3507" w:hanging="420"/>
      </w:pPr>
    </w:lvl>
    <w:lvl w:ilvl="7" w:tentative="0">
      <w:start w:val="1"/>
      <w:numFmt w:val="lowerLetter"/>
      <w:lvlText w:val="%8)"/>
      <w:lvlJc w:val="left"/>
      <w:pPr>
        <w:ind w:left="3927" w:hanging="420"/>
      </w:pPr>
    </w:lvl>
    <w:lvl w:ilvl="8" w:tentative="0">
      <w:start w:val="1"/>
      <w:numFmt w:val="lowerRoman"/>
      <w:lvlText w:val="%9."/>
      <w:lvlJc w:val="right"/>
      <w:pPr>
        <w:ind w:left="4347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2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256FCD"/>
    <w:rsid w:val="79256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9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paragraph" w:styleId="7">
    <w:name w:val="heading 4"/>
    <w:basedOn w:val="1"/>
    <w:next w:val="1"/>
    <w:unhideWhenUsed/>
    <w:qFormat/>
    <w:uiPriority w:val="9"/>
    <w:pPr>
      <w:tabs>
        <w:tab w:val="left" w:pos="1200"/>
      </w:tabs>
      <w:spacing w:line="360" w:lineRule="auto"/>
      <w:outlineLvl w:val="3"/>
    </w:pPr>
    <w:rPr>
      <w:rFonts w:ascii="宋体"/>
      <w:color w:val="000000"/>
      <w:sz w:val="24"/>
    </w:rPr>
  </w:style>
  <w:style w:type="character" w:default="1" w:styleId="13">
    <w:name w:val="Default Paragraph Font"/>
    <w:semiHidden/>
    <w:uiPriority w:val="0"/>
  </w:style>
  <w:style w:type="table" w:default="1" w:styleId="1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引言二级条标题"/>
    <w:basedOn w:val="3"/>
    <w:next w:val="1"/>
    <w:qFormat/>
    <w:uiPriority w:val="0"/>
    <w:pPr>
      <w:numPr>
        <w:ilvl w:val="1"/>
        <w:numId w:val="1"/>
      </w:numPr>
      <w:tabs>
        <w:tab w:val="left" w:pos="0"/>
        <w:tab w:val="left" w:pos="360"/>
        <w:tab w:val="left" w:pos="425"/>
        <w:tab w:val="left" w:pos="1200"/>
        <w:tab w:val="left" w:pos="1320"/>
        <w:tab w:val="left" w:pos="2160"/>
        <w:tab w:val="center" w:pos="4153"/>
        <w:tab w:val="right" w:pos="8306"/>
      </w:tabs>
      <w:jc w:val="left"/>
    </w:pPr>
    <w:rPr>
      <w:sz w:val="20"/>
    </w:rPr>
  </w:style>
  <w:style w:type="paragraph" w:customStyle="1" w:styleId="3">
    <w:name w:val="引言一级条标题"/>
    <w:basedOn w:val="4"/>
    <w:next w:val="8"/>
    <w:qFormat/>
    <w:uiPriority w:val="0"/>
    <w:pPr>
      <w:widowControl/>
      <w:numPr>
        <w:ilvl w:val="0"/>
        <w:numId w:val="2"/>
      </w:numPr>
      <w:tabs>
        <w:tab w:val="left" w:pos="0"/>
        <w:tab w:val="left" w:pos="425"/>
        <w:tab w:val="left" w:pos="1200"/>
        <w:tab w:val="left" w:pos="2160"/>
        <w:tab w:val="center" w:pos="4153"/>
        <w:tab w:val="right" w:pos="8306"/>
      </w:tabs>
    </w:pPr>
    <w:rPr>
      <w:rFonts w:ascii="Times New Roman" w:hAnsi="Times New Roman" w:eastAsia="黑体"/>
    </w:rPr>
  </w:style>
  <w:style w:type="paragraph" w:customStyle="1" w:styleId="4">
    <w:name w:val="正文1"/>
    <w:basedOn w:val="5"/>
    <w:next w:val="2"/>
    <w:semiHidden/>
    <w:qFormat/>
    <w:uiPriority w:val="0"/>
    <w:pPr>
      <w:keepNext w:val="0"/>
      <w:keepLines w:val="0"/>
      <w:tabs>
        <w:tab w:val="left" w:pos="0"/>
        <w:tab w:val="left" w:pos="425"/>
        <w:tab w:val="left" w:pos="1200"/>
        <w:tab w:val="left" w:pos="2160"/>
        <w:tab w:val="center" w:pos="4153"/>
        <w:tab w:val="right" w:pos="8306"/>
      </w:tabs>
      <w:adjustRightInd w:val="0"/>
      <w:spacing w:before="0" w:after="0" w:line="490" w:lineRule="exact"/>
      <w:textAlignment w:val="baseline"/>
      <w:outlineLvl w:val="9"/>
    </w:pPr>
    <w:rPr>
      <w:rFonts w:ascii="仿宋_GB2312" w:eastAsia="仿宋_GB2312"/>
      <w:kern w:val="0"/>
      <w:sz w:val="34"/>
    </w:rPr>
  </w:style>
  <w:style w:type="paragraph" w:customStyle="1" w:styleId="5">
    <w:name w:val="样式1"/>
    <w:basedOn w:val="6"/>
    <w:next w:val="7"/>
    <w:qFormat/>
    <w:uiPriority w:val="0"/>
    <w:pPr>
      <w:tabs>
        <w:tab w:val="left" w:pos="1200"/>
        <w:tab w:val="center" w:pos="4153"/>
        <w:tab w:val="right" w:pos="8306"/>
      </w:tabs>
      <w:spacing w:before="100" w:after="100"/>
    </w:pPr>
    <w:rPr>
      <w:rFonts w:hAnsi="宋体"/>
    </w:rPr>
  </w:style>
  <w:style w:type="paragraph" w:styleId="6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cs="Times New Roman"/>
      <w:kern w:val="0"/>
      <w:sz w:val="18"/>
      <w:szCs w:val="18"/>
    </w:rPr>
  </w:style>
  <w:style w:type="paragraph" w:customStyle="1" w:styleId="8">
    <w:name w:val="段"/>
    <w:basedOn w:val="9"/>
    <w:next w:val="1"/>
    <w:qFormat/>
    <w:uiPriority w:val="0"/>
    <w:pPr>
      <w:autoSpaceDE w:val="0"/>
      <w:autoSpaceDN w:val="0"/>
      <w:ind w:firstLine="200" w:firstLineChars="200"/>
    </w:pPr>
    <w:rPr>
      <w:rFonts w:hAnsi="Times New Roman"/>
      <w:sz w:val="21"/>
    </w:rPr>
  </w:style>
  <w:style w:type="paragraph" w:styleId="9">
    <w:name w:val="Plain Text"/>
    <w:basedOn w:val="1"/>
    <w:next w:val="10"/>
    <w:qFormat/>
    <w:uiPriority w:val="0"/>
    <w:pPr>
      <w:adjustRightInd w:val="0"/>
      <w:spacing w:line="312" w:lineRule="atLeast"/>
      <w:textAlignment w:val="baseline"/>
    </w:pPr>
    <w:rPr>
      <w:rFonts w:ascii="宋体" w:hAnsi="Courier New" w:cs="Times New Roman"/>
      <w:kern w:val="0"/>
      <w:sz w:val="20"/>
      <w:szCs w:val="20"/>
    </w:rPr>
  </w:style>
  <w:style w:type="paragraph" w:customStyle="1" w:styleId="10">
    <w:name w:val="标准"/>
    <w:basedOn w:val="11"/>
    <w:qFormat/>
    <w:uiPriority w:val="0"/>
    <w:pPr>
      <w:tabs>
        <w:tab w:val="center" w:pos="4153"/>
        <w:tab w:val="right" w:pos="8306"/>
      </w:tabs>
      <w:adjustRightInd w:val="0"/>
      <w:spacing w:line="312" w:lineRule="atLeast"/>
      <w:textAlignment w:val="baseline"/>
    </w:pPr>
    <w:rPr>
      <w:rFonts w:ascii="Times New Roman" w:hAnsi="Times New Roman" w:cs="Times New Roman"/>
      <w:kern w:val="0"/>
      <w:sz w:val="24"/>
      <w:szCs w:val="24"/>
    </w:rPr>
  </w:style>
  <w:style w:type="paragraph" w:styleId="11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 w:cs="Times New Roman"/>
      <w:kern w:val="0"/>
      <w:sz w:val="18"/>
      <w:szCs w:val="18"/>
    </w:rPr>
  </w:style>
  <w:style w:type="paragraph" w:customStyle="1" w:styleId="14">
    <w:name w:val="NN"/>
    <w:basedOn w:val="1"/>
    <w:qFormat/>
    <w:uiPriority w:val="0"/>
    <w:pPr>
      <w:autoSpaceDE w:val="0"/>
      <w:autoSpaceDN w:val="0"/>
      <w:adjustRightInd w:val="0"/>
      <w:spacing w:line="360" w:lineRule="atLeast"/>
      <w:ind w:left="1134"/>
    </w:pPr>
    <w:rPr>
      <w:rFonts w:ascii="宋体"/>
      <w:spacing w:val="5"/>
      <w:kern w:val="0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2025-06-10T08:55:00Z</dcterms:created>
  <dc:creator>momo</dc:creator>
  <cp:lastModifiedBy>momo</cp:lastModifiedBy>
  <dcterms:modified xsi:type="dcterms:W3CDTF">2025-06-10T08:55:35Z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3EA6EC07B84849778D53D6A942BA351A_11</vt:lpwstr>
  </property>
  <property fmtid="{D5CDD505-2E9C-101B-9397-08002B2CF9AE}" pid="4" name="KSOTemplateDocerSaveRecord">
    <vt:lpwstr>eyJoZGlkIjoiZDg0NTYyZWFiZTc0YTRhMDhiMzgyYWZkMzUyYjQyYzkiLCJ1c2VySWQiOiIxNDA0MzEyODU3In0=</vt:lpwstr>
  </property>
</Properties>
</file>