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6EC16">
      <w:pPr>
        <w:pStyle w:val="10"/>
        <w:wordWrap/>
        <w:spacing w:before="157" w:beforeLines="50" w:line="360" w:lineRule="auto"/>
        <w:jc w:val="both"/>
        <w:rPr>
          <w:rFonts w:hint="eastAsia" w:ascii="宋体" w:hAnsi="宋体" w:eastAsia="宋体" w:cs="宋体"/>
          <w:color w:val="auto"/>
          <w:sz w:val="30"/>
          <w:szCs w:val="30"/>
        </w:rPr>
      </w:pPr>
    </w:p>
    <w:p w14:paraId="30DEFF0E">
      <w:pPr>
        <w:pStyle w:val="10"/>
        <w:wordWrap/>
        <w:spacing w:before="157" w:beforeLines="50" w:line="360" w:lineRule="auto"/>
        <w:jc w:val="both"/>
        <w:rPr>
          <w:rFonts w:hint="eastAsia" w:ascii="宋体" w:hAnsi="宋体" w:eastAsia="宋体" w:cs="宋体"/>
          <w:color w:val="auto"/>
          <w:sz w:val="30"/>
          <w:szCs w:val="30"/>
        </w:rPr>
      </w:pPr>
    </w:p>
    <w:p w14:paraId="34E8E9DB">
      <w:pPr>
        <w:pStyle w:val="10"/>
        <w:widowControl w:val="0"/>
        <w:wordWrap/>
        <w:spacing w:before="313" w:beforeLines="100" w:line="360" w:lineRule="auto"/>
        <w:jc w:val="both"/>
        <w:textAlignment w:val="auto"/>
        <w:rPr>
          <w:rFonts w:hint="eastAsia" w:ascii="宋体" w:hAnsi="宋体" w:eastAsia="宋体" w:cs="宋体"/>
          <w:b/>
          <w:bCs/>
          <w:color w:val="auto"/>
          <w:sz w:val="72"/>
          <w:szCs w:val="72"/>
        </w:rPr>
      </w:pPr>
    </w:p>
    <w:p w14:paraId="61F1F581">
      <w:pPr>
        <w:pStyle w:val="10"/>
        <w:widowControl w:val="0"/>
        <w:wordWrap/>
        <w:adjustRightInd w:val="0"/>
        <w:snapToGrid w:val="0"/>
        <w:spacing w:before="313" w:beforeLines="100"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竞争性谈判文件</w:t>
      </w:r>
    </w:p>
    <w:p w14:paraId="4268CBE9">
      <w:pPr>
        <w:pStyle w:val="10"/>
        <w:widowControl w:val="0"/>
        <w:wordWrap/>
        <w:adjustRightInd w:val="0"/>
        <w:snapToGrid w:val="0"/>
        <w:spacing w:before="313" w:beforeLines="100" w:line="360" w:lineRule="auto"/>
        <w:textAlignment w:val="auto"/>
        <w:rPr>
          <w:rFonts w:hint="eastAsia" w:ascii="宋体" w:hAnsi="宋体" w:eastAsia="宋体" w:cs="宋体"/>
          <w:b/>
          <w:bCs/>
          <w:color w:val="auto"/>
          <w:sz w:val="30"/>
          <w:szCs w:val="30"/>
        </w:rPr>
      </w:pPr>
    </w:p>
    <w:p w14:paraId="4EE7D17E">
      <w:pPr>
        <w:pStyle w:val="10"/>
        <w:widowControl w:val="0"/>
        <w:wordWrap/>
        <w:adjustRightInd w:val="0"/>
        <w:snapToGrid w:val="0"/>
        <w:spacing w:before="313" w:beforeLines="100" w:line="360" w:lineRule="auto"/>
        <w:textAlignment w:val="auto"/>
        <w:rPr>
          <w:rFonts w:hint="eastAsia" w:ascii="宋体" w:hAnsi="宋体" w:eastAsia="宋体" w:cs="宋体"/>
          <w:b/>
          <w:bCs/>
          <w:color w:val="auto"/>
          <w:sz w:val="30"/>
          <w:szCs w:val="30"/>
        </w:rPr>
      </w:pPr>
    </w:p>
    <w:p w14:paraId="2867E2BD">
      <w:pPr>
        <w:widowControl w:val="0"/>
        <w:wordWrap/>
        <w:adjustRightInd w:val="0"/>
        <w:snapToGrid w:val="0"/>
        <w:spacing w:before="157" w:beforeLines="50" w:line="360" w:lineRule="auto"/>
        <w:ind w:left="2249" w:hanging="2249" w:hangingChars="700"/>
        <w:textAlignment w:val="auto"/>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rPr>
        <w:t>采购项目名</w:t>
      </w:r>
      <w:r>
        <w:rPr>
          <w:rFonts w:hint="eastAsia" w:ascii="宋体" w:hAnsi="宋体" w:eastAsia="宋体" w:cs="宋体"/>
          <w:b/>
          <w:bCs/>
          <w:color w:val="auto"/>
          <w:sz w:val="32"/>
          <w:szCs w:val="32"/>
          <w:u w:val="none"/>
        </w:rPr>
        <w:t>称</w:t>
      </w:r>
      <w:r>
        <w:rPr>
          <w:rFonts w:hint="eastAsia" w:ascii="宋体" w:hAnsi="宋体" w:eastAsia="宋体" w:cs="宋体"/>
          <w:b/>
          <w:bCs/>
          <w:color w:val="auto"/>
          <w:sz w:val="32"/>
          <w:szCs w:val="32"/>
          <w:u w:val="none"/>
          <w:lang w:eastAsia="zh-CN"/>
        </w:rPr>
        <w:t>：</w:t>
      </w:r>
      <w:r>
        <w:rPr>
          <w:rFonts w:hint="eastAsia" w:ascii="宋体" w:hAnsi="宋体" w:eastAsia="宋体" w:cs="宋体"/>
          <w:b/>
          <w:bCs/>
          <w:color w:val="auto"/>
          <w:sz w:val="32"/>
          <w:szCs w:val="32"/>
          <w:u w:val="none"/>
          <w:lang w:val="en-US" w:eastAsia="zh-CN"/>
        </w:rPr>
        <w:t>青海民族大学2025年教学科研仪器设备更新项目初步设计方案编制</w:t>
      </w:r>
    </w:p>
    <w:p w14:paraId="62F99AF3">
      <w:pPr>
        <w:widowControl w:val="0"/>
        <w:wordWrap/>
        <w:adjustRightInd w:val="0"/>
        <w:snapToGrid w:val="0"/>
        <w:spacing w:before="157" w:beforeLines="50" w:line="360" w:lineRule="auto"/>
        <w:ind w:firstLine="0" w:firstLineChars="0"/>
        <w:jc w:val="lef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采购项目编号：</w:t>
      </w:r>
      <w:r>
        <w:rPr>
          <w:rFonts w:hint="eastAsia" w:ascii="宋体" w:hAnsi="宋体" w:eastAsia="宋体" w:cs="宋体"/>
          <w:b/>
          <w:bCs/>
          <w:color w:val="auto"/>
          <w:kern w:val="0"/>
          <w:sz w:val="32"/>
          <w:szCs w:val="32"/>
          <w:u w:val="none"/>
          <w:lang w:val="en-US" w:eastAsia="zh-CN"/>
        </w:rPr>
        <w:t>DZZB-2025-035</w:t>
      </w:r>
    </w:p>
    <w:p w14:paraId="0CAA4B97">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color w:val="auto"/>
          <w:sz w:val="32"/>
          <w:szCs w:val="32"/>
          <w:u w:val="single"/>
          <w:lang w:val="en-US" w:eastAsia="zh-CN"/>
        </w:rPr>
      </w:pPr>
      <w:r>
        <w:rPr>
          <w:rFonts w:hint="eastAsia" w:ascii="宋体" w:hAnsi="宋体" w:eastAsia="宋体" w:cs="宋体"/>
          <w:b/>
          <w:bCs/>
          <w:color w:val="auto"/>
          <w:sz w:val="32"/>
          <w:szCs w:val="32"/>
        </w:rPr>
        <w:t>采   购   人：</w:t>
      </w:r>
      <w:r>
        <w:rPr>
          <w:rFonts w:hint="eastAsia" w:ascii="宋体" w:hAnsi="宋体" w:eastAsia="宋体" w:cs="宋体"/>
          <w:b/>
          <w:bCs/>
          <w:color w:val="auto"/>
          <w:kern w:val="0"/>
          <w:sz w:val="32"/>
          <w:szCs w:val="32"/>
          <w:u w:val="none"/>
          <w:lang w:val="en-US" w:eastAsia="zh-CN"/>
        </w:rPr>
        <w:t>青海民族大学</w:t>
      </w:r>
    </w:p>
    <w:p w14:paraId="3F8D3464">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采购代理机构：</w:t>
      </w:r>
      <w:r>
        <w:rPr>
          <w:rFonts w:hint="eastAsia" w:ascii="宋体" w:hAnsi="宋体" w:eastAsia="宋体" w:cs="宋体"/>
          <w:b/>
          <w:bCs/>
          <w:color w:val="auto"/>
          <w:kern w:val="0"/>
          <w:sz w:val="32"/>
          <w:szCs w:val="32"/>
          <w:u w:val="none"/>
          <w:lang w:val="zh-CN"/>
        </w:rPr>
        <w:t>青海鼎钊招标代理有限公司</w:t>
      </w:r>
    </w:p>
    <w:p w14:paraId="404FE693">
      <w:pPr>
        <w:wordWrap/>
        <w:autoSpaceDE w:val="0"/>
        <w:autoSpaceDN w:val="0"/>
        <w:adjustRightInd w:val="0"/>
        <w:spacing w:before="157" w:beforeLines="50" w:line="360" w:lineRule="auto"/>
        <w:jc w:val="left"/>
        <w:rPr>
          <w:rFonts w:hint="eastAsia" w:ascii="宋体" w:hAnsi="宋体" w:eastAsia="宋体" w:cs="宋体"/>
          <w:b/>
          <w:bCs/>
          <w:color w:val="auto"/>
          <w:kern w:val="0"/>
          <w:sz w:val="30"/>
          <w:szCs w:val="30"/>
          <w:lang w:val="zh-CN"/>
        </w:rPr>
      </w:pPr>
    </w:p>
    <w:p w14:paraId="5562CF82">
      <w:pPr>
        <w:wordWrap/>
        <w:autoSpaceDE w:val="0"/>
        <w:autoSpaceDN w:val="0"/>
        <w:adjustRightInd w:val="0"/>
        <w:spacing w:before="157" w:beforeLines="50" w:line="360" w:lineRule="auto"/>
        <w:jc w:val="left"/>
        <w:rPr>
          <w:rFonts w:hint="eastAsia" w:ascii="宋体" w:hAnsi="宋体" w:eastAsia="宋体" w:cs="宋体"/>
          <w:b/>
          <w:bCs/>
          <w:color w:val="auto"/>
          <w:kern w:val="0"/>
          <w:sz w:val="30"/>
          <w:szCs w:val="30"/>
          <w:lang w:val="zh-CN"/>
        </w:rPr>
      </w:pPr>
    </w:p>
    <w:p w14:paraId="0508A929">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2025年06月13日</w:t>
      </w:r>
    </w:p>
    <w:p w14:paraId="2BCC36B7">
      <w:pPr>
        <w:jc w:val="center"/>
        <w:rPr>
          <w:rFonts w:hint="eastAsia" w:ascii="宋体" w:hAnsi="宋体" w:eastAsia="宋体" w:cs="宋体"/>
          <w:color w:val="auto"/>
          <w:kern w:val="0"/>
          <w:sz w:val="44"/>
          <w:szCs w:val="44"/>
          <w:lang w:val="zh-CN"/>
        </w:rPr>
      </w:pPr>
      <w:r>
        <w:rPr>
          <w:rFonts w:hint="eastAsia" w:ascii="宋体" w:hAnsi="宋体" w:eastAsia="宋体" w:cs="宋体"/>
          <w:color w:val="auto"/>
          <w:kern w:val="0"/>
          <w:sz w:val="44"/>
          <w:szCs w:val="44"/>
          <w:lang w:val="zh-CN"/>
        </w:rPr>
        <w:br w:type="page"/>
      </w:r>
    </w:p>
    <w:p w14:paraId="43445671">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14:paraId="41EF1565">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_Toc13304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第一部分  </w:t>
      </w:r>
      <w:r>
        <w:rPr>
          <w:rFonts w:hint="eastAsia" w:ascii="宋体" w:hAnsi="宋体" w:eastAsia="宋体" w:cs="宋体"/>
          <w:bCs/>
          <w:color w:val="auto"/>
          <w:sz w:val="24"/>
          <w:szCs w:val="24"/>
          <w:lang w:val="en-US" w:eastAsia="zh-CN"/>
        </w:rPr>
        <w:t>谈判须知前附表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9B31E69">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_Toc19955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val="en-US" w:eastAsia="zh-CN"/>
        </w:rPr>
        <w:t>第二部分  谈判须知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_Toc19955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724756">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_Toc8350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一、说明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563D2A">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1.适用范围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64E33D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2.采购人及代理机构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3B9277">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3.供应商的资格要求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3510EAE">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_Toc13228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4.谈判费用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B4C960D">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_Toc5605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二、谈判文件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9C1D45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_Toc19841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5.谈判文件的组成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_Toc19841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ACA27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_Toc27269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6.谈判文件的澄清</w:t>
      </w:r>
      <w:r>
        <w:rPr>
          <w:rFonts w:hint="eastAsia" w:ascii="宋体" w:hAnsi="宋体" w:eastAsia="宋体" w:cs="宋体"/>
          <w:bCs/>
          <w:color w:val="auto"/>
          <w:kern w:val="2"/>
          <w:sz w:val="24"/>
          <w:szCs w:val="24"/>
          <w:lang w:val="zh-CN" w:eastAsia="zh-CN" w:bidi="ar-SA"/>
        </w:rPr>
        <w:t>或者</w:t>
      </w:r>
      <w:r>
        <w:rPr>
          <w:rFonts w:hint="eastAsia" w:ascii="宋体" w:hAnsi="宋体" w:eastAsia="宋体" w:cs="宋体"/>
          <w:bCs/>
          <w:color w:val="auto"/>
          <w:kern w:val="2"/>
          <w:sz w:val="24"/>
          <w:szCs w:val="24"/>
          <w:lang w:val="en-US" w:eastAsia="zh-CN" w:bidi="ar-SA"/>
        </w:rPr>
        <w:t>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8808A1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7.谈判文件的询问或质疑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68D119D">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_Toc12997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BCAF9A1">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_Toc16540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8.一般要求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EEFF57B">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_Toc25922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9.报价要求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AB19DC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_Toc27585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10.保证金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DF7CFF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_Toc7718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11.响应文件的组成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94EECCA">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_Toc3004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12.响应文件有效期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47F3211">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_Toc29012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13.响应文件的签署及规定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_Toc29012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23A046B">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_Toc16239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四、响应文件的递交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36E5649">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_Toc31398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14.响应文件的密封和标记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FCBF39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_Toc12764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15.响应文件的递交与接收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715C41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_Toc1373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16.响应文件的</w:t>
      </w:r>
      <w:r>
        <w:rPr>
          <w:rFonts w:hint="eastAsia" w:ascii="宋体" w:hAnsi="宋体" w:eastAsia="宋体" w:cs="宋体"/>
          <w:bCs/>
          <w:color w:val="auto"/>
          <w:kern w:val="2"/>
          <w:sz w:val="24"/>
          <w:szCs w:val="24"/>
          <w:lang w:val="zh-CN" w:eastAsia="zh-CN" w:bidi="ar-SA"/>
        </w:rPr>
        <w:t>补充、修改或者撤回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BF0A7F0">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_Toc17502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五、响应文件的评审与谈判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94508E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_Toc11267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17.谈判小组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_Toc11267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B70449">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_Toc21386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18.响应文件审查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_Toc21386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ADB0A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_Toc7233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19.谈判程序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FD97CC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_Toc13352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20.澄清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707DF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_Toc18040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21.退出谈判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278C4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22.最后报价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11970A7">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_Toc16163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23.确定成交供应商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_Toc16163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8DE9F4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_Toc22206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24.重新评审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C98E66F">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25.谈判终止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DCD704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26.串通情形认定及处理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ACEE021">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_Toc27536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六、成交结果信息公布与授予合同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BD120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_Toc8130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27.成交信息的公布与通知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89DF22D">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_Toc4510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28.授予合同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398EC4C">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_Toc22051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29.履约验收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C9181F5">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七、询问与质疑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B352213">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_Toc15153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30.对采购过程、结果的询问及质疑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5E3EB9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_Toc20109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八、采购政策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_Toc20109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0A9A85B">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_Toc14303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31.采购政策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_Toc14303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69B0716">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_Toc26727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九、其他规定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66E1675">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_Toc19781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32.代理服务费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ABA6C02">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33.其他规定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96C4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_Toc31195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highlight w:val="none"/>
          <w:lang w:val="en-US" w:eastAsia="zh-CN"/>
        </w:rPr>
        <w:t>第三部分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D2301CE">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_Toc28010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十、响应说明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_Toc28010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E0632B">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_Toc27034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十一、重要指标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8A7AD0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_Toc19363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第四部分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CC74AC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_Toc20524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十二、响应文件的组成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_Toc20524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3292E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_Toc30546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（一）资格审查部分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B8B3614">
      <w:pPr>
        <w:pStyle w:val="9"/>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（二）有效性、完整性、响应程度审查部分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50B2FAB">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913411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附件1：响应函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94FB62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_Toc23458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附件2：法定代表人证明书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_Toc23458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353E70">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_Toc27119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附件3：法定代表人授权书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49E98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_Toc27688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附件4：供应商承诺函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1B1F8F5">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_Toc659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附件5：供应商诚信承诺书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9BFC07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_Toc15042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附件6：供应商资格证明文件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C5D0F3">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_Toc26577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附件7：财务状况、缴纳税收和社会保障资金证明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B38179">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_Toc18432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附件8：无重大违法记录声明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D9A6AE0">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_Toc30928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附件9：谈判</w:t>
      </w:r>
      <w:r>
        <w:rPr>
          <w:rFonts w:hint="eastAsia" w:ascii="宋体" w:hAnsi="宋体" w:eastAsia="宋体" w:cs="宋体"/>
          <w:bCs w:val="0"/>
          <w:color w:val="auto"/>
          <w:kern w:val="2"/>
          <w:sz w:val="24"/>
          <w:szCs w:val="24"/>
          <w:lang w:val="zh-CN" w:eastAsia="zh-CN" w:bidi="ar-SA"/>
        </w:rPr>
        <w:t>保证金证明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AC05852">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_Toc7156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附件10：谈判首次报价表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BA9FCAF">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_Toc21692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附件11：分项报价表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_Toc21692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8ED47A">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_Toc15096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附件12：服务响应表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7C4CE8">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_Toc12537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附件13：服务相关资料（具备履行合同所必须的设备和专业技术能力证明）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313BB72">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附件14：享受采购政策优惠的证明资料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006185C">
      <w:pPr>
        <w:pStyle w:val="15"/>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_Toc4623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附件15：最后报价表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ACB428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_Toc1031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第五部分</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采购项目合同书</w:t>
      </w:r>
      <w:r>
        <w:rPr>
          <w:rFonts w:hint="eastAsia" w:ascii="宋体" w:hAnsi="宋体" w:eastAsia="宋体" w:cs="宋体"/>
          <w:bCs/>
          <w:color w:val="auto"/>
          <w:sz w:val="24"/>
          <w:szCs w:val="24"/>
        </w:rPr>
        <w:t>范本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17C1635">
      <w:pPr>
        <w:bidi w:val="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fldChar w:fldCharType="end"/>
      </w:r>
      <w:bookmarkStart w:id="0" w:name="_Toc20903"/>
      <w:bookmarkStart w:id="1" w:name="_Toc13304"/>
    </w:p>
    <w:p w14:paraId="1315F3A3">
      <w:pPr>
        <w:rPr>
          <w:rFonts w:hint="eastAsia" w:ascii="宋体" w:hAnsi="宋体" w:eastAsia="宋体" w:cs="宋体"/>
          <w:color w:val="auto"/>
          <w:kern w:val="2"/>
          <w:szCs w:val="32"/>
          <w:lang w:val="en-US" w:eastAsia="zh-CN" w:bidi="ar-SA"/>
        </w:rPr>
      </w:pPr>
      <w:r>
        <w:rPr>
          <w:rFonts w:hint="eastAsia" w:ascii="宋体" w:hAnsi="宋体" w:eastAsia="宋体" w:cs="宋体"/>
          <w:color w:val="auto"/>
          <w:kern w:val="2"/>
          <w:szCs w:val="32"/>
          <w:lang w:val="en-US" w:eastAsia="zh-CN" w:bidi="ar-SA"/>
        </w:rPr>
        <w:br w:type="page"/>
      </w:r>
    </w:p>
    <w:p w14:paraId="672BB572">
      <w:pPr>
        <w:pStyle w:val="3"/>
        <w:keepNext/>
        <w:widowControl w:val="0"/>
        <w:numPr>
          <w:ilvl w:val="0"/>
          <w:numId w:val="0"/>
        </w:numPr>
        <w:wordWrap/>
        <w:adjustRightInd w:val="0"/>
        <w:snapToGrid w:val="0"/>
        <w:spacing w:before="157" w:beforeLines="50" w:line="360" w:lineRule="auto"/>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 xml:space="preserve">第一部分  </w:t>
      </w:r>
      <w:bookmarkEnd w:id="0"/>
      <w:bookmarkEnd w:id="1"/>
      <w:r>
        <w:rPr>
          <w:rFonts w:hint="eastAsia" w:ascii="宋体" w:hAnsi="宋体" w:eastAsia="宋体" w:cs="宋体"/>
          <w:b/>
          <w:bCs/>
          <w:color w:val="auto"/>
          <w:sz w:val="32"/>
          <w:szCs w:val="32"/>
          <w:lang w:val="en-US" w:eastAsia="zh-CN"/>
        </w:rPr>
        <w:t>谈判须知前附表</w:t>
      </w:r>
    </w:p>
    <w:tbl>
      <w:tblPr>
        <w:tblStyle w:val="20"/>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40" w:type="dxa"/>
          <w:bottom w:w="0" w:type="dxa"/>
          <w:right w:w="40" w:type="dxa"/>
        </w:tblCellMar>
      </w:tblPr>
      <w:tblGrid>
        <w:gridCol w:w="2328"/>
        <w:gridCol w:w="7877"/>
      </w:tblGrid>
      <w:tr w14:paraId="76531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138C44E">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7877" w:type="dxa"/>
            <w:tcBorders>
              <w:tl2br w:val="nil"/>
              <w:tr2bl w:val="nil"/>
            </w:tcBorders>
            <w:vAlign w:val="top"/>
          </w:tcPr>
          <w:p w14:paraId="1EB0E917">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青海民族大学2025年教学科研仪器设备更新项目初步设计方案编制</w:t>
            </w:r>
          </w:p>
        </w:tc>
      </w:tr>
      <w:tr w14:paraId="24E709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F5D1D1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7877" w:type="dxa"/>
            <w:tcBorders>
              <w:tl2br w:val="nil"/>
              <w:tr2bl w:val="nil"/>
            </w:tcBorders>
            <w:vAlign w:val="top"/>
          </w:tcPr>
          <w:p w14:paraId="220F4BDB">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kern w:val="2"/>
                <w:sz w:val="24"/>
                <w:szCs w:val="24"/>
                <w:u w:val="single"/>
                <w:lang w:val="zh-CN"/>
              </w:rPr>
            </w:pPr>
            <w:r>
              <w:rPr>
                <w:rFonts w:hint="eastAsia" w:ascii="宋体" w:hAnsi="宋体" w:eastAsia="宋体" w:cs="宋体"/>
                <w:b w:val="0"/>
                <w:bCs/>
                <w:color w:val="auto"/>
                <w:kern w:val="0"/>
                <w:sz w:val="24"/>
                <w:szCs w:val="24"/>
                <w:u w:val="none"/>
                <w:lang w:val="en-US" w:eastAsia="zh-CN"/>
              </w:rPr>
              <w:t>DZZB-2025-035</w:t>
            </w:r>
          </w:p>
        </w:tc>
      </w:tr>
      <w:tr w14:paraId="1E9BF6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EC3D204">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7877" w:type="dxa"/>
            <w:tcBorders>
              <w:tl2br w:val="nil"/>
              <w:tr2bl w:val="nil"/>
            </w:tcBorders>
            <w:vAlign w:val="top"/>
          </w:tcPr>
          <w:p w14:paraId="7466B596">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竞争性谈判</w:t>
            </w:r>
          </w:p>
        </w:tc>
      </w:tr>
      <w:tr w14:paraId="1EDE47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7E63BB4">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7877" w:type="dxa"/>
            <w:tcBorders>
              <w:tl2br w:val="nil"/>
              <w:tr2bl w:val="nil"/>
            </w:tcBorders>
            <w:vAlign w:val="top"/>
          </w:tcPr>
          <w:p w14:paraId="2A1069F4">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22万</w:t>
            </w:r>
            <w:r>
              <w:rPr>
                <w:rFonts w:hint="eastAsia" w:ascii="宋体" w:hAnsi="宋体" w:cs="宋体"/>
                <w:color w:val="auto"/>
                <w:sz w:val="24"/>
                <w:szCs w:val="24"/>
                <w:lang w:val="en-US" w:eastAsia="zh-CN"/>
              </w:rPr>
              <w:t>元</w:t>
            </w:r>
            <w:bookmarkStart w:id="506" w:name="_GoBack"/>
            <w:bookmarkEnd w:id="506"/>
          </w:p>
        </w:tc>
      </w:tr>
      <w:tr w14:paraId="3720F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69C2F8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7877" w:type="dxa"/>
            <w:tcBorders>
              <w:tl2br w:val="nil"/>
              <w:tr2bl w:val="nil"/>
            </w:tcBorders>
            <w:vAlign w:val="top"/>
          </w:tcPr>
          <w:p w14:paraId="0FAB4951">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7621E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79EF78D">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7877" w:type="dxa"/>
            <w:tcBorders>
              <w:tl2br w:val="nil"/>
              <w:tr2bl w:val="nil"/>
            </w:tcBorders>
            <w:vAlign w:val="top"/>
          </w:tcPr>
          <w:p w14:paraId="039C2FBC">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符合</w:t>
            </w:r>
            <w:r>
              <w:rPr>
                <w:rFonts w:hint="eastAsia" w:ascii="宋体" w:hAnsi="宋体" w:eastAsia="宋体" w:cs="宋体"/>
                <w:color w:val="auto"/>
                <w:sz w:val="24"/>
                <w:szCs w:val="24"/>
                <w:lang w:val="en-US" w:eastAsia="zh-CN"/>
              </w:rPr>
              <w:t>相关法律法规规定</w:t>
            </w:r>
            <w:r>
              <w:rPr>
                <w:rFonts w:hint="eastAsia" w:ascii="宋体" w:hAnsi="宋体" w:eastAsia="宋体" w:cs="宋体"/>
                <w:color w:val="auto"/>
                <w:sz w:val="24"/>
                <w:szCs w:val="24"/>
                <w:lang w:val="zh-CN"/>
              </w:rPr>
              <w:t>，并提供下列材料：</w:t>
            </w:r>
          </w:p>
          <w:p w14:paraId="1C2A91BC">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的营业执照等证明文件，自然人的身份证明。</w:t>
            </w:r>
          </w:p>
          <w:p w14:paraId="3781BF80">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）财务状况报告，依法缴纳税收和社会保障资金的相关材料。</w:t>
            </w:r>
          </w:p>
          <w:p w14:paraId="3742B5E6">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）具备履行合同所必需的设备和专业技术能力的证明材料。</w:t>
            </w:r>
          </w:p>
          <w:p w14:paraId="7AF5E08A">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）参加采购活动前3年内在经营活动中没有重大违法记录的书面声明。</w:t>
            </w:r>
          </w:p>
          <w:p w14:paraId="599C4D4C">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）具备法律、行政法规规定的其他条件的证明材料。</w:t>
            </w:r>
          </w:p>
          <w:p w14:paraId="2B460351">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14:paraId="1C779DDD">
            <w:pPr>
              <w:pStyle w:val="11"/>
              <w:keepNext w:val="0"/>
              <w:keepLines w:val="0"/>
              <w:pageBreakBefore w:val="0"/>
              <w:widowControl w:val="0"/>
              <w:kinsoku/>
              <w:wordWrap/>
              <w:overflowPunct/>
              <w:topLinePunct w:val="0"/>
              <w:bidi w:val="0"/>
              <w:adjustRightInd/>
              <w:snapToGrid/>
              <w:spacing w:line="36" w:lineRule="atLeast"/>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单位负责人为同一人或者存在直接控股、管理关系的不同</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，不得参加同一合同项下的采购活动。否则，皆取消投标资格；</w:t>
            </w:r>
          </w:p>
          <w:p w14:paraId="4C3C690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为本采购项目提供整体设计、规范编制或者项目管理、监理、检测等服务的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，不得再参加该采购项目的其他采购活动；</w:t>
            </w:r>
          </w:p>
          <w:p w14:paraId="18CA581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5.供应商必须向采购代理机构购买谈判文件并登记，未经向采购代理机构购买谈判文件并登记的潜在供应商均无资格参加本次采购活动。</w:t>
            </w:r>
          </w:p>
        </w:tc>
      </w:tr>
      <w:tr w14:paraId="465062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B588512">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7877" w:type="dxa"/>
            <w:tcBorders>
              <w:tl2br w:val="nil"/>
              <w:tr2bl w:val="nil"/>
            </w:tcBorders>
            <w:vAlign w:val="top"/>
          </w:tcPr>
          <w:p w14:paraId="7EFA6634">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zh-CN"/>
              </w:rPr>
              <w:t>本项目</w:t>
            </w:r>
            <w:r>
              <w:rPr>
                <w:rFonts w:hint="eastAsia" w:ascii="宋体" w:hAnsi="宋体" w:eastAsia="宋体" w:cs="宋体"/>
                <w:color w:val="auto"/>
                <w:kern w:val="0"/>
                <w:sz w:val="24"/>
                <w:szCs w:val="24"/>
                <w:u w:val="none"/>
                <w:lang w:val="en-US" w:eastAsia="zh-CN"/>
              </w:rPr>
              <w:t>不接受</w:t>
            </w:r>
            <w:r>
              <w:rPr>
                <w:rFonts w:hint="eastAsia" w:ascii="宋体" w:hAnsi="宋体" w:eastAsia="宋体" w:cs="宋体"/>
                <w:color w:val="auto"/>
                <w:kern w:val="0"/>
                <w:sz w:val="24"/>
                <w:szCs w:val="24"/>
                <w:u w:val="none"/>
                <w:lang w:val="zh-CN"/>
              </w:rPr>
              <w:t>供应商以联合体方式进行谈判</w:t>
            </w:r>
          </w:p>
        </w:tc>
      </w:tr>
      <w:tr w14:paraId="1A330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0D58C5A2">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进口产品</w:t>
            </w:r>
          </w:p>
        </w:tc>
        <w:tc>
          <w:tcPr>
            <w:tcW w:w="7877" w:type="dxa"/>
            <w:tcBorders>
              <w:tl2br w:val="nil"/>
              <w:tr2bl w:val="nil"/>
            </w:tcBorders>
            <w:vAlign w:val="center"/>
          </w:tcPr>
          <w:p w14:paraId="2A50867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val="0"/>
                <w:bCs/>
                <w:color w:val="auto"/>
                <w:sz w:val="24"/>
                <w:szCs w:val="24"/>
                <w:highlight w:val="none"/>
                <w:u w:val="none"/>
              </w:rPr>
              <w:t>本项目拒绝进</w:t>
            </w:r>
            <w:r>
              <w:rPr>
                <w:rFonts w:hint="eastAsia" w:ascii="宋体" w:hAnsi="宋体" w:eastAsia="宋体" w:cs="宋体"/>
                <w:color w:val="auto"/>
                <w:sz w:val="24"/>
                <w:szCs w:val="24"/>
                <w:highlight w:val="none"/>
                <w:u w:val="none"/>
              </w:rPr>
              <w:t>口产品参加谈判采购</w:t>
            </w:r>
          </w:p>
        </w:tc>
      </w:tr>
      <w:tr w14:paraId="5B353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C6FD6E6">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u w:val="single" w:color="auto"/>
                <w:lang w:eastAsia="zh-CN"/>
              </w:rPr>
            </w:pPr>
            <w:r>
              <w:rPr>
                <w:rFonts w:hint="eastAsia" w:ascii="宋体" w:hAnsi="宋体" w:eastAsia="宋体" w:cs="宋体"/>
                <w:bCs/>
                <w:color w:val="auto"/>
                <w:sz w:val="24"/>
                <w:szCs w:val="24"/>
                <w:u w:val="none" w:color="auto"/>
              </w:rPr>
              <w:t>谈判文件的实质性变动内容</w:t>
            </w:r>
          </w:p>
        </w:tc>
        <w:tc>
          <w:tcPr>
            <w:tcW w:w="7877" w:type="dxa"/>
            <w:tcBorders>
              <w:tl2br w:val="nil"/>
              <w:tr2bl w:val="nil"/>
            </w:tcBorders>
            <w:vAlign w:val="center"/>
          </w:tcPr>
          <w:p w14:paraId="7146DFD4">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b w:val="0"/>
                <w:bCs/>
                <w:color w:val="auto"/>
                <w:sz w:val="24"/>
                <w:szCs w:val="24"/>
                <w:u w:val="single" w:color="auto"/>
              </w:rPr>
            </w:pPr>
            <w:r>
              <w:rPr>
                <w:rFonts w:hint="eastAsia" w:ascii="宋体" w:hAnsi="宋体" w:eastAsia="宋体" w:cs="宋体"/>
                <w:color w:val="auto"/>
                <w:sz w:val="24"/>
                <w:szCs w:val="24"/>
                <w:highlight w:val="none"/>
                <w:u w:val="none" w:color="auto"/>
                <w:lang w:val="en-US" w:eastAsia="zh-CN"/>
              </w:rPr>
              <w:t>允许根据谈判工作实际情况，对</w:t>
            </w:r>
            <w:r>
              <w:rPr>
                <w:rFonts w:hint="eastAsia" w:ascii="宋体" w:hAnsi="宋体" w:eastAsia="宋体" w:cs="宋体"/>
                <w:color w:val="auto"/>
                <w:kern w:val="2"/>
                <w:sz w:val="24"/>
                <w:szCs w:val="24"/>
                <w:u w:val="none" w:color="auto"/>
                <w:lang w:val="en-US" w:eastAsia="zh-CN" w:bidi="ar-SA"/>
              </w:rPr>
              <w:t>技术标准及要求</w:t>
            </w:r>
            <w:r>
              <w:rPr>
                <w:rFonts w:hint="eastAsia" w:ascii="宋体" w:hAnsi="宋体" w:eastAsia="宋体" w:cs="宋体"/>
                <w:color w:val="auto"/>
                <w:sz w:val="24"/>
                <w:szCs w:val="24"/>
                <w:highlight w:val="none"/>
                <w:u w:val="none" w:color="auto"/>
                <w:lang w:val="en-US" w:eastAsia="zh-CN"/>
              </w:rPr>
              <w:t>进行实质性修改。</w:t>
            </w:r>
          </w:p>
        </w:tc>
      </w:tr>
      <w:tr w14:paraId="32A91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185161E">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公告发布时间</w:t>
            </w:r>
          </w:p>
        </w:tc>
        <w:tc>
          <w:tcPr>
            <w:tcW w:w="7877" w:type="dxa"/>
            <w:tcBorders>
              <w:tl2br w:val="nil"/>
              <w:tr2bl w:val="nil"/>
            </w:tcBorders>
            <w:vAlign w:val="top"/>
          </w:tcPr>
          <w:p w14:paraId="183BA95E">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en-US" w:eastAsia="zh-CN"/>
              </w:rPr>
              <w:t>2025年06月13日</w:t>
            </w:r>
          </w:p>
        </w:tc>
      </w:tr>
      <w:tr w14:paraId="12BAB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311C4A3">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7877" w:type="dxa"/>
            <w:tcBorders>
              <w:tl2br w:val="nil"/>
              <w:tr2bl w:val="nil"/>
            </w:tcBorders>
            <w:vAlign w:val="top"/>
          </w:tcPr>
          <w:p w14:paraId="71C4D794">
            <w:pPr>
              <w:pStyle w:val="11"/>
              <w:rPr>
                <w:rFonts w:hint="eastAsia" w:ascii="宋体" w:hAnsi="宋体" w:eastAsia="宋体" w:cs="宋体"/>
                <w:color w:val="auto"/>
                <w:lang w:eastAsia="zh-CN"/>
              </w:rPr>
            </w:pPr>
            <w:r>
              <w:rPr>
                <w:rFonts w:hint="eastAsia" w:ascii="宋体" w:hAnsi="宋体" w:eastAsia="宋体" w:cs="宋体"/>
                <w:color w:val="auto"/>
                <w:kern w:val="2"/>
                <w:sz w:val="24"/>
                <w:szCs w:val="24"/>
                <w:highlight w:val="none"/>
                <w:u w:val="none" w:color="auto"/>
                <w:lang w:val="zh-CN" w:eastAsia="zh-CN" w:bidi="ar-SA"/>
              </w:rPr>
              <w:t>2025年0</w:t>
            </w:r>
            <w:r>
              <w:rPr>
                <w:rFonts w:hint="eastAsia" w:ascii="宋体" w:hAnsi="宋体" w:eastAsia="宋体" w:cs="宋体"/>
                <w:color w:val="auto"/>
                <w:kern w:val="2"/>
                <w:sz w:val="24"/>
                <w:szCs w:val="24"/>
                <w:highlight w:val="none"/>
                <w:u w:val="none" w:color="auto"/>
                <w:lang w:val="en-US" w:eastAsia="zh-CN" w:bidi="ar-SA"/>
              </w:rPr>
              <w:t>6</w:t>
            </w:r>
            <w:r>
              <w:rPr>
                <w:rFonts w:hint="eastAsia" w:ascii="宋体" w:hAnsi="宋体" w:eastAsia="宋体" w:cs="宋体"/>
                <w:color w:val="auto"/>
                <w:kern w:val="2"/>
                <w:sz w:val="24"/>
                <w:szCs w:val="24"/>
                <w:highlight w:val="none"/>
                <w:u w:val="none" w:color="auto"/>
                <w:lang w:val="zh-CN" w:eastAsia="zh-CN" w:bidi="ar-SA"/>
              </w:rPr>
              <w:t>月</w:t>
            </w:r>
            <w:r>
              <w:rPr>
                <w:rFonts w:hint="eastAsia" w:ascii="宋体" w:hAnsi="宋体" w:eastAsia="宋体" w:cs="宋体"/>
                <w:color w:val="auto"/>
                <w:kern w:val="2"/>
                <w:sz w:val="24"/>
                <w:szCs w:val="24"/>
                <w:highlight w:val="none"/>
                <w:u w:val="none" w:color="auto"/>
                <w:lang w:val="en-US" w:eastAsia="zh-CN" w:bidi="ar-SA"/>
              </w:rPr>
              <w:t>14</w:t>
            </w:r>
            <w:r>
              <w:rPr>
                <w:rFonts w:hint="eastAsia" w:ascii="宋体" w:hAnsi="宋体" w:eastAsia="宋体" w:cs="宋体"/>
                <w:color w:val="auto"/>
                <w:kern w:val="2"/>
                <w:sz w:val="24"/>
                <w:szCs w:val="24"/>
                <w:highlight w:val="none"/>
                <w:u w:val="none" w:color="auto"/>
                <w:lang w:val="zh-CN" w:eastAsia="zh-CN" w:bidi="ar-SA"/>
              </w:rPr>
              <w:t>日至</w:t>
            </w:r>
            <w:r>
              <w:rPr>
                <w:rFonts w:hint="eastAsia" w:ascii="宋体" w:hAnsi="宋体" w:eastAsia="宋体" w:cs="宋体"/>
                <w:color w:val="auto"/>
                <w:kern w:val="2"/>
                <w:sz w:val="24"/>
                <w:szCs w:val="24"/>
                <w:highlight w:val="none"/>
                <w:u w:val="none" w:color="auto"/>
                <w:lang w:val="en-US" w:eastAsia="zh-CN" w:bidi="ar-SA"/>
              </w:rPr>
              <w:t>06</w:t>
            </w:r>
            <w:r>
              <w:rPr>
                <w:rFonts w:hint="eastAsia" w:ascii="宋体" w:hAnsi="宋体" w:eastAsia="宋体" w:cs="宋体"/>
                <w:color w:val="auto"/>
                <w:kern w:val="2"/>
                <w:sz w:val="24"/>
                <w:szCs w:val="24"/>
                <w:highlight w:val="none"/>
                <w:u w:val="none" w:color="auto"/>
                <w:lang w:val="zh-CN" w:eastAsia="zh-CN" w:bidi="ar-SA"/>
              </w:rPr>
              <w:t>月</w:t>
            </w:r>
            <w:r>
              <w:rPr>
                <w:rFonts w:hint="eastAsia" w:ascii="宋体" w:hAnsi="宋体" w:eastAsia="宋体" w:cs="宋体"/>
                <w:color w:val="auto"/>
                <w:kern w:val="2"/>
                <w:sz w:val="24"/>
                <w:szCs w:val="24"/>
                <w:highlight w:val="none"/>
                <w:u w:val="none" w:color="auto"/>
                <w:lang w:val="en-US" w:eastAsia="zh-CN" w:bidi="ar-SA"/>
              </w:rPr>
              <w:t>18</w:t>
            </w:r>
            <w:r>
              <w:rPr>
                <w:rFonts w:hint="eastAsia" w:ascii="宋体" w:hAnsi="宋体" w:eastAsia="宋体" w:cs="宋体"/>
                <w:color w:val="auto"/>
                <w:kern w:val="2"/>
                <w:sz w:val="24"/>
                <w:szCs w:val="24"/>
                <w:highlight w:val="none"/>
                <w:u w:val="none" w:color="auto"/>
                <w:lang w:val="zh-CN" w:eastAsia="zh-CN" w:bidi="ar-SA"/>
              </w:rPr>
              <w:t>日，每天</w:t>
            </w:r>
            <w:r>
              <w:rPr>
                <w:rFonts w:hint="eastAsia" w:ascii="宋体" w:hAnsi="宋体" w:eastAsia="宋体" w:cs="宋体"/>
                <w:color w:val="auto"/>
                <w:kern w:val="2"/>
                <w:sz w:val="24"/>
                <w:szCs w:val="24"/>
                <w:highlight w:val="none"/>
                <w:u w:val="none" w:color="auto"/>
                <w:lang w:val="en-US" w:eastAsia="zh-CN" w:bidi="ar-SA"/>
              </w:rPr>
              <w:t>上午9:00-12:00</w:t>
            </w:r>
            <w:r>
              <w:rPr>
                <w:rFonts w:hint="eastAsia" w:ascii="宋体" w:hAnsi="宋体" w:eastAsia="宋体" w:cs="宋体"/>
                <w:color w:val="auto"/>
                <w:kern w:val="2"/>
                <w:sz w:val="24"/>
                <w:szCs w:val="24"/>
                <w:highlight w:val="none"/>
                <w:u w:val="none" w:color="auto"/>
                <w:lang w:val="zh-CN" w:eastAsia="zh-CN" w:bidi="ar-SA"/>
              </w:rPr>
              <w:t>,</w:t>
            </w:r>
            <w:r>
              <w:rPr>
                <w:rFonts w:hint="eastAsia" w:ascii="宋体" w:hAnsi="宋体" w:eastAsia="宋体" w:cs="宋体"/>
                <w:color w:val="auto"/>
                <w:kern w:val="2"/>
                <w:sz w:val="24"/>
                <w:szCs w:val="24"/>
                <w:highlight w:val="none"/>
                <w:u w:val="none" w:color="auto"/>
                <w:lang w:val="en-US" w:eastAsia="zh-CN" w:bidi="ar-SA"/>
              </w:rPr>
              <w:t>下午2:30-5:30</w:t>
            </w:r>
            <w:r>
              <w:rPr>
                <w:rFonts w:hint="eastAsia" w:ascii="宋体" w:hAnsi="宋体" w:eastAsia="宋体" w:cs="宋体"/>
                <w:color w:val="auto"/>
                <w:kern w:val="2"/>
                <w:sz w:val="24"/>
                <w:szCs w:val="24"/>
                <w:highlight w:val="none"/>
                <w:u w:val="none" w:color="auto"/>
                <w:lang w:val="zh-CN" w:eastAsia="zh-CN" w:bidi="ar-SA"/>
              </w:rPr>
              <w:t>（节假日除外）。</w:t>
            </w:r>
          </w:p>
        </w:tc>
      </w:tr>
      <w:tr w14:paraId="564443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5C3197EC">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获取方式</w:t>
            </w:r>
          </w:p>
        </w:tc>
        <w:tc>
          <w:tcPr>
            <w:tcW w:w="7877" w:type="dxa"/>
            <w:tcBorders>
              <w:tl2br w:val="nil"/>
              <w:tr2bl w:val="nil"/>
            </w:tcBorders>
            <w:vAlign w:val="center"/>
          </w:tcPr>
          <w:p w14:paraId="0A64B234">
            <w:pPr>
              <w:keepNext w:val="0"/>
              <w:keepLines w:val="0"/>
              <w:pageBreakBefore w:val="0"/>
              <w:widowControl w:val="0"/>
              <w:tabs>
                <w:tab w:val="left" w:pos="320"/>
              </w:tabs>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现场购买或网上购买</w:t>
            </w:r>
          </w:p>
        </w:tc>
      </w:tr>
      <w:tr w14:paraId="7022D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D27F99B">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文件售价</w:t>
            </w:r>
          </w:p>
        </w:tc>
        <w:tc>
          <w:tcPr>
            <w:tcW w:w="7877" w:type="dxa"/>
            <w:tcBorders>
              <w:tl2br w:val="nil"/>
              <w:tr2bl w:val="nil"/>
            </w:tcBorders>
            <w:vAlign w:val="center"/>
          </w:tcPr>
          <w:p w14:paraId="14C7A1F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500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份</w:t>
            </w:r>
            <w:r>
              <w:rPr>
                <w:rFonts w:hint="eastAsia" w:ascii="宋体" w:hAnsi="宋体" w:eastAsia="宋体" w:cs="宋体"/>
                <w:color w:val="auto"/>
                <w:sz w:val="24"/>
                <w:szCs w:val="24"/>
              </w:rPr>
              <w:t>（谈判文件售后不退,谈判资格不能转让）</w:t>
            </w:r>
          </w:p>
        </w:tc>
      </w:tr>
      <w:tr w14:paraId="1182E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56B3559">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文件发售地点</w:t>
            </w:r>
          </w:p>
        </w:tc>
        <w:tc>
          <w:tcPr>
            <w:tcW w:w="7877" w:type="dxa"/>
            <w:tcBorders>
              <w:tl2br w:val="nil"/>
              <w:tr2bl w:val="nil"/>
            </w:tcBorders>
            <w:vAlign w:val="center"/>
          </w:tcPr>
          <w:p w14:paraId="397E16AD">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地址：西宁市东川工业园区金桥路39号1号楼2楼（新力景瑞新城）</w:t>
            </w:r>
          </w:p>
          <w:p w14:paraId="38E50E0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14:paraId="6A1073CB">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电话：0971-8179315</w:t>
            </w:r>
          </w:p>
          <w:p w14:paraId="522D906C">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电子邮箱：qhdzzgs@163.com</w:t>
            </w:r>
          </w:p>
        </w:tc>
      </w:tr>
      <w:tr w14:paraId="016D7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F3C47FD">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购买</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文件时应提供的材料</w:t>
            </w:r>
          </w:p>
        </w:tc>
        <w:tc>
          <w:tcPr>
            <w:tcW w:w="7877" w:type="dxa"/>
            <w:tcBorders>
              <w:tl2br w:val="nil"/>
              <w:tr2bl w:val="nil"/>
            </w:tcBorders>
            <w:vAlign w:val="center"/>
          </w:tcPr>
          <w:p w14:paraId="18FA65A2">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供应商的营业执照复印件、法人授权委托书及法人和委托代理人身份证复印件。</w:t>
            </w:r>
          </w:p>
          <w:p w14:paraId="0BB639C5">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以上资料均需加盖公章。（采购代理机构对以上资料留存备案）</w:t>
            </w:r>
          </w:p>
          <w:p w14:paraId="658ABE8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注：需网上购买标书的供应商应将以上材料扫描后发至我公司联系邮箱，在邮件中标明购买项目名称、项目编号、包号、联系人及联系方式，并与我公司工作人员进行联系确认。</w:t>
            </w:r>
          </w:p>
        </w:tc>
      </w:tr>
      <w:tr w14:paraId="0F1887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76CE8EA">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采购人名称、地址、电话、联系人</w:t>
            </w:r>
          </w:p>
        </w:tc>
        <w:tc>
          <w:tcPr>
            <w:tcW w:w="7877" w:type="dxa"/>
            <w:tcBorders>
              <w:tl2br w:val="nil"/>
              <w:tr2bl w:val="nil"/>
            </w:tcBorders>
            <w:vAlign w:val="center"/>
          </w:tcPr>
          <w:p w14:paraId="6A46B806">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采购人：青海民族大学</w:t>
            </w:r>
          </w:p>
          <w:p w14:paraId="1356062C">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李老师</w:t>
            </w:r>
          </w:p>
          <w:p w14:paraId="1ADD9BA2">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联系电话：</w:t>
            </w:r>
            <w:r>
              <w:rPr>
                <w:rStyle w:val="26"/>
                <w:rFonts w:hint="eastAsia" w:ascii="宋体" w:hAnsi="宋体" w:eastAsia="宋体" w:cs="宋体"/>
                <w:i w:val="0"/>
                <w:iCs w:val="0"/>
                <w:caps w:val="0"/>
                <w:color w:val="auto"/>
                <w:spacing w:val="0"/>
                <w:sz w:val="24"/>
                <w:szCs w:val="24"/>
              </w:rPr>
              <w:t>0971-8802687</w:t>
            </w:r>
          </w:p>
          <w:p w14:paraId="5FF486C6">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eastAsia="zh-CN"/>
              </w:rPr>
              <w:t>联系地址：西宁市城东区八一路3号</w:t>
            </w:r>
          </w:p>
        </w:tc>
      </w:tr>
      <w:tr w14:paraId="6F06B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A6DAB48">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7877" w:type="dxa"/>
            <w:tcBorders>
              <w:tl2br w:val="nil"/>
              <w:tr2bl w:val="nil"/>
            </w:tcBorders>
            <w:vAlign w:val="center"/>
          </w:tcPr>
          <w:p w14:paraId="4828DC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采购代理机构：青海鼎钊招标代理有限公司</w:t>
            </w:r>
          </w:p>
          <w:p w14:paraId="03F895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许先生、彭女士</w:t>
            </w:r>
          </w:p>
          <w:p w14:paraId="22625EA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0971-8179315</w:t>
            </w:r>
          </w:p>
          <w:p w14:paraId="79F709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联系地址：西宁市东川工业园区金桥路39号1号楼2楼（新力景瑞新城）</w:t>
            </w:r>
          </w:p>
        </w:tc>
      </w:tr>
      <w:tr w14:paraId="28FBD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0314D5EA">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w:t>
            </w:r>
          </w:p>
        </w:tc>
        <w:tc>
          <w:tcPr>
            <w:tcW w:w="7877" w:type="dxa"/>
            <w:tcBorders>
              <w:tl2br w:val="nil"/>
              <w:tr2bl w:val="nil"/>
            </w:tcBorders>
            <w:vAlign w:val="center"/>
          </w:tcPr>
          <w:p w14:paraId="1ABA8174">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1.保证金金额：</w:t>
            </w:r>
            <w:r>
              <w:rPr>
                <w:rFonts w:hint="eastAsia" w:ascii="宋体" w:hAnsi="宋体" w:eastAsia="宋体" w:cs="宋体"/>
                <w:b/>
                <w:bCs/>
                <w:color w:val="auto"/>
                <w:sz w:val="24"/>
                <w:szCs w:val="24"/>
                <w:u w:val="none"/>
                <w:lang w:val="en-US" w:eastAsia="zh-CN"/>
              </w:rPr>
              <w:t>4000.00元</w:t>
            </w:r>
          </w:p>
          <w:p w14:paraId="699159C0">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2.开户银行：</w:t>
            </w:r>
            <w:r>
              <w:rPr>
                <w:rFonts w:hint="eastAsia" w:ascii="宋体" w:hAnsi="宋体" w:eastAsia="宋体" w:cs="宋体"/>
                <w:color w:val="auto"/>
                <w:sz w:val="24"/>
                <w:szCs w:val="24"/>
                <w:lang w:val="zh-CN"/>
              </w:rPr>
              <w:t>上海浦东发展银行股份有限公司西宁城东支行</w:t>
            </w:r>
          </w:p>
          <w:p w14:paraId="1763D24A">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收款账号：</w:t>
            </w:r>
            <w:r>
              <w:rPr>
                <w:rFonts w:hint="eastAsia" w:ascii="宋体" w:hAnsi="宋体" w:eastAsia="宋体" w:cs="宋体"/>
                <w:color w:val="auto"/>
                <w:sz w:val="24"/>
                <w:szCs w:val="24"/>
                <w:lang w:eastAsia="zh-CN"/>
              </w:rPr>
              <w:t>35030078801500000377</w:t>
            </w:r>
          </w:p>
          <w:p w14:paraId="7924286A">
            <w:pPr>
              <w:pStyle w:val="27"/>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收款人：青海鼎钊招标代理有限公司</w:t>
            </w:r>
          </w:p>
          <w:p w14:paraId="38ECADF7">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u w:val="none"/>
                <w:lang w:val="en-US" w:eastAsia="zh-CN"/>
              </w:rPr>
              <w:t>3.交付方式：</w:t>
            </w:r>
            <w:r>
              <w:rPr>
                <w:rFonts w:hint="eastAsia" w:ascii="宋体" w:hAnsi="宋体" w:eastAsia="宋体" w:cs="宋体"/>
                <w:b w:val="0"/>
                <w:bCs w:val="0"/>
                <w:color w:val="auto"/>
                <w:sz w:val="24"/>
                <w:szCs w:val="24"/>
              </w:rPr>
              <w:t>谈判保证金应当以转账、支票、本票或者金融机构、担保机构出具的保函等非现金形式提交。</w:t>
            </w:r>
          </w:p>
          <w:p w14:paraId="5188886D">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4.其他注意事项（详见谈判文件）</w:t>
            </w:r>
          </w:p>
        </w:tc>
      </w:tr>
      <w:tr w14:paraId="15DDD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17F8738C">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7877" w:type="dxa"/>
            <w:tcBorders>
              <w:tl2br w:val="nil"/>
              <w:tr2bl w:val="nil"/>
            </w:tcBorders>
            <w:vAlign w:val="center"/>
          </w:tcPr>
          <w:p w14:paraId="4DF5ACB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自谈判提交响应文件截止之日起不少于</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lang w:val="en-US" w:eastAsia="zh-CN"/>
              </w:rPr>
              <w:t>天</w:t>
            </w:r>
          </w:p>
        </w:tc>
      </w:tr>
      <w:tr w14:paraId="6F012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686EEBF7">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w:t>
            </w:r>
            <w:r>
              <w:rPr>
                <w:rFonts w:hint="eastAsia" w:ascii="宋体" w:hAnsi="宋体" w:eastAsia="宋体" w:cs="宋体"/>
                <w:color w:val="auto"/>
                <w:sz w:val="24"/>
                <w:szCs w:val="24"/>
              </w:rPr>
              <w:t>文件份数</w:t>
            </w:r>
          </w:p>
        </w:tc>
        <w:tc>
          <w:tcPr>
            <w:tcW w:w="7877" w:type="dxa"/>
            <w:tcBorders>
              <w:tl2br w:val="nil"/>
              <w:tr2bl w:val="nil"/>
            </w:tcBorders>
            <w:vAlign w:val="center"/>
          </w:tcPr>
          <w:p w14:paraId="788F4A39">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u w:val="none"/>
                <w:lang w:val="en-US" w:eastAsia="zh-CN"/>
              </w:rPr>
              <w:t>一份正本、两份副本、</w:t>
            </w:r>
            <w:r>
              <w:rPr>
                <w:rFonts w:hint="eastAsia" w:ascii="宋体" w:hAnsi="宋体" w:eastAsia="宋体" w:cs="宋体"/>
                <w:color w:val="auto"/>
                <w:sz w:val="24"/>
                <w:szCs w:val="24"/>
                <w:highlight w:val="none"/>
                <w:u w:val="none"/>
                <w:lang w:val="en-US" w:eastAsia="zh-CN"/>
              </w:rPr>
              <w:t>一份电子版</w:t>
            </w:r>
          </w:p>
        </w:tc>
      </w:tr>
      <w:tr w14:paraId="02ACF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062243E7">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封套上应载明的信息</w:t>
            </w:r>
          </w:p>
        </w:tc>
        <w:tc>
          <w:tcPr>
            <w:tcW w:w="7877" w:type="dxa"/>
            <w:tcBorders>
              <w:tl2br w:val="nil"/>
              <w:tr2bl w:val="nil"/>
            </w:tcBorders>
            <w:vAlign w:val="center"/>
          </w:tcPr>
          <w:p w14:paraId="51D38B71">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1.项目名称、采购项目编号、包号；</w:t>
            </w:r>
          </w:p>
          <w:p w14:paraId="70CCCE2D">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2.供应商名称；</w:t>
            </w:r>
          </w:p>
          <w:p w14:paraId="55072BCE">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3.响应文件送达时间、地址；</w:t>
            </w:r>
          </w:p>
          <w:p w14:paraId="14FE003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4.响应文件密封情况；</w:t>
            </w:r>
          </w:p>
          <w:p w14:paraId="73B19883">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5.采购人、采购代理机构名称；</w:t>
            </w:r>
          </w:p>
        </w:tc>
      </w:tr>
      <w:tr w14:paraId="08A1C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23E28599">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响应文件的递交</w:t>
            </w:r>
            <w:r>
              <w:rPr>
                <w:rFonts w:hint="eastAsia" w:ascii="宋体" w:hAnsi="宋体" w:eastAsia="宋体" w:cs="宋体"/>
                <w:color w:val="auto"/>
                <w:sz w:val="24"/>
                <w:szCs w:val="24"/>
                <w:lang w:eastAsia="zh-CN"/>
              </w:rPr>
              <w:t>截止时间</w:t>
            </w:r>
          </w:p>
        </w:tc>
        <w:tc>
          <w:tcPr>
            <w:tcW w:w="7877" w:type="dxa"/>
            <w:tcBorders>
              <w:tl2br w:val="nil"/>
              <w:tr2bl w:val="nil"/>
            </w:tcBorders>
            <w:vAlign w:val="center"/>
          </w:tcPr>
          <w:p w14:paraId="1AEE33C4">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b w:val="0"/>
                <w:bCs w:val="0"/>
                <w:color w:val="auto"/>
                <w:sz w:val="24"/>
                <w:szCs w:val="24"/>
                <w:u w:val="none"/>
                <w:lang w:val="en-US" w:eastAsia="zh-CN"/>
              </w:rPr>
              <w:t>2025年06月19日下午14时30分</w:t>
            </w:r>
          </w:p>
        </w:tc>
      </w:tr>
      <w:tr w14:paraId="51E19A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7355B391">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开启时间及谈判地点</w:t>
            </w:r>
          </w:p>
        </w:tc>
        <w:tc>
          <w:tcPr>
            <w:tcW w:w="7877" w:type="dxa"/>
            <w:tcBorders>
              <w:tl2br w:val="nil"/>
              <w:tr2bl w:val="nil"/>
            </w:tcBorders>
            <w:vAlign w:val="center"/>
          </w:tcPr>
          <w:p w14:paraId="500BB67D">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1.响应文件开启时间：</w:t>
            </w:r>
            <w:r>
              <w:rPr>
                <w:rFonts w:hint="eastAsia" w:ascii="宋体" w:hAnsi="宋体" w:eastAsia="宋体" w:cs="宋体"/>
                <w:b w:val="0"/>
                <w:bCs w:val="0"/>
                <w:color w:val="auto"/>
                <w:sz w:val="24"/>
                <w:szCs w:val="24"/>
                <w:u w:val="none"/>
                <w:lang w:val="en-US" w:eastAsia="zh-CN"/>
              </w:rPr>
              <w:t>2025年06月19日下午14时30分</w:t>
            </w:r>
          </w:p>
          <w:p w14:paraId="29D0EEFD">
            <w:pPr>
              <w:keepNext w:val="0"/>
              <w:keepLines w:val="0"/>
              <w:pageBreakBefore w:val="0"/>
              <w:widowControl w:val="0"/>
              <w:numPr>
                <w:ilvl w:val="0"/>
                <w:numId w:val="0"/>
              </w:numPr>
              <w:kinsoku/>
              <w:wordWrap/>
              <w:overflowPunct/>
              <w:topLinePunct w:val="0"/>
              <w:bidi w:val="0"/>
              <w:adjustRightInd/>
              <w:snapToGrid/>
              <w:spacing w:line="24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2.谈判地点：</w:t>
            </w:r>
            <w:r>
              <w:rPr>
                <w:rFonts w:hint="eastAsia" w:ascii="宋体" w:hAnsi="宋体" w:eastAsia="宋体" w:cs="宋体"/>
                <w:color w:val="auto"/>
                <w:sz w:val="24"/>
                <w:szCs w:val="24"/>
                <w:lang w:eastAsia="zh-CN"/>
              </w:rPr>
              <w:t>西宁市东川工业园区金桥路39号1号楼2楼（新力景瑞新城）</w:t>
            </w:r>
          </w:p>
        </w:tc>
      </w:tr>
      <w:tr w14:paraId="0EE31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3ADC042D">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政策功能</w:t>
            </w:r>
          </w:p>
        </w:tc>
        <w:tc>
          <w:tcPr>
            <w:tcW w:w="7877" w:type="dxa"/>
            <w:tcBorders>
              <w:tl2br w:val="nil"/>
              <w:tr2bl w:val="nil"/>
            </w:tcBorders>
            <w:vAlign w:val="center"/>
          </w:tcPr>
          <w:p w14:paraId="3E97FDA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w:t>
            </w:r>
          </w:p>
        </w:tc>
      </w:tr>
      <w:tr w14:paraId="06C3E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33AF1290">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877" w:type="dxa"/>
            <w:tcBorders>
              <w:tl2br w:val="nil"/>
              <w:tr2bl w:val="nil"/>
            </w:tcBorders>
            <w:vAlign w:val="center"/>
          </w:tcPr>
          <w:p w14:paraId="4C7D42BF">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u w:val="none"/>
                <w:lang w:val="en-US" w:eastAsia="zh-CN"/>
              </w:rPr>
              <w:t>金额：4000.00元</w:t>
            </w:r>
          </w:p>
          <w:p w14:paraId="7BF4DD6B">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收取对象：</w:t>
            </w:r>
            <w:r>
              <w:rPr>
                <w:rFonts w:hint="eastAsia" w:ascii="宋体" w:hAnsi="宋体" w:eastAsia="宋体" w:cs="宋体"/>
                <w:color w:val="auto"/>
                <w:kern w:val="0"/>
                <w:sz w:val="24"/>
                <w:szCs w:val="24"/>
                <w:u w:val="none"/>
                <w:lang w:val="zh-CN"/>
              </w:rPr>
              <w:t>成交供应商</w:t>
            </w:r>
          </w:p>
        </w:tc>
      </w:tr>
      <w:tr w14:paraId="56C70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0" w:hRule="atLeast"/>
          <w:jc w:val="center"/>
        </w:trPr>
        <w:tc>
          <w:tcPr>
            <w:tcW w:w="2328" w:type="dxa"/>
            <w:tcBorders>
              <w:tl2br w:val="nil"/>
              <w:tr2bl w:val="nil"/>
            </w:tcBorders>
            <w:vAlign w:val="center"/>
          </w:tcPr>
          <w:p w14:paraId="4AE12060">
            <w:pPr>
              <w:keepNext w:val="0"/>
              <w:keepLines w:val="0"/>
              <w:pageBreakBefore w:val="0"/>
              <w:widowControl w:val="0"/>
              <w:kinsoku/>
              <w:wordWrap/>
              <w:overflowPunct/>
              <w:topLinePunct w:val="0"/>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其他规定</w:t>
            </w:r>
          </w:p>
        </w:tc>
        <w:tc>
          <w:tcPr>
            <w:tcW w:w="7877" w:type="dxa"/>
            <w:tcBorders>
              <w:tl2br w:val="nil"/>
              <w:tr2bl w:val="nil"/>
            </w:tcBorders>
            <w:vAlign w:val="center"/>
          </w:tcPr>
          <w:p w14:paraId="6FEEE337">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zh-CN" w:eastAsia="zh-CN"/>
              </w:rPr>
              <w:t>公告发布</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lang w:val="zh-CN" w:eastAsia="zh-CN"/>
              </w:rPr>
              <w:t>：《青海省电子招标投标公共服务平台》、《青海项目信息网》。</w:t>
            </w:r>
          </w:p>
        </w:tc>
      </w:tr>
    </w:tbl>
    <w:p w14:paraId="13C4372E">
      <w:pPr>
        <w:rPr>
          <w:rFonts w:hint="eastAsia" w:ascii="宋体" w:hAnsi="宋体" w:eastAsia="宋体" w:cs="宋体"/>
          <w:b w:val="0"/>
          <w:bCs w:val="0"/>
          <w:color w:val="auto"/>
          <w:sz w:val="44"/>
          <w:szCs w:val="44"/>
          <w:lang w:val="en-US" w:eastAsia="zh-CN"/>
        </w:rPr>
      </w:pPr>
      <w:bookmarkStart w:id="2" w:name="_Toc17554"/>
      <w:bookmarkStart w:id="3" w:name="_Toc19849"/>
      <w:bookmarkStart w:id="4" w:name="_Toc29806_WPSOffice_Level1"/>
      <w:bookmarkStart w:id="5" w:name="_Toc7063_WPSOffice_Level1"/>
      <w:bookmarkStart w:id="6" w:name="_Toc13430_WPSOffice_Level1"/>
      <w:bookmarkStart w:id="7" w:name="_Toc26774_WPSOffice_Level1"/>
      <w:bookmarkStart w:id="8" w:name="_Toc29348_WPSOffice_Level1"/>
      <w:bookmarkStart w:id="9" w:name="_Toc68"/>
      <w:bookmarkStart w:id="10" w:name="_Toc25918_WPSOffice_Level1"/>
      <w:r>
        <w:rPr>
          <w:rFonts w:hint="eastAsia" w:ascii="宋体" w:hAnsi="宋体" w:eastAsia="宋体" w:cs="宋体"/>
          <w:b w:val="0"/>
          <w:bCs w:val="0"/>
          <w:color w:val="auto"/>
          <w:sz w:val="44"/>
          <w:szCs w:val="44"/>
          <w:lang w:val="en-US" w:eastAsia="zh-CN"/>
        </w:rPr>
        <w:br w:type="page"/>
      </w:r>
    </w:p>
    <w:p w14:paraId="2FA43E3F">
      <w:pPr>
        <w:pStyle w:val="3"/>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lang w:val="en-US" w:eastAsia="zh-CN"/>
        </w:rPr>
      </w:pPr>
      <w:bookmarkStart w:id="11" w:name="_Toc19955"/>
      <w:r>
        <w:rPr>
          <w:rFonts w:hint="eastAsia" w:ascii="宋体" w:hAnsi="宋体" w:eastAsia="宋体" w:cs="宋体"/>
          <w:b/>
          <w:bCs/>
          <w:color w:val="auto"/>
          <w:sz w:val="32"/>
          <w:szCs w:val="32"/>
          <w:lang w:val="en-US" w:eastAsia="zh-CN"/>
        </w:rPr>
        <w:t>第二部分  谈判须知</w:t>
      </w:r>
      <w:bookmarkEnd w:id="2"/>
      <w:bookmarkEnd w:id="3"/>
      <w:bookmarkEnd w:id="4"/>
      <w:bookmarkEnd w:id="5"/>
      <w:bookmarkEnd w:id="6"/>
      <w:bookmarkEnd w:id="7"/>
      <w:bookmarkEnd w:id="8"/>
      <w:bookmarkEnd w:id="9"/>
      <w:bookmarkEnd w:id="10"/>
      <w:bookmarkEnd w:id="11"/>
    </w:p>
    <w:p w14:paraId="493E10EA">
      <w:pPr>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eastAsia="宋体" w:cs="宋体"/>
          <w:b/>
          <w:bCs/>
          <w:color w:val="auto"/>
          <w:kern w:val="2"/>
          <w:sz w:val="28"/>
          <w:szCs w:val="28"/>
          <w:lang w:val="en-US" w:eastAsia="zh-CN" w:bidi="ar-SA"/>
        </w:rPr>
      </w:pPr>
      <w:bookmarkStart w:id="12" w:name="_Toc17019_WPSOffice_Level2"/>
      <w:bookmarkStart w:id="13" w:name="_Toc29348_WPSOffice_Level2"/>
      <w:bookmarkStart w:id="14" w:name="_Toc16562"/>
      <w:bookmarkStart w:id="15" w:name="_Toc7063_WPSOffice_Level2"/>
      <w:bookmarkStart w:id="16" w:name="_Toc27795"/>
      <w:bookmarkStart w:id="17" w:name="_Toc34637765"/>
      <w:bookmarkStart w:id="18" w:name="_Toc9336"/>
      <w:bookmarkStart w:id="19" w:name="_Toc8350"/>
      <w:r>
        <w:rPr>
          <w:rFonts w:hint="eastAsia" w:ascii="宋体" w:hAnsi="宋体" w:eastAsia="宋体" w:cs="宋体"/>
          <w:b/>
          <w:bCs/>
          <w:color w:val="auto"/>
          <w:kern w:val="2"/>
          <w:sz w:val="28"/>
          <w:szCs w:val="28"/>
          <w:lang w:val="en-US" w:eastAsia="zh-CN" w:bidi="ar-SA"/>
        </w:rPr>
        <w:t>一、说明</w:t>
      </w:r>
      <w:bookmarkEnd w:id="12"/>
      <w:bookmarkEnd w:id="13"/>
      <w:bookmarkEnd w:id="14"/>
      <w:bookmarkEnd w:id="15"/>
      <w:bookmarkEnd w:id="16"/>
      <w:bookmarkEnd w:id="17"/>
      <w:bookmarkEnd w:id="18"/>
      <w:bookmarkEnd w:id="19"/>
    </w:p>
    <w:p w14:paraId="189BCA67">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0" w:name="_Toc11775_WPSOffice_Level3"/>
      <w:bookmarkStart w:id="21" w:name="_Toc3322"/>
      <w:bookmarkStart w:id="22" w:name="_Toc7063_WPSOffice_Level3"/>
      <w:bookmarkStart w:id="23" w:name="_Toc13645"/>
      <w:bookmarkStart w:id="24" w:name="_Toc29026"/>
      <w:r>
        <w:rPr>
          <w:rFonts w:hint="eastAsia" w:ascii="宋体" w:hAnsi="宋体" w:eastAsia="宋体" w:cs="宋体"/>
          <w:b/>
          <w:bCs/>
          <w:color w:val="auto"/>
          <w:kern w:val="2"/>
          <w:sz w:val="24"/>
          <w:szCs w:val="24"/>
          <w:lang w:val="en-US" w:eastAsia="zh-CN" w:bidi="ar-SA"/>
        </w:rPr>
        <w:t>1.适用范围</w:t>
      </w:r>
      <w:bookmarkEnd w:id="20"/>
      <w:bookmarkEnd w:id="21"/>
      <w:bookmarkEnd w:id="22"/>
      <w:bookmarkEnd w:id="23"/>
      <w:bookmarkEnd w:id="24"/>
    </w:p>
    <w:p w14:paraId="47D8937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本竞争性谈判文件仅适用于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谈判须知前附表</w:t>
      </w:r>
      <w:r>
        <w:rPr>
          <w:rFonts w:hint="eastAsia" w:ascii="宋体" w:hAnsi="宋体" w:eastAsia="宋体" w:cs="宋体"/>
          <w:b/>
          <w:color w:val="auto"/>
          <w:sz w:val="24"/>
          <w:szCs w:val="24"/>
        </w:rPr>
        <w:t>】</w:t>
      </w:r>
      <w:r>
        <w:rPr>
          <w:rFonts w:hint="eastAsia" w:ascii="宋体" w:hAnsi="宋体" w:eastAsia="宋体" w:cs="宋体"/>
          <w:color w:val="auto"/>
          <w:sz w:val="24"/>
          <w:szCs w:val="24"/>
        </w:rPr>
        <w:t>中所叙述的采购项目。</w:t>
      </w:r>
    </w:p>
    <w:p w14:paraId="48BF0281">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5" w:name="_Toc2112"/>
      <w:bookmarkStart w:id="26" w:name="_Toc12080"/>
      <w:bookmarkStart w:id="27" w:name="_Toc1646"/>
      <w:bookmarkStart w:id="28" w:name="_Toc2404_WPSOffice_Level3"/>
      <w:bookmarkStart w:id="29" w:name="_Toc15754_WPSOffice_Level3"/>
      <w:r>
        <w:rPr>
          <w:rFonts w:hint="eastAsia" w:ascii="宋体" w:hAnsi="宋体" w:eastAsia="宋体" w:cs="宋体"/>
          <w:b/>
          <w:bCs/>
          <w:color w:val="auto"/>
          <w:kern w:val="2"/>
          <w:sz w:val="24"/>
          <w:szCs w:val="24"/>
          <w:lang w:val="en-US" w:eastAsia="zh-CN" w:bidi="ar-SA"/>
        </w:rPr>
        <w:t>2.采购人及代理机构</w:t>
      </w:r>
      <w:bookmarkEnd w:id="25"/>
      <w:bookmarkEnd w:id="26"/>
      <w:bookmarkEnd w:id="27"/>
      <w:bookmarkEnd w:id="28"/>
      <w:bookmarkEnd w:id="29"/>
    </w:p>
    <w:p w14:paraId="6DACF3E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3CB46C3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代理机构名称</w:t>
      </w:r>
      <w:r>
        <w:rPr>
          <w:rFonts w:hint="eastAsia" w:ascii="宋体" w:hAnsi="宋体" w:eastAsia="宋体" w:cs="宋体"/>
          <w:color w:val="auto"/>
          <w:sz w:val="24"/>
          <w:szCs w:val="24"/>
        </w:rPr>
        <w:t>、地址、电话、联系人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4EF33821">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0" w:name="_Toc955_WPSOffice_Level3"/>
      <w:bookmarkStart w:id="31" w:name="_Toc31395"/>
      <w:bookmarkStart w:id="32" w:name="_Toc8089_WPSOffice_Level3"/>
      <w:bookmarkStart w:id="33" w:name="_Toc19728"/>
      <w:bookmarkStart w:id="34" w:name="_Toc21695"/>
      <w:r>
        <w:rPr>
          <w:rFonts w:hint="eastAsia" w:ascii="宋体" w:hAnsi="宋体" w:eastAsia="宋体" w:cs="宋体"/>
          <w:b/>
          <w:bCs/>
          <w:color w:val="auto"/>
          <w:kern w:val="2"/>
          <w:sz w:val="24"/>
          <w:szCs w:val="24"/>
          <w:lang w:val="en-US" w:eastAsia="zh-CN" w:bidi="ar-SA"/>
        </w:rPr>
        <w:t>3.供应商的资格要求</w:t>
      </w:r>
      <w:bookmarkEnd w:id="30"/>
      <w:bookmarkEnd w:id="31"/>
      <w:bookmarkEnd w:id="32"/>
      <w:bookmarkEnd w:id="33"/>
      <w:bookmarkEnd w:id="34"/>
    </w:p>
    <w:p w14:paraId="2899A95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3.1供应商是指响应谈判文件要求、参加竞争性谈判采购的法人、其他组织或者自然人。</w:t>
      </w:r>
    </w:p>
    <w:p w14:paraId="653D32F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3.2供应商应当符合【谈判须知前附表】规定的供应商资格条件。</w:t>
      </w:r>
    </w:p>
    <w:p w14:paraId="52F4C2C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3.3【谈判须知前附表】规定接受联合体形式的，供应商除应符合上述资格条件的规定外，还应遵守以下规定：</w:t>
      </w:r>
    </w:p>
    <w:p w14:paraId="2DB48A9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14:paraId="133B460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（2）联合体各方应按谈判文件提供的格式签订联合体协议书，明确联合体牵头人和各方的权利义务、合同工作量比例；</w:t>
      </w:r>
    </w:p>
    <w:p w14:paraId="5DC56891">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14:paraId="43AF50DB">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5" w:name="_Toc18921"/>
      <w:bookmarkStart w:id="36" w:name="_Toc15386"/>
      <w:bookmarkStart w:id="37" w:name="_Toc29322_WPSOffice_Level3"/>
      <w:bookmarkStart w:id="38" w:name="_Toc24112_WPSOffice_Level3"/>
      <w:bookmarkStart w:id="39" w:name="_Toc13228"/>
      <w:r>
        <w:rPr>
          <w:rFonts w:hint="eastAsia" w:ascii="宋体" w:hAnsi="宋体" w:eastAsia="宋体" w:cs="宋体"/>
          <w:b/>
          <w:bCs/>
          <w:color w:val="auto"/>
          <w:kern w:val="2"/>
          <w:sz w:val="24"/>
          <w:szCs w:val="24"/>
          <w:lang w:val="en-US" w:eastAsia="zh-CN" w:bidi="ar-SA"/>
        </w:rPr>
        <w:t>4.谈判费用</w:t>
      </w:r>
      <w:bookmarkEnd w:id="35"/>
      <w:bookmarkEnd w:id="36"/>
      <w:bookmarkEnd w:id="37"/>
      <w:bookmarkEnd w:id="38"/>
      <w:bookmarkEnd w:id="39"/>
    </w:p>
    <w:p w14:paraId="382426F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无论谈判的结果如何，供应商应自行承担所有与竞争性谈判采购活动有关的全部费用。</w:t>
      </w:r>
    </w:p>
    <w:p w14:paraId="4F1F2467">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40" w:name="_Toc2404_WPSOffice_Level2"/>
      <w:bookmarkStart w:id="41" w:name="_Toc24182"/>
      <w:bookmarkStart w:id="42" w:name="_Toc28758"/>
      <w:bookmarkStart w:id="43" w:name="_Toc19663_WPSOffice_Level2"/>
      <w:bookmarkStart w:id="44" w:name="_Toc5605"/>
      <w:bookmarkStart w:id="45" w:name="_Toc24356"/>
      <w:bookmarkStart w:id="46" w:name="_Toc4912_WPSOffice_Level2"/>
      <w:bookmarkStart w:id="47" w:name="_Toc34637766"/>
      <w:r>
        <w:rPr>
          <w:rFonts w:hint="eastAsia" w:ascii="宋体" w:hAnsi="宋体" w:eastAsia="宋体" w:cs="宋体"/>
          <w:b/>
          <w:bCs/>
          <w:color w:val="auto"/>
          <w:kern w:val="2"/>
          <w:sz w:val="28"/>
          <w:szCs w:val="28"/>
          <w:lang w:val="en-US" w:eastAsia="zh-CN" w:bidi="ar-SA"/>
        </w:rPr>
        <w:t>二、谈判文件</w:t>
      </w:r>
      <w:bookmarkEnd w:id="40"/>
      <w:bookmarkEnd w:id="41"/>
      <w:bookmarkEnd w:id="42"/>
      <w:bookmarkEnd w:id="43"/>
      <w:bookmarkEnd w:id="44"/>
      <w:bookmarkEnd w:id="45"/>
      <w:bookmarkEnd w:id="46"/>
      <w:bookmarkEnd w:id="47"/>
    </w:p>
    <w:p w14:paraId="6379D1BA">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8" w:name="_Toc19841"/>
      <w:bookmarkStart w:id="49" w:name="_Toc29785_WPSOffice_Level3"/>
      <w:bookmarkStart w:id="50" w:name="_Toc14464"/>
      <w:bookmarkStart w:id="51" w:name="_Toc18786_WPSOffice_Level3"/>
      <w:bookmarkStart w:id="52" w:name="_Toc1826"/>
      <w:r>
        <w:rPr>
          <w:rFonts w:hint="eastAsia" w:ascii="宋体" w:hAnsi="宋体" w:eastAsia="宋体" w:cs="宋体"/>
          <w:b/>
          <w:bCs/>
          <w:color w:val="auto"/>
          <w:kern w:val="2"/>
          <w:sz w:val="24"/>
          <w:szCs w:val="24"/>
          <w:lang w:val="en-US" w:eastAsia="zh-CN" w:bidi="ar-SA"/>
        </w:rPr>
        <w:t>5.谈判文件的组成</w:t>
      </w:r>
      <w:bookmarkEnd w:id="48"/>
      <w:bookmarkEnd w:id="49"/>
      <w:bookmarkEnd w:id="50"/>
      <w:bookmarkEnd w:id="51"/>
      <w:bookmarkEnd w:id="52"/>
    </w:p>
    <w:p w14:paraId="44936C93">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5.1谈判文件由下列文件组成：</w:t>
      </w:r>
    </w:p>
    <w:p w14:paraId="3B3FCBAE">
      <w:pPr>
        <w:pStyle w:val="1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谈判须知前附表</w:t>
      </w:r>
    </w:p>
    <w:p w14:paraId="52BAEA5C">
      <w:pPr>
        <w:pStyle w:val="1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（2）谈判须知</w:t>
      </w:r>
    </w:p>
    <w:p w14:paraId="23870BB4">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14:paraId="38AAC92F">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（4）响应文件格式</w:t>
      </w:r>
    </w:p>
    <w:p w14:paraId="12ABE162">
      <w:pPr>
        <w:pStyle w:val="1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（5）采购项目合同书范本</w:t>
      </w:r>
    </w:p>
    <w:p w14:paraId="35EF4A2C">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5.2采购人、采购代理机构或者谈判小组在提交首次响应文件截止之日前对已发出的谈判文件进行的澄清或者修改，构成谈判文件的组成部分。</w:t>
      </w:r>
    </w:p>
    <w:p w14:paraId="618C7C48">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14:paraId="3E3C6BB2">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3" w:name="_Toc25455_WPSOffice_Level3"/>
      <w:bookmarkStart w:id="54" w:name="_Toc31604_WPSOffice_Level3"/>
      <w:bookmarkStart w:id="55" w:name="_Toc27269"/>
      <w:bookmarkStart w:id="56" w:name="_Toc1317"/>
      <w:bookmarkStart w:id="57" w:name="_Toc18056"/>
      <w:r>
        <w:rPr>
          <w:rFonts w:hint="eastAsia" w:ascii="宋体" w:hAnsi="宋体" w:eastAsia="宋体" w:cs="宋体"/>
          <w:b/>
          <w:bCs/>
          <w:color w:val="auto"/>
          <w:kern w:val="2"/>
          <w:sz w:val="24"/>
          <w:szCs w:val="24"/>
          <w:lang w:val="en-US" w:eastAsia="zh-CN" w:bidi="ar-SA"/>
        </w:rPr>
        <w:t>6.谈判文件的澄清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3"/>
      <w:bookmarkEnd w:id="54"/>
      <w:bookmarkEnd w:id="55"/>
      <w:bookmarkEnd w:id="56"/>
      <w:bookmarkEnd w:id="57"/>
    </w:p>
    <w:p w14:paraId="515861D1">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6.1在提交首次响应文件截止之日前，采购人、采购代理机构或者谈判小组可以对已发出的谈判文件进行必要的澄清或者修改。</w:t>
      </w:r>
    </w:p>
    <w:p w14:paraId="106668D2">
      <w:pPr>
        <w:pStyle w:val="1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7B266137">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8" w:name="_Toc6866_WPSOffice_Level3"/>
      <w:bookmarkStart w:id="59" w:name="_Toc4138_WPSOffice_Level3"/>
      <w:bookmarkStart w:id="60" w:name="_Toc30"/>
      <w:bookmarkStart w:id="61" w:name="_Toc27617"/>
      <w:bookmarkStart w:id="62" w:name="_Toc27004"/>
      <w:bookmarkStart w:id="63" w:name="_Toc25126"/>
      <w:bookmarkStart w:id="64" w:name="_Toc34637767"/>
      <w:r>
        <w:rPr>
          <w:rFonts w:hint="eastAsia" w:ascii="宋体" w:hAnsi="宋体" w:eastAsia="宋体" w:cs="宋体"/>
          <w:b/>
          <w:bCs/>
          <w:color w:val="auto"/>
          <w:kern w:val="2"/>
          <w:sz w:val="24"/>
          <w:szCs w:val="24"/>
          <w:lang w:val="en-US" w:eastAsia="zh-CN" w:bidi="ar-SA"/>
        </w:rPr>
        <w:t>7.谈判文件的询问或质疑</w:t>
      </w:r>
      <w:bookmarkEnd w:id="58"/>
      <w:bookmarkEnd w:id="59"/>
      <w:bookmarkEnd w:id="60"/>
      <w:bookmarkEnd w:id="61"/>
      <w:bookmarkEnd w:id="62"/>
      <w:bookmarkEnd w:id="63"/>
    </w:p>
    <w:p w14:paraId="468CEB4C">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7.1供应商对谈判文件有疑问的，可以向采购人、采购代理机构提出询问。</w:t>
      </w:r>
    </w:p>
    <w:p w14:paraId="1678835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7.2提出质疑的供应商应当符合相关规定，对谈判文件提出质疑的，应当在获取采购文件或者采购文件公告期限届满之日起7个工作日内，按法律法规及其规章的规定向采购人、采购代理机构书面提出质疑。</w:t>
      </w:r>
    </w:p>
    <w:p w14:paraId="6912447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14:paraId="4FCD0255">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65" w:name="_Toc955_WPSOffice_Level2"/>
      <w:bookmarkStart w:id="66" w:name="_Toc12997"/>
      <w:bookmarkStart w:id="67" w:name="_Toc23235_WPSOffice_Level2"/>
      <w:bookmarkStart w:id="68" w:name="_Toc16902"/>
      <w:bookmarkStart w:id="69" w:name="_Toc5732_WPSOffice_Level2"/>
      <w:bookmarkStart w:id="70" w:name="_Toc28815"/>
      <w:r>
        <w:rPr>
          <w:rFonts w:hint="eastAsia" w:ascii="宋体" w:hAnsi="宋体" w:eastAsia="宋体" w:cs="宋体"/>
          <w:b/>
          <w:bCs/>
          <w:color w:val="auto"/>
          <w:kern w:val="2"/>
          <w:sz w:val="28"/>
          <w:szCs w:val="28"/>
          <w:lang w:val="en-US" w:eastAsia="zh-CN" w:bidi="ar-SA"/>
        </w:rPr>
        <w:t>三、响应文件</w:t>
      </w:r>
      <w:bookmarkEnd w:id="64"/>
      <w:bookmarkEnd w:id="65"/>
      <w:bookmarkEnd w:id="66"/>
      <w:bookmarkEnd w:id="67"/>
      <w:bookmarkEnd w:id="68"/>
      <w:bookmarkEnd w:id="69"/>
      <w:bookmarkEnd w:id="70"/>
    </w:p>
    <w:p w14:paraId="3AAC3B9C">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1" w:name="_Toc1096_WPSOffice_Level3"/>
      <w:bookmarkStart w:id="72" w:name="_Toc17983"/>
      <w:bookmarkStart w:id="73" w:name="_Toc10843_WPSOffice_Level3"/>
      <w:bookmarkStart w:id="74" w:name="_Toc16540"/>
      <w:bookmarkStart w:id="75" w:name="_Toc2475"/>
      <w:bookmarkStart w:id="76" w:name="_Toc22063"/>
      <w:r>
        <w:rPr>
          <w:rFonts w:hint="eastAsia" w:ascii="宋体" w:hAnsi="宋体" w:eastAsia="宋体" w:cs="宋体"/>
          <w:b/>
          <w:bCs/>
          <w:color w:val="auto"/>
          <w:kern w:val="2"/>
          <w:sz w:val="24"/>
          <w:szCs w:val="24"/>
          <w:lang w:val="en-US" w:eastAsia="zh-CN" w:bidi="ar-SA"/>
        </w:rPr>
        <w:t>8.一般要求</w:t>
      </w:r>
      <w:bookmarkEnd w:id="71"/>
      <w:bookmarkEnd w:id="72"/>
      <w:bookmarkEnd w:id="73"/>
      <w:bookmarkEnd w:id="74"/>
      <w:bookmarkEnd w:id="75"/>
      <w:bookmarkEnd w:id="76"/>
    </w:p>
    <w:p w14:paraId="4AF926F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3BEF0D8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34BAC41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8.3除谈判文件中另有规定外，响应文件所使用的度量衡单位，均须采用国家法定计量单位。未列明时应默认为我国法定计量单位。</w:t>
      </w:r>
    </w:p>
    <w:p w14:paraId="34C9C8C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14:paraId="111994F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r>
        <w:rPr>
          <w:rFonts w:hint="eastAsia" w:ascii="宋体" w:hAnsi="宋体" w:eastAsia="宋体" w:cs="宋体"/>
          <w:b/>
          <w:bCs/>
          <w:color w:val="auto"/>
          <w:kern w:val="2"/>
          <w:sz w:val="24"/>
          <w:szCs w:val="24"/>
          <w:lang w:val="en-US" w:eastAsia="zh-CN" w:bidi="ar-SA"/>
        </w:rPr>
        <w:t>供应商应按谈判文件中提供的响应文件格式进行填写。</w:t>
      </w:r>
    </w:p>
    <w:p w14:paraId="7D94D77C">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7" w:name="_Toc14527_WPSOffice_Level3"/>
      <w:bookmarkStart w:id="78" w:name="_Toc16030"/>
      <w:bookmarkStart w:id="79" w:name="_Toc12007"/>
      <w:bookmarkStart w:id="80" w:name="_Toc20423_WPSOffice_Level3"/>
      <w:bookmarkStart w:id="81" w:name="_Toc25922"/>
      <w:r>
        <w:rPr>
          <w:rFonts w:hint="eastAsia" w:ascii="宋体" w:hAnsi="宋体" w:eastAsia="宋体" w:cs="宋体"/>
          <w:b/>
          <w:bCs/>
          <w:color w:val="auto"/>
          <w:kern w:val="2"/>
          <w:sz w:val="24"/>
          <w:szCs w:val="24"/>
          <w:lang w:val="en-US" w:eastAsia="zh-CN" w:bidi="ar-SA"/>
        </w:rPr>
        <w:t>9.报价要求</w:t>
      </w:r>
      <w:bookmarkEnd w:id="77"/>
      <w:bookmarkEnd w:id="78"/>
      <w:bookmarkEnd w:id="79"/>
      <w:bookmarkEnd w:id="80"/>
      <w:bookmarkEnd w:id="81"/>
    </w:p>
    <w:p w14:paraId="56233E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9.1供应商应当根据谈判文件“分项报价表”逐一报价；</w:t>
      </w:r>
    </w:p>
    <w:p w14:paraId="2532CBB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9.2在首次报价表、分项报价表、最后报价表填写报价时应注意下列要求：</w:t>
      </w:r>
    </w:p>
    <w:p w14:paraId="32439C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（1）采购需求要求的</w:t>
      </w:r>
      <w:r>
        <w:rPr>
          <w:rFonts w:hint="eastAsia" w:ascii="宋体" w:hAnsi="宋体" w:eastAsia="宋体" w:cs="宋体"/>
          <w:bCs/>
          <w:color w:val="auto"/>
          <w:sz w:val="24"/>
          <w:szCs w:val="24"/>
          <w:u w:val="none"/>
          <w:lang w:eastAsia="zh-CN"/>
        </w:rPr>
        <w:t>编制费、人员工资、保险费、代理服务费、税金及其他不可预见费等全部费用</w:t>
      </w:r>
      <w:r>
        <w:rPr>
          <w:rFonts w:hint="eastAsia" w:ascii="宋体" w:hAnsi="宋体" w:eastAsia="宋体" w:cs="宋体"/>
          <w:color w:val="auto"/>
          <w:kern w:val="2"/>
          <w:sz w:val="24"/>
          <w:szCs w:val="24"/>
          <w:u w:val="none"/>
          <w:lang w:val="en-US" w:eastAsia="zh-CN" w:bidi="ar-SA"/>
        </w:rPr>
        <w:t>。</w:t>
      </w:r>
    </w:p>
    <w:p w14:paraId="0512E6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14:paraId="46493CC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（3）供应商报价应为完成本竞争性谈判文件中所要求的货物/服务/工程所应包括内容的所有价格。</w:t>
      </w:r>
    </w:p>
    <w:p w14:paraId="550D2C7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w:t>
      </w:r>
      <w:r>
        <w:rPr>
          <w:rFonts w:hint="eastAsia" w:ascii="宋体" w:hAnsi="宋体" w:eastAsia="宋体" w:cs="宋体"/>
          <w:b/>
          <w:bCs/>
          <w:color w:val="auto"/>
          <w:kern w:val="2"/>
          <w:sz w:val="24"/>
          <w:szCs w:val="24"/>
          <w:lang w:val="en-US" w:eastAsia="zh-CN" w:bidi="ar-SA"/>
        </w:rPr>
        <w:t>每次报价均不得超过采购项目预算，否则视为无效响应</w:t>
      </w:r>
      <w:r>
        <w:rPr>
          <w:rFonts w:hint="eastAsia" w:ascii="宋体" w:hAnsi="宋体" w:eastAsia="宋体" w:cs="宋体"/>
          <w:color w:val="auto"/>
          <w:kern w:val="2"/>
          <w:sz w:val="24"/>
          <w:szCs w:val="24"/>
          <w:lang w:val="en-US" w:eastAsia="zh-CN" w:bidi="ar-SA"/>
        </w:rPr>
        <w:t>。采购项目预算见【谈判须知前附表】。</w:t>
      </w:r>
    </w:p>
    <w:p w14:paraId="1E415E5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w:t>
      </w:r>
      <w:r>
        <w:rPr>
          <w:rFonts w:hint="eastAsia" w:ascii="宋体" w:hAnsi="宋体" w:eastAsia="宋体" w:cs="宋体"/>
          <w:b/>
          <w:bCs/>
          <w:color w:val="auto"/>
          <w:kern w:val="2"/>
          <w:sz w:val="24"/>
          <w:szCs w:val="24"/>
          <w:lang w:val="en-US" w:eastAsia="zh-CN" w:bidi="ar-SA"/>
        </w:rPr>
        <w:t>合同执行过程中是固定不变的</w:t>
      </w:r>
      <w:r>
        <w:rPr>
          <w:rFonts w:hint="eastAsia" w:ascii="宋体" w:hAnsi="宋体" w:eastAsia="宋体" w:cs="宋体"/>
          <w:color w:val="auto"/>
          <w:kern w:val="2"/>
          <w:sz w:val="24"/>
          <w:szCs w:val="24"/>
          <w:lang w:val="en-US" w:eastAsia="zh-CN" w:bidi="ar-SA"/>
        </w:rPr>
        <w:t>，不得以任何理由予以变更。</w:t>
      </w:r>
      <w:r>
        <w:rPr>
          <w:rFonts w:hint="eastAsia" w:ascii="宋体" w:hAnsi="宋体" w:eastAsia="宋体" w:cs="宋体"/>
          <w:b/>
          <w:bCs/>
          <w:color w:val="auto"/>
          <w:kern w:val="2"/>
          <w:sz w:val="24"/>
          <w:szCs w:val="24"/>
          <w:lang w:val="en-US" w:eastAsia="zh-CN" w:bidi="ar-SA"/>
        </w:rPr>
        <w:t>以可变动价格提交的报价将被认为是非实质响应而被拒绝。</w:t>
      </w:r>
    </w:p>
    <w:p w14:paraId="0C65769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eastAsia="宋体" w:cs="宋体"/>
          <w:b/>
          <w:bCs/>
          <w:color w:val="auto"/>
          <w:kern w:val="2"/>
          <w:sz w:val="24"/>
          <w:szCs w:val="24"/>
          <w:lang w:val="en-US" w:eastAsia="zh-CN" w:bidi="ar-SA"/>
        </w:rPr>
        <w:t>谈判报价为总价</w:t>
      </w:r>
      <w:r>
        <w:rPr>
          <w:rFonts w:hint="eastAsia" w:ascii="宋体" w:hAnsi="宋体" w:eastAsia="宋体" w:cs="宋体"/>
          <w:color w:val="auto"/>
          <w:kern w:val="2"/>
          <w:sz w:val="24"/>
          <w:szCs w:val="24"/>
          <w:lang w:val="en-US" w:eastAsia="zh-CN" w:bidi="ar-SA"/>
        </w:rPr>
        <w:t>。供应商须按要求填写谈判总报价，最后报价不得出现两个或两个以上的报价方案。</w:t>
      </w:r>
    </w:p>
    <w:p w14:paraId="56D0296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14:paraId="519568BD">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2" w:name="_Toc30839"/>
      <w:bookmarkStart w:id="83" w:name="_Toc30481"/>
      <w:bookmarkStart w:id="84" w:name="_Toc27585"/>
      <w:bookmarkStart w:id="85" w:name="_Toc19609_WPSOffice_Level3"/>
      <w:bookmarkStart w:id="86" w:name="_Toc24956_WPSOffice_Level3"/>
      <w:r>
        <w:rPr>
          <w:rFonts w:hint="eastAsia" w:ascii="宋体" w:hAnsi="宋体" w:eastAsia="宋体" w:cs="宋体"/>
          <w:b/>
          <w:bCs/>
          <w:color w:val="auto"/>
          <w:kern w:val="2"/>
          <w:sz w:val="24"/>
          <w:szCs w:val="24"/>
          <w:lang w:val="en-US" w:eastAsia="zh-CN" w:bidi="ar-SA"/>
        </w:rPr>
        <w:t>10.保证金</w:t>
      </w:r>
      <w:bookmarkEnd w:id="82"/>
      <w:bookmarkEnd w:id="83"/>
      <w:bookmarkEnd w:id="84"/>
      <w:bookmarkEnd w:id="85"/>
      <w:bookmarkEnd w:id="86"/>
    </w:p>
    <w:p w14:paraId="3A0F32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10.1供应商应按【谈判须知前附表】的规定，在</w:t>
      </w:r>
      <w:r>
        <w:rPr>
          <w:rFonts w:hint="eastAsia" w:ascii="宋体" w:hAnsi="宋体" w:eastAsia="宋体" w:cs="宋体"/>
          <w:b/>
          <w:bCs/>
          <w:color w:val="auto"/>
          <w:kern w:val="2"/>
          <w:sz w:val="24"/>
          <w:szCs w:val="24"/>
          <w:lang w:val="en-US" w:eastAsia="zh-CN" w:bidi="ar-SA"/>
        </w:rPr>
        <w:t>提交响应文件的截止时间前</w:t>
      </w:r>
      <w:r>
        <w:rPr>
          <w:rFonts w:hint="eastAsia" w:ascii="宋体" w:hAnsi="宋体" w:eastAsia="宋体" w:cs="宋体"/>
          <w:color w:val="auto"/>
          <w:kern w:val="2"/>
          <w:sz w:val="24"/>
          <w:szCs w:val="24"/>
          <w:lang w:val="en-US" w:eastAsia="zh-CN" w:bidi="ar-SA"/>
        </w:rPr>
        <w:t>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3FF943A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w:t>
      </w:r>
      <w:r>
        <w:rPr>
          <w:rFonts w:hint="eastAsia" w:ascii="宋体" w:hAnsi="宋体" w:eastAsia="宋体" w:cs="宋体"/>
          <w:color w:val="auto"/>
          <w:kern w:val="2"/>
          <w:sz w:val="24"/>
          <w:szCs w:val="24"/>
          <w:lang w:val="zh-CN" w:eastAsia="zh-CN" w:bidi="ar-SA"/>
        </w:rPr>
        <w:t>供应商为联合体的，可以由联合体中的一方或者共同交纳保证金，其交纳的保证金，对联合体各方均具有约束力。</w:t>
      </w:r>
    </w:p>
    <w:p w14:paraId="7F488C4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10.3</w:t>
      </w:r>
      <w:r>
        <w:rPr>
          <w:rFonts w:hint="eastAsia" w:ascii="宋体" w:hAnsi="宋体" w:eastAsia="宋体" w:cs="宋体"/>
          <w:b/>
          <w:bCs/>
          <w:color w:val="auto"/>
          <w:kern w:val="2"/>
          <w:sz w:val="24"/>
          <w:szCs w:val="24"/>
          <w:lang w:val="en-US" w:eastAsia="zh-CN" w:bidi="ar-SA"/>
        </w:rPr>
        <w:t>保证金的退还按以下规定办理：</w:t>
      </w:r>
    </w:p>
    <w:p w14:paraId="67E1E1D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（1）成交供应商的保证金，在采购合同签订后5个工作日内退还，但因供应商自身原因导致无法退还的除外。</w:t>
      </w:r>
    </w:p>
    <w:p w14:paraId="422F50D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（2）未成交供应商的保证金，在成交通知书发出后5个工作日内退还。</w:t>
      </w:r>
    </w:p>
    <w:p w14:paraId="4CA38F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（3）终止竞争性谈判采购活动的，在发布项目终止公告后5个工作日内退还。</w:t>
      </w:r>
    </w:p>
    <w:p w14:paraId="29BDC31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10.4</w:t>
      </w:r>
      <w:r>
        <w:rPr>
          <w:rFonts w:hint="eastAsia" w:ascii="宋体" w:hAnsi="宋体" w:eastAsia="宋体" w:cs="宋体"/>
          <w:b/>
          <w:bCs/>
          <w:color w:val="auto"/>
          <w:kern w:val="2"/>
          <w:sz w:val="24"/>
          <w:szCs w:val="24"/>
          <w:lang w:val="en-US" w:eastAsia="zh-CN" w:bidi="ar-SA"/>
        </w:rPr>
        <w:t>有下列情形之一的，保证金不予退还</w:t>
      </w:r>
      <w:r>
        <w:rPr>
          <w:rFonts w:hint="eastAsia" w:ascii="宋体" w:hAnsi="宋体" w:eastAsia="宋体" w:cs="宋体"/>
          <w:color w:val="auto"/>
          <w:kern w:val="2"/>
          <w:sz w:val="24"/>
          <w:szCs w:val="24"/>
          <w:lang w:val="en-US" w:eastAsia="zh-CN" w:bidi="ar-SA"/>
        </w:rPr>
        <w:t>：</w:t>
      </w:r>
    </w:p>
    <w:p w14:paraId="56CFA7B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（1）供应商在提交响应文件截止时间后撤回响应文件的；</w:t>
      </w:r>
    </w:p>
    <w:p w14:paraId="6E3897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（2）供应商在响应文件中提供虚假材料的；</w:t>
      </w:r>
    </w:p>
    <w:p w14:paraId="6B8546F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（3）除因不可抗力或谈判文件认可的情形以外，成交供应商不与采购人签订合同的；</w:t>
      </w:r>
    </w:p>
    <w:p w14:paraId="43FFACD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（4）供应商与采购人、其他供应商或者采购代理机构恶意串通的；</w:t>
      </w:r>
    </w:p>
    <w:p w14:paraId="7088A79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（5）谈判文件规定的其他情形。</w:t>
      </w:r>
    </w:p>
    <w:p w14:paraId="5DF4D884">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7" w:name="_Toc4945_WPSOffice_Level3"/>
      <w:bookmarkStart w:id="88" w:name="_Toc14144"/>
      <w:bookmarkStart w:id="89" w:name="_Toc18765_WPSOffice_Level3"/>
      <w:bookmarkStart w:id="90" w:name="_Toc5897"/>
      <w:bookmarkStart w:id="91" w:name="_Toc7718"/>
      <w:r>
        <w:rPr>
          <w:rFonts w:hint="eastAsia" w:ascii="宋体" w:hAnsi="宋体" w:eastAsia="宋体" w:cs="宋体"/>
          <w:b/>
          <w:bCs/>
          <w:color w:val="auto"/>
          <w:kern w:val="2"/>
          <w:sz w:val="24"/>
          <w:szCs w:val="24"/>
          <w:lang w:val="en-US" w:eastAsia="zh-CN" w:bidi="ar-SA"/>
        </w:rPr>
        <w:t>11.响应文件的组成</w:t>
      </w:r>
      <w:bookmarkEnd w:id="87"/>
      <w:bookmarkEnd w:id="88"/>
      <w:bookmarkEnd w:id="89"/>
      <w:bookmarkEnd w:id="90"/>
      <w:bookmarkEnd w:id="91"/>
    </w:p>
    <w:p w14:paraId="09B8108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11.1响应文件包括下列内容：</w:t>
      </w:r>
    </w:p>
    <w:p w14:paraId="27597D0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供应商应提交相关证明材料，作为其参加谈判和成交后有能力履行合同的证明。编写的响应文件须包括以下内容（</w:t>
      </w:r>
      <w:r>
        <w:rPr>
          <w:rFonts w:hint="eastAsia" w:ascii="宋体" w:hAnsi="宋体" w:eastAsia="宋体" w:cs="宋体"/>
          <w:color w:val="auto"/>
          <w:kern w:val="2"/>
          <w:sz w:val="24"/>
          <w:szCs w:val="24"/>
          <w:highlight w:val="none"/>
          <w:lang w:val="en-US" w:eastAsia="zh-CN" w:bidi="ar-SA"/>
        </w:rPr>
        <w:t>格式详见谈判文件第四部分内容）：</w:t>
      </w:r>
    </w:p>
    <w:p w14:paraId="064F1025">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11.1.1</w:t>
      </w:r>
      <w:r>
        <w:rPr>
          <w:rFonts w:hint="eastAsia" w:ascii="宋体" w:hAnsi="宋体" w:eastAsia="宋体" w:cs="宋体"/>
          <w:b/>
          <w:bCs/>
          <w:color w:val="auto"/>
          <w:kern w:val="2"/>
          <w:sz w:val="24"/>
          <w:szCs w:val="24"/>
          <w:lang w:val="zh-CN" w:eastAsia="zh-CN" w:bidi="ar-SA"/>
        </w:rPr>
        <w:t>资格审查部分</w:t>
      </w:r>
    </w:p>
    <w:p w14:paraId="5CF6993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14:paraId="6D48F62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14:paraId="2596285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14:paraId="189FA8B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14:paraId="479A12A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14:paraId="12DD95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14:paraId="699E532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14:paraId="0D3B0CA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14:paraId="69BE131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9、谈判保证金证明</w:t>
      </w:r>
    </w:p>
    <w:p w14:paraId="494C685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11.1.2有效性、完整性、响应程度审查</w:t>
      </w:r>
      <w:r>
        <w:rPr>
          <w:rFonts w:hint="eastAsia" w:ascii="宋体" w:hAnsi="宋体" w:eastAsia="宋体" w:cs="宋体"/>
          <w:b/>
          <w:bCs/>
          <w:color w:val="auto"/>
          <w:kern w:val="2"/>
          <w:sz w:val="24"/>
          <w:szCs w:val="24"/>
          <w:lang w:val="zh-CN" w:eastAsia="zh-CN" w:bidi="ar-SA"/>
        </w:rPr>
        <w:t>部分</w:t>
      </w:r>
    </w:p>
    <w:p w14:paraId="67C9A71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w:t>
      </w:r>
    </w:p>
    <w:p w14:paraId="4446C9B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、分项报价表</w:t>
      </w:r>
    </w:p>
    <w:p w14:paraId="2744079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、服务响应表</w:t>
      </w:r>
    </w:p>
    <w:p w14:paraId="4F20C31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服务相关资料（</w:t>
      </w:r>
      <w:r>
        <w:rPr>
          <w:rFonts w:hint="eastAsia" w:ascii="宋体" w:hAnsi="宋体" w:eastAsia="宋体" w:cs="宋体"/>
          <w:color w:val="auto"/>
          <w:kern w:val="2"/>
          <w:sz w:val="24"/>
          <w:szCs w:val="24"/>
          <w:lang w:val="zh-CN" w:eastAsia="zh-CN" w:bidi="ar-SA"/>
        </w:rPr>
        <w:t>具备履行合同所必须的设备和专业技术能力证明</w:t>
      </w:r>
      <w:r>
        <w:rPr>
          <w:rFonts w:hint="eastAsia" w:ascii="宋体" w:hAnsi="宋体" w:eastAsia="宋体" w:cs="宋体"/>
          <w:color w:val="auto"/>
          <w:kern w:val="2"/>
          <w:sz w:val="24"/>
          <w:szCs w:val="24"/>
          <w:lang w:val="en-US" w:eastAsia="zh-CN" w:bidi="ar-SA"/>
        </w:rPr>
        <w:t>）</w:t>
      </w:r>
    </w:p>
    <w:p w14:paraId="46E1474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w:t>
      </w:r>
    </w:p>
    <w:p w14:paraId="62A2EE9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谈判最后报价表</w:t>
      </w:r>
    </w:p>
    <w:p w14:paraId="41D09B1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、其他证明材料</w:t>
      </w:r>
    </w:p>
    <w:p w14:paraId="254E7B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供应商须按上述内容、顺序和格式编制响应文件，并按要求编制目录、页码，并保证所提供的全部资料真实可信，自愿承担相应责任。</w:t>
      </w:r>
    </w:p>
    <w:p w14:paraId="63C682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11.2在谈判过程中，</w:t>
      </w:r>
      <w:r>
        <w:rPr>
          <w:rFonts w:hint="eastAsia" w:ascii="宋体" w:hAnsi="宋体" w:eastAsia="宋体" w:cs="宋体"/>
          <w:b/>
          <w:bCs/>
          <w:color w:val="auto"/>
          <w:kern w:val="2"/>
          <w:sz w:val="24"/>
          <w:szCs w:val="24"/>
          <w:lang w:val="en-US" w:eastAsia="zh-CN" w:bidi="ar-SA"/>
        </w:rPr>
        <w:t>供应商根据谈判小组书面形式要求提交的最后报价</w:t>
      </w:r>
      <w:r>
        <w:rPr>
          <w:rFonts w:hint="eastAsia" w:ascii="宋体" w:hAnsi="宋体" w:eastAsia="宋体" w:cs="宋体"/>
          <w:b/>
          <w:bCs/>
          <w:color w:val="auto"/>
          <w:kern w:val="2"/>
          <w:sz w:val="24"/>
          <w:szCs w:val="24"/>
          <w:u w:val="none"/>
          <w:lang w:val="en-US" w:eastAsia="zh-CN" w:bidi="ar-SA"/>
        </w:rPr>
        <w:t>(或者重新提交的响应文件和最后报价)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14:paraId="176719BF">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2" w:name="_Toc26621"/>
      <w:bookmarkStart w:id="93" w:name="_Toc14930_WPSOffice_Level3"/>
      <w:bookmarkStart w:id="94" w:name="_Toc11674"/>
      <w:bookmarkStart w:id="95" w:name="_Toc3694_WPSOffice_Level3"/>
      <w:bookmarkStart w:id="96" w:name="_Toc3004"/>
      <w:r>
        <w:rPr>
          <w:rFonts w:hint="eastAsia" w:ascii="宋体" w:hAnsi="宋体" w:eastAsia="宋体" w:cs="宋体"/>
          <w:b/>
          <w:bCs/>
          <w:color w:val="auto"/>
          <w:kern w:val="2"/>
          <w:sz w:val="24"/>
          <w:szCs w:val="24"/>
          <w:lang w:val="en-US" w:eastAsia="zh-CN" w:bidi="ar-SA"/>
        </w:rPr>
        <w:t>12.响应文件有效期</w:t>
      </w:r>
      <w:bookmarkEnd w:id="92"/>
      <w:bookmarkEnd w:id="93"/>
      <w:bookmarkEnd w:id="94"/>
      <w:bookmarkEnd w:id="95"/>
      <w:bookmarkEnd w:id="96"/>
    </w:p>
    <w:p w14:paraId="7F83285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响应文件有效期见【谈判须知前附表】，在此期间响应文件对供应商具有法律约束力，从提交首次响应文件截止时间之日起计算。</w:t>
      </w:r>
      <w:r>
        <w:rPr>
          <w:rFonts w:hint="eastAsia" w:ascii="宋体" w:hAnsi="宋体" w:eastAsia="宋体" w:cs="宋体"/>
          <w:b/>
          <w:bCs/>
          <w:color w:val="auto"/>
          <w:kern w:val="2"/>
          <w:sz w:val="24"/>
          <w:szCs w:val="24"/>
          <w:lang w:val="zh-CN" w:eastAsia="zh-CN" w:bidi="ar-SA"/>
        </w:rPr>
        <w:t>响应文件有效期不足的将被视为无效响应。</w:t>
      </w:r>
    </w:p>
    <w:p w14:paraId="791F51EB">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7" w:name="_Toc29012"/>
      <w:bookmarkStart w:id="98" w:name="_Toc20265"/>
      <w:bookmarkStart w:id="99" w:name="_Toc31682_WPSOffice_Level3"/>
      <w:bookmarkStart w:id="100" w:name="_Toc8507_WPSOffice_Level3"/>
      <w:bookmarkStart w:id="101" w:name="_Toc21033"/>
      <w:r>
        <w:rPr>
          <w:rFonts w:hint="eastAsia" w:ascii="宋体" w:hAnsi="宋体" w:eastAsia="宋体" w:cs="宋体"/>
          <w:b/>
          <w:bCs/>
          <w:color w:val="auto"/>
          <w:kern w:val="2"/>
          <w:sz w:val="24"/>
          <w:szCs w:val="24"/>
          <w:lang w:val="en-US" w:eastAsia="zh-CN" w:bidi="ar-SA"/>
        </w:rPr>
        <w:t>13.响应文件的签署及规定</w:t>
      </w:r>
      <w:bookmarkEnd w:id="97"/>
      <w:bookmarkEnd w:id="98"/>
      <w:bookmarkEnd w:id="99"/>
      <w:bookmarkEnd w:id="100"/>
      <w:bookmarkEnd w:id="101"/>
    </w:p>
    <w:p w14:paraId="5EC581E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513B25EE">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13.2</w:t>
      </w:r>
      <w:r>
        <w:rPr>
          <w:rFonts w:hint="eastAsia" w:ascii="宋体" w:hAnsi="宋体" w:eastAsia="宋体" w:cs="宋体"/>
          <w:color w:val="auto"/>
          <w:kern w:val="2"/>
          <w:sz w:val="24"/>
          <w:szCs w:val="24"/>
          <w:lang w:val="zh-CN" w:eastAsia="zh-CN" w:bidi="ar-SA"/>
        </w:rPr>
        <w:t>供应商应按照谈判文件所提供的文件格式，分别填写谈判文件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w:t>
      </w:r>
      <w:r>
        <w:rPr>
          <w:rFonts w:hint="eastAsia" w:ascii="宋体" w:hAnsi="宋体" w:eastAsia="宋体" w:cs="宋体"/>
          <w:b w:val="0"/>
          <w:bCs w:val="0"/>
          <w:color w:val="auto"/>
          <w:kern w:val="2"/>
          <w:sz w:val="24"/>
          <w:szCs w:val="24"/>
          <w:highlight w:val="none"/>
          <w:lang w:val="zh-CN" w:eastAsia="zh-CN" w:bidi="ar-SA"/>
        </w:rPr>
        <w:t>应分别注明所提供</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eastAsia="宋体" w:cs="宋体"/>
          <w:b w:val="0"/>
          <w:bCs w:val="0"/>
          <w:color w:val="auto"/>
          <w:kern w:val="2"/>
          <w:sz w:val="24"/>
          <w:szCs w:val="24"/>
          <w:highlight w:val="none"/>
          <w:lang w:val="zh-CN" w:eastAsia="zh-CN" w:bidi="ar-SA"/>
        </w:rPr>
        <w:t>的名称、数量和价格等内容</w:t>
      </w: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lang w:val="zh-CN" w:eastAsia="zh-CN" w:bidi="ar-SA"/>
        </w:rPr>
        <w:t>谈判文件要求签字、盖章的地方必须由供应商的法定代表人或委托代理人签字、盖章。</w:t>
      </w:r>
    </w:p>
    <w:p w14:paraId="2908FC48">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13.3响应文件正本一份，副本、电子版份数见【谈判须知前附表】。纸质响应文件须清楚地注明“正本”或“副本”的字样。</w:t>
      </w:r>
      <w:r>
        <w:rPr>
          <w:rFonts w:hint="eastAsia" w:ascii="宋体" w:hAnsi="宋体" w:eastAsia="宋体" w:cs="宋体"/>
          <w:color w:val="auto"/>
          <w:sz w:val="24"/>
          <w:szCs w:val="24"/>
        </w:rPr>
        <w:t>若副本和正本不一致，</w:t>
      </w:r>
      <w:r>
        <w:rPr>
          <w:rFonts w:hint="eastAsia" w:ascii="宋体" w:hAnsi="宋体" w:eastAsia="宋体" w:cs="宋体"/>
          <w:b/>
          <w:bCs/>
          <w:color w:val="auto"/>
          <w:sz w:val="24"/>
          <w:szCs w:val="24"/>
        </w:rPr>
        <w:t>以纸质正本文件为准。</w:t>
      </w:r>
      <w:r>
        <w:rPr>
          <w:rFonts w:hint="eastAsia" w:ascii="宋体" w:hAnsi="宋体" w:eastAsia="宋体" w:cs="宋体"/>
          <w:b/>
          <w:bCs/>
          <w:color w:val="auto"/>
          <w:sz w:val="24"/>
          <w:szCs w:val="24"/>
          <w:lang w:val="en-US" w:eastAsia="zh-CN"/>
        </w:rPr>
        <w:t>电子版</w:t>
      </w:r>
      <w:r>
        <w:rPr>
          <w:rFonts w:hint="eastAsia" w:ascii="宋体" w:hAnsi="宋体" w:eastAsia="宋体" w:cs="宋体"/>
          <w:color w:val="auto"/>
          <w:sz w:val="24"/>
          <w:szCs w:val="24"/>
          <w:u w:val="none"/>
          <w:lang w:val="en-US" w:eastAsia="zh-CN"/>
        </w:rPr>
        <w:t>采用U盘制作（电子文档应与正本内容完全一致，即书面响应文件正本的扫描件，包括盖章和签字；电子文档为不可修改文档，即PDF格式）</w:t>
      </w:r>
    </w:p>
    <w:p w14:paraId="382B38BB">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13.4响应</w:t>
      </w:r>
      <w:r>
        <w:rPr>
          <w:rFonts w:hint="eastAsia" w:ascii="宋体" w:hAnsi="宋体" w:eastAsia="宋体" w:cs="宋体"/>
          <w:color w:val="auto"/>
          <w:kern w:val="2"/>
          <w:sz w:val="24"/>
          <w:szCs w:val="24"/>
          <w:lang w:val="zh-CN" w:eastAsia="zh-CN" w:bidi="ar-SA"/>
        </w:rPr>
        <w:t>文件统一使用A4幅面的纸张印制，必须胶装成册并编制目录，其他方式装订的响应文件一概不予接受。</w:t>
      </w:r>
      <w:r>
        <w:rPr>
          <w:rFonts w:hint="eastAsia" w:ascii="宋体" w:hAnsi="宋体" w:eastAsia="宋体" w:cs="宋体"/>
          <w:b/>
          <w:bCs/>
          <w:color w:val="auto"/>
          <w:kern w:val="2"/>
          <w:sz w:val="24"/>
          <w:szCs w:val="24"/>
          <w:lang w:val="zh-CN" w:eastAsia="zh-CN" w:bidi="ar-SA"/>
        </w:rPr>
        <w:t>响应文件的正本需打印或用不褪色、不变质的墨水书写，副本可采用正本的复印件。</w:t>
      </w:r>
    </w:p>
    <w:p w14:paraId="4E4B0320">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13.5响应文件不得行间插字，若有修改错漏处，应由供应商法定代表人或者其委托代理人签字、加盖公章。否则，将导致响应文件无效。</w:t>
      </w:r>
    </w:p>
    <w:p w14:paraId="089D8AA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13.6在谈判过程中，供应商按谈判文件规定和谈判小组要求提交的最后报价(或者重新提交的响应文件和最后报价)，须打印或用不褪色材料书写，</w:t>
      </w:r>
      <w:r>
        <w:rPr>
          <w:rFonts w:hint="eastAsia" w:ascii="宋体" w:hAnsi="宋体" w:eastAsia="宋体" w:cs="宋体"/>
          <w:b/>
          <w:bCs/>
          <w:color w:val="auto"/>
          <w:kern w:val="2"/>
          <w:sz w:val="24"/>
          <w:szCs w:val="24"/>
          <w:lang w:val="en-US" w:eastAsia="zh-CN" w:bidi="ar-SA"/>
        </w:rPr>
        <w:t>并经供应商代表签字，或者加盖供应商单位公章。否则，将导致响应文件无效。</w:t>
      </w:r>
    </w:p>
    <w:p w14:paraId="0B75341D">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13.7供应商无论成交与否，其响应文件不予退还。</w:t>
      </w:r>
    </w:p>
    <w:p w14:paraId="1B87630A">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02" w:name="_Toc8361"/>
      <w:bookmarkStart w:id="103" w:name="_Toc25869"/>
      <w:bookmarkStart w:id="104" w:name="_Toc16239"/>
      <w:bookmarkStart w:id="105" w:name="_Toc24112_WPSOffice_Level2"/>
      <w:bookmarkStart w:id="106" w:name="_Toc30575"/>
      <w:bookmarkStart w:id="107" w:name="_Toc34637768"/>
      <w:bookmarkStart w:id="108" w:name="_Toc32627_WPSOffice_Level2"/>
      <w:bookmarkStart w:id="109" w:name="_Toc31349_WPSOffice_Level2"/>
      <w:r>
        <w:rPr>
          <w:rFonts w:hint="eastAsia" w:ascii="宋体" w:hAnsi="宋体" w:eastAsia="宋体" w:cs="宋体"/>
          <w:b/>
          <w:bCs/>
          <w:color w:val="auto"/>
          <w:kern w:val="2"/>
          <w:sz w:val="28"/>
          <w:szCs w:val="28"/>
          <w:lang w:val="en-US" w:eastAsia="zh-CN" w:bidi="ar-SA"/>
        </w:rPr>
        <w:t>四、响应文件的递交</w:t>
      </w:r>
      <w:bookmarkEnd w:id="102"/>
      <w:bookmarkEnd w:id="103"/>
      <w:bookmarkEnd w:id="104"/>
      <w:bookmarkEnd w:id="105"/>
      <w:bookmarkEnd w:id="106"/>
      <w:bookmarkEnd w:id="107"/>
      <w:bookmarkEnd w:id="108"/>
      <w:bookmarkEnd w:id="109"/>
    </w:p>
    <w:p w14:paraId="0757C96B">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0" w:name="_Toc31398"/>
      <w:bookmarkStart w:id="111" w:name="_Toc23622_WPSOffice_Level3"/>
      <w:bookmarkStart w:id="112" w:name="_Toc6095"/>
      <w:bookmarkStart w:id="113" w:name="_Toc20825_WPSOffice_Level3"/>
      <w:bookmarkStart w:id="114" w:name="_Toc4459"/>
      <w:r>
        <w:rPr>
          <w:rFonts w:hint="eastAsia" w:ascii="宋体" w:hAnsi="宋体" w:eastAsia="宋体" w:cs="宋体"/>
          <w:b/>
          <w:bCs/>
          <w:color w:val="auto"/>
          <w:kern w:val="2"/>
          <w:sz w:val="24"/>
          <w:szCs w:val="24"/>
          <w:lang w:val="en-US" w:eastAsia="zh-CN" w:bidi="ar-SA"/>
        </w:rPr>
        <w:t>14.响应文件的密封和标记</w:t>
      </w:r>
      <w:bookmarkEnd w:id="110"/>
      <w:bookmarkEnd w:id="111"/>
      <w:bookmarkEnd w:id="112"/>
      <w:bookmarkEnd w:id="113"/>
      <w:bookmarkEnd w:id="114"/>
    </w:p>
    <w:p w14:paraId="63C9C9F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14.1响应文件应密封包装，以保证其响应文件信息在提交首次响应文件截止时间前不被透露。</w:t>
      </w:r>
    </w:p>
    <w:p w14:paraId="62358EEE">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14.2</w:t>
      </w:r>
      <w:r>
        <w:rPr>
          <w:rFonts w:hint="eastAsia" w:ascii="宋体" w:hAnsi="宋体" w:eastAsia="宋体" w:cs="宋体"/>
          <w:color w:val="auto"/>
          <w:sz w:val="24"/>
          <w:szCs w:val="24"/>
        </w:rPr>
        <w:t>响应文件正本、所有副本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电子版</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分别</w:t>
      </w:r>
      <w:r>
        <w:rPr>
          <w:rFonts w:hint="eastAsia" w:ascii="宋体" w:hAnsi="宋体" w:eastAsia="宋体" w:cs="宋体"/>
          <w:color w:val="auto"/>
          <w:sz w:val="24"/>
          <w:szCs w:val="24"/>
        </w:rPr>
        <w:t>密封包装</w:t>
      </w:r>
      <w:r>
        <w:rPr>
          <w:rFonts w:hint="eastAsia" w:ascii="宋体" w:hAnsi="宋体" w:eastAsia="宋体" w:cs="宋体"/>
          <w:color w:val="auto"/>
          <w:kern w:val="2"/>
          <w:sz w:val="24"/>
          <w:szCs w:val="24"/>
          <w:lang w:val="en-US" w:eastAsia="zh-CN" w:bidi="ar-SA"/>
        </w:rPr>
        <w:t>，密封袋上应写明的内容见【谈判须知前附表】</w:t>
      </w:r>
    </w:p>
    <w:p w14:paraId="724965A6">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5" w:name="_Toc13231_WPSOffice_Level3"/>
      <w:bookmarkStart w:id="116" w:name="_Toc12764"/>
      <w:bookmarkStart w:id="117" w:name="_Toc18048"/>
      <w:bookmarkStart w:id="118" w:name="_Toc1241"/>
      <w:bookmarkStart w:id="119" w:name="_Toc7845_WPSOffice_Level3"/>
      <w:r>
        <w:rPr>
          <w:rFonts w:hint="eastAsia" w:ascii="宋体" w:hAnsi="宋体" w:eastAsia="宋体" w:cs="宋体"/>
          <w:b/>
          <w:bCs/>
          <w:color w:val="auto"/>
          <w:kern w:val="2"/>
          <w:sz w:val="24"/>
          <w:szCs w:val="24"/>
          <w:lang w:val="en-US" w:eastAsia="zh-CN" w:bidi="ar-SA"/>
        </w:rPr>
        <w:t>15.响应文件的递交与接收</w:t>
      </w:r>
      <w:bookmarkEnd w:id="115"/>
      <w:bookmarkEnd w:id="116"/>
      <w:bookmarkEnd w:id="117"/>
      <w:bookmarkEnd w:id="118"/>
      <w:bookmarkEnd w:id="119"/>
    </w:p>
    <w:p w14:paraId="6EE35C4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供应商应在【谈判须知前附表】规定的时间和地点提交响应文件。</w:t>
      </w:r>
      <w:r>
        <w:rPr>
          <w:rFonts w:hint="eastAsia" w:ascii="宋体" w:hAnsi="宋体" w:eastAsia="宋体" w:cs="宋体"/>
          <w:b/>
          <w:bCs/>
          <w:color w:val="auto"/>
          <w:kern w:val="2"/>
          <w:sz w:val="24"/>
          <w:szCs w:val="24"/>
          <w:lang w:val="en-US" w:eastAsia="zh-CN" w:bidi="ar-SA"/>
        </w:rPr>
        <w:t>在截止时间后送达的响应文件为无效文件</w:t>
      </w:r>
      <w:r>
        <w:rPr>
          <w:rFonts w:hint="eastAsia" w:ascii="宋体" w:hAnsi="宋体" w:eastAsia="宋体" w:cs="宋体"/>
          <w:color w:val="auto"/>
          <w:kern w:val="2"/>
          <w:sz w:val="24"/>
          <w:szCs w:val="24"/>
          <w:lang w:val="en-US" w:eastAsia="zh-CN" w:bidi="ar-SA"/>
        </w:rPr>
        <w:t>，采购人、采购代理机构或者谈判小组拒收逾期送达的响应文件。</w:t>
      </w:r>
    </w:p>
    <w:p w14:paraId="373A5869">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0" w:name="_Toc1373"/>
      <w:bookmarkStart w:id="121" w:name="_Toc17912"/>
      <w:bookmarkStart w:id="122" w:name="_Toc19521_WPSOffice_Level3"/>
      <w:bookmarkStart w:id="123" w:name="_Toc5063_WPSOffice_Level3"/>
      <w:bookmarkStart w:id="124" w:name="_Toc31959"/>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20"/>
      <w:bookmarkEnd w:id="121"/>
      <w:bookmarkEnd w:id="122"/>
      <w:bookmarkEnd w:id="123"/>
      <w:bookmarkEnd w:id="124"/>
    </w:p>
    <w:p w14:paraId="792DCF6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25" w:name="_Toc32435"/>
      <w:bookmarkStart w:id="126" w:name="_Toc34637769"/>
      <w:r>
        <w:rPr>
          <w:rFonts w:hint="eastAsia" w:ascii="宋体" w:hAnsi="宋体" w:eastAsia="宋体" w:cs="宋体"/>
          <w:color w:val="auto"/>
          <w:kern w:val="2"/>
          <w:sz w:val="24"/>
          <w:szCs w:val="24"/>
          <w:lang w:val="en-US" w:eastAsia="zh-CN" w:bidi="ar-SA"/>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6DFA8424">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27" w:name="_Toc18610_WPSOffice_Level2"/>
      <w:bookmarkStart w:id="128" w:name="_Toc25721_WPSOffice_Level2"/>
      <w:bookmarkStart w:id="129" w:name="_Toc17502"/>
      <w:bookmarkStart w:id="130" w:name="_Toc10968"/>
      <w:bookmarkStart w:id="131" w:name="_Toc12974"/>
      <w:bookmarkStart w:id="132" w:name="_Toc29785_WPSOffice_Level2"/>
      <w:bookmarkStart w:id="133" w:name="_Toc31993"/>
      <w:r>
        <w:rPr>
          <w:rFonts w:hint="eastAsia" w:ascii="宋体" w:hAnsi="宋体" w:eastAsia="宋体" w:cs="宋体"/>
          <w:b/>
          <w:bCs/>
          <w:color w:val="auto"/>
          <w:kern w:val="2"/>
          <w:sz w:val="28"/>
          <w:szCs w:val="28"/>
          <w:lang w:val="en-US" w:eastAsia="zh-CN" w:bidi="ar-SA"/>
        </w:rPr>
        <w:t>五、响应文件的评审与谈判</w:t>
      </w:r>
      <w:bookmarkEnd w:id="126"/>
      <w:bookmarkEnd w:id="127"/>
      <w:bookmarkEnd w:id="128"/>
      <w:bookmarkEnd w:id="129"/>
      <w:bookmarkEnd w:id="130"/>
      <w:bookmarkEnd w:id="131"/>
      <w:bookmarkEnd w:id="132"/>
      <w:bookmarkEnd w:id="133"/>
    </w:p>
    <w:p w14:paraId="3593F409">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4" w:name="_Toc26446"/>
      <w:bookmarkStart w:id="135" w:name="_Toc174"/>
      <w:bookmarkStart w:id="136" w:name="_Toc11267"/>
      <w:bookmarkStart w:id="137" w:name="_Toc18713_WPSOffice_Level3"/>
      <w:bookmarkStart w:id="138" w:name="_Toc19596_WPSOffice_Level3"/>
      <w:r>
        <w:rPr>
          <w:rFonts w:hint="eastAsia" w:ascii="宋体" w:hAnsi="宋体" w:eastAsia="宋体" w:cs="宋体"/>
          <w:b/>
          <w:bCs/>
          <w:color w:val="auto"/>
          <w:kern w:val="2"/>
          <w:sz w:val="24"/>
          <w:szCs w:val="24"/>
          <w:lang w:val="en-US" w:eastAsia="zh-CN" w:bidi="ar-SA"/>
        </w:rPr>
        <w:t>17.谈判小组</w:t>
      </w:r>
      <w:bookmarkEnd w:id="134"/>
      <w:bookmarkEnd w:id="135"/>
      <w:bookmarkEnd w:id="136"/>
      <w:bookmarkEnd w:id="137"/>
      <w:bookmarkEnd w:id="138"/>
    </w:p>
    <w:p w14:paraId="660568E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17.1竞争性谈判小组由采购人代表和评审专家共</w:t>
      </w: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color w:val="auto"/>
          <w:kern w:val="2"/>
          <w:sz w:val="24"/>
          <w:szCs w:val="24"/>
          <w:lang w:val="en-US" w:eastAsia="zh-CN" w:bidi="ar-SA"/>
        </w:rPr>
        <w:t>人组成，其中评审专家</w:t>
      </w:r>
      <w:r>
        <w:rPr>
          <w:rFonts w:hint="eastAsia" w:ascii="宋体" w:hAnsi="宋体" w:eastAsia="宋体" w:cs="宋体"/>
          <w:color w:val="auto"/>
          <w:kern w:val="2"/>
          <w:sz w:val="24"/>
          <w:szCs w:val="24"/>
          <w:u w:val="none"/>
          <w:lang w:val="en-US" w:eastAsia="zh-CN" w:bidi="ar-SA"/>
        </w:rPr>
        <w:t>2</w:t>
      </w:r>
      <w:r>
        <w:rPr>
          <w:rFonts w:hint="eastAsia" w:ascii="宋体" w:hAnsi="宋体" w:eastAsia="宋体" w:cs="宋体"/>
          <w:color w:val="auto"/>
          <w:kern w:val="2"/>
          <w:sz w:val="24"/>
          <w:szCs w:val="24"/>
          <w:lang w:val="en-US" w:eastAsia="zh-CN" w:bidi="ar-SA"/>
        </w:rPr>
        <w:t>名。采购人不得以评审专家身份参加本采购项目的评审。谈判小组评审专家从评审专家库内相关专业的专家名单中随机抽取。</w:t>
      </w:r>
    </w:p>
    <w:p w14:paraId="1B5368D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17.2谈判由采购代理机构负责组织，具体谈判事务由依法组建的谈判小组负责，</w:t>
      </w:r>
      <w:r>
        <w:rPr>
          <w:rFonts w:hint="eastAsia" w:ascii="宋体" w:hAnsi="宋体" w:eastAsia="宋体" w:cs="宋体"/>
          <w:b/>
          <w:bCs/>
          <w:color w:val="auto"/>
          <w:kern w:val="2"/>
          <w:sz w:val="24"/>
          <w:szCs w:val="24"/>
          <w:lang w:val="en-US" w:eastAsia="zh-CN" w:bidi="ar-SA"/>
        </w:rPr>
        <w:t>并独立履行下列职责</w:t>
      </w:r>
      <w:r>
        <w:rPr>
          <w:rFonts w:hint="eastAsia" w:ascii="宋体" w:hAnsi="宋体" w:eastAsia="宋体" w:cs="宋体"/>
          <w:color w:val="auto"/>
          <w:kern w:val="2"/>
          <w:sz w:val="24"/>
          <w:szCs w:val="24"/>
          <w:lang w:val="en-US" w:eastAsia="zh-CN" w:bidi="ar-SA"/>
        </w:rPr>
        <w:t>：</w:t>
      </w:r>
    </w:p>
    <w:p w14:paraId="1A26082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确认谈判文件</w:t>
      </w:r>
      <w:r>
        <w:rPr>
          <w:rFonts w:hint="eastAsia" w:ascii="宋体" w:hAnsi="宋体" w:eastAsia="宋体" w:cs="宋体"/>
          <w:color w:val="auto"/>
          <w:kern w:val="2"/>
          <w:sz w:val="24"/>
          <w:szCs w:val="24"/>
          <w:lang w:val="en-US" w:eastAsia="zh-CN" w:bidi="ar-SA"/>
        </w:rPr>
        <w:t>；</w:t>
      </w:r>
    </w:p>
    <w:p w14:paraId="6B681EB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14:paraId="5142E8D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（3）要求供应商对谈判文件有关事项作出澄清或者说明；</w:t>
      </w:r>
    </w:p>
    <w:p w14:paraId="768D6D2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14:paraId="7D89A14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14:paraId="036EC50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14:paraId="2C9DC9D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17.3谈判小组应遵守并履行下列义务：</w:t>
      </w:r>
    </w:p>
    <w:p w14:paraId="462FFD9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14:paraId="564DCFD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（2）按照谈判文件规定的成交方法评审，对评审意见承担谈判小组成员责任；</w:t>
      </w:r>
    </w:p>
    <w:p w14:paraId="6C30081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（3）对响应文件、谈判情况和谈判中获悉的国家秘密、商业秘密保密；</w:t>
      </w:r>
    </w:p>
    <w:p w14:paraId="7B5C76D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14:paraId="352EB4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14:paraId="40BE8C9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（6）配合相关部门的投诉处理和监督检查工作。</w:t>
      </w:r>
    </w:p>
    <w:p w14:paraId="03C3E94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eastAsia="宋体" w:cs="宋体"/>
          <w:b/>
          <w:bCs/>
          <w:color w:val="auto"/>
          <w:kern w:val="2"/>
          <w:sz w:val="24"/>
          <w:szCs w:val="24"/>
          <w:lang w:val="en-US" w:eastAsia="zh-CN" w:bidi="ar-SA"/>
        </w:rPr>
        <w:t>谈判小组成员有下列情形之一的，应当回避</w:t>
      </w:r>
      <w:r>
        <w:rPr>
          <w:rFonts w:hint="eastAsia" w:ascii="宋体" w:hAnsi="宋体" w:eastAsia="宋体" w:cs="宋体"/>
          <w:color w:val="auto"/>
          <w:kern w:val="2"/>
          <w:sz w:val="24"/>
          <w:szCs w:val="24"/>
          <w:lang w:val="en-US" w:eastAsia="zh-CN" w:bidi="ar-SA"/>
        </w:rPr>
        <w:t>：</w:t>
      </w:r>
    </w:p>
    <w:p w14:paraId="0A660F3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14:paraId="525501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14:paraId="611D4E5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14:paraId="7170A3C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14:paraId="0299FD9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（5）与供应商有其他可能影响采购活动公平、公正进行的关系。</w:t>
      </w:r>
      <w:bookmarkStart w:id="139" w:name="_Toc16350_WPSOffice_Level3"/>
      <w:bookmarkStart w:id="140" w:name="_Toc19122"/>
    </w:p>
    <w:p w14:paraId="106DB781">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1" w:name="_Toc21386"/>
      <w:bookmarkStart w:id="142" w:name="_Toc22044_WPSOffice_Level3"/>
      <w:r>
        <w:rPr>
          <w:rFonts w:hint="eastAsia" w:ascii="宋体" w:hAnsi="宋体" w:eastAsia="宋体" w:cs="宋体"/>
          <w:b/>
          <w:bCs/>
          <w:color w:val="auto"/>
          <w:kern w:val="2"/>
          <w:sz w:val="24"/>
          <w:szCs w:val="24"/>
          <w:lang w:val="en-US" w:eastAsia="zh-CN" w:bidi="ar-SA"/>
        </w:rPr>
        <w:t>18.响应文件审查</w:t>
      </w:r>
      <w:bookmarkEnd w:id="139"/>
      <w:bookmarkEnd w:id="140"/>
      <w:bookmarkEnd w:id="141"/>
      <w:bookmarkEnd w:id="142"/>
    </w:p>
    <w:p w14:paraId="54D764B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18.1谈判小组应当对响应文件进行评审，并根据谈判文件规定的程序、评定成交的标准等事项与</w:t>
      </w:r>
      <w:r>
        <w:rPr>
          <w:rFonts w:hint="eastAsia" w:ascii="宋体" w:hAnsi="宋体" w:eastAsia="宋体" w:cs="宋体"/>
          <w:b/>
          <w:bCs/>
          <w:color w:val="auto"/>
          <w:kern w:val="2"/>
          <w:sz w:val="24"/>
          <w:szCs w:val="24"/>
          <w:lang w:val="en-US" w:eastAsia="zh-CN" w:bidi="ar-SA"/>
        </w:rPr>
        <w:t>实质性响应谈判文件要求的供应商进行谈判</w:t>
      </w:r>
      <w:r>
        <w:rPr>
          <w:rFonts w:hint="eastAsia" w:ascii="宋体" w:hAnsi="宋体" w:eastAsia="宋体" w:cs="宋体"/>
          <w:color w:val="auto"/>
          <w:kern w:val="2"/>
          <w:sz w:val="24"/>
          <w:szCs w:val="24"/>
          <w:lang w:val="en-US" w:eastAsia="zh-CN" w:bidi="ar-SA"/>
        </w:rPr>
        <w:t>。</w:t>
      </w:r>
    </w:p>
    <w:p w14:paraId="274517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w:t>
      </w:r>
      <w:r>
        <w:rPr>
          <w:rFonts w:hint="eastAsia" w:ascii="宋体" w:hAnsi="宋体" w:eastAsia="宋体" w:cs="宋体"/>
          <w:b/>
          <w:bCs/>
          <w:color w:val="auto"/>
          <w:kern w:val="2"/>
          <w:sz w:val="24"/>
          <w:szCs w:val="24"/>
          <w:lang w:val="en-US" w:eastAsia="zh-CN" w:bidi="ar-SA"/>
        </w:rPr>
        <w:t>存在下列情况之一的，按无效处理：</w:t>
      </w:r>
    </w:p>
    <w:p w14:paraId="1FFDA9E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（1）不符合谈判文件第一部分  谈判须知前附表“供应商资格条件”的；</w:t>
      </w:r>
    </w:p>
    <w:p w14:paraId="00A9E5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14:paraId="505332C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（3）响应文件没有按谈判文件规定和要求签字、盖章的；</w:t>
      </w:r>
    </w:p>
    <w:p w14:paraId="5CA1F1E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（4）谈判有效期不能满足谈判文件要求的；</w:t>
      </w:r>
    </w:p>
    <w:p w14:paraId="16EA24D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（5）谈判报价超过谈判文件规定的采购预算额度的；</w:t>
      </w:r>
    </w:p>
    <w:p w14:paraId="64863DD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（6）所提供产品的技术规格、技术标准不符合采购项目要求的；</w:t>
      </w:r>
    </w:p>
    <w:p w14:paraId="3FB0ED2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（7）响应文件含有采购人不能接受的附加条件的；</w:t>
      </w:r>
    </w:p>
    <w:p w14:paraId="5811BE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（8）响应文件不满足谈判文件实质性要求和条件的；</w:t>
      </w:r>
    </w:p>
    <w:p w14:paraId="1A5C6D2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（9）谈判小组认为应按无效谈判处理的其他情况；</w:t>
      </w:r>
    </w:p>
    <w:p w14:paraId="025BC9B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（10）法律、法规规定的其他情形。</w:t>
      </w:r>
    </w:p>
    <w:p w14:paraId="1435BA22">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3" w:name="_Toc7233"/>
      <w:bookmarkStart w:id="144" w:name="_Toc11154"/>
      <w:bookmarkStart w:id="145" w:name="_Toc1673_WPSOffice_Level3"/>
      <w:bookmarkStart w:id="146" w:name="_Toc17197"/>
      <w:bookmarkStart w:id="147" w:name="_Toc17887_WPSOffice_Level3"/>
      <w:r>
        <w:rPr>
          <w:rFonts w:hint="eastAsia" w:ascii="宋体" w:hAnsi="宋体" w:eastAsia="宋体" w:cs="宋体"/>
          <w:b/>
          <w:bCs/>
          <w:color w:val="auto"/>
          <w:kern w:val="2"/>
          <w:sz w:val="24"/>
          <w:szCs w:val="24"/>
          <w:lang w:val="en-US" w:eastAsia="zh-CN" w:bidi="ar-SA"/>
        </w:rPr>
        <w:t>19.谈判程序</w:t>
      </w:r>
      <w:bookmarkEnd w:id="143"/>
      <w:bookmarkEnd w:id="144"/>
      <w:bookmarkEnd w:id="145"/>
      <w:bookmarkEnd w:id="146"/>
      <w:bookmarkEnd w:id="147"/>
    </w:p>
    <w:p w14:paraId="7DB8F0E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谈判过程中，谈判小组所有成员集中与单一供应商分别进行谈判，负责审议所有通过资格条件供应商的响应文件，给予所有参加谈判的供应商平等的谈判机会。供应商应派其代表参加谈判。在谈判过程中谈判的任何一方不得向他人透露与谈判有关的技术资料、价格或其他信息。</w:t>
      </w:r>
    </w:p>
    <w:p w14:paraId="6A84A0E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19.2在谈判过程中，</w:t>
      </w:r>
      <w:r>
        <w:rPr>
          <w:rFonts w:hint="eastAsia" w:ascii="宋体" w:hAnsi="宋体" w:eastAsia="宋体" w:cs="宋体"/>
          <w:color w:val="auto"/>
          <w:kern w:val="2"/>
          <w:sz w:val="24"/>
          <w:szCs w:val="24"/>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4"/>
          <w:szCs w:val="24"/>
          <w:lang w:val="en-US" w:eastAsia="zh-CN" w:bidi="ar-SA"/>
        </w:rPr>
        <w:t>实质性变动的内容，须经采购人代表确认，谈判小组将以书面形式将修改内容同时通知所有参加谈判的供应商。</w:t>
      </w:r>
    </w:p>
    <w:p w14:paraId="302242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6D0D4F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19.4响应文件中首次报价表内的报价为首次报价，根据技术、服务等满足谈判文件要求的情况，供应商可进行二次报价。</w:t>
      </w:r>
    </w:p>
    <w:p w14:paraId="3621FB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eastAsia="宋体" w:cs="宋体"/>
          <w:color w:val="auto"/>
          <w:kern w:val="2"/>
          <w:sz w:val="24"/>
          <w:szCs w:val="24"/>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0B0DBC1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19.6谈判工作在有关部门的监督下依法开展，任何单位和个人不得非法干预、影响谈判工作和谈判结果。</w:t>
      </w:r>
    </w:p>
    <w:p w14:paraId="20794CE3">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8" w:name="_Toc13352"/>
      <w:bookmarkStart w:id="149" w:name="_Toc25644_WPSOffice_Level3"/>
      <w:bookmarkStart w:id="150" w:name="_Toc2176"/>
      <w:bookmarkStart w:id="151" w:name="_Toc24288_WPSOffice_Level3"/>
      <w:bookmarkStart w:id="152" w:name="_Toc14903"/>
      <w:r>
        <w:rPr>
          <w:rFonts w:hint="eastAsia" w:ascii="宋体" w:hAnsi="宋体" w:eastAsia="宋体" w:cs="宋体"/>
          <w:b/>
          <w:bCs/>
          <w:color w:val="auto"/>
          <w:kern w:val="2"/>
          <w:sz w:val="24"/>
          <w:szCs w:val="24"/>
          <w:lang w:val="en-US" w:eastAsia="zh-CN" w:bidi="ar-SA"/>
        </w:rPr>
        <w:t>20.澄清</w:t>
      </w:r>
      <w:bookmarkEnd w:id="148"/>
      <w:bookmarkEnd w:id="149"/>
      <w:bookmarkEnd w:id="150"/>
      <w:bookmarkEnd w:id="151"/>
      <w:bookmarkEnd w:id="152"/>
    </w:p>
    <w:p w14:paraId="19C247D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2F27FE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63BAC9A5">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3" w:name="_Toc8374"/>
      <w:bookmarkStart w:id="154" w:name="_Toc13262_WPSOffice_Level3"/>
      <w:bookmarkStart w:id="155" w:name="_Toc6898_WPSOffice_Level3"/>
      <w:bookmarkStart w:id="156" w:name="_Toc4997"/>
      <w:bookmarkStart w:id="157" w:name="_Toc18040"/>
      <w:r>
        <w:rPr>
          <w:rFonts w:hint="eastAsia" w:ascii="宋体" w:hAnsi="宋体" w:eastAsia="宋体" w:cs="宋体"/>
          <w:b/>
          <w:bCs/>
          <w:color w:val="auto"/>
          <w:kern w:val="2"/>
          <w:sz w:val="24"/>
          <w:szCs w:val="24"/>
          <w:lang w:val="en-US" w:eastAsia="zh-CN" w:bidi="ar-SA"/>
        </w:rPr>
        <w:t>21.退出谈判</w:t>
      </w:r>
      <w:bookmarkEnd w:id="153"/>
      <w:bookmarkEnd w:id="154"/>
      <w:bookmarkEnd w:id="155"/>
      <w:bookmarkEnd w:id="156"/>
      <w:bookmarkEnd w:id="157"/>
    </w:p>
    <w:p w14:paraId="258849E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55C2B940">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8" w:name="_Toc5048_WPSOffice_Level3"/>
      <w:bookmarkStart w:id="159" w:name="_Toc12522"/>
      <w:bookmarkStart w:id="160" w:name="_Toc32003"/>
      <w:bookmarkStart w:id="161" w:name="_Toc18169_WPSOffice_Level3"/>
      <w:bookmarkStart w:id="162" w:name="_Toc14748"/>
      <w:r>
        <w:rPr>
          <w:rFonts w:hint="eastAsia" w:ascii="宋体" w:hAnsi="宋体" w:eastAsia="宋体" w:cs="宋体"/>
          <w:b/>
          <w:bCs/>
          <w:color w:val="auto"/>
          <w:kern w:val="2"/>
          <w:sz w:val="24"/>
          <w:szCs w:val="24"/>
          <w:lang w:val="en-US" w:eastAsia="zh-CN" w:bidi="ar-SA"/>
        </w:rPr>
        <w:t>22.最后报价</w:t>
      </w:r>
      <w:bookmarkEnd w:id="158"/>
      <w:bookmarkEnd w:id="159"/>
      <w:bookmarkEnd w:id="160"/>
      <w:bookmarkEnd w:id="161"/>
      <w:bookmarkEnd w:id="162"/>
    </w:p>
    <w:p w14:paraId="4C4799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236905C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D25520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22.3最后报价的评审</w:t>
      </w:r>
    </w:p>
    <w:p w14:paraId="0C38731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最后报价出现大写金额和小写金额不一致的，以大写金额为准。</w:t>
      </w:r>
    </w:p>
    <w:p w14:paraId="6C0C04C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kern w:val="2"/>
          <w:sz w:val="24"/>
          <w:szCs w:val="24"/>
          <w:u w:val="none" w:color="auto"/>
          <w:lang w:val="en-US" w:eastAsia="zh-CN" w:bidi="ar-SA"/>
        </w:rPr>
        <w:t>最后报价如果高于其响应文件中的首次报价的，以最后报价为准。</w:t>
      </w:r>
    </w:p>
    <w:p w14:paraId="1EE999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22.5采购人、采购代理机构在按规定公布供应商的最后报价前，不得公开供应商的技术资料、价格和其他信息。</w:t>
      </w:r>
    </w:p>
    <w:p w14:paraId="448C67D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22.6若最后报价时出现最低价相同的情形，谈判小组应召集报价相同的供应商进行再次报价（或直接提出成交候选人）（由采购人、代理机构自主选择）。</w:t>
      </w:r>
    </w:p>
    <w:p w14:paraId="22C9570B">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3" w:name="_Toc7275"/>
      <w:bookmarkStart w:id="164" w:name="_Toc16163"/>
      <w:bookmarkStart w:id="165" w:name="_Toc8242_WPSOffice_Level3"/>
      <w:bookmarkStart w:id="166" w:name="_Toc16084_WPSOffice_Level3"/>
      <w:bookmarkStart w:id="167" w:name="_Toc1797"/>
      <w:r>
        <w:rPr>
          <w:rFonts w:hint="eastAsia" w:ascii="宋体" w:hAnsi="宋体" w:eastAsia="宋体" w:cs="宋体"/>
          <w:b/>
          <w:bCs/>
          <w:color w:val="auto"/>
          <w:kern w:val="2"/>
          <w:sz w:val="24"/>
          <w:szCs w:val="24"/>
          <w:lang w:val="en-US" w:eastAsia="zh-CN" w:bidi="ar-SA"/>
        </w:rPr>
        <w:t>23.确定成交供应商</w:t>
      </w:r>
      <w:bookmarkEnd w:id="163"/>
      <w:bookmarkEnd w:id="164"/>
      <w:bookmarkEnd w:id="165"/>
      <w:bookmarkEnd w:id="166"/>
      <w:bookmarkEnd w:id="167"/>
    </w:p>
    <w:p w14:paraId="77EA916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谈判小组应当从质量和服务均能满足采购文件实质性响应要求的供应商中，按照最后报价由低到高的顺序提出3名以上成交候选人，并编写评审报告。供应商最后报价涉及算术修正，按上款规定由低到高顺序排序。</w:t>
      </w:r>
    </w:p>
    <w:p w14:paraId="0EF097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557921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14:paraId="50F7552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21263C4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14:paraId="2C0E8C75">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8" w:name="_Toc17639_WPSOffice_Level3"/>
      <w:bookmarkStart w:id="169" w:name="_Toc24684"/>
      <w:bookmarkStart w:id="170" w:name="_Toc22206"/>
      <w:bookmarkStart w:id="171" w:name="_Toc20869_WPSOffice_Level3"/>
      <w:bookmarkStart w:id="172" w:name="_Toc10295"/>
      <w:r>
        <w:rPr>
          <w:rFonts w:hint="eastAsia" w:ascii="宋体" w:hAnsi="宋体" w:eastAsia="宋体" w:cs="宋体"/>
          <w:b/>
          <w:bCs/>
          <w:color w:val="auto"/>
          <w:kern w:val="2"/>
          <w:sz w:val="24"/>
          <w:szCs w:val="24"/>
          <w:lang w:val="en-US" w:eastAsia="zh-CN" w:bidi="ar-SA"/>
        </w:rPr>
        <w:t>24.重新评审</w:t>
      </w:r>
      <w:bookmarkEnd w:id="168"/>
      <w:bookmarkEnd w:id="169"/>
      <w:bookmarkEnd w:id="170"/>
      <w:bookmarkEnd w:id="171"/>
      <w:bookmarkEnd w:id="172"/>
    </w:p>
    <w:p w14:paraId="04C8DDD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14:paraId="15AF41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24.2采购人、采购代理机构发现谈判小组未按照谈判文件规定的评定成交标准进行评审的，应当重新开展采购活动。</w:t>
      </w:r>
    </w:p>
    <w:p w14:paraId="5E5B3E47">
      <w:pPr>
        <w:pStyle w:val="5"/>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3" w:name="_Toc3509"/>
      <w:bookmarkStart w:id="174" w:name="_Toc1388_WPSOffice_Level3"/>
      <w:bookmarkStart w:id="175" w:name="_Toc12673"/>
      <w:bookmarkStart w:id="176" w:name="_Toc26374_WPSOffice_Level3"/>
      <w:bookmarkStart w:id="177" w:name="_Toc2122"/>
      <w:r>
        <w:rPr>
          <w:rFonts w:hint="eastAsia" w:ascii="宋体" w:hAnsi="宋体" w:eastAsia="宋体" w:cs="宋体"/>
          <w:b/>
          <w:bCs/>
          <w:color w:val="auto"/>
          <w:kern w:val="2"/>
          <w:sz w:val="24"/>
          <w:szCs w:val="24"/>
          <w:lang w:val="en-US" w:eastAsia="zh-CN" w:bidi="ar-SA"/>
        </w:rPr>
        <w:t>25.谈判终止</w:t>
      </w:r>
      <w:bookmarkEnd w:id="173"/>
      <w:bookmarkEnd w:id="174"/>
      <w:bookmarkEnd w:id="175"/>
      <w:bookmarkEnd w:id="176"/>
      <w:bookmarkEnd w:id="177"/>
    </w:p>
    <w:p w14:paraId="554F821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25.1出现下列情形之一的，采购人、采购代理机构应当终止竞争性谈判采购活动，在指定的媒体上发布项目终止公告并说明原因，重新开展采购活动：</w:t>
      </w:r>
    </w:p>
    <w:p w14:paraId="6F5B216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（1）因情况变化，不再符合规定的竞争性谈判采购方式适用情形的；</w:t>
      </w:r>
    </w:p>
    <w:p w14:paraId="03461F9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14:paraId="7C843B0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（3）在采购过程中符合谈判要求的供应商或者报价未超过采购预算的供应商不足3家的，或者提交最后报价的供应商少于3家的；</w:t>
      </w:r>
    </w:p>
    <w:p w14:paraId="7AA7C13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14:paraId="539B0608">
      <w:pPr>
        <w:pStyle w:val="5"/>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8" w:name="_Toc32730"/>
      <w:bookmarkStart w:id="179" w:name="_Toc18635_WPSOffice_Level3"/>
      <w:bookmarkStart w:id="180" w:name="_Toc20688_WPSOffice_Level3"/>
      <w:bookmarkStart w:id="181" w:name="_Toc11721"/>
      <w:bookmarkStart w:id="182" w:name="_Toc3325"/>
      <w:r>
        <w:rPr>
          <w:rFonts w:hint="eastAsia" w:ascii="宋体" w:hAnsi="宋体" w:eastAsia="宋体" w:cs="宋体"/>
          <w:b/>
          <w:bCs/>
          <w:color w:val="auto"/>
          <w:kern w:val="2"/>
          <w:sz w:val="24"/>
          <w:szCs w:val="24"/>
          <w:lang w:val="en-US" w:eastAsia="zh-CN" w:bidi="ar-SA"/>
        </w:rPr>
        <w:t>26.串通情形认定及处理</w:t>
      </w:r>
      <w:bookmarkEnd w:id="178"/>
      <w:bookmarkEnd w:id="179"/>
      <w:bookmarkEnd w:id="180"/>
      <w:bookmarkEnd w:id="181"/>
      <w:bookmarkEnd w:id="182"/>
    </w:p>
    <w:p w14:paraId="69ECAB3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14:paraId="55B695C0">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w:t>
      </w:r>
      <w:r>
        <w:rPr>
          <w:rFonts w:hint="eastAsia" w:ascii="宋体" w:hAnsi="宋体" w:eastAsia="宋体" w:cs="宋体"/>
          <w:b/>
          <w:bCs/>
          <w:color w:val="auto"/>
          <w:sz w:val="24"/>
          <w:szCs w:val="24"/>
          <w:lang w:val="en-US" w:eastAsia="zh-CN"/>
        </w:rPr>
        <w:t>有下列情形之一的，成交无效，</w:t>
      </w:r>
      <w:r>
        <w:rPr>
          <w:rFonts w:hint="eastAsia" w:ascii="宋体" w:hAnsi="宋体" w:eastAsia="宋体" w:cs="宋体"/>
          <w:color w:val="auto"/>
          <w:sz w:val="24"/>
          <w:szCs w:val="24"/>
          <w:lang w:val="en-US" w:eastAsia="zh-CN"/>
        </w:rPr>
        <w:t>对供应商</w:t>
      </w:r>
      <w:r>
        <w:rPr>
          <w:rFonts w:hint="eastAsia" w:ascii="宋体" w:hAnsi="宋体" w:eastAsia="宋体" w:cs="宋体"/>
          <w:color w:val="auto"/>
          <w:sz w:val="24"/>
          <w:szCs w:val="24"/>
          <w:lang w:val="zh-CN" w:eastAsia="zh-CN"/>
        </w:rPr>
        <w:t>依照《政府采购法》第七十七条的规定追究法律责任：</w:t>
      </w:r>
    </w:p>
    <w:p w14:paraId="12F2E03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bookmarkStart w:id="183" w:name="_Toc34637770"/>
      <w:bookmarkStart w:id="184" w:name="_Toc22761"/>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14:paraId="54555B0D">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14:paraId="1DF8E40B">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14:paraId="539C03B1">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（4）属于同一集团、协会、商会等组织成员的供应商按照该组织要求协同参加采购活动；</w:t>
      </w:r>
    </w:p>
    <w:p w14:paraId="28223A8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14:paraId="16FAB687">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（6）供应商之间商定部分供应商放弃参加采购活动或者放弃成交；</w:t>
      </w:r>
    </w:p>
    <w:p w14:paraId="698BE74A">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14:paraId="28BA062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26.3 </w:t>
      </w:r>
      <w:r>
        <w:rPr>
          <w:rFonts w:hint="eastAsia" w:ascii="宋体" w:hAnsi="宋体" w:eastAsia="宋体" w:cs="宋体"/>
          <w:b/>
          <w:bCs/>
          <w:color w:val="auto"/>
          <w:sz w:val="24"/>
          <w:szCs w:val="24"/>
          <w:lang w:val="en-US" w:eastAsia="zh-CN"/>
        </w:rPr>
        <w:t>有下列情形之一的，视为供应商串通，其响应无效：</w:t>
      </w:r>
    </w:p>
    <w:p w14:paraId="1C5532F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14:paraId="2A874DE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（2）不同供应商委托同一单位或者个人办理谈判事宜；</w:t>
      </w:r>
    </w:p>
    <w:p w14:paraId="16C3C91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14:paraId="29A1F617">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14:paraId="0DFBC25F">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14:paraId="23EC16E0">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14:paraId="65ED814D">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185" w:name="_Toc27536"/>
      <w:r>
        <w:rPr>
          <w:rFonts w:hint="eastAsia" w:ascii="宋体" w:hAnsi="宋体" w:eastAsia="宋体" w:cs="宋体"/>
          <w:b/>
          <w:bCs/>
          <w:color w:val="auto"/>
          <w:kern w:val="2"/>
          <w:sz w:val="28"/>
          <w:szCs w:val="28"/>
          <w:highlight w:val="none"/>
          <w:lang w:val="en-US" w:eastAsia="zh-CN" w:bidi="ar-SA"/>
        </w:rPr>
        <w:t>六、成交结果信息公布与授予合同</w:t>
      </w:r>
      <w:bookmarkEnd w:id="183"/>
      <w:bookmarkEnd w:id="184"/>
      <w:bookmarkEnd w:id="185"/>
    </w:p>
    <w:p w14:paraId="4F7F2A83">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6" w:name="_Toc947"/>
      <w:bookmarkStart w:id="187" w:name="_Toc8339_WPSOffice_Level3"/>
      <w:bookmarkStart w:id="188" w:name="_Toc30784_WPSOffice_Level3"/>
      <w:bookmarkStart w:id="189" w:name="_Toc8130"/>
      <w:bookmarkStart w:id="190" w:name="_Toc23126"/>
      <w:r>
        <w:rPr>
          <w:rFonts w:hint="eastAsia" w:ascii="宋体" w:hAnsi="宋体" w:eastAsia="宋体" w:cs="宋体"/>
          <w:b/>
          <w:bCs/>
          <w:color w:val="auto"/>
          <w:kern w:val="2"/>
          <w:sz w:val="24"/>
          <w:szCs w:val="24"/>
          <w:lang w:val="en-US" w:eastAsia="zh-CN" w:bidi="ar-SA"/>
        </w:rPr>
        <w:t>27.成交信息的公布与通知</w:t>
      </w:r>
      <w:bookmarkEnd w:id="186"/>
      <w:bookmarkEnd w:id="187"/>
      <w:bookmarkEnd w:id="188"/>
      <w:bookmarkEnd w:id="189"/>
      <w:bookmarkEnd w:id="190"/>
    </w:p>
    <w:p w14:paraId="0F9C0EF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27.1采购代理机构应自确定成交供应商之日起2个工作日内在</w:t>
      </w:r>
      <w:r>
        <w:rPr>
          <w:rFonts w:hint="eastAsia" w:ascii="宋体" w:hAnsi="宋体" w:eastAsia="宋体" w:cs="宋体"/>
          <w:color w:val="auto"/>
          <w:sz w:val="24"/>
          <w:szCs w:val="24"/>
          <w:highlight w:val="none"/>
          <w:lang w:val="zh-CN" w:eastAsia="zh-CN"/>
        </w:rPr>
        <w:t>《青海省电子招标投标公共服务平台》、《青海项目信息网》</w:t>
      </w:r>
      <w:r>
        <w:rPr>
          <w:rFonts w:hint="eastAsia" w:ascii="宋体" w:hAnsi="宋体" w:eastAsia="宋体" w:cs="宋体"/>
          <w:color w:val="auto"/>
          <w:kern w:val="2"/>
          <w:sz w:val="24"/>
          <w:szCs w:val="24"/>
          <w:highlight w:val="none"/>
          <w:lang w:val="en-US" w:eastAsia="zh-CN" w:bidi="ar-SA"/>
        </w:rPr>
        <w:t>上公告成交结果，</w:t>
      </w:r>
      <w:r>
        <w:rPr>
          <w:rFonts w:hint="eastAsia" w:ascii="宋体" w:hAnsi="宋体" w:eastAsia="宋体" w:cs="宋体"/>
          <w:color w:val="auto"/>
          <w:kern w:val="2"/>
          <w:sz w:val="24"/>
          <w:szCs w:val="24"/>
          <w:lang w:val="en-US" w:eastAsia="zh-CN" w:bidi="ar-SA"/>
        </w:rPr>
        <w:t>同时向成交供应商发出《成交通知书》。成交通知书对采购人和成交供应商具有同等法律效力。</w:t>
      </w:r>
    </w:p>
    <w:p w14:paraId="2EE5BA8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14:paraId="35377C2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14:paraId="4E813AE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14:paraId="20B38EA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14:paraId="7F93744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（4）主要成交标的的名称、数量、单价、服务要求；</w:t>
      </w:r>
    </w:p>
    <w:p w14:paraId="7B3CD78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（5）谈判小组成员名单。</w:t>
      </w:r>
    </w:p>
    <w:p w14:paraId="505CD77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14:paraId="25D79A4E">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1" w:name="_Toc5068_WPSOffice_Level3"/>
      <w:bookmarkStart w:id="192" w:name="_Toc29441"/>
      <w:bookmarkStart w:id="193" w:name="_Toc13860_WPSOffice_Level3"/>
      <w:bookmarkStart w:id="194" w:name="_Toc4510"/>
      <w:bookmarkStart w:id="195" w:name="_Toc20586"/>
      <w:r>
        <w:rPr>
          <w:rFonts w:hint="eastAsia" w:ascii="宋体" w:hAnsi="宋体" w:eastAsia="宋体" w:cs="宋体"/>
          <w:b/>
          <w:bCs/>
          <w:color w:val="auto"/>
          <w:kern w:val="2"/>
          <w:sz w:val="24"/>
          <w:szCs w:val="24"/>
          <w:lang w:val="en-US" w:eastAsia="zh-CN" w:bidi="ar-SA"/>
        </w:rPr>
        <w:t>28.授予合同</w:t>
      </w:r>
      <w:bookmarkEnd w:id="191"/>
      <w:bookmarkEnd w:id="192"/>
      <w:bookmarkEnd w:id="193"/>
      <w:bookmarkEnd w:id="194"/>
      <w:bookmarkEnd w:id="195"/>
    </w:p>
    <w:p w14:paraId="25EB48A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28.1谈判文件、成交供应商的响应文件及其补充的响应文件、成交通知书等均为签订采购合同的依据。</w:t>
      </w:r>
    </w:p>
    <w:p w14:paraId="210F3E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28.2采购人与成交供应商双方应当自《成交通知书》发出之日起30日内，按照谈判文件确定的合同文本以及采购标的、规格型号、采购金额、采购数量、技术和服务要求等事项签订采购合同。</w:t>
      </w:r>
    </w:p>
    <w:p w14:paraId="2D6848A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43876263">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6" w:name="_Toc16258_WPSOffice_Level3"/>
      <w:bookmarkStart w:id="197" w:name="_Toc22051"/>
      <w:bookmarkStart w:id="198" w:name="_Toc16374"/>
      <w:bookmarkStart w:id="199" w:name="_Toc8740_WPSOffice_Level3"/>
      <w:bookmarkStart w:id="200" w:name="_Toc32538"/>
      <w:bookmarkStart w:id="201" w:name="_Toc376936761"/>
      <w:bookmarkStart w:id="202" w:name="_Toc325726030"/>
      <w:r>
        <w:rPr>
          <w:rFonts w:hint="eastAsia" w:ascii="宋体" w:hAnsi="宋体" w:eastAsia="宋体" w:cs="宋体"/>
          <w:b/>
          <w:bCs/>
          <w:color w:val="auto"/>
          <w:kern w:val="2"/>
          <w:sz w:val="24"/>
          <w:szCs w:val="24"/>
          <w:lang w:val="en-US" w:eastAsia="zh-CN" w:bidi="ar-SA"/>
        </w:rPr>
        <w:t>29.履约验收</w:t>
      </w:r>
      <w:bookmarkEnd w:id="196"/>
      <w:bookmarkEnd w:id="197"/>
      <w:bookmarkEnd w:id="198"/>
      <w:bookmarkEnd w:id="199"/>
      <w:bookmarkEnd w:id="200"/>
    </w:p>
    <w:p w14:paraId="0687B24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29.1</w:t>
      </w:r>
      <w:r>
        <w:rPr>
          <w:rFonts w:hint="eastAsia" w:ascii="宋体" w:hAnsi="宋体" w:eastAsia="宋体" w:cs="宋体"/>
          <w:color w:val="auto"/>
          <w:kern w:val="2"/>
          <w:sz w:val="24"/>
          <w:szCs w:val="24"/>
          <w:u w:val="none"/>
          <w:lang w:val="en-US" w:eastAsia="zh-CN" w:bidi="ar-SA"/>
        </w:rPr>
        <w:t>履约保证金金额：甲、乙双方自行约定</w:t>
      </w:r>
    </w:p>
    <w:p w14:paraId="1F68851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29.2采购人或者采购代理机构应当按照采购合同规定的技术、服务、安全标准组织对供应商履约情况进行验收，并出具验收书。验收书应当包括每一项技术、服务、安全标准的履约情况。</w:t>
      </w:r>
    </w:p>
    <w:p w14:paraId="3809B6C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14:paraId="79E0EE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306F6F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29.5采购人、采购代理机构应当建立真实完整的谈判档案，妥善保存谈判的相关资料。</w:t>
      </w:r>
    </w:p>
    <w:p w14:paraId="5A2638E0">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03" w:name="_Toc32362"/>
      <w:bookmarkStart w:id="204" w:name="_Toc4328"/>
      <w:bookmarkStart w:id="205" w:name="_Toc31604_WPSOffice_Level2"/>
      <w:bookmarkStart w:id="206" w:name="_Toc2658_WPSOffice_Level2"/>
      <w:bookmarkStart w:id="207" w:name="_Toc3517_WPSOffice_Level2"/>
      <w:bookmarkStart w:id="208" w:name="_Toc6881"/>
      <w:bookmarkStart w:id="209" w:name="_Toc10745"/>
      <w:r>
        <w:rPr>
          <w:rFonts w:hint="eastAsia" w:ascii="宋体" w:hAnsi="宋体" w:eastAsia="宋体" w:cs="宋体"/>
          <w:b/>
          <w:bCs/>
          <w:color w:val="auto"/>
          <w:kern w:val="2"/>
          <w:sz w:val="28"/>
          <w:szCs w:val="28"/>
          <w:highlight w:val="none"/>
          <w:lang w:val="en-US" w:eastAsia="zh-CN" w:bidi="ar-SA"/>
        </w:rPr>
        <w:t>七、询问与质疑</w:t>
      </w:r>
      <w:bookmarkEnd w:id="201"/>
      <w:bookmarkEnd w:id="202"/>
      <w:bookmarkEnd w:id="203"/>
      <w:bookmarkEnd w:id="204"/>
      <w:bookmarkEnd w:id="205"/>
      <w:bookmarkEnd w:id="206"/>
      <w:bookmarkEnd w:id="207"/>
      <w:bookmarkEnd w:id="208"/>
      <w:bookmarkEnd w:id="209"/>
    </w:p>
    <w:p w14:paraId="33B76161">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10" w:name="_Toc15153"/>
      <w:bookmarkStart w:id="211" w:name="_Toc29785"/>
      <w:bookmarkStart w:id="212" w:name="_Toc25982_WPSOffice_Level3"/>
      <w:bookmarkStart w:id="213" w:name="_Toc23314_WPSOffice_Level3"/>
      <w:bookmarkStart w:id="214" w:name="_Toc21641"/>
      <w:r>
        <w:rPr>
          <w:rFonts w:hint="eastAsia" w:ascii="宋体" w:hAnsi="宋体" w:eastAsia="宋体" w:cs="宋体"/>
          <w:b/>
          <w:bCs/>
          <w:color w:val="auto"/>
          <w:kern w:val="2"/>
          <w:sz w:val="24"/>
          <w:szCs w:val="24"/>
          <w:lang w:val="en-US" w:eastAsia="zh-CN" w:bidi="ar-SA"/>
        </w:rPr>
        <w:t>30.对采购过程、结果的询问及质疑</w:t>
      </w:r>
      <w:bookmarkEnd w:id="210"/>
      <w:bookmarkEnd w:id="211"/>
      <w:bookmarkEnd w:id="212"/>
      <w:bookmarkEnd w:id="213"/>
      <w:bookmarkEnd w:id="214"/>
    </w:p>
    <w:p w14:paraId="1627855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30.1供应商对采购过程、结果有疑问的，可以向采购人、采购代理机构提出询问。</w:t>
      </w:r>
    </w:p>
    <w:p w14:paraId="41692B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30.2供应商认为采购过程、成交结果使自己的权益受到损害的，可以在知道或者应知其权益受到损害之日起7个工作日内，以书面形式向采购人、采购代理机构提出质疑。</w:t>
      </w:r>
    </w:p>
    <w:p w14:paraId="3D896B8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30.3供应商应在法定质疑期内一次性提出针对同一采购程序环节的质疑。</w:t>
      </w:r>
    </w:p>
    <w:p w14:paraId="771C1985">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15" w:name="_Toc6866_WPSOffice_Level2"/>
      <w:bookmarkStart w:id="216" w:name="_Toc22889"/>
      <w:bookmarkStart w:id="217" w:name="_Toc4534"/>
      <w:bookmarkStart w:id="218" w:name="_Toc11509_WPSOffice_Level2"/>
      <w:bookmarkStart w:id="219" w:name="_Toc9701_WPSOffice_Level2"/>
      <w:bookmarkStart w:id="220" w:name="_Toc20109"/>
      <w:bookmarkStart w:id="221" w:name="_Toc22201076"/>
      <w:bookmarkStart w:id="222" w:name="_Toc21832"/>
      <w:bookmarkStart w:id="223" w:name="_Toc34637771"/>
      <w:r>
        <w:rPr>
          <w:rFonts w:hint="eastAsia" w:ascii="宋体" w:hAnsi="宋体" w:eastAsia="宋体" w:cs="宋体"/>
          <w:b/>
          <w:bCs/>
          <w:color w:val="auto"/>
          <w:kern w:val="2"/>
          <w:sz w:val="28"/>
          <w:szCs w:val="28"/>
          <w:highlight w:val="none"/>
          <w:lang w:val="en-US" w:eastAsia="zh-CN" w:bidi="ar-SA"/>
        </w:rPr>
        <w:t>八、</w:t>
      </w:r>
      <w:bookmarkEnd w:id="215"/>
      <w:bookmarkEnd w:id="216"/>
      <w:bookmarkEnd w:id="217"/>
      <w:bookmarkEnd w:id="218"/>
      <w:bookmarkEnd w:id="219"/>
      <w:bookmarkEnd w:id="220"/>
      <w:bookmarkEnd w:id="221"/>
      <w:bookmarkEnd w:id="222"/>
      <w:bookmarkEnd w:id="223"/>
      <w:r>
        <w:rPr>
          <w:rFonts w:hint="eastAsia" w:ascii="宋体" w:hAnsi="宋体" w:eastAsia="宋体" w:cs="宋体"/>
          <w:b/>
          <w:bCs/>
          <w:color w:val="auto"/>
          <w:kern w:val="2"/>
          <w:sz w:val="28"/>
          <w:szCs w:val="28"/>
          <w:highlight w:val="none"/>
          <w:lang w:val="en-US" w:eastAsia="zh-CN" w:bidi="ar-SA"/>
        </w:rPr>
        <w:t>采购政策</w:t>
      </w:r>
    </w:p>
    <w:p w14:paraId="7143138C">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highlight w:val="none"/>
          <w:lang w:val="en-US" w:eastAsia="zh-CN" w:bidi="ar-SA"/>
        </w:rPr>
      </w:pPr>
      <w:bookmarkStart w:id="224" w:name="_Toc27584"/>
      <w:bookmarkStart w:id="225" w:name="_Toc17253_WPSOffice_Level3"/>
      <w:bookmarkStart w:id="226" w:name="_Toc19360_WPSOffice_Level3"/>
      <w:bookmarkStart w:id="227" w:name="_Toc14303"/>
      <w:bookmarkStart w:id="228" w:name="_Toc16893"/>
      <w:r>
        <w:rPr>
          <w:rFonts w:hint="eastAsia" w:ascii="宋体" w:hAnsi="宋体" w:eastAsia="宋体" w:cs="宋体"/>
          <w:b/>
          <w:bCs/>
          <w:color w:val="auto"/>
          <w:kern w:val="2"/>
          <w:sz w:val="24"/>
          <w:szCs w:val="24"/>
          <w:highlight w:val="none"/>
          <w:lang w:val="en-US" w:eastAsia="zh-CN" w:bidi="ar-SA"/>
        </w:rPr>
        <w:t>31.</w:t>
      </w:r>
      <w:bookmarkEnd w:id="224"/>
      <w:bookmarkEnd w:id="225"/>
      <w:bookmarkEnd w:id="226"/>
      <w:bookmarkEnd w:id="227"/>
      <w:bookmarkEnd w:id="228"/>
      <w:r>
        <w:rPr>
          <w:rFonts w:hint="eastAsia" w:ascii="宋体" w:hAnsi="宋体" w:eastAsia="宋体" w:cs="宋体"/>
          <w:b/>
          <w:bCs/>
          <w:color w:val="auto"/>
          <w:kern w:val="2"/>
          <w:sz w:val="24"/>
          <w:szCs w:val="24"/>
          <w:highlight w:val="none"/>
          <w:lang w:val="en-US" w:eastAsia="zh-CN" w:bidi="ar-SA"/>
        </w:rPr>
        <w:t>采购政策</w:t>
      </w:r>
    </w:p>
    <w:p w14:paraId="1966810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31.1节能产品、环境标志产品的采购：</w:t>
      </w:r>
    </w:p>
    <w:p w14:paraId="2B6A7EB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50FA96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31.2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4F2571CC">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29" w:name="_Toc30960"/>
      <w:bookmarkStart w:id="230" w:name="_Toc3719_WPSOffice_Level2"/>
      <w:bookmarkStart w:id="231" w:name="_Toc28078_WPSOffice_Level2"/>
      <w:bookmarkStart w:id="232" w:name="_Toc15316"/>
      <w:bookmarkStart w:id="233" w:name="_Toc10843_WPSOffice_Level2"/>
      <w:bookmarkStart w:id="234" w:name="_Toc15805"/>
      <w:bookmarkStart w:id="235" w:name="_Toc26727"/>
      <w:bookmarkStart w:id="236" w:name="_Toc34637772"/>
      <w:r>
        <w:rPr>
          <w:rFonts w:hint="eastAsia" w:ascii="宋体" w:hAnsi="宋体" w:eastAsia="宋体" w:cs="宋体"/>
          <w:b/>
          <w:bCs/>
          <w:color w:val="auto"/>
          <w:kern w:val="2"/>
          <w:sz w:val="28"/>
          <w:szCs w:val="28"/>
          <w:highlight w:val="none"/>
          <w:lang w:val="en-US" w:eastAsia="zh-CN" w:bidi="ar-SA"/>
        </w:rPr>
        <w:t>九、其他规定</w:t>
      </w:r>
      <w:bookmarkEnd w:id="229"/>
      <w:bookmarkEnd w:id="230"/>
      <w:bookmarkEnd w:id="231"/>
      <w:bookmarkEnd w:id="232"/>
      <w:bookmarkEnd w:id="233"/>
      <w:bookmarkEnd w:id="234"/>
      <w:bookmarkEnd w:id="235"/>
      <w:bookmarkEnd w:id="236"/>
    </w:p>
    <w:p w14:paraId="21FBA987">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37" w:name="_Toc22185_WPSOffice_Level3"/>
      <w:bookmarkStart w:id="238" w:name="_Toc10247"/>
      <w:bookmarkStart w:id="239" w:name="_Toc19781"/>
      <w:bookmarkStart w:id="240" w:name="_Toc10855"/>
      <w:bookmarkStart w:id="241" w:name="_Toc12390_WPSOffice_Level3"/>
      <w:r>
        <w:rPr>
          <w:rFonts w:hint="eastAsia" w:ascii="宋体" w:hAnsi="宋体" w:eastAsia="宋体" w:cs="宋体"/>
          <w:b/>
          <w:bCs/>
          <w:color w:val="auto"/>
          <w:kern w:val="2"/>
          <w:sz w:val="24"/>
          <w:szCs w:val="24"/>
          <w:lang w:val="en-US" w:eastAsia="zh-CN" w:bidi="ar-SA"/>
        </w:rPr>
        <w:t>32.代理服务费</w:t>
      </w:r>
      <w:bookmarkEnd w:id="237"/>
      <w:bookmarkEnd w:id="238"/>
      <w:bookmarkEnd w:id="239"/>
      <w:bookmarkEnd w:id="240"/>
      <w:bookmarkEnd w:id="241"/>
    </w:p>
    <w:p w14:paraId="7646328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采购代理服务费由成交供应商支付的，供应商应按【谈判须知前附表】规定向采购代理机构交纳代理服务费，并在谈判文件中提供代理服务费承诺书。</w:t>
      </w:r>
    </w:p>
    <w:p w14:paraId="136EB52D">
      <w:pPr>
        <w:pStyle w:val="5"/>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42" w:name="_Toc1461_WPSOffice_Level3"/>
      <w:bookmarkStart w:id="243" w:name="_Toc18975"/>
      <w:bookmarkStart w:id="244" w:name="_Toc18298"/>
      <w:bookmarkStart w:id="245" w:name="_Toc14580"/>
      <w:bookmarkStart w:id="246" w:name="_Toc27699_WPSOffice_Level3"/>
      <w:r>
        <w:rPr>
          <w:rFonts w:hint="eastAsia" w:ascii="宋体" w:hAnsi="宋体" w:eastAsia="宋体" w:cs="宋体"/>
          <w:b/>
          <w:bCs/>
          <w:color w:val="auto"/>
          <w:kern w:val="2"/>
          <w:sz w:val="24"/>
          <w:szCs w:val="24"/>
          <w:lang w:val="en-US" w:eastAsia="zh-CN" w:bidi="ar-SA"/>
        </w:rPr>
        <w:t>33.其他规定</w:t>
      </w:r>
      <w:bookmarkEnd w:id="242"/>
      <w:bookmarkEnd w:id="243"/>
      <w:bookmarkEnd w:id="244"/>
      <w:bookmarkEnd w:id="245"/>
      <w:bookmarkEnd w:id="246"/>
    </w:p>
    <w:p w14:paraId="6AF24526">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Cs w:val="21"/>
        </w:rPr>
      </w:pPr>
      <w:r>
        <w:rPr>
          <w:rFonts w:hint="eastAsia" w:ascii="宋体" w:hAnsi="宋体" w:eastAsia="宋体" w:cs="宋体"/>
          <w:color w:val="auto"/>
          <w:kern w:val="2"/>
          <w:sz w:val="24"/>
          <w:szCs w:val="24"/>
          <w:lang w:val="en-US" w:eastAsia="zh-CN" w:bidi="ar-SA"/>
        </w:rPr>
        <w:t>谈判文件的其他规定见【谈判须知前附表】。</w:t>
      </w:r>
    </w:p>
    <w:p w14:paraId="0D239211">
      <w:pPr>
        <w:pStyle w:val="3"/>
        <w:keepNext/>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color w:val="auto"/>
          <w:sz w:val="44"/>
          <w:szCs w:val="44"/>
          <w:highlight w:val="none"/>
          <w:lang w:val="en-US" w:eastAsia="zh-CN"/>
        </w:rPr>
      </w:pPr>
      <w:bookmarkStart w:id="247" w:name="_Toc20750"/>
      <w:bookmarkStart w:id="248" w:name="_Toc7566"/>
      <w:bookmarkStart w:id="249" w:name="_Toc13204"/>
      <w:bookmarkStart w:id="250" w:name="_Toc4912_WPSOffice_Level1"/>
      <w:bookmarkStart w:id="251" w:name="_Toc7780_WPSOffice_Level1"/>
      <w:bookmarkStart w:id="252" w:name="_Toc29561_WPSOffice_Level1"/>
      <w:bookmarkStart w:id="253" w:name="_Toc2404_WPSOffice_Level1"/>
      <w:bookmarkStart w:id="254" w:name="_Toc31765_WPSOffice_Level1"/>
      <w:bookmarkStart w:id="255" w:name="_Toc34637773"/>
      <w:bookmarkStart w:id="256" w:name="_Toc18130_WPSOffice_Level1"/>
      <w:r>
        <w:rPr>
          <w:rFonts w:hint="eastAsia" w:ascii="宋体" w:hAnsi="宋体" w:eastAsia="宋体" w:cs="宋体"/>
          <w:b w:val="0"/>
          <w:bCs w:val="0"/>
          <w:color w:val="auto"/>
          <w:sz w:val="44"/>
          <w:szCs w:val="44"/>
          <w:highlight w:val="none"/>
          <w:lang w:val="en-US" w:eastAsia="zh-CN"/>
        </w:rPr>
        <w:br w:type="page"/>
      </w:r>
      <w:bookmarkStart w:id="257" w:name="_Toc31195"/>
      <w:r>
        <w:rPr>
          <w:rFonts w:hint="eastAsia" w:ascii="宋体" w:hAnsi="宋体" w:eastAsia="宋体" w:cs="宋体"/>
          <w:b/>
          <w:bCs/>
          <w:color w:val="auto"/>
          <w:sz w:val="32"/>
          <w:szCs w:val="32"/>
          <w:highlight w:val="none"/>
          <w:lang w:val="en-US" w:eastAsia="zh-CN"/>
        </w:rPr>
        <w:t>第三部分  采购需求</w:t>
      </w:r>
      <w:bookmarkEnd w:id="247"/>
      <w:bookmarkEnd w:id="248"/>
      <w:bookmarkEnd w:id="249"/>
      <w:bookmarkEnd w:id="250"/>
      <w:bookmarkEnd w:id="251"/>
      <w:bookmarkEnd w:id="252"/>
      <w:bookmarkEnd w:id="253"/>
      <w:bookmarkEnd w:id="254"/>
      <w:bookmarkEnd w:id="255"/>
      <w:bookmarkEnd w:id="256"/>
      <w:bookmarkEnd w:id="257"/>
    </w:p>
    <w:p w14:paraId="61E91122">
      <w:pPr>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val="0"/>
          <w:bCs w:val="0"/>
          <w:color w:val="auto"/>
          <w:kern w:val="2"/>
          <w:sz w:val="24"/>
          <w:szCs w:val="24"/>
          <w:highlight w:val="none"/>
          <w:lang w:val="zh-CN" w:eastAsia="zh-CN" w:bidi="ar-SA"/>
        </w:rPr>
      </w:pPr>
      <w:bookmarkStart w:id="258" w:name="_Toc28010"/>
      <w:bookmarkStart w:id="259" w:name="_Toc17070"/>
      <w:bookmarkStart w:id="260" w:name="_Toc8656"/>
      <w:bookmarkStart w:id="261" w:name="_Toc13326_WPSOffice_Level2"/>
      <w:bookmarkStart w:id="262" w:name="_Toc515908232"/>
      <w:bookmarkStart w:id="263" w:name="_Toc19812_WPSOffice_Level2"/>
      <w:bookmarkStart w:id="264" w:name="_Toc4601"/>
      <w:bookmarkStart w:id="265" w:name="_Toc20423_WPSOffice_Level2"/>
      <w:r>
        <w:rPr>
          <w:rFonts w:hint="eastAsia" w:ascii="宋体" w:hAnsi="宋体" w:eastAsia="宋体" w:cs="宋体"/>
          <w:b/>
          <w:bCs/>
          <w:color w:val="auto"/>
          <w:kern w:val="2"/>
          <w:sz w:val="28"/>
          <w:szCs w:val="28"/>
          <w:highlight w:val="none"/>
          <w:lang w:val="zh-CN" w:eastAsia="zh-CN" w:bidi="ar-SA"/>
        </w:rPr>
        <w:t>十、响应说明</w:t>
      </w:r>
      <w:bookmarkEnd w:id="258"/>
      <w:bookmarkEnd w:id="259"/>
      <w:bookmarkEnd w:id="260"/>
      <w:bookmarkEnd w:id="261"/>
      <w:bookmarkEnd w:id="262"/>
      <w:bookmarkEnd w:id="263"/>
      <w:bookmarkEnd w:id="264"/>
      <w:bookmarkEnd w:id="265"/>
    </w:p>
    <w:p w14:paraId="4358FB73">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color w:val="auto"/>
          <w:kern w:val="2"/>
          <w:sz w:val="24"/>
          <w:szCs w:val="24"/>
          <w:highlight w:val="none"/>
          <w:lang w:val="en-US" w:eastAsia="zh-CN" w:bidi="ar-SA"/>
        </w:rPr>
        <w:t>如有缺项、漏项，其响应无效。</w:t>
      </w:r>
    </w:p>
    <w:p w14:paraId="5043A348">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供应商必须如实填写“服务响应表”。</w:t>
      </w:r>
    </w:p>
    <w:p w14:paraId="184E6BB4">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3.谈判</w:t>
      </w:r>
      <w:r>
        <w:rPr>
          <w:rFonts w:hint="eastAsia" w:ascii="宋体" w:hAnsi="宋体" w:eastAsia="宋体" w:cs="宋体"/>
          <w:color w:val="auto"/>
          <w:kern w:val="2"/>
          <w:sz w:val="24"/>
          <w:szCs w:val="24"/>
          <w:highlight w:val="none"/>
          <w:lang w:val="zh-CN" w:eastAsia="zh-CN" w:bidi="ar-SA"/>
        </w:rPr>
        <w:t>内容中未特别标注为“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”字样的产品，供应商必须提供国产产品；标注为“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w:t>
      </w:r>
      <w:r>
        <w:rPr>
          <w:rFonts w:hint="eastAsia" w:ascii="宋体" w:hAnsi="宋体" w:eastAsia="宋体" w:cs="宋体"/>
          <w:color w:val="auto"/>
          <w:kern w:val="2"/>
          <w:sz w:val="24"/>
          <w:szCs w:val="24"/>
          <w:highlight w:val="none"/>
          <w:lang w:val="en-US" w:eastAsia="zh-CN" w:bidi="ar-SA"/>
        </w:rPr>
        <w:t>可以投</w:t>
      </w:r>
      <w:r>
        <w:rPr>
          <w:rFonts w:hint="eastAsia" w:ascii="宋体" w:hAnsi="宋体" w:eastAsia="宋体" w:cs="宋体"/>
          <w:color w:val="auto"/>
          <w:kern w:val="2"/>
          <w:sz w:val="24"/>
          <w:szCs w:val="24"/>
          <w:highlight w:val="none"/>
          <w:lang w:val="zh-CN" w:eastAsia="zh-CN" w:bidi="ar-SA"/>
        </w:rPr>
        <w:t>进口产品，但如果因信息不对称等原因，仍有满足采购需求的国内产品要求参与采购竞争的，可以提供国产产品，并且按照公平竞争原则实施采购。</w:t>
      </w:r>
    </w:p>
    <w:p w14:paraId="4E5CC4F1">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4.所提供产品或其任何一部分不得侵犯专利权、著作权、商标权和工业设计权等知识产权。</w:t>
      </w:r>
    </w:p>
    <w:p w14:paraId="17BA36D8">
      <w:pPr>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1"/>
        <w:rPr>
          <w:rFonts w:hint="eastAsia" w:ascii="宋体" w:hAnsi="宋体" w:eastAsia="宋体" w:cs="宋体"/>
          <w:b/>
          <w:bCs/>
          <w:color w:val="auto"/>
          <w:kern w:val="2"/>
          <w:sz w:val="28"/>
          <w:szCs w:val="28"/>
          <w:highlight w:val="none"/>
          <w:lang w:val="zh-CN" w:eastAsia="zh-CN" w:bidi="ar-SA"/>
        </w:rPr>
      </w:pPr>
      <w:bookmarkStart w:id="266" w:name="_Toc16271_WPSOffice_Level2"/>
      <w:bookmarkStart w:id="267" w:name="_Toc19609_WPSOffice_Level2"/>
      <w:bookmarkStart w:id="268" w:name="_Toc28791"/>
      <w:bookmarkStart w:id="269" w:name="_Toc26560_WPSOffice_Level2"/>
      <w:bookmarkStart w:id="270" w:name="_Toc1475"/>
      <w:bookmarkStart w:id="271" w:name="_Toc515908233"/>
      <w:bookmarkStart w:id="272" w:name="_Toc27034"/>
      <w:bookmarkStart w:id="273" w:name="_Toc22092"/>
      <w:r>
        <w:rPr>
          <w:rFonts w:hint="eastAsia" w:ascii="宋体" w:hAnsi="宋体" w:eastAsia="宋体" w:cs="宋体"/>
          <w:b/>
          <w:bCs/>
          <w:color w:val="auto"/>
          <w:kern w:val="2"/>
          <w:sz w:val="28"/>
          <w:szCs w:val="28"/>
          <w:highlight w:val="none"/>
          <w:lang w:val="zh-CN" w:eastAsia="zh-CN" w:bidi="ar-SA"/>
        </w:rPr>
        <w:t>十一、重要指标</w:t>
      </w:r>
      <w:bookmarkEnd w:id="266"/>
      <w:bookmarkEnd w:id="267"/>
      <w:bookmarkEnd w:id="268"/>
      <w:bookmarkEnd w:id="269"/>
      <w:bookmarkEnd w:id="270"/>
      <w:bookmarkEnd w:id="271"/>
      <w:bookmarkEnd w:id="272"/>
      <w:bookmarkEnd w:id="273"/>
    </w:p>
    <w:p w14:paraId="2DB87A66">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bookmarkStart w:id="274"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谈判文件在技术参数中列出了采购人可以接受的最低技术指标，供应商必须对“项目概况及技术参数表”中各项产品和指标进行实质性响应，所</w:t>
      </w:r>
      <w:r>
        <w:rPr>
          <w:rFonts w:hint="eastAsia" w:ascii="宋体" w:hAnsi="宋体" w:eastAsia="宋体" w:cs="宋体"/>
          <w:color w:val="auto"/>
          <w:kern w:val="2"/>
          <w:sz w:val="24"/>
          <w:szCs w:val="24"/>
          <w:highlight w:val="none"/>
          <w:lang w:val="en-US" w:eastAsia="zh-CN" w:bidi="ar-SA"/>
        </w:rPr>
        <w:t>投</w:t>
      </w:r>
      <w:r>
        <w:rPr>
          <w:rFonts w:hint="eastAsia" w:ascii="宋体" w:hAnsi="宋体" w:eastAsia="宋体" w:cs="宋体"/>
          <w:color w:val="auto"/>
          <w:kern w:val="2"/>
          <w:sz w:val="24"/>
          <w:szCs w:val="24"/>
          <w:highlight w:val="none"/>
          <w:lang w:val="zh-CN" w:eastAsia="zh-CN" w:bidi="ar-SA"/>
        </w:rPr>
        <w:t>的每一项产品在性能上不能低于所列的各项指标。否则，响应无效。</w:t>
      </w:r>
    </w:p>
    <w:p w14:paraId="1D29A1E9">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64E8F34F">
      <w:pPr>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技术参数”中除注明签订合同时提供</w:t>
      </w:r>
      <w:r>
        <w:rPr>
          <w:rFonts w:hint="eastAsia" w:ascii="宋体" w:hAnsi="宋体" w:eastAsia="宋体" w:cs="宋体"/>
          <w:color w:val="auto"/>
          <w:kern w:val="2"/>
          <w:sz w:val="24"/>
          <w:szCs w:val="24"/>
          <w:highlight w:val="none"/>
          <w:lang w:val="en-US" w:eastAsia="zh-CN" w:bidi="ar-SA"/>
        </w:rPr>
        <w:t>的相关授权、服务承诺等资料以外，其余相关资料在响应时必须附在响应文件中。</w:t>
      </w:r>
    </w:p>
    <w:p w14:paraId="15313154">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4E3B2D00">
      <w:pPr>
        <w:pStyle w:val="17"/>
        <w:keepNext w:val="0"/>
        <w:keepLines w:val="0"/>
        <w:pageBreakBefore w:val="0"/>
        <w:widowControl w:val="0"/>
        <w:kinsoku/>
        <w:wordWrap/>
        <w:overflowPunct/>
        <w:topLinePunct w:val="0"/>
        <w:bidi w:val="0"/>
        <w:adjustRightInd/>
        <w:snapToGrid/>
        <w:spacing w:before="0" w:after="0" w:line="360" w:lineRule="auto"/>
        <w:ind w:firstLine="0" w:firstLineChars="0"/>
        <w:jc w:val="center"/>
        <w:textAlignment w:val="auto"/>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b/>
          <w:bCs/>
          <w:color w:val="auto"/>
          <w:kern w:val="2"/>
          <w:sz w:val="28"/>
          <w:szCs w:val="28"/>
          <w:highlight w:val="none"/>
          <w:lang w:val="en-US" w:eastAsia="zh-CN" w:bidi="ar-SA"/>
        </w:rPr>
        <w:t>项目概况及技术参数表</w:t>
      </w:r>
    </w:p>
    <w:p w14:paraId="47F22E76">
      <w:pPr>
        <w:pStyle w:val="17"/>
        <w:keepNext w:val="0"/>
        <w:keepLines w:val="0"/>
        <w:pageBreakBefore w:val="0"/>
        <w:widowControl w:val="0"/>
        <w:kinsoku/>
        <w:wordWrap/>
        <w:overflowPunct/>
        <w:topLinePunct w:val="0"/>
        <w:bidi w:val="0"/>
        <w:adjustRightInd/>
        <w:snapToGrid/>
        <w:spacing w:before="0" w:after="0" w:line="360" w:lineRule="auto"/>
        <w:ind w:firstLine="0" w:firstLineChars="0"/>
        <w:jc w:val="center"/>
        <w:textAlignment w:val="auto"/>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b/>
          <w:bCs/>
          <w:color w:val="auto"/>
          <w:kern w:val="2"/>
          <w:sz w:val="28"/>
          <w:szCs w:val="28"/>
          <w:highlight w:val="none"/>
          <w:lang w:val="zh-CN" w:eastAsia="zh-CN" w:bidi="ar-SA"/>
        </w:rPr>
        <w:t>商务要求</w:t>
      </w:r>
    </w:p>
    <w:p w14:paraId="1FF1067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1.服务期限</w:t>
      </w:r>
      <w:r>
        <w:rPr>
          <w:rFonts w:hint="eastAsia" w:ascii="宋体" w:hAnsi="宋体" w:eastAsia="宋体" w:cs="宋体"/>
          <w:color w:val="auto"/>
          <w:sz w:val="24"/>
          <w:szCs w:val="24"/>
          <w:lang w:val="zh-CN"/>
        </w:rPr>
        <w:t>：签订合同后</w:t>
      </w:r>
      <w:r>
        <w:rPr>
          <w:rFonts w:hint="eastAsia" w:ascii="宋体" w:hAnsi="宋体" w:eastAsia="宋体" w:cs="宋体"/>
          <w:color w:val="auto"/>
          <w:sz w:val="24"/>
          <w:szCs w:val="24"/>
          <w:lang w:val="zh-CN" w:eastAsia="zh-CN"/>
        </w:rPr>
        <w:t>10</w:t>
      </w:r>
      <w:r>
        <w:rPr>
          <w:rFonts w:hint="eastAsia" w:ascii="宋体" w:hAnsi="宋体" w:eastAsia="宋体" w:cs="宋体"/>
          <w:color w:val="auto"/>
          <w:sz w:val="24"/>
          <w:szCs w:val="24"/>
          <w:lang w:val="zh-CN"/>
        </w:rPr>
        <w:t>个</w:t>
      </w:r>
      <w:r>
        <w:rPr>
          <w:rFonts w:hint="eastAsia" w:ascii="宋体" w:hAnsi="宋体" w:eastAsia="宋体" w:cs="宋体"/>
          <w:color w:val="auto"/>
          <w:sz w:val="24"/>
          <w:szCs w:val="24"/>
          <w:lang w:val="zh-CN" w:eastAsia="zh-CN"/>
        </w:rPr>
        <w:t>工作</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w:t>
      </w:r>
    </w:p>
    <w:p w14:paraId="197E72E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服务地点</w:t>
      </w:r>
      <w:r>
        <w:rPr>
          <w:rFonts w:hint="eastAsia" w:ascii="宋体" w:hAnsi="宋体" w:eastAsia="宋体" w:cs="宋体"/>
          <w:color w:val="auto"/>
          <w:sz w:val="24"/>
          <w:szCs w:val="24"/>
          <w:lang w:val="zh-CN"/>
        </w:rPr>
        <w:t>：青海民族大学</w:t>
      </w:r>
      <w:r>
        <w:rPr>
          <w:rFonts w:hint="eastAsia" w:ascii="宋体" w:hAnsi="宋体" w:eastAsia="宋体" w:cs="宋体"/>
          <w:color w:val="auto"/>
          <w:sz w:val="24"/>
          <w:szCs w:val="24"/>
          <w:lang w:val="en-US" w:eastAsia="zh-CN"/>
        </w:rPr>
        <w:t>。</w:t>
      </w:r>
    </w:p>
    <w:p w14:paraId="5DE67444">
      <w:pPr>
        <w:pStyle w:val="17"/>
        <w:keepNext w:val="0"/>
        <w:keepLines w:val="0"/>
        <w:pageBreakBefore w:val="0"/>
        <w:widowControl w:val="0"/>
        <w:kinsoku/>
        <w:wordWrap/>
        <w:overflowPunct/>
        <w:topLinePunct w:val="0"/>
        <w:bidi w:val="0"/>
        <w:adjustRightInd/>
        <w:snapToGrid/>
        <w:spacing w:before="0" w:after="0" w:line="360" w:lineRule="auto"/>
        <w:ind w:firstLine="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（二）技术参数</w:t>
      </w:r>
    </w:p>
    <w:p w14:paraId="445330EF">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2"/>
        <w:jc w:val="left"/>
        <w:textAlignment w:val="auto"/>
        <w:outlineLvl w:val="2"/>
        <w:rPr>
          <w:rFonts w:hint="eastAsia" w:ascii="宋体" w:hAnsi="宋体" w:eastAsia="宋体" w:cs="宋体"/>
          <w:b/>
          <w:bCs/>
          <w:color w:val="auto"/>
          <w:kern w:val="0"/>
          <w:sz w:val="24"/>
          <w:szCs w:val="24"/>
        </w:rPr>
      </w:pPr>
      <w:bookmarkStart w:id="275" w:name="_Toc28078215"/>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项目概况</w:t>
      </w:r>
      <w:bookmarkEnd w:id="275"/>
    </w:p>
    <w:p w14:paraId="3F83BE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rPr>
      </w:pPr>
      <w:bookmarkStart w:id="276" w:name="_Toc376936789"/>
      <w:bookmarkStart w:id="277" w:name="_Toc427748114"/>
      <w:r>
        <w:rPr>
          <w:rFonts w:hint="eastAsia" w:ascii="宋体" w:hAnsi="宋体" w:eastAsia="宋体" w:cs="宋体"/>
          <w:color w:val="auto"/>
          <w:sz w:val="24"/>
          <w:szCs w:val="24"/>
        </w:rPr>
        <w:t>为深入贯彻党中央、国务院决策部署，全面落实《青海省推动大规模设备更新和消费品以旧换新实施方案（青政〔2024〕23号）》、《教育领域重大设备更新实施方案（发改社会〔2024〕718号）》，推动教育领域重大设备更新，提升教学实训水平和科研创新能力，夯实建设高质量教育体系基础。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青海民族大学2025年教学科研仪器设备更新项目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初步设计方案的编制。本项目的建设内容设计为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更新教学科研仪器设备92台（套）</w:t>
      </w:r>
      <w:r>
        <w:rPr>
          <w:rFonts w:hint="eastAsia" w:ascii="宋体" w:hAnsi="宋体" w:eastAsia="宋体" w:cs="宋体"/>
          <w:color w:val="auto"/>
          <w:sz w:val="24"/>
          <w:szCs w:val="24"/>
        </w:rPr>
        <w:t>建设项目初步设计方案的编制。技术参数详见《采购一览表及技术参数》内容。</w:t>
      </w:r>
    </w:p>
    <w:p w14:paraId="3314CDCB">
      <w:pPr>
        <w:keepNext w:val="0"/>
        <w:keepLines w:val="0"/>
        <w:pageBreakBefore w:val="0"/>
        <w:widowControl/>
        <w:numPr>
          <w:ilvl w:val="0"/>
          <w:numId w:val="0"/>
        </w:numPr>
        <w:tabs>
          <w:tab w:val="left" w:pos="5970"/>
        </w:tabs>
        <w:kinsoku/>
        <w:wordWrap/>
        <w:overflowPunct/>
        <w:topLinePunct w:val="0"/>
        <w:autoSpaceDE/>
        <w:autoSpaceDN/>
        <w:bidi w:val="0"/>
        <w:adjustRightInd/>
        <w:snapToGrid/>
        <w:spacing w:beforeAutospacing="0" w:afterAutospacing="0" w:line="360" w:lineRule="auto"/>
        <w:ind w:firstLine="544" w:firstLineChars="0"/>
        <w:jc w:val="left"/>
        <w:textAlignment w:val="auto"/>
        <w:outlineLvl w:val="2"/>
        <w:rPr>
          <w:rFonts w:hint="eastAsia" w:ascii="宋体" w:hAnsi="宋体" w:eastAsia="宋体" w:cs="宋体"/>
          <w:b/>
          <w:bCs/>
          <w:color w:val="auto"/>
          <w:kern w:val="0"/>
          <w:sz w:val="24"/>
          <w:szCs w:val="24"/>
        </w:rPr>
      </w:pPr>
      <w:bookmarkStart w:id="278" w:name="_Toc28078216"/>
      <w:bookmarkStart w:id="279" w:name="_Toc352076750"/>
      <w:bookmarkStart w:id="280" w:name="_Toc325726055"/>
      <w:r>
        <w:rPr>
          <w:rFonts w:hint="eastAsia" w:ascii="宋体" w:hAnsi="宋体" w:eastAsia="宋体" w:cs="宋体"/>
          <w:b/>
          <w:bCs/>
          <w:color w:val="auto"/>
          <w:kern w:val="0"/>
          <w:sz w:val="24"/>
          <w:szCs w:val="24"/>
          <w:lang w:val="en-US" w:eastAsia="zh-CN" w:bidi="ar-SA"/>
        </w:rPr>
        <w:t>2.</w:t>
      </w:r>
      <w:r>
        <w:rPr>
          <w:rFonts w:hint="eastAsia" w:ascii="宋体" w:hAnsi="宋体" w:eastAsia="宋体" w:cs="宋体"/>
          <w:b/>
          <w:bCs/>
          <w:color w:val="auto"/>
          <w:kern w:val="0"/>
          <w:sz w:val="24"/>
          <w:szCs w:val="24"/>
        </w:rPr>
        <w:t>产品交付说明</w:t>
      </w:r>
      <w:bookmarkEnd w:id="276"/>
      <w:bookmarkEnd w:id="277"/>
      <w:bookmarkEnd w:id="278"/>
      <w:bookmarkEnd w:id="279"/>
      <w:bookmarkEnd w:id="280"/>
    </w:p>
    <w:p w14:paraId="37B3F5D2">
      <w:pPr>
        <w:keepNext w:val="0"/>
        <w:keepLines w:val="0"/>
        <w:pageBreakBefore w:val="0"/>
        <w:kinsoku/>
        <w:wordWrap/>
        <w:overflowPunct/>
        <w:topLinePunct w:val="0"/>
        <w:autoSpaceDE/>
        <w:autoSpaceDN/>
        <w:bidi w:val="0"/>
        <w:adjustRightInd/>
        <w:snapToGrid/>
        <w:spacing w:beforeAutospacing="0" w:afterAutospacing="0" w:line="360" w:lineRule="auto"/>
        <w:ind w:firstLine="482"/>
        <w:jc w:val="left"/>
        <w:textAlignment w:val="auto"/>
        <w:rPr>
          <w:rFonts w:hint="eastAsia" w:ascii="宋体" w:hAnsi="宋体" w:eastAsia="宋体" w:cs="宋体"/>
          <w:b/>
          <w:bCs/>
          <w:color w:val="auto"/>
          <w:kern w:val="0"/>
          <w:sz w:val="24"/>
          <w:szCs w:val="24"/>
        </w:rPr>
      </w:pPr>
      <w:r>
        <w:rPr>
          <w:rFonts w:hint="eastAsia" w:ascii="宋体" w:hAnsi="宋体" w:eastAsia="宋体" w:cs="宋体"/>
          <w:color w:val="auto"/>
          <w:sz w:val="24"/>
          <w:szCs w:val="24"/>
        </w:rPr>
        <w:t>电子版及6套纸质版。</w:t>
      </w:r>
    </w:p>
    <w:p w14:paraId="3F442A0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44"/>
        <w:jc w:val="left"/>
        <w:textAlignment w:val="auto"/>
        <w:outlineLvl w:val="2"/>
        <w:rPr>
          <w:rFonts w:hint="eastAsia" w:ascii="宋体" w:hAnsi="宋体" w:eastAsia="宋体" w:cs="宋体"/>
          <w:b/>
          <w:bCs/>
          <w:color w:val="auto"/>
          <w:kern w:val="0"/>
          <w:sz w:val="24"/>
          <w:szCs w:val="24"/>
        </w:rPr>
      </w:pPr>
      <w:bookmarkStart w:id="281" w:name="_Toc28078217"/>
      <w:bookmarkStart w:id="282" w:name="_Toc427748115"/>
      <w:r>
        <w:rPr>
          <w:rFonts w:hint="eastAsia" w:ascii="宋体" w:hAnsi="宋体" w:eastAsia="宋体" w:cs="宋体"/>
          <w:b/>
          <w:bCs/>
          <w:color w:val="auto"/>
          <w:kern w:val="0"/>
          <w:sz w:val="24"/>
          <w:szCs w:val="24"/>
        </w:rPr>
        <w:t>3</w:t>
      </w:r>
      <w:r>
        <w:rPr>
          <w:rFonts w:hint="eastAsia" w:ascii="宋体" w:hAnsi="宋体" w:eastAsia="宋体" w:cs="宋体"/>
          <w:b/>
          <w:bCs/>
          <w:color w:val="auto"/>
          <w:kern w:val="0"/>
          <w:sz w:val="24"/>
          <w:szCs w:val="24"/>
          <w:lang w:val="en-US" w:eastAsia="zh-CN"/>
        </w:rPr>
        <w:t>.</w:t>
      </w:r>
      <w:r>
        <w:rPr>
          <w:rFonts w:hint="eastAsia" w:ascii="宋体" w:hAnsi="宋体" w:eastAsia="宋体" w:cs="宋体"/>
          <w:b/>
          <w:bCs/>
          <w:color w:val="auto"/>
          <w:kern w:val="0"/>
          <w:sz w:val="24"/>
          <w:szCs w:val="24"/>
        </w:rPr>
        <w:t>产品验收</w:t>
      </w:r>
      <w:bookmarkEnd w:id="281"/>
      <w:bookmarkEnd w:id="282"/>
    </w:p>
    <w:p w14:paraId="55C560D5">
      <w:pPr>
        <w:keepNext w:val="0"/>
        <w:keepLines w:val="0"/>
        <w:pageBreakBefore w:val="0"/>
        <w:widowControl/>
        <w:kinsoku/>
        <w:wordWrap/>
        <w:overflowPunct/>
        <w:topLinePunct w:val="0"/>
        <w:autoSpaceDE/>
        <w:autoSpaceDN/>
        <w:bidi w:val="0"/>
        <w:adjustRightInd/>
        <w:snapToGrid/>
        <w:spacing w:beforeAutospacing="0" w:after="286" w:afterLines="50" w:afterAutospacing="0" w:line="400" w:lineRule="exact"/>
        <w:ind w:firstLine="544"/>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初步设计方案编制内容需满足甲方实际需求，并能通过青海省发改委组织的评审，后续配合事项须无条件予以支持。</w:t>
      </w:r>
      <w:bookmarkStart w:id="283" w:name="_Toc352076753"/>
      <w:bookmarkStart w:id="284" w:name="_Toc28078220"/>
      <w:bookmarkStart w:id="285" w:name="_Toc427748116"/>
      <w:bookmarkStart w:id="286" w:name="_Toc427748118"/>
      <w:bookmarkStart w:id="287" w:name="_Toc352076755"/>
      <w:bookmarkStart w:id="288" w:name="_Toc376936794"/>
      <w:bookmarkStart w:id="289" w:name="_Toc28078218"/>
      <w:bookmarkStart w:id="290" w:name="_Toc376936792"/>
    </w:p>
    <w:bookmarkEnd w:id="283"/>
    <w:bookmarkEnd w:id="284"/>
    <w:bookmarkEnd w:id="285"/>
    <w:bookmarkEnd w:id="286"/>
    <w:bookmarkEnd w:id="287"/>
    <w:bookmarkEnd w:id="288"/>
    <w:bookmarkEnd w:id="289"/>
    <w:bookmarkEnd w:id="290"/>
    <w:p w14:paraId="62F511C2">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rPr>
        <w:t>采</w:t>
      </w:r>
      <w:r>
        <w:rPr>
          <w:rFonts w:hint="eastAsia" w:ascii="宋体" w:hAnsi="宋体" w:eastAsia="宋体" w:cs="宋体"/>
          <w:b/>
          <w:color w:val="auto"/>
          <w:kern w:val="0"/>
          <w:sz w:val="24"/>
          <w:szCs w:val="24"/>
        </w:rPr>
        <w:t>购</w:t>
      </w:r>
      <w:r>
        <w:rPr>
          <w:rFonts w:hint="eastAsia" w:ascii="宋体" w:hAnsi="宋体" w:eastAsia="宋体" w:cs="宋体"/>
          <w:b/>
          <w:bCs/>
          <w:color w:val="auto"/>
          <w:kern w:val="0"/>
          <w:sz w:val="24"/>
          <w:szCs w:val="24"/>
        </w:rPr>
        <w:t>一览表及技术参数</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40"/>
        <w:gridCol w:w="6345"/>
        <w:gridCol w:w="705"/>
        <w:gridCol w:w="714"/>
      </w:tblGrid>
      <w:tr w14:paraId="6AF2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1" w:type="dxa"/>
            <w:noWrap w:val="0"/>
            <w:vAlign w:val="center"/>
          </w:tcPr>
          <w:p w14:paraId="4303F4B3">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40" w:type="dxa"/>
            <w:noWrap w:val="0"/>
            <w:vAlign w:val="center"/>
          </w:tcPr>
          <w:p w14:paraId="13D0FC99">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名称</w:t>
            </w:r>
          </w:p>
        </w:tc>
        <w:tc>
          <w:tcPr>
            <w:tcW w:w="6345" w:type="dxa"/>
            <w:noWrap w:val="0"/>
            <w:vAlign w:val="center"/>
          </w:tcPr>
          <w:p w14:paraId="6B97784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技术参数</w:t>
            </w:r>
          </w:p>
        </w:tc>
        <w:tc>
          <w:tcPr>
            <w:tcW w:w="705" w:type="dxa"/>
            <w:noWrap w:val="0"/>
            <w:vAlign w:val="center"/>
          </w:tcPr>
          <w:p w14:paraId="193E67AD">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单位</w:t>
            </w:r>
          </w:p>
        </w:tc>
        <w:tc>
          <w:tcPr>
            <w:tcW w:w="714" w:type="dxa"/>
            <w:noWrap w:val="0"/>
            <w:vAlign w:val="center"/>
          </w:tcPr>
          <w:p w14:paraId="02DB623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数量</w:t>
            </w:r>
          </w:p>
        </w:tc>
      </w:tr>
      <w:tr w14:paraId="49A0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1" w:type="dxa"/>
            <w:noWrap w:val="0"/>
            <w:vAlign w:val="center"/>
          </w:tcPr>
          <w:p w14:paraId="334D915A">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40" w:type="dxa"/>
            <w:noWrap w:val="0"/>
            <w:vAlign w:val="center"/>
          </w:tcPr>
          <w:p w14:paraId="04DB7C75">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青海民族大学2025年教学科研仪器设备更新项目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初步设计方案的编制</w:t>
            </w:r>
          </w:p>
        </w:tc>
        <w:tc>
          <w:tcPr>
            <w:tcW w:w="6345" w:type="dxa"/>
            <w:noWrap w:val="0"/>
            <w:vAlign w:val="top"/>
          </w:tcPr>
          <w:p w14:paraId="485841D3">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项目概况</w:t>
            </w:r>
          </w:p>
          <w:p w14:paraId="2268018F">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建设目标</w:t>
            </w:r>
          </w:p>
          <w:p w14:paraId="73D4531E">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青海民族大学2025年教学科研仪器设备更新项目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根据《教育领域重大设备更新实施方案（发改社会〔2024〕718号）》，结合学校设备使用情况，从全局出发，</w:t>
            </w:r>
            <w:r>
              <w:rPr>
                <w:rFonts w:hint="eastAsia" w:ascii="宋体" w:hAnsi="宋体" w:eastAsia="宋体" w:cs="宋体"/>
                <w:color w:val="auto"/>
                <w:sz w:val="24"/>
                <w:szCs w:val="24"/>
                <w:lang w:val="en-US" w:eastAsia="zh-CN"/>
              </w:rPr>
              <w:t>达到以下目的：</w:t>
            </w:r>
            <w:r>
              <w:rPr>
                <w:rFonts w:hint="eastAsia" w:ascii="宋体" w:hAnsi="宋体" w:eastAsia="宋体" w:cs="宋体"/>
                <w:color w:val="auto"/>
                <w:sz w:val="24"/>
                <w:szCs w:val="24"/>
              </w:rPr>
              <w:t>（1）通过</w:t>
            </w:r>
            <w:r>
              <w:rPr>
                <w:rFonts w:hint="eastAsia" w:ascii="宋体" w:hAnsi="宋体" w:eastAsia="宋体" w:cs="宋体"/>
                <w:color w:val="auto"/>
                <w:sz w:val="24"/>
                <w:szCs w:val="24"/>
                <w:lang w:val="en-US" w:eastAsia="zh-CN"/>
              </w:rPr>
              <w:t>该项目的实施，提高</w:t>
            </w:r>
            <w:r>
              <w:rPr>
                <w:rFonts w:hint="eastAsia" w:ascii="宋体" w:hAnsi="宋体" w:eastAsia="宋体" w:cs="宋体"/>
                <w:color w:val="auto"/>
                <w:sz w:val="24"/>
                <w:szCs w:val="24"/>
              </w:rPr>
              <w:t>学生前沿理论与实践相结合的学习</w:t>
            </w:r>
            <w:r>
              <w:rPr>
                <w:rFonts w:hint="eastAsia" w:ascii="宋体" w:hAnsi="宋体" w:eastAsia="宋体" w:cs="宋体"/>
                <w:color w:val="auto"/>
                <w:sz w:val="24"/>
                <w:szCs w:val="24"/>
                <w:lang w:val="en-US" w:eastAsia="zh-CN"/>
              </w:rPr>
              <w:t>能力</w:t>
            </w:r>
            <w:r>
              <w:rPr>
                <w:rFonts w:hint="eastAsia" w:ascii="宋体" w:hAnsi="宋体" w:eastAsia="宋体" w:cs="宋体"/>
                <w:color w:val="auto"/>
                <w:sz w:val="24"/>
                <w:szCs w:val="24"/>
              </w:rPr>
              <w:t>，培养出具有创新能力的应用型人才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（2）改善</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rPr>
              <w:t>科研条件，通过引入新型科研仪器设备，增强</w:t>
            </w:r>
            <w:r>
              <w:rPr>
                <w:rFonts w:hint="eastAsia" w:ascii="宋体" w:hAnsi="宋体" w:eastAsia="宋体" w:cs="宋体"/>
                <w:color w:val="auto"/>
                <w:sz w:val="24"/>
                <w:szCs w:val="24"/>
                <w:lang w:val="en-US" w:eastAsia="zh-CN"/>
              </w:rPr>
              <w:t>本校</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rPr>
              <w:t>科研能力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使学科发展同步于最新的科学发现与技术创新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（3）提高教师的教学质量和学生综合素质</w:t>
            </w:r>
            <w:r>
              <w:rPr>
                <w:rFonts w:hint="eastAsia" w:ascii="宋体" w:hAnsi="宋体" w:eastAsia="宋体" w:cs="宋体"/>
                <w:color w:val="auto"/>
                <w:sz w:val="24"/>
                <w:szCs w:val="24"/>
                <w:lang w:eastAsia="zh-CN"/>
              </w:rPr>
              <w:t>。</w:t>
            </w:r>
          </w:p>
          <w:p w14:paraId="1443BB79">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建设内容</w:t>
            </w:r>
          </w:p>
          <w:p w14:paraId="4735D53F">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主要规模和内容为：围绕青海民族大学药学院、分析测试共享中心、化学与材料科学学院、教师教育学院、生态环境与资源学院、土木与交通工程学院、智能科学与工程学院的老旧教学科研仪器设备，更新教学科研仪器设备</w:t>
            </w:r>
            <w:r>
              <w:rPr>
                <w:rFonts w:hint="eastAsia" w:ascii="宋体" w:hAnsi="宋体" w:eastAsia="宋体" w:cs="宋体"/>
                <w:color w:val="auto"/>
                <w:sz w:val="24"/>
                <w:szCs w:val="24"/>
                <w:lang w:val="en-US" w:eastAsia="zh-CN"/>
              </w:rPr>
              <w:t>92</w:t>
            </w:r>
            <w:r>
              <w:rPr>
                <w:rFonts w:hint="eastAsia" w:ascii="宋体" w:hAnsi="宋体" w:eastAsia="宋体" w:cs="宋体"/>
                <w:color w:val="auto"/>
                <w:sz w:val="24"/>
                <w:szCs w:val="24"/>
              </w:rPr>
              <w:t>台（套）。</w:t>
            </w:r>
          </w:p>
          <w:p w14:paraId="57B828B5">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建设期</w:t>
            </w:r>
          </w:p>
          <w:p w14:paraId="3915731B">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“青海民族大学2025年教学科研仪器设备更新</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建设期拟定为</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个月。</w:t>
            </w:r>
          </w:p>
          <w:p w14:paraId="592B1CDE">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p w14:paraId="6FB8C08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完成按照国家行业现行标准、青海省发改委要求的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青海民族大学2025年教学科研仪器设备更新项目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初步设计方案的编制。本项目的初步设计方案编制内容</w:t>
            </w:r>
            <w:r>
              <w:rPr>
                <w:rFonts w:hint="eastAsia" w:ascii="宋体" w:hAnsi="宋体" w:eastAsia="宋体" w:cs="宋体"/>
                <w:color w:val="auto"/>
                <w:sz w:val="24"/>
                <w:szCs w:val="24"/>
                <w:lang w:val="en-US" w:eastAsia="zh-CN"/>
              </w:rPr>
              <w:t>需</w:t>
            </w:r>
            <w:r>
              <w:rPr>
                <w:rFonts w:hint="eastAsia" w:ascii="宋体" w:hAnsi="宋体" w:eastAsia="宋体" w:cs="宋体"/>
                <w:color w:val="auto"/>
                <w:sz w:val="24"/>
                <w:szCs w:val="24"/>
              </w:rPr>
              <w:t>满足甲方实际需求并</w:t>
            </w:r>
            <w:r>
              <w:rPr>
                <w:rFonts w:hint="eastAsia" w:ascii="宋体" w:hAnsi="宋体" w:eastAsia="宋体" w:cs="宋体"/>
                <w:color w:val="auto"/>
                <w:sz w:val="24"/>
                <w:szCs w:val="24"/>
                <w:lang w:val="en-US" w:eastAsia="zh-CN"/>
              </w:rPr>
              <w:t>通过</w:t>
            </w:r>
            <w:r>
              <w:rPr>
                <w:rFonts w:hint="eastAsia" w:ascii="宋体" w:hAnsi="宋体" w:eastAsia="宋体" w:cs="宋体"/>
                <w:color w:val="auto"/>
                <w:sz w:val="24"/>
                <w:szCs w:val="24"/>
              </w:rPr>
              <w:t>评审，后续配合事项</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无条件予以支持，同时全力配合学校完成项目验收等全流程工作。</w:t>
            </w:r>
          </w:p>
          <w:p w14:paraId="2E56208F">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效益与风险</w:t>
            </w:r>
          </w:p>
          <w:p w14:paraId="3CC56258">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需设计包含经济效益及社会效益。</w:t>
            </w:r>
          </w:p>
          <w:p w14:paraId="7A9B5584">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主要结论与建议</w:t>
            </w:r>
          </w:p>
          <w:p w14:paraId="4F4FEFA2">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需设计</w:t>
            </w:r>
            <w:r>
              <w:rPr>
                <w:rFonts w:hint="eastAsia" w:ascii="宋体" w:hAnsi="宋体" w:eastAsia="宋体" w:cs="宋体"/>
                <w:color w:val="auto"/>
                <w:sz w:val="24"/>
                <w:szCs w:val="24"/>
                <w:lang w:val="en-US" w:eastAsia="zh-CN"/>
              </w:rPr>
              <w:t>并给出“青海民族大学2025年教学科研仪器设备更新</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结论及建议。</w:t>
            </w:r>
          </w:p>
          <w:p w14:paraId="43963587">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需求分析</w:t>
            </w:r>
          </w:p>
          <w:p w14:paraId="2A98FC4B">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需提出设计社会目标，政务目标，信息量，数据量、</w:t>
            </w:r>
            <w:r>
              <w:rPr>
                <w:rFonts w:hint="eastAsia" w:ascii="宋体" w:hAnsi="宋体" w:eastAsia="宋体" w:cs="宋体"/>
                <w:color w:val="auto"/>
                <w:sz w:val="24"/>
                <w:szCs w:val="24"/>
                <w:lang w:val="en-US" w:eastAsia="zh-CN"/>
              </w:rPr>
              <w:t>安装</w:t>
            </w:r>
            <w:r>
              <w:rPr>
                <w:rFonts w:hint="eastAsia" w:ascii="宋体" w:hAnsi="宋体" w:eastAsia="宋体" w:cs="宋体"/>
                <w:color w:val="auto"/>
                <w:sz w:val="24"/>
                <w:szCs w:val="24"/>
              </w:rPr>
              <w:t>环境、</w:t>
            </w:r>
            <w:r>
              <w:rPr>
                <w:rFonts w:hint="eastAsia" w:ascii="宋体" w:hAnsi="宋体" w:eastAsia="宋体" w:cs="宋体"/>
                <w:color w:val="auto"/>
                <w:sz w:val="24"/>
                <w:szCs w:val="24"/>
                <w:lang w:val="en-US" w:eastAsia="zh-CN"/>
              </w:rPr>
              <w:t>仪器设备</w:t>
            </w:r>
            <w:r>
              <w:rPr>
                <w:rFonts w:hint="eastAsia" w:ascii="宋体" w:hAnsi="宋体" w:eastAsia="宋体" w:cs="宋体"/>
                <w:color w:val="auto"/>
                <w:sz w:val="24"/>
                <w:szCs w:val="24"/>
              </w:rPr>
              <w:t>性能指标等分析。</w:t>
            </w:r>
          </w:p>
          <w:p w14:paraId="33DABCA6">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三、服务时效及响应时间</w:t>
            </w:r>
          </w:p>
          <w:p w14:paraId="4FFD7464">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合同服务期限内，采购人有沟通交流需求时，30分钟内电话或邮件方式响应；必要时，安排设计人员</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小时内现场服务响应。项目实施过程中，针对承建单位对方案设计中的疑问，2小时内电话或邮件方式响应；必要时，安排设计人员</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小时内现场服务响应。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提供承诺函</w:t>
            </w:r>
            <w:r>
              <w:rPr>
                <w:rFonts w:hint="eastAsia" w:ascii="宋体" w:hAnsi="宋体" w:eastAsia="宋体" w:cs="宋体"/>
                <w:color w:val="auto"/>
                <w:sz w:val="24"/>
                <w:szCs w:val="24"/>
                <w:lang w:eastAsia="zh-CN"/>
              </w:rPr>
              <w:t>）</w:t>
            </w:r>
          </w:p>
        </w:tc>
        <w:tc>
          <w:tcPr>
            <w:tcW w:w="705" w:type="dxa"/>
            <w:noWrap w:val="0"/>
            <w:vAlign w:val="center"/>
          </w:tcPr>
          <w:p w14:paraId="559DAE7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14" w:type="dxa"/>
            <w:noWrap w:val="0"/>
            <w:vAlign w:val="center"/>
          </w:tcPr>
          <w:p w14:paraId="570E0210">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bl>
    <w:p w14:paraId="39A727C9">
      <w:pPr>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bookmarkEnd w:id="274"/>
    <w:p w14:paraId="7A3FE184">
      <w:pPr>
        <w:widowControl/>
        <w:wordWrap/>
        <w:spacing w:before="157" w:beforeLines="50" w:line="560" w:lineRule="exact"/>
        <w:jc w:val="center"/>
        <w:outlineLvl w:val="0"/>
        <w:rPr>
          <w:rFonts w:hint="eastAsia" w:ascii="宋体" w:hAnsi="宋体" w:eastAsia="宋体" w:cs="宋体"/>
          <w:b/>
          <w:color w:val="auto"/>
          <w:sz w:val="44"/>
          <w:szCs w:val="44"/>
        </w:rPr>
      </w:pPr>
      <w:bookmarkStart w:id="291" w:name="_Toc955_WPSOffice_Level1"/>
      <w:bookmarkStart w:id="292" w:name="_Toc18208_WPSOffice_Level1"/>
      <w:bookmarkStart w:id="293" w:name="_Toc31138"/>
      <w:bookmarkStart w:id="294" w:name="_Toc6923_WPSOffice_Level1"/>
      <w:bookmarkStart w:id="295" w:name="_Toc19363"/>
      <w:bookmarkStart w:id="296" w:name="_Toc5732_WPSOffice_Level1"/>
      <w:bookmarkStart w:id="297" w:name="_Toc22544"/>
      <w:bookmarkStart w:id="298" w:name="_Toc15487_WPSOffice_Level1"/>
      <w:bookmarkStart w:id="299" w:name="_Toc18643_WPSOffice_Level1"/>
      <w:r>
        <w:rPr>
          <w:rFonts w:hint="eastAsia" w:ascii="宋体" w:hAnsi="宋体" w:eastAsia="宋体" w:cs="宋体"/>
          <w:b/>
          <w:bCs/>
          <w:color w:val="auto"/>
          <w:sz w:val="32"/>
          <w:szCs w:val="32"/>
          <w:lang w:eastAsia="zh-CN"/>
        </w:rPr>
        <w:t>第四部分</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响应文件格式</w:t>
      </w:r>
      <w:bookmarkEnd w:id="291"/>
      <w:bookmarkEnd w:id="292"/>
      <w:bookmarkEnd w:id="293"/>
      <w:bookmarkEnd w:id="294"/>
      <w:bookmarkEnd w:id="295"/>
      <w:bookmarkEnd w:id="296"/>
      <w:bookmarkEnd w:id="297"/>
      <w:bookmarkEnd w:id="298"/>
      <w:bookmarkEnd w:id="299"/>
    </w:p>
    <w:p w14:paraId="02614949">
      <w:pPr>
        <w:widowControl w:val="0"/>
        <w:wordWrap/>
        <w:adjustRightInd w:val="0"/>
        <w:snapToGrid w:val="0"/>
        <w:spacing w:line="560" w:lineRule="exact"/>
        <w:jc w:val="center"/>
        <w:textAlignment w:val="auto"/>
        <w:outlineLvl w:val="1"/>
        <w:rPr>
          <w:rFonts w:hint="eastAsia" w:ascii="宋体" w:hAnsi="宋体" w:eastAsia="宋体" w:cs="宋体"/>
          <w:color w:val="auto"/>
          <w:kern w:val="2"/>
          <w:sz w:val="32"/>
          <w:szCs w:val="32"/>
          <w:lang w:val="en-US" w:eastAsia="zh-CN" w:bidi="ar-SA"/>
        </w:rPr>
      </w:pPr>
      <w:bookmarkStart w:id="300" w:name="_Toc20524"/>
      <w:bookmarkStart w:id="301" w:name="_Toc4945_WPSOffice_Level2"/>
      <w:bookmarkStart w:id="302" w:name="_Toc20166_WPSOffice_Level2"/>
      <w:bookmarkStart w:id="303" w:name="_Toc12691_WPSOffice_Level2"/>
      <w:bookmarkStart w:id="304" w:name="_Toc11968"/>
      <w:r>
        <w:rPr>
          <w:rFonts w:hint="eastAsia" w:ascii="宋体" w:hAnsi="宋体" w:eastAsia="宋体" w:cs="宋体"/>
          <w:b/>
          <w:bCs/>
          <w:color w:val="auto"/>
          <w:kern w:val="2"/>
          <w:sz w:val="28"/>
          <w:szCs w:val="28"/>
          <w:lang w:val="en-US" w:eastAsia="zh-CN" w:bidi="ar-SA"/>
        </w:rPr>
        <w:t>十二、响应文件的组成</w:t>
      </w:r>
      <w:bookmarkEnd w:id="300"/>
      <w:bookmarkEnd w:id="301"/>
      <w:bookmarkEnd w:id="302"/>
      <w:bookmarkEnd w:id="303"/>
      <w:bookmarkEnd w:id="304"/>
    </w:p>
    <w:p w14:paraId="01348967">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305" w:name="_Toc22172"/>
      <w:bookmarkStart w:id="306" w:name="_Toc31451_WPSOffice_Level3"/>
      <w:bookmarkStart w:id="307" w:name="_Toc185_WPSOffice_Level2"/>
      <w:bookmarkStart w:id="308" w:name="_Toc30546"/>
      <w:r>
        <w:rPr>
          <w:rFonts w:hint="eastAsia" w:ascii="宋体" w:hAnsi="宋体" w:eastAsia="宋体" w:cs="宋体"/>
          <w:b/>
          <w:bCs/>
          <w:color w:val="auto"/>
          <w:kern w:val="2"/>
          <w:sz w:val="24"/>
          <w:szCs w:val="24"/>
          <w:lang w:val="zh-CN" w:eastAsia="zh-CN" w:bidi="ar-SA"/>
        </w:rPr>
        <w:t>（一）资格审查部分</w:t>
      </w:r>
      <w:bookmarkEnd w:id="305"/>
      <w:bookmarkEnd w:id="306"/>
      <w:bookmarkEnd w:id="307"/>
      <w:bookmarkEnd w:id="308"/>
    </w:p>
    <w:p w14:paraId="6EA217EA">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9" w:name="_Toc19260_WPSOffice_Level3"/>
      <w:r>
        <w:rPr>
          <w:rFonts w:hint="eastAsia" w:ascii="宋体" w:hAnsi="宋体" w:eastAsia="宋体" w:cs="宋体"/>
          <w:color w:val="auto"/>
          <w:kern w:val="2"/>
          <w:sz w:val="24"/>
          <w:szCs w:val="24"/>
          <w:lang w:val="zh-CN" w:eastAsia="zh-CN" w:bidi="ar-SA"/>
        </w:rPr>
        <w:t>1、响应函（见附件1）</w:t>
      </w:r>
      <w:bookmarkEnd w:id="309"/>
    </w:p>
    <w:p w14:paraId="417BF7A9">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0" w:name="_Toc13122_WPSOffice_Level3"/>
      <w:r>
        <w:rPr>
          <w:rFonts w:hint="eastAsia" w:ascii="宋体" w:hAnsi="宋体" w:eastAsia="宋体" w:cs="宋体"/>
          <w:color w:val="auto"/>
          <w:kern w:val="2"/>
          <w:sz w:val="24"/>
          <w:szCs w:val="24"/>
          <w:lang w:val="zh-CN" w:eastAsia="zh-CN" w:bidi="ar-SA"/>
        </w:rPr>
        <w:t>2、法定代表人证明书（见附件2）</w:t>
      </w:r>
      <w:bookmarkEnd w:id="310"/>
    </w:p>
    <w:p w14:paraId="31D0588B">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1" w:name="_Toc5677_WPSOffice_Level3"/>
      <w:r>
        <w:rPr>
          <w:rFonts w:hint="eastAsia" w:ascii="宋体" w:hAnsi="宋体" w:eastAsia="宋体" w:cs="宋体"/>
          <w:color w:val="auto"/>
          <w:kern w:val="2"/>
          <w:sz w:val="24"/>
          <w:szCs w:val="24"/>
          <w:lang w:val="zh-CN" w:eastAsia="zh-CN" w:bidi="ar-SA"/>
        </w:rPr>
        <w:t>3、法定代表人授权书（见附件3）</w:t>
      </w:r>
      <w:bookmarkEnd w:id="311"/>
    </w:p>
    <w:p w14:paraId="1468021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2" w:name="_Toc1890_WPSOffice_Level3"/>
      <w:r>
        <w:rPr>
          <w:rFonts w:hint="eastAsia" w:ascii="宋体" w:hAnsi="宋体" w:eastAsia="宋体" w:cs="宋体"/>
          <w:color w:val="auto"/>
          <w:kern w:val="2"/>
          <w:sz w:val="24"/>
          <w:szCs w:val="24"/>
          <w:lang w:val="zh-CN" w:eastAsia="zh-CN" w:bidi="ar-SA"/>
        </w:rPr>
        <w:t>4、供应商承诺函（见附件4）</w:t>
      </w:r>
      <w:bookmarkEnd w:id="312"/>
    </w:p>
    <w:p w14:paraId="569E2EB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3" w:name="_Toc25873_WPSOffice_Level3"/>
      <w:r>
        <w:rPr>
          <w:rFonts w:hint="eastAsia" w:ascii="宋体" w:hAnsi="宋体" w:eastAsia="宋体" w:cs="宋体"/>
          <w:color w:val="auto"/>
          <w:kern w:val="2"/>
          <w:sz w:val="24"/>
          <w:szCs w:val="24"/>
          <w:lang w:val="zh-CN" w:eastAsia="zh-CN" w:bidi="ar-SA"/>
        </w:rPr>
        <w:t>5、供应商诚信承诺书（见附件5）</w:t>
      </w:r>
      <w:bookmarkEnd w:id="313"/>
    </w:p>
    <w:p w14:paraId="177AF96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4" w:name="_Toc31370_WPSOffice_Level3"/>
      <w:r>
        <w:rPr>
          <w:rFonts w:hint="eastAsia" w:ascii="宋体" w:hAnsi="宋体" w:eastAsia="宋体" w:cs="宋体"/>
          <w:color w:val="auto"/>
          <w:kern w:val="2"/>
          <w:sz w:val="24"/>
          <w:szCs w:val="24"/>
          <w:lang w:val="zh-CN" w:eastAsia="zh-CN" w:bidi="ar-SA"/>
        </w:rPr>
        <w:t>6、供应商资格证明文件（见附件6）</w:t>
      </w:r>
      <w:bookmarkEnd w:id="314"/>
    </w:p>
    <w:p w14:paraId="7BF0E4D3">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5"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315"/>
    </w:p>
    <w:p w14:paraId="000E5FAE">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6"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316"/>
    </w:p>
    <w:p w14:paraId="6AEC8C92">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17" w:name="_Toc10394_WPSOffice_Level3"/>
      <w:r>
        <w:rPr>
          <w:rFonts w:hint="eastAsia" w:ascii="宋体" w:hAnsi="宋体" w:eastAsia="宋体" w:cs="宋体"/>
          <w:color w:val="auto"/>
          <w:kern w:val="2"/>
          <w:sz w:val="24"/>
          <w:szCs w:val="24"/>
          <w:lang w:val="en-US" w:eastAsia="zh-CN" w:bidi="ar-SA"/>
        </w:rPr>
        <w:t>9、谈判保证金证明（见附件9）</w:t>
      </w:r>
      <w:bookmarkEnd w:id="317"/>
    </w:p>
    <w:p w14:paraId="0A8058F3">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318" w:name="_Toc1423"/>
      <w:bookmarkStart w:id="319" w:name="_Toc3154_WPSOffice_Level2"/>
      <w:bookmarkStart w:id="320" w:name="_Toc18301_WPSOffice_Level3"/>
      <w:bookmarkStart w:id="321" w:name="_Toc21135"/>
      <w:r>
        <w:rPr>
          <w:rFonts w:hint="eastAsia" w:ascii="宋体" w:hAnsi="宋体" w:eastAsia="宋体" w:cs="宋体"/>
          <w:b/>
          <w:bCs/>
          <w:color w:val="auto"/>
          <w:kern w:val="2"/>
          <w:sz w:val="24"/>
          <w:szCs w:val="24"/>
          <w:lang w:val="zh-CN" w:eastAsia="zh-CN" w:bidi="ar-SA"/>
        </w:rPr>
        <w:t>（二）有效性、完整性、响应程度审查部分</w:t>
      </w:r>
      <w:bookmarkEnd w:id="318"/>
      <w:bookmarkEnd w:id="319"/>
      <w:bookmarkEnd w:id="320"/>
      <w:bookmarkEnd w:id="321"/>
    </w:p>
    <w:p w14:paraId="15885848">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22" w:name="_Toc9730_WPSOffice_Level3"/>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、谈判首次报价表（见附件</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bookmarkEnd w:id="322"/>
    </w:p>
    <w:p w14:paraId="0020906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23" w:name="_Toc15196_WPSOffice_Level3"/>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、分项报价表（见附件1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w:t>
      </w:r>
      <w:bookmarkEnd w:id="323"/>
    </w:p>
    <w:p w14:paraId="3F4F5819">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24" w:name="_Toc319_WPSOffice_Level3"/>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、服务响应表（见附件1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w:t>
      </w:r>
      <w:bookmarkEnd w:id="324"/>
    </w:p>
    <w:p w14:paraId="45AF254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25" w:name="_Toc22060_WPSOffice_Level3"/>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、服务相关资料（具备履行合同所必须的设备和专业技术能力证明）（附件1</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bookmarkEnd w:id="325"/>
    <w:p w14:paraId="7989E549">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26" w:name="_Toc16307_WPSOffice_Level3"/>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、供应商认为在其他方面有必要说明的事项（格式自定）</w:t>
      </w:r>
      <w:bookmarkEnd w:id="326"/>
    </w:p>
    <w:p w14:paraId="6F9E557C">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27" w:name="_Toc1748_WPSOffice_Level3"/>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享受采购政策优惠的证明资料（见附件</w:t>
      </w: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kern w:val="2"/>
          <w:sz w:val="24"/>
          <w:szCs w:val="24"/>
          <w:lang w:val="zh-CN" w:eastAsia="zh-CN" w:bidi="ar-SA"/>
        </w:rPr>
        <w:t>）</w:t>
      </w:r>
      <w:bookmarkEnd w:id="327"/>
    </w:p>
    <w:p w14:paraId="4FEDE2AF">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28" w:name="_Toc5088_WPSOffice_Level3"/>
      <w:r>
        <w:rPr>
          <w:rFonts w:hint="eastAsia" w:ascii="宋体" w:hAnsi="宋体" w:eastAsia="宋体" w:cs="宋体"/>
          <w:color w:val="auto"/>
          <w:kern w:val="2"/>
          <w:sz w:val="24"/>
          <w:szCs w:val="24"/>
          <w:lang w:val="en-US" w:eastAsia="zh-CN" w:bidi="ar-SA"/>
        </w:rPr>
        <w:t>7、其他证明材料（格式自定）</w:t>
      </w:r>
      <w:bookmarkEnd w:id="328"/>
    </w:p>
    <w:p w14:paraId="57F175BB">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bookmarkStart w:id="329" w:name="_Toc30100_WPSOffice_Level3"/>
      <w:r>
        <w:rPr>
          <w:rFonts w:hint="eastAsia" w:ascii="宋体" w:hAnsi="宋体" w:eastAsia="宋体" w:cs="宋体"/>
          <w:color w:val="auto"/>
          <w:kern w:val="2"/>
          <w:sz w:val="24"/>
          <w:szCs w:val="24"/>
          <w:lang w:val="en-US" w:eastAsia="zh-CN" w:bidi="ar-SA"/>
        </w:rPr>
        <w:t>8、谈判最后报价表（见附件15）</w:t>
      </w:r>
      <w:bookmarkEnd w:id="329"/>
    </w:p>
    <w:p w14:paraId="38EB0FC9">
      <w:pPr>
        <w:rPr>
          <w:rFonts w:hint="eastAsia" w:ascii="宋体" w:hAnsi="宋体" w:eastAsia="宋体" w:cs="宋体"/>
          <w:b/>
          <w:bCs/>
          <w:color w:val="auto"/>
          <w:kern w:val="2"/>
          <w:sz w:val="28"/>
          <w:szCs w:val="28"/>
          <w:lang w:val="en-US" w:eastAsia="zh-CN" w:bidi="ar-SA"/>
        </w:rPr>
      </w:pPr>
      <w:bookmarkStart w:id="330" w:name="_Toc14930_WPSOffice_Level2"/>
      <w:bookmarkStart w:id="331" w:name="_Toc1684_WPSOffice_Level2"/>
      <w:bookmarkStart w:id="332" w:name="_Toc5252_WPSOffice_Level2"/>
      <w:bookmarkStart w:id="333" w:name="_Toc11918"/>
      <w:r>
        <w:rPr>
          <w:rFonts w:hint="eastAsia" w:ascii="宋体" w:hAnsi="宋体" w:eastAsia="宋体" w:cs="宋体"/>
          <w:b/>
          <w:bCs/>
          <w:color w:val="auto"/>
          <w:kern w:val="2"/>
          <w:sz w:val="28"/>
          <w:szCs w:val="28"/>
          <w:lang w:val="en-US" w:eastAsia="zh-CN" w:bidi="ar-SA"/>
        </w:rPr>
        <w:br w:type="page"/>
      </w:r>
    </w:p>
    <w:p w14:paraId="6A736426">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334" w:name="_Toc10743"/>
      <w:r>
        <w:rPr>
          <w:rFonts w:hint="eastAsia" w:ascii="宋体" w:hAnsi="宋体" w:eastAsia="宋体" w:cs="宋体"/>
          <w:b/>
          <w:bCs/>
          <w:color w:val="auto"/>
          <w:kern w:val="2"/>
          <w:sz w:val="28"/>
          <w:szCs w:val="28"/>
          <w:lang w:val="en-US" w:eastAsia="zh-CN" w:bidi="ar-SA"/>
        </w:rPr>
        <w:t>十三、</w:t>
      </w:r>
      <w:bookmarkEnd w:id="330"/>
      <w:bookmarkEnd w:id="331"/>
      <w:bookmarkEnd w:id="332"/>
      <w:bookmarkEnd w:id="333"/>
      <w:bookmarkEnd w:id="334"/>
      <w:r>
        <w:rPr>
          <w:rFonts w:hint="eastAsia" w:ascii="宋体" w:hAnsi="宋体" w:eastAsia="宋体" w:cs="宋体"/>
          <w:b/>
          <w:bCs/>
          <w:color w:val="auto"/>
          <w:kern w:val="2"/>
          <w:sz w:val="28"/>
          <w:szCs w:val="28"/>
          <w:lang w:val="en-US" w:eastAsia="zh-CN" w:bidi="ar-SA"/>
        </w:rPr>
        <w:t>响应文件</w:t>
      </w:r>
    </w:p>
    <w:p w14:paraId="34ACC14E">
      <w:pPr>
        <w:wordWrap/>
        <w:spacing w:before="157" w:beforeLines="50" w:line="560" w:lineRule="exact"/>
        <w:jc w:val="center"/>
        <w:outlineLvl w:val="9"/>
        <w:rPr>
          <w:rFonts w:hint="eastAsia" w:ascii="宋体" w:hAnsi="宋体" w:eastAsia="宋体" w:cs="宋体"/>
          <w:b/>
          <w:color w:val="auto"/>
          <w:sz w:val="44"/>
          <w:szCs w:val="44"/>
        </w:rPr>
      </w:pPr>
      <w:bookmarkStart w:id="335" w:name="_Toc28269_WPSOffice_Level3"/>
      <w:bookmarkStart w:id="336" w:name="_Toc10997_WPSOffice_Level2"/>
      <w:bookmarkStart w:id="337" w:name="_Toc31682_WPSOffice_Level2"/>
    </w:p>
    <w:p w14:paraId="418C3F52">
      <w:pPr>
        <w:wordWrap/>
        <w:spacing w:before="157" w:beforeLines="50" w:line="560" w:lineRule="exact"/>
        <w:jc w:val="center"/>
        <w:outlineLvl w:val="9"/>
        <w:rPr>
          <w:rFonts w:hint="eastAsia" w:ascii="宋体" w:hAnsi="宋体" w:eastAsia="宋体" w:cs="宋体"/>
          <w:b/>
          <w:color w:val="auto"/>
          <w:sz w:val="44"/>
          <w:szCs w:val="44"/>
        </w:rPr>
      </w:pPr>
      <w:r>
        <w:rPr>
          <w:rFonts w:hint="eastAsia" w:ascii="宋体" w:hAnsi="宋体" w:eastAsia="宋体" w:cs="宋体"/>
          <w:b/>
          <w:color w:val="auto"/>
          <w:sz w:val="44"/>
          <w:szCs w:val="44"/>
        </w:rPr>
        <w:t>采购项目</w:t>
      </w:r>
      <w:bookmarkEnd w:id="335"/>
      <w:bookmarkEnd w:id="336"/>
      <w:bookmarkEnd w:id="337"/>
      <w:bookmarkStart w:id="338" w:name="_Toc25378_WPSOffice_Level2"/>
      <w:bookmarkStart w:id="339" w:name="_Toc23622_WPSOffice_Level2"/>
    </w:p>
    <w:bookmarkEnd w:id="338"/>
    <w:bookmarkEnd w:id="339"/>
    <w:p w14:paraId="19AAE313">
      <w:pPr>
        <w:wordWrap/>
        <w:spacing w:before="157" w:beforeLines="50" w:line="560" w:lineRule="exact"/>
        <w:jc w:val="center"/>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37A38016">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40" w:name="_Toc28825_WPSOffice_Level2"/>
      <w:bookmarkStart w:id="341" w:name="_Toc13231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资格审查部分</w:t>
      </w:r>
      <w:r>
        <w:rPr>
          <w:rFonts w:hint="eastAsia" w:ascii="宋体" w:hAnsi="宋体" w:eastAsia="宋体" w:cs="宋体"/>
          <w:b/>
          <w:bCs/>
          <w:color w:val="auto"/>
          <w:sz w:val="32"/>
          <w:szCs w:val="32"/>
        </w:rPr>
        <w:t>）</w:t>
      </w:r>
    </w:p>
    <w:p w14:paraId="6C8E91E5">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p>
    <w:bookmarkEnd w:id="340"/>
    <w:bookmarkEnd w:id="341"/>
    <w:p w14:paraId="4475ECB8">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5D3F6E57">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4C09FBB2">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791B9BB5">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42" w:name="_Toc19521_WPSOffice_Level2"/>
      <w:bookmarkStart w:id="343" w:name="_Toc29803_WPSOffice_Level2"/>
      <w:r>
        <w:rPr>
          <w:rFonts w:hint="eastAsia" w:ascii="宋体" w:hAnsi="宋体" w:eastAsia="宋体" w:cs="宋体"/>
          <w:b/>
          <w:bCs/>
          <w:color w:val="auto"/>
          <w:sz w:val="32"/>
          <w:szCs w:val="32"/>
        </w:rPr>
        <w:t>采购项目编号:</w:t>
      </w:r>
      <w:bookmarkEnd w:id="342"/>
      <w:bookmarkEnd w:id="343"/>
    </w:p>
    <w:p w14:paraId="67CE768D">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344" w:name="_Toc14786_WPSOffice_Level2"/>
      <w:bookmarkStart w:id="345" w:name="_Toc18713_WPSOffice_Level2"/>
      <w:r>
        <w:rPr>
          <w:rFonts w:hint="eastAsia" w:ascii="宋体" w:hAnsi="宋体" w:eastAsia="宋体" w:cs="宋体"/>
          <w:b/>
          <w:bCs/>
          <w:color w:val="auto"/>
          <w:sz w:val="32"/>
          <w:szCs w:val="32"/>
        </w:rPr>
        <w:t>采购项目名称:</w:t>
      </w:r>
      <w:bookmarkEnd w:id="344"/>
      <w:bookmarkEnd w:id="345"/>
    </w:p>
    <w:p w14:paraId="1A804ACF">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46" w:name="_Toc22044_WPSOffice_Level2"/>
      <w:bookmarkStart w:id="347" w:name="_Toc14087_WPSOffice_Level2"/>
      <w:r>
        <w:rPr>
          <w:rFonts w:hint="eastAsia" w:ascii="宋体" w:hAnsi="宋体" w:eastAsia="宋体" w:cs="宋体"/>
          <w:b/>
          <w:bCs/>
          <w:color w:val="auto"/>
          <w:sz w:val="32"/>
          <w:szCs w:val="32"/>
          <w:lang w:eastAsia="zh-CN"/>
        </w:rPr>
        <w:t>供应商名称：</w:t>
      </w:r>
      <w:bookmarkEnd w:id="346"/>
      <w:bookmarkEnd w:id="347"/>
    </w:p>
    <w:p w14:paraId="392AE0E1">
      <w:pPr>
        <w:wordWrap/>
        <w:spacing w:before="157" w:beforeLines="50" w:line="560" w:lineRule="exact"/>
        <w:jc w:val="center"/>
        <w:outlineLvl w:val="9"/>
        <w:rPr>
          <w:rFonts w:hint="eastAsia" w:ascii="宋体" w:hAnsi="宋体" w:eastAsia="宋体" w:cs="宋体"/>
          <w:b/>
          <w:bCs/>
          <w:color w:val="auto"/>
          <w:sz w:val="32"/>
          <w:szCs w:val="32"/>
        </w:rPr>
      </w:pPr>
    </w:p>
    <w:p w14:paraId="1C5AFBCB">
      <w:pPr>
        <w:wordWrap/>
        <w:spacing w:before="157" w:beforeLines="50" w:line="560" w:lineRule="exact"/>
        <w:jc w:val="center"/>
        <w:outlineLvl w:val="9"/>
        <w:rPr>
          <w:rFonts w:hint="eastAsia" w:ascii="宋体" w:hAnsi="宋体" w:eastAsia="宋体" w:cs="宋体"/>
          <w:b/>
          <w:color w:val="auto"/>
          <w:sz w:val="32"/>
          <w:szCs w:val="32"/>
        </w:rPr>
      </w:pPr>
      <w:bookmarkStart w:id="348" w:name="_Toc1142_WPSOffice_Level3"/>
      <w:r>
        <w:rPr>
          <w:rFonts w:hint="eastAsia" w:ascii="宋体" w:hAnsi="宋体" w:eastAsia="宋体" w:cs="宋体"/>
          <w:b/>
          <w:color w:val="auto"/>
          <w:sz w:val="32"/>
          <w:szCs w:val="32"/>
        </w:rPr>
        <w:t>年  月  日</w:t>
      </w:r>
      <w:bookmarkEnd w:id="348"/>
    </w:p>
    <w:p w14:paraId="5AC05E2C">
      <w:pPr>
        <w:widowControl/>
        <w:wordWrap/>
        <w:snapToGrid w:val="0"/>
        <w:spacing w:before="157" w:beforeLines="50" w:line="560" w:lineRule="exact"/>
        <w:jc w:val="left"/>
        <w:outlineLvl w:val="9"/>
        <w:rPr>
          <w:rFonts w:hint="eastAsia" w:ascii="宋体" w:hAnsi="宋体" w:eastAsia="宋体" w:cs="宋体"/>
          <w:b/>
          <w:color w:val="auto"/>
          <w:sz w:val="28"/>
          <w:szCs w:val="28"/>
        </w:rPr>
      </w:pPr>
    </w:p>
    <w:p w14:paraId="25B4C89B">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49" w:name="_Toc27597"/>
      <w:bookmarkStart w:id="350" w:name="_Toc27578"/>
      <w:bookmarkStart w:id="351" w:name="_Toc19203"/>
      <w:bookmarkStart w:id="352" w:name="_Toc32479_WPSOffice_Level3"/>
    </w:p>
    <w:p w14:paraId="13E60116">
      <w:pPr>
        <w:keepNext w:val="0"/>
        <w:keepLines w:val="0"/>
        <w:pageBreakBefore w:val="0"/>
        <w:widowControl/>
        <w:kinsoku/>
        <w:wordWrap/>
        <w:overflowPunct/>
        <w:topLinePunct w:val="0"/>
        <w:autoSpaceDE/>
        <w:autoSpaceDN/>
        <w:bidi w:val="0"/>
        <w:adjustRightInd/>
        <w:snapToGrid/>
        <w:spacing w:line="360" w:lineRule="auto"/>
        <w:ind w:right="0"/>
        <w:textAlignment w:val="auto"/>
        <w:outlineLvl w:val="1"/>
        <w:rPr>
          <w:rFonts w:hint="eastAsia" w:ascii="宋体" w:hAnsi="宋体" w:eastAsia="宋体" w:cs="宋体"/>
          <w:b/>
          <w:color w:val="auto"/>
          <w:sz w:val="24"/>
          <w:szCs w:val="24"/>
        </w:rPr>
      </w:pPr>
      <w:bookmarkStart w:id="353" w:name="_Toc214"/>
      <w:r>
        <w:rPr>
          <w:rFonts w:hint="eastAsia" w:ascii="宋体" w:hAnsi="宋体" w:eastAsia="宋体" w:cs="宋体"/>
          <w:b/>
          <w:color w:val="auto"/>
          <w:sz w:val="28"/>
          <w:szCs w:val="28"/>
          <w:lang w:eastAsia="zh-CN"/>
        </w:rPr>
        <w:t>附件1：响应函</w:t>
      </w:r>
      <w:bookmarkEnd w:id="349"/>
      <w:bookmarkEnd w:id="350"/>
      <w:bookmarkEnd w:id="351"/>
      <w:bookmarkEnd w:id="352"/>
      <w:bookmarkEnd w:id="353"/>
    </w:p>
    <w:p w14:paraId="0C040B63">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color w:val="auto"/>
          <w:sz w:val="24"/>
          <w:szCs w:val="24"/>
        </w:rPr>
      </w:pPr>
      <w:bookmarkStart w:id="354" w:name="_Toc24288_WPSOffice_Level2"/>
      <w:bookmarkStart w:id="355" w:name="_Toc2259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354"/>
      <w:bookmarkEnd w:id="355"/>
    </w:p>
    <w:p w14:paraId="23DFB00C">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val="0"/>
          <w:bCs w:val="0"/>
          <w:color w:val="auto"/>
          <w:sz w:val="24"/>
          <w:szCs w:val="24"/>
        </w:rPr>
      </w:pPr>
      <w:bookmarkStart w:id="356" w:name="_Toc1686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56"/>
    </w:p>
    <w:p w14:paraId="267D831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谈判文件，经研究，法定代表人（姓名、职务）正式授权（委托代理人姓名、职务）代表供应商（供应商名称、地址）提交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3572DB2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5C5B92E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14:paraId="1D2EF1D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14:paraId="7AF7F15C">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14:paraId="0DB592D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14:paraId="2243062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w:t>
      </w:r>
    </w:p>
    <w:p w14:paraId="05E77B1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邮编：______________</w:t>
      </w:r>
    </w:p>
    <w:p w14:paraId="192965F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w:t>
      </w:r>
    </w:p>
    <w:p w14:paraId="7CF73B1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传真：______________</w:t>
      </w:r>
    </w:p>
    <w:p w14:paraId="39E6597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w:t>
      </w:r>
    </w:p>
    <w:p w14:paraId="591DE8C5">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职务：_________</w:t>
      </w:r>
    </w:p>
    <w:p w14:paraId="46FA0811">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rPr>
      </w:pPr>
    </w:p>
    <w:p w14:paraId="3227DCA6">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57" w:name="_Toc1506_WPSOffice_Level3"/>
      <w:bookmarkStart w:id="358" w:name="_Toc28112_WPSOffice_Level3"/>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bookmarkEnd w:id="357"/>
      <w:bookmarkEnd w:id="358"/>
    </w:p>
    <w:p w14:paraId="4292EA23">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59" w:name="_Toc28651_WPSOffice_Level3"/>
      <w:bookmarkStart w:id="360" w:name="_Toc6385_WPSOffice_Level3"/>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bookmarkEnd w:id="359"/>
      <w:bookmarkEnd w:id="360"/>
    </w:p>
    <w:p w14:paraId="3C84A1ED">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bookmarkStart w:id="361" w:name="_Toc13325_WPSOffice_Level3"/>
      <w:bookmarkStart w:id="362" w:name="_Toc130_WPSOffice_Level3"/>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bookmarkEnd w:id="361"/>
      <w:bookmarkEnd w:id="362"/>
    </w:p>
    <w:p w14:paraId="507F0875">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70235C8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63" w:name="_Toc12487"/>
      <w:bookmarkStart w:id="364" w:name="_Toc16050"/>
      <w:bookmarkStart w:id="365" w:name="_Toc20882_WPSOffice_Level3"/>
      <w:bookmarkStart w:id="366" w:name="_Toc3082"/>
      <w:bookmarkStart w:id="367" w:name="_Toc17887_WPSOffice_Level2"/>
      <w:bookmarkStart w:id="368" w:name="_Toc26257_WPSOffice_Level2"/>
      <w:r>
        <w:rPr>
          <w:rFonts w:hint="eastAsia" w:ascii="宋体" w:hAnsi="宋体" w:eastAsia="宋体" w:cs="宋体"/>
          <w:b/>
          <w:color w:val="auto"/>
          <w:sz w:val="28"/>
          <w:szCs w:val="28"/>
          <w:lang w:eastAsia="zh-CN"/>
        </w:rPr>
        <w:br w:type="page"/>
      </w:r>
    </w:p>
    <w:p w14:paraId="081F591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bCs/>
          <w:color w:val="auto"/>
          <w:sz w:val="28"/>
          <w:szCs w:val="28"/>
        </w:rPr>
      </w:pPr>
      <w:bookmarkStart w:id="369" w:name="_Toc23458"/>
      <w:r>
        <w:rPr>
          <w:rFonts w:hint="eastAsia" w:ascii="宋体" w:hAnsi="宋体" w:eastAsia="宋体" w:cs="宋体"/>
          <w:b/>
          <w:color w:val="auto"/>
          <w:sz w:val="28"/>
          <w:szCs w:val="28"/>
          <w:lang w:eastAsia="zh-CN"/>
        </w:rPr>
        <w:t>附件2：法定代表人证明书</w:t>
      </w:r>
      <w:bookmarkEnd w:id="363"/>
      <w:bookmarkEnd w:id="364"/>
      <w:bookmarkEnd w:id="365"/>
      <w:bookmarkEnd w:id="366"/>
      <w:bookmarkEnd w:id="367"/>
      <w:bookmarkEnd w:id="368"/>
      <w:bookmarkEnd w:id="369"/>
    </w:p>
    <w:p w14:paraId="23DF99BB">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70" w:name="_Toc6898_WPSOffice_Level2"/>
      <w:bookmarkStart w:id="371" w:name="_Toc28170_WPSOffice_Level2"/>
      <w:bookmarkStart w:id="372" w:name="_Toc32036_WPSOffice_Level1"/>
      <w:bookmarkStart w:id="373" w:name="_Toc14917_WPSOffice_Level1"/>
      <w:r>
        <w:rPr>
          <w:rFonts w:hint="eastAsia" w:ascii="宋体" w:hAnsi="宋体" w:eastAsia="宋体" w:cs="宋体"/>
          <w:b/>
          <w:color w:val="auto"/>
          <w:sz w:val="24"/>
          <w:szCs w:val="24"/>
          <w:lang w:eastAsia="zh-CN"/>
        </w:rPr>
        <w:t>法定代表人证明书</w:t>
      </w:r>
      <w:bookmarkEnd w:id="370"/>
      <w:bookmarkEnd w:id="371"/>
      <w:bookmarkEnd w:id="372"/>
      <w:bookmarkEnd w:id="373"/>
    </w:p>
    <w:p w14:paraId="6C23088C">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val="0"/>
          <w:bCs w:val="0"/>
          <w:color w:val="auto"/>
          <w:kern w:val="0"/>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00D0F88A">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465FA89E">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14:paraId="1CBB62F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14:paraId="744E012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14:paraId="4D4B04EC">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68E07FA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14:paraId="76D7A062">
      <w:pPr>
        <w:keepNext w:val="0"/>
        <w:keepLines w:val="0"/>
        <w:pageBreakBefore w:val="0"/>
        <w:kinsoku/>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color w:val="auto"/>
          <w:kern w:val="0"/>
          <w:sz w:val="24"/>
          <w:szCs w:val="24"/>
        </w:rPr>
      </w:pPr>
    </w:p>
    <w:p w14:paraId="11A20ACF">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477FB69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p>
    <w:p w14:paraId="48BA2CC9">
      <w:pPr>
        <w:keepNext w:val="0"/>
        <w:keepLines w:val="0"/>
        <w:pageBreakBefore w:val="0"/>
        <w:kinsoku/>
        <w:wordWrap/>
        <w:overflowPunct/>
        <w:topLinePunct w:val="0"/>
        <w:autoSpaceDE w:val="0"/>
        <w:autoSpaceDN w:val="0"/>
        <w:bidi w:val="0"/>
        <w:adjustRightInd/>
        <w:snapToGrid/>
        <w:spacing w:line="360" w:lineRule="auto"/>
        <w:ind w:right="0"/>
        <w:jc w:val="center"/>
        <w:outlineLvl w:val="9"/>
        <w:rPr>
          <w:rFonts w:hint="eastAsia" w:ascii="宋体" w:hAnsi="宋体" w:eastAsia="宋体" w:cs="宋体"/>
          <w:b/>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EFC2A43">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p>
    <w:p w14:paraId="34D8734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74" w:name="_Toc21545_WPSOffice_Level3"/>
      <w:bookmarkStart w:id="375" w:name="_Toc27782"/>
      <w:bookmarkStart w:id="376" w:name="_Toc18183"/>
      <w:bookmarkStart w:id="377" w:name="_Toc23035_WPSOffice_Level2"/>
      <w:bookmarkStart w:id="378" w:name="_Toc31901"/>
      <w:r>
        <w:rPr>
          <w:rFonts w:hint="eastAsia" w:ascii="宋体" w:hAnsi="宋体" w:eastAsia="宋体" w:cs="宋体"/>
          <w:b/>
          <w:color w:val="auto"/>
          <w:sz w:val="28"/>
          <w:szCs w:val="28"/>
          <w:lang w:eastAsia="zh-CN"/>
        </w:rPr>
        <w:br w:type="page"/>
      </w:r>
    </w:p>
    <w:p w14:paraId="760451CC">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79" w:name="_Toc27119"/>
      <w:r>
        <w:rPr>
          <w:rFonts w:hint="eastAsia" w:ascii="宋体" w:hAnsi="宋体" w:eastAsia="宋体" w:cs="宋体"/>
          <w:b/>
          <w:color w:val="auto"/>
          <w:sz w:val="28"/>
          <w:szCs w:val="28"/>
          <w:lang w:eastAsia="zh-CN"/>
        </w:rPr>
        <w:t>附件3：法定代表人授权书</w:t>
      </w:r>
      <w:bookmarkEnd w:id="374"/>
      <w:bookmarkEnd w:id="375"/>
      <w:bookmarkEnd w:id="376"/>
      <w:bookmarkEnd w:id="377"/>
      <w:bookmarkEnd w:id="378"/>
      <w:bookmarkEnd w:id="379"/>
    </w:p>
    <w:p w14:paraId="4FC98916">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80" w:name="_Toc5048_WPSOffice_Level2"/>
      <w:bookmarkStart w:id="381" w:name="_Toc26434_WPSOffice_Level2"/>
      <w:bookmarkStart w:id="382" w:name="_Toc1148_WPSOffice_Level3"/>
      <w:r>
        <w:rPr>
          <w:rFonts w:hint="eastAsia" w:ascii="宋体" w:hAnsi="宋体" w:eastAsia="宋体" w:cs="宋体"/>
          <w:b/>
          <w:color w:val="auto"/>
          <w:sz w:val="24"/>
          <w:szCs w:val="24"/>
          <w:lang w:eastAsia="zh-CN"/>
        </w:rPr>
        <w:t>法定代表人授权书</w:t>
      </w:r>
      <w:bookmarkEnd w:id="380"/>
      <w:bookmarkEnd w:id="381"/>
      <w:bookmarkEnd w:id="382"/>
    </w:p>
    <w:p w14:paraId="3A91C2F7">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sz w:val="24"/>
          <w:szCs w:val="24"/>
          <w:u w:val="single"/>
        </w:rPr>
      </w:pPr>
      <w:bookmarkStart w:id="383" w:name="_Toc25306_WPSOffice_Level2"/>
      <w:bookmarkStart w:id="384" w:name="_Toc16084_WPSOffice_Level2"/>
      <w:bookmarkStart w:id="385" w:name="_Toc630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83"/>
      <w:bookmarkEnd w:id="384"/>
      <w:bookmarkEnd w:id="385"/>
    </w:p>
    <w:p w14:paraId="70590C1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B6DF9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14:paraId="70AFA2C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18B803E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3A12745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14:paraId="649723B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14:paraId="16B8913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5BCBB91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B1017C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附被授权人第二代身份证双面扫描（或复印）件</w:t>
      </w:r>
    </w:p>
    <w:p w14:paraId="269BCB82">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kern w:val="0"/>
          <w:sz w:val="24"/>
          <w:szCs w:val="24"/>
        </w:rPr>
      </w:pPr>
    </w:p>
    <w:p w14:paraId="39E56DFC">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4560307C">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BD56860">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101244A">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bCs/>
          <w:color w:val="auto"/>
          <w:sz w:val="24"/>
          <w:szCs w:val="24"/>
        </w:rPr>
      </w:pPr>
    </w:p>
    <w:p w14:paraId="7FCCDA74">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86" w:name="_Toc7737_WPSOffice_Level3"/>
      <w:bookmarkStart w:id="387" w:name="_Toc23618"/>
      <w:bookmarkStart w:id="388" w:name="_Toc30919"/>
      <w:bookmarkStart w:id="389" w:name="_Toc16704"/>
      <w:bookmarkStart w:id="390" w:name="_Toc26653_WPSOffice_Level3"/>
      <w:r>
        <w:rPr>
          <w:rFonts w:hint="eastAsia" w:ascii="宋体" w:hAnsi="宋体" w:eastAsia="宋体" w:cs="宋体"/>
          <w:b/>
          <w:color w:val="auto"/>
          <w:sz w:val="28"/>
          <w:szCs w:val="28"/>
          <w:lang w:eastAsia="zh-CN"/>
        </w:rPr>
        <w:br w:type="page"/>
      </w:r>
    </w:p>
    <w:p w14:paraId="239D4F2A">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391" w:name="_Toc27688"/>
      <w:r>
        <w:rPr>
          <w:rFonts w:hint="eastAsia" w:ascii="宋体" w:hAnsi="宋体" w:eastAsia="宋体" w:cs="宋体"/>
          <w:b/>
          <w:color w:val="auto"/>
          <w:sz w:val="28"/>
          <w:szCs w:val="28"/>
          <w:lang w:eastAsia="zh-CN"/>
        </w:rPr>
        <w:t>附件4：供应商承诺函</w:t>
      </w:r>
      <w:bookmarkEnd w:id="386"/>
      <w:bookmarkEnd w:id="387"/>
      <w:bookmarkEnd w:id="388"/>
      <w:bookmarkEnd w:id="389"/>
      <w:bookmarkEnd w:id="390"/>
      <w:bookmarkEnd w:id="391"/>
    </w:p>
    <w:p w14:paraId="467D0A87">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92" w:name="_Toc27597_WPSOffice_Level3"/>
      <w:bookmarkStart w:id="393" w:name="_Toc2453_WPSOffice_Level2"/>
      <w:bookmarkStart w:id="394" w:name="_Toc17639_WPSOffice_Level2"/>
      <w:r>
        <w:rPr>
          <w:rFonts w:hint="eastAsia" w:ascii="宋体" w:hAnsi="宋体" w:eastAsia="宋体" w:cs="宋体"/>
          <w:b/>
          <w:color w:val="auto"/>
          <w:sz w:val="24"/>
          <w:szCs w:val="24"/>
          <w:lang w:eastAsia="zh-CN"/>
        </w:rPr>
        <w:t>供应商承诺函</w:t>
      </w:r>
      <w:bookmarkEnd w:id="392"/>
      <w:bookmarkEnd w:id="393"/>
      <w:bookmarkEnd w:id="394"/>
    </w:p>
    <w:p w14:paraId="646C8B71">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1B9B7C6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，并证实提交的所有资料是准确的和真实的。同时，我代表</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14:paraId="0AE0192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14:paraId="07C4933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192ECAC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14:paraId="1AACD4C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14:paraId="55EA97C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14:paraId="3B304BB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14:paraId="73AA8D51">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17A66826">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655899DA">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0DF99AC">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55E0F0D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rPr>
      </w:pPr>
    </w:p>
    <w:p w14:paraId="1CC8FC29">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bookmarkStart w:id="395" w:name="_Toc20884"/>
      <w:bookmarkStart w:id="396" w:name="_Toc6416"/>
      <w:bookmarkStart w:id="397" w:name="_Toc26773_WPSOffice_Level3"/>
      <w:bookmarkStart w:id="398" w:name="_Toc25740"/>
      <w:bookmarkStart w:id="399" w:name="_Toc653_WPSOffice_Level3"/>
      <w:r>
        <w:rPr>
          <w:rFonts w:hint="eastAsia" w:ascii="宋体" w:hAnsi="宋体" w:eastAsia="宋体" w:cs="宋体"/>
          <w:b/>
          <w:color w:val="auto"/>
          <w:sz w:val="24"/>
          <w:szCs w:val="24"/>
        </w:rPr>
        <w:br w:type="page"/>
      </w:r>
    </w:p>
    <w:p w14:paraId="6D06F478">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4"/>
          <w:szCs w:val="24"/>
        </w:rPr>
      </w:pPr>
      <w:bookmarkStart w:id="400" w:name="_Toc659"/>
      <w:r>
        <w:rPr>
          <w:rFonts w:hint="eastAsia" w:ascii="宋体" w:hAnsi="宋体" w:eastAsia="宋体" w:cs="宋体"/>
          <w:b/>
          <w:color w:val="auto"/>
          <w:sz w:val="28"/>
          <w:szCs w:val="28"/>
          <w:lang w:eastAsia="zh-CN"/>
        </w:rPr>
        <w:t>附件5：供应商诚信承诺书</w:t>
      </w:r>
      <w:bookmarkEnd w:id="395"/>
      <w:bookmarkEnd w:id="396"/>
      <w:bookmarkEnd w:id="397"/>
      <w:bookmarkEnd w:id="398"/>
      <w:bookmarkEnd w:id="399"/>
      <w:bookmarkEnd w:id="400"/>
    </w:p>
    <w:p w14:paraId="208D6082">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401" w:name="_Toc22989_WPSOffice_Level3"/>
      <w:bookmarkStart w:id="402" w:name="_Toc22537_WPSOffice_Level3"/>
      <w:r>
        <w:rPr>
          <w:rFonts w:hint="eastAsia" w:ascii="宋体" w:hAnsi="宋体" w:eastAsia="宋体" w:cs="宋体"/>
          <w:b/>
          <w:color w:val="auto"/>
          <w:sz w:val="24"/>
          <w:szCs w:val="24"/>
          <w:lang w:eastAsia="zh-CN"/>
        </w:rPr>
        <w:t>供应商诚信承诺书</w:t>
      </w:r>
      <w:bookmarkEnd w:id="401"/>
      <w:bookmarkEnd w:id="402"/>
    </w:p>
    <w:p w14:paraId="31D76380">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7C22ACB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为了诚实、客观、有序地参与采购活动，愿就以下内容作出承诺：</w:t>
      </w:r>
    </w:p>
    <w:p w14:paraId="75CC2C73">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、自觉遵守各项法律、法规、规章、制度以及社会公德，维护廉洁环境，与同场竞争的供应商平等参加采购活动。</w:t>
      </w:r>
    </w:p>
    <w:p w14:paraId="7684DDA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w:t>
      </w:r>
      <w:r>
        <w:rPr>
          <w:rFonts w:hint="eastAsia" w:ascii="宋体" w:hAnsi="宋体" w:eastAsia="宋体" w:cs="宋体"/>
          <w:b w:val="0"/>
          <w:bCs w:val="0"/>
          <w:color w:val="auto"/>
          <w:sz w:val="24"/>
          <w:szCs w:val="24"/>
          <w:lang w:eastAsia="zh-CN"/>
        </w:rPr>
        <w:t>青海鼎钊招标代理有限公司</w:t>
      </w:r>
      <w:r>
        <w:rPr>
          <w:rFonts w:hint="eastAsia" w:ascii="宋体" w:hAnsi="宋体" w:eastAsia="宋体" w:cs="宋体"/>
          <w:b w:val="0"/>
          <w:bCs w:val="0"/>
          <w:color w:val="auto"/>
          <w:sz w:val="24"/>
          <w:szCs w:val="24"/>
        </w:rPr>
        <w:t>组织的采购活动时，严格按照谈判文件的规定和要求提供所需的相关材料，并对所提供的各类资料的真实性负责，不虚假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14:paraId="6D74EFA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、尊重参与采购活动各相关方的合法行为，接受采购活动依法形成的意见、结果。</w:t>
      </w:r>
    </w:p>
    <w:p w14:paraId="795C2BF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、依法参加采购活动，不围标、串标，维护市场秩序，不提供“三无”产品、以次充好。</w:t>
      </w:r>
    </w:p>
    <w:p w14:paraId="1B71769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章和法定代表人签名）反映情况，不恶意中伤、无事生非，以和谐、平等的心态参加采购活动。</w:t>
      </w:r>
    </w:p>
    <w:p w14:paraId="720A6E4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14:paraId="46F8F66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14:paraId="2C4A283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的组成部分。</w:t>
      </w:r>
    </w:p>
    <w:p w14:paraId="4596703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p>
    <w:p w14:paraId="4EB5AD15">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609C66E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38CBD856">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724DE08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color w:val="auto"/>
          <w:sz w:val="24"/>
          <w:szCs w:val="24"/>
        </w:rPr>
      </w:pPr>
    </w:p>
    <w:p w14:paraId="26A6969D">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03" w:name="_Toc19930_WPSOffice_Level3"/>
      <w:bookmarkStart w:id="404" w:name="_Toc25242"/>
      <w:bookmarkStart w:id="405" w:name="_Toc6033"/>
      <w:bookmarkStart w:id="406" w:name="_Toc8368_WPSOffice_Level3"/>
      <w:bookmarkStart w:id="407" w:name="_Toc16847"/>
      <w:r>
        <w:rPr>
          <w:rFonts w:hint="eastAsia" w:ascii="宋体" w:hAnsi="宋体" w:eastAsia="宋体" w:cs="宋体"/>
          <w:b/>
          <w:color w:val="auto"/>
          <w:sz w:val="28"/>
          <w:szCs w:val="28"/>
          <w:lang w:eastAsia="zh-CN"/>
        </w:rPr>
        <w:br w:type="page"/>
      </w:r>
    </w:p>
    <w:p w14:paraId="5CE0FE94">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408" w:name="_Toc15042"/>
      <w:r>
        <w:rPr>
          <w:rFonts w:hint="eastAsia" w:ascii="宋体" w:hAnsi="宋体" w:eastAsia="宋体" w:cs="宋体"/>
          <w:b/>
          <w:color w:val="auto"/>
          <w:sz w:val="28"/>
          <w:szCs w:val="28"/>
          <w:lang w:eastAsia="zh-CN"/>
        </w:rPr>
        <w:t>附件6：供应商资格证明文件</w:t>
      </w:r>
      <w:bookmarkEnd w:id="403"/>
      <w:bookmarkEnd w:id="404"/>
      <w:bookmarkEnd w:id="405"/>
      <w:bookmarkEnd w:id="406"/>
      <w:bookmarkEnd w:id="407"/>
      <w:bookmarkEnd w:id="408"/>
    </w:p>
    <w:p w14:paraId="55B5BAC0">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color w:val="auto"/>
          <w:sz w:val="24"/>
          <w:szCs w:val="24"/>
        </w:rPr>
      </w:pPr>
      <w:bookmarkStart w:id="409" w:name="_Toc9360_WPSOffice_Level3"/>
      <w:bookmarkStart w:id="410" w:name="_Toc23997_WPSOffice_Level3"/>
      <w:r>
        <w:rPr>
          <w:rFonts w:hint="eastAsia" w:ascii="宋体" w:hAnsi="宋体" w:eastAsia="宋体" w:cs="宋体"/>
          <w:b/>
          <w:color w:val="auto"/>
          <w:sz w:val="24"/>
          <w:szCs w:val="24"/>
          <w:lang w:eastAsia="zh-CN"/>
        </w:rPr>
        <w:t>供应商资格证明文件</w:t>
      </w:r>
      <w:bookmarkEnd w:id="409"/>
      <w:bookmarkEnd w:id="410"/>
    </w:p>
    <w:p w14:paraId="64F2F51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14:paraId="3D58F6AC">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A7877A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14:paraId="3F0D94B8">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3175B007">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11" w:name="_Toc7499_WPSOffice_Level3"/>
      <w:bookmarkStart w:id="412" w:name="_Toc6573"/>
      <w:bookmarkStart w:id="413" w:name="_Toc29082_WPSOffice_Level3"/>
      <w:bookmarkStart w:id="414" w:name="_Toc12925"/>
      <w:bookmarkStart w:id="415" w:name="_Toc5898"/>
      <w:r>
        <w:rPr>
          <w:rFonts w:hint="eastAsia" w:ascii="宋体" w:hAnsi="宋体" w:eastAsia="宋体" w:cs="宋体"/>
          <w:b/>
          <w:color w:val="auto"/>
          <w:sz w:val="28"/>
          <w:szCs w:val="28"/>
          <w:lang w:eastAsia="zh-CN"/>
        </w:rPr>
        <w:br w:type="page"/>
      </w:r>
    </w:p>
    <w:p w14:paraId="5574727C">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416" w:name="_Toc26577"/>
      <w:r>
        <w:rPr>
          <w:rFonts w:hint="eastAsia" w:ascii="宋体" w:hAnsi="宋体" w:eastAsia="宋体" w:cs="宋体"/>
          <w:b/>
          <w:color w:val="auto"/>
          <w:sz w:val="28"/>
          <w:szCs w:val="28"/>
          <w:lang w:eastAsia="zh-CN"/>
        </w:rPr>
        <w:t>附件7：财务状况、缴纳税收和社会保障资金证明</w:t>
      </w:r>
      <w:bookmarkEnd w:id="411"/>
      <w:bookmarkEnd w:id="412"/>
      <w:bookmarkEnd w:id="413"/>
      <w:bookmarkEnd w:id="414"/>
      <w:bookmarkEnd w:id="415"/>
      <w:bookmarkEnd w:id="416"/>
    </w:p>
    <w:p w14:paraId="5DB0FF62">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417" w:name="_Toc2355_WPSOffice_Level3"/>
      <w:bookmarkStart w:id="418" w:name="_Toc22184_WPSOffice_Level3"/>
      <w:r>
        <w:rPr>
          <w:rFonts w:hint="eastAsia" w:ascii="宋体" w:hAnsi="宋体" w:eastAsia="宋体" w:cs="宋体"/>
          <w:b/>
          <w:color w:val="auto"/>
          <w:sz w:val="24"/>
          <w:szCs w:val="24"/>
          <w:lang w:eastAsia="zh-CN"/>
        </w:rPr>
        <w:t>财务状况、缴纳税收和社会保障资金证明</w:t>
      </w:r>
      <w:bookmarkEnd w:id="417"/>
      <w:bookmarkEnd w:id="418"/>
    </w:p>
    <w:p w14:paraId="6AF3D775">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提供以下相关材料</w:t>
      </w:r>
      <w:r>
        <w:rPr>
          <w:rFonts w:hint="eastAsia" w:ascii="宋体" w:hAnsi="宋体" w:eastAsia="宋体" w:cs="宋体"/>
          <w:color w:val="auto"/>
          <w:sz w:val="24"/>
          <w:szCs w:val="24"/>
          <w:lang w:eastAsia="zh-CN"/>
        </w:rPr>
        <w:t>：</w:t>
      </w:r>
    </w:p>
    <w:p w14:paraId="560F1741">
      <w:pPr>
        <w:keepNext w:val="0"/>
        <w:keepLines w:val="0"/>
        <w:pageBreakBefore w:val="0"/>
        <w:kinsoku/>
        <w:wordWrap/>
        <w:overflowPunct/>
        <w:topLinePunct w:val="0"/>
        <w:autoSpaceDE w:val="0"/>
        <w:autoSpaceDN w:val="0"/>
        <w:bidi w:val="0"/>
        <w:adjustRightInd/>
        <w:snapToGrid/>
        <w:spacing w:line="360" w:lineRule="auto"/>
        <w:ind w:right="0" w:firstLine="48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供应商是法人的，提供20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年度经审计的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财务状况报告，包括资产负债表、利润表、现金流量表及其附注</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，或其基本开户银行</w:t>
      </w:r>
      <w:r>
        <w:rPr>
          <w:rFonts w:hint="eastAsia" w:ascii="宋体" w:hAnsi="宋体" w:eastAsia="宋体" w:cs="宋体"/>
          <w:color w:val="auto"/>
          <w:sz w:val="24"/>
          <w:szCs w:val="24"/>
          <w:u w:val="none"/>
          <w:lang w:val="en-US" w:eastAsia="zh-CN"/>
        </w:rPr>
        <w:t>近三个月内</w:t>
      </w:r>
      <w:r>
        <w:rPr>
          <w:rFonts w:hint="eastAsia" w:ascii="宋体" w:hAnsi="宋体" w:eastAsia="宋体" w:cs="宋体"/>
          <w:color w:val="auto"/>
          <w:sz w:val="24"/>
          <w:szCs w:val="24"/>
        </w:rPr>
        <w:t>出具的资信证明；供应商是其他组织和自然人，没有经审计的财务报告，可以提供基本开户银行出具的资信证明。</w:t>
      </w:r>
    </w:p>
    <w:p w14:paraId="4455057E">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个月</w:t>
      </w:r>
      <w:r>
        <w:rPr>
          <w:rFonts w:hint="eastAsia" w:ascii="宋体" w:hAnsi="宋体" w:eastAsia="宋体" w:cs="宋体"/>
          <w:color w:val="auto"/>
          <w:sz w:val="24"/>
          <w:szCs w:val="24"/>
          <w:lang w:eastAsia="zh-CN"/>
        </w:rPr>
        <w:t>内</w:t>
      </w:r>
      <w:r>
        <w:rPr>
          <w:rFonts w:hint="eastAsia" w:ascii="宋体" w:hAnsi="宋体" w:eastAsia="宋体" w:cs="宋体"/>
          <w:color w:val="auto"/>
          <w:sz w:val="24"/>
          <w:szCs w:val="24"/>
          <w:lang w:val="en-US" w:eastAsia="zh-CN"/>
        </w:rPr>
        <w:t>任意一个月的</w:t>
      </w:r>
      <w:r>
        <w:rPr>
          <w:rFonts w:hint="eastAsia" w:ascii="宋体" w:hAnsi="宋体" w:eastAsia="宋体" w:cs="宋体"/>
          <w:color w:val="auto"/>
          <w:sz w:val="24"/>
          <w:szCs w:val="24"/>
        </w:rPr>
        <w:t>依法缴纳税收和社会保障资金记录的证明材料</w:t>
      </w:r>
      <w:r>
        <w:rPr>
          <w:rFonts w:hint="eastAsia" w:ascii="宋体" w:hAnsi="宋体" w:eastAsia="宋体" w:cs="宋体"/>
          <w:color w:val="auto"/>
          <w:sz w:val="24"/>
          <w:szCs w:val="24"/>
          <w:lang w:eastAsia="zh-CN"/>
        </w:rPr>
        <w:t>，或相关行政机关出具无欠缴应纳税款或社会保障资金的证明材料</w:t>
      </w:r>
      <w:r>
        <w:rPr>
          <w:rFonts w:hint="eastAsia" w:ascii="宋体" w:hAnsi="宋体" w:eastAsia="宋体" w:cs="宋体"/>
          <w:color w:val="auto"/>
          <w:sz w:val="24"/>
          <w:szCs w:val="24"/>
        </w:rPr>
        <w:t>。依法免税或不需要缴纳社会保障资金的供应商，应提供相应文件证明其依法免税或不需要缴纳社会保障资金。</w:t>
      </w:r>
    </w:p>
    <w:p w14:paraId="400C6F2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color w:val="auto"/>
          <w:sz w:val="24"/>
          <w:szCs w:val="24"/>
        </w:rPr>
      </w:pPr>
    </w:p>
    <w:p w14:paraId="4E89A7A8">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19" w:name="_Toc21984"/>
      <w:bookmarkStart w:id="420" w:name="_Toc16098"/>
      <w:bookmarkStart w:id="421" w:name="_Toc17387_WPSOffice_Level3"/>
      <w:bookmarkStart w:id="422" w:name="_Toc13266"/>
      <w:bookmarkStart w:id="423" w:name="_Toc22959_WPSOffice_Level3"/>
      <w:r>
        <w:rPr>
          <w:rFonts w:hint="eastAsia" w:ascii="宋体" w:hAnsi="宋体" w:eastAsia="宋体" w:cs="宋体"/>
          <w:b/>
          <w:color w:val="auto"/>
          <w:sz w:val="28"/>
          <w:szCs w:val="28"/>
          <w:lang w:eastAsia="zh-CN"/>
        </w:rPr>
        <w:br w:type="page"/>
      </w:r>
    </w:p>
    <w:p w14:paraId="13081907">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424" w:name="_Toc18432"/>
      <w:r>
        <w:rPr>
          <w:rFonts w:hint="eastAsia" w:ascii="宋体" w:hAnsi="宋体" w:eastAsia="宋体" w:cs="宋体"/>
          <w:b/>
          <w:color w:val="auto"/>
          <w:sz w:val="28"/>
          <w:szCs w:val="28"/>
          <w:lang w:eastAsia="zh-CN"/>
        </w:rPr>
        <w:t>附件8：</w:t>
      </w:r>
      <w:bookmarkEnd w:id="419"/>
      <w:r>
        <w:rPr>
          <w:rFonts w:hint="eastAsia" w:ascii="宋体" w:hAnsi="宋体" w:eastAsia="宋体" w:cs="宋体"/>
          <w:b/>
          <w:color w:val="auto"/>
          <w:sz w:val="28"/>
          <w:szCs w:val="28"/>
          <w:lang w:eastAsia="zh-CN"/>
        </w:rPr>
        <w:t>无重大违法记录声明</w:t>
      </w:r>
      <w:bookmarkEnd w:id="420"/>
      <w:bookmarkEnd w:id="421"/>
      <w:bookmarkEnd w:id="424"/>
    </w:p>
    <w:p w14:paraId="793F21B8">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sz w:val="24"/>
          <w:szCs w:val="24"/>
        </w:rPr>
      </w:pPr>
      <w:bookmarkStart w:id="425" w:name="_Toc25610_WPSOffice_Level3"/>
      <w:r>
        <w:rPr>
          <w:rFonts w:hint="eastAsia" w:ascii="宋体" w:hAnsi="宋体" w:eastAsia="宋体" w:cs="宋体"/>
          <w:b/>
          <w:color w:val="auto"/>
          <w:sz w:val="24"/>
          <w:szCs w:val="24"/>
          <w:lang w:val="zh-CN" w:eastAsia="zh-CN"/>
        </w:rPr>
        <w:t>无重大违法记录声明</w:t>
      </w:r>
      <w:bookmarkEnd w:id="425"/>
    </w:p>
    <w:p w14:paraId="272C784C">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4A1DB37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我单位参加本次采购项目活动前三年内，在经营活动中无重大违法活动记录</w:t>
      </w:r>
      <w:r>
        <w:rPr>
          <w:rFonts w:hint="eastAsia" w:ascii="宋体" w:hAnsi="宋体" w:eastAsia="宋体" w:cs="宋体"/>
          <w:color w:val="auto"/>
          <w:sz w:val="24"/>
          <w:szCs w:val="24"/>
          <w:shd w:val="clear" w:color="auto" w:fill="FFFFFF"/>
        </w:rPr>
        <w:t>。我方对此声明负全部法律责任。</w:t>
      </w:r>
    </w:p>
    <w:p w14:paraId="582CAB7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75EE86B7">
      <w:pPr>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color w:val="auto"/>
          <w:kern w:val="0"/>
          <w:sz w:val="24"/>
          <w:szCs w:val="24"/>
          <w:lang w:val="zh-CN"/>
        </w:rPr>
      </w:pPr>
    </w:p>
    <w:p w14:paraId="4CD980DA">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7F20C415">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155BB2F3">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1873FC4A">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72519AD8">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A10C49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rPr>
      </w:pPr>
    </w:p>
    <w:p w14:paraId="70E80E35">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lang w:eastAsia="zh-CN"/>
        </w:rPr>
      </w:pPr>
      <w:bookmarkStart w:id="426" w:name="_Toc132_WPSOffice_Level3"/>
      <w:bookmarkStart w:id="427" w:name="_Toc24810"/>
      <w:r>
        <w:rPr>
          <w:rFonts w:hint="eastAsia" w:ascii="宋体" w:hAnsi="宋体" w:eastAsia="宋体" w:cs="宋体"/>
          <w:b/>
          <w:color w:val="auto"/>
          <w:sz w:val="24"/>
          <w:szCs w:val="24"/>
          <w:lang w:eastAsia="zh-CN"/>
        </w:rPr>
        <w:br w:type="page"/>
      </w:r>
    </w:p>
    <w:p w14:paraId="2868C660">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color w:val="auto"/>
          <w:sz w:val="24"/>
          <w:szCs w:val="24"/>
          <w:lang w:val="zh-CN"/>
        </w:rPr>
      </w:pPr>
      <w:bookmarkStart w:id="428" w:name="_Toc30928"/>
      <w:r>
        <w:rPr>
          <w:rFonts w:hint="eastAsia" w:ascii="宋体" w:hAnsi="宋体" w:eastAsia="宋体" w:cs="宋体"/>
          <w:b/>
          <w:bCs w:val="0"/>
          <w:color w:val="auto"/>
          <w:kern w:val="2"/>
          <w:sz w:val="28"/>
          <w:szCs w:val="28"/>
          <w:lang w:val="en-US" w:eastAsia="zh-CN" w:bidi="ar-SA"/>
        </w:rPr>
        <w:t>附件9：谈判</w:t>
      </w:r>
      <w:r>
        <w:rPr>
          <w:rFonts w:hint="eastAsia" w:ascii="宋体" w:hAnsi="宋体" w:eastAsia="宋体" w:cs="宋体"/>
          <w:b/>
          <w:bCs w:val="0"/>
          <w:color w:val="auto"/>
          <w:kern w:val="2"/>
          <w:sz w:val="28"/>
          <w:szCs w:val="28"/>
          <w:lang w:val="zh-CN" w:eastAsia="zh-CN" w:bidi="ar-SA"/>
        </w:rPr>
        <w:t>保证金证明</w:t>
      </w:r>
      <w:bookmarkEnd w:id="422"/>
      <w:bookmarkEnd w:id="423"/>
      <w:bookmarkEnd w:id="426"/>
      <w:bookmarkEnd w:id="427"/>
      <w:bookmarkEnd w:id="428"/>
    </w:p>
    <w:p w14:paraId="102BCB69">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kern w:val="0"/>
          <w:sz w:val="24"/>
          <w:szCs w:val="24"/>
          <w:lang w:val="zh-CN"/>
        </w:rPr>
      </w:pPr>
      <w:bookmarkStart w:id="429" w:name="_Toc27502_WPSOffice_Level3"/>
      <w:r>
        <w:rPr>
          <w:rFonts w:hint="eastAsia" w:ascii="宋体" w:hAnsi="宋体" w:eastAsia="宋体" w:cs="宋体"/>
          <w:b/>
          <w:color w:val="auto"/>
          <w:sz w:val="24"/>
          <w:szCs w:val="24"/>
          <w:lang w:val="zh-CN" w:eastAsia="zh-CN"/>
        </w:rPr>
        <w:t>谈判保证金证明</w:t>
      </w:r>
      <w:bookmarkEnd w:id="429"/>
    </w:p>
    <w:p w14:paraId="7434D3C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outlineLvl w:val="9"/>
        <w:rPr>
          <w:rFonts w:hint="eastAsia" w:ascii="宋体" w:hAnsi="宋体" w:eastAsia="宋体" w:cs="宋体"/>
          <w:b/>
          <w:bCs/>
          <w:color w:val="auto"/>
          <w:kern w:val="0"/>
          <w:sz w:val="24"/>
          <w:szCs w:val="24"/>
          <w:lang w:val="zh-CN" w:eastAsia="zh-CN"/>
        </w:rPr>
      </w:pPr>
      <w:bookmarkStart w:id="430" w:name="_Toc21234_WPSOffice_Level2"/>
      <w:bookmarkStart w:id="431" w:name="_Toc1388_WPSOffice_Level2"/>
      <w:bookmarkStart w:id="432" w:name="_Toc12243_WPSOffice_Level2"/>
      <w:r>
        <w:rPr>
          <w:rFonts w:hint="eastAsia" w:ascii="宋体" w:hAnsi="宋体" w:eastAsia="宋体" w:cs="宋体"/>
          <w:b/>
          <w:bCs/>
          <w:color w:val="auto"/>
          <w:kern w:val="0"/>
          <w:sz w:val="24"/>
          <w:szCs w:val="24"/>
          <w:lang w:val="zh-CN"/>
        </w:rPr>
        <w:t>致：</w:t>
      </w:r>
      <w:bookmarkEnd w:id="430"/>
      <w:bookmarkEnd w:id="431"/>
      <w:bookmarkEnd w:id="432"/>
      <w:r>
        <w:rPr>
          <w:rFonts w:hint="eastAsia" w:ascii="宋体" w:hAnsi="宋体" w:eastAsia="宋体" w:cs="宋体"/>
          <w:b/>
          <w:bCs/>
          <w:color w:val="auto"/>
          <w:kern w:val="0"/>
          <w:sz w:val="24"/>
          <w:szCs w:val="24"/>
          <w:u w:val="none"/>
          <w:lang w:val="en-US" w:eastAsia="zh-CN"/>
        </w:rPr>
        <w:t>青海鼎钊招标代理有限公司</w:t>
      </w:r>
    </w:p>
    <w:p w14:paraId="774ECA96">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14:paraId="0B1E6EC3">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保证金交款证明复印件（加盖公章）</w:t>
      </w:r>
    </w:p>
    <w:p w14:paraId="6627D772">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682118D7">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14:paraId="783909C4">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14:paraId="54E0B1EB">
      <w:pPr>
        <w:keepNext w:val="0"/>
        <w:keepLines w:val="0"/>
        <w:pageBreakBefore w:val="0"/>
        <w:widowControl w:val="0"/>
        <w:kinsoku/>
        <w:wordWrap/>
        <w:overflowPunct/>
        <w:topLinePunct w:val="0"/>
        <w:autoSpaceDE w:val="0"/>
        <w:autoSpaceDN w:val="0"/>
        <w:bidi w:val="0"/>
        <w:adjustRightInd/>
        <w:snapToGrid/>
        <w:spacing w:line="360" w:lineRule="auto"/>
        <w:ind w:right="0" w:firstLine="36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14:paraId="24FD53A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outlineLvl w:val="9"/>
        <w:rPr>
          <w:rFonts w:hint="eastAsia" w:ascii="宋体" w:hAnsi="宋体" w:eastAsia="宋体" w:cs="宋体"/>
          <w:color w:val="auto"/>
          <w:kern w:val="0"/>
          <w:sz w:val="24"/>
          <w:szCs w:val="24"/>
          <w:lang w:val="zh-CN"/>
        </w:rPr>
      </w:pPr>
    </w:p>
    <w:p w14:paraId="4D6C9D25">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600212D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32DFD479">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6A5C13DC">
      <w:pPr>
        <w:keepNext w:val="0"/>
        <w:keepLines w:val="0"/>
        <w:pageBreakBefore w:val="0"/>
        <w:kinsoku/>
        <w:wordWrap/>
        <w:overflowPunct/>
        <w:topLinePunct w:val="0"/>
        <w:autoSpaceDE w:val="0"/>
        <w:autoSpaceDN w:val="0"/>
        <w:bidi w:val="0"/>
        <w:adjustRightInd/>
        <w:snapToGrid/>
        <w:spacing w:line="360" w:lineRule="auto"/>
        <w:ind w:right="0"/>
        <w:outlineLvl w:val="9"/>
        <w:rPr>
          <w:rFonts w:hint="eastAsia" w:ascii="宋体" w:hAnsi="宋体" w:eastAsia="宋体" w:cs="宋体"/>
          <w:b/>
          <w:bCs/>
          <w:color w:val="auto"/>
          <w:kern w:val="0"/>
          <w:lang w:val="zh-CN"/>
        </w:rPr>
      </w:pPr>
    </w:p>
    <w:p w14:paraId="14A73FCC">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rPr>
      </w:pPr>
      <w:r>
        <w:rPr>
          <w:rFonts w:hint="eastAsia" w:ascii="宋体" w:hAnsi="宋体" w:eastAsia="宋体" w:cs="宋体"/>
          <w:color w:val="auto"/>
          <w:kern w:val="0"/>
          <w:lang w:val="zh-CN"/>
        </w:rPr>
        <w:br w:type="page"/>
      </w:r>
      <w:bookmarkStart w:id="433" w:name="_Toc24560_WPSOffice_Level2"/>
      <w:bookmarkStart w:id="434" w:name="_Toc20688_WPSOffice_Level2"/>
      <w:r>
        <w:rPr>
          <w:rFonts w:hint="eastAsia" w:ascii="宋体" w:hAnsi="宋体" w:eastAsia="宋体" w:cs="宋体"/>
          <w:b/>
          <w:color w:val="auto"/>
          <w:sz w:val="44"/>
          <w:szCs w:val="44"/>
        </w:rPr>
        <w:t>采购项目</w:t>
      </w:r>
      <w:bookmarkEnd w:id="433"/>
      <w:bookmarkEnd w:id="434"/>
    </w:p>
    <w:p w14:paraId="346035C2">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422C996F">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35" w:name="_Toc5068_WPSOffice_Level2"/>
      <w:bookmarkStart w:id="436" w:name="_Toc24224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35"/>
      <w:bookmarkEnd w:id="436"/>
    </w:p>
    <w:p w14:paraId="43EAEABD">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39BD57D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30A9D6E">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7E2E9B56">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437" w:name="_Toc14028_WPSOffice_Level2"/>
      <w:bookmarkStart w:id="438" w:name="_Toc16258_WPSOffice_Level2"/>
      <w:r>
        <w:rPr>
          <w:rFonts w:hint="eastAsia" w:ascii="宋体" w:hAnsi="宋体" w:eastAsia="宋体" w:cs="宋体"/>
          <w:b/>
          <w:bCs/>
          <w:color w:val="auto"/>
          <w:sz w:val="32"/>
          <w:szCs w:val="32"/>
        </w:rPr>
        <w:t>采购项目编号:</w:t>
      </w:r>
      <w:bookmarkEnd w:id="437"/>
      <w:bookmarkEnd w:id="438"/>
    </w:p>
    <w:p w14:paraId="7694149A">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439" w:name="_Toc25982_WPSOffice_Level2"/>
      <w:bookmarkStart w:id="440" w:name="_Toc173_WPSOffice_Level2"/>
      <w:r>
        <w:rPr>
          <w:rFonts w:hint="eastAsia" w:ascii="宋体" w:hAnsi="宋体" w:eastAsia="宋体" w:cs="宋体"/>
          <w:b/>
          <w:bCs/>
          <w:color w:val="auto"/>
          <w:sz w:val="32"/>
          <w:szCs w:val="32"/>
        </w:rPr>
        <w:t>采购项目名称:</w:t>
      </w:r>
      <w:bookmarkEnd w:id="439"/>
      <w:bookmarkEnd w:id="440"/>
    </w:p>
    <w:p w14:paraId="09AC99E8">
      <w:pPr>
        <w:wordWrap/>
        <w:spacing w:before="157" w:beforeLines="50" w:line="560" w:lineRule="exact"/>
        <w:ind w:left="2530" w:hanging="2249" w:hangingChars="700"/>
        <w:jc w:val="left"/>
        <w:outlineLvl w:val="9"/>
        <w:rPr>
          <w:rFonts w:hint="eastAsia" w:ascii="宋体" w:hAnsi="宋体" w:eastAsia="宋体" w:cs="宋体"/>
          <w:b/>
          <w:bCs/>
          <w:color w:val="auto"/>
          <w:sz w:val="32"/>
          <w:szCs w:val="32"/>
          <w:lang w:eastAsia="zh-CN"/>
        </w:rPr>
      </w:pPr>
      <w:bookmarkStart w:id="441" w:name="_Toc24014_WPSOffice_Level2"/>
      <w:bookmarkStart w:id="442" w:name="_Toc19360_WPSOffice_Level2"/>
      <w:r>
        <w:rPr>
          <w:rFonts w:hint="eastAsia" w:ascii="宋体" w:hAnsi="宋体" w:eastAsia="宋体" w:cs="宋体"/>
          <w:b/>
          <w:bCs/>
          <w:color w:val="auto"/>
          <w:sz w:val="32"/>
          <w:szCs w:val="32"/>
          <w:lang w:eastAsia="zh-CN"/>
        </w:rPr>
        <w:t>供应商名称：</w:t>
      </w:r>
      <w:bookmarkEnd w:id="441"/>
      <w:bookmarkEnd w:id="442"/>
    </w:p>
    <w:p w14:paraId="527AA62E">
      <w:pPr>
        <w:wordWrap/>
        <w:spacing w:before="157" w:beforeLines="50" w:line="560" w:lineRule="exact"/>
        <w:jc w:val="center"/>
        <w:outlineLvl w:val="9"/>
        <w:rPr>
          <w:rFonts w:hint="eastAsia" w:ascii="宋体" w:hAnsi="宋体" w:eastAsia="宋体" w:cs="宋体"/>
          <w:b/>
          <w:bCs/>
          <w:color w:val="auto"/>
          <w:sz w:val="32"/>
          <w:szCs w:val="32"/>
        </w:rPr>
      </w:pPr>
    </w:p>
    <w:p w14:paraId="497C105D">
      <w:pPr>
        <w:wordWrap/>
        <w:spacing w:before="157" w:beforeLines="50" w:line="560" w:lineRule="exact"/>
        <w:jc w:val="center"/>
        <w:outlineLvl w:val="9"/>
        <w:rPr>
          <w:rFonts w:hint="eastAsia" w:ascii="宋体" w:hAnsi="宋体" w:eastAsia="宋体" w:cs="宋体"/>
          <w:b/>
          <w:color w:val="auto"/>
          <w:sz w:val="32"/>
          <w:szCs w:val="32"/>
        </w:rPr>
      </w:pPr>
      <w:bookmarkStart w:id="443" w:name="_Toc17697_WPSOffice_Level3"/>
      <w:r>
        <w:rPr>
          <w:rFonts w:hint="eastAsia" w:ascii="宋体" w:hAnsi="宋体" w:eastAsia="宋体" w:cs="宋体"/>
          <w:b/>
          <w:color w:val="auto"/>
          <w:sz w:val="32"/>
          <w:szCs w:val="32"/>
        </w:rPr>
        <w:t>年  月  日</w:t>
      </w:r>
      <w:bookmarkEnd w:id="443"/>
    </w:p>
    <w:p w14:paraId="6AF27581">
      <w:pPr>
        <w:widowControl/>
        <w:wordWrap/>
        <w:snapToGrid w:val="0"/>
        <w:spacing w:before="157" w:beforeLines="50" w:line="560" w:lineRule="exact"/>
        <w:outlineLvl w:val="9"/>
        <w:rPr>
          <w:rFonts w:hint="eastAsia" w:ascii="宋体" w:hAnsi="宋体" w:eastAsia="宋体" w:cs="宋体"/>
          <w:b/>
          <w:color w:val="auto"/>
          <w:sz w:val="28"/>
          <w:szCs w:val="28"/>
        </w:rPr>
      </w:pPr>
    </w:p>
    <w:p w14:paraId="5DFCACE6">
      <w:pPr>
        <w:rPr>
          <w:rFonts w:hint="eastAsia" w:ascii="宋体" w:hAnsi="宋体" w:eastAsia="宋体" w:cs="宋体"/>
          <w:color w:val="auto"/>
        </w:rPr>
      </w:pPr>
      <w:r>
        <w:rPr>
          <w:rFonts w:hint="eastAsia" w:ascii="宋体" w:hAnsi="宋体" w:eastAsia="宋体" w:cs="宋体"/>
          <w:color w:val="auto"/>
          <w:kern w:val="0"/>
          <w:lang w:val="zh-CN"/>
        </w:rPr>
        <w:br w:type="page"/>
      </w:r>
    </w:p>
    <w:p w14:paraId="64C9F22C">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44" w:name="_Toc28116"/>
      <w:bookmarkStart w:id="445" w:name="_Toc13416_WPSOffice_Level3"/>
      <w:bookmarkStart w:id="446" w:name="_Toc7156"/>
      <w:bookmarkStart w:id="447" w:name="_Toc3360"/>
      <w:bookmarkStart w:id="448" w:name="_Toc2646_WPSOffice_Level3"/>
      <w:bookmarkStart w:id="449" w:name="_Toc18715"/>
      <w:r>
        <w:rPr>
          <w:rFonts w:hint="eastAsia" w:ascii="宋体" w:hAnsi="宋体" w:eastAsia="宋体" w:cs="宋体"/>
          <w:b/>
          <w:bCs w:val="0"/>
          <w:color w:val="auto"/>
          <w:kern w:val="2"/>
          <w:sz w:val="24"/>
          <w:szCs w:val="24"/>
          <w:lang w:val="en-US" w:eastAsia="zh-CN" w:bidi="ar-SA"/>
        </w:rPr>
        <w:t>附件10：谈判首次报价表</w:t>
      </w:r>
      <w:bookmarkEnd w:id="444"/>
      <w:bookmarkEnd w:id="445"/>
      <w:bookmarkEnd w:id="446"/>
      <w:bookmarkEnd w:id="447"/>
      <w:bookmarkEnd w:id="448"/>
      <w:bookmarkEnd w:id="449"/>
    </w:p>
    <w:p w14:paraId="585DC4F3">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50" w:name="_Toc17322_WPSOffice_Level1"/>
      <w:bookmarkStart w:id="451" w:name="_Toc8724_WPSOffice_Level1"/>
      <w:bookmarkStart w:id="452" w:name="_Toc17115_WPSOffice_Level3"/>
      <w:r>
        <w:rPr>
          <w:rFonts w:hint="eastAsia" w:ascii="宋体" w:hAnsi="宋体" w:eastAsia="宋体" w:cs="宋体"/>
          <w:b/>
          <w:color w:val="auto"/>
          <w:sz w:val="24"/>
          <w:szCs w:val="24"/>
          <w:lang w:val="zh-CN" w:eastAsia="zh-CN"/>
        </w:rPr>
        <w:t>谈判首次报价表</w:t>
      </w:r>
      <w:bookmarkEnd w:id="450"/>
      <w:bookmarkEnd w:id="451"/>
      <w:bookmarkEnd w:id="452"/>
    </w:p>
    <w:p w14:paraId="7E002E7F">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p>
    <w:p w14:paraId="31F1D03A">
      <w:pPr>
        <w:keepNext w:val="0"/>
        <w:keepLines w:val="0"/>
        <w:pageBreakBefore w:val="0"/>
        <w:widowControl w:val="0"/>
        <w:kinsoku/>
        <w:wordWrap/>
        <w:overflowPunct/>
        <w:topLinePunct w:val="0"/>
        <w:bidi w:val="0"/>
        <w:adjustRightInd/>
        <w:snapToGrid/>
        <w:spacing w:line="360" w:lineRule="auto"/>
        <w:ind w:left="0" w:leftChars="0"/>
        <w:jc w:val="righ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单位：人民币(元)</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3624"/>
        <w:gridCol w:w="2300"/>
        <w:gridCol w:w="1048"/>
      </w:tblGrid>
      <w:tr w14:paraId="10B2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099" w:type="dxa"/>
            <w:vAlign w:val="center"/>
          </w:tcPr>
          <w:p w14:paraId="0C0EBA1B">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3624" w:type="dxa"/>
            <w:vAlign w:val="center"/>
          </w:tcPr>
          <w:p w14:paraId="5CFA2C0D">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首次</w:t>
            </w:r>
            <w:r>
              <w:rPr>
                <w:rFonts w:hint="eastAsia" w:ascii="宋体" w:hAnsi="宋体" w:eastAsia="宋体" w:cs="宋体"/>
                <w:b w:val="0"/>
                <w:bCs/>
                <w:color w:val="auto"/>
                <w:sz w:val="24"/>
                <w:szCs w:val="24"/>
              </w:rPr>
              <w:t>报价</w:t>
            </w:r>
          </w:p>
        </w:tc>
        <w:tc>
          <w:tcPr>
            <w:tcW w:w="2300" w:type="dxa"/>
            <w:vAlign w:val="center"/>
          </w:tcPr>
          <w:p w14:paraId="0EF79003">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服务期限</w:t>
            </w:r>
          </w:p>
        </w:tc>
        <w:tc>
          <w:tcPr>
            <w:tcW w:w="1048" w:type="dxa"/>
            <w:vAlign w:val="center"/>
          </w:tcPr>
          <w:p w14:paraId="16D004FE">
            <w:pPr>
              <w:keepNext w:val="0"/>
              <w:keepLines w:val="0"/>
              <w:pageBreakBefore w:val="0"/>
              <w:widowControl w:val="0"/>
              <w:kinsoku/>
              <w:wordWrap/>
              <w:overflowPunct/>
              <w:topLinePunct w:val="0"/>
              <w:bidi w:val="0"/>
              <w:adjustRightInd/>
              <w:snapToGrid/>
              <w:spacing w:line="360" w:lineRule="auto"/>
              <w:ind w:left="240" w:leftChars="0" w:hanging="240" w:hangingChars="10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14:paraId="328C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099" w:type="dxa"/>
            <w:vMerge w:val="restart"/>
            <w:vAlign w:val="center"/>
          </w:tcPr>
          <w:p w14:paraId="301148DB">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24" w:type="dxa"/>
            <w:vAlign w:val="top"/>
          </w:tcPr>
          <w:p w14:paraId="66AA4F0D">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300" w:type="dxa"/>
            <w:vMerge w:val="restart"/>
            <w:vAlign w:val="center"/>
          </w:tcPr>
          <w:p w14:paraId="42112A27">
            <w:pPr>
              <w:keepNext w:val="0"/>
              <w:keepLines w:val="0"/>
              <w:pageBreakBefore w:val="0"/>
              <w:widowControl w:val="0"/>
              <w:kinsoku/>
              <w:wordWrap/>
              <w:overflowPunct/>
              <w:topLinePunct w:val="0"/>
              <w:bidi w:val="0"/>
              <w:adjustRightInd/>
              <w:snapToGrid/>
              <w:spacing w:line="360" w:lineRule="auto"/>
              <w:ind w:left="0" w:leftChars="0" w:firstLine="196" w:firstLineChars="82"/>
              <w:jc w:val="both"/>
              <w:textAlignment w:val="baseline"/>
              <w:outlineLvl w:val="9"/>
              <w:rPr>
                <w:rFonts w:hint="eastAsia" w:ascii="宋体" w:hAnsi="宋体" w:eastAsia="宋体" w:cs="宋体"/>
                <w:b w:val="0"/>
                <w:bCs/>
                <w:color w:val="auto"/>
                <w:sz w:val="24"/>
                <w:szCs w:val="24"/>
              </w:rPr>
            </w:pPr>
          </w:p>
        </w:tc>
        <w:tc>
          <w:tcPr>
            <w:tcW w:w="1048" w:type="dxa"/>
            <w:vMerge w:val="restart"/>
            <w:vAlign w:val="center"/>
          </w:tcPr>
          <w:p w14:paraId="3F445258">
            <w:pPr>
              <w:keepNext w:val="0"/>
              <w:keepLines w:val="0"/>
              <w:pageBreakBefore w:val="0"/>
              <w:widowControl w:val="0"/>
              <w:kinsoku/>
              <w:wordWrap/>
              <w:overflowPunct/>
              <w:topLinePunct w:val="0"/>
              <w:bidi w:val="0"/>
              <w:adjustRightInd/>
              <w:snapToGrid/>
              <w:spacing w:line="360" w:lineRule="auto"/>
              <w:ind w:left="0" w:leftChars="0"/>
              <w:jc w:val="both"/>
              <w:textAlignment w:val="baseline"/>
              <w:outlineLvl w:val="9"/>
              <w:rPr>
                <w:rFonts w:hint="eastAsia" w:ascii="宋体" w:hAnsi="宋体" w:eastAsia="宋体" w:cs="宋体"/>
                <w:b w:val="0"/>
                <w:bCs/>
                <w:color w:val="auto"/>
                <w:sz w:val="24"/>
                <w:szCs w:val="24"/>
              </w:rPr>
            </w:pPr>
          </w:p>
        </w:tc>
      </w:tr>
      <w:tr w14:paraId="6818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099" w:type="dxa"/>
            <w:vMerge w:val="continue"/>
            <w:vAlign w:val="center"/>
          </w:tcPr>
          <w:p w14:paraId="03CBAC99">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24" w:type="dxa"/>
            <w:vAlign w:val="top"/>
          </w:tcPr>
          <w:p w14:paraId="232A2D39">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300" w:type="dxa"/>
            <w:vMerge w:val="continue"/>
            <w:vAlign w:val="top"/>
          </w:tcPr>
          <w:p w14:paraId="03918A0D">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1048" w:type="dxa"/>
            <w:vMerge w:val="continue"/>
            <w:vAlign w:val="top"/>
          </w:tcPr>
          <w:p w14:paraId="70ADC72B">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p>
        </w:tc>
      </w:tr>
      <w:tr w14:paraId="2879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071" w:type="dxa"/>
            <w:gridSpan w:val="4"/>
            <w:vAlign w:val="center"/>
          </w:tcPr>
          <w:p w14:paraId="086F56C0">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14:paraId="7B282D70">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14:paraId="56511648">
      <w:pPr>
        <w:keepNext w:val="0"/>
        <w:keepLines w:val="0"/>
        <w:pageBreakBefore w:val="0"/>
        <w:widowControl w:val="0"/>
        <w:kinsoku/>
        <w:wordWrap/>
        <w:overflowPunct/>
        <w:topLinePunct w:val="0"/>
        <w:bidi w:val="0"/>
        <w:adjustRightInd/>
        <w:snapToGrid/>
        <w:spacing w:line="360" w:lineRule="auto"/>
        <w:ind w:left="0" w:lef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报价为总价。包括</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编制费、人员工资、保险费、代理服务费、税金及其他不可预见费等全部费用。</w:t>
      </w:r>
    </w:p>
    <w:p w14:paraId="086A31FD">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7F9045E6">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587C5339">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5ADC519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09422088">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40B8EF9A">
      <w:pPr>
        <w:keepNext w:val="0"/>
        <w:keepLines w:val="0"/>
        <w:pageBreakBefore w:val="0"/>
        <w:kinsoku/>
        <w:wordWrap/>
        <w:overflowPunct/>
        <w:topLinePunct w:val="0"/>
        <w:bidi w:val="0"/>
        <w:adjustRightInd/>
        <w:snapToGrid/>
        <w:spacing w:line="360" w:lineRule="auto"/>
        <w:ind w:left="0" w:leftChars="0" w:firstLine="480" w:firstLineChars="200"/>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523D5757">
      <w:pPr>
        <w:keepNext w:val="0"/>
        <w:keepLines w:val="0"/>
        <w:pageBreakBefore w:val="0"/>
        <w:kinsoku/>
        <w:wordWrap/>
        <w:overflowPunct/>
        <w:topLinePunct w:val="0"/>
        <w:bidi w:val="0"/>
        <w:adjustRightInd/>
        <w:snapToGrid/>
        <w:spacing w:line="360" w:lineRule="auto"/>
        <w:jc w:val="both"/>
        <w:outlineLvl w:val="9"/>
        <w:rPr>
          <w:rFonts w:hint="eastAsia" w:ascii="宋体" w:hAnsi="宋体" w:eastAsia="宋体" w:cs="宋体"/>
          <w:b w:val="0"/>
          <w:bCs/>
          <w:color w:val="auto"/>
          <w:sz w:val="24"/>
          <w:szCs w:val="24"/>
        </w:rPr>
      </w:pPr>
    </w:p>
    <w:p w14:paraId="17D6380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rPr>
      </w:pPr>
      <w:bookmarkStart w:id="453" w:name="_Toc7532"/>
      <w:bookmarkStart w:id="454" w:name="_Toc31202"/>
      <w:bookmarkStart w:id="455" w:name="_Toc13192"/>
      <w:bookmarkStart w:id="456" w:name="_Toc18824_WPSOffice_Level3"/>
      <w:bookmarkStart w:id="457" w:name="_Toc3352_WPSOffice_Level3"/>
      <w:r>
        <w:rPr>
          <w:rFonts w:hint="eastAsia" w:ascii="宋体" w:hAnsi="宋体" w:eastAsia="宋体" w:cs="宋体"/>
          <w:b/>
          <w:color w:val="auto"/>
          <w:sz w:val="24"/>
          <w:szCs w:val="24"/>
        </w:rPr>
        <w:br w:type="page"/>
      </w:r>
    </w:p>
    <w:p w14:paraId="3503E0C1">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8" w:name="_Toc21692"/>
      <w:r>
        <w:rPr>
          <w:rFonts w:hint="eastAsia" w:ascii="宋体" w:hAnsi="宋体" w:eastAsia="宋体" w:cs="宋体"/>
          <w:b/>
          <w:bCs w:val="0"/>
          <w:color w:val="auto"/>
          <w:kern w:val="2"/>
          <w:sz w:val="28"/>
          <w:szCs w:val="28"/>
          <w:lang w:val="en-US" w:eastAsia="zh-CN" w:bidi="ar-SA"/>
        </w:rPr>
        <w:t>附件11：分项报价表</w:t>
      </w:r>
      <w:bookmarkEnd w:id="453"/>
      <w:bookmarkEnd w:id="454"/>
      <w:bookmarkEnd w:id="455"/>
      <w:bookmarkEnd w:id="456"/>
      <w:bookmarkEnd w:id="457"/>
      <w:bookmarkEnd w:id="458"/>
    </w:p>
    <w:p w14:paraId="4B46EC8A">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59" w:name="_Toc31256_WPSOffice_Level3"/>
      <w:bookmarkStart w:id="460" w:name="_Toc12587_WPSOffice_Level1"/>
      <w:bookmarkStart w:id="461" w:name="_Toc19937_WPSOffice_Level1"/>
      <w:r>
        <w:rPr>
          <w:rFonts w:hint="eastAsia" w:ascii="宋体" w:hAnsi="宋体" w:eastAsia="宋体" w:cs="宋体"/>
          <w:b/>
          <w:color w:val="auto"/>
          <w:sz w:val="24"/>
          <w:szCs w:val="24"/>
          <w:highlight w:val="none"/>
          <w:lang w:val="zh-CN" w:eastAsia="zh-CN"/>
        </w:rPr>
        <w:t>分项报价表</w:t>
      </w:r>
      <w:bookmarkEnd w:id="459"/>
      <w:bookmarkEnd w:id="460"/>
      <w:bookmarkEnd w:id="461"/>
    </w:p>
    <w:p w14:paraId="108588BA">
      <w:pPr>
        <w:keepNext w:val="0"/>
        <w:keepLines w:val="0"/>
        <w:pageBreakBefore w:val="0"/>
        <w:widowControl w:val="0"/>
        <w:kinsoku/>
        <w:wordWrap/>
        <w:overflowPunct/>
        <w:topLinePunct w:val="0"/>
        <w:bidi w:val="0"/>
        <w:adjustRightInd/>
        <w:snapToGrid/>
        <w:spacing w:line="360" w:lineRule="auto"/>
        <w:ind w:left="0" w:leftChars="0"/>
        <w:jc w:val="left"/>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20"/>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2"/>
        <w:gridCol w:w="1713"/>
        <w:gridCol w:w="1494"/>
        <w:gridCol w:w="1450"/>
        <w:gridCol w:w="1113"/>
        <w:gridCol w:w="924"/>
        <w:gridCol w:w="812"/>
        <w:gridCol w:w="974"/>
        <w:gridCol w:w="973"/>
      </w:tblGrid>
      <w:tr w14:paraId="01FF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2C89E3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3207" w:type="dxa"/>
            <w:gridSpan w:val="2"/>
            <w:vAlign w:val="center"/>
          </w:tcPr>
          <w:p w14:paraId="5C66CA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服务内容</w:t>
            </w:r>
          </w:p>
        </w:tc>
        <w:tc>
          <w:tcPr>
            <w:tcW w:w="1450" w:type="dxa"/>
            <w:vAlign w:val="center"/>
          </w:tcPr>
          <w:p w14:paraId="2EA797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服务商</w:t>
            </w:r>
          </w:p>
        </w:tc>
        <w:tc>
          <w:tcPr>
            <w:tcW w:w="1113" w:type="dxa"/>
            <w:vAlign w:val="center"/>
          </w:tcPr>
          <w:p w14:paraId="252AFF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数量</w:t>
            </w:r>
          </w:p>
        </w:tc>
        <w:tc>
          <w:tcPr>
            <w:tcW w:w="924" w:type="dxa"/>
            <w:vAlign w:val="center"/>
          </w:tcPr>
          <w:p w14:paraId="5C2D10F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p>
        </w:tc>
        <w:tc>
          <w:tcPr>
            <w:tcW w:w="812" w:type="dxa"/>
            <w:vAlign w:val="center"/>
          </w:tcPr>
          <w:p w14:paraId="333432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单价</w:t>
            </w:r>
          </w:p>
        </w:tc>
        <w:tc>
          <w:tcPr>
            <w:tcW w:w="974" w:type="dxa"/>
            <w:vAlign w:val="center"/>
          </w:tcPr>
          <w:p w14:paraId="1EE004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合计</w:t>
            </w:r>
          </w:p>
        </w:tc>
        <w:tc>
          <w:tcPr>
            <w:tcW w:w="973" w:type="dxa"/>
            <w:vAlign w:val="center"/>
          </w:tcPr>
          <w:p w14:paraId="051083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tc>
      </w:tr>
      <w:tr w14:paraId="43E2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39CC38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3207" w:type="dxa"/>
            <w:gridSpan w:val="2"/>
            <w:vAlign w:val="center"/>
          </w:tcPr>
          <w:p w14:paraId="186A15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5B680A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572766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0DBE32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17B2255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79F246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247C73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125D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5DF3D8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3207" w:type="dxa"/>
            <w:gridSpan w:val="2"/>
            <w:vAlign w:val="center"/>
          </w:tcPr>
          <w:p w14:paraId="3EA3D9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6193C0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4E4E05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5ABD527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5AF6E9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17273D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36F381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3161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2246D0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3207" w:type="dxa"/>
            <w:gridSpan w:val="2"/>
            <w:vAlign w:val="center"/>
          </w:tcPr>
          <w:p w14:paraId="0A15BF1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08F50B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622F55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015210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0CB90E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7FEB69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2C14DD0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0461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486B06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3207" w:type="dxa"/>
            <w:gridSpan w:val="2"/>
            <w:vAlign w:val="center"/>
          </w:tcPr>
          <w:p w14:paraId="39EA08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0C6278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57CD30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4A5924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1EEB1B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417B343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70BDC9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0768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752" w:type="dxa"/>
            <w:vAlign w:val="center"/>
          </w:tcPr>
          <w:p w14:paraId="76F4A4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3207" w:type="dxa"/>
            <w:gridSpan w:val="2"/>
            <w:vAlign w:val="center"/>
          </w:tcPr>
          <w:p w14:paraId="76CB48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450" w:type="dxa"/>
            <w:vAlign w:val="center"/>
          </w:tcPr>
          <w:p w14:paraId="7FE0CD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3" w:type="dxa"/>
            <w:vAlign w:val="center"/>
          </w:tcPr>
          <w:p w14:paraId="10A305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24" w:type="dxa"/>
            <w:vAlign w:val="center"/>
          </w:tcPr>
          <w:p w14:paraId="541903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12" w:type="dxa"/>
            <w:vAlign w:val="center"/>
          </w:tcPr>
          <w:p w14:paraId="64F548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4" w:type="dxa"/>
            <w:vAlign w:val="center"/>
          </w:tcPr>
          <w:p w14:paraId="3A41DE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73" w:type="dxa"/>
            <w:vAlign w:val="center"/>
          </w:tcPr>
          <w:p w14:paraId="1992D2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020F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10205" w:type="dxa"/>
            <w:gridSpan w:val="9"/>
            <w:vAlign w:val="center"/>
          </w:tcPr>
          <w:p w14:paraId="616073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r w14:paraId="1C63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465" w:type="dxa"/>
            <w:gridSpan w:val="2"/>
            <w:vAlign w:val="center"/>
          </w:tcPr>
          <w:p w14:paraId="68CF7E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tc>
        <w:tc>
          <w:tcPr>
            <w:tcW w:w="7740" w:type="dxa"/>
            <w:gridSpan w:val="7"/>
            <w:vAlign w:val="center"/>
          </w:tcPr>
          <w:p w14:paraId="24C5B5D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p w14:paraId="6EFB5D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r>
    </w:tbl>
    <w:p w14:paraId="0A256699">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lang w:eastAsia="zh-CN"/>
        </w:rPr>
      </w:pPr>
      <w:bookmarkStart w:id="462" w:name="_Toc698"/>
    </w:p>
    <w:p w14:paraId="1C48F945">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eastAsia="zh-CN"/>
        </w:rPr>
      </w:pPr>
    </w:p>
    <w:p w14:paraId="4167A354">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383233E0">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2ACACE40">
      <w:pPr>
        <w:keepNext w:val="0"/>
        <w:keepLines w:val="0"/>
        <w:pageBreakBefore w:val="0"/>
        <w:widowControl w:val="0"/>
        <w:kinsoku/>
        <w:wordWrap/>
        <w:overflowPunct/>
        <w:topLinePunct w:val="0"/>
        <w:bidi w:val="0"/>
        <w:adjustRightInd/>
        <w:snapToGrid/>
        <w:spacing w:line="360" w:lineRule="auto"/>
        <w:ind w:left="0" w:leftChars="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A33DEAA">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rPr>
      </w:pPr>
    </w:p>
    <w:p w14:paraId="02E154E6">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eastAsia="zh-CN"/>
        </w:rPr>
      </w:pPr>
      <w:bookmarkStart w:id="463" w:name="_Toc28398"/>
      <w:bookmarkStart w:id="464" w:name="_Toc13098_WPSOffice_Level3"/>
      <w:bookmarkStart w:id="465" w:name="_Toc28315_WPSOffice_Level3"/>
      <w:bookmarkStart w:id="466" w:name="_Toc20734"/>
      <w:r>
        <w:rPr>
          <w:rFonts w:hint="eastAsia" w:ascii="宋体" w:hAnsi="宋体" w:eastAsia="宋体" w:cs="宋体"/>
          <w:b/>
          <w:color w:val="auto"/>
          <w:sz w:val="24"/>
          <w:szCs w:val="24"/>
          <w:lang w:eastAsia="zh-CN"/>
        </w:rPr>
        <w:br w:type="page"/>
      </w:r>
    </w:p>
    <w:p w14:paraId="22B2AE03">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67" w:name="_Toc15096"/>
      <w:r>
        <w:rPr>
          <w:rFonts w:hint="eastAsia" w:ascii="宋体" w:hAnsi="宋体" w:eastAsia="宋体" w:cs="宋体"/>
          <w:b/>
          <w:bCs w:val="0"/>
          <w:color w:val="auto"/>
          <w:kern w:val="2"/>
          <w:sz w:val="28"/>
          <w:szCs w:val="28"/>
          <w:lang w:val="en-US" w:eastAsia="zh-CN" w:bidi="ar-SA"/>
        </w:rPr>
        <w:t>附件12：</w:t>
      </w:r>
      <w:bookmarkEnd w:id="462"/>
      <w:bookmarkEnd w:id="463"/>
      <w:bookmarkEnd w:id="464"/>
      <w:bookmarkEnd w:id="465"/>
      <w:bookmarkEnd w:id="466"/>
      <w:bookmarkEnd w:id="467"/>
      <w:r>
        <w:rPr>
          <w:rFonts w:hint="eastAsia" w:ascii="宋体" w:hAnsi="宋体" w:eastAsia="宋体" w:cs="宋体"/>
          <w:b/>
          <w:bCs w:val="0"/>
          <w:color w:val="auto"/>
          <w:kern w:val="2"/>
          <w:sz w:val="28"/>
          <w:szCs w:val="28"/>
          <w:highlight w:val="none"/>
          <w:lang w:val="en-US" w:eastAsia="zh-CN" w:bidi="ar-SA"/>
        </w:rPr>
        <w:t>服务响应表</w:t>
      </w:r>
    </w:p>
    <w:p w14:paraId="45080182">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lang w:val="zh-CN" w:eastAsia="zh-CN"/>
        </w:rPr>
      </w:pPr>
      <w:r>
        <w:rPr>
          <w:rFonts w:hint="eastAsia" w:ascii="宋体" w:hAnsi="宋体" w:eastAsia="宋体" w:cs="宋体"/>
          <w:b/>
          <w:color w:val="auto"/>
          <w:sz w:val="24"/>
          <w:szCs w:val="24"/>
          <w:lang w:val="zh-CN" w:eastAsia="zh-CN"/>
        </w:rPr>
        <w:t>服务响应表</w:t>
      </w:r>
    </w:p>
    <w:p w14:paraId="63FEF389">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val="en-US" w:eastAsia="zh-CN"/>
        </w:rPr>
      </w:pPr>
      <w:bookmarkStart w:id="468" w:name="_Toc14764_WPSOffice_Level2"/>
      <w:r>
        <w:rPr>
          <w:rFonts w:hint="eastAsia" w:ascii="宋体" w:hAnsi="宋体" w:eastAsia="宋体" w:cs="宋体"/>
          <w:b w:val="0"/>
          <w:bCs/>
          <w:color w:val="auto"/>
          <w:sz w:val="24"/>
          <w:szCs w:val="24"/>
        </w:rPr>
        <w:t>供应商名称</w:t>
      </w:r>
      <w:bookmarkEnd w:id="468"/>
      <w:r>
        <w:rPr>
          <w:rFonts w:hint="eastAsia" w:ascii="宋体" w:hAnsi="宋体" w:eastAsia="宋体" w:cs="宋体"/>
          <w:b w:val="0"/>
          <w:bCs/>
          <w:color w:val="auto"/>
          <w:sz w:val="24"/>
          <w:szCs w:val="24"/>
          <w:lang w:eastAsia="zh-CN"/>
        </w:rPr>
        <w:t>：</w:t>
      </w:r>
    </w:p>
    <w:tbl>
      <w:tblPr>
        <w:tblStyle w:val="1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67CE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770461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52" w:type="dxa"/>
            <w:gridSpan w:val="2"/>
            <w:vAlign w:val="top"/>
          </w:tcPr>
          <w:p w14:paraId="55F5A8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采购需求技术参数、指标</w:t>
            </w:r>
          </w:p>
        </w:tc>
        <w:tc>
          <w:tcPr>
            <w:tcW w:w="3795" w:type="dxa"/>
            <w:gridSpan w:val="2"/>
            <w:vAlign w:val="top"/>
          </w:tcPr>
          <w:p w14:paraId="0E6561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技术参数、指标</w:t>
            </w:r>
          </w:p>
        </w:tc>
        <w:tc>
          <w:tcPr>
            <w:tcW w:w="873" w:type="dxa"/>
            <w:vAlign w:val="center"/>
          </w:tcPr>
          <w:p w14:paraId="70959A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3CAF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4B95DB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 w:type="dxa"/>
            <w:vAlign w:val="center"/>
          </w:tcPr>
          <w:p w14:paraId="16576D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766" w:type="dxa"/>
            <w:vAlign w:val="center"/>
          </w:tcPr>
          <w:p w14:paraId="70B1F4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915" w:type="dxa"/>
            <w:vAlign w:val="center"/>
          </w:tcPr>
          <w:p w14:paraId="49E78D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80" w:type="dxa"/>
            <w:vAlign w:val="center"/>
          </w:tcPr>
          <w:p w14:paraId="7F7438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873" w:type="dxa"/>
            <w:vAlign w:val="top"/>
          </w:tcPr>
          <w:p w14:paraId="4F93F3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67E8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21B236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dxa"/>
            <w:vAlign w:val="top"/>
          </w:tcPr>
          <w:p w14:paraId="08EB7C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7D5D2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707E5B3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378887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3E38DD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4303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7EE850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dxa"/>
            <w:vAlign w:val="top"/>
          </w:tcPr>
          <w:p w14:paraId="20B9D0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06E009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44D861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1FF3050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6E9DAB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5125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62DF5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86" w:type="dxa"/>
            <w:vAlign w:val="top"/>
          </w:tcPr>
          <w:p w14:paraId="25375B3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72CFD1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38AB0D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64B2202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158551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bl>
    <w:p w14:paraId="17FE51C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注：本表应按照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项目概况及技术参数表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中维保内容</w:t>
      </w:r>
      <w:r>
        <w:rPr>
          <w:rFonts w:hint="eastAsia" w:ascii="宋体" w:hAnsi="宋体" w:eastAsia="宋体" w:cs="宋体"/>
          <w:color w:val="auto"/>
          <w:sz w:val="24"/>
          <w:szCs w:val="24"/>
        </w:rPr>
        <w:t>的指标逐项填写，不得遗漏。否则，按无效</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处理。</w:t>
      </w:r>
    </w:p>
    <w:p w14:paraId="40E02A1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449B2487">
      <w:pPr>
        <w:pStyle w:val="18"/>
        <w:ind w:left="0" w:leftChars="0" w:firstLine="0" w:firstLineChars="0"/>
        <w:rPr>
          <w:rFonts w:hint="eastAsia" w:ascii="宋体" w:hAnsi="宋体" w:eastAsia="宋体" w:cs="宋体"/>
          <w:color w:val="auto"/>
          <w:sz w:val="24"/>
          <w:szCs w:val="24"/>
          <w:u w:val="single"/>
        </w:rPr>
      </w:pPr>
    </w:p>
    <w:p w14:paraId="187B2546">
      <w:pPr>
        <w:pStyle w:val="18"/>
        <w:ind w:left="0" w:leftChars="0" w:firstLine="0" w:firstLineChars="0"/>
        <w:rPr>
          <w:rFonts w:hint="eastAsia" w:ascii="宋体" w:hAnsi="宋体" w:eastAsia="宋体" w:cs="宋体"/>
          <w:color w:val="auto"/>
          <w:sz w:val="24"/>
          <w:szCs w:val="24"/>
          <w:u w:val="single"/>
        </w:rPr>
      </w:pPr>
    </w:p>
    <w:p w14:paraId="0F74056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157886CE">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21C1A785">
      <w:pPr>
        <w:keepNext w:val="0"/>
        <w:keepLines w:val="0"/>
        <w:pageBreakBefore w:val="0"/>
        <w:widowControl w:val="0"/>
        <w:kinsoku/>
        <w:wordWrap/>
        <w:overflowPunct/>
        <w:topLinePunct w:val="0"/>
        <w:bidi w:val="0"/>
        <w:adjustRightInd/>
        <w:snapToGrid/>
        <w:spacing w:line="360" w:lineRule="auto"/>
        <w:ind w:left="0" w:leftChars="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4A48E00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rPr>
      </w:pPr>
    </w:p>
    <w:p w14:paraId="05DF5A75">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69" w:name="_Toc6913_WPSOffice_Level3"/>
      <w:bookmarkStart w:id="470" w:name="_Toc14547"/>
      <w:bookmarkStart w:id="471" w:name="_Toc18025_WPSOffice_Level3"/>
      <w:bookmarkStart w:id="472" w:name="_Toc28501"/>
      <w:bookmarkStart w:id="473" w:name="_Toc7597"/>
      <w:r>
        <w:rPr>
          <w:rFonts w:hint="eastAsia" w:ascii="宋体" w:hAnsi="宋体" w:eastAsia="宋体" w:cs="宋体"/>
          <w:b/>
          <w:bCs w:val="0"/>
          <w:color w:val="auto"/>
          <w:kern w:val="2"/>
          <w:sz w:val="28"/>
          <w:szCs w:val="28"/>
          <w:lang w:val="en-US" w:eastAsia="zh-CN" w:bidi="ar-SA"/>
        </w:rPr>
        <w:br w:type="page"/>
      </w:r>
    </w:p>
    <w:p w14:paraId="2803FD93">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highlight w:val="none"/>
        </w:rPr>
      </w:pPr>
      <w:bookmarkStart w:id="474" w:name="_Toc12537"/>
      <w:r>
        <w:rPr>
          <w:rFonts w:hint="eastAsia" w:ascii="宋体" w:hAnsi="宋体" w:eastAsia="宋体" w:cs="宋体"/>
          <w:b/>
          <w:bCs w:val="0"/>
          <w:color w:val="auto"/>
          <w:kern w:val="2"/>
          <w:sz w:val="28"/>
          <w:szCs w:val="28"/>
          <w:highlight w:val="none"/>
          <w:lang w:val="en-US" w:eastAsia="zh-CN" w:bidi="ar-SA"/>
        </w:rPr>
        <w:t>附件13：</w:t>
      </w:r>
      <w:bookmarkEnd w:id="469"/>
      <w:bookmarkEnd w:id="470"/>
      <w:bookmarkEnd w:id="471"/>
      <w:bookmarkEnd w:id="472"/>
      <w:bookmarkEnd w:id="473"/>
      <w:bookmarkEnd w:id="474"/>
      <w:r>
        <w:rPr>
          <w:rFonts w:hint="eastAsia" w:ascii="宋体" w:hAnsi="宋体" w:eastAsia="宋体" w:cs="宋体"/>
          <w:b/>
          <w:bCs w:val="0"/>
          <w:color w:val="auto"/>
          <w:kern w:val="2"/>
          <w:sz w:val="28"/>
          <w:szCs w:val="28"/>
          <w:highlight w:val="none"/>
          <w:lang w:val="en-US" w:eastAsia="zh-CN" w:bidi="ar-SA"/>
        </w:rPr>
        <w:t>服务相关资料（具备履行合同所必须的设备和专业技术能力证明）</w:t>
      </w:r>
    </w:p>
    <w:p w14:paraId="1427795B">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Cs/>
          <w:color w:val="auto"/>
          <w:sz w:val="24"/>
          <w:szCs w:val="24"/>
        </w:rPr>
      </w:pPr>
      <w:r>
        <w:rPr>
          <w:rFonts w:hint="eastAsia" w:ascii="宋体" w:hAnsi="宋体" w:eastAsia="宋体" w:cs="宋体"/>
          <w:b/>
          <w:color w:val="auto"/>
          <w:sz w:val="24"/>
          <w:szCs w:val="24"/>
          <w:lang w:val="zh-CN" w:eastAsia="zh-CN"/>
        </w:rPr>
        <w:t>服务相关资料</w:t>
      </w:r>
    </w:p>
    <w:p w14:paraId="77F2E580">
      <w:pPr>
        <w:keepNext w:val="0"/>
        <w:keepLines w:val="0"/>
        <w:pageBreakBefore w:val="0"/>
        <w:kinsoku/>
        <w:wordWrap/>
        <w:overflowPunct/>
        <w:topLinePunct w:val="0"/>
        <w:bidi w:val="0"/>
        <w:adjustRightInd/>
        <w:snapToGrid/>
        <w:spacing w:line="360" w:lineRule="auto"/>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lang w:val="zh-CN"/>
        </w:rPr>
        <w:t>用工合同等证明材料。</w:t>
      </w:r>
    </w:p>
    <w:p w14:paraId="4E1A043E">
      <w:pPr>
        <w:keepNext w:val="0"/>
        <w:keepLines w:val="0"/>
        <w:pageBreakBefore w:val="0"/>
        <w:widowControl/>
        <w:kinsoku/>
        <w:wordWrap/>
        <w:overflowPunct/>
        <w:topLinePunct w:val="0"/>
        <w:bidi w:val="0"/>
        <w:adjustRightInd/>
        <w:snapToGrid/>
        <w:spacing w:line="360" w:lineRule="auto"/>
        <w:ind w:left="0" w:leftChars="0"/>
        <w:jc w:val="left"/>
        <w:rPr>
          <w:rFonts w:hint="eastAsia" w:ascii="宋体" w:hAnsi="宋体" w:eastAsia="宋体" w:cs="宋体"/>
          <w:color w:val="auto"/>
          <w:spacing w:val="6"/>
          <w:kern w:val="0"/>
          <w:sz w:val="24"/>
          <w:szCs w:val="24"/>
        </w:rPr>
      </w:pPr>
    </w:p>
    <w:p w14:paraId="033F75D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75" w:name="_Toc10368"/>
      <w:bookmarkStart w:id="476" w:name="_Toc11887"/>
      <w:bookmarkStart w:id="477" w:name="_Toc31301_WPSOffice_Level3"/>
      <w:bookmarkStart w:id="478" w:name="_Toc4925"/>
      <w:bookmarkStart w:id="479" w:name="_Toc3146_WPSOffice_Level3"/>
      <w:r>
        <w:rPr>
          <w:rFonts w:hint="eastAsia" w:ascii="宋体" w:hAnsi="宋体" w:eastAsia="宋体" w:cs="宋体"/>
          <w:b/>
          <w:bCs w:val="0"/>
          <w:color w:val="auto"/>
          <w:kern w:val="2"/>
          <w:sz w:val="28"/>
          <w:szCs w:val="28"/>
          <w:lang w:val="en-US" w:eastAsia="zh-CN" w:bidi="ar-SA"/>
        </w:rPr>
        <w:br w:type="page"/>
      </w:r>
    </w:p>
    <w:p w14:paraId="1A29B148">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80" w:name="_Toc1417"/>
      <w:r>
        <w:rPr>
          <w:rFonts w:hint="eastAsia" w:ascii="宋体" w:hAnsi="宋体" w:eastAsia="宋体" w:cs="宋体"/>
          <w:b/>
          <w:bCs w:val="0"/>
          <w:color w:val="auto"/>
          <w:kern w:val="2"/>
          <w:sz w:val="28"/>
          <w:szCs w:val="28"/>
          <w:lang w:val="en-US" w:eastAsia="zh-CN" w:bidi="ar-SA"/>
        </w:rPr>
        <w:t>附件14：享受采购政策优惠的证明资料</w:t>
      </w:r>
      <w:bookmarkEnd w:id="475"/>
      <w:bookmarkEnd w:id="476"/>
      <w:bookmarkEnd w:id="477"/>
      <w:bookmarkEnd w:id="478"/>
      <w:bookmarkEnd w:id="479"/>
      <w:bookmarkEnd w:id="480"/>
    </w:p>
    <w:p w14:paraId="4FFAEC8E">
      <w:pPr>
        <w:keepNext w:val="0"/>
        <w:keepLines w:val="0"/>
        <w:pageBreakBefore w:val="0"/>
        <w:numPr>
          <w:ilvl w:val="0"/>
          <w:numId w:val="0"/>
        </w:numPr>
        <w:kinsoku/>
        <w:wordWrap/>
        <w:overflowPunct/>
        <w:topLinePunct w:val="0"/>
        <w:bidi w:val="0"/>
        <w:adjustRightInd/>
        <w:snapToGrid/>
        <w:spacing w:line="360" w:lineRule="auto"/>
        <w:jc w:val="center"/>
        <w:outlineLvl w:val="9"/>
        <w:rPr>
          <w:rFonts w:hint="eastAsia" w:ascii="宋体" w:hAnsi="宋体" w:eastAsia="宋体" w:cs="宋体"/>
          <w:b/>
          <w:bCs/>
          <w:color w:val="auto"/>
          <w:kern w:val="2"/>
          <w:sz w:val="24"/>
          <w:szCs w:val="24"/>
          <w:lang w:val="en-US" w:eastAsia="zh-CN" w:bidi="ar-SA"/>
        </w:rPr>
      </w:pPr>
      <w:bookmarkStart w:id="481" w:name="_Toc25276"/>
      <w:r>
        <w:rPr>
          <w:rFonts w:hint="eastAsia" w:ascii="宋体" w:hAnsi="宋体" w:eastAsia="宋体" w:cs="宋体"/>
          <w:b/>
          <w:bCs/>
          <w:color w:val="auto"/>
          <w:kern w:val="2"/>
          <w:sz w:val="24"/>
          <w:szCs w:val="24"/>
          <w:lang w:val="en-US" w:eastAsia="zh-CN" w:bidi="ar-SA"/>
        </w:rPr>
        <w:t>节能产品、环境标志产品证明材料</w:t>
      </w:r>
      <w:bookmarkEnd w:id="481"/>
    </w:p>
    <w:p w14:paraId="44E016FF">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bCs/>
          <w:color w:val="auto"/>
          <w:sz w:val="24"/>
          <w:szCs w:val="24"/>
        </w:rPr>
        <w:t>属于</w:t>
      </w:r>
      <w:r>
        <w:rPr>
          <w:rFonts w:hint="eastAsia" w:ascii="宋体" w:hAnsi="宋体" w:eastAsia="宋体" w:cs="宋体"/>
          <w:bCs/>
          <w:color w:val="auto"/>
          <w:sz w:val="24"/>
          <w:szCs w:val="24"/>
          <w:lang w:eastAsia="zh-CN"/>
        </w:rPr>
        <w:t>品目清单范围的</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实施政府优先采购和强制采购。</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国家确定的认证机构出具的、处于有效期之内的节能产品、环境标志产品认证证书，并加盖供应商单位公章。</w:t>
      </w:r>
    </w:p>
    <w:p w14:paraId="097356C3">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sz w:val="24"/>
          <w:szCs w:val="24"/>
          <w:lang w:val="en-US" w:eastAsia="zh-CN"/>
        </w:rPr>
      </w:pPr>
    </w:p>
    <w:p w14:paraId="3358A919">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82" w:name="_Toc23033_WPSOffice_Level3"/>
      <w:bookmarkStart w:id="483" w:name="_Toc12068_WPSOffice_Level3"/>
      <w:bookmarkStart w:id="484" w:name="_Toc21346"/>
      <w:r>
        <w:rPr>
          <w:rFonts w:hint="eastAsia" w:ascii="宋体" w:hAnsi="宋体" w:eastAsia="宋体" w:cs="宋体"/>
          <w:b/>
          <w:bCs w:val="0"/>
          <w:color w:val="auto"/>
          <w:kern w:val="2"/>
          <w:sz w:val="28"/>
          <w:szCs w:val="28"/>
          <w:lang w:val="en-US" w:eastAsia="zh-CN" w:bidi="ar-SA"/>
        </w:rPr>
        <w:br w:type="page"/>
      </w:r>
    </w:p>
    <w:p w14:paraId="4BFF9EA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85" w:name="_Toc4623"/>
      <w:r>
        <w:rPr>
          <w:rFonts w:hint="eastAsia" w:ascii="宋体" w:hAnsi="宋体" w:eastAsia="宋体" w:cs="宋体"/>
          <w:b/>
          <w:bCs w:val="0"/>
          <w:color w:val="auto"/>
          <w:kern w:val="2"/>
          <w:sz w:val="28"/>
          <w:szCs w:val="28"/>
          <w:lang w:val="en-US" w:eastAsia="zh-CN" w:bidi="ar-SA"/>
        </w:rPr>
        <w:t>附件15：最后报价表</w:t>
      </w:r>
      <w:bookmarkEnd w:id="482"/>
      <w:bookmarkEnd w:id="483"/>
      <w:bookmarkEnd w:id="484"/>
      <w:bookmarkEnd w:id="485"/>
    </w:p>
    <w:p w14:paraId="313A2939">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en-US" w:eastAsia="zh-CN" w:bidi="ar-SA"/>
        </w:rPr>
        <w:t>最后报价表</w:t>
      </w:r>
    </w:p>
    <w:p w14:paraId="33E9553B">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b/>
          <w:bCs w:val="0"/>
          <w:color w:val="auto"/>
          <w:sz w:val="24"/>
          <w:szCs w:val="24"/>
        </w:rPr>
      </w:pPr>
      <w:bookmarkStart w:id="486" w:name="_Toc26632_WPSOffice_Level2"/>
      <w:bookmarkStart w:id="487" w:name="_Toc31451_WPSOffice_Level2"/>
      <w:r>
        <w:rPr>
          <w:rFonts w:hint="eastAsia" w:ascii="宋体" w:hAnsi="宋体" w:eastAsia="宋体" w:cs="宋体"/>
          <w:b/>
          <w:bCs w:val="0"/>
          <w:color w:val="auto"/>
          <w:sz w:val="24"/>
          <w:szCs w:val="24"/>
        </w:rPr>
        <w:t>项目名称：</w:t>
      </w:r>
      <w:bookmarkEnd w:id="486"/>
      <w:bookmarkEnd w:id="487"/>
    </w:p>
    <w:p w14:paraId="5F163AAB">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val="0"/>
          <w:color w:val="auto"/>
          <w:sz w:val="24"/>
          <w:szCs w:val="24"/>
          <w:lang w:val="en-US" w:eastAsia="zh-CN"/>
        </w:rPr>
      </w:pPr>
      <w:bookmarkStart w:id="488" w:name="_Toc16830_WPSOffice_Level2"/>
      <w:bookmarkStart w:id="489" w:name="_Toc18301_WPSOffice_Level2"/>
      <w:r>
        <w:rPr>
          <w:rFonts w:hint="eastAsia" w:ascii="宋体" w:hAnsi="宋体" w:eastAsia="宋体" w:cs="宋体"/>
          <w:b/>
          <w:bCs w:val="0"/>
          <w:color w:val="auto"/>
          <w:sz w:val="24"/>
          <w:szCs w:val="24"/>
        </w:rPr>
        <w:t>项目编号：</w:t>
      </w:r>
    </w:p>
    <w:p w14:paraId="6023363E">
      <w:pPr>
        <w:keepNext w:val="0"/>
        <w:keepLines w:val="0"/>
        <w:pageBreakBefore w:val="0"/>
        <w:kinsoku/>
        <w:wordWrap/>
        <w:overflowPunct/>
        <w:topLinePunct w:val="0"/>
        <w:bidi w:val="0"/>
        <w:adjustRightInd/>
        <w:snapToGrid/>
        <w:spacing w:line="360" w:lineRule="auto"/>
        <w:jc w:val="right"/>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单位：</w:t>
      </w:r>
      <w:r>
        <w:rPr>
          <w:rFonts w:hint="eastAsia" w:ascii="宋体" w:hAnsi="宋体" w:eastAsia="宋体" w:cs="宋体"/>
          <w:bCs/>
          <w:color w:val="auto"/>
          <w:sz w:val="24"/>
          <w:szCs w:val="24"/>
        </w:rPr>
        <w:t>人民币(元)</w:t>
      </w:r>
      <w:bookmarkEnd w:id="488"/>
      <w:bookmarkEnd w:id="489"/>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208"/>
        <w:gridCol w:w="3065"/>
        <w:gridCol w:w="1879"/>
      </w:tblGrid>
      <w:tr w14:paraId="481E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3" w:type="dxa"/>
            <w:vAlign w:val="center"/>
          </w:tcPr>
          <w:p w14:paraId="3C3C9D95">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序号</w:t>
            </w:r>
          </w:p>
        </w:tc>
        <w:tc>
          <w:tcPr>
            <w:tcW w:w="4208" w:type="dxa"/>
            <w:vAlign w:val="center"/>
          </w:tcPr>
          <w:p w14:paraId="26D7026F">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最初报价</w:t>
            </w:r>
          </w:p>
        </w:tc>
        <w:tc>
          <w:tcPr>
            <w:tcW w:w="3065" w:type="dxa"/>
            <w:vAlign w:val="center"/>
          </w:tcPr>
          <w:p w14:paraId="3B849DE3">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最后报价</w:t>
            </w:r>
          </w:p>
        </w:tc>
        <w:tc>
          <w:tcPr>
            <w:tcW w:w="1879" w:type="dxa"/>
            <w:vAlign w:val="center"/>
          </w:tcPr>
          <w:p w14:paraId="0B91F07E">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服务期限</w:t>
            </w:r>
          </w:p>
        </w:tc>
      </w:tr>
      <w:tr w14:paraId="2DFE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3" w:type="dxa"/>
            <w:vMerge w:val="restart"/>
            <w:tcBorders>
              <w:left w:val="single" w:color="auto" w:sz="4" w:space="0"/>
            </w:tcBorders>
            <w:vAlign w:val="center"/>
          </w:tcPr>
          <w:p w14:paraId="7CE4AAF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p>
        </w:tc>
        <w:tc>
          <w:tcPr>
            <w:tcW w:w="4208" w:type="dxa"/>
            <w:vAlign w:val="top"/>
          </w:tcPr>
          <w:p w14:paraId="3AC17D00">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3065" w:type="dxa"/>
            <w:vAlign w:val="top"/>
          </w:tcPr>
          <w:p w14:paraId="0C4C8DBA">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1879" w:type="dxa"/>
            <w:vMerge w:val="restart"/>
            <w:vAlign w:val="center"/>
          </w:tcPr>
          <w:p w14:paraId="0DA0AF5C">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4A9A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3" w:type="dxa"/>
            <w:vMerge w:val="continue"/>
            <w:tcBorders>
              <w:left w:val="single" w:color="auto" w:sz="4" w:space="0"/>
              <w:right w:val="nil"/>
            </w:tcBorders>
            <w:vAlign w:val="center"/>
          </w:tcPr>
          <w:p w14:paraId="707211BB">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c>
          <w:tcPr>
            <w:tcW w:w="4208" w:type="dxa"/>
            <w:vAlign w:val="top"/>
          </w:tcPr>
          <w:p w14:paraId="7BEF83E8">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3065" w:type="dxa"/>
            <w:vAlign w:val="top"/>
          </w:tcPr>
          <w:p w14:paraId="1586B894">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1879" w:type="dxa"/>
            <w:vMerge w:val="continue"/>
            <w:vAlign w:val="center"/>
          </w:tcPr>
          <w:p w14:paraId="13F4B916">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73D5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205" w:type="dxa"/>
            <w:gridSpan w:val="4"/>
            <w:tcBorders>
              <w:bottom w:val="single" w:color="auto" w:sz="4" w:space="0"/>
            </w:tcBorders>
            <w:vAlign w:val="center"/>
          </w:tcPr>
          <w:p w14:paraId="6B67E99A">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最终确定的质量保证及服务承诺</w:t>
            </w:r>
            <w:r>
              <w:rPr>
                <w:rFonts w:hint="eastAsia" w:ascii="宋体" w:hAnsi="宋体" w:eastAsia="宋体" w:cs="宋体"/>
                <w:b/>
                <w:bCs w:val="0"/>
                <w:color w:val="auto"/>
                <w:sz w:val="24"/>
                <w:szCs w:val="24"/>
                <w:lang w:eastAsia="zh-CN"/>
              </w:rPr>
              <w:t>：</w:t>
            </w:r>
          </w:p>
          <w:p w14:paraId="69FFF7D5">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6ABB9179">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41678BA2">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67F88575">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21989BBF">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40C1E86E">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p w14:paraId="33DEB690">
            <w:pPr>
              <w:keepNext w:val="0"/>
              <w:keepLines w:val="0"/>
              <w:pageBreakBefore w:val="0"/>
              <w:widowControl w:val="0"/>
              <w:kinsoku/>
              <w:wordWrap/>
              <w:overflowPunct/>
              <w:topLinePunct w:val="0"/>
              <w:autoSpaceDE/>
              <w:autoSpaceDN/>
              <w:bidi w:val="0"/>
              <w:adjustRightInd/>
              <w:snapToGrid/>
              <w:spacing w:line="360" w:lineRule="auto"/>
              <w:ind w:left="0" w:leftChars="0"/>
              <w:jc w:val="left"/>
              <w:outlineLvl w:val="9"/>
              <w:rPr>
                <w:rFonts w:hint="eastAsia" w:ascii="宋体" w:hAnsi="宋体" w:eastAsia="宋体" w:cs="宋体"/>
                <w:b/>
                <w:bCs w:val="0"/>
                <w:color w:val="auto"/>
                <w:sz w:val="24"/>
                <w:szCs w:val="24"/>
                <w:lang w:eastAsia="zh-CN"/>
              </w:rPr>
            </w:pPr>
          </w:p>
        </w:tc>
      </w:tr>
    </w:tbl>
    <w:p w14:paraId="72DF2952">
      <w:pPr>
        <w:keepNext w:val="0"/>
        <w:keepLines w:val="0"/>
        <w:pageBreakBefore w:val="0"/>
        <w:kinsoku/>
        <w:wordWrap/>
        <w:overflowPunct/>
        <w:topLinePunct w:val="0"/>
        <w:bidi w:val="0"/>
        <w:adjustRightInd/>
        <w:snapToGrid/>
        <w:spacing w:line="360" w:lineRule="auto"/>
        <w:ind w:firstLine="480" w:firstLineChars="200"/>
        <w:jc w:val="both"/>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此表不需装订在响应文件中，供应商须事先盖章、签字。在谈判期间，由谈判小组确定合格的供应商现场填写。</w:t>
      </w:r>
    </w:p>
    <w:p w14:paraId="5ED43502">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5C60D370">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单</w:t>
      </w:r>
      <w:r>
        <w:rPr>
          <w:rFonts w:hint="eastAsia" w:ascii="宋体" w:hAnsi="宋体" w:eastAsia="宋体" w:cs="宋体"/>
          <w:b w:val="0"/>
          <w:bCs/>
          <w:color w:val="auto"/>
          <w:sz w:val="24"/>
          <w:szCs w:val="24"/>
        </w:rPr>
        <w:t>位</w:t>
      </w:r>
      <w:r>
        <w:rPr>
          <w:rFonts w:hint="eastAsia" w:ascii="宋体" w:hAnsi="宋体" w:eastAsia="宋体" w:cs="宋体"/>
          <w:b w:val="0"/>
          <w:bCs/>
          <w:color w:val="auto"/>
          <w:sz w:val="24"/>
          <w:szCs w:val="24"/>
          <w:lang w:eastAsia="zh-CN"/>
        </w:rPr>
        <w:t>名称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（公章）</w:t>
      </w:r>
    </w:p>
    <w:p w14:paraId="573F7C21">
      <w:pPr>
        <w:keepNext w:val="0"/>
        <w:keepLines w:val="0"/>
        <w:pageBreakBefore w:val="0"/>
        <w:kinsoku/>
        <w:wordWrap/>
        <w:overflowPunct/>
        <w:topLinePunct w:val="0"/>
        <w:autoSpaceDE/>
        <w:autoSpaceDN/>
        <w:bidi w:val="0"/>
        <w:adjustRightInd/>
        <w:snapToGrid/>
        <w:spacing w:line="360" w:lineRule="auto"/>
        <w:ind w:right="0" w:firstLine="480" w:firstLineChars="20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法定代表人或委托代理人：</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 </w:t>
      </w:r>
      <w:r>
        <w:rPr>
          <w:rFonts w:hint="eastAsia" w:ascii="宋体" w:hAnsi="宋体" w:eastAsia="宋体" w:cs="宋体"/>
          <w:b w:val="0"/>
          <w:bCs/>
          <w:color w:val="auto"/>
          <w:sz w:val="24"/>
          <w:szCs w:val="24"/>
        </w:rPr>
        <w:t>（签字或盖章）</w:t>
      </w:r>
    </w:p>
    <w:p w14:paraId="1C8CD4AC">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val="0"/>
          <w:bCs/>
          <w:color w:val="auto"/>
          <w:sz w:val="24"/>
          <w:szCs w:val="24"/>
        </w:rPr>
        <w:t xml:space="preserve">年   月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日</w:t>
      </w:r>
    </w:p>
    <w:p w14:paraId="1AAE394A">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498FC73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rPr>
      </w:pPr>
      <w:r>
        <w:rPr>
          <w:rFonts w:hint="eastAsia" w:ascii="宋体" w:hAnsi="宋体" w:eastAsia="宋体" w:cs="宋体"/>
          <w:b/>
          <w:color w:val="auto"/>
          <w:sz w:val="24"/>
        </w:rPr>
        <w:br w:type="page"/>
      </w:r>
    </w:p>
    <w:p w14:paraId="047EABEB">
      <w:pPr>
        <w:widowControl/>
        <w:wordWrap/>
        <w:spacing w:before="157" w:beforeLines="50" w:line="560" w:lineRule="exact"/>
        <w:jc w:val="center"/>
        <w:outlineLvl w:val="0"/>
        <w:rPr>
          <w:rFonts w:hint="eastAsia" w:ascii="宋体" w:hAnsi="宋体" w:eastAsia="宋体" w:cs="宋体"/>
          <w:b/>
          <w:bCs/>
          <w:color w:val="auto"/>
          <w:sz w:val="32"/>
          <w:szCs w:val="32"/>
          <w:lang w:eastAsia="zh-CN"/>
        </w:rPr>
      </w:pPr>
      <w:bookmarkStart w:id="490" w:name="_Toc376936766"/>
      <w:bookmarkStart w:id="491" w:name="_Toc5169"/>
      <w:bookmarkStart w:id="492" w:name="_Toc7329_WPSOffice_Level1"/>
      <w:bookmarkStart w:id="493" w:name="_Toc24112_WPSOffice_Level1"/>
      <w:bookmarkStart w:id="494" w:name="_Toc1031"/>
      <w:bookmarkStart w:id="495" w:name="_Toc12949996"/>
      <w:bookmarkStart w:id="496" w:name="_Toc23722_WPSOffice_Level1"/>
      <w:bookmarkStart w:id="497" w:name="_Toc16082_WPSOffice_Level1"/>
      <w:bookmarkStart w:id="498" w:name="_Toc23740"/>
      <w:bookmarkStart w:id="499" w:name="_Toc416183225"/>
      <w:bookmarkStart w:id="500" w:name="_Toc27557_WPSOffice_Level1"/>
      <w:bookmarkStart w:id="501" w:name="_Toc16779_WPSOffice_Level1"/>
      <w:bookmarkStart w:id="502" w:name="_Toc5233"/>
      <w:r>
        <w:rPr>
          <w:rFonts w:hint="eastAsia" w:ascii="宋体" w:hAnsi="宋体" w:eastAsia="宋体" w:cs="宋体"/>
          <w:b/>
          <w:bCs/>
          <w:color w:val="auto"/>
          <w:sz w:val="32"/>
          <w:szCs w:val="32"/>
          <w:lang w:eastAsia="zh-CN"/>
        </w:rPr>
        <w:t>第五部分</w:t>
      </w:r>
      <w:r>
        <w:rPr>
          <w:rFonts w:hint="eastAsia" w:ascii="宋体" w:hAnsi="宋体" w:eastAsia="宋体" w:cs="宋体"/>
          <w:b/>
          <w:bCs/>
          <w:color w:val="auto"/>
          <w:sz w:val="32"/>
          <w:szCs w:val="32"/>
        </w:rPr>
        <w:t xml:space="preserve"> </w:t>
      </w:r>
      <w:bookmarkEnd w:id="490"/>
      <w:r>
        <w:rPr>
          <w:rFonts w:hint="eastAsia" w:ascii="宋体" w:hAnsi="宋体" w:eastAsia="宋体" w:cs="宋体"/>
          <w:b/>
          <w:bCs/>
          <w:color w:val="auto"/>
          <w:sz w:val="32"/>
          <w:szCs w:val="32"/>
          <w:lang w:val="en-US" w:eastAsia="zh-CN"/>
        </w:rPr>
        <w:t xml:space="preserve"> </w:t>
      </w:r>
      <w:bookmarkEnd w:id="491"/>
      <w:bookmarkEnd w:id="492"/>
      <w:bookmarkEnd w:id="493"/>
      <w:bookmarkEnd w:id="494"/>
      <w:r>
        <w:rPr>
          <w:rFonts w:hint="eastAsia" w:ascii="宋体" w:hAnsi="宋体" w:eastAsia="宋体" w:cs="宋体"/>
          <w:b/>
          <w:bCs/>
          <w:color w:val="auto"/>
          <w:sz w:val="32"/>
          <w:szCs w:val="32"/>
          <w:lang w:eastAsia="zh-CN"/>
        </w:rPr>
        <w:t>采购项目合同书</w:t>
      </w:r>
    </w:p>
    <w:p w14:paraId="513B0ECC">
      <w:pPr>
        <w:bidi w:val="0"/>
        <w:jc w:val="both"/>
        <w:rPr>
          <w:rFonts w:hint="eastAsia" w:ascii="宋体" w:hAnsi="宋体" w:eastAsia="宋体" w:cs="宋体"/>
          <w:color w:val="auto"/>
          <w:sz w:val="32"/>
          <w:szCs w:val="32"/>
        </w:rPr>
      </w:pPr>
      <w:bookmarkStart w:id="503" w:name="_Toc22776_WPSOffice_Level1"/>
      <w:bookmarkStart w:id="504" w:name="_Toc32639"/>
      <w:bookmarkStart w:id="505" w:name="_Toc29785_WPSOffice_Level1"/>
    </w:p>
    <w:bookmarkEnd w:id="495"/>
    <w:bookmarkEnd w:id="496"/>
    <w:bookmarkEnd w:id="497"/>
    <w:bookmarkEnd w:id="498"/>
    <w:bookmarkEnd w:id="499"/>
    <w:bookmarkEnd w:id="500"/>
    <w:bookmarkEnd w:id="501"/>
    <w:bookmarkEnd w:id="502"/>
    <w:bookmarkEnd w:id="503"/>
    <w:bookmarkEnd w:id="504"/>
    <w:bookmarkEnd w:id="505"/>
    <w:p w14:paraId="65CEED18">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采购项目合同书</w:t>
      </w:r>
    </w:p>
    <w:p w14:paraId="7224DE51">
      <w:pPr>
        <w:autoSpaceDE w:val="0"/>
        <w:autoSpaceDN w:val="0"/>
        <w:spacing w:line="360" w:lineRule="auto"/>
        <w:ind w:firstLine="0" w:firstLineChars="0"/>
        <w:jc w:val="center"/>
        <w:rPr>
          <w:rFonts w:hint="eastAsia" w:ascii="宋体" w:hAnsi="宋体" w:eastAsia="宋体" w:cs="宋体"/>
          <w:b/>
          <w:bCs/>
          <w:color w:val="auto"/>
          <w:sz w:val="48"/>
          <w:szCs w:val="48"/>
          <w:lang w:val="zh-CN" w:eastAsia="zh-CN"/>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范本</w:t>
      </w:r>
      <w:r>
        <w:rPr>
          <w:rFonts w:hint="eastAsia" w:ascii="宋体" w:hAnsi="宋体" w:eastAsia="宋体" w:cs="宋体"/>
          <w:b/>
          <w:bCs/>
          <w:color w:val="auto"/>
          <w:sz w:val="48"/>
          <w:szCs w:val="48"/>
          <w:lang w:val="zh-CN" w:eastAsia="zh-CN"/>
        </w:rPr>
        <w:t>）</w:t>
      </w:r>
    </w:p>
    <w:p w14:paraId="209CBB41">
      <w:pPr>
        <w:spacing w:line="360" w:lineRule="auto"/>
        <w:ind w:firstLine="0" w:firstLineChars="0"/>
        <w:jc w:val="both"/>
        <w:rPr>
          <w:rFonts w:hint="eastAsia" w:ascii="宋体" w:hAnsi="宋体" w:eastAsia="宋体" w:cs="宋体"/>
          <w:color w:val="auto"/>
          <w:sz w:val="24"/>
          <w:szCs w:val="24"/>
        </w:rPr>
      </w:pPr>
    </w:p>
    <w:p w14:paraId="2AEF2455">
      <w:pPr>
        <w:spacing w:line="360" w:lineRule="auto"/>
        <w:ind w:firstLine="0" w:firstLineChars="0"/>
        <w:rPr>
          <w:rFonts w:hint="eastAsia" w:ascii="宋体" w:hAnsi="宋体" w:eastAsia="宋体" w:cs="宋体"/>
          <w:color w:val="auto"/>
          <w:sz w:val="24"/>
          <w:szCs w:val="24"/>
        </w:rPr>
      </w:pPr>
    </w:p>
    <w:p w14:paraId="16EB7C47">
      <w:pPr>
        <w:spacing w:line="360" w:lineRule="auto"/>
        <w:ind w:firstLine="0" w:firstLineChars="0"/>
        <w:rPr>
          <w:rFonts w:hint="eastAsia" w:ascii="宋体" w:hAnsi="宋体" w:eastAsia="宋体" w:cs="宋体"/>
          <w:color w:val="auto"/>
          <w:sz w:val="24"/>
          <w:szCs w:val="24"/>
        </w:rPr>
      </w:pPr>
    </w:p>
    <w:p w14:paraId="36A5C41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en-US" w:eastAsia="zh-CN"/>
        </w:rPr>
        <w:t>DZZB-2025-035</w:t>
      </w:r>
    </w:p>
    <w:p w14:paraId="7A3B5299">
      <w:pPr>
        <w:pStyle w:val="46"/>
        <w:keepNext w:val="0"/>
        <w:keepLines w:val="0"/>
        <w:pageBreakBefore w:val="0"/>
        <w:widowControl w:val="0"/>
        <w:kinsoku/>
        <w:wordWrap/>
        <w:overflowPunct/>
        <w:topLinePunct w:val="0"/>
        <w:bidi w:val="0"/>
        <w:adjustRightInd/>
        <w:snapToGrid/>
        <w:spacing w:line="360" w:lineRule="auto"/>
        <w:ind w:left="1807" w:hanging="1807" w:hangingChars="600"/>
        <w:jc w:val="left"/>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eastAsia="zh-CN"/>
        </w:rPr>
        <w:t>青海民族大学2025年教学科研仪器设备更新项目初步设计方案编制</w:t>
      </w:r>
    </w:p>
    <w:p w14:paraId="23B75B6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en-US" w:eastAsia="zh-CN"/>
        </w:rPr>
        <w:t>DZZB-2025-035</w:t>
      </w:r>
    </w:p>
    <w:p w14:paraId="315FFE3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14:paraId="565C53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47BFD5C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389307F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lang w:val="en-US" w:eastAsia="zh-CN"/>
        </w:rPr>
        <w:t xml:space="preserve">                             </w:t>
      </w:r>
    </w:p>
    <w:p w14:paraId="10773562">
      <w:pPr>
        <w:spacing w:line="360" w:lineRule="auto"/>
        <w:ind w:left="0" w:leftChars="0" w:firstLine="0" w:firstLineChars="0"/>
        <w:rPr>
          <w:rFonts w:hint="eastAsia" w:ascii="宋体" w:hAnsi="宋体" w:eastAsia="宋体" w:cs="宋体"/>
          <w:color w:val="auto"/>
          <w:sz w:val="24"/>
          <w:szCs w:val="24"/>
        </w:rPr>
      </w:pPr>
    </w:p>
    <w:p w14:paraId="60D8C360">
      <w:pPr>
        <w:spacing w:line="360" w:lineRule="auto"/>
        <w:ind w:left="0" w:leftChars="0" w:firstLine="0" w:firstLineChars="0"/>
        <w:rPr>
          <w:rFonts w:hint="eastAsia" w:ascii="宋体" w:hAnsi="宋体" w:eastAsia="宋体" w:cs="宋体"/>
          <w:color w:val="auto"/>
          <w:sz w:val="24"/>
          <w:szCs w:val="24"/>
        </w:rPr>
      </w:pPr>
    </w:p>
    <w:p w14:paraId="15FAB1C8">
      <w:pPr>
        <w:spacing w:line="360" w:lineRule="auto"/>
        <w:ind w:left="0" w:leftChars="0" w:firstLine="0" w:firstLineChars="0"/>
        <w:rPr>
          <w:rFonts w:hint="eastAsia" w:ascii="宋体" w:hAnsi="宋体" w:eastAsia="宋体" w:cs="宋体"/>
          <w:color w:val="auto"/>
          <w:sz w:val="24"/>
          <w:szCs w:val="24"/>
        </w:rPr>
      </w:pPr>
    </w:p>
    <w:p w14:paraId="437A5A2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14:paraId="2369A7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14:paraId="6A1C2F30">
      <w:pPr>
        <w:pStyle w:val="46"/>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eastAsia="zh-CN"/>
        </w:rPr>
        <w:t>青海民族大学2025年教学科研仪器设备更新项目初步设计方案编制</w:t>
      </w:r>
      <w:r>
        <w:rPr>
          <w:rFonts w:hint="eastAsia" w:ascii="宋体" w:hAnsi="宋体" w:eastAsia="宋体" w:cs="宋体"/>
          <w:color w:val="auto"/>
          <w:sz w:val="24"/>
          <w:szCs w:val="24"/>
          <w:lang w:val="zh-CN"/>
        </w:rPr>
        <w:t>”（项目编号：</w:t>
      </w:r>
      <w:r>
        <w:rPr>
          <w:rFonts w:hint="eastAsia" w:ascii="宋体" w:hAnsi="宋体" w:eastAsia="宋体" w:cs="宋体"/>
          <w:color w:val="auto"/>
          <w:sz w:val="24"/>
          <w:szCs w:val="24"/>
          <w:lang w:val="zh-CN" w:eastAsia="zh-CN"/>
        </w:rPr>
        <w:t>DZZB-2025-035</w:t>
      </w:r>
      <w:r>
        <w:rPr>
          <w:rFonts w:hint="eastAsia" w:ascii="宋体" w:hAnsi="宋体" w:eastAsia="宋体" w:cs="宋体"/>
          <w:color w:val="auto"/>
          <w:sz w:val="24"/>
          <w:szCs w:val="24"/>
          <w:lang w:val="zh-CN"/>
        </w:rPr>
        <w:t>）的谈判文件要求和青海鼎钊招标代理有限公司出具的《成交通知书》，并经双方协商一致，签订本合同协议书。</w:t>
      </w:r>
    </w:p>
    <w:p w14:paraId="4CB911D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一、签订本采购合同的依据</w:t>
      </w:r>
    </w:p>
    <w:p w14:paraId="7B881B0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本采购合同所附下列文件是构成本采购合同不可分割的部分：</w:t>
      </w:r>
    </w:p>
    <w:p w14:paraId="212D04A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1.谈判文件；</w:t>
      </w:r>
    </w:p>
    <w:p w14:paraId="696E505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2.谈判文件的更正、变更公告；</w:t>
      </w:r>
    </w:p>
    <w:p w14:paraId="0456336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14:paraId="1A8075A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成交通知书；</w:t>
      </w:r>
    </w:p>
    <w:p w14:paraId="33A4D1D3">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5.履约保证金凭证。</w:t>
      </w:r>
    </w:p>
    <w:p w14:paraId="7CC1DC6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b/>
          <w:color w:val="auto"/>
          <w:kern w:val="0"/>
          <w:sz w:val="24"/>
          <w:szCs w:val="24"/>
          <w:lang w:val="en-US" w:eastAsia="zh-CN" w:bidi="ar"/>
        </w:rPr>
        <w:t>二、</w:t>
      </w:r>
      <w:r>
        <w:rPr>
          <w:rFonts w:hint="eastAsia" w:ascii="宋体" w:hAnsi="宋体" w:eastAsia="宋体" w:cs="宋体"/>
          <w:b/>
          <w:bCs/>
          <w:color w:val="auto"/>
          <w:sz w:val="24"/>
          <w:szCs w:val="24"/>
          <w:lang w:val="zh-CN"/>
        </w:rPr>
        <w:t>合同标的及金额</w:t>
      </w:r>
      <w:r>
        <w:rPr>
          <w:rFonts w:hint="eastAsia" w:ascii="宋体" w:hAnsi="宋体" w:eastAsia="宋体" w:cs="宋体"/>
          <w:color w:val="auto"/>
          <w:sz w:val="24"/>
          <w:szCs w:val="24"/>
          <w:lang w:val="zh-CN"/>
        </w:rPr>
        <w:t xml:space="preserve">                                       单位：元</w:t>
      </w:r>
    </w:p>
    <w:tbl>
      <w:tblPr>
        <w:tblStyle w:val="19"/>
        <w:tblW w:w="9000" w:type="dxa"/>
        <w:jc w:val="center"/>
        <w:tblLayout w:type="fixed"/>
        <w:tblCellMar>
          <w:top w:w="0" w:type="dxa"/>
          <w:left w:w="57" w:type="dxa"/>
          <w:bottom w:w="0" w:type="dxa"/>
          <w:right w:w="57" w:type="dxa"/>
        </w:tblCellMar>
      </w:tblPr>
      <w:tblGrid>
        <w:gridCol w:w="1006"/>
        <w:gridCol w:w="1856"/>
        <w:gridCol w:w="1128"/>
        <w:gridCol w:w="1129"/>
        <w:gridCol w:w="1314"/>
        <w:gridCol w:w="1357"/>
        <w:gridCol w:w="1210"/>
      </w:tblGrid>
      <w:tr w14:paraId="59DBC218">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52A965D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56" w:type="dxa"/>
            <w:tcBorders>
              <w:top w:val="single" w:color="auto" w:sz="4" w:space="0"/>
              <w:left w:val="single" w:color="auto" w:sz="4" w:space="0"/>
              <w:bottom w:val="single" w:color="auto" w:sz="4" w:space="0"/>
              <w:right w:val="single" w:color="auto" w:sz="4" w:space="0"/>
            </w:tcBorders>
            <w:vAlign w:val="center"/>
          </w:tcPr>
          <w:p w14:paraId="2D1B3C9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tc>
        <w:tc>
          <w:tcPr>
            <w:tcW w:w="1128" w:type="dxa"/>
            <w:tcBorders>
              <w:top w:val="single" w:color="auto" w:sz="4" w:space="0"/>
              <w:left w:val="single" w:color="auto" w:sz="4" w:space="0"/>
              <w:bottom w:val="single" w:color="auto" w:sz="4" w:space="0"/>
              <w:right w:val="single" w:color="auto" w:sz="4" w:space="0"/>
            </w:tcBorders>
            <w:vAlign w:val="center"/>
          </w:tcPr>
          <w:p w14:paraId="7090658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数量</w:t>
            </w:r>
          </w:p>
        </w:tc>
        <w:tc>
          <w:tcPr>
            <w:tcW w:w="1129" w:type="dxa"/>
            <w:tcBorders>
              <w:top w:val="single" w:color="auto" w:sz="4" w:space="0"/>
              <w:left w:val="single" w:color="auto" w:sz="4" w:space="0"/>
              <w:bottom w:val="single" w:color="auto" w:sz="4" w:space="0"/>
              <w:right w:val="single" w:color="auto" w:sz="4" w:space="0"/>
            </w:tcBorders>
            <w:vAlign w:val="center"/>
          </w:tcPr>
          <w:p w14:paraId="69CA99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314" w:type="dxa"/>
            <w:tcBorders>
              <w:top w:val="single" w:color="auto" w:sz="4" w:space="0"/>
              <w:left w:val="single" w:color="auto" w:sz="4" w:space="0"/>
              <w:bottom w:val="single" w:color="auto" w:sz="4" w:space="0"/>
              <w:right w:val="single" w:color="auto" w:sz="4" w:space="0"/>
            </w:tcBorders>
            <w:vAlign w:val="center"/>
          </w:tcPr>
          <w:p w14:paraId="6B6AA11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357" w:type="dxa"/>
            <w:tcBorders>
              <w:top w:val="single" w:color="auto" w:sz="4" w:space="0"/>
              <w:left w:val="single" w:color="auto" w:sz="4" w:space="0"/>
              <w:bottom w:val="single" w:color="auto" w:sz="4" w:space="0"/>
              <w:right w:val="single" w:color="auto" w:sz="4" w:space="0"/>
            </w:tcBorders>
            <w:vAlign w:val="center"/>
          </w:tcPr>
          <w:p w14:paraId="671522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合计</w:t>
            </w:r>
          </w:p>
        </w:tc>
        <w:tc>
          <w:tcPr>
            <w:tcW w:w="1210" w:type="dxa"/>
            <w:tcBorders>
              <w:top w:val="single" w:color="auto" w:sz="4" w:space="0"/>
              <w:left w:val="single" w:color="auto" w:sz="4" w:space="0"/>
              <w:bottom w:val="single" w:color="auto" w:sz="4" w:space="0"/>
              <w:right w:val="single" w:color="auto" w:sz="4" w:space="0"/>
            </w:tcBorders>
            <w:vAlign w:val="center"/>
          </w:tcPr>
          <w:p w14:paraId="631928F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30ED6472">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7E74DE4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856" w:type="dxa"/>
            <w:tcBorders>
              <w:top w:val="single" w:color="auto" w:sz="4" w:space="0"/>
              <w:left w:val="single" w:color="auto" w:sz="4" w:space="0"/>
              <w:bottom w:val="single" w:color="auto" w:sz="4" w:space="0"/>
              <w:right w:val="single" w:color="auto" w:sz="4" w:space="0"/>
            </w:tcBorders>
            <w:vAlign w:val="center"/>
          </w:tcPr>
          <w:p w14:paraId="0834B52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8" w:type="dxa"/>
            <w:tcBorders>
              <w:top w:val="single" w:color="auto" w:sz="4" w:space="0"/>
              <w:left w:val="single" w:color="auto" w:sz="4" w:space="0"/>
              <w:bottom w:val="single" w:color="auto" w:sz="4" w:space="0"/>
              <w:right w:val="single" w:color="auto" w:sz="4" w:space="0"/>
            </w:tcBorders>
            <w:vAlign w:val="center"/>
          </w:tcPr>
          <w:p w14:paraId="4CD36A5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9" w:type="dxa"/>
            <w:tcBorders>
              <w:top w:val="single" w:color="auto" w:sz="4" w:space="0"/>
              <w:left w:val="single" w:color="auto" w:sz="4" w:space="0"/>
              <w:bottom w:val="single" w:color="auto" w:sz="4" w:space="0"/>
              <w:right w:val="single" w:color="auto" w:sz="4" w:space="0"/>
            </w:tcBorders>
            <w:vAlign w:val="center"/>
          </w:tcPr>
          <w:p w14:paraId="37F038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4" w:type="dxa"/>
            <w:tcBorders>
              <w:top w:val="single" w:color="auto" w:sz="4" w:space="0"/>
              <w:left w:val="single" w:color="auto" w:sz="4" w:space="0"/>
              <w:bottom w:val="single" w:color="auto" w:sz="4" w:space="0"/>
              <w:right w:val="single" w:color="auto" w:sz="4" w:space="0"/>
            </w:tcBorders>
            <w:vAlign w:val="center"/>
          </w:tcPr>
          <w:p w14:paraId="246BA44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2611867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3C8971B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690E0B9D">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401B2DF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856" w:type="dxa"/>
            <w:tcBorders>
              <w:top w:val="single" w:color="auto" w:sz="4" w:space="0"/>
              <w:left w:val="single" w:color="auto" w:sz="4" w:space="0"/>
              <w:bottom w:val="single" w:color="auto" w:sz="4" w:space="0"/>
              <w:right w:val="single" w:color="auto" w:sz="4" w:space="0"/>
            </w:tcBorders>
            <w:vAlign w:val="center"/>
          </w:tcPr>
          <w:p w14:paraId="06D60D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8" w:type="dxa"/>
            <w:tcBorders>
              <w:top w:val="single" w:color="auto" w:sz="4" w:space="0"/>
              <w:left w:val="single" w:color="auto" w:sz="4" w:space="0"/>
              <w:bottom w:val="single" w:color="auto" w:sz="4" w:space="0"/>
              <w:right w:val="single" w:color="auto" w:sz="4" w:space="0"/>
            </w:tcBorders>
            <w:vAlign w:val="center"/>
          </w:tcPr>
          <w:p w14:paraId="5946BF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9" w:type="dxa"/>
            <w:tcBorders>
              <w:top w:val="single" w:color="auto" w:sz="4" w:space="0"/>
              <w:left w:val="single" w:color="auto" w:sz="4" w:space="0"/>
              <w:bottom w:val="single" w:color="auto" w:sz="4" w:space="0"/>
              <w:right w:val="single" w:color="auto" w:sz="4" w:space="0"/>
            </w:tcBorders>
            <w:vAlign w:val="center"/>
          </w:tcPr>
          <w:p w14:paraId="3FFDB78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4" w:type="dxa"/>
            <w:tcBorders>
              <w:top w:val="single" w:color="auto" w:sz="4" w:space="0"/>
              <w:left w:val="single" w:color="auto" w:sz="4" w:space="0"/>
              <w:bottom w:val="single" w:color="auto" w:sz="4" w:space="0"/>
              <w:right w:val="single" w:color="auto" w:sz="4" w:space="0"/>
            </w:tcBorders>
            <w:vAlign w:val="center"/>
          </w:tcPr>
          <w:p w14:paraId="3F9A60F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282F3F6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6B815E1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31C13199">
        <w:tblPrEx>
          <w:tblCellMar>
            <w:top w:w="0" w:type="dxa"/>
            <w:left w:w="57" w:type="dxa"/>
            <w:bottom w:w="0" w:type="dxa"/>
            <w:right w:w="57" w:type="dxa"/>
          </w:tblCellMar>
        </w:tblPrEx>
        <w:trPr>
          <w:cantSplit/>
          <w:trHeight w:val="23" w:hRule="atLeast"/>
          <w:jc w:val="center"/>
        </w:trPr>
        <w:tc>
          <w:tcPr>
            <w:tcW w:w="1006" w:type="dxa"/>
            <w:tcBorders>
              <w:top w:val="single" w:color="auto" w:sz="4" w:space="0"/>
              <w:left w:val="single" w:color="auto" w:sz="4" w:space="0"/>
              <w:bottom w:val="single" w:color="auto" w:sz="4" w:space="0"/>
              <w:right w:val="single" w:color="auto" w:sz="4" w:space="0"/>
            </w:tcBorders>
            <w:vAlign w:val="center"/>
          </w:tcPr>
          <w:p w14:paraId="3FC14FF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856" w:type="dxa"/>
            <w:tcBorders>
              <w:top w:val="single" w:color="auto" w:sz="4" w:space="0"/>
              <w:left w:val="single" w:color="auto" w:sz="4" w:space="0"/>
              <w:bottom w:val="single" w:color="auto" w:sz="4" w:space="0"/>
              <w:right w:val="single" w:color="auto" w:sz="4" w:space="0"/>
            </w:tcBorders>
            <w:vAlign w:val="center"/>
          </w:tcPr>
          <w:p w14:paraId="5B5F35D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8" w:type="dxa"/>
            <w:tcBorders>
              <w:top w:val="single" w:color="auto" w:sz="4" w:space="0"/>
              <w:left w:val="single" w:color="auto" w:sz="4" w:space="0"/>
              <w:bottom w:val="single" w:color="auto" w:sz="4" w:space="0"/>
              <w:right w:val="single" w:color="auto" w:sz="4" w:space="0"/>
            </w:tcBorders>
            <w:vAlign w:val="center"/>
          </w:tcPr>
          <w:p w14:paraId="566EB83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129" w:type="dxa"/>
            <w:tcBorders>
              <w:top w:val="single" w:color="auto" w:sz="4" w:space="0"/>
              <w:left w:val="single" w:color="auto" w:sz="4" w:space="0"/>
              <w:bottom w:val="single" w:color="auto" w:sz="4" w:space="0"/>
              <w:right w:val="single" w:color="auto" w:sz="4" w:space="0"/>
            </w:tcBorders>
            <w:vAlign w:val="center"/>
          </w:tcPr>
          <w:p w14:paraId="2A5D089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14" w:type="dxa"/>
            <w:tcBorders>
              <w:top w:val="single" w:color="auto" w:sz="4" w:space="0"/>
              <w:left w:val="single" w:color="auto" w:sz="4" w:space="0"/>
              <w:bottom w:val="single" w:color="auto" w:sz="4" w:space="0"/>
              <w:right w:val="single" w:color="auto" w:sz="4" w:space="0"/>
            </w:tcBorders>
            <w:vAlign w:val="center"/>
          </w:tcPr>
          <w:p w14:paraId="2D881C6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357" w:type="dxa"/>
            <w:tcBorders>
              <w:top w:val="single" w:color="auto" w:sz="4" w:space="0"/>
              <w:left w:val="single" w:color="auto" w:sz="4" w:space="0"/>
              <w:bottom w:val="single" w:color="auto" w:sz="4" w:space="0"/>
              <w:right w:val="single" w:color="auto" w:sz="4" w:space="0"/>
            </w:tcBorders>
            <w:vAlign w:val="center"/>
          </w:tcPr>
          <w:p w14:paraId="5288CB2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1210" w:type="dxa"/>
            <w:tcBorders>
              <w:top w:val="single" w:color="auto" w:sz="4" w:space="0"/>
              <w:left w:val="single" w:color="auto" w:sz="4" w:space="0"/>
              <w:bottom w:val="single" w:color="auto" w:sz="4" w:space="0"/>
              <w:right w:val="single" w:color="auto" w:sz="4" w:space="0"/>
            </w:tcBorders>
            <w:vAlign w:val="center"/>
          </w:tcPr>
          <w:p w14:paraId="5C6D168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bl>
    <w:p w14:paraId="57F4C3C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根据上述采购合同文件要求，本采购合同的总金额为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300207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bCs/>
          <w:color w:val="auto"/>
          <w:sz w:val="24"/>
          <w:szCs w:val="24"/>
          <w:lang w:eastAsia="zh-CN"/>
        </w:rPr>
        <w:t>编制费、人员工资、保险费、代理服务费、税金及其他不可预见费等全部费用</w:t>
      </w:r>
      <w:r>
        <w:rPr>
          <w:rFonts w:hint="eastAsia" w:ascii="宋体" w:hAnsi="宋体" w:eastAsia="宋体" w:cs="宋体"/>
          <w:color w:val="auto"/>
          <w:sz w:val="24"/>
          <w:szCs w:val="24"/>
          <w:lang w:val="zh-CN"/>
        </w:rPr>
        <w:t>。</w:t>
      </w:r>
    </w:p>
    <w:p w14:paraId="25F872C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lang w:val="zh-CN"/>
        </w:rPr>
        <w:t>期限、地点和要求</w:t>
      </w:r>
    </w:p>
    <w:p w14:paraId="1AB4975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服务期限：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zh-CN"/>
        </w:rPr>
        <w:t>服务地点：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7BD2602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val="zh-CN"/>
        </w:rPr>
        <w:t>、响应文件和本合同规定的产品（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），甲方有权拒绝接受。</w:t>
      </w:r>
    </w:p>
    <w:p w14:paraId="4DDC4D3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所有材料</w:t>
      </w:r>
      <w:r>
        <w:rPr>
          <w:rFonts w:hint="eastAsia" w:ascii="宋体" w:hAnsi="宋体" w:eastAsia="宋体" w:cs="宋体"/>
          <w:color w:val="auto"/>
          <w:sz w:val="24"/>
          <w:szCs w:val="24"/>
          <w:lang w:val="zh-CN"/>
        </w:rPr>
        <w:t>交付给甲方，如有缺失应及时补齐，否则视为逾期交货。</w:t>
      </w:r>
    </w:p>
    <w:p w14:paraId="16D053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w:t>
      </w:r>
      <w:r>
        <w:rPr>
          <w:rFonts w:hint="eastAsia" w:ascii="宋体" w:hAnsi="宋体" w:eastAsia="宋体" w:cs="宋体"/>
          <w:color w:val="auto"/>
          <w:sz w:val="24"/>
          <w:szCs w:val="24"/>
          <w:lang w:val="en-US" w:eastAsia="zh-CN"/>
        </w:rPr>
        <w:t>项目完成后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个工作日内进行验收，逾期不验收的，乙方可视为验收合格。验收合格后，由甲乙双方签署验收单并加盖采购人公章，甲乙双方各执一份。</w:t>
      </w:r>
    </w:p>
    <w:p w14:paraId="4DB1682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甲方在验收过程中发现乙方有违约问题，可按</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val="zh-CN"/>
        </w:rPr>
        <w:t>、响应文件的规定要求乙方及时予以解决。</w:t>
      </w:r>
    </w:p>
    <w:p w14:paraId="5252BA1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乙方向甲方提供产品相关完税销售发票。</w:t>
      </w:r>
    </w:p>
    <w:p w14:paraId="60E3E69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val="zh-CN"/>
        </w:rPr>
        <w:t>、付款方式</w:t>
      </w:r>
    </w:p>
    <w:p w14:paraId="7DA5B84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具体付款方式、付款比例等事项在签订合同时由甲、乙双方自行约定。</w:t>
      </w:r>
    </w:p>
    <w:p w14:paraId="6D94DDB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38DC555D">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7C59575C">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3C0686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6DE7B9AB">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C29D7D5">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6CD7E059">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899C46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50AD91A3">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6430382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06BE90D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43782F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081ED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FADB714">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000FD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59FA29E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61682D3E">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084BB11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5EA9939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1F8CC65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7295DAE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天对方有权解除合同，违约方承担因此给对方造成的经济损失。</w:t>
      </w:r>
    </w:p>
    <w:p w14:paraId="4D230F8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05D07F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1A0C1A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00818BE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0CF8E21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498F3944">
      <w:pPr>
        <w:numPr>
          <w:ilvl w:val="0"/>
          <w:numId w:val="0"/>
        </w:num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bidi="ar-SA"/>
        </w:rPr>
        <w:t>十、</w:t>
      </w:r>
      <w:r>
        <w:rPr>
          <w:rFonts w:hint="eastAsia" w:ascii="宋体" w:hAnsi="宋体" w:eastAsia="宋体" w:cs="宋体"/>
          <w:b/>
          <w:bCs/>
          <w:color w:val="auto"/>
          <w:sz w:val="24"/>
          <w:szCs w:val="24"/>
          <w:lang w:val="zh-CN"/>
        </w:rPr>
        <w:t>知识产权：</w:t>
      </w:r>
    </w:p>
    <w:p w14:paraId="29742C3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37A00B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07789E9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EF52E2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0847EF4E">
      <w:pPr>
        <w:pStyle w:val="11"/>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27D9DE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6F0ED5FF">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5EC96E5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4779CE2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04E9DD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F19A31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74E88DC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0D91330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3B3201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14:paraId="42A3096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1C20831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14:paraId="5F91F01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14:paraId="42FB5D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地址：</w:t>
      </w:r>
    </w:p>
    <w:p w14:paraId="10FC94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14:paraId="31D17BD2">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lang w:val="zh-CN"/>
        </w:rPr>
      </w:pPr>
    </w:p>
    <w:p w14:paraId="3355D667">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3FF8BA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p>
    <w:p w14:paraId="558107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采购代理机构：青海鼎钊招标代理有限公司</w:t>
      </w:r>
    </w:p>
    <w:p w14:paraId="13A9D2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622DD051">
      <w:pPr>
        <w:wordWrap w:val="0"/>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791D31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6E0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F074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DDF074F">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4F27"/>
    <w:multiLevelType w:val="singleLevel"/>
    <w:tmpl w:val="5EC64F27"/>
    <w:lvl w:ilvl="0" w:tentative="0">
      <w:start w:val="1"/>
      <w:numFmt w:val="decimal"/>
      <w:suff w:val="nothing"/>
      <w:lvlText w:val="（%1）"/>
      <w:lvlJc w:val="left"/>
    </w:lvl>
  </w:abstractNum>
  <w:abstractNum w:abstractNumId="1">
    <w:nsid w:val="6CCC4534"/>
    <w:multiLevelType w:val="singleLevel"/>
    <w:tmpl w:val="6CCC453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ZTE3MDExMWUzMjJiNzEyMjNiYWY5MjMwMjMxMTYifQ=="/>
  </w:docVars>
  <w:rsids>
    <w:rsidRoot w:val="7D9B5E16"/>
    <w:rsid w:val="007E0A21"/>
    <w:rsid w:val="00AC446D"/>
    <w:rsid w:val="01360BD1"/>
    <w:rsid w:val="01690716"/>
    <w:rsid w:val="02272067"/>
    <w:rsid w:val="02637B1D"/>
    <w:rsid w:val="02664A99"/>
    <w:rsid w:val="02757C38"/>
    <w:rsid w:val="02A9297E"/>
    <w:rsid w:val="03442F30"/>
    <w:rsid w:val="03A34D06"/>
    <w:rsid w:val="03E53D21"/>
    <w:rsid w:val="03EB6161"/>
    <w:rsid w:val="04474517"/>
    <w:rsid w:val="044807EB"/>
    <w:rsid w:val="04DE17B1"/>
    <w:rsid w:val="04F70BD1"/>
    <w:rsid w:val="05210BC9"/>
    <w:rsid w:val="053D1DE9"/>
    <w:rsid w:val="055D0822"/>
    <w:rsid w:val="056913B5"/>
    <w:rsid w:val="05E12013"/>
    <w:rsid w:val="05FD3580"/>
    <w:rsid w:val="05FE3B9A"/>
    <w:rsid w:val="06057AFB"/>
    <w:rsid w:val="0624278B"/>
    <w:rsid w:val="069C28B1"/>
    <w:rsid w:val="06F2641E"/>
    <w:rsid w:val="07867AF5"/>
    <w:rsid w:val="08353F26"/>
    <w:rsid w:val="08410597"/>
    <w:rsid w:val="0891104C"/>
    <w:rsid w:val="097D3829"/>
    <w:rsid w:val="0A536242"/>
    <w:rsid w:val="0A801DDE"/>
    <w:rsid w:val="0A910426"/>
    <w:rsid w:val="0AED28F4"/>
    <w:rsid w:val="0B2B4C7E"/>
    <w:rsid w:val="0BB54002"/>
    <w:rsid w:val="0BF23610"/>
    <w:rsid w:val="0C661388"/>
    <w:rsid w:val="0CA87A52"/>
    <w:rsid w:val="0D256ADD"/>
    <w:rsid w:val="0D616E1A"/>
    <w:rsid w:val="0D711167"/>
    <w:rsid w:val="0DC739FA"/>
    <w:rsid w:val="0DCF044E"/>
    <w:rsid w:val="0E783BEB"/>
    <w:rsid w:val="0E874D29"/>
    <w:rsid w:val="0E900E79"/>
    <w:rsid w:val="0E930373"/>
    <w:rsid w:val="0F305725"/>
    <w:rsid w:val="10161A44"/>
    <w:rsid w:val="109055EB"/>
    <w:rsid w:val="10DE48CA"/>
    <w:rsid w:val="11312A9F"/>
    <w:rsid w:val="11FB2BE7"/>
    <w:rsid w:val="120D1F67"/>
    <w:rsid w:val="12400F8A"/>
    <w:rsid w:val="1289645E"/>
    <w:rsid w:val="1393520E"/>
    <w:rsid w:val="13BC0277"/>
    <w:rsid w:val="13D2255B"/>
    <w:rsid w:val="14145796"/>
    <w:rsid w:val="14526E5B"/>
    <w:rsid w:val="1532490E"/>
    <w:rsid w:val="15E94352"/>
    <w:rsid w:val="15F101D1"/>
    <w:rsid w:val="15F6771B"/>
    <w:rsid w:val="160A7634"/>
    <w:rsid w:val="16224EA1"/>
    <w:rsid w:val="16932406"/>
    <w:rsid w:val="1716030D"/>
    <w:rsid w:val="17B514B3"/>
    <w:rsid w:val="1802614F"/>
    <w:rsid w:val="181531AE"/>
    <w:rsid w:val="185A675A"/>
    <w:rsid w:val="18631644"/>
    <w:rsid w:val="186F7576"/>
    <w:rsid w:val="18713337"/>
    <w:rsid w:val="18C211CC"/>
    <w:rsid w:val="18CA0F64"/>
    <w:rsid w:val="19062DC6"/>
    <w:rsid w:val="19227628"/>
    <w:rsid w:val="192946A2"/>
    <w:rsid w:val="19E10B40"/>
    <w:rsid w:val="1A977682"/>
    <w:rsid w:val="1ACC3E1B"/>
    <w:rsid w:val="1AD11780"/>
    <w:rsid w:val="1AEF3DAC"/>
    <w:rsid w:val="1B662DBF"/>
    <w:rsid w:val="1C0363DF"/>
    <w:rsid w:val="1C2F5B31"/>
    <w:rsid w:val="1CCE181D"/>
    <w:rsid w:val="1D7542D0"/>
    <w:rsid w:val="1D9A4A78"/>
    <w:rsid w:val="1E2F4669"/>
    <w:rsid w:val="1E662D79"/>
    <w:rsid w:val="1E756FFB"/>
    <w:rsid w:val="1ED74A41"/>
    <w:rsid w:val="1EED3CFC"/>
    <w:rsid w:val="1EF65831"/>
    <w:rsid w:val="1F1D4355"/>
    <w:rsid w:val="20525060"/>
    <w:rsid w:val="20653333"/>
    <w:rsid w:val="207F0C88"/>
    <w:rsid w:val="20ED75FE"/>
    <w:rsid w:val="214F6B44"/>
    <w:rsid w:val="21C422F5"/>
    <w:rsid w:val="22203F2D"/>
    <w:rsid w:val="223C5C3C"/>
    <w:rsid w:val="2272669E"/>
    <w:rsid w:val="227F4D71"/>
    <w:rsid w:val="2280389A"/>
    <w:rsid w:val="231A452F"/>
    <w:rsid w:val="23FC7CA6"/>
    <w:rsid w:val="241223D6"/>
    <w:rsid w:val="24262BC4"/>
    <w:rsid w:val="247C2A7C"/>
    <w:rsid w:val="24A72620"/>
    <w:rsid w:val="24FD76C4"/>
    <w:rsid w:val="25106A27"/>
    <w:rsid w:val="25A60401"/>
    <w:rsid w:val="262A5144"/>
    <w:rsid w:val="26806F3F"/>
    <w:rsid w:val="26856E0D"/>
    <w:rsid w:val="26B0198D"/>
    <w:rsid w:val="27165D37"/>
    <w:rsid w:val="278F5CF9"/>
    <w:rsid w:val="28773DCD"/>
    <w:rsid w:val="28ED597C"/>
    <w:rsid w:val="292C0CDB"/>
    <w:rsid w:val="29712103"/>
    <w:rsid w:val="29907531"/>
    <w:rsid w:val="2AD8222D"/>
    <w:rsid w:val="2ADE5E46"/>
    <w:rsid w:val="2B78699C"/>
    <w:rsid w:val="2B861E09"/>
    <w:rsid w:val="2BBE1EA7"/>
    <w:rsid w:val="2C2E5CBB"/>
    <w:rsid w:val="2CC30608"/>
    <w:rsid w:val="2D154D7E"/>
    <w:rsid w:val="2EB54D10"/>
    <w:rsid w:val="2F173B14"/>
    <w:rsid w:val="2F2319C5"/>
    <w:rsid w:val="2F7A1819"/>
    <w:rsid w:val="2F7B1CC0"/>
    <w:rsid w:val="2FD74D0A"/>
    <w:rsid w:val="307C6D0A"/>
    <w:rsid w:val="307F505D"/>
    <w:rsid w:val="30B46ED7"/>
    <w:rsid w:val="30D84A6D"/>
    <w:rsid w:val="31CD6FAF"/>
    <w:rsid w:val="32B43807"/>
    <w:rsid w:val="333853AE"/>
    <w:rsid w:val="34184F37"/>
    <w:rsid w:val="342873FA"/>
    <w:rsid w:val="348875DC"/>
    <w:rsid w:val="35061DD1"/>
    <w:rsid w:val="351554C0"/>
    <w:rsid w:val="356B65D3"/>
    <w:rsid w:val="361D0D1B"/>
    <w:rsid w:val="36E52470"/>
    <w:rsid w:val="37E21BB6"/>
    <w:rsid w:val="37EA0A78"/>
    <w:rsid w:val="381009F4"/>
    <w:rsid w:val="38177AC2"/>
    <w:rsid w:val="38330237"/>
    <w:rsid w:val="39513AD4"/>
    <w:rsid w:val="39E61C93"/>
    <w:rsid w:val="39F747FF"/>
    <w:rsid w:val="3AD61226"/>
    <w:rsid w:val="3AF96301"/>
    <w:rsid w:val="3C0E6A8C"/>
    <w:rsid w:val="3C126A18"/>
    <w:rsid w:val="3C575D49"/>
    <w:rsid w:val="3CDA061D"/>
    <w:rsid w:val="3D4C7081"/>
    <w:rsid w:val="3D9F3525"/>
    <w:rsid w:val="3DCC1178"/>
    <w:rsid w:val="3DF96E3A"/>
    <w:rsid w:val="3E004C98"/>
    <w:rsid w:val="3E2117F6"/>
    <w:rsid w:val="3E3B0987"/>
    <w:rsid w:val="3E6F1C2A"/>
    <w:rsid w:val="3E8B153F"/>
    <w:rsid w:val="3F000963"/>
    <w:rsid w:val="3F140CE0"/>
    <w:rsid w:val="3FB67852"/>
    <w:rsid w:val="3FCC1BB2"/>
    <w:rsid w:val="3FFA1B0C"/>
    <w:rsid w:val="40B97554"/>
    <w:rsid w:val="411804D0"/>
    <w:rsid w:val="4181514B"/>
    <w:rsid w:val="42B05AFD"/>
    <w:rsid w:val="42E1293B"/>
    <w:rsid w:val="43137493"/>
    <w:rsid w:val="43803F8D"/>
    <w:rsid w:val="43815049"/>
    <w:rsid w:val="440D460E"/>
    <w:rsid w:val="44107D9B"/>
    <w:rsid w:val="444B7008"/>
    <w:rsid w:val="44D44EB9"/>
    <w:rsid w:val="44D577C1"/>
    <w:rsid w:val="458D0293"/>
    <w:rsid w:val="45EE208A"/>
    <w:rsid w:val="460515BC"/>
    <w:rsid w:val="46A105A3"/>
    <w:rsid w:val="46E25A83"/>
    <w:rsid w:val="46EA71D0"/>
    <w:rsid w:val="47176167"/>
    <w:rsid w:val="471D1690"/>
    <w:rsid w:val="47450AB2"/>
    <w:rsid w:val="47C462E6"/>
    <w:rsid w:val="47CF0B1D"/>
    <w:rsid w:val="47E23378"/>
    <w:rsid w:val="494B2460"/>
    <w:rsid w:val="4A0D491F"/>
    <w:rsid w:val="4A426816"/>
    <w:rsid w:val="4A5342C9"/>
    <w:rsid w:val="4AD87F7A"/>
    <w:rsid w:val="4ADC6818"/>
    <w:rsid w:val="4B0D0700"/>
    <w:rsid w:val="4B1C50F9"/>
    <w:rsid w:val="4B9F2679"/>
    <w:rsid w:val="4C325F3B"/>
    <w:rsid w:val="4C8D39F2"/>
    <w:rsid w:val="4CB10ACF"/>
    <w:rsid w:val="4CC01E86"/>
    <w:rsid w:val="4D2B7562"/>
    <w:rsid w:val="4D8365F1"/>
    <w:rsid w:val="4D907A56"/>
    <w:rsid w:val="4DBB6D90"/>
    <w:rsid w:val="4DDB03B5"/>
    <w:rsid w:val="4DED4A76"/>
    <w:rsid w:val="4ED72EBD"/>
    <w:rsid w:val="4EE202E0"/>
    <w:rsid w:val="4F5C1D7A"/>
    <w:rsid w:val="509F29B8"/>
    <w:rsid w:val="51271052"/>
    <w:rsid w:val="5176769E"/>
    <w:rsid w:val="519017FF"/>
    <w:rsid w:val="51B22AB2"/>
    <w:rsid w:val="51C15159"/>
    <w:rsid w:val="51ED7A1C"/>
    <w:rsid w:val="51FE4E47"/>
    <w:rsid w:val="51FE73D1"/>
    <w:rsid w:val="529D29BD"/>
    <w:rsid w:val="53534733"/>
    <w:rsid w:val="535B4140"/>
    <w:rsid w:val="53B41740"/>
    <w:rsid w:val="53E9079A"/>
    <w:rsid w:val="54AB36A4"/>
    <w:rsid w:val="5571016F"/>
    <w:rsid w:val="557F61CB"/>
    <w:rsid w:val="55B04C26"/>
    <w:rsid w:val="55C1045E"/>
    <w:rsid w:val="55F51E57"/>
    <w:rsid w:val="56CE1471"/>
    <w:rsid w:val="57F27B11"/>
    <w:rsid w:val="587D00AE"/>
    <w:rsid w:val="58C123C1"/>
    <w:rsid w:val="58E757E0"/>
    <w:rsid w:val="59361F1D"/>
    <w:rsid w:val="595A169C"/>
    <w:rsid w:val="59970A44"/>
    <w:rsid w:val="59D24C95"/>
    <w:rsid w:val="5A1A3670"/>
    <w:rsid w:val="5A64644D"/>
    <w:rsid w:val="5AA26202"/>
    <w:rsid w:val="5ACD57F6"/>
    <w:rsid w:val="5AEF00AC"/>
    <w:rsid w:val="5B86741A"/>
    <w:rsid w:val="5BFA2163"/>
    <w:rsid w:val="5CC84CFD"/>
    <w:rsid w:val="5D4A3A21"/>
    <w:rsid w:val="5D6408DE"/>
    <w:rsid w:val="5E814705"/>
    <w:rsid w:val="5EA06FBA"/>
    <w:rsid w:val="5EEB0B5D"/>
    <w:rsid w:val="5F5C1802"/>
    <w:rsid w:val="5F8038FF"/>
    <w:rsid w:val="60AE2DC5"/>
    <w:rsid w:val="60F25329"/>
    <w:rsid w:val="62BD2BCA"/>
    <w:rsid w:val="639302F4"/>
    <w:rsid w:val="64A13896"/>
    <w:rsid w:val="650807B8"/>
    <w:rsid w:val="650A694C"/>
    <w:rsid w:val="661E127D"/>
    <w:rsid w:val="6628294C"/>
    <w:rsid w:val="6658601C"/>
    <w:rsid w:val="666E6D57"/>
    <w:rsid w:val="668C6B1C"/>
    <w:rsid w:val="668D11B6"/>
    <w:rsid w:val="66DF6D75"/>
    <w:rsid w:val="66E1441D"/>
    <w:rsid w:val="672C0C6D"/>
    <w:rsid w:val="67466E44"/>
    <w:rsid w:val="685D5724"/>
    <w:rsid w:val="6A265D97"/>
    <w:rsid w:val="6AC11213"/>
    <w:rsid w:val="6B1704BF"/>
    <w:rsid w:val="6B9E07C2"/>
    <w:rsid w:val="6BB6488D"/>
    <w:rsid w:val="6BC0391C"/>
    <w:rsid w:val="6CB03D06"/>
    <w:rsid w:val="6CB51DAA"/>
    <w:rsid w:val="6D484EC2"/>
    <w:rsid w:val="6E0E5729"/>
    <w:rsid w:val="6E4C2E04"/>
    <w:rsid w:val="6E672B2B"/>
    <w:rsid w:val="6F443BEB"/>
    <w:rsid w:val="6F7922B4"/>
    <w:rsid w:val="6FB824BF"/>
    <w:rsid w:val="714656D3"/>
    <w:rsid w:val="714C1AB3"/>
    <w:rsid w:val="71970FEB"/>
    <w:rsid w:val="71E64DF1"/>
    <w:rsid w:val="71FF443F"/>
    <w:rsid w:val="7202096F"/>
    <w:rsid w:val="72F0558E"/>
    <w:rsid w:val="73972F2B"/>
    <w:rsid w:val="73AD01CF"/>
    <w:rsid w:val="74435D47"/>
    <w:rsid w:val="75053FA4"/>
    <w:rsid w:val="757F7E3A"/>
    <w:rsid w:val="75BE3D92"/>
    <w:rsid w:val="76275612"/>
    <w:rsid w:val="7646191B"/>
    <w:rsid w:val="76473B85"/>
    <w:rsid w:val="76EF237F"/>
    <w:rsid w:val="76FE6E62"/>
    <w:rsid w:val="770706D4"/>
    <w:rsid w:val="77864563"/>
    <w:rsid w:val="785724B6"/>
    <w:rsid w:val="78796757"/>
    <w:rsid w:val="789F6743"/>
    <w:rsid w:val="79465555"/>
    <w:rsid w:val="7A155FD6"/>
    <w:rsid w:val="7C355CCF"/>
    <w:rsid w:val="7CAD14C7"/>
    <w:rsid w:val="7CBE2019"/>
    <w:rsid w:val="7CE5560B"/>
    <w:rsid w:val="7D38495C"/>
    <w:rsid w:val="7D403C79"/>
    <w:rsid w:val="7D9B5E16"/>
    <w:rsid w:val="7E143686"/>
    <w:rsid w:val="7E5A55AC"/>
    <w:rsid w:val="7E7F7D0E"/>
    <w:rsid w:val="7EE73E3D"/>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widowControl/>
      <w:spacing w:line="360" w:lineRule="auto"/>
      <w:jc w:val="left"/>
    </w:pPr>
    <w:rPr>
      <w:rFonts w:ascii="仿宋体" w:hAnsi="Times New Roman" w:eastAsia="仿宋体"/>
      <w:kern w:val="0"/>
      <w:sz w:val="24"/>
      <w:szCs w:val="20"/>
    </w:rPr>
  </w:style>
  <w:style w:type="paragraph" w:styleId="7">
    <w:name w:val="Note Heading"/>
    <w:basedOn w:val="1"/>
    <w:next w:val="1"/>
    <w:qFormat/>
    <w:uiPriority w:val="0"/>
    <w:pPr>
      <w:jc w:val="center"/>
    </w:p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spacing w:after="120" w:afterLines="0"/>
      <w:ind w:left="420" w:leftChars="200"/>
    </w:pPr>
    <w:rPr>
      <w:sz w:val="16"/>
      <w:szCs w:val="20"/>
    </w:rPr>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02396F"/>
      <w:u w:val="single"/>
    </w:rPr>
  </w:style>
  <w:style w:type="character" w:styleId="25">
    <w:name w:val="Hyperlink"/>
    <w:basedOn w:val="21"/>
    <w:qFormat/>
    <w:uiPriority w:val="0"/>
    <w:rPr>
      <w:rFonts w:ascii="微软雅黑" w:hAnsi="微软雅黑" w:eastAsia="微软雅黑" w:cs="微软雅黑"/>
      <w:color w:val="02396F"/>
      <w:u w:val="single"/>
    </w:rPr>
  </w:style>
  <w:style w:type="character" w:styleId="26">
    <w:name w:val="HTML Sample"/>
    <w:basedOn w:val="21"/>
    <w:qFormat/>
    <w:uiPriority w:val="0"/>
    <w:rPr>
      <w:rFonts w:ascii="Courier New" w:hAnsi="Courier New"/>
    </w:rPr>
  </w:style>
  <w:style w:type="paragraph" w:styleId="27">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5">
    <w:name w:val="gjfg"/>
    <w:basedOn w:val="21"/>
    <w:qFormat/>
    <w:uiPriority w:val="0"/>
  </w:style>
  <w:style w:type="character" w:customStyle="1" w:styleId="36">
    <w:name w:val="displayarti"/>
    <w:basedOn w:val="21"/>
    <w:qFormat/>
    <w:uiPriority w:val="0"/>
    <w:rPr>
      <w:color w:val="FFFFFF"/>
      <w:shd w:val="clear" w:color="010000" w:fill="A00000"/>
    </w:rPr>
  </w:style>
  <w:style w:type="character" w:customStyle="1" w:styleId="37">
    <w:name w:val="redfilefwwh"/>
    <w:basedOn w:val="21"/>
    <w:qFormat/>
    <w:uiPriority w:val="0"/>
    <w:rPr>
      <w:color w:val="BA2636"/>
      <w:sz w:val="14"/>
      <w:szCs w:val="14"/>
    </w:rPr>
  </w:style>
  <w:style w:type="character" w:customStyle="1" w:styleId="38">
    <w:name w:val="redfilenumber"/>
    <w:basedOn w:val="21"/>
    <w:qFormat/>
    <w:uiPriority w:val="0"/>
    <w:rPr>
      <w:color w:val="BA2636"/>
      <w:sz w:val="14"/>
      <w:szCs w:val="14"/>
    </w:rPr>
  </w:style>
  <w:style w:type="character" w:customStyle="1" w:styleId="39">
    <w:name w:val="qxdate"/>
    <w:basedOn w:val="21"/>
    <w:qFormat/>
    <w:uiPriority w:val="0"/>
    <w:rPr>
      <w:color w:val="333333"/>
      <w:sz w:val="14"/>
      <w:szCs w:val="14"/>
    </w:rPr>
  </w:style>
  <w:style w:type="character" w:customStyle="1" w:styleId="40">
    <w:name w:val="cfdate"/>
    <w:basedOn w:val="21"/>
    <w:qFormat/>
    <w:uiPriority w:val="0"/>
    <w:rPr>
      <w:color w:val="333333"/>
      <w:sz w:val="14"/>
      <w:szCs w:val="14"/>
    </w:rPr>
  </w:style>
  <w:style w:type="character" w:customStyle="1" w:styleId="41">
    <w:name w:val="标题 1 Char"/>
    <w:link w:val="3"/>
    <w:qFormat/>
    <w:uiPriority w:val="0"/>
    <w:rPr>
      <w:b/>
      <w:bCs/>
      <w:sz w:val="24"/>
      <w:szCs w:val="20"/>
    </w:rPr>
  </w:style>
  <w:style w:type="character" w:customStyle="1" w:styleId="42">
    <w:name w:val="标题 3 Char"/>
    <w:link w:val="5"/>
    <w:qFormat/>
    <w:uiPriority w:val="0"/>
    <w:rPr>
      <w:b/>
      <w:bCs/>
      <w:sz w:val="32"/>
      <w:szCs w:val="32"/>
    </w:rPr>
  </w:style>
  <w:style w:type="paragraph" w:customStyle="1" w:styleId="43">
    <w:name w:val="Default"/>
    <w:next w:val="44"/>
    <w:qFormat/>
    <w:uiPriority w:val="99"/>
    <w:pPr>
      <w:widowControl w:val="0"/>
      <w:autoSpaceDE w:val="0"/>
      <w:autoSpaceDN w:val="0"/>
      <w:adjustRightInd w:val="0"/>
    </w:pPr>
    <w:rPr>
      <w:rFonts w:ascii="宋体" w:hAnsi="Times New Roman" w:eastAsia="宋体" w:cs="Times New Roman"/>
      <w:color w:val="000000"/>
      <w:kern w:val="0"/>
      <w:sz w:val="24"/>
      <w:szCs w:val="22"/>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kern w:val="0"/>
      <w:sz w:val="21"/>
      <w:szCs w:val="22"/>
      <w:lang w:val="en-US" w:eastAsia="zh-CN" w:bidi="ar-SA"/>
    </w:rPr>
  </w:style>
  <w:style w:type="paragraph" w:customStyle="1" w:styleId="45">
    <w:name w:val="Plain Text1"/>
    <w:basedOn w:val="1"/>
    <w:qFormat/>
    <w:uiPriority w:val="0"/>
    <w:pPr>
      <w:adjustRightInd w:val="0"/>
      <w:snapToGrid w:val="0"/>
      <w:spacing w:line="300" w:lineRule="auto"/>
      <w:jc w:val="center"/>
      <w:outlineLvl w:val="2"/>
    </w:pPr>
    <w:rPr>
      <w:rFonts w:ascii="宋体" w:hAnsi="Courier New" w:cs="Courier New"/>
      <w:b/>
      <w:bCs/>
      <w:sz w:val="28"/>
      <w:szCs w:val="21"/>
    </w:rPr>
  </w:style>
  <w:style w:type="paragraph" w:customStyle="1" w:styleId="46">
    <w:name w:val="列出段落1"/>
    <w:basedOn w:val="1"/>
    <w:autoRedefine/>
    <w:qFormat/>
    <w:uiPriority w:val="34"/>
    <w:pPr>
      <w:ind w:firstLine="42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16703</Words>
  <Characters>17532</Characters>
  <Lines>0</Lines>
  <Paragraphs>0</Paragraphs>
  <TotalTime>14</TotalTime>
  <ScaleCrop>false</ScaleCrop>
  <LinksUpToDate>false</LinksUpToDate>
  <CharactersWithSpaces>18505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陈生瑞(不忘初心)</cp:lastModifiedBy>
  <cp:lastPrinted>2020-12-30T07:36:00Z</cp:lastPrinted>
  <dcterms:modified xsi:type="dcterms:W3CDTF">2025-06-13T08:56:44Z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34A5E26DBFAD4F9CBF105B36910BD878_13</vt:lpwstr>
  </property>
  <property fmtid="{D5CDD505-2E9C-101B-9397-08002B2CF9AE}" pid="4" name="KSOTemplateDocerSaveRecord">
    <vt:lpwstr>eyJoZGlkIjoiZjJhZTE3MDExMWUzMjJiNzEyMjNiYWY5MjMwMjMxMTYiLCJ1c2VySWQiOiIyNDUxOTYyMzgifQ==</vt:lpwstr>
  </property>
</Properties>
</file>