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2012"/>
        <w:gridCol w:w="8359"/>
        <w:gridCol w:w="1226"/>
        <w:gridCol w:w="1045"/>
        <w:gridCol w:w="958"/>
      </w:tblGrid>
      <w:tr w14:paraId="592C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A8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50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标段名称</w:t>
            </w:r>
          </w:p>
        </w:tc>
        <w:tc>
          <w:tcPr>
            <w:tcW w:w="8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53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cs="Times New Roman"/>
                <w:b/>
                <w:bCs/>
                <w:i w:val="0"/>
                <w:iCs w:val="0"/>
                <w:color w:val="000000"/>
                <w:kern w:val="0"/>
                <w:sz w:val="20"/>
                <w:szCs w:val="20"/>
                <w:u w:val="none"/>
                <w:lang w:val="en-US" w:eastAsia="zh-CN" w:bidi="ar"/>
              </w:rPr>
              <w:t>招标范围</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78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工期要求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B0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交货地点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7B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信息服务费（元）</w:t>
            </w:r>
          </w:p>
        </w:tc>
      </w:tr>
      <w:tr w14:paraId="4E33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CC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526">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国家电投集团黄河上游水电开发有限责任公司</w:t>
            </w:r>
          </w:p>
          <w:p w14:paraId="5C65652F">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西宁发电分公司1号机组碎渣机增容及提升机改造项目</w:t>
            </w:r>
          </w:p>
        </w:tc>
        <w:tc>
          <w:tcPr>
            <w:tcW w:w="8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B9F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2.2招标范围</w:t>
            </w:r>
          </w:p>
          <w:p w14:paraId="2A95C68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2.2.1需提供的设备材料</w:t>
            </w:r>
          </w:p>
          <w:p w14:paraId="56FEF4D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负责西宁发电分公司1号机组碎渣机增容及提升机改造项目所需设备（软硬件及配套附属设备、材料）的选型设计、并提供整套改造项目设计方案，负责所需设备生产制造及相关检验、试验（包含工厂检验、出厂试验、现场检验、试验等）等；</w:t>
            </w:r>
          </w:p>
          <w:p w14:paraId="3EE56A4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（2）需要提供的设备（软硬件及配套附属设备、材料）清单：</w:t>
            </w:r>
          </w:p>
          <w:tbl>
            <w:tblPr>
              <w:tblStyle w:val="7"/>
              <w:tblpPr w:leftFromText="180" w:rightFromText="180" w:vertAnchor="text" w:horzAnchor="page" w:tblpX="218"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390"/>
              <w:gridCol w:w="1504"/>
              <w:gridCol w:w="767"/>
              <w:gridCol w:w="849"/>
              <w:gridCol w:w="1560"/>
            </w:tblGrid>
            <w:tr w14:paraId="3671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26" w:type="dxa"/>
                  <w:vAlign w:val="center"/>
                </w:tcPr>
                <w:p w14:paraId="67D83C5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b/>
                      <w:bCs w:val="0"/>
                      <w:color w:val="auto"/>
                      <w:sz w:val="18"/>
                      <w:szCs w:val="18"/>
                      <w:vertAlign w:val="baseline"/>
                    </w:rPr>
                  </w:pPr>
                  <w:r>
                    <w:rPr>
                      <w:rFonts w:hint="eastAsia" w:ascii="宋体" w:hAnsi="宋体" w:eastAsia="宋体" w:cs="Times New Roman"/>
                      <w:b/>
                      <w:bCs w:val="0"/>
                      <w:color w:val="auto"/>
                      <w:sz w:val="18"/>
                      <w:szCs w:val="18"/>
                    </w:rPr>
                    <w:t>序号</w:t>
                  </w:r>
                </w:p>
              </w:tc>
              <w:tc>
                <w:tcPr>
                  <w:tcW w:w="2390" w:type="dxa"/>
                  <w:vAlign w:val="center"/>
                </w:tcPr>
                <w:p w14:paraId="324882B6">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宋体" w:hAnsi="宋体"/>
                      <w:b/>
                      <w:bCs w:val="0"/>
                      <w:color w:val="auto"/>
                      <w:sz w:val="18"/>
                      <w:szCs w:val="18"/>
                      <w:vertAlign w:val="baseline"/>
                    </w:rPr>
                  </w:pPr>
                  <w:r>
                    <w:rPr>
                      <w:rFonts w:hint="eastAsia" w:ascii="宋体" w:hAnsi="宋体"/>
                      <w:b/>
                      <w:bCs w:val="0"/>
                      <w:color w:val="auto"/>
                      <w:sz w:val="18"/>
                      <w:szCs w:val="18"/>
                    </w:rPr>
                    <w:t>设备名称</w:t>
                  </w:r>
                </w:p>
              </w:tc>
              <w:tc>
                <w:tcPr>
                  <w:tcW w:w="1504" w:type="dxa"/>
                  <w:vAlign w:val="center"/>
                </w:tcPr>
                <w:p w14:paraId="63196F46">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宋体" w:hAnsi="宋体"/>
                      <w:b/>
                      <w:bCs w:val="0"/>
                      <w:color w:val="auto"/>
                      <w:sz w:val="18"/>
                      <w:szCs w:val="18"/>
                      <w:vertAlign w:val="baseline"/>
                    </w:rPr>
                  </w:pPr>
                  <w:r>
                    <w:rPr>
                      <w:rFonts w:hint="eastAsia" w:ascii="宋体" w:hAnsi="宋体"/>
                      <w:b/>
                      <w:bCs w:val="0"/>
                      <w:color w:val="auto"/>
                      <w:sz w:val="18"/>
                      <w:szCs w:val="18"/>
                    </w:rPr>
                    <w:t>规格型号</w:t>
                  </w:r>
                </w:p>
              </w:tc>
              <w:tc>
                <w:tcPr>
                  <w:tcW w:w="767" w:type="dxa"/>
                  <w:vAlign w:val="center"/>
                </w:tcPr>
                <w:p w14:paraId="368BF80F">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宋体" w:hAnsi="宋体"/>
                      <w:b/>
                      <w:bCs w:val="0"/>
                      <w:color w:val="auto"/>
                      <w:sz w:val="18"/>
                      <w:szCs w:val="18"/>
                      <w:vertAlign w:val="baseline"/>
                    </w:rPr>
                  </w:pPr>
                  <w:r>
                    <w:rPr>
                      <w:rFonts w:hint="eastAsia" w:ascii="宋体" w:hAnsi="宋体"/>
                      <w:b/>
                      <w:bCs w:val="0"/>
                      <w:color w:val="auto"/>
                      <w:sz w:val="18"/>
                      <w:szCs w:val="18"/>
                    </w:rPr>
                    <w:t>单位</w:t>
                  </w:r>
                </w:p>
              </w:tc>
              <w:tc>
                <w:tcPr>
                  <w:tcW w:w="849" w:type="dxa"/>
                  <w:vAlign w:val="center"/>
                </w:tcPr>
                <w:p w14:paraId="790C1412">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宋体" w:hAnsi="宋体"/>
                      <w:b/>
                      <w:bCs w:val="0"/>
                      <w:color w:val="auto"/>
                      <w:sz w:val="18"/>
                      <w:szCs w:val="18"/>
                    </w:rPr>
                  </w:pPr>
                  <w:r>
                    <w:rPr>
                      <w:rFonts w:hint="eastAsia" w:ascii="宋体" w:hAnsi="宋体"/>
                      <w:b/>
                      <w:bCs w:val="0"/>
                      <w:color w:val="auto"/>
                      <w:sz w:val="18"/>
                      <w:szCs w:val="18"/>
                    </w:rPr>
                    <w:t>数量</w:t>
                  </w:r>
                </w:p>
              </w:tc>
              <w:tc>
                <w:tcPr>
                  <w:tcW w:w="1560" w:type="dxa"/>
                  <w:vAlign w:val="center"/>
                </w:tcPr>
                <w:p w14:paraId="73988F00">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宋体" w:hAnsi="宋体" w:eastAsia="宋体"/>
                      <w:b/>
                      <w:bCs w:val="0"/>
                      <w:color w:val="auto"/>
                      <w:sz w:val="18"/>
                      <w:szCs w:val="18"/>
                      <w:vertAlign w:val="baseline"/>
                      <w:lang w:eastAsia="zh-CN"/>
                    </w:rPr>
                  </w:pPr>
                  <w:r>
                    <w:rPr>
                      <w:rFonts w:hint="eastAsia" w:ascii="宋体" w:hAnsi="宋体"/>
                      <w:b/>
                      <w:bCs w:val="0"/>
                      <w:color w:val="auto"/>
                      <w:sz w:val="18"/>
                      <w:szCs w:val="18"/>
                      <w:vertAlign w:val="baseline"/>
                      <w:lang w:eastAsia="zh-CN"/>
                    </w:rPr>
                    <w:t>备注</w:t>
                  </w:r>
                </w:p>
              </w:tc>
            </w:tr>
            <w:tr w14:paraId="613A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6" w:type="dxa"/>
                  <w:vAlign w:val="center"/>
                </w:tcPr>
                <w:p w14:paraId="23BF16D3">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1</w:t>
                  </w:r>
                </w:p>
              </w:tc>
              <w:tc>
                <w:tcPr>
                  <w:tcW w:w="2390" w:type="dxa"/>
                  <w:vAlign w:val="center"/>
                </w:tcPr>
                <w:p w14:paraId="7919390E">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
                      <w:bCs/>
                      <w:color w:val="auto"/>
                      <w:sz w:val="18"/>
                      <w:szCs w:val="18"/>
                    </w:rPr>
                    <w:t>碎渣机部分</w:t>
                  </w:r>
                </w:p>
              </w:tc>
              <w:tc>
                <w:tcPr>
                  <w:tcW w:w="1504" w:type="dxa"/>
                  <w:vAlign w:val="center"/>
                </w:tcPr>
                <w:p w14:paraId="042F33D3">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p>
              </w:tc>
              <w:tc>
                <w:tcPr>
                  <w:tcW w:w="767" w:type="dxa"/>
                  <w:vAlign w:val="center"/>
                </w:tcPr>
                <w:p w14:paraId="388E99EC">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p>
              </w:tc>
              <w:tc>
                <w:tcPr>
                  <w:tcW w:w="849" w:type="dxa"/>
                  <w:vAlign w:val="center"/>
                </w:tcPr>
                <w:p w14:paraId="18B86891">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p>
              </w:tc>
              <w:tc>
                <w:tcPr>
                  <w:tcW w:w="1560" w:type="dxa"/>
                  <w:vAlign w:val="center"/>
                </w:tcPr>
                <w:p w14:paraId="3BA38E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p>
              </w:tc>
            </w:tr>
            <w:tr w14:paraId="2574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26" w:type="dxa"/>
                  <w:vAlign w:val="center"/>
                </w:tcPr>
                <w:p w14:paraId="72B3994D">
                  <w:pPr>
                    <w:keepNext w:val="0"/>
                    <w:keepLines w:val="0"/>
                    <w:pageBreakBefore w:val="0"/>
                    <w:widowControl w:val="0"/>
                    <w:kinsoku/>
                    <w:wordWrap/>
                    <w:overflowPunct/>
                    <w:topLinePunct w:val="0"/>
                    <w:autoSpaceDE/>
                    <w:autoSpaceDN/>
                    <w:bidi w:val="0"/>
                    <w:spacing w:line="240" w:lineRule="auto"/>
                    <w:jc w:val="center"/>
                    <w:textAlignment w:val="auto"/>
                    <w:rPr>
                      <w:rFonts w:hint="default"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lang w:val="en-US" w:eastAsia="zh-CN"/>
                    </w:rPr>
                    <w:t>1.1</w:t>
                  </w:r>
                </w:p>
              </w:tc>
              <w:tc>
                <w:tcPr>
                  <w:tcW w:w="2390" w:type="dxa"/>
                  <w:vAlign w:val="center"/>
                </w:tcPr>
                <w:p w14:paraId="02D25A43">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rPr>
                    <w:t>碎渣机</w:t>
                  </w:r>
                </w:p>
              </w:tc>
              <w:tc>
                <w:tcPr>
                  <w:tcW w:w="1504" w:type="dxa"/>
                  <w:vAlign w:val="center"/>
                </w:tcPr>
                <w:p w14:paraId="1E090300">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rPr>
                    <w:t>DGS1800</w:t>
                  </w:r>
                </w:p>
              </w:tc>
              <w:tc>
                <w:tcPr>
                  <w:tcW w:w="767" w:type="dxa"/>
                  <w:vAlign w:val="center"/>
                </w:tcPr>
                <w:p w14:paraId="5894E066">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lang w:val="en-US" w:eastAsia="zh-CN"/>
                    </w:rPr>
                    <w:t>台</w:t>
                  </w:r>
                </w:p>
              </w:tc>
              <w:tc>
                <w:tcPr>
                  <w:tcW w:w="849" w:type="dxa"/>
                  <w:vAlign w:val="center"/>
                </w:tcPr>
                <w:p w14:paraId="4209CA2D">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lang w:val="en-US" w:eastAsia="zh-CN"/>
                    </w:rPr>
                    <w:t>2</w:t>
                  </w:r>
                </w:p>
              </w:tc>
              <w:tc>
                <w:tcPr>
                  <w:tcW w:w="1560" w:type="dxa"/>
                  <w:vAlign w:val="center"/>
                </w:tcPr>
                <w:p w14:paraId="120D9E2C">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p>
              </w:tc>
            </w:tr>
            <w:tr w14:paraId="2C6A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26" w:type="dxa"/>
                  <w:vAlign w:val="center"/>
                </w:tcPr>
                <w:p w14:paraId="2132FE91">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1.2</w:t>
                  </w:r>
                </w:p>
              </w:tc>
              <w:tc>
                <w:tcPr>
                  <w:tcW w:w="2390" w:type="dxa"/>
                  <w:vAlign w:val="center"/>
                </w:tcPr>
                <w:p w14:paraId="20BAACB4">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电机</w:t>
                  </w:r>
                </w:p>
              </w:tc>
              <w:tc>
                <w:tcPr>
                  <w:tcW w:w="1504" w:type="dxa"/>
                  <w:vAlign w:val="center"/>
                </w:tcPr>
                <w:p w14:paraId="141355C8">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30kw</w:t>
                  </w:r>
                </w:p>
              </w:tc>
              <w:tc>
                <w:tcPr>
                  <w:tcW w:w="767" w:type="dxa"/>
                  <w:vAlign w:val="center"/>
                </w:tcPr>
                <w:p w14:paraId="4BA811F1">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台</w:t>
                  </w:r>
                </w:p>
              </w:tc>
              <w:tc>
                <w:tcPr>
                  <w:tcW w:w="849" w:type="dxa"/>
                  <w:vAlign w:val="center"/>
                </w:tcPr>
                <w:p w14:paraId="6896C64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lang w:val="en-US" w:eastAsia="zh-CN"/>
                    </w:rPr>
                    <w:t>2</w:t>
                  </w:r>
                </w:p>
              </w:tc>
              <w:tc>
                <w:tcPr>
                  <w:tcW w:w="1560" w:type="dxa"/>
                  <w:vAlign w:val="center"/>
                </w:tcPr>
                <w:p w14:paraId="793A07CA">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p>
              </w:tc>
            </w:tr>
            <w:tr w14:paraId="4241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26" w:type="dxa"/>
                  <w:vAlign w:val="center"/>
                </w:tcPr>
                <w:p w14:paraId="2E61AA1C">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1.3</w:t>
                  </w:r>
                </w:p>
              </w:tc>
              <w:tc>
                <w:tcPr>
                  <w:tcW w:w="2390" w:type="dxa"/>
                  <w:vAlign w:val="center"/>
                </w:tcPr>
                <w:p w14:paraId="1F3497EF">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减速机</w:t>
                  </w:r>
                </w:p>
              </w:tc>
              <w:tc>
                <w:tcPr>
                  <w:tcW w:w="1504" w:type="dxa"/>
                  <w:vAlign w:val="center"/>
                </w:tcPr>
                <w:p w14:paraId="2947AA69">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XW8225—43</w:t>
                  </w:r>
                </w:p>
              </w:tc>
              <w:tc>
                <w:tcPr>
                  <w:tcW w:w="767" w:type="dxa"/>
                  <w:vAlign w:val="center"/>
                </w:tcPr>
                <w:p w14:paraId="48F3B38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台</w:t>
                  </w:r>
                </w:p>
              </w:tc>
              <w:tc>
                <w:tcPr>
                  <w:tcW w:w="849" w:type="dxa"/>
                  <w:vAlign w:val="center"/>
                </w:tcPr>
                <w:p w14:paraId="44CDE07A">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lang w:val="en-US" w:eastAsia="zh-CN"/>
                    </w:rPr>
                    <w:t>2</w:t>
                  </w:r>
                </w:p>
              </w:tc>
              <w:tc>
                <w:tcPr>
                  <w:tcW w:w="1560" w:type="dxa"/>
                  <w:vAlign w:val="center"/>
                </w:tcPr>
                <w:p w14:paraId="23D6FA67">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p>
              </w:tc>
            </w:tr>
            <w:tr w14:paraId="1AB2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26" w:type="dxa"/>
                  <w:vAlign w:val="center"/>
                </w:tcPr>
                <w:p w14:paraId="100E33FB">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1.4</w:t>
                  </w:r>
                </w:p>
              </w:tc>
              <w:tc>
                <w:tcPr>
                  <w:tcW w:w="2390" w:type="dxa"/>
                  <w:vAlign w:val="center"/>
                </w:tcPr>
                <w:p w14:paraId="2E68571C">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耦合器</w:t>
                  </w:r>
                </w:p>
              </w:tc>
              <w:tc>
                <w:tcPr>
                  <w:tcW w:w="1504" w:type="dxa"/>
                  <w:vAlign w:val="center"/>
                </w:tcPr>
                <w:p w14:paraId="7B39D7ED">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imes New Roman" w:hAnsi="Times New Roman" w:eastAsia="宋体" w:cs="Times New Roman"/>
                      <w:sz w:val="18"/>
                      <w:szCs w:val="18"/>
                      <w:highlight w:val="none"/>
                      <w:lang w:val="en-US" w:eastAsia="zh-CN"/>
                    </w:rPr>
                    <w:t>YOX380</w:t>
                  </w:r>
                </w:p>
              </w:tc>
              <w:tc>
                <w:tcPr>
                  <w:tcW w:w="767" w:type="dxa"/>
                  <w:vAlign w:val="center"/>
                </w:tcPr>
                <w:p w14:paraId="2C66C546">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lang w:val="en-US" w:eastAsia="zh-CN"/>
                    </w:rPr>
                    <w:t>台</w:t>
                  </w:r>
                </w:p>
              </w:tc>
              <w:tc>
                <w:tcPr>
                  <w:tcW w:w="849" w:type="dxa"/>
                  <w:vAlign w:val="center"/>
                </w:tcPr>
                <w:p w14:paraId="3D3E474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lang w:val="en-US" w:eastAsia="zh-CN"/>
                    </w:rPr>
                    <w:t>2</w:t>
                  </w:r>
                </w:p>
              </w:tc>
              <w:tc>
                <w:tcPr>
                  <w:tcW w:w="1560" w:type="dxa"/>
                  <w:vAlign w:val="center"/>
                </w:tcPr>
                <w:p w14:paraId="282DE3B4">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highlight w:val="none"/>
                      <w:vertAlign w:val="baseline"/>
                    </w:rPr>
                  </w:pPr>
                </w:p>
              </w:tc>
            </w:tr>
            <w:tr w14:paraId="376A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026" w:type="dxa"/>
                  <w:vAlign w:val="center"/>
                </w:tcPr>
                <w:p w14:paraId="58282E25">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vertAlign w:val="baseline"/>
                      <w:lang w:eastAsia="zh-CN"/>
                    </w:rPr>
                  </w:pPr>
                  <w:r>
                    <w:rPr>
                      <w:rFonts w:hint="eastAsia" w:asciiTheme="minorEastAsia" w:hAnsiTheme="minorEastAsia" w:eastAsiaTheme="minorEastAsia" w:cstheme="minorEastAsia"/>
                      <w:bCs/>
                      <w:color w:val="auto"/>
                      <w:sz w:val="18"/>
                      <w:szCs w:val="18"/>
                    </w:rPr>
                    <w:t>1.</w:t>
                  </w:r>
                  <w:r>
                    <w:rPr>
                      <w:rFonts w:hint="eastAsia" w:asciiTheme="minorEastAsia" w:hAnsiTheme="minorEastAsia" w:eastAsiaTheme="minorEastAsia" w:cstheme="minorEastAsia"/>
                      <w:bCs/>
                      <w:color w:val="auto"/>
                      <w:sz w:val="18"/>
                      <w:szCs w:val="18"/>
                      <w:lang w:val="en-US" w:eastAsia="zh-CN"/>
                    </w:rPr>
                    <w:t>5</w:t>
                  </w:r>
                </w:p>
              </w:tc>
              <w:tc>
                <w:tcPr>
                  <w:tcW w:w="2390" w:type="dxa"/>
                  <w:vAlign w:val="center"/>
                </w:tcPr>
                <w:p w14:paraId="73957570">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highlight w:val="none"/>
                      <w:lang w:val="en-US" w:eastAsia="zh-CN"/>
                    </w:rPr>
                    <w:t>电液切换阀</w:t>
                  </w:r>
                </w:p>
              </w:tc>
              <w:tc>
                <w:tcPr>
                  <w:tcW w:w="1504" w:type="dxa"/>
                  <w:vAlign w:val="center"/>
                </w:tcPr>
                <w:p w14:paraId="398CF052">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非标</w:t>
                  </w:r>
                </w:p>
              </w:tc>
              <w:tc>
                <w:tcPr>
                  <w:tcW w:w="767" w:type="dxa"/>
                  <w:vAlign w:val="center"/>
                </w:tcPr>
                <w:p w14:paraId="014B067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lang w:eastAsia="zh-CN"/>
                    </w:rPr>
                  </w:pPr>
                  <w:r>
                    <w:rPr>
                      <w:rFonts w:hint="eastAsia" w:asciiTheme="minorEastAsia" w:hAnsiTheme="minorEastAsia" w:eastAsiaTheme="minorEastAsia" w:cstheme="minorEastAsia"/>
                      <w:bCs/>
                      <w:color w:val="auto"/>
                      <w:sz w:val="18"/>
                      <w:szCs w:val="18"/>
                      <w:lang w:val="en-US" w:eastAsia="zh-CN"/>
                    </w:rPr>
                    <w:t>台</w:t>
                  </w:r>
                </w:p>
              </w:tc>
              <w:tc>
                <w:tcPr>
                  <w:tcW w:w="849" w:type="dxa"/>
                  <w:vAlign w:val="center"/>
                </w:tcPr>
                <w:p w14:paraId="3681C51E">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w:t>
                  </w:r>
                </w:p>
              </w:tc>
              <w:tc>
                <w:tcPr>
                  <w:tcW w:w="1560" w:type="dxa"/>
                  <w:vAlign w:val="center"/>
                </w:tcPr>
                <w:p w14:paraId="6DDA4A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p>
              </w:tc>
            </w:tr>
            <w:tr w14:paraId="0A11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026" w:type="dxa"/>
                  <w:vAlign w:val="center"/>
                </w:tcPr>
                <w:p w14:paraId="5B6E2621">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w:t>
                  </w:r>
                  <w:r>
                    <w:rPr>
                      <w:rFonts w:hint="eastAsia" w:asciiTheme="minorEastAsia" w:hAnsiTheme="minorEastAsia" w:eastAsiaTheme="minorEastAsia" w:cstheme="minorEastAsia"/>
                      <w:bCs/>
                      <w:color w:val="auto"/>
                      <w:sz w:val="18"/>
                      <w:szCs w:val="18"/>
                      <w:lang w:val="en-US" w:eastAsia="zh-CN"/>
                    </w:rPr>
                    <w:t>6</w:t>
                  </w:r>
                </w:p>
              </w:tc>
              <w:tc>
                <w:tcPr>
                  <w:tcW w:w="2390" w:type="dxa"/>
                  <w:vAlign w:val="center"/>
                </w:tcPr>
                <w:p w14:paraId="7CED8CC8">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碎渣机落料仓及接口</w:t>
                  </w:r>
                </w:p>
              </w:tc>
              <w:tc>
                <w:tcPr>
                  <w:tcW w:w="1504" w:type="dxa"/>
                  <w:vAlign w:val="center"/>
                </w:tcPr>
                <w:p w14:paraId="33B87D69">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非标</w:t>
                  </w:r>
                </w:p>
              </w:tc>
              <w:tc>
                <w:tcPr>
                  <w:tcW w:w="767" w:type="dxa"/>
                  <w:vAlign w:val="center"/>
                </w:tcPr>
                <w:p w14:paraId="1724DCF9">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套</w:t>
                  </w:r>
                </w:p>
              </w:tc>
              <w:tc>
                <w:tcPr>
                  <w:tcW w:w="849" w:type="dxa"/>
                  <w:vAlign w:val="center"/>
                </w:tcPr>
                <w:p w14:paraId="19D143C2">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2</w:t>
                  </w:r>
                </w:p>
              </w:tc>
              <w:tc>
                <w:tcPr>
                  <w:tcW w:w="1560" w:type="dxa"/>
                  <w:vAlign w:val="center"/>
                </w:tcPr>
                <w:p w14:paraId="7EB155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p>
              </w:tc>
            </w:tr>
            <w:tr w14:paraId="3FAE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026" w:type="dxa"/>
                  <w:vAlign w:val="center"/>
                </w:tcPr>
                <w:p w14:paraId="0A49368B">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w:t>
                  </w:r>
                  <w:r>
                    <w:rPr>
                      <w:rFonts w:hint="eastAsia" w:asciiTheme="minorEastAsia" w:hAnsiTheme="minorEastAsia" w:eastAsiaTheme="minorEastAsia" w:cstheme="minorEastAsia"/>
                      <w:bCs/>
                      <w:color w:val="auto"/>
                      <w:sz w:val="18"/>
                      <w:szCs w:val="18"/>
                      <w:lang w:val="en-US" w:eastAsia="zh-CN"/>
                    </w:rPr>
                    <w:t>7</w:t>
                  </w:r>
                </w:p>
              </w:tc>
              <w:tc>
                <w:tcPr>
                  <w:tcW w:w="2390" w:type="dxa"/>
                  <w:vAlign w:val="center"/>
                </w:tcPr>
                <w:p w14:paraId="3D28DD4F">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碎渣机控制箱及电缆</w:t>
                  </w:r>
                </w:p>
              </w:tc>
              <w:tc>
                <w:tcPr>
                  <w:tcW w:w="1504" w:type="dxa"/>
                  <w:vAlign w:val="center"/>
                </w:tcPr>
                <w:p w14:paraId="540B0E5A">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非标</w:t>
                  </w:r>
                </w:p>
              </w:tc>
              <w:tc>
                <w:tcPr>
                  <w:tcW w:w="767" w:type="dxa"/>
                  <w:vAlign w:val="center"/>
                </w:tcPr>
                <w:p w14:paraId="15679247">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台</w:t>
                  </w:r>
                </w:p>
              </w:tc>
              <w:tc>
                <w:tcPr>
                  <w:tcW w:w="849" w:type="dxa"/>
                  <w:vAlign w:val="center"/>
                </w:tcPr>
                <w:p w14:paraId="0770785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2</w:t>
                  </w:r>
                </w:p>
              </w:tc>
              <w:tc>
                <w:tcPr>
                  <w:tcW w:w="1560" w:type="dxa"/>
                  <w:vAlign w:val="center"/>
                </w:tcPr>
                <w:p w14:paraId="78F29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p>
              </w:tc>
            </w:tr>
            <w:tr w14:paraId="79EA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026" w:type="dxa"/>
                  <w:vAlign w:val="center"/>
                </w:tcPr>
                <w:p w14:paraId="0D86E27F">
                  <w:pPr>
                    <w:keepNext w:val="0"/>
                    <w:keepLines w:val="0"/>
                    <w:pageBreakBefore w:val="0"/>
                    <w:widowControl w:val="0"/>
                    <w:kinsoku/>
                    <w:wordWrap/>
                    <w:overflowPunct/>
                    <w:topLinePunct w:val="0"/>
                    <w:autoSpaceDE/>
                    <w:autoSpaceDN/>
                    <w:bidi w:val="0"/>
                    <w:spacing w:line="240" w:lineRule="auto"/>
                    <w:jc w:val="center"/>
                    <w:textAlignment w:val="auto"/>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1.8</w:t>
                  </w:r>
                </w:p>
              </w:tc>
              <w:tc>
                <w:tcPr>
                  <w:tcW w:w="2390" w:type="dxa"/>
                  <w:shd w:val="clear" w:color="auto" w:fill="auto"/>
                  <w:vAlign w:val="center"/>
                </w:tcPr>
                <w:p w14:paraId="2DB4D4ED">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kern w:val="2"/>
                      <w:sz w:val="18"/>
                      <w:szCs w:val="18"/>
                      <w:vertAlign w:val="baseline"/>
                      <w:lang w:val="en-US" w:eastAsia="zh-CN" w:bidi="ar-SA"/>
                    </w:rPr>
                  </w:pPr>
                  <w:r>
                    <w:rPr>
                      <w:rFonts w:hint="eastAsia" w:asciiTheme="minorEastAsia" w:hAnsiTheme="minorEastAsia" w:eastAsiaTheme="minorEastAsia" w:cstheme="minorEastAsia"/>
                      <w:bCs/>
                      <w:color w:val="auto"/>
                      <w:sz w:val="18"/>
                      <w:szCs w:val="18"/>
                    </w:rPr>
                    <w:t>安装辅材</w:t>
                  </w:r>
                </w:p>
              </w:tc>
              <w:tc>
                <w:tcPr>
                  <w:tcW w:w="1504" w:type="dxa"/>
                  <w:shd w:val="clear" w:color="auto" w:fill="auto"/>
                  <w:vAlign w:val="center"/>
                </w:tcPr>
                <w:p w14:paraId="47D84D8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kern w:val="2"/>
                      <w:sz w:val="18"/>
                      <w:szCs w:val="18"/>
                      <w:vertAlign w:val="baseline"/>
                      <w:lang w:val="en-US" w:eastAsia="zh-CN" w:bidi="ar-SA"/>
                    </w:rPr>
                  </w:pPr>
                </w:p>
              </w:tc>
              <w:tc>
                <w:tcPr>
                  <w:tcW w:w="767" w:type="dxa"/>
                  <w:shd w:val="clear" w:color="auto" w:fill="auto"/>
                  <w:vAlign w:val="center"/>
                </w:tcPr>
                <w:p w14:paraId="061C1166">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kern w:val="2"/>
                      <w:sz w:val="18"/>
                      <w:szCs w:val="18"/>
                      <w:vertAlign w:val="baseline"/>
                      <w:lang w:val="en-US" w:eastAsia="zh-CN" w:bidi="ar-SA"/>
                    </w:rPr>
                  </w:pPr>
                  <w:r>
                    <w:rPr>
                      <w:rFonts w:hint="eastAsia" w:asciiTheme="minorEastAsia" w:hAnsiTheme="minorEastAsia" w:eastAsiaTheme="minorEastAsia" w:cstheme="minorEastAsia"/>
                      <w:bCs/>
                      <w:color w:val="auto"/>
                      <w:sz w:val="18"/>
                      <w:szCs w:val="18"/>
                    </w:rPr>
                    <w:t>批</w:t>
                  </w:r>
                </w:p>
              </w:tc>
              <w:tc>
                <w:tcPr>
                  <w:tcW w:w="849" w:type="dxa"/>
                  <w:shd w:val="clear" w:color="auto" w:fill="auto"/>
                  <w:vAlign w:val="center"/>
                </w:tcPr>
                <w:p w14:paraId="7F862F94">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eastAsiaTheme="minorEastAsia" w:cstheme="minorEastAsia"/>
                      <w:bCs/>
                      <w:color w:val="auto"/>
                      <w:sz w:val="18"/>
                      <w:szCs w:val="18"/>
                    </w:rPr>
                    <w:t>1</w:t>
                  </w:r>
                </w:p>
              </w:tc>
              <w:tc>
                <w:tcPr>
                  <w:tcW w:w="1560" w:type="dxa"/>
                  <w:vAlign w:val="center"/>
                </w:tcPr>
                <w:p w14:paraId="386544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p>
              </w:tc>
            </w:tr>
            <w:tr w14:paraId="253B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6" w:type="dxa"/>
                  <w:vAlign w:val="center"/>
                </w:tcPr>
                <w:p w14:paraId="1BB7C2B2">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2</w:t>
                  </w:r>
                </w:p>
              </w:tc>
              <w:tc>
                <w:tcPr>
                  <w:tcW w:w="2390" w:type="dxa"/>
                  <w:vAlign w:val="center"/>
                </w:tcPr>
                <w:p w14:paraId="6D49139A">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
                      <w:bCs/>
                      <w:color w:val="auto"/>
                      <w:sz w:val="18"/>
                      <w:szCs w:val="18"/>
                    </w:rPr>
                    <w:t>提升机部分</w:t>
                  </w:r>
                </w:p>
              </w:tc>
              <w:tc>
                <w:tcPr>
                  <w:tcW w:w="1504" w:type="dxa"/>
                  <w:vAlign w:val="center"/>
                </w:tcPr>
                <w:p w14:paraId="27D66478">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p>
              </w:tc>
              <w:tc>
                <w:tcPr>
                  <w:tcW w:w="767" w:type="dxa"/>
                  <w:vAlign w:val="center"/>
                </w:tcPr>
                <w:p w14:paraId="4B6B4B99">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p>
              </w:tc>
              <w:tc>
                <w:tcPr>
                  <w:tcW w:w="849" w:type="dxa"/>
                  <w:vAlign w:val="center"/>
                </w:tcPr>
                <w:p w14:paraId="2CFB72B4">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p>
              </w:tc>
              <w:tc>
                <w:tcPr>
                  <w:tcW w:w="1560" w:type="dxa"/>
                  <w:vAlign w:val="center"/>
                </w:tcPr>
                <w:p w14:paraId="626011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p>
              </w:tc>
            </w:tr>
            <w:tr w14:paraId="5444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26" w:type="dxa"/>
                  <w:vAlign w:val="center"/>
                </w:tcPr>
                <w:p w14:paraId="18E10F7F">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2.1</w:t>
                  </w:r>
                </w:p>
              </w:tc>
              <w:tc>
                <w:tcPr>
                  <w:tcW w:w="2390" w:type="dxa"/>
                  <w:vAlign w:val="center"/>
                </w:tcPr>
                <w:p w14:paraId="3432A72B">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头部驱动链轮</w:t>
                  </w:r>
                </w:p>
              </w:tc>
              <w:tc>
                <w:tcPr>
                  <w:tcW w:w="1504" w:type="dxa"/>
                  <w:vAlign w:val="center"/>
                </w:tcPr>
                <w:p w14:paraId="698046F2">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分体式</w:t>
                  </w:r>
                </w:p>
              </w:tc>
              <w:tc>
                <w:tcPr>
                  <w:tcW w:w="767" w:type="dxa"/>
                  <w:vAlign w:val="center"/>
                </w:tcPr>
                <w:p w14:paraId="6EBBB506">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套</w:t>
                  </w:r>
                </w:p>
              </w:tc>
              <w:tc>
                <w:tcPr>
                  <w:tcW w:w="849" w:type="dxa"/>
                  <w:vAlign w:val="center"/>
                </w:tcPr>
                <w:p w14:paraId="2CD4744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4</w:t>
                  </w:r>
                </w:p>
              </w:tc>
              <w:tc>
                <w:tcPr>
                  <w:tcW w:w="1560" w:type="dxa"/>
                  <w:vAlign w:val="center"/>
                </w:tcPr>
                <w:p w14:paraId="071F23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p>
              </w:tc>
            </w:tr>
            <w:tr w14:paraId="538C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26" w:type="dxa"/>
                  <w:vAlign w:val="center"/>
                </w:tcPr>
                <w:p w14:paraId="4232F5D5">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2.2</w:t>
                  </w:r>
                </w:p>
              </w:tc>
              <w:tc>
                <w:tcPr>
                  <w:tcW w:w="2390" w:type="dxa"/>
                  <w:vAlign w:val="center"/>
                </w:tcPr>
                <w:p w14:paraId="57A561F4">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头部密封装置</w:t>
                  </w:r>
                </w:p>
              </w:tc>
              <w:tc>
                <w:tcPr>
                  <w:tcW w:w="1504" w:type="dxa"/>
                  <w:vAlign w:val="center"/>
                </w:tcPr>
                <w:p w14:paraId="4D6862D9">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p>
              </w:tc>
              <w:tc>
                <w:tcPr>
                  <w:tcW w:w="767" w:type="dxa"/>
                  <w:vAlign w:val="center"/>
                </w:tcPr>
                <w:p w14:paraId="501A893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套</w:t>
                  </w:r>
                </w:p>
              </w:tc>
              <w:tc>
                <w:tcPr>
                  <w:tcW w:w="849" w:type="dxa"/>
                  <w:vAlign w:val="center"/>
                </w:tcPr>
                <w:p w14:paraId="258AF6DB">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4</w:t>
                  </w:r>
                </w:p>
              </w:tc>
              <w:tc>
                <w:tcPr>
                  <w:tcW w:w="1560" w:type="dxa"/>
                  <w:vAlign w:val="center"/>
                </w:tcPr>
                <w:p w14:paraId="3DCA602F">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含密封件</w:t>
                  </w:r>
                </w:p>
              </w:tc>
            </w:tr>
            <w:tr w14:paraId="4606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26" w:type="dxa"/>
                  <w:vAlign w:val="center"/>
                </w:tcPr>
                <w:p w14:paraId="3A0F5619">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2.3</w:t>
                  </w:r>
                </w:p>
              </w:tc>
              <w:tc>
                <w:tcPr>
                  <w:tcW w:w="2390" w:type="dxa"/>
                  <w:vAlign w:val="center"/>
                </w:tcPr>
                <w:p w14:paraId="56B11A38">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尾部链轮</w:t>
                  </w:r>
                </w:p>
              </w:tc>
              <w:tc>
                <w:tcPr>
                  <w:tcW w:w="1504" w:type="dxa"/>
                  <w:vAlign w:val="center"/>
                </w:tcPr>
                <w:p w14:paraId="55F587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分体式</w:t>
                  </w:r>
                </w:p>
              </w:tc>
              <w:tc>
                <w:tcPr>
                  <w:tcW w:w="767" w:type="dxa"/>
                  <w:vAlign w:val="center"/>
                </w:tcPr>
                <w:p w14:paraId="21046349">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套</w:t>
                  </w:r>
                </w:p>
              </w:tc>
              <w:tc>
                <w:tcPr>
                  <w:tcW w:w="849" w:type="dxa"/>
                  <w:vAlign w:val="center"/>
                </w:tcPr>
                <w:p w14:paraId="18FE80B2">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4</w:t>
                  </w:r>
                </w:p>
              </w:tc>
              <w:tc>
                <w:tcPr>
                  <w:tcW w:w="1560" w:type="dxa"/>
                  <w:vAlign w:val="center"/>
                </w:tcPr>
                <w:p w14:paraId="6FED8559">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p>
              </w:tc>
            </w:tr>
            <w:tr w14:paraId="2AE3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26" w:type="dxa"/>
                  <w:vAlign w:val="center"/>
                </w:tcPr>
                <w:p w14:paraId="2EB8F3D1">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2.4</w:t>
                  </w:r>
                </w:p>
              </w:tc>
              <w:tc>
                <w:tcPr>
                  <w:tcW w:w="2390" w:type="dxa"/>
                  <w:vAlign w:val="center"/>
                </w:tcPr>
                <w:p w14:paraId="49623226">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尾部内外耐磨套</w:t>
                  </w:r>
                </w:p>
              </w:tc>
              <w:tc>
                <w:tcPr>
                  <w:tcW w:w="1504" w:type="dxa"/>
                  <w:vAlign w:val="center"/>
                </w:tcPr>
                <w:p w14:paraId="11DD65AF">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contextualSpacing/>
                    <w:jc w:val="center"/>
                    <w:textAlignment w:val="auto"/>
                    <w:rPr>
                      <w:rFonts w:hint="eastAsia" w:asciiTheme="minorEastAsia" w:hAnsiTheme="minorEastAsia" w:eastAsiaTheme="minorEastAsia" w:cstheme="minorEastAsia"/>
                      <w:bCs/>
                      <w:color w:val="auto"/>
                      <w:sz w:val="18"/>
                      <w:szCs w:val="18"/>
                      <w:vertAlign w:val="baseline"/>
                    </w:rPr>
                  </w:pPr>
                </w:p>
              </w:tc>
              <w:tc>
                <w:tcPr>
                  <w:tcW w:w="767" w:type="dxa"/>
                  <w:vAlign w:val="center"/>
                </w:tcPr>
                <w:p w14:paraId="3427A9F5">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个</w:t>
                  </w:r>
                </w:p>
              </w:tc>
              <w:tc>
                <w:tcPr>
                  <w:tcW w:w="849" w:type="dxa"/>
                  <w:vAlign w:val="center"/>
                </w:tcPr>
                <w:p w14:paraId="79EBD6F0">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4</w:t>
                  </w:r>
                </w:p>
              </w:tc>
              <w:tc>
                <w:tcPr>
                  <w:tcW w:w="1560" w:type="dxa"/>
                  <w:vAlign w:val="center"/>
                </w:tcPr>
                <w:p w14:paraId="373E1277">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outlineLvl w:val="9"/>
                    <w:rPr>
                      <w:rFonts w:hint="eastAsia" w:asciiTheme="minorEastAsia" w:hAnsiTheme="minorEastAsia" w:eastAsiaTheme="minorEastAsia" w:cstheme="minorEastAsia"/>
                      <w:bCs/>
                      <w:color w:val="auto"/>
                      <w:sz w:val="18"/>
                      <w:szCs w:val="18"/>
                      <w:vertAlign w:val="baseline"/>
                    </w:rPr>
                  </w:pPr>
                </w:p>
              </w:tc>
            </w:tr>
            <w:tr w14:paraId="4AAF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26" w:type="dxa"/>
                  <w:vAlign w:val="center"/>
                </w:tcPr>
                <w:p w14:paraId="5820E1BE">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2.5</w:t>
                  </w:r>
                </w:p>
              </w:tc>
              <w:tc>
                <w:tcPr>
                  <w:tcW w:w="2390" w:type="dxa"/>
                  <w:vAlign w:val="center"/>
                </w:tcPr>
                <w:p w14:paraId="18BEB868">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尾部全密封配重张紧机构</w:t>
                  </w:r>
                </w:p>
              </w:tc>
              <w:tc>
                <w:tcPr>
                  <w:tcW w:w="1504" w:type="dxa"/>
                  <w:vAlign w:val="center"/>
                </w:tcPr>
                <w:p w14:paraId="54A33FEC">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ZDXH650-08.8</w:t>
                  </w:r>
                </w:p>
              </w:tc>
              <w:tc>
                <w:tcPr>
                  <w:tcW w:w="767" w:type="dxa"/>
                  <w:vAlign w:val="center"/>
                </w:tcPr>
                <w:p w14:paraId="06114023">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套</w:t>
                  </w:r>
                </w:p>
              </w:tc>
              <w:tc>
                <w:tcPr>
                  <w:tcW w:w="849" w:type="dxa"/>
                  <w:vAlign w:val="center"/>
                </w:tcPr>
                <w:p w14:paraId="0B804963">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2</w:t>
                  </w:r>
                </w:p>
              </w:tc>
              <w:tc>
                <w:tcPr>
                  <w:tcW w:w="1560" w:type="dxa"/>
                  <w:vAlign w:val="center"/>
                </w:tcPr>
                <w:p w14:paraId="352D2D39">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heme="minorEastAsia" w:hAnsiTheme="minorEastAsia" w:eastAsiaTheme="minorEastAsia" w:cstheme="minorEastAsia"/>
                      <w:bCs/>
                      <w:color w:val="auto"/>
                      <w:sz w:val="18"/>
                      <w:szCs w:val="18"/>
                      <w:vertAlign w:val="baseline"/>
                    </w:rPr>
                  </w:pPr>
                  <w:r>
                    <w:rPr>
                      <w:rFonts w:hint="eastAsia" w:asciiTheme="minorEastAsia" w:hAnsiTheme="minorEastAsia" w:eastAsiaTheme="minorEastAsia" w:cstheme="minorEastAsia"/>
                      <w:bCs/>
                      <w:color w:val="auto"/>
                      <w:sz w:val="18"/>
                      <w:szCs w:val="18"/>
                    </w:rPr>
                    <w:t>含配重轮、滑动座导轨，定位螺杆，活动门，缓冲弹簧等</w:t>
                  </w:r>
                </w:p>
              </w:tc>
            </w:tr>
          </w:tbl>
          <w:p w14:paraId="560F334D">
            <w:pPr>
              <w:pStyle w:val="9"/>
              <w:numPr>
                <w:ilvl w:val="1"/>
                <w:numId w:val="0"/>
              </w:numPr>
              <w:tabs>
                <w:tab w:val="clear" w:pos="1200"/>
                <w:tab w:val="clear" w:pos="1320"/>
              </w:tabs>
              <w:ind w:firstLine="400" w:firstLineChars="200"/>
              <w:outlineLvl w:val="9"/>
              <w:rPr>
                <w:rFonts w:hint="eastAsia" w:ascii="Times New Roman" w:hAnsi="Times New Roman" w:eastAsia="宋体" w:cs="Times New Roman"/>
                <w:i w:val="0"/>
                <w:iCs w:val="0"/>
                <w:color w:val="000000"/>
                <w:kern w:val="2"/>
                <w:sz w:val="20"/>
                <w:szCs w:val="20"/>
                <w:u w:val="none"/>
                <w:lang w:val="en-US" w:eastAsia="zh-CN" w:bidi="ar-SA"/>
              </w:rPr>
            </w:pPr>
            <w:bookmarkStart w:id="0" w:name="_Toc32614"/>
            <w:bookmarkStart w:id="1" w:name="_Toc19118"/>
            <w:bookmarkStart w:id="2" w:name="_Toc28126"/>
            <w:bookmarkStart w:id="3" w:name="_Toc15893"/>
            <w:bookmarkStart w:id="4" w:name="_Toc27894"/>
            <w:bookmarkStart w:id="5" w:name="_Toc8336"/>
            <w:bookmarkStart w:id="6" w:name="_Toc15269"/>
            <w:bookmarkStart w:id="7" w:name="_Toc31823"/>
            <w:bookmarkStart w:id="8" w:name="_Toc11262"/>
            <w:bookmarkStart w:id="9" w:name="_Toc8274"/>
            <w:bookmarkStart w:id="10" w:name="_Toc29262"/>
            <w:bookmarkStart w:id="11" w:name="_Toc1687"/>
            <w:bookmarkStart w:id="12" w:name="_Toc10278"/>
            <w:bookmarkStart w:id="13" w:name="_Toc3593"/>
          </w:p>
          <w:p w14:paraId="4183911C">
            <w:pPr>
              <w:pStyle w:val="9"/>
              <w:numPr>
                <w:ilvl w:val="1"/>
                <w:numId w:val="0"/>
              </w:numPr>
              <w:tabs>
                <w:tab w:val="clear" w:pos="1200"/>
                <w:tab w:val="clear" w:pos="1320"/>
              </w:tabs>
              <w:ind w:firstLine="400" w:firstLineChars="200"/>
              <w:outlineLvl w:val="9"/>
              <w:rPr>
                <w:rFonts w:hint="eastAsia" w:ascii="Times New Roman" w:hAnsi="Times New Roman" w:eastAsia="宋体" w:cs="Times New Roman"/>
                <w:i w:val="0"/>
                <w:iCs w:val="0"/>
                <w:color w:val="000000"/>
                <w:kern w:val="2"/>
                <w:sz w:val="20"/>
                <w:szCs w:val="20"/>
                <w:u w:val="none"/>
                <w:lang w:val="en-US" w:eastAsia="zh-CN" w:bidi="ar-SA"/>
              </w:rPr>
            </w:pPr>
          </w:p>
          <w:p w14:paraId="690BE82E">
            <w:pPr>
              <w:pStyle w:val="9"/>
              <w:numPr>
                <w:ilvl w:val="1"/>
                <w:numId w:val="0"/>
              </w:numPr>
              <w:tabs>
                <w:tab w:val="clear" w:pos="1200"/>
                <w:tab w:val="clear" w:pos="1320"/>
              </w:tabs>
              <w:ind w:firstLine="400" w:firstLineChars="200"/>
              <w:outlineLvl w:val="9"/>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2.2.2项目施工内容</w:t>
            </w:r>
            <w:bookmarkEnd w:id="0"/>
            <w:bookmarkEnd w:id="1"/>
            <w:bookmarkEnd w:id="2"/>
            <w:bookmarkEnd w:id="3"/>
            <w:bookmarkEnd w:id="4"/>
            <w:bookmarkEnd w:id="5"/>
            <w:bookmarkEnd w:id="6"/>
            <w:bookmarkEnd w:id="7"/>
            <w:bookmarkEnd w:id="8"/>
            <w:bookmarkEnd w:id="9"/>
            <w:bookmarkEnd w:id="10"/>
            <w:bookmarkEnd w:id="11"/>
            <w:bookmarkEnd w:id="12"/>
            <w:bookmarkEnd w:id="13"/>
          </w:p>
          <w:p w14:paraId="6003538D">
            <w:pPr>
              <w:overflowPunct w:val="0"/>
              <w:topLinePunct/>
              <w:adjustRightInd w:val="0"/>
              <w:snapToGrid w:val="0"/>
              <w:spacing w:line="360" w:lineRule="auto"/>
              <w:ind w:firstLine="400" w:firstLineChars="200"/>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本项目主要是对1号机组碎渣机增容及提升机改造工作，具体工作包括但不限于以下内容：</w:t>
            </w:r>
          </w:p>
          <w:p w14:paraId="345789F5">
            <w:pPr>
              <w:overflowPunct w:val="0"/>
              <w:topLinePunct/>
              <w:adjustRightInd w:val="0"/>
              <w:snapToGrid w:val="0"/>
              <w:spacing w:line="360" w:lineRule="auto"/>
              <w:ind w:firstLine="400" w:firstLineChars="200"/>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（1）根据现场实际和设备运行工况对碎渣机布局进行重新设计，将原有DGS1400改型为DGS1800型间断齿单辊碎渣机（驱动直连式），将西门子品牌的电机功率增大、SEW产品的减速机耦合器增大。</w:t>
            </w:r>
          </w:p>
          <w:p w14:paraId="55733164">
            <w:pPr>
              <w:overflowPunct w:val="0"/>
              <w:topLinePunct/>
              <w:adjustRightInd w:val="0"/>
              <w:snapToGrid w:val="0"/>
              <w:spacing w:line="360" w:lineRule="auto"/>
              <w:ind w:firstLine="400" w:firstLineChars="200"/>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（2）碎渣机下料口与钢带机匹配，结构采用Y型，调换进料方向；</w:t>
            </w:r>
          </w:p>
          <w:p w14:paraId="337FC446">
            <w:pPr>
              <w:overflowPunct w:val="0"/>
              <w:topLinePunct/>
              <w:adjustRightInd w:val="0"/>
              <w:snapToGrid w:val="0"/>
              <w:spacing w:line="360" w:lineRule="auto"/>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（3）根据改造项目的电气负荷容量，对电缆容量进行重新核算。按照核算结果，核查配电室至控制箱以及控制箱至设备的电缆是否符合需求，若不符合则予以更换。</w:t>
            </w:r>
          </w:p>
          <w:p w14:paraId="2BFCEA4D">
            <w:pPr>
              <w:overflowPunct w:val="0"/>
              <w:topLinePunct/>
              <w:adjustRightInd w:val="0"/>
              <w:snapToGrid w:val="0"/>
              <w:spacing w:line="360" w:lineRule="auto"/>
              <w:ind w:firstLine="400" w:firstLineChars="200"/>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（4）改造起吊设备和钢梁，使起吊设备和钢梁的承重满足新碎渣机的重量。</w:t>
            </w:r>
          </w:p>
          <w:p w14:paraId="2C883BAB">
            <w:pPr>
              <w:overflowPunct w:val="0"/>
              <w:topLinePunct/>
              <w:adjustRightInd w:val="0"/>
              <w:snapToGrid w:val="0"/>
              <w:spacing w:line="360" w:lineRule="auto"/>
              <w:ind w:firstLine="400" w:firstLineChars="200"/>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5）改变提升机尾部张紧装置，由现有的固定式重锤张紧，改为全密封式张紧，将尾部所有运动部件都装在壳体内部。轴承采用高铬合金内外耐磨套结构，内套装在尾轴上，以保证尾轴不会磨损，外套装在可活动的运动固定部件上，以便上下左右进行调节，外套处增加限位装置，防止尾轮跳动过大出现脱链现象，并设置检修机构，方便尾部检修用；耐磨套连续使用寿命3年以上。</w:t>
            </w:r>
          </w:p>
          <w:p w14:paraId="5EB1F748">
            <w:pPr>
              <w:overflowPunct w:val="0"/>
              <w:topLinePunct/>
              <w:adjustRightInd w:val="0"/>
              <w:snapToGrid w:val="0"/>
              <w:spacing w:line="360" w:lineRule="auto"/>
              <w:ind w:firstLine="400" w:firstLineChars="200"/>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6）将提升机头部链轮、尾部链轮做成分体链轮，检修更换时不需要吊出头、尾轴，只需在原位置进行更换轮齿即可。为保证轮齿互换性，分体链轮需采用账套结构，以减少轮毂处螺栓孔位置发生形变，提高轮齿使用寿命。</w:t>
            </w:r>
          </w:p>
          <w:p w14:paraId="6044E91B">
            <w:pPr>
              <w:overflowPunct w:val="0"/>
              <w:topLinePunct/>
              <w:adjustRightInd w:val="0"/>
              <w:snapToGrid w:val="0"/>
              <w:spacing w:line="360" w:lineRule="auto"/>
              <w:ind w:firstLine="400" w:firstLineChars="200"/>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（7）对提升机磨穿及不垂直变形的箱体进行修复。</w:t>
            </w:r>
          </w:p>
          <w:p w14:paraId="038CD08D">
            <w:pPr>
              <w:overflowPunct w:val="0"/>
              <w:topLinePunct/>
              <w:adjustRightInd w:val="0"/>
              <w:snapToGrid w:val="0"/>
              <w:spacing w:line="360" w:lineRule="auto"/>
              <w:ind w:firstLine="400" w:firstLineChars="200"/>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（8）对提升机头部链轮轴与尾部链轮轴应相互平行，上下链轮的相对位置应对准。</w:t>
            </w:r>
          </w:p>
          <w:p w14:paraId="1CFA73B6">
            <w:pPr>
              <w:pStyle w:val="13"/>
              <w:ind w:left="0" w:leftChars="0" w:firstLine="0" w:firstLineChars="0"/>
              <w:rPr>
                <w:rFonts w:hint="eastAsia" w:ascii="Times New Roman" w:hAnsi="Times New Roman" w:eastAsia="宋体" w:cs="Times New Roman"/>
                <w:i w:val="0"/>
                <w:iCs w:val="0"/>
                <w:color w:val="000000"/>
                <w:kern w:val="2"/>
                <w:sz w:val="20"/>
                <w:szCs w:val="20"/>
                <w:u w:val="none"/>
                <w:lang w:val="en-US" w:eastAsia="zh-CN" w:bidi="ar-SA"/>
              </w:rPr>
            </w:pPr>
          </w:p>
          <w:p w14:paraId="72798517">
            <w:pPr>
              <w:overflowPunct w:val="0"/>
              <w:topLinePunct/>
              <w:adjustRightInd w:val="0"/>
              <w:snapToGrid w:val="0"/>
              <w:spacing w:line="360" w:lineRule="auto"/>
              <w:ind w:firstLine="400" w:firstLineChars="200"/>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2.2.3负责所供1号机组碎渣机增容及提升机改造项目设备（软硬件及配套附属设备、材料）的包装、运输和现场交付。</w:t>
            </w:r>
          </w:p>
          <w:p w14:paraId="478A78E9">
            <w:pPr>
              <w:overflowPunct w:val="0"/>
              <w:topLinePunct/>
              <w:adjustRightInd w:val="0"/>
              <w:snapToGrid w:val="0"/>
              <w:spacing w:line="360" w:lineRule="auto"/>
              <w:ind w:firstLine="400" w:firstLineChars="200"/>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2.2.4负责提供西宁发电分公司1号机组碎渣机增容及提升机改造项目设备的出厂试验报告、合格证、使用说明书、装箱清单等资料。</w:t>
            </w:r>
          </w:p>
          <w:p w14:paraId="6E1EC9F2">
            <w:pPr>
              <w:overflowPunct w:val="0"/>
              <w:topLinePunct/>
              <w:adjustRightInd w:val="0"/>
              <w:snapToGrid w:val="0"/>
              <w:spacing w:line="360" w:lineRule="auto"/>
              <w:ind w:firstLine="400" w:firstLineChars="200"/>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2.2.5负责所供西宁发电分公司1号机组碎渣机增容及提升机改造设备的必要的随机备品备件及。</w:t>
            </w:r>
          </w:p>
          <w:p w14:paraId="79833732">
            <w:pPr>
              <w:pBdr>
                <w:top w:val="none" w:color="auto" w:sz="0" w:space="0"/>
                <w:left w:val="none" w:color="auto" w:sz="0" w:space="0"/>
                <w:bottom w:val="none" w:color="auto" w:sz="0" w:space="0"/>
                <w:right w:val="none" w:color="auto" w:sz="0" w:space="0"/>
              </w:pBdr>
              <w:overflowPunct w:val="0"/>
              <w:topLinePunct/>
              <w:adjustRightInd w:val="0"/>
              <w:snapToGrid w:val="0"/>
              <w:spacing w:line="360" w:lineRule="auto"/>
              <w:ind w:firstLine="400" w:firstLineChars="200"/>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2.2.6负责编制安装施工“四措两案”，经买方审核通过后，进行西宁发电分公司1号机组碎渣机增容及提升机改造项目的现场设备安装施工。</w:t>
            </w:r>
          </w:p>
          <w:p w14:paraId="44881BEB">
            <w:pPr>
              <w:pBdr>
                <w:top w:val="none" w:color="auto" w:sz="0" w:space="0"/>
                <w:left w:val="none" w:color="auto" w:sz="0" w:space="0"/>
                <w:bottom w:val="none" w:color="auto" w:sz="0" w:space="0"/>
                <w:right w:val="none" w:color="auto" w:sz="0" w:space="0"/>
              </w:pBdr>
              <w:overflowPunct w:val="0"/>
              <w:topLinePunct/>
              <w:adjustRightInd w:val="0"/>
              <w:snapToGrid w:val="0"/>
              <w:spacing w:line="360" w:lineRule="auto"/>
              <w:ind w:firstLine="400" w:firstLineChars="200"/>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2.2.7负责编制设备调试报告及试验报告，经买方审核通过后，进行西宁发电分公司1号机组碎渣机增容及提升机改造项目进行设备调试、、联调试运行、现场技术培训等伴随服务；</w:t>
            </w:r>
          </w:p>
          <w:p w14:paraId="02B10BB3">
            <w:pPr>
              <w:pStyle w:val="13"/>
              <w:rPr>
                <w:rFonts w:hint="eastAsia" w:ascii="Times New Roman" w:hAnsi="Times New Roman" w:eastAsia="宋体" w:cs="Times New Roman"/>
                <w:i w:val="0"/>
                <w:iCs w:val="0"/>
                <w:color w:val="000000"/>
                <w:kern w:val="2"/>
                <w:sz w:val="20"/>
                <w:szCs w:val="20"/>
                <w:u w:val="none"/>
                <w:lang w:val="en-US" w:eastAsia="zh-CN" w:bidi="ar-SA"/>
              </w:rPr>
            </w:pPr>
          </w:p>
          <w:p w14:paraId="46BB62BD">
            <w:pPr>
              <w:overflowPunct w:val="0"/>
              <w:topLinePunct/>
              <w:adjustRightInd w:val="0"/>
              <w:snapToGrid w:val="0"/>
              <w:spacing w:line="360" w:lineRule="auto"/>
              <w:ind w:firstLine="400" w:firstLineChars="200"/>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2.2.8参与所供西宁发电分公司1号机组碎渣机增容及提升机改造项目设备（软硬件及配套附属设备、材料）的到货验收、各阶段验收（含系统验收）以及配套的售后服务；</w:t>
            </w:r>
          </w:p>
          <w:p w14:paraId="34792451">
            <w:pPr>
              <w:overflowPunct w:val="0"/>
              <w:topLinePunct/>
              <w:adjustRightInd w:val="0"/>
              <w:snapToGrid w:val="0"/>
              <w:spacing w:line="360" w:lineRule="auto"/>
              <w:ind w:firstLine="400" w:firstLineChars="200"/>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2.2.9提供所供西宁发电分公司1号机组碎渣机增容及提升机改造项目设计方案及所供设备的使用说明书、技术图纸3套纸质版、一套电子版及一套光盘版，负责完善标识标牌及图纸、资料的组档等工作。</w:t>
            </w:r>
          </w:p>
          <w:p w14:paraId="7ADC5B98">
            <w:pPr>
              <w:pStyle w:val="9"/>
              <w:numPr>
                <w:ilvl w:val="1"/>
                <w:numId w:val="0"/>
              </w:numPr>
              <w:rPr>
                <w:rFonts w:hint="default"/>
                <w:lang w:val="en-US" w:eastAsia="zh-CN"/>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FAD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项目服务期限：自合同签订之日起至全部机组通过168小时试运一年。</w:t>
            </w:r>
          </w:p>
        </w:tc>
        <w:tc>
          <w:tcPr>
            <w:tcW w:w="1045" w:type="dxa"/>
            <w:tcBorders>
              <w:top w:val="single" w:color="000000" w:sz="4" w:space="0"/>
              <w:left w:val="single" w:color="000000" w:sz="4" w:space="0"/>
              <w:bottom w:val="single" w:color="auto" w:sz="4" w:space="0"/>
              <w:right w:val="single" w:color="000000" w:sz="4" w:space="0"/>
            </w:tcBorders>
            <w:shd w:val="clear" w:color="auto" w:fill="auto"/>
            <w:vAlign w:val="center"/>
          </w:tcPr>
          <w:p w14:paraId="19029444">
            <w:pPr>
              <w:pStyle w:val="2"/>
              <w:spacing w:line="240" w:lineRule="auto"/>
              <w:ind w:left="0" w:leftChars="0" w:firstLine="0" w:firstLineChars="0"/>
              <w:jc w:val="left"/>
              <w:rPr>
                <w:rFonts w:hint="default"/>
              </w:rPr>
            </w:pPr>
            <w:r>
              <w:rPr>
                <w:rFonts w:hint="eastAsia" w:ascii="宋体" w:hAnsi="宋体" w:eastAsia="宋体" w:cs="宋体"/>
                <w:sz w:val="21"/>
                <w:szCs w:val="21"/>
                <w:lang w:eastAsia="zh-CN"/>
              </w:rPr>
              <w:t>青海黄河上游水电开发有限责任公司西宁发电分公司</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93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300.00</w:t>
            </w:r>
          </w:p>
        </w:tc>
      </w:tr>
    </w:tbl>
    <w:p w14:paraId="65EB1C7D">
      <w:bookmarkStart w:id="14" w:name="_GoBack"/>
      <w:bookmarkEnd w:id="1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987" w:hanging="420"/>
      </w:pPr>
      <w:rPr>
        <w:rFonts w:hint="eastAsia"/>
      </w:rPr>
    </w:lvl>
    <w:lvl w:ilvl="1" w:tentative="0">
      <w:start w:val="1"/>
      <w:numFmt w:val="lowerLetter"/>
      <w:pStyle w:val="9"/>
      <w:lvlText w:val="%2)"/>
      <w:lvlJc w:val="left"/>
      <w:pPr>
        <w:ind w:left="168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0000013"/>
    <w:multiLevelType w:val="multilevel"/>
    <w:tmpl w:val="00000013"/>
    <w:lvl w:ilvl="0" w:tentative="0">
      <w:start w:val="1"/>
      <w:numFmt w:val="decimal"/>
      <w:pStyle w:val="10"/>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C6AE0"/>
    <w:rsid w:val="487C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10" w:lineRule="atLeast"/>
      <w:ind w:firstLine="420"/>
      <w:jc w:val="left"/>
      <w:textAlignment w:val="baseline"/>
    </w:pPr>
    <w:rPr>
      <w:rFonts w:ascii="宋体" w:hAnsi="Times New Roman" w:cs="Times New Roman"/>
      <w:kern w:val="0"/>
      <w:sz w:val="24"/>
      <w:szCs w:val="20"/>
    </w:rPr>
  </w:style>
  <w:style w:type="paragraph" w:styleId="3">
    <w:name w:val="Body Text"/>
    <w:basedOn w:val="1"/>
    <w:next w:val="4"/>
    <w:qFormat/>
    <w:uiPriority w:val="1"/>
    <w:rPr>
      <w:rFonts w:ascii="宋体" w:hAnsi="宋体" w:cs="宋体"/>
      <w:sz w:val="24"/>
      <w:szCs w:val="24"/>
      <w:lang w:val="zh-CN" w:bidi="zh-CN"/>
    </w:rPr>
  </w:style>
  <w:style w:type="paragraph" w:styleId="4">
    <w:name w:val="Body Text Indent"/>
    <w:basedOn w:val="1"/>
    <w:next w:val="1"/>
    <w:qFormat/>
    <w:uiPriority w:val="0"/>
    <w:pPr>
      <w:widowControl/>
      <w:spacing w:line="480" w:lineRule="exact"/>
      <w:ind w:left="392" w:leftChars="196"/>
      <w:jc w:val="left"/>
    </w:pPr>
    <w:rPr>
      <w:rFonts w:ascii="Times New Roman" w:hAnsi="Times New Roman" w:cs="Times New Roman"/>
      <w:kern w:val="0"/>
      <w:sz w:val="20"/>
      <w:szCs w:val="20"/>
    </w:rPr>
  </w:style>
  <w:style w:type="paragraph" w:styleId="5">
    <w:name w:val="Plain Text"/>
    <w:basedOn w:val="1"/>
    <w:next w:val="1"/>
    <w:qFormat/>
    <w:uiPriority w:val="0"/>
    <w:pPr>
      <w:adjustRightInd w:val="0"/>
      <w:spacing w:line="312" w:lineRule="atLeast"/>
      <w:textAlignment w:val="baseline"/>
    </w:pPr>
    <w:rPr>
      <w:rFonts w:ascii="宋体" w:hAnsi="Courier New" w:cs="Times New Roman"/>
      <w:kern w:val="0"/>
      <w:sz w:val="20"/>
      <w:szCs w:val="20"/>
    </w:rPr>
  </w:style>
  <w:style w:type="table" w:styleId="7">
    <w:name w:val="Table Grid"/>
    <w:basedOn w:val="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引言二级条标题"/>
    <w:basedOn w:val="10"/>
    <w:next w:val="13"/>
    <w:qFormat/>
    <w:uiPriority w:val="0"/>
    <w:pPr>
      <w:numPr>
        <w:ilvl w:val="1"/>
        <w:numId w:val="1"/>
      </w:numPr>
      <w:tabs>
        <w:tab w:val="left" w:pos="0"/>
        <w:tab w:val="left" w:pos="360"/>
        <w:tab w:val="left" w:pos="425"/>
        <w:tab w:val="left" w:pos="1200"/>
        <w:tab w:val="left" w:pos="1320"/>
        <w:tab w:val="left" w:pos="2160"/>
      </w:tabs>
      <w:jc w:val="left"/>
    </w:pPr>
    <w:rPr>
      <w:sz w:val="20"/>
    </w:rPr>
  </w:style>
  <w:style w:type="paragraph" w:customStyle="1" w:styleId="10">
    <w:name w:val="引言一级条标题"/>
    <w:basedOn w:val="11"/>
    <w:next w:val="13"/>
    <w:qFormat/>
    <w:uiPriority w:val="0"/>
    <w:pPr>
      <w:widowControl/>
      <w:numPr>
        <w:ilvl w:val="0"/>
        <w:numId w:val="2"/>
      </w:numPr>
      <w:tabs>
        <w:tab w:val="left" w:pos="0"/>
        <w:tab w:val="left" w:pos="425"/>
        <w:tab w:val="left" w:pos="1200"/>
        <w:tab w:val="left" w:pos="2160"/>
      </w:tabs>
    </w:pPr>
    <w:rPr>
      <w:rFonts w:ascii="Times New Roman" w:hAnsi="Times New Roman" w:eastAsia="黑体"/>
    </w:rPr>
  </w:style>
  <w:style w:type="paragraph" w:customStyle="1" w:styleId="11">
    <w:name w:val="正文1"/>
    <w:basedOn w:val="12"/>
    <w:next w:val="9"/>
    <w:semiHidden/>
    <w:qFormat/>
    <w:uiPriority w:val="0"/>
    <w:pPr>
      <w:keepNext w:val="0"/>
      <w:keepLines w:val="0"/>
      <w:tabs>
        <w:tab w:val="left" w:pos="0"/>
        <w:tab w:val="left" w:pos="425"/>
        <w:tab w:val="left" w:pos="1200"/>
        <w:tab w:val="left" w:pos="2160"/>
      </w:tabs>
      <w:adjustRightInd w:val="0"/>
      <w:spacing w:before="0" w:after="0" w:line="490" w:lineRule="exact"/>
      <w:textAlignment w:val="baseline"/>
      <w:outlineLvl w:val="9"/>
    </w:pPr>
    <w:rPr>
      <w:rFonts w:ascii="仿宋_GB2312" w:eastAsia="仿宋_GB2312"/>
      <w:kern w:val="0"/>
      <w:sz w:val="34"/>
    </w:rPr>
  </w:style>
  <w:style w:type="paragraph" w:customStyle="1" w:styleId="12">
    <w:name w:val="样式1"/>
    <w:basedOn w:val="2"/>
    <w:next w:val="3"/>
    <w:qFormat/>
    <w:uiPriority w:val="0"/>
    <w:pPr>
      <w:tabs>
        <w:tab w:val="left" w:pos="1200"/>
      </w:tabs>
      <w:spacing w:before="100" w:after="100"/>
    </w:pPr>
    <w:rPr>
      <w:rFonts w:hAnsi="宋体"/>
    </w:rPr>
  </w:style>
  <w:style w:type="paragraph" w:customStyle="1" w:styleId="13">
    <w:name w:val="段"/>
    <w:basedOn w:val="5"/>
    <w:next w:val="5"/>
    <w:qFormat/>
    <w:uiPriority w:val="0"/>
    <w:pPr>
      <w:autoSpaceDE w:val="0"/>
      <w:autoSpaceDN w:val="0"/>
      <w:ind w:firstLine="200" w:firstLineChars="200"/>
    </w:pPr>
    <w:rPr>
      <w:rFonts w:hAns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2025-09-03T08:37:00Z</dcterms:created>
  <dc:creator>momo</dc:creator>
  <cp:lastModifiedBy>momo</cp:lastModifiedBy>
  <dcterms:modified xsi:type="dcterms:W3CDTF">2025-09-03T08:38:02Z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505300F6B39544EFB5E61F2F03985833_11</vt:lpwstr>
  </property>
  <property fmtid="{D5CDD505-2E9C-101B-9397-08002B2CF9AE}" pid="4" name="KSOTemplateDocerSaveRecord">
    <vt:lpwstr>eyJoZGlkIjoiMDhhMGJlZGVkMzA4YjQyM2E4YWI4NTViOWU0YzBkYzQiLCJ1c2VySWQiOiIxNDA0MzEyODU3In0=</vt:lpwstr>
  </property>
</Properties>
</file>