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0"/>
          <w:szCs w:val="40"/>
        </w:rPr>
      </w:pPr>
      <w:r>
        <w:rPr>
          <w:rFonts w:hint="eastAsia" w:ascii="仿宋" w:hAnsi="仿宋" w:eastAsia="仿宋"/>
          <w:b/>
          <w:bCs/>
          <w:sz w:val="40"/>
          <w:szCs w:val="40"/>
          <w:lang w:val="en-US" w:eastAsia="zh-CN"/>
        </w:rPr>
        <w:t>兴业银行西宁我行关于2025-2026年度信用卡诉讼代理项目备选供应商简介</w:t>
      </w:r>
      <w:r>
        <w:rPr>
          <w:rFonts w:hint="eastAsia" w:ascii="仿宋" w:hAnsi="仿宋" w:eastAsia="仿宋"/>
          <w:b/>
          <w:bCs/>
          <w:sz w:val="40"/>
          <w:szCs w:val="40"/>
        </w:rPr>
        <w:t>材料</w:t>
      </w:r>
    </w:p>
    <w:p>
      <w:pPr>
        <w:pStyle w:val="2"/>
        <w:rPr>
          <w:rFonts w:hint="eastAsia"/>
        </w:rPr>
      </w:pPr>
    </w:p>
    <w:p>
      <w:pPr>
        <w:jc w:val="center"/>
        <w:rPr>
          <w:rFonts w:hint="eastAsia" w:ascii="仿宋" w:hAnsi="仿宋" w:eastAsia="仿宋"/>
          <w:b/>
          <w:bCs/>
          <w:sz w:val="36"/>
          <w:szCs w:val="36"/>
        </w:rPr>
      </w:pPr>
      <w:r>
        <w:rPr>
          <w:rFonts w:hint="eastAsia" w:ascii="仿宋" w:hAnsi="仿宋" w:eastAsia="仿宋"/>
          <w:b/>
          <w:bCs/>
          <w:sz w:val="36"/>
          <w:szCs w:val="36"/>
        </w:rPr>
        <w:t>公司名称（全称）</w:t>
      </w:r>
    </w:p>
    <w:p>
      <w:pPr>
        <w:ind w:left="0" w:leftChars="0" w:firstLine="0" w:firstLineChars="0"/>
        <w:jc w:val="center"/>
        <w:rPr>
          <w:rFonts w:hint="eastAsia" w:ascii="仿宋" w:hAnsi="仿宋" w:eastAsia="仿宋"/>
          <w:b/>
          <w:bCs/>
          <w:sz w:val="24"/>
          <w:szCs w:val="24"/>
          <w:lang w:val="en-US" w:eastAsia="zh-CN"/>
        </w:rPr>
      </w:pPr>
    </w:p>
    <w:p>
      <w:pPr>
        <w:spacing w:line="360" w:lineRule="auto"/>
        <w:ind w:left="0" w:leftChars="0" w:firstLine="0" w:firstLineChars="0"/>
        <w:jc w:val="center"/>
        <w:outlineLvl w:val="0"/>
        <w:rPr>
          <w:rFonts w:hint="default" w:ascii="仿宋" w:hAnsi="仿宋" w:eastAsia="仿宋"/>
          <w:b/>
          <w:bCs/>
          <w:color w:val="FF0000"/>
          <w:sz w:val="28"/>
          <w:szCs w:val="28"/>
          <w:highlight w:val="none"/>
          <w:lang w:val="en-US" w:eastAsia="zh-CN"/>
        </w:rPr>
      </w:pPr>
      <w:r>
        <w:rPr>
          <w:rFonts w:hint="eastAsia" w:ascii="仿宋" w:hAnsi="仿宋" w:eastAsia="仿宋"/>
          <w:b/>
          <w:bCs/>
          <w:sz w:val="28"/>
          <w:szCs w:val="28"/>
          <w:lang w:val="en-US" w:eastAsia="zh-CN"/>
        </w:rPr>
        <w:t>目录指引</w:t>
      </w:r>
      <w:r>
        <w:rPr>
          <w:rFonts w:hint="eastAsia" w:ascii="仿宋" w:hAnsi="仿宋" w:eastAsia="仿宋"/>
          <w:b/>
          <w:bCs/>
          <w:color w:val="FF0000"/>
          <w:sz w:val="28"/>
          <w:szCs w:val="28"/>
          <w:highlight w:val="none"/>
          <w:lang w:val="en-US" w:eastAsia="zh-CN"/>
        </w:rPr>
        <w:t>（请报名供应商据实修改）</w:t>
      </w:r>
    </w:p>
    <w:p>
      <w:pPr>
        <w:pStyle w:val="9"/>
        <w:keepNext w:val="0"/>
        <w:keepLines w:val="0"/>
        <w:pageBreakBefore w:val="0"/>
        <w:widowControl w:val="0"/>
        <w:tabs>
          <w:tab w:val="left" w:pos="992"/>
        </w:tabs>
        <w:kinsoku/>
        <w:wordWrap/>
        <w:overflowPunct/>
        <w:topLinePunct/>
        <w:autoSpaceDE/>
        <w:autoSpaceDN/>
        <w:bidi w:val="0"/>
        <w:adjustRightInd/>
        <w:snapToGrid/>
        <w:spacing w:line="360" w:lineRule="auto"/>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9"/>
        <w:tabs>
          <w:tab w:val="left" w:pos="992"/>
        </w:tabs>
        <w:spacing w:line="360" w:lineRule="auto"/>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9"/>
        <w:tabs>
          <w:tab w:val="left" w:pos="992"/>
        </w:tabs>
        <w:spacing w:line="360" w:lineRule="auto"/>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9"/>
        <w:tabs>
          <w:tab w:val="left" w:pos="992"/>
        </w:tabs>
        <w:spacing w:line="360" w:lineRule="auto"/>
        <w:ind w:firstLine="0" w:firstLineChars="0"/>
        <w:jc w:val="center"/>
        <w:outlineLvl w:val="0"/>
        <w:rPr>
          <w:rFonts w:hint="eastAsia"/>
          <w:sz w:val="28"/>
          <w:szCs w:val="28"/>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16"/>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560" w:firstLineChars="200"/>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项目要求应答部分</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7"/>
        <w:gridCol w:w="119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审核事项</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是否满足（是/否）</w:t>
            </w: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sz w:val="24"/>
                <w:szCs w:val="24"/>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1.1采购需求</w:t>
            </w:r>
          </w:p>
          <w:p>
            <w:pPr>
              <w:pStyle w:val="8"/>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val="en-US" w:eastAsia="zh-CN"/>
              </w:rPr>
              <w:t>我行</w:t>
            </w:r>
            <w:r>
              <w:rPr>
                <w:rFonts w:hint="eastAsia" w:ascii="仿宋" w:hAnsi="仿宋" w:eastAsia="仿宋" w:cs="仿宋"/>
                <w:sz w:val="24"/>
                <w:szCs w:val="24"/>
              </w:rPr>
              <w:t>指定的信用卡欠款客户以及该欠款客户债务的相关责任人进行信用卡案件（含被诉案件）的民事诉讼，督促债务人按时向</w:t>
            </w:r>
            <w:r>
              <w:rPr>
                <w:rFonts w:hint="eastAsia" w:ascii="仿宋" w:hAnsi="仿宋" w:eastAsia="仿宋" w:cs="仿宋"/>
                <w:sz w:val="24"/>
                <w:szCs w:val="24"/>
                <w:lang w:eastAsia="zh-CN"/>
              </w:rPr>
              <w:t>我行</w:t>
            </w:r>
            <w:r>
              <w:rPr>
                <w:rFonts w:hint="eastAsia" w:ascii="仿宋" w:hAnsi="仿宋" w:eastAsia="仿宋" w:cs="仿宋"/>
                <w:sz w:val="24"/>
                <w:szCs w:val="24"/>
              </w:rPr>
              <w:t>偿还信用卡透支本金、利息及各种费用，包括但不限于诉前协商还款、起草法律文书、提起诉讼、开庭、调解、撤诉、上诉、领取和调取相关法律文书、申请执行及领取执行款等。</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lang w:eastAsia="zh-CN"/>
              </w:rPr>
            </w:pPr>
            <w:r>
              <w:rPr>
                <w:rFonts w:hint="eastAsia" w:ascii="仿宋" w:hAnsi="仿宋" w:eastAsia="仿宋" w:cs="仿宋"/>
                <w:b/>
                <w:bCs/>
                <w:sz w:val="24"/>
                <w:szCs w:val="24"/>
              </w:rPr>
              <w:t>1.2</w:t>
            </w:r>
            <w:r>
              <w:rPr>
                <w:rFonts w:hint="eastAsia" w:ascii="仿宋" w:hAnsi="仿宋" w:eastAsia="仿宋" w:cs="仿宋"/>
                <w:b/>
                <w:bCs/>
                <w:sz w:val="24"/>
                <w:szCs w:val="24"/>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4" w:type="pct"/>
            <w:vAlign w:val="center"/>
          </w:tcPr>
          <w:p>
            <w:pPr>
              <w:pStyle w:val="8"/>
              <w:spacing w:line="360" w:lineRule="auto"/>
              <w:ind w:left="0" w:leftChars="0" w:firstLine="0" w:firstLineChars="0"/>
              <w:rPr>
                <w:rFonts w:hint="eastAsia"/>
                <w:sz w:val="24"/>
                <w:szCs w:val="24"/>
              </w:rPr>
            </w:pPr>
            <w:r>
              <w:rPr>
                <w:rFonts w:hint="eastAsia"/>
                <w:sz w:val="24"/>
                <w:szCs w:val="24"/>
              </w:rPr>
              <w:t>1.2.1</w:t>
            </w:r>
            <w:r>
              <w:rPr>
                <w:rFonts w:hint="eastAsia"/>
                <w:sz w:val="24"/>
                <w:szCs w:val="24"/>
                <w:lang w:val="en-US" w:eastAsia="zh-CN"/>
              </w:rPr>
              <w:t xml:space="preserve"> </w:t>
            </w:r>
            <w:r>
              <w:rPr>
                <w:rFonts w:hint="eastAsia" w:ascii="仿宋" w:hAnsi="仿宋" w:eastAsia="仿宋" w:cs="仿宋"/>
                <w:sz w:val="24"/>
                <w:szCs w:val="24"/>
                <w:lang w:val="en-US" w:eastAsia="zh-CN"/>
              </w:rPr>
              <w:t>我行</w:t>
            </w:r>
            <w:r>
              <w:rPr>
                <w:rFonts w:hint="eastAsia" w:ascii="仿宋" w:hAnsi="仿宋" w:eastAsia="仿宋" w:cs="仿宋"/>
                <w:sz w:val="24"/>
                <w:szCs w:val="24"/>
              </w:rPr>
              <w:t>在法律规定限制及特定目的范围内，通过加密形式提供给</w:t>
            </w:r>
            <w:r>
              <w:rPr>
                <w:rFonts w:hint="eastAsia" w:ascii="仿宋" w:hAnsi="仿宋" w:eastAsia="仿宋" w:cs="仿宋"/>
                <w:sz w:val="24"/>
                <w:szCs w:val="24"/>
                <w:lang w:val="en-US" w:eastAsia="zh-CN"/>
              </w:rPr>
              <w:t>律所</w:t>
            </w:r>
            <w:r>
              <w:rPr>
                <w:rFonts w:hint="eastAsia" w:ascii="仿宋" w:hAnsi="仿宋" w:eastAsia="仿宋" w:cs="仿宋"/>
                <w:sz w:val="24"/>
                <w:szCs w:val="24"/>
              </w:rPr>
              <w:t>委托事项所需的相关信息及账户资料（电子档形式），以便于</w:t>
            </w:r>
            <w:r>
              <w:rPr>
                <w:rFonts w:hint="eastAsia" w:ascii="仿宋" w:hAnsi="仿宋" w:eastAsia="仿宋" w:cs="仿宋"/>
                <w:sz w:val="24"/>
                <w:szCs w:val="24"/>
                <w:lang w:val="en-US" w:eastAsia="zh-CN"/>
              </w:rPr>
              <w:t>律所</w:t>
            </w:r>
            <w:r>
              <w:rPr>
                <w:rFonts w:hint="eastAsia" w:ascii="仿宋" w:hAnsi="仿宋" w:eastAsia="仿宋" w:cs="仿宋"/>
                <w:sz w:val="24"/>
                <w:szCs w:val="24"/>
              </w:rPr>
              <w:t>开展业务（即为委案）。</w:t>
            </w:r>
            <w:r>
              <w:rPr>
                <w:rFonts w:hint="eastAsia" w:ascii="仿宋" w:hAnsi="仿宋" w:eastAsia="仿宋" w:cs="仿宋"/>
                <w:sz w:val="24"/>
                <w:szCs w:val="24"/>
                <w:lang w:val="en-US" w:eastAsia="zh-CN"/>
              </w:rPr>
              <w:t>其中，相关信息指客户在申请表中所填写的信息，包括但不限于联系电话、通讯地址、身份证号等；账户资料包括但不限于客户的卡号、欠款金额、交易明细等。</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4" w:type="pct"/>
            <w:vAlign w:val="center"/>
          </w:tcPr>
          <w:p>
            <w:pPr>
              <w:pStyle w:val="8"/>
              <w:spacing w:line="36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bCs/>
                <w:sz w:val="24"/>
                <w:szCs w:val="24"/>
              </w:rPr>
              <w:t>1.2.2</w:t>
            </w: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rPr>
              <w:t>在案件委托期限内，即委托案件交付</w:t>
            </w:r>
            <w:r>
              <w:rPr>
                <w:rFonts w:hint="eastAsia" w:ascii="仿宋" w:hAnsi="仿宋" w:eastAsia="仿宋" w:cs="仿宋"/>
                <w:sz w:val="24"/>
                <w:szCs w:val="24"/>
                <w:lang w:eastAsia="zh-CN"/>
              </w:rPr>
              <w:t>律所</w:t>
            </w:r>
            <w:r>
              <w:rPr>
                <w:rFonts w:hint="eastAsia" w:ascii="仿宋" w:hAnsi="仿宋" w:eastAsia="仿宋" w:cs="仿宋"/>
                <w:sz w:val="24"/>
                <w:szCs w:val="24"/>
              </w:rPr>
              <w:t>之日起至</w:t>
            </w:r>
            <w:r>
              <w:rPr>
                <w:rFonts w:hint="eastAsia" w:ascii="仿宋" w:hAnsi="仿宋" w:eastAsia="仿宋" w:cs="仿宋"/>
                <w:sz w:val="24"/>
                <w:szCs w:val="24"/>
                <w:lang w:eastAsia="zh-CN"/>
              </w:rPr>
              <w:t>我行</w:t>
            </w:r>
            <w:r>
              <w:rPr>
                <w:rFonts w:hint="eastAsia" w:ascii="仿宋" w:hAnsi="仿宋" w:eastAsia="仿宋" w:cs="仿宋"/>
                <w:sz w:val="24"/>
                <w:szCs w:val="24"/>
              </w:rPr>
              <w:t>通知</w:t>
            </w:r>
            <w:r>
              <w:rPr>
                <w:rFonts w:hint="eastAsia" w:ascii="仿宋" w:hAnsi="仿宋" w:eastAsia="仿宋" w:cs="仿宋"/>
                <w:sz w:val="24"/>
                <w:szCs w:val="24"/>
                <w:lang w:eastAsia="zh-CN"/>
              </w:rPr>
              <w:t>律所</w:t>
            </w:r>
            <w:r>
              <w:rPr>
                <w:rFonts w:hint="eastAsia" w:ascii="仿宋" w:hAnsi="仿宋" w:eastAsia="仿宋" w:cs="仿宋"/>
                <w:sz w:val="24"/>
                <w:szCs w:val="24"/>
              </w:rPr>
              <w:t>退回案件之日止，</w:t>
            </w:r>
            <w:r>
              <w:rPr>
                <w:rFonts w:hint="eastAsia" w:ascii="仿宋" w:hAnsi="仿宋" w:eastAsia="仿宋" w:cs="仿宋"/>
                <w:sz w:val="24"/>
                <w:szCs w:val="24"/>
                <w:lang w:eastAsia="zh-CN"/>
              </w:rPr>
              <w:t>律所</w:t>
            </w:r>
            <w:r>
              <w:rPr>
                <w:rFonts w:hint="eastAsia" w:ascii="仿宋" w:hAnsi="仿宋" w:eastAsia="仿宋" w:cs="仿宋"/>
                <w:sz w:val="24"/>
                <w:szCs w:val="24"/>
              </w:rPr>
              <w:t>根据</w:t>
            </w:r>
            <w:r>
              <w:rPr>
                <w:rFonts w:hint="eastAsia" w:ascii="仿宋" w:hAnsi="仿宋" w:eastAsia="仿宋" w:cs="仿宋"/>
                <w:sz w:val="24"/>
                <w:szCs w:val="24"/>
                <w:lang w:eastAsia="zh-CN"/>
              </w:rPr>
              <w:t>我行</w:t>
            </w:r>
            <w:r>
              <w:rPr>
                <w:rFonts w:hint="eastAsia" w:ascii="仿宋" w:hAnsi="仿宋" w:eastAsia="仿宋" w:cs="仿宋"/>
                <w:sz w:val="24"/>
                <w:szCs w:val="24"/>
              </w:rPr>
              <w:t>提出的委托事项、具体需求及相关材料，指派专人负责管理和跟进（即为在案）。</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1.2.3</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eastAsia="zh-CN"/>
              </w:rPr>
              <w:t>我行</w:t>
            </w:r>
            <w:r>
              <w:rPr>
                <w:rFonts w:hint="eastAsia" w:ascii="仿宋" w:hAnsi="仿宋" w:eastAsia="仿宋" w:cs="仿宋"/>
                <w:sz w:val="24"/>
                <w:szCs w:val="24"/>
              </w:rPr>
              <w:t>在委案之初确认案件的委托期限。当委托事项达到委托期限截止日或既定状态（如账务结清、诉讼案件判决生效、执行终结/中止等），经双方沟通和确认，</w:t>
            </w:r>
            <w:r>
              <w:rPr>
                <w:rFonts w:hint="eastAsia" w:ascii="仿宋" w:hAnsi="仿宋" w:eastAsia="仿宋" w:cs="仿宋"/>
                <w:sz w:val="24"/>
                <w:szCs w:val="24"/>
                <w:lang w:eastAsia="zh-CN"/>
              </w:rPr>
              <w:t>我行</w:t>
            </w:r>
            <w:r>
              <w:rPr>
                <w:rFonts w:hint="eastAsia" w:ascii="仿宋" w:hAnsi="仿宋" w:eastAsia="仿宋" w:cs="仿宋"/>
                <w:sz w:val="24"/>
                <w:szCs w:val="24"/>
              </w:rPr>
              <w:t>通知</w:t>
            </w:r>
            <w:r>
              <w:rPr>
                <w:rFonts w:hint="eastAsia" w:ascii="仿宋" w:hAnsi="仿宋" w:eastAsia="仿宋" w:cs="仿宋"/>
                <w:sz w:val="24"/>
                <w:szCs w:val="24"/>
                <w:lang w:eastAsia="zh-CN"/>
              </w:rPr>
              <w:t>律所</w:t>
            </w:r>
            <w:r>
              <w:rPr>
                <w:rFonts w:hint="eastAsia" w:ascii="仿宋" w:hAnsi="仿宋" w:eastAsia="仿宋" w:cs="仿宋"/>
                <w:sz w:val="24"/>
                <w:szCs w:val="24"/>
              </w:rPr>
              <w:t>结束委托（即为退案）。若</w:t>
            </w:r>
            <w:r>
              <w:rPr>
                <w:rFonts w:hint="eastAsia" w:ascii="仿宋" w:hAnsi="仿宋" w:eastAsia="仿宋" w:cs="仿宋"/>
                <w:sz w:val="24"/>
                <w:szCs w:val="24"/>
                <w:lang w:eastAsia="zh-CN"/>
              </w:rPr>
              <w:t>律所</w:t>
            </w:r>
            <w:r>
              <w:rPr>
                <w:rFonts w:hint="eastAsia" w:ascii="仿宋" w:hAnsi="仿宋" w:eastAsia="仿宋" w:cs="仿宋"/>
                <w:sz w:val="24"/>
                <w:szCs w:val="24"/>
              </w:rPr>
              <w:t>申请延长委托期限或主动申请其他个案委托的，应征得</w:t>
            </w:r>
            <w:r>
              <w:rPr>
                <w:rFonts w:hint="eastAsia" w:ascii="仿宋" w:hAnsi="仿宋" w:eastAsia="仿宋" w:cs="仿宋"/>
                <w:sz w:val="24"/>
                <w:szCs w:val="24"/>
                <w:lang w:eastAsia="zh-CN"/>
              </w:rPr>
              <w:t>我行</w:t>
            </w:r>
            <w:r>
              <w:rPr>
                <w:rFonts w:hint="eastAsia" w:ascii="仿宋" w:hAnsi="仿宋" w:eastAsia="仿宋" w:cs="仿宋"/>
                <w:sz w:val="24"/>
                <w:szCs w:val="24"/>
              </w:rPr>
              <w:t>同意。自结束委托的次日起，</w:t>
            </w:r>
            <w:r>
              <w:rPr>
                <w:rFonts w:hint="eastAsia" w:ascii="仿宋" w:hAnsi="仿宋" w:eastAsia="仿宋" w:cs="仿宋"/>
                <w:sz w:val="24"/>
                <w:szCs w:val="24"/>
                <w:lang w:eastAsia="zh-CN"/>
              </w:rPr>
              <w:t>我行</w:t>
            </w:r>
            <w:r>
              <w:rPr>
                <w:rFonts w:hint="eastAsia" w:ascii="仿宋" w:hAnsi="仿宋" w:eastAsia="仿宋" w:cs="仿宋"/>
                <w:sz w:val="24"/>
                <w:szCs w:val="24"/>
              </w:rPr>
              <w:t>不支付</w:t>
            </w:r>
            <w:r>
              <w:rPr>
                <w:rFonts w:hint="eastAsia" w:ascii="仿宋" w:hAnsi="仿宋" w:eastAsia="仿宋" w:cs="仿宋"/>
                <w:sz w:val="24"/>
                <w:szCs w:val="24"/>
                <w:lang w:eastAsia="zh-CN"/>
              </w:rPr>
              <w:t>律所</w:t>
            </w:r>
            <w:r>
              <w:rPr>
                <w:rFonts w:hint="eastAsia" w:ascii="仿宋" w:hAnsi="仿宋" w:eastAsia="仿宋" w:cs="仿宋"/>
                <w:sz w:val="24"/>
                <w:szCs w:val="24"/>
              </w:rPr>
              <w:t>后续发生的任何服务费用。</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4" w:type="pct"/>
            <w:vAlign w:val="center"/>
          </w:tcPr>
          <w:p>
            <w:pPr>
              <w:pStyle w:val="8"/>
              <w:spacing w:line="36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bCs/>
                <w:sz w:val="24"/>
                <w:szCs w:val="24"/>
              </w:rPr>
              <w:t>1.2.4</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双方应定期确认委案、在案及退案情况，包括但不限于相关案件的数量和金额。</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4" w:type="pct"/>
            <w:vAlign w:val="center"/>
          </w:tcPr>
          <w:p>
            <w:pPr>
              <w:pStyle w:val="8"/>
              <w:spacing w:line="360" w:lineRule="auto"/>
              <w:ind w:left="0" w:leftChars="0" w:firstLine="0" w:firstLineChars="0"/>
              <w:rPr>
                <w:rFonts w:hint="eastAsia" w:ascii="仿宋" w:hAnsi="仿宋" w:eastAsia="仿宋" w:cs="仿宋"/>
                <w:b w:val="0"/>
                <w:bCs w:val="0"/>
                <w:sz w:val="24"/>
                <w:szCs w:val="24"/>
              </w:rPr>
            </w:pPr>
            <w:r>
              <w:rPr>
                <w:rFonts w:hint="eastAsia" w:ascii="仿宋" w:hAnsi="仿宋" w:eastAsia="仿宋" w:cs="仿宋"/>
                <w:b/>
                <w:bCs/>
                <w:sz w:val="24"/>
                <w:szCs w:val="24"/>
              </w:rPr>
              <w:t>1.2.5</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eastAsia="zh-CN"/>
              </w:rPr>
              <w:t>我行</w:t>
            </w:r>
            <w:r>
              <w:rPr>
                <w:rFonts w:hint="eastAsia" w:ascii="仿宋" w:hAnsi="仿宋" w:eastAsia="仿宋" w:cs="仿宋"/>
                <w:sz w:val="24"/>
                <w:szCs w:val="24"/>
              </w:rPr>
              <w:t>有权询问和督导委托案件的处理进展，有权随时调取和审阅案件处理记录，</w:t>
            </w:r>
            <w:r>
              <w:rPr>
                <w:rFonts w:hint="eastAsia" w:ascii="仿宋" w:hAnsi="仿宋" w:eastAsia="仿宋" w:cs="仿宋"/>
                <w:sz w:val="24"/>
                <w:szCs w:val="24"/>
                <w:lang w:eastAsia="zh-CN"/>
              </w:rPr>
              <w:t>律所</w:t>
            </w:r>
            <w:r>
              <w:rPr>
                <w:rFonts w:hint="eastAsia" w:ascii="仿宋" w:hAnsi="仿宋" w:eastAsia="仿宋" w:cs="仿宋"/>
                <w:sz w:val="24"/>
                <w:szCs w:val="24"/>
              </w:rPr>
              <w:t>应在指定期限内如实告知和提供。</w:t>
            </w:r>
            <w:r>
              <w:rPr>
                <w:rFonts w:hint="eastAsia" w:ascii="仿宋" w:hAnsi="仿宋" w:eastAsia="仿宋" w:cs="仿宋"/>
                <w:sz w:val="24"/>
                <w:szCs w:val="24"/>
                <w:lang w:eastAsia="zh-CN"/>
              </w:rPr>
              <w:t>律所</w:t>
            </w:r>
            <w:r>
              <w:rPr>
                <w:rFonts w:hint="eastAsia" w:ascii="仿宋" w:hAnsi="仿宋" w:eastAsia="仿宋" w:cs="仿宋"/>
                <w:sz w:val="24"/>
                <w:szCs w:val="24"/>
              </w:rPr>
              <w:t>对委托案件应妥善保留完整及准确的处理记录以及取得的书面资料（包括但不限于委托债务人死亡证明、债务人分期协议及诉讼过程中取得的各项法律文书等）(下同)，并定期向</w:t>
            </w:r>
            <w:r>
              <w:rPr>
                <w:rFonts w:hint="eastAsia" w:ascii="仿宋" w:hAnsi="仿宋" w:eastAsia="仿宋" w:cs="仿宋"/>
                <w:sz w:val="24"/>
                <w:szCs w:val="24"/>
                <w:lang w:eastAsia="zh-CN"/>
              </w:rPr>
              <w:t>我行</w:t>
            </w:r>
            <w:r>
              <w:rPr>
                <w:rFonts w:hint="eastAsia" w:ascii="仿宋" w:hAnsi="仿宋" w:eastAsia="仿宋" w:cs="仿宋"/>
                <w:sz w:val="24"/>
                <w:szCs w:val="24"/>
              </w:rPr>
              <w:t>报告委托事项处理进展。凡本合同任何一方得知对债务处理有用或有益的信息时，均应及时通知对方。</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1.2.</w:t>
            </w:r>
            <w:r>
              <w:rPr>
                <w:rFonts w:hint="eastAsia" w:ascii="仿宋" w:hAnsi="仿宋" w:eastAsia="仿宋" w:cs="仿宋"/>
                <w:b/>
                <w:bCs/>
                <w:sz w:val="24"/>
                <w:szCs w:val="24"/>
                <w:lang w:val="en-US" w:eastAsia="zh-CN"/>
              </w:rPr>
              <w:t>6</w:t>
            </w:r>
            <w:r>
              <w:rPr>
                <w:rFonts w:hint="eastAsia" w:ascii="仿宋" w:hAnsi="仿宋" w:eastAsia="仿宋" w:cs="仿宋"/>
                <w:b w:val="0"/>
                <w:bCs w:val="0"/>
                <w:sz w:val="24"/>
                <w:szCs w:val="24"/>
              </w:rPr>
              <w:t xml:space="preserve"> </w:t>
            </w:r>
            <w:r>
              <w:rPr>
                <w:rFonts w:hint="eastAsia" w:ascii="仿宋" w:hAnsi="仿宋" w:eastAsia="仿宋" w:cs="仿宋"/>
                <w:sz w:val="24"/>
                <w:szCs w:val="24"/>
                <w:lang w:eastAsia="zh-CN"/>
              </w:rPr>
              <w:t>律所</w:t>
            </w:r>
            <w:r>
              <w:rPr>
                <w:rFonts w:hint="eastAsia" w:ascii="仿宋" w:hAnsi="仿宋" w:eastAsia="仿宋" w:cs="仿宋"/>
                <w:sz w:val="24"/>
                <w:szCs w:val="24"/>
              </w:rPr>
              <w:t>应建立档案管理制度，将委托事项中取得的书面资料进行妥善保管和备份，并每月将书面资料原件及时提供给</w:t>
            </w:r>
            <w:r>
              <w:rPr>
                <w:rFonts w:hint="eastAsia" w:ascii="仿宋" w:hAnsi="仿宋" w:eastAsia="仿宋" w:cs="仿宋"/>
                <w:sz w:val="24"/>
                <w:szCs w:val="24"/>
                <w:lang w:eastAsia="zh-CN"/>
              </w:rPr>
              <w:t>我行</w:t>
            </w:r>
            <w:r>
              <w:rPr>
                <w:rFonts w:hint="eastAsia" w:ascii="仿宋" w:hAnsi="仿宋" w:eastAsia="仿宋" w:cs="仿宋"/>
                <w:sz w:val="24"/>
                <w:szCs w:val="24"/>
              </w:rPr>
              <w:t>，以便</w:t>
            </w:r>
            <w:r>
              <w:rPr>
                <w:rFonts w:hint="eastAsia" w:ascii="仿宋" w:hAnsi="仿宋" w:eastAsia="仿宋" w:cs="仿宋"/>
                <w:sz w:val="24"/>
                <w:szCs w:val="24"/>
                <w:lang w:eastAsia="zh-CN"/>
              </w:rPr>
              <w:t>我行</w:t>
            </w:r>
            <w:r>
              <w:rPr>
                <w:rFonts w:hint="eastAsia" w:ascii="仿宋" w:hAnsi="仿宋" w:eastAsia="仿宋" w:cs="仿宋"/>
                <w:sz w:val="24"/>
                <w:szCs w:val="24"/>
              </w:rPr>
              <w:t>了解案件进展、结算服务费用及档案管理。</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4" w:type="pct"/>
            <w:vAlign w:val="center"/>
          </w:tcPr>
          <w:p>
            <w:pPr>
              <w:keepNext w:val="0"/>
              <w:keepLines w:val="0"/>
              <w:pageBreakBefore w:val="0"/>
              <w:widowControl w:val="0"/>
              <w:tabs>
                <w:tab w:val="left" w:pos="711"/>
              </w:tabs>
              <w:kinsoku/>
              <w:wordWrap/>
              <w:overflowPunct/>
              <w:topLinePunct w:val="0"/>
              <w:autoSpaceDE w:val="0"/>
              <w:autoSpaceDN w:val="0"/>
              <w:bidi w:val="0"/>
              <w:adjustRightInd w:val="0"/>
              <w:snapToGrid/>
              <w:spacing w:line="360" w:lineRule="auto"/>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 xml:space="preserve"> </w:t>
            </w:r>
            <w:r>
              <w:rPr>
                <w:rFonts w:hint="eastAsia" w:ascii="仿宋" w:hAnsi="仿宋" w:eastAsia="仿宋" w:cs="仿宋"/>
                <w:kern w:val="0"/>
                <w:sz w:val="24"/>
                <w:szCs w:val="24"/>
              </w:rPr>
              <w:t>必须在中华人民共和国境内注册，持有律师事务所执业许可证。</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4" w:type="pct"/>
            <w:vAlign w:val="center"/>
          </w:tcPr>
          <w:p>
            <w:pPr>
              <w:keepNext w:val="0"/>
              <w:keepLines w:val="0"/>
              <w:pageBreakBefore w:val="0"/>
              <w:widowControl w:val="0"/>
              <w:tabs>
                <w:tab w:val="left" w:pos="711"/>
              </w:tabs>
              <w:kinsoku/>
              <w:wordWrap/>
              <w:overflowPunct/>
              <w:topLinePunct w:val="0"/>
              <w:autoSpaceDE w:val="0"/>
              <w:autoSpaceDN w:val="0"/>
              <w:bidi w:val="0"/>
              <w:adjustRightInd w:val="0"/>
              <w:snapToGrid/>
              <w:spacing w:line="360" w:lineRule="auto"/>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.2</w:t>
            </w: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rPr>
              <w:t>要求成立时间一年以上，有至少一家银行与其开展相关业务，当地有比较好的司法渠道，能提供(代理人)司法文书佐证。</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3</w:t>
            </w:r>
            <w:r>
              <w:rPr>
                <w:rFonts w:hint="eastAsia" w:ascii="仿宋" w:hAnsi="仿宋" w:eastAsia="仿宋" w:cs="仿宋"/>
                <w:sz w:val="24"/>
                <w:szCs w:val="24"/>
              </w:rPr>
              <w:t>具有良好的经营状态</w:t>
            </w:r>
            <w:r>
              <w:rPr>
                <w:rStyle w:val="15"/>
                <w:rFonts w:hint="eastAsia" w:ascii="仿宋" w:hAnsi="仿宋" w:eastAsia="仿宋" w:cs="仿宋"/>
                <w:sz w:val="24"/>
                <w:szCs w:val="24"/>
              </w:rPr>
              <w:footnoteReference w:id="0"/>
            </w:r>
            <w:r>
              <w:rPr>
                <w:rFonts w:hint="eastAsia" w:ascii="仿宋" w:hAnsi="仿宋" w:eastAsia="仿宋" w:cs="仿宋"/>
                <w:sz w:val="24"/>
                <w:szCs w:val="24"/>
              </w:rPr>
              <w:t>。负责人无不良信用记录，百度等网络渠道无负面记录。</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w:t>
            </w:r>
            <w:r>
              <w:rPr>
                <w:rFonts w:hint="eastAsia" w:ascii="仿宋" w:hAnsi="仿宋" w:eastAsia="仿宋" w:cs="仿宋"/>
                <w:sz w:val="24"/>
                <w:szCs w:val="24"/>
              </w:rPr>
              <w:t>最近一年财务报表显示盈利（考虑到律所运营的特殊情况，对于成立时间在3年内的可适当放宽该要求）</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5</w:t>
            </w:r>
            <w:r>
              <w:rPr>
                <w:rFonts w:hint="eastAsia" w:ascii="仿宋" w:hAnsi="仿宋" w:eastAsia="仿宋" w:cs="仿宋"/>
                <w:kern w:val="0"/>
                <w:sz w:val="24"/>
                <w:szCs w:val="24"/>
              </w:rPr>
              <w:t>服务时效可满足作业要求，具有履行合同所必须的资源、设备、专业技术能力及业务后期保障服务能力。</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kern w:val="0"/>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6</w:t>
            </w:r>
            <w:r>
              <w:rPr>
                <w:rFonts w:hint="eastAsia" w:ascii="仿宋_GB2312" w:hAnsi="宋体" w:eastAsia="仿宋" w:cs="仿宋_GB2312"/>
                <w:snapToGrid w:val="0"/>
                <w:kern w:val="0"/>
                <w:sz w:val="24"/>
                <w:szCs w:val="24"/>
                <w:lang w:val="en-US" w:eastAsia="zh-CN"/>
              </w:rPr>
              <w:t>符合监管和总行关于消费者权益保护的要求。</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2.1</w:t>
            </w:r>
            <w:r>
              <w:rPr>
                <w:rFonts w:hint="eastAsia" w:ascii="仿宋" w:hAnsi="仿宋" w:eastAsia="仿宋" w:cs="仿宋"/>
                <w:b w:val="0"/>
                <w:bCs w:val="0"/>
                <w:sz w:val="24"/>
                <w:szCs w:val="24"/>
              </w:rPr>
              <w:t>依法成立，为存续、在营、开业、在册、登记成立等正常企业状态。</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2.2</w:t>
            </w:r>
            <w:r>
              <w:rPr>
                <w:rFonts w:hint="eastAsia" w:ascii="仿宋" w:hAnsi="仿宋" w:eastAsia="仿宋" w:cs="仿宋"/>
                <w:b w:val="0"/>
                <w:bCs w:val="0"/>
                <w:sz w:val="24"/>
                <w:szCs w:val="24"/>
                <w:lang w:val="en-US" w:eastAsia="zh-CN"/>
              </w:rPr>
              <w:t>原则上</w:t>
            </w:r>
            <w:r>
              <w:rPr>
                <w:rFonts w:hint="eastAsia" w:ascii="仿宋" w:hAnsi="仿宋" w:eastAsia="仿宋" w:cs="仿宋"/>
                <w:b w:val="0"/>
                <w:bCs w:val="0"/>
                <w:sz w:val="24"/>
                <w:szCs w:val="24"/>
              </w:rPr>
              <w:t>在兴业银行开立对公账户，若中标本项目，则通过兴业银行对公账户结算该项目相关费用。</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2.3</w:t>
            </w:r>
            <w:r>
              <w:rPr>
                <w:rFonts w:hint="eastAsia" w:ascii="仿宋" w:hAnsi="仿宋" w:eastAsia="仿宋" w:cs="仿宋"/>
                <w:b w:val="0"/>
                <w:bCs w:val="0"/>
                <w:sz w:val="24"/>
                <w:szCs w:val="24"/>
              </w:rPr>
              <w:t>充分理解我行服务需求并能够根据需求提供相应的服务。</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eastAsia" w:ascii="仿宋" w:hAnsi="仿宋" w:eastAsia="仿宋" w:cs="仿宋"/>
                <w:b w:val="0"/>
                <w:bCs w:val="0"/>
                <w:sz w:val="24"/>
                <w:szCs w:val="24"/>
              </w:rPr>
            </w:pPr>
            <w:r>
              <w:rPr>
                <w:rFonts w:hint="eastAsia" w:ascii="仿宋" w:hAnsi="仿宋" w:eastAsia="仿宋" w:cs="仿宋"/>
                <w:b/>
                <w:bCs/>
                <w:sz w:val="24"/>
                <w:szCs w:val="24"/>
              </w:rPr>
              <w:t>2.4</w:t>
            </w:r>
            <w:r>
              <w:rPr>
                <w:rFonts w:hint="eastAsia" w:ascii="仿宋" w:hAnsi="仿宋" w:eastAsia="仿宋" w:cs="仿宋"/>
                <w:b w:val="0"/>
                <w:bCs w:val="0"/>
                <w:sz w:val="24"/>
                <w:szCs w:val="24"/>
              </w:rPr>
              <w:t>具有良好的商业信誉和财务情况。</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2.5</w:t>
            </w:r>
            <w:r>
              <w:rPr>
                <w:rFonts w:hint="eastAsia" w:ascii="仿宋" w:hAnsi="仿宋" w:eastAsia="仿宋" w:cs="仿宋"/>
                <w:b w:val="0"/>
                <w:bCs w:val="0"/>
                <w:sz w:val="24"/>
                <w:szCs w:val="24"/>
                <w:lang w:val="en-US" w:eastAsia="zh-CN"/>
              </w:rPr>
              <w:t>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不在兴业银行供应商禁用/退出期内。</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614" w:type="pct"/>
            <w:vAlign w:val="center"/>
          </w:tcPr>
          <w:p>
            <w:pPr>
              <w:keepNext w:val="0"/>
              <w:keepLines w:val="0"/>
              <w:pageBreakBefore w:val="0"/>
              <w:widowControl w:val="0"/>
              <w:kinsoku/>
              <w:wordWrap/>
              <w:overflowPunct/>
              <w:topLinePunct/>
              <w:autoSpaceDE/>
              <w:autoSpaceDN/>
              <w:bidi w:val="0"/>
              <w:adjustRightInd/>
              <w:snapToGrid/>
              <w:spacing w:line="360" w:lineRule="auto"/>
              <w:ind w:left="0" w:leftChars="0"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2.6</w:t>
            </w:r>
            <w:r>
              <w:rPr>
                <w:rFonts w:hint="eastAsia" w:ascii="仿宋_GB2312" w:hAnsi="宋体" w:eastAsia="仿宋" w:cs="仿宋_GB2312"/>
                <w:snapToGrid w:val="0"/>
                <w:kern w:val="0"/>
                <w:sz w:val="24"/>
                <w:szCs w:val="24"/>
                <w:lang w:val="en-US" w:eastAsia="zh-CN"/>
              </w:rPr>
              <w:t>经营范围经国家行政管理部门依法批准，同时获得从事行业有效执业证明、行政许可、专业资质等证照。</w:t>
            </w:r>
          </w:p>
        </w:tc>
        <w:tc>
          <w:tcPr>
            <w:tcW w:w="703"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c>
          <w:tcPr>
            <w:tcW w:w="682" w:type="pct"/>
            <w:vAlign w:val="center"/>
          </w:tcPr>
          <w:p>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仿宋" w:hAnsi="仿宋" w:eastAsia="仿宋" w:cs="仿宋"/>
                <w:b w:val="0"/>
                <w:bCs w:val="0"/>
                <w:sz w:val="24"/>
                <w:szCs w:val="24"/>
              </w:rPr>
            </w:pPr>
          </w:p>
        </w:tc>
      </w:tr>
    </w:tbl>
    <w:p>
      <w:pPr>
        <w:keepNext w:val="0"/>
        <w:keepLines w:val="0"/>
        <w:pageBreakBefore w:val="0"/>
        <w:widowControl w:val="0"/>
        <w:kinsoku/>
        <w:wordWrap/>
        <w:overflowPunct/>
        <w:topLinePunct/>
        <w:autoSpaceDE/>
        <w:autoSpaceDN/>
        <w:bidi w:val="0"/>
        <w:adjustRightInd/>
        <w:snapToGrid/>
        <w:spacing w:line="579"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sz w:val="24"/>
          <w:szCs w:val="24"/>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rPr>
        <w:t>供应商基础信息部分</w:t>
      </w:r>
    </w:p>
    <w:tbl>
      <w:tblPr>
        <w:tblStyle w:val="1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基本信息项</w:t>
            </w:r>
          </w:p>
        </w:tc>
        <w:tc>
          <w:tcPr>
            <w:tcW w:w="4563"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注册资金及实缴资本（万）</w:t>
            </w:r>
          </w:p>
        </w:tc>
        <w:tc>
          <w:tcPr>
            <w:tcW w:w="4563" w:type="dxa"/>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注册资金：    万</w:t>
            </w:r>
          </w:p>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公司注册所在地</w:t>
            </w:r>
          </w:p>
        </w:tc>
        <w:tc>
          <w:tcPr>
            <w:tcW w:w="4563" w:type="dxa"/>
            <w:vAlign w:val="center"/>
          </w:tcPr>
          <w:p>
            <w:pPr>
              <w:keepNext w:val="0"/>
              <w:keepLines w:val="0"/>
              <w:pageBreakBefore w:val="0"/>
              <w:kinsoku/>
              <w:wordWrap/>
              <w:overflowPunct/>
              <w:autoSpaceDE/>
              <w:autoSpaceDN/>
              <w:bidi w:val="0"/>
              <w:adjustRightInd/>
              <w:snapToGri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是否可以在兴业银行开立对公账户，并承诺若中标本项目，则通过兴业银行对公账户结算该项目相关费用。</w:t>
            </w:r>
          </w:p>
        </w:tc>
        <w:tc>
          <w:tcPr>
            <w:tcW w:w="4563"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是否已在兴业银行开立对公账户：</w:t>
            </w:r>
            <w:r>
              <w:rPr>
                <w:rFonts w:hint="eastAsia" w:ascii="仿宋" w:hAnsi="仿宋" w:eastAsia="仿宋" w:cs="仿宋"/>
                <w:b/>
                <w:sz w:val="24"/>
                <w:szCs w:val="24"/>
              </w:rPr>
              <w:t>是/否</w:t>
            </w:r>
          </w:p>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若未开户，是否可以承诺若中标则在兴业银行开立对公账户并通过该账户结算该项目相关费用：</w:t>
            </w:r>
            <w:r>
              <w:rPr>
                <w:rFonts w:hint="eastAsia" w:ascii="仿宋" w:hAnsi="仿宋" w:eastAsia="仿宋" w:cs="仿宋"/>
                <w:b/>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公司法人</w:t>
            </w:r>
          </w:p>
        </w:tc>
        <w:tc>
          <w:tcPr>
            <w:tcW w:w="4563" w:type="dxa"/>
            <w:vAlign w:val="center"/>
          </w:tcPr>
          <w:p>
            <w:pPr>
              <w:keepNext w:val="0"/>
              <w:keepLines w:val="0"/>
              <w:pageBreakBefore w:val="0"/>
              <w:kinsoku/>
              <w:wordWrap/>
              <w:overflowPunct/>
              <w:autoSpaceDE/>
              <w:autoSpaceDN/>
              <w:bidi w:val="0"/>
              <w:adjustRightInd/>
              <w:snapToGri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企业性质</w:t>
            </w:r>
          </w:p>
        </w:tc>
        <w:tc>
          <w:tcPr>
            <w:tcW w:w="4563"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i w:val="0"/>
                <w:iCs w:val="0"/>
                <w:sz w:val="24"/>
                <w:szCs w:val="24"/>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财务指标</w:t>
            </w:r>
          </w:p>
        </w:tc>
        <w:tc>
          <w:tcPr>
            <w:tcW w:w="4563" w:type="dxa"/>
          </w:tcPr>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00" w:lineRule="exact"/>
              <w:ind w:leftChars="0" w:right="0" w:rightChars="0"/>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一、资产总额：</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00" w:lineRule="exact"/>
              <w:ind w:leftChars="0" w:right="0" w:rightChars="0"/>
              <w:jc w:val="left"/>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二、营业收入：</w:t>
            </w:r>
            <w:r>
              <w:rPr>
                <w:rFonts w:hint="eastAsia" w:ascii="仿宋" w:hAnsi="仿宋" w:eastAsia="仿宋" w:cs="仿宋"/>
                <w:color w:val="000000" w:themeColor="text1"/>
                <w:sz w:val="24"/>
                <w:szCs w:val="24"/>
                <w:lang w:val="en-US" w:eastAsia="zh-CN"/>
                <w14:textFill>
                  <w14:solidFill>
                    <w14:schemeClr w14:val="tx1"/>
                  </w14:solidFill>
                </w14:textFill>
              </w:rPr>
              <w:t>近三年营收及合计</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00" w:lineRule="exact"/>
              <w:ind w:leftChars="0" w:right="0" w:rightChars="0"/>
              <w:jc w:val="left"/>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三、净利润等财务指标：</w:t>
            </w:r>
            <w:r>
              <w:rPr>
                <w:rFonts w:hint="eastAsia" w:ascii="仿宋" w:hAnsi="仿宋" w:eastAsia="仿宋" w:cs="仿宋"/>
                <w:color w:val="000000" w:themeColor="text1"/>
                <w:sz w:val="24"/>
                <w:szCs w:val="24"/>
                <w:lang w:val="en-US" w:eastAsia="zh-CN"/>
                <w14:textFill>
                  <w14:solidFill>
                    <w14:schemeClr w14:val="tx1"/>
                  </w14:solidFill>
                </w14:textFill>
              </w:rPr>
              <w:t>近三年净利润及合计</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00" w:lineRule="exact"/>
              <w:ind w:leftChars="0" w:right="0" w:rightChars="0"/>
              <w:jc w:val="left"/>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auto"/>
                <w:kern w:val="2"/>
                <w:sz w:val="24"/>
                <w:szCs w:val="24"/>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企业资质、认证</w:t>
            </w:r>
          </w:p>
        </w:tc>
        <w:tc>
          <w:tcPr>
            <w:tcW w:w="4563" w:type="dxa"/>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分公司名单</w:t>
            </w:r>
          </w:p>
        </w:tc>
        <w:tc>
          <w:tcPr>
            <w:tcW w:w="4563"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公司员工数量</w:t>
            </w:r>
          </w:p>
        </w:tc>
        <w:tc>
          <w:tcPr>
            <w:tcW w:w="4563"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联系人信息</w:t>
            </w:r>
          </w:p>
        </w:tc>
        <w:tc>
          <w:tcPr>
            <w:tcW w:w="4563" w:type="dxa"/>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职务：</w:t>
            </w:r>
          </w:p>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手机：</w:t>
            </w:r>
          </w:p>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经营范围</w:t>
            </w:r>
          </w:p>
        </w:tc>
        <w:tc>
          <w:tcPr>
            <w:tcW w:w="4563" w:type="dxa"/>
          </w:tcPr>
          <w:p>
            <w:pPr>
              <w:keepNext w:val="0"/>
              <w:keepLines w:val="0"/>
              <w:pageBreakBefore w:val="0"/>
              <w:kinsoku/>
              <w:wordWrap/>
              <w:overflowPunct/>
              <w:autoSpaceDE/>
              <w:autoSpaceDN/>
              <w:bidi w:val="0"/>
              <w:adjustRightInd/>
              <w:snapToGrid/>
              <w:spacing w:line="40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3909" w:type="dxa"/>
            <w:vAlign w:val="center"/>
          </w:tcPr>
          <w:p>
            <w:pPr>
              <w:keepNext w:val="0"/>
              <w:keepLines w:val="0"/>
              <w:pageBreakBefore w:val="0"/>
              <w:kinsoku/>
              <w:wordWrap/>
              <w:overflowPunct/>
              <w:autoSpaceDE/>
              <w:autoSpaceDN/>
              <w:bidi w:val="0"/>
              <w:adjustRightInd/>
              <w:snapToGrid/>
              <w:spacing w:line="400" w:lineRule="exact"/>
              <w:ind w:left="0" w:leftChars="0" w:firstLine="0" w:firstLineChars="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00" w:lineRule="exact"/>
              <w:textAlignment w:val="auto"/>
              <w:rPr>
                <w:rFonts w:hint="eastAsia" w:ascii="仿宋" w:hAnsi="仿宋" w:eastAsia="仿宋" w:cs="仿宋"/>
                <w:sz w:val="24"/>
                <w:szCs w:val="24"/>
                <w:lang w:val="en-GB"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en-GB" w:eastAsia="zh-CN"/>
              </w:rPr>
              <w:t>目标服务领域</w:t>
            </w:r>
            <w:r>
              <w:rPr>
                <w:rFonts w:hint="eastAsia" w:ascii="仿宋" w:hAnsi="仿宋" w:eastAsia="仿宋" w:cs="仿宋"/>
                <w:sz w:val="24"/>
                <w:szCs w:val="24"/>
                <w:lang w:val="en-US" w:eastAsia="zh-CN"/>
              </w:rPr>
              <w:t>是否</w:t>
            </w:r>
            <w:r>
              <w:rPr>
                <w:rFonts w:hint="eastAsia" w:ascii="仿宋" w:hAnsi="仿宋" w:eastAsia="仿宋" w:cs="仿宋"/>
                <w:sz w:val="24"/>
                <w:szCs w:val="24"/>
                <w:lang w:val="en-GB" w:eastAsia="zh-CN"/>
              </w:rPr>
              <w:t>出现严重安全事件。</w:t>
            </w:r>
          </w:p>
          <w:p>
            <w:pPr>
              <w:pStyle w:val="16"/>
              <w:keepNext w:val="0"/>
              <w:keepLines w:val="0"/>
              <w:pageBreakBefore w:val="0"/>
              <w:kinsoku/>
              <w:wordWrap/>
              <w:overflowPunct/>
              <w:topLinePunct/>
              <w:autoSpaceDE/>
              <w:autoSpaceDN/>
              <w:bidi w:val="0"/>
              <w:adjustRightInd/>
              <w:snapToGrid/>
              <w:spacing w:line="400" w:lineRule="exact"/>
              <w:ind w:left="0" w:leftChars="0" w:firstLine="0" w:firstLine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sz w:val="24"/>
                <w:szCs w:val="24"/>
                <w:lang w:val="en-US" w:eastAsia="zh-CN"/>
              </w:rPr>
              <w:t>2.提供</w:t>
            </w:r>
            <w:r>
              <w:rPr>
                <w:rFonts w:hint="eastAsia" w:ascii="仿宋" w:hAnsi="仿宋" w:eastAsia="仿宋" w:cs="仿宋"/>
                <w:sz w:val="24"/>
                <w:szCs w:val="24"/>
                <w:lang w:val="en-GB" w:eastAsia="zh-CN"/>
              </w:rPr>
              <w:t>“信用中国</w:t>
            </w:r>
            <w:r>
              <w:rPr>
                <w:rFonts w:hint="eastAsia" w:ascii="仿宋" w:hAnsi="仿宋" w:eastAsia="仿宋" w:cs="仿宋"/>
                <w:sz w:val="24"/>
                <w:szCs w:val="24"/>
                <w:lang w:val="en-US" w:eastAsia="zh-CN"/>
              </w:rPr>
              <w:t>-</w:t>
            </w:r>
            <w:r>
              <w:rPr>
                <w:rFonts w:hint="eastAsia" w:ascii="仿宋" w:hAnsi="仿宋" w:eastAsia="仿宋" w:cs="仿宋"/>
                <w:sz w:val="24"/>
                <w:szCs w:val="24"/>
                <w:lang w:val="en-GB" w:eastAsia="zh-CN"/>
              </w:rPr>
              <w:t>重大税收违法案件当事人名单”、“中国执行信息公开网</w:t>
            </w:r>
            <w:r>
              <w:rPr>
                <w:rFonts w:hint="eastAsia" w:ascii="仿宋" w:hAnsi="仿宋" w:eastAsia="仿宋" w:cs="仿宋"/>
                <w:sz w:val="24"/>
                <w:szCs w:val="24"/>
                <w:lang w:val="en-US" w:eastAsia="zh-CN"/>
              </w:rPr>
              <w:t>-</w:t>
            </w:r>
            <w:r>
              <w:rPr>
                <w:rFonts w:hint="eastAsia" w:ascii="仿宋" w:hAnsi="仿宋" w:eastAsia="仿宋" w:cs="仿宋"/>
                <w:sz w:val="24"/>
                <w:szCs w:val="24"/>
                <w:lang w:val="en-GB" w:eastAsia="zh-CN"/>
              </w:rPr>
              <w:t>失信被执行人名单”、“中国政府采购网</w:t>
            </w:r>
            <w:r>
              <w:rPr>
                <w:rFonts w:hint="eastAsia" w:ascii="仿宋" w:hAnsi="仿宋" w:eastAsia="仿宋" w:cs="仿宋"/>
                <w:sz w:val="24"/>
                <w:szCs w:val="24"/>
                <w:lang w:val="en-US" w:eastAsia="zh-CN"/>
              </w:rPr>
              <w:t>-政府采购严重违法失信行为信息记录名单</w:t>
            </w:r>
            <w:r>
              <w:rPr>
                <w:rFonts w:hint="eastAsia" w:ascii="仿宋" w:hAnsi="仿宋" w:eastAsia="仿宋" w:cs="仿宋"/>
                <w:sz w:val="24"/>
                <w:szCs w:val="24"/>
                <w:lang w:val="en-GB" w:eastAsia="zh-CN"/>
              </w:rPr>
              <w:t>”、“国家企业信用信息公示系统</w:t>
            </w:r>
            <w:r>
              <w:rPr>
                <w:rFonts w:hint="eastAsia" w:ascii="仿宋" w:hAnsi="仿宋" w:eastAsia="仿宋" w:cs="仿宋"/>
                <w:sz w:val="24"/>
                <w:szCs w:val="24"/>
                <w:lang w:val="en-US" w:eastAsia="zh-CN"/>
              </w:rPr>
              <w:t>-严重违法失信企业名单</w:t>
            </w:r>
            <w:r>
              <w:rPr>
                <w:rFonts w:hint="eastAsia" w:ascii="仿宋" w:hAnsi="仿宋" w:eastAsia="仿宋" w:cs="仿宋"/>
                <w:sz w:val="24"/>
                <w:szCs w:val="24"/>
                <w:lang w:val="en-GB" w:eastAsia="zh-CN"/>
              </w:rPr>
              <w:t>”平台</w:t>
            </w:r>
            <w:r>
              <w:rPr>
                <w:rFonts w:hint="eastAsia" w:ascii="仿宋" w:hAnsi="仿宋" w:eastAsia="仿宋" w:cs="仿宋"/>
                <w:sz w:val="24"/>
                <w:szCs w:val="24"/>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562" w:firstLineChars="200"/>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bookmarkStart w:id="0" w:name="_GoBack"/>
      <w:r>
        <w:rPr>
          <w:rFonts w:hint="eastAsia" w:ascii="仿宋" w:hAnsi="仿宋" w:eastAsia="仿宋" w:cs="仿宋"/>
          <w:b/>
          <w:bCs/>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pStyle w:val="8"/>
        <w:keepNext w:val="0"/>
        <w:keepLines w:val="0"/>
        <w:pageBreakBefore w:val="0"/>
        <w:kinsoku/>
        <w:wordWrap/>
        <w:overflowPunct/>
        <w:bidi w:val="0"/>
        <w:snapToGrid/>
        <w:spacing w:after="0" w:line="579" w:lineRule="exact"/>
        <w:ind w:lef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4.提供国家企业信用信息公示系统查询，为存续、在营、开业、在册、登记成立等正常企业状态的截图。</w:t>
      </w:r>
    </w:p>
    <w:p>
      <w:pPr>
        <w:pStyle w:val="8"/>
        <w:keepNext w:val="0"/>
        <w:keepLines w:val="0"/>
        <w:pageBreakBefore w:val="0"/>
        <w:kinsoku/>
        <w:wordWrap/>
        <w:overflowPunct/>
        <w:bidi w:val="0"/>
        <w:snapToGrid/>
        <w:spacing w:after="0" w:line="579" w:lineRule="exact"/>
        <w:ind w:left="0"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pStyle w:val="8"/>
        <w:keepNext w:val="0"/>
        <w:keepLines w:val="0"/>
        <w:pageBreakBefore w:val="0"/>
        <w:kinsoku/>
        <w:wordWrap/>
        <w:overflowPunct/>
        <w:bidi w:val="0"/>
        <w:snapToGrid/>
        <w:spacing w:after="0" w:line="579" w:lineRule="exact"/>
        <w:ind w:lef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6.提供</w:t>
      </w:r>
      <w:r>
        <w:rPr>
          <w:rFonts w:hint="eastAsia" w:ascii="仿宋" w:hAnsi="仿宋" w:eastAsia="仿宋" w:cs="仿宋"/>
          <w:color w:val="000000" w:themeColor="text1"/>
          <w:sz w:val="28"/>
          <w:szCs w:val="28"/>
          <w:highlight w:val="none"/>
          <w:lang w:val="en-GB" w:eastAsia="zh-CN"/>
          <w14:textFill>
            <w14:solidFill>
              <w14:schemeClr w14:val="tx1"/>
            </w14:solidFill>
          </w14:textFill>
        </w:rPr>
        <w:t>“信用中国</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28"/>
          <w:szCs w:val="28"/>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28"/>
          <w:szCs w:val="28"/>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28"/>
          <w:szCs w:val="28"/>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28"/>
          <w:szCs w:val="28"/>
          <w:highlight w:val="none"/>
          <w:lang w:val="en-GB" w:eastAsia="zh-CN"/>
          <w14:textFill>
            <w14:solidFill>
              <w14:schemeClr w14:val="tx1"/>
            </w14:solidFill>
          </w14:textFill>
        </w:rPr>
        <w:t>”平台</w:t>
      </w:r>
      <w:r>
        <w:rPr>
          <w:rFonts w:hint="eastAsia" w:ascii="仿宋" w:hAnsi="仿宋" w:eastAsia="仿宋" w:cs="仿宋"/>
          <w:color w:val="000000" w:themeColor="text1"/>
          <w:sz w:val="28"/>
          <w:szCs w:val="28"/>
          <w:highlight w:val="none"/>
          <w:lang w:val="en-US" w:eastAsia="zh-CN"/>
          <w14:textFill>
            <w14:solidFill>
              <w14:schemeClr w14:val="tx1"/>
            </w14:solidFill>
          </w14:textFill>
        </w:rPr>
        <w:t>查询截图。</w:t>
      </w:r>
    </w:p>
    <w:bookmarkEnd w:id="0"/>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三、</w:t>
      </w:r>
      <w:r>
        <w:rPr>
          <w:rFonts w:hint="eastAsia" w:ascii="黑体" w:hAnsi="黑体" w:eastAsia="黑体" w:cs="黑体"/>
          <w:b w:val="0"/>
          <w:bCs/>
          <w:sz w:val="28"/>
          <w:szCs w:val="28"/>
        </w:rPr>
        <w:t>与本项目相关的案例情况</w:t>
      </w:r>
    </w:p>
    <w:p>
      <w:pPr>
        <w:keepNext w:val="0"/>
        <w:keepLines w:val="0"/>
        <w:pageBreakBefore w:val="0"/>
        <w:kinsoku/>
        <w:wordWrap/>
        <w:overflowPunct/>
        <w:autoSpaceDE/>
        <w:autoSpaceDN/>
        <w:bidi w:val="0"/>
        <w:adjustRightInd/>
        <w:snapToGrid/>
        <w:spacing w:line="579" w:lineRule="exact"/>
        <w:ind w:firstLine="560" w:firstLineChars="200"/>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《兴业银行西宁</w:t>
      </w:r>
      <w:r>
        <w:rPr>
          <w:rFonts w:hint="eastAsia" w:ascii="仿宋" w:hAnsi="仿宋" w:eastAsia="仿宋" w:cs="仿宋"/>
          <w:b w:val="0"/>
          <w:bCs w:val="0"/>
          <w:sz w:val="28"/>
          <w:szCs w:val="28"/>
          <w:lang w:eastAsia="zh-CN"/>
        </w:rPr>
        <w:t>我行</w:t>
      </w:r>
      <w:r>
        <w:rPr>
          <w:rFonts w:hint="eastAsia" w:ascii="仿宋" w:hAnsi="仿宋" w:eastAsia="仿宋" w:cs="仿宋"/>
          <w:b w:val="0"/>
          <w:bCs w:val="0"/>
          <w:sz w:val="28"/>
          <w:szCs w:val="28"/>
        </w:rPr>
        <w:t>关于2025-2026年度信用卡诉讼代理项目》相关案例情况</w:t>
      </w:r>
      <w:r>
        <w:rPr>
          <w:rFonts w:hint="eastAsia" w:ascii="仿宋" w:hAnsi="仿宋" w:eastAsia="仿宋" w:cs="仿宋"/>
          <w:b w:val="0"/>
          <w:bCs w:val="0"/>
          <w:sz w:val="28"/>
          <w:szCs w:val="28"/>
          <w:lang w:eastAsia="zh-CN"/>
        </w:rPr>
        <w:t>（与20家系统重要性银行属地合作案例可优先提供）</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943"/>
        <w:gridCol w:w="2277"/>
        <w:gridCol w:w="138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14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甲方</w:t>
            </w:r>
          </w:p>
        </w:tc>
        <w:tc>
          <w:tcPr>
            <w:tcW w:w="1336"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合同名称</w:t>
            </w:r>
          </w:p>
        </w:tc>
        <w:tc>
          <w:tcPr>
            <w:tcW w:w="81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案例简介</w:t>
            </w:r>
          </w:p>
        </w:tc>
        <w:tc>
          <w:tcPr>
            <w:tcW w:w="114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4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例：建设银行</w:t>
            </w:r>
          </w:p>
        </w:tc>
        <w:tc>
          <w:tcPr>
            <w:tcW w:w="133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81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14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33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81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33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81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336"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81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c>
          <w:tcPr>
            <w:tcW w:w="114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4"/>
                <w:szCs w:val="24"/>
              </w:rPr>
            </w:pPr>
          </w:p>
        </w:tc>
      </w:tr>
    </w:tbl>
    <w:p>
      <w:pPr>
        <w:keepNext w:val="0"/>
        <w:keepLines w:val="0"/>
        <w:pageBreakBefore w:val="0"/>
        <w:kinsoku/>
        <w:wordWrap/>
        <w:overflowPunct/>
        <w:autoSpaceDE/>
        <w:autoSpaceDN/>
        <w:bidi w:val="0"/>
        <w:adjustRightInd/>
        <w:snapToGrid/>
        <w:spacing w:line="579" w:lineRule="exact"/>
        <w:ind w:firstLine="482" w:firstLineChars="200"/>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四、</w:t>
      </w:r>
      <w:r>
        <w:rPr>
          <w:rFonts w:hint="eastAsia" w:ascii="黑体" w:hAnsi="黑体" w:eastAsia="黑体" w:cs="黑体"/>
          <w:b w:val="0"/>
          <w:bCs/>
          <w:sz w:val="28"/>
          <w:szCs w:val="28"/>
        </w:rPr>
        <w:t>详细介绍</w:t>
      </w:r>
    </w:p>
    <w:p>
      <w:pPr>
        <w:keepNext w:val="0"/>
        <w:keepLines w:val="0"/>
        <w:pageBreakBefore w:val="0"/>
        <w:kinsoku/>
        <w:wordWrap/>
        <w:overflowPunct/>
        <w:autoSpaceDE/>
        <w:autoSpaceDN/>
        <w:bidi w:val="0"/>
        <w:adjustRightInd/>
        <w:snapToGrid/>
        <w:spacing w:line="579" w:lineRule="exact"/>
        <w:ind w:firstLine="562" w:firstLineChars="200"/>
        <w:textAlignment w:val="auto"/>
        <w:outlineLvl w:val="2"/>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562" w:firstLineChars="200"/>
        <w:textAlignment w:val="auto"/>
        <w:outlineLvl w:val="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（二）公司资质、认证等材料（</w:t>
      </w:r>
      <w:r>
        <w:rPr>
          <w:rFonts w:hint="eastAsia" w:ascii="仿宋" w:hAnsi="仿宋" w:eastAsia="仿宋" w:cs="仿宋"/>
          <w:b/>
          <w:bCs/>
          <w:sz w:val="28"/>
          <w:szCs w:val="28"/>
          <w:lang w:val="en-US" w:eastAsia="zh-CN"/>
        </w:rPr>
        <w:t>扫描件</w:t>
      </w:r>
      <w:r>
        <w:rPr>
          <w:rFonts w:hint="eastAsia" w:ascii="仿宋" w:hAnsi="仿宋" w:eastAsia="仿宋" w:cs="仿宋"/>
          <w:b/>
          <w:bCs/>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1.行业资质认证。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2.技术能力介绍。</w:t>
      </w:r>
    </w:p>
    <w:p>
      <w:pPr>
        <w:keepNext w:val="0"/>
        <w:keepLines w:val="0"/>
        <w:pageBreakBefore w:val="0"/>
        <w:kinsoku/>
        <w:wordWrap/>
        <w:overflowPunct/>
        <w:autoSpaceDE/>
        <w:autoSpaceDN/>
        <w:bidi w:val="0"/>
        <w:adjustRightInd/>
        <w:snapToGrid/>
        <w:spacing w:line="579" w:lineRule="exact"/>
        <w:ind w:firstLine="562" w:firstLineChars="200"/>
        <w:textAlignment w:val="auto"/>
        <w:outlineLvl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（三）与兴业银行历史合作情况</w:t>
      </w:r>
    </w:p>
    <w:tbl>
      <w:tblPr>
        <w:tblStyle w:val="12"/>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480" w:firstLineChars="200"/>
              <w:jc w:val="left"/>
              <w:textAlignment w:val="auto"/>
              <w:rPr>
                <w:rFonts w:hint="eastAsia" w:ascii="仿宋" w:hAnsi="仿宋" w:eastAsia="仿宋" w:cs="仿宋"/>
                <w:b/>
                <w:bCs/>
                <w:i w:val="0"/>
                <w:iCs w:val="0"/>
                <w:color w:val="000000"/>
                <w:sz w:val="24"/>
                <w:szCs w:val="24"/>
                <w:u w:val="none"/>
              </w:rPr>
            </w:pPr>
            <w:r>
              <w:rPr>
                <w:rFonts w:hint="eastAsia" w:ascii="仿宋" w:hAnsi="仿宋" w:eastAsia="仿宋" w:cs="仿宋"/>
                <w:color w:val="000000" w:themeColor="text1"/>
                <w:sz w:val="24"/>
                <w:szCs w:val="24"/>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4"/>
                <w:szCs w:val="24"/>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24"/>
          <w:szCs w:val="24"/>
          <w:lang w:val="en-US" w:eastAsia="zh-CN"/>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spacing w:line="360" w:lineRule="auto"/>
        <w:rPr>
          <w:rFonts w:hint="eastAsia" w:ascii="仿宋" w:hAnsi="仿宋" w:eastAsia="仿宋" w:cs="仿宋"/>
          <w:sz w:val="24"/>
          <w:szCs w:val="24"/>
        </w:rPr>
      </w:pPr>
      <w:r>
        <w:rPr>
          <w:rStyle w:val="15"/>
          <w:rFonts w:hint="eastAsia" w:ascii="仿宋" w:hAnsi="仿宋" w:eastAsia="仿宋" w:cs="仿宋"/>
          <w:sz w:val="24"/>
          <w:szCs w:val="24"/>
        </w:rPr>
        <w:footnoteRef/>
      </w:r>
      <w:r>
        <w:rPr>
          <w:rFonts w:hint="eastAsia" w:ascii="仿宋" w:hAnsi="仿宋" w:eastAsia="仿宋" w:cs="仿宋"/>
          <w:sz w:val="24"/>
          <w:szCs w:val="24"/>
          <w:lang w:val="en-US" w:eastAsia="zh-CN"/>
        </w:rPr>
        <w:t>司法局</w:t>
      </w:r>
      <w:r>
        <w:rPr>
          <w:rFonts w:hint="eastAsia" w:ascii="仿宋" w:hAnsi="仿宋" w:eastAsia="仿宋" w:cs="仿宋"/>
          <w:sz w:val="24"/>
          <w:szCs w:val="24"/>
        </w:rPr>
        <w:t>等政府网站查询，为存续、在营、开业、在册、登记成立等正常企业状态，无行政处罚、经营异常、违法惩戒、抽查检查等任何负面记录信息，并按要求进行</w:t>
      </w:r>
      <w:r>
        <w:rPr>
          <w:rFonts w:hint="eastAsia" w:ascii="仿宋" w:hAnsi="仿宋" w:eastAsia="仿宋" w:cs="仿宋"/>
          <w:sz w:val="24"/>
          <w:szCs w:val="24"/>
          <w:lang w:val="en-US" w:eastAsia="zh-CN"/>
        </w:rPr>
        <w:t>年检</w:t>
      </w:r>
      <w:r>
        <w:rPr>
          <w:rFonts w:hint="eastAsia" w:ascii="仿宋" w:hAnsi="仿宋" w:eastAsia="仿宋" w:cs="仿宋"/>
          <w:sz w:val="24"/>
          <w:szCs w:val="24"/>
        </w:rPr>
        <w:t>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3DD0D7A"/>
    <w:rsid w:val="27252CBE"/>
    <w:rsid w:val="301F45BC"/>
    <w:rsid w:val="365B1D40"/>
    <w:rsid w:val="503B1E49"/>
    <w:rsid w:val="5966279D"/>
    <w:rsid w:val="79330017"/>
    <w:rsid w:val="7A174E22"/>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lang w:val="en-US" w:eastAsia="zh-CN"/>
    </w:rPr>
  </w:style>
  <w:style w:type="paragraph" w:styleId="3">
    <w:name w:val="Body Text"/>
    <w:basedOn w:val="1"/>
    <w:next w:val="4"/>
    <w:qFormat/>
    <w:uiPriority w:val="0"/>
    <w:pPr>
      <w:autoSpaceDE w:val="0"/>
      <w:autoSpaceDN w:val="0"/>
      <w:adjustRightInd w:val="0"/>
      <w:ind w:left="101"/>
      <w:jc w:val="left"/>
    </w:pPr>
    <w:rPr>
      <w:rFonts w:ascii="仿宋" w:hAnsi="Times New Roman" w:eastAsia="仿宋" w:cs="Times New Roman"/>
      <w:kern w:val="0"/>
      <w:sz w:val="24"/>
      <w:szCs w:val="24"/>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Body Text Indent"/>
    <w:basedOn w:val="1"/>
    <w:next w:val="8"/>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8">
    <w:name w:val="Body Text First Indent 2"/>
    <w:basedOn w:val="7"/>
    <w:next w:val="9"/>
    <w:qFormat/>
    <w:uiPriority w:val="0"/>
    <w:pPr>
      <w:tabs>
        <w:tab w:val="left" w:pos="0"/>
        <w:tab w:val="left" w:pos="993"/>
        <w:tab w:val="left" w:pos="1134"/>
      </w:tabs>
      <w:spacing w:line="312" w:lineRule="atLeast"/>
      <w:ind w:firstLine="420"/>
    </w:pPr>
  </w:style>
  <w:style w:type="paragraph" w:customStyle="1" w:styleId="9">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10">
    <w:name w:val="footnote text"/>
    <w:basedOn w:val="1"/>
    <w:qFormat/>
    <w:uiPriority w:val="0"/>
    <w:pPr>
      <w:snapToGrid w:val="0"/>
      <w:jc w:val="left"/>
    </w:pPr>
    <w:rPr>
      <w:sz w:val="18"/>
      <w:szCs w:val="18"/>
    </w:rPr>
  </w:style>
  <w:style w:type="paragraph" w:styleId="11">
    <w:name w:val="HTML Preformatted"/>
    <w:basedOn w:val="1"/>
    <w:semiHidden/>
    <w:qFormat/>
    <w:uiPriority w:val="0"/>
    <w:pPr>
      <w:topLinePunct w:val="0"/>
    </w:pPr>
    <w:rPr>
      <w:rFonts w:ascii="Courier New" w:hAnsi="Courier New" w:cs="Courier New"/>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paragraph" w:customStyle="1" w:styleId="16">
    <w:name w:val="正文首行缩进 21"/>
    <w:basedOn w:val="17"/>
    <w:qFormat/>
    <w:uiPriority w:val="0"/>
    <w:pPr>
      <w:widowControl/>
      <w:ind w:firstLine="420"/>
    </w:pPr>
    <w:rPr>
      <w:szCs w:val="20"/>
    </w:rPr>
  </w:style>
  <w:style w:type="paragraph" w:customStyle="1" w:styleId="17">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cibadmin</cp:lastModifiedBy>
  <dcterms:modified xsi:type="dcterms:W3CDTF">2025-09-22T09:04:19Z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