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2B2CB">
      <w:pPr>
        <w:adjustRightInd w:val="0"/>
        <w:spacing w:line="360" w:lineRule="auto"/>
        <w:jc w:val="center"/>
        <w:textAlignment w:val="baseline"/>
        <w:rPr>
          <w:rFonts w:hint="eastAsia" w:ascii="宋体" w:hAnsi="宋体" w:eastAsia="宋体" w:cs="宋体"/>
          <w:b/>
          <w:color w:val="000000"/>
          <w:sz w:val="48"/>
          <w:szCs w:val="48"/>
        </w:rPr>
      </w:pPr>
      <w:bookmarkStart w:id="168" w:name="_GoBack"/>
      <w:bookmarkEnd w:id="168"/>
      <w:r>
        <w:rPr>
          <w:rFonts w:hint="eastAsia" w:ascii="宋体" w:hAnsi="宋体" w:eastAsia="宋体" w:cs="宋体"/>
          <w:b/>
          <w:color w:val="000000"/>
          <w:sz w:val="48"/>
          <w:szCs w:val="48"/>
        </w:rPr>
        <w:t xml:space="preserve"> </w:t>
      </w:r>
    </w:p>
    <w:p w14:paraId="7CD36EB4">
      <w:pPr>
        <w:adjustRightInd w:val="0"/>
        <w:spacing w:line="360" w:lineRule="auto"/>
        <w:jc w:val="center"/>
        <w:textAlignment w:val="baseline"/>
        <w:rPr>
          <w:rFonts w:hint="eastAsia" w:ascii="宋体" w:hAnsi="宋体" w:eastAsia="宋体" w:cs="宋体"/>
          <w:b/>
          <w:color w:val="000000"/>
          <w:sz w:val="48"/>
          <w:szCs w:val="48"/>
        </w:rPr>
      </w:pPr>
    </w:p>
    <w:p w14:paraId="2287B2D1">
      <w:pPr>
        <w:adjustRightInd w:val="0"/>
        <w:spacing w:line="360" w:lineRule="auto"/>
        <w:jc w:val="center"/>
        <w:textAlignment w:val="baseline"/>
        <w:rPr>
          <w:rFonts w:hint="eastAsia" w:ascii="宋体" w:hAnsi="宋体" w:eastAsia="宋体" w:cs="宋体"/>
          <w:color w:val="000000"/>
          <w:sz w:val="32"/>
        </w:rPr>
      </w:pPr>
    </w:p>
    <w:p w14:paraId="7C5E707E">
      <w:pPr>
        <w:pStyle w:val="31"/>
        <w:spacing w:before="0" w:after="0" w:line="360" w:lineRule="auto"/>
        <w:rPr>
          <w:rFonts w:hint="eastAsia" w:ascii="宋体" w:hAnsi="宋体" w:eastAsia="宋体" w:cs="宋体"/>
          <w:color w:val="000000"/>
          <w:sz w:val="96"/>
        </w:rPr>
      </w:pPr>
      <w:bookmarkStart w:id="0" w:name="_Toc449568588"/>
      <w:r>
        <w:rPr>
          <w:rFonts w:hint="eastAsia" w:ascii="宋体" w:hAnsi="宋体" w:eastAsia="宋体" w:cs="宋体"/>
          <w:color w:val="000000"/>
          <w:sz w:val="96"/>
        </w:rPr>
        <w:t>竞争性磋商文件</w:t>
      </w:r>
      <w:bookmarkEnd w:id="0"/>
    </w:p>
    <w:p w14:paraId="37072D15">
      <w:pPr>
        <w:adjustRightInd w:val="0"/>
        <w:spacing w:line="360" w:lineRule="auto"/>
        <w:jc w:val="center"/>
        <w:textAlignment w:val="baseline"/>
        <w:rPr>
          <w:rFonts w:hint="eastAsia" w:ascii="宋体" w:hAnsi="宋体" w:eastAsia="宋体" w:cs="宋体"/>
          <w:color w:val="000000"/>
          <w:sz w:val="36"/>
          <w:szCs w:val="36"/>
        </w:rPr>
      </w:pPr>
    </w:p>
    <w:p w14:paraId="72C5D2E0">
      <w:pPr>
        <w:adjustRightInd w:val="0"/>
        <w:spacing w:line="360" w:lineRule="auto"/>
        <w:jc w:val="center"/>
        <w:textAlignment w:val="baseline"/>
        <w:rPr>
          <w:rFonts w:hint="eastAsia" w:ascii="宋体" w:hAnsi="宋体" w:eastAsia="宋体" w:cs="宋体"/>
          <w:color w:val="000000"/>
          <w:sz w:val="36"/>
          <w:szCs w:val="36"/>
        </w:rPr>
      </w:pPr>
    </w:p>
    <w:p w14:paraId="1AC84282">
      <w:pPr>
        <w:adjustRightInd w:val="0"/>
        <w:spacing w:line="360" w:lineRule="auto"/>
        <w:jc w:val="center"/>
        <w:textAlignment w:val="baseline"/>
        <w:rPr>
          <w:rFonts w:hint="eastAsia" w:ascii="宋体" w:hAnsi="宋体" w:eastAsia="宋体" w:cs="宋体"/>
          <w:color w:val="000000"/>
          <w:sz w:val="36"/>
          <w:szCs w:val="36"/>
        </w:rPr>
      </w:pPr>
    </w:p>
    <w:p w14:paraId="126393AC">
      <w:pPr>
        <w:adjustRightInd w:val="0"/>
        <w:spacing w:line="360" w:lineRule="auto"/>
        <w:jc w:val="center"/>
        <w:textAlignment w:val="baseline"/>
        <w:rPr>
          <w:rFonts w:hint="eastAsia" w:ascii="宋体" w:hAnsi="宋体" w:eastAsia="宋体" w:cs="宋体"/>
          <w:color w:val="000000"/>
          <w:sz w:val="36"/>
          <w:szCs w:val="36"/>
        </w:rPr>
      </w:pPr>
    </w:p>
    <w:p w14:paraId="2E22D72F">
      <w:pPr>
        <w:spacing w:line="480" w:lineRule="auto"/>
        <w:ind w:left="2537" w:leftChars="137" w:hanging="2249" w:hangingChars="700"/>
        <w:rPr>
          <w:rFonts w:hint="eastAsia" w:ascii="宋体" w:hAnsi="宋体" w:eastAsia="宋体" w:cs="宋体"/>
          <w:b/>
          <w:color w:val="000000"/>
          <w:kern w:val="0"/>
          <w:sz w:val="32"/>
          <w:szCs w:val="32"/>
          <w:lang w:eastAsia="zh-CN"/>
        </w:rPr>
      </w:pPr>
      <w:r>
        <w:rPr>
          <w:rFonts w:hint="eastAsia" w:ascii="宋体" w:hAnsi="宋体" w:eastAsia="宋体" w:cs="宋体"/>
          <w:b/>
          <w:color w:val="000000"/>
          <w:kern w:val="0"/>
          <w:sz w:val="32"/>
          <w:szCs w:val="32"/>
        </w:rPr>
        <w:t>采购项目名称：</w:t>
      </w:r>
      <w:bookmarkStart w:id="1" w:name="OLE_LINK2"/>
      <w:r>
        <w:rPr>
          <w:rFonts w:hint="eastAsia" w:ascii="宋体" w:hAnsi="宋体" w:eastAsia="宋体" w:cs="宋体"/>
          <w:b/>
          <w:color w:val="000000"/>
          <w:kern w:val="0"/>
          <w:sz w:val="32"/>
          <w:szCs w:val="32"/>
          <w:lang w:eastAsia="zh-CN"/>
        </w:rPr>
        <w:t>青海民族大学2025年度在建工程竣工决算项目评审</w:t>
      </w:r>
      <w:bookmarkEnd w:id="1"/>
    </w:p>
    <w:p w14:paraId="611687FE">
      <w:pPr>
        <w:spacing w:line="480" w:lineRule="auto"/>
        <w:ind w:firstLine="321" w:firstLineChars="100"/>
        <w:rPr>
          <w:rFonts w:hint="eastAsia" w:ascii="宋体" w:hAnsi="宋体" w:eastAsia="宋体" w:cs="宋体"/>
          <w:b/>
          <w:color w:val="000000"/>
          <w:kern w:val="0"/>
          <w:sz w:val="32"/>
          <w:szCs w:val="32"/>
          <w:lang w:eastAsia="zh-CN"/>
        </w:rPr>
      </w:pPr>
      <w:r>
        <w:rPr>
          <w:rFonts w:hint="eastAsia" w:ascii="宋体" w:hAnsi="宋体" w:eastAsia="宋体" w:cs="宋体"/>
          <w:b/>
          <w:color w:val="000000"/>
          <w:kern w:val="0"/>
          <w:sz w:val="32"/>
          <w:szCs w:val="32"/>
        </w:rPr>
        <w:t>采购项目编号：</w:t>
      </w:r>
      <w:r>
        <w:rPr>
          <w:rFonts w:hint="eastAsia" w:ascii="宋体" w:hAnsi="宋体" w:eastAsia="宋体" w:cs="宋体"/>
          <w:b/>
          <w:color w:val="000000"/>
          <w:kern w:val="0"/>
          <w:sz w:val="32"/>
          <w:szCs w:val="32"/>
          <w:lang w:eastAsia="zh-CN"/>
        </w:rPr>
        <w:t>青海国焱竞磋（服务）2025-267号</w:t>
      </w:r>
    </w:p>
    <w:p w14:paraId="1053DBA7">
      <w:pPr>
        <w:widowControl/>
        <w:adjustRightInd w:val="0"/>
        <w:snapToGrid w:val="0"/>
        <w:spacing w:line="480" w:lineRule="auto"/>
        <w:ind w:firstLine="321" w:firstLineChars="100"/>
        <w:jc w:val="left"/>
        <w:textAlignment w:val="baseline"/>
        <w:rPr>
          <w:rFonts w:hint="eastAsia" w:ascii="宋体" w:hAnsi="宋体" w:eastAsia="宋体" w:cs="宋体"/>
          <w:b/>
          <w:color w:val="000000"/>
          <w:kern w:val="0"/>
          <w:sz w:val="32"/>
          <w:szCs w:val="32"/>
          <w:lang w:eastAsia="zh-CN"/>
        </w:rPr>
      </w:pPr>
      <w:r>
        <w:rPr>
          <w:rFonts w:hint="eastAsia" w:ascii="宋体" w:hAnsi="宋体" w:eastAsia="宋体" w:cs="宋体"/>
          <w:b/>
          <w:bCs/>
          <w:color w:val="000000"/>
          <w:sz w:val="32"/>
          <w:szCs w:val="32"/>
        </w:rPr>
        <w:t>采 购 单 位</w:t>
      </w:r>
      <w:r>
        <w:rPr>
          <w:rFonts w:hint="eastAsia" w:ascii="宋体" w:hAnsi="宋体" w:eastAsia="宋体" w:cs="宋体"/>
          <w:color w:val="000000"/>
          <w:sz w:val="32"/>
          <w:szCs w:val="32"/>
        </w:rPr>
        <w:t>：</w:t>
      </w:r>
      <w:r>
        <w:rPr>
          <w:rFonts w:hint="eastAsia" w:ascii="宋体" w:hAnsi="宋体" w:eastAsia="宋体" w:cs="宋体"/>
          <w:b/>
          <w:color w:val="000000"/>
          <w:kern w:val="0"/>
          <w:sz w:val="32"/>
          <w:szCs w:val="32"/>
          <w:lang w:eastAsia="zh-CN"/>
        </w:rPr>
        <w:t>青海民族大学</w:t>
      </w:r>
    </w:p>
    <w:p w14:paraId="44D89B0F">
      <w:pPr>
        <w:widowControl/>
        <w:adjustRightInd w:val="0"/>
        <w:snapToGrid w:val="0"/>
        <w:spacing w:line="480" w:lineRule="auto"/>
        <w:ind w:firstLine="321" w:firstLineChars="100"/>
        <w:jc w:val="left"/>
        <w:textAlignment w:val="baseline"/>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采购代理机构：青海国焱工程项目管理有限公司</w:t>
      </w:r>
    </w:p>
    <w:p w14:paraId="0CE3644C">
      <w:pPr>
        <w:widowControl/>
        <w:adjustRightInd w:val="0"/>
        <w:snapToGrid w:val="0"/>
        <w:spacing w:line="360" w:lineRule="auto"/>
        <w:ind w:left="2681" w:leftChars="194" w:hanging="2274" w:hangingChars="708"/>
        <w:jc w:val="left"/>
        <w:textAlignment w:val="baseline"/>
        <w:rPr>
          <w:rFonts w:hint="eastAsia" w:ascii="宋体" w:hAnsi="宋体" w:eastAsia="宋体" w:cs="宋体"/>
          <w:b/>
          <w:bCs/>
          <w:color w:val="000000"/>
          <w:sz w:val="32"/>
          <w:szCs w:val="32"/>
        </w:rPr>
      </w:pPr>
    </w:p>
    <w:p w14:paraId="37CABCDE">
      <w:pPr>
        <w:adjustRightInd w:val="0"/>
        <w:spacing w:line="360" w:lineRule="auto"/>
        <w:jc w:val="center"/>
        <w:textAlignment w:val="baseline"/>
        <w:rPr>
          <w:rFonts w:hint="eastAsia" w:ascii="宋体" w:hAnsi="宋体" w:eastAsia="宋体" w:cs="宋体"/>
          <w:b/>
          <w:bCs/>
          <w:color w:val="000000"/>
          <w:sz w:val="32"/>
          <w:szCs w:val="32"/>
          <w:lang w:eastAsia="zh-CN"/>
        </w:rPr>
      </w:pPr>
      <w:bookmarkStart w:id="2" w:name="OLE_LINK1"/>
      <w:r>
        <w:rPr>
          <w:rFonts w:hint="eastAsia" w:ascii="宋体" w:hAnsi="宋体" w:eastAsia="宋体" w:cs="宋体"/>
          <w:b/>
          <w:bCs/>
          <w:color w:val="000000"/>
          <w:sz w:val="32"/>
          <w:szCs w:val="32"/>
          <w:lang w:eastAsia="zh-CN"/>
        </w:rPr>
        <w:t>2025年7月</w:t>
      </w:r>
    </w:p>
    <w:bookmarkEnd w:id="2"/>
    <w:p w14:paraId="5B1ECB52">
      <w:pPr>
        <w:spacing w:line="276" w:lineRule="auto"/>
        <w:jc w:val="center"/>
        <w:rPr>
          <w:rFonts w:hint="eastAsia" w:ascii="宋体" w:hAnsi="宋体" w:eastAsia="宋体" w:cs="宋体"/>
          <w:color w:val="000000"/>
          <w:sz w:val="28"/>
        </w:rPr>
      </w:pPr>
      <w:r>
        <w:rPr>
          <w:rFonts w:hint="eastAsia" w:ascii="宋体" w:hAnsi="宋体" w:eastAsia="宋体" w:cs="宋体"/>
          <w:b/>
          <w:color w:val="000000"/>
          <w:sz w:val="48"/>
          <w:szCs w:val="48"/>
        </w:rPr>
        <w:br w:type="page"/>
      </w:r>
      <w:r>
        <w:rPr>
          <w:rFonts w:hint="eastAsia" w:ascii="宋体" w:hAnsi="宋体" w:eastAsia="宋体" w:cs="宋体"/>
          <w:color w:val="000000"/>
          <w:sz w:val="52"/>
          <w:szCs w:val="48"/>
        </w:rPr>
        <w:t>目 录</w:t>
      </w:r>
    </w:p>
    <w:p w14:paraId="05619856">
      <w:pPr>
        <w:pStyle w:val="23"/>
        <w:tabs>
          <w:tab w:val="right" w:leader="dot" w:pos="8618"/>
          <w:tab w:val="clear" w:pos="8296"/>
        </w:tabs>
        <w:rPr>
          <w:color w:val="000000"/>
        </w:rPr>
      </w:pPr>
      <w:r>
        <w:rPr>
          <w:rFonts w:hint="eastAsia" w:ascii="宋体" w:hAnsi="宋体" w:eastAsia="宋体" w:cs="宋体"/>
          <w:color w:val="000000"/>
          <w:sz w:val="32"/>
        </w:rPr>
        <w:fldChar w:fldCharType="begin"/>
      </w:r>
      <w:r>
        <w:rPr>
          <w:rFonts w:hint="eastAsia" w:ascii="宋体" w:hAnsi="宋体" w:eastAsia="宋体" w:cs="宋体"/>
          <w:color w:val="000000"/>
          <w:sz w:val="32"/>
        </w:rPr>
        <w:instrText xml:space="preserve"> TOC \h \z \t "标题 1,1,标题 2,1,标题 3,1,标题 4,1,标题 5,1,标题 6,1,标题 7,1,副标题,1" </w:instrText>
      </w:r>
      <w:r>
        <w:rPr>
          <w:rFonts w:hint="eastAsia" w:ascii="宋体" w:hAnsi="宋体" w:eastAsia="宋体" w:cs="宋体"/>
          <w:color w:val="000000"/>
          <w:sz w:val="32"/>
        </w:rPr>
        <w:fldChar w:fldCharType="separate"/>
      </w: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_Toc31252 </w:instrText>
      </w:r>
      <w:r>
        <w:rPr>
          <w:rFonts w:hint="eastAsia" w:ascii="宋体" w:hAnsi="宋体" w:eastAsia="宋体" w:cs="宋体"/>
          <w:color w:val="000000"/>
        </w:rPr>
        <w:fldChar w:fldCharType="separate"/>
      </w:r>
      <w:r>
        <w:rPr>
          <w:rFonts w:hint="eastAsia" w:ascii="宋体" w:hAnsi="宋体" w:eastAsia="宋体" w:cs="宋体"/>
          <w:color w:val="000000"/>
        </w:rPr>
        <w:t>第一部分  磋商邀请</w:t>
      </w:r>
      <w:r>
        <w:rPr>
          <w:color w:val="000000"/>
        </w:rPr>
        <w:tab/>
      </w:r>
      <w:r>
        <w:rPr>
          <w:color w:val="000000"/>
        </w:rPr>
        <w:fldChar w:fldCharType="begin"/>
      </w:r>
      <w:r>
        <w:rPr>
          <w:color w:val="000000"/>
        </w:rPr>
        <w:instrText xml:space="preserve"> PAGEREF _Toc31252 \h </w:instrText>
      </w:r>
      <w:r>
        <w:rPr>
          <w:color w:val="000000"/>
        </w:rPr>
        <w:fldChar w:fldCharType="separate"/>
      </w:r>
      <w:r>
        <w:rPr>
          <w:color w:val="000000"/>
        </w:rPr>
        <w:t>4</w:t>
      </w:r>
      <w:r>
        <w:rPr>
          <w:color w:val="000000"/>
        </w:rPr>
        <w:fldChar w:fldCharType="end"/>
      </w:r>
      <w:r>
        <w:rPr>
          <w:rFonts w:hint="eastAsia" w:ascii="宋体" w:hAnsi="宋体" w:eastAsia="宋体" w:cs="宋体"/>
          <w:color w:val="000000"/>
        </w:rPr>
        <w:fldChar w:fldCharType="end"/>
      </w:r>
    </w:p>
    <w:p w14:paraId="610FFA93">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_Toc6731 </w:instrText>
      </w:r>
      <w:r>
        <w:rPr>
          <w:rFonts w:hint="eastAsia" w:ascii="宋体" w:hAnsi="宋体" w:eastAsia="宋体" w:cs="宋体"/>
          <w:bCs/>
          <w:color w:val="000000"/>
        </w:rPr>
        <w:fldChar w:fldCharType="separate"/>
      </w:r>
      <w:r>
        <w:rPr>
          <w:rFonts w:hint="eastAsia" w:ascii="宋体" w:hAnsi="宋体" w:eastAsia="宋体" w:cs="宋体"/>
          <w:color w:val="000000"/>
        </w:rPr>
        <w:t>第二部分  磋商供应商须知前附表</w:t>
      </w:r>
      <w:r>
        <w:rPr>
          <w:color w:val="000000"/>
        </w:rPr>
        <w:tab/>
      </w:r>
      <w:r>
        <w:rPr>
          <w:color w:val="000000"/>
        </w:rPr>
        <w:fldChar w:fldCharType="begin"/>
      </w:r>
      <w:r>
        <w:rPr>
          <w:color w:val="000000"/>
        </w:rPr>
        <w:instrText xml:space="preserve"> PAGEREF _Toc6731 \h </w:instrText>
      </w:r>
      <w:r>
        <w:rPr>
          <w:color w:val="000000"/>
        </w:rPr>
        <w:fldChar w:fldCharType="separate"/>
      </w:r>
      <w:r>
        <w:rPr>
          <w:color w:val="000000"/>
        </w:rPr>
        <w:t>7</w:t>
      </w:r>
      <w:r>
        <w:rPr>
          <w:color w:val="000000"/>
        </w:rPr>
        <w:fldChar w:fldCharType="end"/>
      </w:r>
      <w:r>
        <w:rPr>
          <w:rFonts w:hint="eastAsia" w:ascii="宋体" w:hAnsi="宋体" w:eastAsia="宋体" w:cs="宋体"/>
          <w:bCs/>
          <w:color w:val="000000"/>
        </w:rPr>
        <w:fldChar w:fldCharType="end"/>
      </w:r>
    </w:p>
    <w:p w14:paraId="01490E10">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_Toc14690 </w:instrText>
      </w:r>
      <w:r>
        <w:rPr>
          <w:rFonts w:hint="eastAsia" w:ascii="宋体" w:hAnsi="宋体" w:eastAsia="宋体" w:cs="宋体"/>
          <w:bCs/>
          <w:color w:val="000000"/>
        </w:rPr>
        <w:fldChar w:fldCharType="separate"/>
      </w:r>
      <w:r>
        <w:rPr>
          <w:rFonts w:hint="eastAsia" w:ascii="宋体" w:hAnsi="宋体" w:eastAsia="宋体" w:cs="宋体"/>
          <w:color w:val="000000"/>
        </w:rPr>
        <w:t>第三部分  磋商供应商须知</w:t>
      </w:r>
      <w:r>
        <w:rPr>
          <w:color w:val="000000"/>
        </w:rPr>
        <w:tab/>
      </w:r>
      <w:r>
        <w:rPr>
          <w:color w:val="000000"/>
        </w:rPr>
        <w:fldChar w:fldCharType="begin"/>
      </w:r>
      <w:r>
        <w:rPr>
          <w:color w:val="000000"/>
        </w:rPr>
        <w:instrText xml:space="preserve"> PAGEREF _Toc14690 \h </w:instrText>
      </w:r>
      <w:r>
        <w:rPr>
          <w:color w:val="000000"/>
        </w:rPr>
        <w:fldChar w:fldCharType="separate"/>
      </w:r>
      <w:r>
        <w:rPr>
          <w:color w:val="000000"/>
        </w:rPr>
        <w:t>11</w:t>
      </w:r>
      <w:r>
        <w:rPr>
          <w:color w:val="000000"/>
        </w:rPr>
        <w:fldChar w:fldCharType="end"/>
      </w:r>
      <w:r>
        <w:rPr>
          <w:rFonts w:hint="eastAsia" w:ascii="宋体" w:hAnsi="宋体" w:eastAsia="宋体" w:cs="宋体"/>
          <w:bCs/>
          <w:color w:val="000000"/>
        </w:rPr>
        <w:fldChar w:fldCharType="end"/>
      </w:r>
    </w:p>
    <w:p w14:paraId="2745674A">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_Toc31706 </w:instrText>
      </w:r>
      <w:r>
        <w:rPr>
          <w:rFonts w:hint="eastAsia" w:ascii="宋体" w:hAnsi="宋体" w:eastAsia="宋体" w:cs="宋体"/>
          <w:bCs/>
          <w:color w:val="000000"/>
        </w:rPr>
        <w:fldChar w:fldCharType="separate"/>
      </w:r>
      <w:r>
        <w:rPr>
          <w:rFonts w:hint="eastAsia" w:ascii="宋体" w:hAnsi="宋体" w:eastAsia="宋体" w:cs="宋体"/>
          <w:color w:val="000000"/>
          <w:szCs w:val="32"/>
        </w:rPr>
        <w:t>一、 说明</w:t>
      </w:r>
      <w:r>
        <w:rPr>
          <w:color w:val="000000"/>
        </w:rPr>
        <w:tab/>
      </w:r>
      <w:r>
        <w:rPr>
          <w:color w:val="000000"/>
        </w:rPr>
        <w:fldChar w:fldCharType="begin"/>
      </w:r>
      <w:r>
        <w:rPr>
          <w:color w:val="000000"/>
        </w:rPr>
        <w:instrText xml:space="preserve"> PAGEREF _Toc31706 \h </w:instrText>
      </w:r>
      <w:r>
        <w:rPr>
          <w:color w:val="000000"/>
        </w:rPr>
        <w:fldChar w:fldCharType="separate"/>
      </w:r>
      <w:r>
        <w:rPr>
          <w:color w:val="000000"/>
        </w:rPr>
        <w:t>11</w:t>
      </w:r>
      <w:r>
        <w:rPr>
          <w:color w:val="000000"/>
        </w:rPr>
        <w:fldChar w:fldCharType="end"/>
      </w:r>
      <w:r>
        <w:rPr>
          <w:rFonts w:hint="eastAsia" w:ascii="宋体" w:hAnsi="宋体" w:eastAsia="宋体" w:cs="宋体"/>
          <w:bCs/>
          <w:color w:val="000000"/>
        </w:rPr>
        <w:fldChar w:fldCharType="end"/>
      </w:r>
    </w:p>
    <w:p w14:paraId="00B85682">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_Toc14439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 </w:t>
      </w:r>
      <w:r>
        <w:rPr>
          <w:rFonts w:hint="eastAsia" w:ascii="宋体" w:hAnsi="宋体" w:eastAsia="宋体" w:cs="宋体"/>
          <w:color w:val="000000"/>
        </w:rPr>
        <w:t>磋商内容及要求</w:t>
      </w:r>
      <w:r>
        <w:rPr>
          <w:color w:val="000000"/>
        </w:rPr>
        <w:tab/>
      </w:r>
      <w:r>
        <w:rPr>
          <w:color w:val="000000"/>
        </w:rPr>
        <w:fldChar w:fldCharType="begin"/>
      </w:r>
      <w:r>
        <w:rPr>
          <w:color w:val="000000"/>
        </w:rPr>
        <w:instrText xml:space="preserve"> PAGEREF _Toc14439 \h </w:instrText>
      </w:r>
      <w:r>
        <w:rPr>
          <w:color w:val="000000"/>
        </w:rPr>
        <w:fldChar w:fldCharType="separate"/>
      </w:r>
      <w:r>
        <w:rPr>
          <w:color w:val="000000"/>
        </w:rPr>
        <w:t>11</w:t>
      </w:r>
      <w:r>
        <w:rPr>
          <w:color w:val="000000"/>
        </w:rPr>
        <w:fldChar w:fldCharType="end"/>
      </w:r>
      <w:r>
        <w:rPr>
          <w:rFonts w:hint="eastAsia" w:ascii="宋体" w:hAnsi="宋体" w:eastAsia="宋体" w:cs="宋体"/>
          <w:bCs/>
          <w:color w:val="000000"/>
        </w:rPr>
        <w:fldChar w:fldCharType="end"/>
      </w:r>
    </w:p>
    <w:p w14:paraId="32E96110">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_Toc3415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2、 </w:t>
      </w:r>
      <w:r>
        <w:rPr>
          <w:rFonts w:hint="eastAsia" w:ascii="宋体" w:hAnsi="宋体" w:eastAsia="宋体" w:cs="宋体"/>
          <w:color w:val="000000"/>
        </w:rPr>
        <w:t>采购方式、合格的磋商供应商</w:t>
      </w:r>
      <w:r>
        <w:rPr>
          <w:color w:val="000000"/>
        </w:rPr>
        <w:tab/>
      </w:r>
      <w:r>
        <w:rPr>
          <w:color w:val="000000"/>
        </w:rPr>
        <w:fldChar w:fldCharType="begin"/>
      </w:r>
      <w:r>
        <w:rPr>
          <w:color w:val="000000"/>
        </w:rPr>
        <w:instrText xml:space="preserve"> PAGEREF _Toc3415 \h </w:instrText>
      </w:r>
      <w:r>
        <w:rPr>
          <w:color w:val="000000"/>
        </w:rPr>
        <w:fldChar w:fldCharType="separate"/>
      </w:r>
      <w:r>
        <w:rPr>
          <w:color w:val="000000"/>
        </w:rPr>
        <w:t>11</w:t>
      </w:r>
      <w:r>
        <w:rPr>
          <w:color w:val="000000"/>
        </w:rPr>
        <w:fldChar w:fldCharType="end"/>
      </w:r>
      <w:r>
        <w:rPr>
          <w:rFonts w:hint="eastAsia" w:ascii="宋体" w:hAnsi="宋体" w:eastAsia="宋体" w:cs="宋体"/>
          <w:bCs/>
          <w:color w:val="000000"/>
        </w:rPr>
        <w:fldChar w:fldCharType="end"/>
      </w:r>
    </w:p>
    <w:p w14:paraId="0F35361B">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_Toc27504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3、 </w:t>
      </w:r>
      <w:r>
        <w:rPr>
          <w:rFonts w:hint="eastAsia" w:ascii="宋体" w:hAnsi="宋体" w:eastAsia="宋体" w:cs="宋体"/>
          <w:color w:val="000000"/>
        </w:rPr>
        <w:t>磋商费用</w:t>
      </w:r>
      <w:r>
        <w:rPr>
          <w:color w:val="000000"/>
        </w:rPr>
        <w:tab/>
      </w:r>
      <w:r>
        <w:rPr>
          <w:color w:val="000000"/>
        </w:rPr>
        <w:fldChar w:fldCharType="begin"/>
      </w:r>
      <w:r>
        <w:rPr>
          <w:color w:val="000000"/>
        </w:rPr>
        <w:instrText xml:space="preserve"> PAGEREF _Toc27504 \h </w:instrText>
      </w:r>
      <w:r>
        <w:rPr>
          <w:color w:val="000000"/>
        </w:rPr>
        <w:fldChar w:fldCharType="separate"/>
      </w:r>
      <w:r>
        <w:rPr>
          <w:color w:val="000000"/>
        </w:rPr>
        <w:t>12</w:t>
      </w:r>
      <w:r>
        <w:rPr>
          <w:color w:val="000000"/>
        </w:rPr>
        <w:fldChar w:fldCharType="end"/>
      </w:r>
      <w:r>
        <w:rPr>
          <w:rFonts w:hint="eastAsia" w:ascii="宋体" w:hAnsi="宋体" w:eastAsia="宋体" w:cs="宋体"/>
          <w:bCs/>
          <w:color w:val="000000"/>
        </w:rPr>
        <w:fldChar w:fldCharType="end"/>
      </w:r>
    </w:p>
    <w:p w14:paraId="7AA4AC15">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_Toc1112 </w:instrText>
      </w:r>
      <w:r>
        <w:rPr>
          <w:rFonts w:hint="eastAsia" w:ascii="宋体" w:hAnsi="宋体" w:eastAsia="宋体" w:cs="宋体"/>
          <w:bCs/>
          <w:color w:val="000000"/>
        </w:rPr>
        <w:fldChar w:fldCharType="separate"/>
      </w:r>
      <w:r>
        <w:rPr>
          <w:rFonts w:hint="eastAsia" w:ascii="宋体" w:hAnsi="宋体" w:eastAsia="宋体" w:cs="宋体"/>
          <w:color w:val="000000"/>
          <w:szCs w:val="32"/>
        </w:rPr>
        <w:t>二、 磋商文件说明</w:t>
      </w:r>
      <w:r>
        <w:rPr>
          <w:color w:val="000000"/>
        </w:rPr>
        <w:tab/>
      </w:r>
      <w:r>
        <w:rPr>
          <w:color w:val="000000"/>
        </w:rPr>
        <w:fldChar w:fldCharType="begin"/>
      </w:r>
      <w:r>
        <w:rPr>
          <w:color w:val="000000"/>
        </w:rPr>
        <w:instrText xml:space="preserve"> PAGEREF _Toc1112 \h </w:instrText>
      </w:r>
      <w:r>
        <w:rPr>
          <w:color w:val="000000"/>
        </w:rPr>
        <w:fldChar w:fldCharType="separate"/>
      </w:r>
      <w:r>
        <w:rPr>
          <w:color w:val="000000"/>
        </w:rPr>
        <w:t>12</w:t>
      </w:r>
      <w:r>
        <w:rPr>
          <w:color w:val="000000"/>
        </w:rPr>
        <w:fldChar w:fldCharType="end"/>
      </w:r>
      <w:r>
        <w:rPr>
          <w:rFonts w:hint="eastAsia" w:ascii="宋体" w:hAnsi="宋体" w:eastAsia="宋体" w:cs="宋体"/>
          <w:bCs/>
          <w:color w:val="000000"/>
        </w:rPr>
        <w:fldChar w:fldCharType="end"/>
      </w:r>
    </w:p>
    <w:p w14:paraId="7EBDE4AC">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_Toc566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4、 </w:t>
      </w:r>
      <w:r>
        <w:rPr>
          <w:rFonts w:hint="eastAsia" w:ascii="宋体" w:hAnsi="宋体" w:eastAsia="宋体" w:cs="宋体"/>
          <w:color w:val="000000"/>
        </w:rPr>
        <w:t>磋商文件的构成</w:t>
      </w:r>
      <w:r>
        <w:rPr>
          <w:color w:val="000000"/>
        </w:rPr>
        <w:tab/>
      </w:r>
      <w:r>
        <w:rPr>
          <w:color w:val="000000"/>
        </w:rPr>
        <w:fldChar w:fldCharType="begin"/>
      </w:r>
      <w:r>
        <w:rPr>
          <w:color w:val="000000"/>
        </w:rPr>
        <w:instrText xml:space="preserve"> PAGEREF _Toc566 \h </w:instrText>
      </w:r>
      <w:r>
        <w:rPr>
          <w:color w:val="000000"/>
        </w:rPr>
        <w:fldChar w:fldCharType="separate"/>
      </w:r>
      <w:r>
        <w:rPr>
          <w:color w:val="000000"/>
        </w:rPr>
        <w:t>12</w:t>
      </w:r>
      <w:r>
        <w:rPr>
          <w:color w:val="000000"/>
        </w:rPr>
        <w:fldChar w:fldCharType="end"/>
      </w:r>
      <w:r>
        <w:rPr>
          <w:rFonts w:hint="eastAsia" w:ascii="宋体" w:hAnsi="宋体" w:eastAsia="宋体" w:cs="宋体"/>
          <w:bCs/>
          <w:color w:val="000000"/>
        </w:rPr>
        <w:fldChar w:fldCharType="end"/>
      </w:r>
    </w:p>
    <w:p w14:paraId="1A58941E">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_Toc18502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5、 </w:t>
      </w:r>
      <w:r>
        <w:rPr>
          <w:rFonts w:hint="eastAsia" w:ascii="宋体" w:hAnsi="宋体" w:eastAsia="宋体" w:cs="宋体"/>
          <w:color w:val="000000"/>
        </w:rPr>
        <w:t>磋商文件、磋商活动和成交结果的质疑</w:t>
      </w:r>
      <w:r>
        <w:rPr>
          <w:color w:val="000000"/>
        </w:rPr>
        <w:tab/>
      </w:r>
      <w:r>
        <w:rPr>
          <w:color w:val="000000"/>
        </w:rPr>
        <w:fldChar w:fldCharType="begin"/>
      </w:r>
      <w:r>
        <w:rPr>
          <w:color w:val="000000"/>
        </w:rPr>
        <w:instrText xml:space="preserve"> PAGEREF _Toc18502 \h </w:instrText>
      </w:r>
      <w:r>
        <w:rPr>
          <w:color w:val="000000"/>
        </w:rPr>
        <w:fldChar w:fldCharType="separate"/>
      </w:r>
      <w:r>
        <w:rPr>
          <w:color w:val="000000"/>
        </w:rPr>
        <w:t>12</w:t>
      </w:r>
      <w:r>
        <w:rPr>
          <w:color w:val="000000"/>
        </w:rPr>
        <w:fldChar w:fldCharType="end"/>
      </w:r>
      <w:r>
        <w:rPr>
          <w:rFonts w:hint="eastAsia" w:ascii="宋体" w:hAnsi="宋体" w:eastAsia="宋体" w:cs="宋体"/>
          <w:bCs/>
          <w:color w:val="000000"/>
        </w:rPr>
        <w:fldChar w:fldCharType="end"/>
      </w:r>
    </w:p>
    <w:p w14:paraId="6644D4E3">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_Toc10954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6、 </w:t>
      </w:r>
      <w:r>
        <w:rPr>
          <w:rFonts w:hint="eastAsia" w:ascii="宋体" w:hAnsi="宋体" w:eastAsia="宋体" w:cs="宋体"/>
          <w:color w:val="000000"/>
        </w:rPr>
        <w:t>磋商文件的修改</w:t>
      </w:r>
      <w:r>
        <w:rPr>
          <w:color w:val="000000"/>
        </w:rPr>
        <w:tab/>
      </w:r>
      <w:r>
        <w:rPr>
          <w:color w:val="000000"/>
        </w:rPr>
        <w:fldChar w:fldCharType="begin"/>
      </w:r>
      <w:r>
        <w:rPr>
          <w:color w:val="000000"/>
        </w:rPr>
        <w:instrText xml:space="preserve"> PAGEREF _Toc10954 \h </w:instrText>
      </w:r>
      <w:r>
        <w:rPr>
          <w:color w:val="000000"/>
        </w:rPr>
        <w:fldChar w:fldCharType="separate"/>
      </w:r>
      <w:r>
        <w:rPr>
          <w:color w:val="000000"/>
        </w:rPr>
        <w:t>13</w:t>
      </w:r>
      <w:r>
        <w:rPr>
          <w:color w:val="000000"/>
        </w:rPr>
        <w:fldChar w:fldCharType="end"/>
      </w:r>
      <w:r>
        <w:rPr>
          <w:rFonts w:hint="eastAsia" w:ascii="宋体" w:hAnsi="宋体" w:eastAsia="宋体" w:cs="宋体"/>
          <w:bCs/>
          <w:color w:val="000000"/>
        </w:rPr>
        <w:fldChar w:fldCharType="end"/>
      </w:r>
    </w:p>
    <w:p w14:paraId="38B54115">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_Toc18962 </w:instrText>
      </w:r>
      <w:r>
        <w:rPr>
          <w:rFonts w:hint="eastAsia" w:ascii="宋体" w:hAnsi="宋体" w:eastAsia="宋体" w:cs="宋体"/>
          <w:bCs/>
          <w:color w:val="000000"/>
        </w:rPr>
        <w:fldChar w:fldCharType="separate"/>
      </w:r>
      <w:r>
        <w:rPr>
          <w:rFonts w:hint="eastAsia" w:ascii="宋体" w:hAnsi="宋体" w:eastAsia="宋体" w:cs="宋体"/>
          <w:color w:val="000000"/>
          <w:szCs w:val="32"/>
        </w:rPr>
        <w:t>三、 磋商响应文件的编写</w:t>
      </w:r>
      <w:r>
        <w:rPr>
          <w:color w:val="000000"/>
        </w:rPr>
        <w:tab/>
      </w:r>
      <w:r>
        <w:rPr>
          <w:color w:val="000000"/>
        </w:rPr>
        <w:fldChar w:fldCharType="begin"/>
      </w:r>
      <w:r>
        <w:rPr>
          <w:color w:val="000000"/>
        </w:rPr>
        <w:instrText xml:space="preserve"> PAGEREF _Toc18962 \h </w:instrText>
      </w:r>
      <w:r>
        <w:rPr>
          <w:color w:val="000000"/>
        </w:rPr>
        <w:fldChar w:fldCharType="separate"/>
      </w:r>
      <w:r>
        <w:rPr>
          <w:color w:val="000000"/>
        </w:rPr>
        <w:t>13</w:t>
      </w:r>
      <w:r>
        <w:rPr>
          <w:color w:val="000000"/>
        </w:rPr>
        <w:fldChar w:fldCharType="end"/>
      </w:r>
      <w:r>
        <w:rPr>
          <w:rFonts w:hint="eastAsia" w:ascii="宋体" w:hAnsi="宋体" w:eastAsia="宋体" w:cs="宋体"/>
          <w:bCs/>
          <w:color w:val="000000"/>
        </w:rPr>
        <w:fldChar w:fldCharType="end"/>
      </w:r>
    </w:p>
    <w:p w14:paraId="5992A660">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_Toc10483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7、 </w:t>
      </w:r>
      <w:r>
        <w:rPr>
          <w:rFonts w:hint="eastAsia" w:ascii="宋体" w:hAnsi="宋体" w:eastAsia="宋体" w:cs="宋体"/>
          <w:color w:val="000000"/>
        </w:rPr>
        <w:t>磋商响应文件的语言及度量衡单位</w:t>
      </w:r>
      <w:r>
        <w:rPr>
          <w:color w:val="000000"/>
        </w:rPr>
        <w:tab/>
      </w:r>
      <w:r>
        <w:rPr>
          <w:color w:val="000000"/>
        </w:rPr>
        <w:fldChar w:fldCharType="begin"/>
      </w:r>
      <w:r>
        <w:rPr>
          <w:color w:val="000000"/>
        </w:rPr>
        <w:instrText xml:space="preserve"> PAGEREF _Toc10483 \h </w:instrText>
      </w:r>
      <w:r>
        <w:rPr>
          <w:color w:val="000000"/>
        </w:rPr>
        <w:fldChar w:fldCharType="separate"/>
      </w:r>
      <w:r>
        <w:rPr>
          <w:color w:val="000000"/>
        </w:rPr>
        <w:t>13</w:t>
      </w:r>
      <w:r>
        <w:rPr>
          <w:color w:val="000000"/>
        </w:rPr>
        <w:fldChar w:fldCharType="end"/>
      </w:r>
      <w:r>
        <w:rPr>
          <w:rFonts w:hint="eastAsia" w:ascii="宋体" w:hAnsi="宋体" w:eastAsia="宋体" w:cs="宋体"/>
          <w:bCs/>
          <w:color w:val="000000"/>
        </w:rPr>
        <w:fldChar w:fldCharType="end"/>
      </w:r>
    </w:p>
    <w:p w14:paraId="5FAD331E">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_Toc25238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8、 </w:t>
      </w:r>
      <w:r>
        <w:rPr>
          <w:rFonts w:hint="eastAsia" w:ascii="宋体" w:hAnsi="宋体" w:eastAsia="宋体" w:cs="宋体"/>
          <w:color w:val="000000"/>
        </w:rPr>
        <w:t>磋商报价及币种</w:t>
      </w:r>
      <w:r>
        <w:rPr>
          <w:color w:val="000000"/>
        </w:rPr>
        <w:tab/>
      </w:r>
      <w:r>
        <w:rPr>
          <w:color w:val="000000"/>
        </w:rPr>
        <w:fldChar w:fldCharType="begin"/>
      </w:r>
      <w:r>
        <w:rPr>
          <w:color w:val="000000"/>
        </w:rPr>
        <w:instrText xml:space="preserve"> PAGEREF _Toc25238 \h </w:instrText>
      </w:r>
      <w:r>
        <w:rPr>
          <w:color w:val="000000"/>
        </w:rPr>
        <w:fldChar w:fldCharType="separate"/>
      </w:r>
      <w:r>
        <w:rPr>
          <w:color w:val="000000"/>
        </w:rPr>
        <w:t>14</w:t>
      </w:r>
      <w:r>
        <w:rPr>
          <w:color w:val="000000"/>
        </w:rPr>
        <w:fldChar w:fldCharType="end"/>
      </w:r>
      <w:r>
        <w:rPr>
          <w:rFonts w:hint="eastAsia" w:ascii="宋体" w:hAnsi="宋体" w:eastAsia="宋体" w:cs="宋体"/>
          <w:bCs/>
          <w:color w:val="000000"/>
        </w:rPr>
        <w:fldChar w:fldCharType="end"/>
      </w:r>
    </w:p>
    <w:p w14:paraId="42C248DF">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_Toc19847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9、 </w:t>
      </w:r>
      <w:r>
        <w:rPr>
          <w:rFonts w:hint="eastAsia" w:ascii="宋体" w:hAnsi="宋体" w:eastAsia="宋体" w:cs="宋体"/>
          <w:color w:val="000000"/>
        </w:rPr>
        <w:t>磋商保证金</w:t>
      </w:r>
      <w:r>
        <w:rPr>
          <w:color w:val="000000"/>
        </w:rPr>
        <w:tab/>
      </w:r>
      <w:r>
        <w:rPr>
          <w:color w:val="000000"/>
        </w:rPr>
        <w:fldChar w:fldCharType="begin"/>
      </w:r>
      <w:r>
        <w:rPr>
          <w:color w:val="000000"/>
        </w:rPr>
        <w:instrText xml:space="preserve"> PAGEREF _Toc19847 \h </w:instrText>
      </w:r>
      <w:r>
        <w:rPr>
          <w:color w:val="000000"/>
        </w:rPr>
        <w:fldChar w:fldCharType="separate"/>
      </w:r>
      <w:r>
        <w:rPr>
          <w:color w:val="000000"/>
        </w:rPr>
        <w:t>14</w:t>
      </w:r>
      <w:r>
        <w:rPr>
          <w:color w:val="000000"/>
        </w:rPr>
        <w:fldChar w:fldCharType="end"/>
      </w:r>
      <w:r>
        <w:rPr>
          <w:rFonts w:hint="eastAsia" w:ascii="宋体" w:hAnsi="宋体" w:eastAsia="宋体" w:cs="宋体"/>
          <w:bCs/>
          <w:color w:val="000000"/>
        </w:rPr>
        <w:fldChar w:fldCharType="end"/>
      </w:r>
    </w:p>
    <w:p w14:paraId="26A548E9">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_Toc13587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10、 </w:t>
      </w:r>
      <w:r>
        <w:rPr>
          <w:rFonts w:hint="eastAsia" w:ascii="宋体" w:hAnsi="宋体" w:eastAsia="宋体" w:cs="宋体"/>
          <w:color w:val="000000"/>
        </w:rPr>
        <w:t>磋商有效期</w:t>
      </w:r>
      <w:r>
        <w:rPr>
          <w:color w:val="000000"/>
        </w:rPr>
        <w:tab/>
      </w:r>
      <w:r>
        <w:rPr>
          <w:color w:val="000000"/>
        </w:rPr>
        <w:fldChar w:fldCharType="begin"/>
      </w:r>
      <w:r>
        <w:rPr>
          <w:color w:val="000000"/>
        </w:rPr>
        <w:instrText xml:space="preserve"> PAGEREF _Toc13587 \h </w:instrText>
      </w:r>
      <w:r>
        <w:rPr>
          <w:color w:val="000000"/>
        </w:rPr>
        <w:fldChar w:fldCharType="separate"/>
      </w:r>
      <w:r>
        <w:rPr>
          <w:color w:val="000000"/>
        </w:rPr>
        <w:t>15</w:t>
      </w:r>
      <w:r>
        <w:rPr>
          <w:color w:val="000000"/>
        </w:rPr>
        <w:fldChar w:fldCharType="end"/>
      </w:r>
      <w:r>
        <w:rPr>
          <w:rFonts w:hint="eastAsia" w:ascii="宋体" w:hAnsi="宋体" w:eastAsia="宋体" w:cs="宋体"/>
          <w:bCs/>
          <w:color w:val="000000"/>
        </w:rPr>
        <w:fldChar w:fldCharType="end"/>
      </w:r>
    </w:p>
    <w:p w14:paraId="5438B2E9">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_Toc30086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11、 </w:t>
      </w:r>
      <w:r>
        <w:rPr>
          <w:rFonts w:hint="eastAsia" w:ascii="宋体" w:hAnsi="宋体" w:eastAsia="宋体" w:cs="宋体"/>
          <w:color w:val="000000"/>
        </w:rPr>
        <w:t>磋商响应文件的构成</w:t>
      </w:r>
      <w:r>
        <w:rPr>
          <w:color w:val="000000"/>
        </w:rPr>
        <w:tab/>
      </w:r>
      <w:r>
        <w:rPr>
          <w:color w:val="000000"/>
        </w:rPr>
        <w:fldChar w:fldCharType="begin"/>
      </w:r>
      <w:r>
        <w:rPr>
          <w:color w:val="000000"/>
        </w:rPr>
        <w:instrText xml:space="preserve"> PAGEREF _Toc30086 \h </w:instrText>
      </w:r>
      <w:r>
        <w:rPr>
          <w:color w:val="000000"/>
        </w:rPr>
        <w:fldChar w:fldCharType="separate"/>
      </w:r>
      <w:r>
        <w:rPr>
          <w:color w:val="000000"/>
        </w:rPr>
        <w:t>15</w:t>
      </w:r>
      <w:r>
        <w:rPr>
          <w:color w:val="000000"/>
        </w:rPr>
        <w:fldChar w:fldCharType="end"/>
      </w:r>
      <w:r>
        <w:rPr>
          <w:rFonts w:hint="eastAsia" w:ascii="宋体" w:hAnsi="宋体" w:eastAsia="宋体" w:cs="宋体"/>
          <w:bCs/>
          <w:color w:val="000000"/>
        </w:rPr>
        <w:fldChar w:fldCharType="end"/>
      </w:r>
    </w:p>
    <w:p w14:paraId="12670B59">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_Toc15964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12、 </w:t>
      </w:r>
      <w:r>
        <w:rPr>
          <w:rFonts w:hint="eastAsia" w:ascii="宋体" w:hAnsi="宋体" w:eastAsia="宋体" w:cs="宋体"/>
          <w:color w:val="000000"/>
        </w:rPr>
        <w:t>磋商响应文件的编制要求</w:t>
      </w:r>
      <w:r>
        <w:rPr>
          <w:color w:val="000000"/>
        </w:rPr>
        <w:tab/>
      </w:r>
      <w:r>
        <w:rPr>
          <w:color w:val="000000"/>
        </w:rPr>
        <w:fldChar w:fldCharType="begin"/>
      </w:r>
      <w:r>
        <w:rPr>
          <w:color w:val="000000"/>
        </w:rPr>
        <w:instrText xml:space="preserve"> PAGEREF _Toc15964 \h </w:instrText>
      </w:r>
      <w:r>
        <w:rPr>
          <w:color w:val="000000"/>
        </w:rPr>
        <w:fldChar w:fldCharType="separate"/>
      </w:r>
      <w:r>
        <w:rPr>
          <w:color w:val="000000"/>
        </w:rPr>
        <w:t>16</w:t>
      </w:r>
      <w:r>
        <w:rPr>
          <w:color w:val="000000"/>
        </w:rPr>
        <w:fldChar w:fldCharType="end"/>
      </w:r>
      <w:r>
        <w:rPr>
          <w:rFonts w:hint="eastAsia" w:ascii="宋体" w:hAnsi="宋体" w:eastAsia="宋体" w:cs="宋体"/>
          <w:bCs/>
          <w:color w:val="000000"/>
        </w:rPr>
        <w:fldChar w:fldCharType="end"/>
      </w:r>
    </w:p>
    <w:p w14:paraId="1C898816">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_Toc14072 </w:instrText>
      </w:r>
      <w:r>
        <w:rPr>
          <w:rFonts w:hint="eastAsia" w:ascii="宋体" w:hAnsi="宋体" w:eastAsia="宋体" w:cs="宋体"/>
          <w:bCs/>
          <w:color w:val="000000"/>
        </w:rPr>
        <w:fldChar w:fldCharType="separate"/>
      </w:r>
      <w:r>
        <w:rPr>
          <w:rFonts w:hint="eastAsia" w:ascii="宋体" w:hAnsi="宋体" w:eastAsia="宋体" w:cs="宋体"/>
          <w:color w:val="000000"/>
        </w:rPr>
        <w:t>四、 磋商响应文件的递交</w:t>
      </w:r>
      <w:r>
        <w:rPr>
          <w:color w:val="000000"/>
        </w:rPr>
        <w:tab/>
      </w:r>
      <w:r>
        <w:rPr>
          <w:color w:val="000000"/>
        </w:rPr>
        <w:fldChar w:fldCharType="begin"/>
      </w:r>
      <w:r>
        <w:rPr>
          <w:color w:val="000000"/>
        </w:rPr>
        <w:instrText xml:space="preserve"> PAGEREF _Toc14072 \h </w:instrText>
      </w:r>
      <w:r>
        <w:rPr>
          <w:color w:val="000000"/>
        </w:rPr>
        <w:fldChar w:fldCharType="separate"/>
      </w:r>
      <w:r>
        <w:rPr>
          <w:color w:val="000000"/>
        </w:rPr>
        <w:t>16</w:t>
      </w:r>
      <w:r>
        <w:rPr>
          <w:color w:val="000000"/>
        </w:rPr>
        <w:fldChar w:fldCharType="end"/>
      </w:r>
      <w:r>
        <w:rPr>
          <w:rFonts w:hint="eastAsia" w:ascii="宋体" w:hAnsi="宋体" w:eastAsia="宋体" w:cs="宋体"/>
          <w:bCs/>
          <w:color w:val="000000"/>
        </w:rPr>
        <w:fldChar w:fldCharType="end"/>
      </w:r>
    </w:p>
    <w:p w14:paraId="5C84A8FD">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_Toc16057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13、 </w:t>
      </w:r>
      <w:r>
        <w:rPr>
          <w:rFonts w:hint="eastAsia" w:ascii="宋体" w:hAnsi="宋体" w:eastAsia="宋体" w:cs="宋体"/>
          <w:color w:val="000000"/>
        </w:rPr>
        <w:t>磋商响应文件的密封和标记</w:t>
      </w:r>
      <w:r>
        <w:rPr>
          <w:color w:val="000000"/>
        </w:rPr>
        <w:tab/>
      </w:r>
      <w:r>
        <w:rPr>
          <w:color w:val="000000"/>
        </w:rPr>
        <w:fldChar w:fldCharType="begin"/>
      </w:r>
      <w:r>
        <w:rPr>
          <w:color w:val="000000"/>
        </w:rPr>
        <w:instrText xml:space="preserve"> PAGEREF _Toc16057 \h </w:instrText>
      </w:r>
      <w:r>
        <w:rPr>
          <w:color w:val="000000"/>
        </w:rPr>
        <w:fldChar w:fldCharType="separate"/>
      </w:r>
      <w:r>
        <w:rPr>
          <w:color w:val="000000"/>
        </w:rPr>
        <w:t>17</w:t>
      </w:r>
      <w:r>
        <w:rPr>
          <w:color w:val="000000"/>
        </w:rPr>
        <w:fldChar w:fldCharType="end"/>
      </w:r>
      <w:r>
        <w:rPr>
          <w:rFonts w:hint="eastAsia" w:ascii="宋体" w:hAnsi="宋体" w:eastAsia="宋体" w:cs="宋体"/>
          <w:bCs/>
          <w:color w:val="000000"/>
        </w:rPr>
        <w:fldChar w:fldCharType="end"/>
      </w:r>
    </w:p>
    <w:p w14:paraId="2ABF642F">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_Toc20965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14、 </w:t>
      </w:r>
      <w:r>
        <w:rPr>
          <w:rFonts w:hint="eastAsia" w:ascii="宋体" w:hAnsi="宋体" w:eastAsia="宋体" w:cs="宋体"/>
          <w:color w:val="000000"/>
        </w:rPr>
        <w:t>递交磋商响应文件的地点、截止时间</w:t>
      </w:r>
      <w:r>
        <w:rPr>
          <w:color w:val="000000"/>
        </w:rPr>
        <w:tab/>
      </w:r>
      <w:r>
        <w:rPr>
          <w:color w:val="000000"/>
        </w:rPr>
        <w:fldChar w:fldCharType="begin"/>
      </w:r>
      <w:r>
        <w:rPr>
          <w:color w:val="000000"/>
        </w:rPr>
        <w:instrText xml:space="preserve"> PAGEREF _Toc20965 \h </w:instrText>
      </w:r>
      <w:r>
        <w:rPr>
          <w:color w:val="000000"/>
        </w:rPr>
        <w:fldChar w:fldCharType="separate"/>
      </w:r>
      <w:r>
        <w:rPr>
          <w:color w:val="000000"/>
        </w:rPr>
        <w:t>17</w:t>
      </w:r>
      <w:r>
        <w:rPr>
          <w:color w:val="000000"/>
        </w:rPr>
        <w:fldChar w:fldCharType="end"/>
      </w:r>
      <w:r>
        <w:rPr>
          <w:rFonts w:hint="eastAsia" w:ascii="宋体" w:hAnsi="宋体" w:eastAsia="宋体" w:cs="宋体"/>
          <w:bCs/>
          <w:color w:val="000000"/>
        </w:rPr>
        <w:fldChar w:fldCharType="end"/>
      </w:r>
    </w:p>
    <w:p w14:paraId="2D526DDB">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_Toc23432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15、 </w:t>
      </w:r>
      <w:r>
        <w:rPr>
          <w:rFonts w:hint="eastAsia" w:ascii="宋体" w:hAnsi="宋体" w:eastAsia="宋体" w:cs="宋体"/>
          <w:color w:val="000000"/>
        </w:rPr>
        <w:t>磋商响应文件的撤回和修改</w:t>
      </w:r>
      <w:r>
        <w:rPr>
          <w:color w:val="000000"/>
        </w:rPr>
        <w:tab/>
      </w:r>
      <w:r>
        <w:rPr>
          <w:color w:val="000000"/>
        </w:rPr>
        <w:fldChar w:fldCharType="begin"/>
      </w:r>
      <w:r>
        <w:rPr>
          <w:color w:val="000000"/>
        </w:rPr>
        <w:instrText xml:space="preserve"> PAGEREF _Toc23432 \h </w:instrText>
      </w:r>
      <w:r>
        <w:rPr>
          <w:color w:val="000000"/>
        </w:rPr>
        <w:fldChar w:fldCharType="separate"/>
      </w:r>
      <w:r>
        <w:rPr>
          <w:color w:val="000000"/>
        </w:rPr>
        <w:t>17</w:t>
      </w:r>
      <w:r>
        <w:rPr>
          <w:color w:val="000000"/>
        </w:rPr>
        <w:fldChar w:fldCharType="end"/>
      </w:r>
      <w:r>
        <w:rPr>
          <w:rFonts w:hint="eastAsia" w:ascii="宋体" w:hAnsi="宋体" w:eastAsia="宋体" w:cs="宋体"/>
          <w:bCs/>
          <w:color w:val="000000"/>
        </w:rPr>
        <w:fldChar w:fldCharType="end"/>
      </w:r>
    </w:p>
    <w:p w14:paraId="3C447F74">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_Toc28124 </w:instrText>
      </w:r>
      <w:r>
        <w:rPr>
          <w:rFonts w:hint="eastAsia" w:ascii="宋体" w:hAnsi="宋体" w:eastAsia="宋体" w:cs="宋体"/>
          <w:bCs/>
          <w:color w:val="000000"/>
        </w:rPr>
        <w:fldChar w:fldCharType="separate"/>
      </w:r>
      <w:r>
        <w:rPr>
          <w:rFonts w:hint="eastAsia" w:ascii="宋体" w:hAnsi="宋体" w:eastAsia="宋体" w:cs="宋体"/>
          <w:color w:val="000000"/>
        </w:rPr>
        <w:t>五、 磋商过程</w:t>
      </w:r>
      <w:r>
        <w:rPr>
          <w:color w:val="000000"/>
        </w:rPr>
        <w:tab/>
      </w:r>
      <w:r>
        <w:rPr>
          <w:color w:val="000000"/>
        </w:rPr>
        <w:fldChar w:fldCharType="begin"/>
      </w:r>
      <w:r>
        <w:rPr>
          <w:color w:val="000000"/>
        </w:rPr>
        <w:instrText xml:space="preserve"> PAGEREF _Toc28124 \h </w:instrText>
      </w:r>
      <w:r>
        <w:rPr>
          <w:color w:val="000000"/>
        </w:rPr>
        <w:fldChar w:fldCharType="separate"/>
      </w:r>
      <w:r>
        <w:rPr>
          <w:color w:val="000000"/>
        </w:rPr>
        <w:t>17</w:t>
      </w:r>
      <w:r>
        <w:rPr>
          <w:color w:val="000000"/>
        </w:rPr>
        <w:fldChar w:fldCharType="end"/>
      </w:r>
      <w:r>
        <w:rPr>
          <w:rFonts w:hint="eastAsia" w:ascii="宋体" w:hAnsi="宋体" w:eastAsia="宋体" w:cs="宋体"/>
          <w:bCs/>
          <w:color w:val="000000"/>
        </w:rPr>
        <w:fldChar w:fldCharType="end"/>
      </w:r>
    </w:p>
    <w:p w14:paraId="64BE74A6">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_Toc32537 </w:instrText>
      </w:r>
      <w:r>
        <w:rPr>
          <w:rFonts w:hint="eastAsia" w:ascii="宋体" w:hAnsi="宋体" w:eastAsia="宋体" w:cs="宋体"/>
          <w:bCs/>
          <w:color w:val="000000"/>
        </w:rPr>
        <w:fldChar w:fldCharType="separate"/>
      </w:r>
      <w:r>
        <w:rPr>
          <w:rFonts w:hint="eastAsia" w:ascii="宋体" w:hAnsi="宋体" w:eastAsia="宋体" w:cs="宋体"/>
          <w:color w:val="000000"/>
        </w:rPr>
        <w:t>六、 资格审查程序</w:t>
      </w:r>
      <w:r>
        <w:rPr>
          <w:color w:val="000000"/>
        </w:rPr>
        <w:tab/>
      </w:r>
      <w:r>
        <w:rPr>
          <w:color w:val="000000"/>
        </w:rPr>
        <w:fldChar w:fldCharType="begin"/>
      </w:r>
      <w:r>
        <w:rPr>
          <w:color w:val="000000"/>
        </w:rPr>
        <w:instrText xml:space="preserve"> PAGEREF _Toc32537 \h </w:instrText>
      </w:r>
      <w:r>
        <w:rPr>
          <w:color w:val="000000"/>
        </w:rPr>
        <w:fldChar w:fldCharType="separate"/>
      </w:r>
      <w:r>
        <w:rPr>
          <w:color w:val="000000"/>
        </w:rPr>
        <w:t>18</w:t>
      </w:r>
      <w:r>
        <w:rPr>
          <w:color w:val="000000"/>
        </w:rPr>
        <w:fldChar w:fldCharType="end"/>
      </w:r>
      <w:r>
        <w:rPr>
          <w:rFonts w:hint="eastAsia" w:ascii="宋体" w:hAnsi="宋体" w:eastAsia="宋体" w:cs="宋体"/>
          <w:bCs/>
          <w:color w:val="000000"/>
        </w:rPr>
        <w:fldChar w:fldCharType="end"/>
      </w:r>
    </w:p>
    <w:p w14:paraId="486F6592">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_Toc12517 </w:instrText>
      </w:r>
      <w:r>
        <w:rPr>
          <w:rFonts w:hint="eastAsia" w:ascii="宋体" w:hAnsi="宋体" w:eastAsia="宋体" w:cs="宋体"/>
          <w:bCs/>
          <w:color w:val="000000"/>
        </w:rPr>
        <w:fldChar w:fldCharType="separate"/>
      </w:r>
      <w:r>
        <w:rPr>
          <w:rFonts w:hint="eastAsia" w:ascii="宋体" w:hAnsi="宋体" w:eastAsia="宋体" w:cs="宋体"/>
          <w:color w:val="000000"/>
        </w:rPr>
        <w:t>七、 评审程序及方法</w:t>
      </w:r>
      <w:r>
        <w:rPr>
          <w:color w:val="000000"/>
        </w:rPr>
        <w:tab/>
      </w:r>
      <w:r>
        <w:rPr>
          <w:color w:val="000000"/>
        </w:rPr>
        <w:fldChar w:fldCharType="begin"/>
      </w:r>
      <w:r>
        <w:rPr>
          <w:color w:val="000000"/>
        </w:rPr>
        <w:instrText xml:space="preserve"> PAGEREF _Toc12517 \h </w:instrText>
      </w:r>
      <w:r>
        <w:rPr>
          <w:color w:val="000000"/>
        </w:rPr>
        <w:fldChar w:fldCharType="separate"/>
      </w:r>
      <w:r>
        <w:rPr>
          <w:color w:val="000000"/>
        </w:rPr>
        <w:t>18</w:t>
      </w:r>
      <w:r>
        <w:rPr>
          <w:color w:val="000000"/>
        </w:rPr>
        <w:fldChar w:fldCharType="end"/>
      </w:r>
      <w:r>
        <w:rPr>
          <w:rFonts w:hint="eastAsia" w:ascii="宋体" w:hAnsi="宋体" w:eastAsia="宋体" w:cs="宋体"/>
          <w:bCs/>
          <w:color w:val="000000"/>
        </w:rPr>
        <w:fldChar w:fldCharType="end"/>
      </w:r>
    </w:p>
    <w:p w14:paraId="48D740B4">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_Toc28777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16、 </w:t>
      </w:r>
      <w:r>
        <w:rPr>
          <w:rFonts w:hint="eastAsia" w:ascii="宋体" w:hAnsi="宋体" w:eastAsia="宋体" w:cs="宋体"/>
          <w:color w:val="000000"/>
        </w:rPr>
        <w:t>评标委员会</w:t>
      </w:r>
      <w:r>
        <w:rPr>
          <w:color w:val="000000"/>
        </w:rPr>
        <w:tab/>
      </w:r>
      <w:r>
        <w:rPr>
          <w:color w:val="000000"/>
        </w:rPr>
        <w:fldChar w:fldCharType="begin"/>
      </w:r>
      <w:r>
        <w:rPr>
          <w:color w:val="000000"/>
        </w:rPr>
        <w:instrText xml:space="preserve"> PAGEREF _Toc28777 \h </w:instrText>
      </w:r>
      <w:r>
        <w:rPr>
          <w:color w:val="000000"/>
        </w:rPr>
        <w:fldChar w:fldCharType="separate"/>
      </w:r>
      <w:r>
        <w:rPr>
          <w:color w:val="000000"/>
        </w:rPr>
        <w:t>18</w:t>
      </w:r>
      <w:r>
        <w:rPr>
          <w:color w:val="000000"/>
        </w:rPr>
        <w:fldChar w:fldCharType="end"/>
      </w:r>
      <w:r>
        <w:rPr>
          <w:rFonts w:hint="eastAsia" w:ascii="宋体" w:hAnsi="宋体" w:eastAsia="宋体" w:cs="宋体"/>
          <w:bCs/>
          <w:color w:val="000000"/>
        </w:rPr>
        <w:fldChar w:fldCharType="end"/>
      </w:r>
    </w:p>
    <w:p w14:paraId="38871C57">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_Toc25299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17、 </w:t>
      </w:r>
      <w:r>
        <w:rPr>
          <w:rFonts w:hint="eastAsia" w:ascii="宋体" w:hAnsi="宋体" w:eastAsia="宋体" w:cs="宋体"/>
          <w:color w:val="000000"/>
        </w:rPr>
        <w:t>磋商程序</w:t>
      </w:r>
      <w:r>
        <w:rPr>
          <w:color w:val="000000"/>
        </w:rPr>
        <w:tab/>
      </w:r>
      <w:r>
        <w:rPr>
          <w:color w:val="000000"/>
        </w:rPr>
        <w:fldChar w:fldCharType="begin"/>
      </w:r>
      <w:r>
        <w:rPr>
          <w:color w:val="000000"/>
        </w:rPr>
        <w:instrText xml:space="preserve"> PAGEREF _Toc25299 \h </w:instrText>
      </w:r>
      <w:r>
        <w:rPr>
          <w:color w:val="000000"/>
        </w:rPr>
        <w:fldChar w:fldCharType="separate"/>
      </w:r>
      <w:r>
        <w:rPr>
          <w:color w:val="000000"/>
        </w:rPr>
        <w:t>20</w:t>
      </w:r>
      <w:r>
        <w:rPr>
          <w:color w:val="000000"/>
        </w:rPr>
        <w:fldChar w:fldCharType="end"/>
      </w:r>
      <w:r>
        <w:rPr>
          <w:rFonts w:hint="eastAsia" w:ascii="宋体" w:hAnsi="宋体" w:eastAsia="宋体" w:cs="宋体"/>
          <w:bCs/>
          <w:color w:val="000000"/>
        </w:rPr>
        <w:fldChar w:fldCharType="end"/>
      </w:r>
    </w:p>
    <w:p w14:paraId="26DFF997">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_Toc10655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18、 </w:t>
      </w:r>
      <w:r>
        <w:rPr>
          <w:rFonts w:hint="eastAsia" w:ascii="宋体" w:hAnsi="宋体" w:eastAsia="宋体" w:cs="宋体"/>
          <w:color w:val="000000"/>
        </w:rPr>
        <w:t>评审办法</w:t>
      </w:r>
      <w:r>
        <w:rPr>
          <w:color w:val="000000"/>
        </w:rPr>
        <w:tab/>
      </w:r>
      <w:r>
        <w:rPr>
          <w:color w:val="000000"/>
        </w:rPr>
        <w:fldChar w:fldCharType="begin"/>
      </w:r>
      <w:r>
        <w:rPr>
          <w:color w:val="000000"/>
        </w:rPr>
        <w:instrText xml:space="preserve"> PAGEREF _Toc10655 \h </w:instrText>
      </w:r>
      <w:r>
        <w:rPr>
          <w:color w:val="000000"/>
        </w:rPr>
        <w:fldChar w:fldCharType="separate"/>
      </w:r>
      <w:r>
        <w:rPr>
          <w:color w:val="000000"/>
        </w:rPr>
        <w:t>21</w:t>
      </w:r>
      <w:r>
        <w:rPr>
          <w:color w:val="000000"/>
        </w:rPr>
        <w:fldChar w:fldCharType="end"/>
      </w:r>
      <w:r>
        <w:rPr>
          <w:rFonts w:hint="eastAsia" w:ascii="宋体" w:hAnsi="宋体" w:eastAsia="宋体" w:cs="宋体"/>
          <w:bCs/>
          <w:color w:val="000000"/>
        </w:rPr>
        <w:fldChar w:fldCharType="end"/>
      </w:r>
    </w:p>
    <w:p w14:paraId="540AC056">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_Toc10320 </w:instrText>
      </w:r>
      <w:r>
        <w:rPr>
          <w:rFonts w:hint="eastAsia" w:ascii="宋体" w:hAnsi="宋体" w:eastAsia="宋体" w:cs="宋体"/>
          <w:bCs/>
          <w:color w:val="000000"/>
        </w:rPr>
        <w:fldChar w:fldCharType="separate"/>
      </w:r>
      <w:r>
        <w:rPr>
          <w:rFonts w:hint="eastAsia" w:ascii="宋体" w:hAnsi="宋体" w:eastAsia="宋体" w:cs="宋体"/>
          <w:color w:val="000000"/>
        </w:rPr>
        <w:t xml:space="preserve">八、 </w:t>
      </w:r>
      <w:r>
        <w:rPr>
          <w:rFonts w:hint="eastAsia" w:ascii="宋体" w:hAnsi="宋体" w:eastAsia="宋体" w:cs="宋体"/>
          <w:color w:val="000000"/>
          <w:szCs w:val="24"/>
        </w:rPr>
        <w:t>定标</w:t>
      </w:r>
      <w:r>
        <w:rPr>
          <w:color w:val="000000"/>
        </w:rPr>
        <w:tab/>
      </w:r>
      <w:r>
        <w:rPr>
          <w:color w:val="000000"/>
        </w:rPr>
        <w:fldChar w:fldCharType="begin"/>
      </w:r>
      <w:r>
        <w:rPr>
          <w:color w:val="000000"/>
        </w:rPr>
        <w:instrText xml:space="preserve"> PAGEREF _Toc10320 \h </w:instrText>
      </w:r>
      <w:r>
        <w:rPr>
          <w:color w:val="000000"/>
        </w:rPr>
        <w:fldChar w:fldCharType="separate"/>
      </w:r>
      <w:r>
        <w:rPr>
          <w:color w:val="000000"/>
        </w:rPr>
        <w:t>24</w:t>
      </w:r>
      <w:r>
        <w:rPr>
          <w:color w:val="000000"/>
        </w:rPr>
        <w:fldChar w:fldCharType="end"/>
      </w:r>
      <w:r>
        <w:rPr>
          <w:rFonts w:hint="eastAsia" w:ascii="宋体" w:hAnsi="宋体" w:eastAsia="宋体" w:cs="宋体"/>
          <w:bCs/>
          <w:color w:val="000000"/>
        </w:rPr>
        <w:fldChar w:fldCharType="end"/>
      </w:r>
    </w:p>
    <w:p w14:paraId="3AC6B7FF">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_Toc27508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19、 </w:t>
      </w:r>
      <w:r>
        <w:rPr>
          <w:rFonts w:hint="eastAsia" w:ascii="宋体" w:hAnsi="宋体" w:eastAsia="宋体" w:cs="宋体"/>
          <w:color w:val="000000"/>
        </w:rPr>
        <w:t>推荐并确定成交磋商供应商</w:t>
      </w:r>
      <w:r>
        <w:rPr>
          <w:color w:val="000000"/>
        </w:rPr>
        <w:tab/>
      </w:r>
      <w:r>
        <w:rPr>
          <w:color w:val="000000"/>
        </w:rPr>
        <w:fldChar w:fldCharType="begin"/>
      </w:r>
      <w:r>
        <w:rPr>
          <w:color w:val="000000"/>
        </w:rPr>
        <w:instrText xml:space="preserve"> PAGEREF _Toc27508 \h </w:instrText>
      </w:r>
      <w:r>
        <w:rPr>
          <w:color w:val="000000"/>
        </w:rPr>
        <w:fldChar w:fldCharType="separate"/>
      </w:r>
      <w:r>
        <w:rPr>
          <w:color w:val="000000"/>
        </w:rPr>
        <w:t>24</w:t>
      </w:r>
      <w:r>
        <w:rPr>
          <w:color w:val="000000"/>
        </w:rPr>
        <w:fldChar w:fldCharType="end"/>
      </w:r>
      <w:r>
        <w:rPr>
          <w:rFonts w:hint="eastAsia" w:ascii="宋体" w:hAnsi="宋体" w:eastAsia="宋体" w:cs="宋体"/>
          <w:bCs/>
          <w:color w:val="000000"/>
        </w:rPr>
        <w:fldChar w:fldCharType="end"/>
      </w:r>
    </w:p>
    <w:p w14:paraId="254D49B9">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_Toc31510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20、 </w:t>
      </w:r>
      <w:r>
        <w:rPr>
          <w:rFonts w:hint="eastAsia" w:ascii="宋体" w:hAnsi="宋体" w:eastAsia="宋体" w:cs="宋体"/>
          <w:color w:val="000000"/>
        </w:rPr>
        <w:t>成交通知</w:t>
      </w:r>
      <w:r>
        <w:rPr>
          <w:color w:val="000000"/>
        </w:rPr>
        <w:tab/>
      </w:r>
      <w:r>
        <w:rPr>
          <w:color w:val="000000"/>
        </w:rPr>
        <w:fldChar w:fldCharType="begin"/>
      </w:r>
      <w:r>
        <w:rPr>
          <w:color w:val="000000"/>
        </w:rPr>
        <w:instrText xml:space="preserve"> PAGEREF _Toc31510 \h </w:instrText>
      </w:r>
      <w:r>
        <w:rPr>
          <w:color w:val="000000"/>
        </w:rPr>
        <w:fldChar w:fldCharType="separate"/>
      </w:r>
      <w:r>
        <w:rPr>
          <w:color w:val="000000"/>
        </w:rPr>
        <w:t>25</w:t>
      </w:r>
      <w:r>
        <w:rPr>
          <w:color w:val="000000"/>
        </w:rPr>
        <w:fldChar w:fldCharType="end"/>
      </w:r>
      <w:r>
        <w:rPr>
          <w:rFonts w:hint="eastAsia" w:ascii="宋体" w:hAnsi="宋体" w:eastAsia="宋体" w:cs="宋体"/>
          <w:bCs/>
          <w:color w:val="000000"/>
        </w:rPr>
        <w:fldChar w:fldCharType="end"/>
      </w:r>
    </w:p>
    <w:p w14:paraId="04FDC3AD">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_Toc15605 </w:instrText>
      </w:r>
      <w:r>
        <w:rPr>
          <w:rFonts w:hint="eastAsia" w:ascii="宋体" w:hAnsi="宋体" w:eastAsia="宋体" w:cs="宋体"/>
          <w:bCs/>
          <w:color w:val="000000"/>
        </w:rPr>
        <w:fldChar w:fldCharType="separate"/>
      </w:r>
      <w:r>
        <w:rPr>
          <w:rFonts w:hint="eastAsia" w:ascii="宋体" w:hAnsi="宋体" w:eastAsia="宋体" w:cs="宋体"/>
          <w:color w:val="000000"/>
        </w:rPr>
        <w:t>九、 授予合同</w:t>
      </w:r>
      <w:r>
        <w:rPr>
          <w:color w:val="000000"/>
        </w:rPr>
        <w:tab/>
      </w:r>
      <w:r>
        <w:rPr>
          <w:color w:val="000000"/>
        </w:rPr>
        <w:fldChar w:fldCharType="begin"/>
      </w:r>
      <w:r>
        <w:rPr>
          <w:color w:val="000000"/>
        </w:rPr>
        <w:instrText xml:space="preserve"> PAGEREF _Toc15605 \h </w:instrText>
      </w:r>
      <w:r>
        <w:rPr>
          <w:color w:val="000000"/>
        </w:rPr>
        <w:fldChar w:fldCharType="separate"/>
      </w:r>
      <w:r>
        <w:rPr>
          <w:color w:val="000000"/>
        </w:rPr>
        <w:t>26</w:t>
      </w:r>
      <w:r>
        <w:rPr>
          <w:color w:val="000000"/>
        </w:rPr>
        <w:fldChar w:fldCharType="end"/>
      </w:r>
      <w:r>
        <w:rPr>
          <w:rFonts w:hint="eastAsia" w:ascii="宋体" w:hAnsi="宋体" w:eastAsia="宋体" w:cs="宋体"/>
          <w:bCs/>
          <w:color w:val="000000"/>
        </w:rPr>
        <w:fldChar w:fldCharType="end"/>
      </w:r>
    </w:p>
    <w:p w14:paraId="360A9F9A">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_Toc28983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21、 </w:t>
      </w:r>
      <w:r>
        <w:rPr>
          <w:rFonts w:hint="eastAsia" w:ascii="宋体" w:hAnsi="宋体" w:eastAsia="宋体" w:cs="宋体"/>
          <w:color w:val="000000"/>
        </w:rPr>
        <w:t>签订合同</w:t>
      </w:r>
      <w:r>
        <w:rPr>
          <w:color w:val="000000"/>
        </w:rPr>
        <w:tab/>
      </w:r>
      <w:r>
        <w:rPr>
          <w:color w:val="000000"/>
        </w:rPr>
        <w:fldChar w:fldCharType="begin"/>
      </w:r>
      <w:r>
        <w:rPr>
          <w:color w:val="000000"/>
        </w:rPr>
        <w:instrText xml:space="preserve"> PAGEREF _Toc28983 \h </w:instrText>
      </w:r>
      <w:r>
        <w:rPr>
          <w:color w:val="000000"/>
        </w:rPr>
        <w:fldChar w:fldCharType="separate"/>
      </w:r>
      <w:r>
        <w:rPr>
          <w:color w:val="000000"/>
        </w:rPr>
        <w:t>26</w:t>
      </w:r>
      <w:r>
        <w:rPr>
          <w:color w:val="000000"/>
        </w:rPr>
        <w:fldChar w:fldCharType="end"/>
      </w:r>
      <w:r>
        <w:rPr>
          <w:rFonts w:hint="eastAsia" w:ascii="宋体" w:hAnsi="宋体" w:eastAsia="宋体" w:cs="宋体"/>
          <w:bCs/>
          <w:color w:val="000000"/>
        </w:rPr>
        <w:fldChar w:fldCharType="end"/>
      </w:r>
    </w:p>
    <w:p w14:paraId="68CE285C">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_Toc16961 </w:instrText>
      </w:r>
      <w:r>
        <w:rPr>
          <w:rFonts w:hint="eastAsia" w:ascii="宋体" w:hAnsi="宋体" w:eastAsia="宋体" w:cs="宋体"/>
          <w:bCs/>
          <w:color w:val="000000"/>
        </w:rPr>
        <w:fldChar w:fldCharType="separate"/>
      </w:r>
      <w:r>
        <w:rPr>
          <w:rFonts w:hint="eastAsia" w:ascii="宋体" w:hAnsi="宋体" w:eastAsia="宋体" w:cs="宋体"/>
          <w:color w:val="000000"/>
        </w:rPr>
        <w:t>十、 废标条款</w:t>
      </w:r>
      <w:r>
        <w:rPr>
          <w:color w:val="000000"/>
        </w:rPr>
        <w:tab/>
      </w:r>
      <w:r>
        <w:rPr>
          <w:color w:val="000000"/>
        </w:rPr>
        <w:fldChar w:fldCharType="begin"/>
      </w:r>
      <w:r>
        <w:rPr>
          <w:color w:val="000000"/>
        </w:rPr>
        <w:instrText xml:space="preserve"> PAGEREF _Toc16961 \h </w:instrText>
      </w:r>
      <w:r>
        <w:rPr>
          <w:color w:val="000000"/>
        </w:rPr>
        <w:fldChar w:fldCharType="separate"/>
      </w:r>
      <w:r>
        <w:rPr>
          <w:color w:val="000000"/>
        </w:rPr>
        <w:t>27</w:t>
      </w:r>
      <w:r>
        <w:rPr>
          <w:color w:val="000000"/>
        </w:rPr>
        <w:fldChar w:fldCharType="end"/>
      </w:r>
      <w:r>
        <w:rPr>
          <w:rFonts w:hint="eastAsia" w:ascii="宋体" w:hAnsi="宋体" w:eastAsia="宋体" w:cs="宋体"/>
          <w:bCs/>
          <w:color w:val="000000"/>
        </w:rPr>
        <w:fldChar w:fldCharType="end"/>
      </w:r>
    </w:p>
    <w:p w14:paraId="64C6F6CD">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_Toc13156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22、 </w:t>
      </w:r>
      <w:r>
        <w:rPr>
          <w:rFonts w:hint="eastAsia" w:ascii="宋体" w:hAnsi="宋体" w:eastAsia="宋体" w:cs="宋体"/>
          <w:color w:val="000000"/>
        </w:rPr>
        <w:t>废标情形</w:t>
      </w:r>
      <w:r>
        <w:rPr>
          <w:color w:val="000000"/>
        </w:rPr>
        <w:tab/>
      </w:r>
      <w:r>
        <w:rPr>
          <w:color w:val="000000"/>
        </w:rPr>
        <w:fldChar w:fldCharType="begin"/>
      </w:r>
      <w:r>
        <w:rPr>
          <w:color w:val="000000"/>
        </w:rPr>
        <w:instrText xml:space="preserve"> PAGEREF _Toc13156 \h </w:instrText>
      </w:r>
      <w:r>
        <w:rPr>
          <w:color w:val="000000"/>
        </w:rPr>
        <w:fldChar w:fldCharType="separate"/>
      </w:r>
      <w:r>
        <w:rPr>
          <w:color w:val="000000"/>
        </w:rPr>
        <w:t>27</w:t>
      </w:r>
      <w:r>
        <w:rPr>
          <w:color w:val="000000"/>
        </w:rPr>
        <w:fldChar w:fldCharType="end"/>
      </w:r>
      <w:r>
        <w:rPr>
          <w:rFonts w:hint="eastAsia" w:ascii="宋体" w:hAnsi="宋体" w:eastAsia="宋体" w:cs="宋体"/>
          <w:bCs/>
          <w:color w:val="000000"/>
        </w:rPr>
        <w:fldChar w:fldCharType="end"/>
      </w:r>
    </w:p>
    <w:p w14:paraId="39193729">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_Toc27174 </w:instrText>
      </w:r>
      <w:r>
        <w:rPr>
          <w:rFonts w:hint="eastAsia" w:ascii="宋体" w:hAnsi="宋体" w:eastAsia="宋体" w:cs="宋体"/>
          <w:bCs/>
          <w:color w:val="000000"/>
        </w:rPr>
        <w:fldChar w:fldCharType="separate"/>
      </w:r>
      <w:r>
        <w:rPr>
          <w:rFonts w:hint="eastAsia" w:ascii="宋体" w:hAnsi="宋体" w:eastAsia="宋体" w:cs="宋体"/>
          <w:color w:val="000000"/>
        </w:rPr>
        <w:t>十一、 其他</w:t>
      </w:r>
      <w:r>
        <w:rPr>
          <w:color w:val="000000"/>
        </w:rPr>
        <w:tab/>
      </w:r>
      <w:r>
        <w:rPr>
          <w:color w:val="000000"/>
        </w:rPr>
        <w:fldChar w:fldCharType="begin"/>
      </w:r>
      <w:r>
        <w:rPr>
          <w:color w:val="000000"/>
        </w:rPr>
        <w:instrText xml:space="preserve"> PAGEREF _Toc27174 \h </w:instrText>
      </w:r>
      <w:r>
        <w:rPr>
          <w:color w:val="000000"/>
        </w:rPr>
        <w:fldChar w:fldCharType="separate"/>
      </w:r>
      <w:r>
        <w:rPr>
          <w:color w:val="000000"/>
        </w:rPr>
        <w:t>27</w:t>
      </w:r>
      <w:r>
        <w:rPr>
          <w:color w:val="000000"/>
        </w:rPr>
        <w:fldChar w:fldCharType="end"/>
      </w:r>
      <w:r>
        <w:rPr>
          <w:rFonts w:hint="eastAsia" w:ascii="宋体" w:hAnsi="宋体" w:eastAsia="宋体" w:cs="宋体"/>
          <w:bCs/>
          <w:color w:val="000000"/>
        </w:rPr>
        <w:fldChar w:fldCharType="end"/>
      </w:r>
    </w:p>
    <w:p w14:paraId="1F2D7977">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_Toc17033 </w:instrText>
      </w:r>
      <w:r>
        <w:rPr>
          <w:rFonts w:hint="eastAsia" w:ascii="宋体" w:hAnsi="宋体" w:eastAsia="宋体" w:cs="宋体"/>
          <w:bCs/>
          <w:color w:val="000000"/>
        </w:rPr>
        <w:fldChar w:fldCharType="separate"/>
      </w:r>
      <w:r>
        <w:rPr>
          <w:rFonts w:hint="default" w:ascii="宋体" w:hAnsi="宋体" w:eastAsia="宋体" w:cs="宋体"/>
          <w:color w:val="000000"/>
        </w:rPr>
        <w:t xml:space="preserve">23、 </w:t>
      </w:r>
      <w:r>
        <w:rPr>
          <w:rFonts w:hint="eastAsia" w:ascii="宋体" w:hAnsi="宋体" w:eastAsia="宋体" w:cs="宋体"/>
          <w:color w:val="000000"/>
        </w:rPr>
        <w:t>串标情形</w:t>
      </w:r>
      <w:r>
        <w:rPr>
          <w:color w:val="000000"/>
        </w:rPr>
        <w:tab/>
      </w:r>
      <w:r>
        <w:rPr>
          <w:color w:val="000000"/>
        </w:rPr>
        <w:fldChar w:fldCharType="begin"/>
      </w:r>
      <w:r>
        <w:rPr>
          <w:color w:val="000000"/>
        </w:rPr>
        <w:instrText xml:space="preserve"> PAGEREF _Toc17033 \h </w:instrText>
      </w:r>
      <w:r>
        <w:rPr>
          <w:color w:val="000000"/>
        </w:rPr>
        <w:fldChar w:fldCharType="separate"/>
      </w:r>
      <w:r>
        <w:rPr>
          <w:color w:val="000000"/>
        </w:rPr>
        <w:t>27</w:t>
      </w:r>
      <w:r>
        <w:rPr>
          <w:color w:val="000000"/>
        </w:rPr>
        <w:fldChar w:fldCharType="end"/>
      </w:r>
      <w:r>
        <w:rPr>
          <w:rFonts w:hint="eastAsia" w:ascii="宋体" w:hAnsi="宋体" w:eastAsia="宋体" w:cs="宋体"/>
          <w:bCs/>
          <w:color w:val="000000"/>
        </w:rPr>
        <w:fldChar w:fldCharType="end"/>
      </w:r>
    </w:p>
    <w:p w14:paraId="1813BEA2">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_Toc12758 </w:instrText>
      </w:r>
      <w:r>
        <w:rPr>
          <w:rFonts w:hint="eastAsia" w:ascii="宋体" w:hAnsi="宋体" w:eastAsia="宋体" w:cs="宋体"/>
          <w:bCs/>
          <w:color w:val="000000"/>
        </w:rPr>
        <w:fldChar w:fldCharType="separate"/>
      </w:r>
      <w:r>
        <w:rPr>
          <w:rFonts w:hint="eastAsia" w:ascii="宋体" w:hAnsi="宋体" w:eastAsia="宋体" w:cs="宋体"/>
          <w:color w:val="000000"/>
        </w:rPr>
        <w:t>第四部分 青海省采购合同文本样式</w:t>
      </w:r>
      <w:r>
        <w:rPr>
          <w:color w:val="000000"/>
        </w:rPr>
        <w:tab/>
      </w:r>
      <w:r>
        <w:rPr>
          <w:color w:val="000000"/>
        </w:rPr>
        <w:fldChar w:fldCharType="begin"/>
      </w:r>
      <w:r>
        <w:rPr>
          <w:color w:val="000000"/>
        </w:rPr>
        <w:instrText xml:space="preserve"> PAGEREF _Toc12758 \h </w:instrText>
      </w:r>
      <w:r>
        <w:rPr>
          <w:color w:val="000000"/>
        </w:rPr>
        <w:fldChar w:fldCharType="separate"/>
      </w:r>
      <w:r>
        <w:rPr>
          <w:color w:val="000000"/>
        </w:rPr>
        <w:t>28</w:t>
      </w:r>
      <w:r>
        <w:rPr>
          <w:color w:val="000000"/>
        </w:rPr>
        <w:fldChar w:fldCharType="end"/>
      </w:r>
      <w:r>
        <w:rPr>
          <w:rFonts w:hint="eastAsia" w:ascii="宋体" w:hAnsi="宋体" w:eastAsia="宋体" w:cs="宋体"/>
          <w:bCs/>
          <w:color w:val="000000"/>
        </w:rPr>
        <w:fldChar w:fldCharType="end"/>
      </w:r>
    </w:p>
    <w:p w14:paraId="68A2A40A">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_Toc28480 </w:instrText>
      </w:r>
      <w:r>
        <w:rPr>
          <w:rFonts w:hint="eastAsia" w:ascii="宋体" w:hAnsi="宋体" w:eastAsia="宋体" w:cs="宋体"/>
          <w:bCs/>
          <w:color w:val="000000"/>
        </w:rPr>
        <w:fldChar w:fldCharType="separate"/>
      </w:r>
      <w:r>
        <w:rPr>
          <w:rFonts w:hint="eastAsia" w:ascii="宋体" w:hAnsi="宋体" w:eastAsia="宋体" w:cs="宋体"/>
          <w:color w:val="000000"/>
        </w:rPr>
        <w:t>第五部分  磋商响应文件格式</w:t>
      </w:r>
      <w:r>
        <w:rPr>
          <w:color w:val="000000"/>
        </w:rPr>
        <w:tab/>
      </w:r>
      <w:r>
        <w:rPr>
          <w:color w:val="000000"/>
        </w:rPr>
        <w:fldChar w:fldCharType="begin"/>
      </w:r>
      <w:r>
        <w:rPr>
          <w:color w:val="000000"/>
        </w:rPr>
        <w:instrText xml:space="preserve"> PAGEREF _Toc28480 \h </w:instrText>
      </w:r>
      <w:r>
        <w:rPr>
          <w:color w:val="000000"/>
        </w:rPr>
        <w:fldChar w:fldCharType="separate"/>
      </w:r>
      <w:r>
        <w:rPr>
          <w:color w:val="000000"/>
        </w:rPr>
        <w:t>42</w:t>
      </w:r>
      <w:r>
        <w:rPr>
          <w:color w:val="000000"/>
        </w:rPr>
        <w:fldChar w:fldCharType="end"/>
      </w:r>
      <w:r>
        <w:rPr>
          <w:rFonts w:hint="eastAsia" w:ascii="宋体" w:hAnsi="宋体" w:eastAsia="宋体" w:cs="宋体"/>
          <w:bCs/>
          <w:color w:val="000000"/>
        </w:rPr>
        <w:fldChar w:fldCharType="end"/>
      </w:r>
    </w:p>
    <w:p w14:paraId="0A1B7C85">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_Toc30468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磋商响应文件封面</w:t>
      </w:r>
      <w:r>
        <w:rPr>
          <w:color w:val="000000"/>
        </w:rPr>
        <w:tab/>
      </w:r>
      <w:r>
        <w:rPr>
          <w:color w:val="000000"/>
        </w:rPr>
        <w:fldChar w:fldCharType="begin"/>
      </w:r>
      <w:r>
        <w:rPr>
          <w:color w:val="000000"/>
        </w:rPr>
        <w:instrText xml:space="preserve"> PAGEREF _Toc30468 \h </w:instrText>
      </w:r>
      <w:r>
        <w:rPr>
          <w:color w:val="000000"/>
        </w:rPr>
        <w:fldChar w:fldCharType="separate"/>
      </w:r>
      <w:r>
        <w:rPr>
          <w:color w:val="000000"/>
        </w:rPr>
        <w:t>43</w:t>
      </w:r>
      <w:r>
        <w:rPr>
          <w:color w:val="000000"/>
        </w:rPr>
        <w:fldChar w:fldCharType="end"/>
      </w:r>
      <w:r>
        <w:rPr>
          <w:rFonts w:hint="eastAsia" w:ascii="宋体" w:hAnsi="宋体" w:eastAsia="宋体" w:cs="宋体"/>
          <w:bCs/>
          <w:color w:val="000000"/>
        </w:rPr>
        <w:fldChar w:fldCharType="end"/>
      </w:r>
    </w:p>
    <w:p w14:paraId="37F56E2D">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_Toc14821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磋商响应文件目录</w:t>
      </w:r>
      <w:r>
        <w:rPr>
          <w:color w:val="000000"/>
        </w:rPr>
        <w:tab/>
      </w:r>
      <w:r>
        <w:rPr>
          <w:color w:val="000000"/>
        </w:rPr>
        <w:fldChar w:fldCharType="begin"/>
      </w:r>
      <w:r>
        <w:rPr>
          <w:color w:val="000000"/>
        </w:rPr>
        <w:instrText xml:space="preserve"> PAGEREF _Toc14821 \h </w:instrText>
      </w:r>
      <w:r>
        <w:rPr>
          <w:color w:val="000000"/>
        </w:rPr>
        <w:fldChar w:fldCharType="separate"/>
      </w:r>
      <w:r>
        <w:rPr>
          <w:color w:val="000000"/>
        </w:rPr>
        <w:t>44</w:t>
      </w:r>
      <w:r>
        <w:rPr>
          <w:color w:val="000000"/>
        </w:rPr>
        <w:fldChar w:fldCharType="end"/>
      </w:r>
      <w:r>
        <w:rPr>
          <w:rFonts w:hint="eastAsia" w:ascii="宋体" w:hAnsi="宋体" w:eastAsia="宋体" w:cs="宋体"/>
          <w:bCs/>
          <w:color w:val="000000"/>
        </w:rPr>
        <w:fldChar w:fldCharType="end"/>
      </w:r>
    </w:p>
    <w:p w14:paraId="30BCDF7E">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_Toc21544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格式1、磋商函</w:t>
      </w:r>
      <w:r>
        <w:rPr>
          <w:color w:val="000000"/>
        </w:rPr>
        <w:tab/>
      </w:r>
      <w:r>
        <w:rPr>
          <w:color w:val="000000"/>
        </w:rPr>
        <w:fldChar w:fldCharType="begin"/>
      </w:r>
      <w:r>
        <w:rPr>
          <w:color w:val="000000"/>
        </w:rPr>
        <w:instrText xml:space="preserve"> PAGEREF _Toc21544 \h </w:instrText>
      </w:r>
      <w:r>
        <w:rPr>
          <w:color w:val="000000"/>
        </w:rPr>
        <w:fldChar w:fldCharType="separate"/>
      </w:r>
      <w:r>
        <w:rPr>
          <w:color w:val="000000"/>
        </w:rPr>
        <w:t>45</w:t>
      </w:r>
      <w:r>
        <w:rPr>
          <w:color w:val="000000"/>
        </w:rPr>
        <w:fldChar w:fldCharType="end"/>
      </w:r>
      <w:r>
        <w:rPr>
          <w:rFonts w:hint="eastAsia" w:ascii="宋体" w:hAnsi="宋体" w:eastAsia="宋体" w:cs="宋体"/>
          <w:bCs/>
          <w:color w:val="000000"/>
        </w:rPr>
        <w:fldChar w:fldCharType="end"/>
      </w:r>
    </w:p>
    <w:p w14:paraId="40ECAC2C">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_Toc18521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格式2、法定代表人证明书</w:t>
      </w:r>
      <w:r>
        <w:rPr>
          <w:color w:val="000000"/>
        </w:rPr>
        <w:tab/>
      </w:r>
      <w:r>
        <w:rPr>
          <w:color w:val="000000"/>
        </w:rPr>
        <w:fldChar w:fldCharType="begin"/>
      </w:r>
      <w:r>
        <w:rPr>
          <w:color w:val="000000"/>
        </w:rPr>
        <w:instrText xml:space="preserve"> PAGEREF _Toc18521 \h </w:instrText>
      </w:r>
      <w:r>
        <w:rPr>
          <w:color w:val="000000"/>
        </w:rPr>
        <w:fldChar w:fldCharType="separate"/>
      </w:r>
      <w:r>
        <w:rPr>
          <w:color w:val="000000"/>
        </w:rPr>
        <w:t>46</w:t>
      </w:r>
      <w:r>
        <w:rPr>
          <w:color w:val="000000"/>
        </w:rPr>
        <w:fldChar w:fldCharType="end"/>
      </w:r>
      <w:r>
        <w:rPr>
          <w:rFonts w:hint="eastAsia" w:ascii="宋体" w:hAnsi="宋体" w:eastAsia="宋体" w:cs="宋体"/>
          <w:bCs/>
          <w:color w:val="000000"/>
        </w:rPr>
        <w:fldChar w:fldCharType="end"/>
      </w:r>
    </w:p>
    <w:p w14:paraId="6E895D8D">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_Toc8135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格式3、法定代表人授权书</w:t>
      </w:r>
      <w:r>
        <w:rPr>
          <w:color w:val="000000"/>
        </w:rPr>
        <w:tab/>
      </w:r>
      <w:r>
        <w:rPr>
          <w:color w:val="000000"/>
        </w:rPr>
        <w:fldChar w:fldCharType="begin"/>
      </w:r>
      <w:r>
        <w:rPr>
          <w:color w:val="000000"/>
        </w:rPr>
        <w:instrText xml:space="preserve"> PAGEREF _Toc8135 \h </w:instrText>
      </w:r>
      <w:r>
        <w:rPr>
          <w:color w:val="000000"/>
        </w:rPr>
        <w:fldChar w:fldCharType="separate"/>
      </w:r>
      <w:r>
        <w:rPr>
          <w:color w:val="000000"/>
        </w:rPr>
        <w:t>47</w:t>
      </w:r>
      <w:r>
        <w:rPr>
          <w:color w:val="000000"/>
        </w:rPr>
        <w:fldChar w:fldCharType="end"/>
      </w:r>
      <w:r>
        <w:rPr>
          <w:rFonts w:hint="eastAsia" w:ascii="宋体" w:hAnsi="宋体" w:eastAsia="宋体" w:cs="宋体"/>
          <w:bCs/>
          <w:color w:val="000000"/>
        </w:rPr>
        <w:fldChar w:fldCharType="end"/>
      </w:r>
    </w:p>
    <w:p w14:paraId="6D5D69AA">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_Toc18093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格式4、</w:t>
      </w:r>
      <w:r>
        <w:rPr>
          <w:rFonts w:hint="eastAsia" w:ascii="宋体" w:hAnsi="宋体" w:cs="宋体"/>
          <w:bCs/>
          <w:color w:val="000000"/>
          <w:kern w:val="0"/>
          <w:szCs w:val="30"/>
          <w:lang w:val="en-US" w:eastAsia="zh-CN"/>
        </w:rPr>
        <w:t>联合体协议</w:t>
      </w:r>
      <w:r>
        <w:rPr>
          <w:rFonts w:hint="eastAsia" w:ascii="宋体" w:hAnsi="宋体" w:eastAsia="宋体" w:cs="宋体"/>
          <w:color w:val="000000"/>
          <w:lang w:val="zh-CN"/>
        </w:rPr>
        <w:t>书</w:t>
      </w:r>
      <w:r>
        <w:rPr>
          <w:color w:val="000000"/>
        </w:rPr>
        <w:tab/>
      </w:r>
      <w:r>
        <w:rPr>
          <w:color w:val="000000"/>
        </w:rPr>
        <w:fldChar w:fldCharType="begin"/>
      </w:r>
      <w:r>
        <w:rPr>
          <w:color w:val="000000"/>
        </w:rPr>
        <w:instrText xml:space="preserve"> PAGEREF _Toc18093 \h </w:instrText>
      </w:r>
      <w:r>
        <w:rPr>
          <w:color w:val="000000"/>
        </w:rPr>
        <w:fldChar w:fldCharType="separate"/>
      </w:r>
      <w:r>
        <w:rPr>
          <w:color w:val="000000"/>
        </w:rPr>
        <w:t>48</w:t>
      </w:r>
      <w:r>
        <w:rPr>
          <w:color w:val="000000"/>
        </w:rPr>
        <w:fldChar w:fldCharType="end"/>
      </w:r>
      <w:r>
        <w:rPr>
          <w:rFonts w:hint="eastAsia" w:ascii="宋体" w:hAnsi="宋体" w:eastAsia="宋体" w:cs="宋体"/>
          <w:bCs/>
          <w:color w:val="000000"/>
        </w:rPr>
        <w:fldChar w:fldCharType="end"/>
      </w:r>
    </w:p>
    <w:p w14:paraId="42A725BF">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_Toc11999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w:t>
      </w:r>
      <w:r>
        <w:rPr>
          <w:rFonts w:hint="eastAsia" w:hAnsi="宋体" w:eastAsia="宋体" w:cs="宋体"/>
          <w:color w:val="000000"/>
          <w:lang w:val="en-US" w:eastAsia="zh-CN"/>
        </w:rPr>
        <w:t>5</w:t>
      </w:r>
      <w:r>
        <w:rPr>
          <w:rFonts w:hint="eastAsia" w:ascii="宋体" w:hAnsi="宋体" w:eastAsia="宋体" w:cs="宋体"/>
          <w:color w:val="000000"/>
          <w:lang w:val="zh-CN"/>
        </w:rPr>
        <w:t>、磋商供应商承诺书</w:t>
      </w:r>
      <w:r>
        <w:rPr>
          <w:color w:val="000000"/>
        </w:rPr>
        <w:tab/>
      </w:r>
      <w:r>
        <w:rPr>
          <w:color w:val="000000"/>
        </w:rPr>
        <w:fldChar w:fldCharType="begin"/>
      </w:r>
      <w:r>
        <w:rPr>
          <w:color w:val="000000"/>
        </w:rPr>
        <w:instrText xml:space="preserve"> PAGEREF _Toc11999 \h </w:instrText>
      </w:r>
      <w:r>
        <w:rPr>
          <w:color w:val="000000"/>
        </w:rPr>
        <w:fldChar w:fldCharType="separate"/>
      </w:r>
      <w:r>
        <w:rPr>
          <w:color w:val="000000"/>
        </w:rPr>
        <w:t>49</w:t>
      </w:r>
      <w:r>
        <w:rPr>
          <w:color w:val="000000"/>
        </w:rPr>
        <w:fldChar w:fldCharType="end"/>
      </w:r>
      <w:r>
        <w:rPr>
          <w:rFonts w:hint="eastAsia" w:ascii="宋体" w:hAnsi="宋体" w:eastAsia="宋体" w:cs="宋体"/>
          <w:bCs/>
          <w:color w:val="000000"/>
        </w:rPr>
        <w:fldChar w:fldCharType="end"/>
      </w:r>
    </w:p>
    <w:p w14:paraId="28813AC5">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_Toc29258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w:t>
      </w:r>
      <w:r>
        <w:rPr>
          <w:rFonts w:hint="eastAsia" w:hAnsi="宋体" w:eastAsia="宋体" w:cs="宋体"/>
          <w:color w:val="000000"/>
          <w:lang w:val="en-US" w:eastAsia="zh-CN"/>
        </w:rPr>
        <w:t>6</w:t>
      </w:r>
      <w:r>
        <w:rPr>
          <w:rFonts w:hint="eastAsia" w:ascii="宋体" w:hAnsi="宋体" w:eastAsia="宋体" w:cs="宋体"/>
          <w:color w:val="000000"/>
          <w:lang w:val="zh-CN"/>
        </w:rPr>
        <w:t>、供应商诚信承诺书</w:t>
      </w:r>
      <w:r>
        <w:rPr>
          <w:color w:val="000000"/>
        </w:rPr>
        <w:tab/>
      </w:r>
      <w:r>
        <w:rPr>
          <w:color w:val="000000"/>
        </w:rPr>
        <w:fldChar w:fldCharType="begin"/>
      </w:r>
      <w:r>
        <w:rPr>
          <w:color w:val="000000"/>
        </w:rPr>
        <w:instrText xml:space="preserve"> PAGEREF _Toc29258 \h </w:instrText>
      </w:r>
      <w:r>
        <w:rPr>
          <w:color w:val="000000"/>
        </w:rPr>
        <w:fldChar w:fldCharType="separate"/>
      </w:r>
      <w:r>
        <w:rPr>
          <w:color w:val="000000"/>
        </w:rPr>
        <w:t>50</w:t>
      </w:r>
      <w:r>
        <w:rPr>
          <w:color w:val="000000"/>
        </w:rPr>
        <w:fldChar w:fldCharType="end"/>
      </w:r>
      <w:r>
        <w:rPr>
          <w:rFonts w:hint="eastAsia" w:ascii="宋体" w:hAnsi="宋体" w:eastAsia="宋体" w:cs="宋体"/>
          <w:bCs/>
          <w:color w:val="000000"/>
        </w:rPr>
        <w:fldChar w:fldCharType="end"/>
      </w:r>
    </w:p>
    <w:p w14:paraId="599A28D1">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_Toc15350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w:t>
      </w:r>
      <w:r>
        <w:rPr>
          <w:rFonts w:hint="eastAsia" w:hAnsi="宋体" w:eastAsia="宋体" w:cs="宋体"/>
          <w:color w:val="000000"/>
          <w:lang w:val="en-US" w:eastAsia="zh-CN"/>
        </w:rPr>
        <w:t>7</w:t>
      </w:r>
      <w:r>
        <w:rPr>
          <w:rFonts w:hint="eastAsia" w:ascii="宋体" w:hAnsi="宋体" w:eastAsia="宋体" w:cs="宋体"/>
          <w:color w:val="000000"/>
          <w:lang w:val="zh-CN"/>
        </w:rPr>
        <w:t>、资格证明材料</w:t>
      </w:r>
      <w:r>
        <w:rPr>
          <w:color w:val="000000"/>
        </w:rPr>
        <w:tab/>
      </w:r>
      <w:r>
        <w:rPr>
          <w:color w:val="000000"/>
        </w:rPr>
        <w:fldChar w:fldCharType="begin"/>
      </w:r>
      <w:r>
        <w:rPr>
          <w:color w:val="000000"/>
        </w:rPr>
        <w:instrText xml:space="preserve"> PAGEREF _Toc15350 \h </w:instrText>
      </w:r>
      <w:r>
        <w:rPr>
          <w:color w:val="000000"/>
        </w:rPr>
        <w:fldChar w:fldCharType="separate"/>
      </w:r>
      <w:r>
        <w:rPr>
          <w:color w:val="000000"/>
        </w:rPr>
        <w:t>51</w:t>
      </w:r>
      <w:r>
        <w:rPr>
          <w:color w:val="000000"/>
        </w:rPr>
        <w:fldChar w:fldCharType="end"/>
      </w:r>
      <w:r>
        <w:rPr>
          <w:rFonts w:hint="eastAsia" w:ascii="宋体" w:hAnsi="宋体" w:eastAsia="宋体" w:cs="宋体"/>
          <w:bCs/>
          <w:color w:val="000000"/>
        </w:rPr>
        <w:fldChar w:fldCharType="end"/>
      </w:r>
    </w:p>
    <w:p w14:paraId="67AB675E">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_Toc19292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w:t>
      </w:r>
      <w:r>
        <w:rPr>
          <w:rFonts w:hint="eastAsia" w:hAnsi="宋体" w:eastAsia="宋体" w:cs="宋体"/>
          <w:color w:val="000000"/>
          <w:lang w:val="en-US" w:eastAsia="zh-CN"/>
        </w:rPr>
        <w:t>8</w:t>
      </w:r>
      <w:r>
        <w:rPr>
          <w:rFonts w:hint="eastAsia" w:ascii="宋体" w:hAnsi="宋体" w:eastAsia="宋体" w:cs="宋体"/>
          <w:color w:val="000000"/>
          <w:lang w:val="zh-CN"/>
        </w:rPr>
        <w:t>、财务状况、缴纳税收和社会保障资金证明</w:t>
      </w:r>
      <w:r>
        <w:rPr>
          <w:color w:val="000000"/>
        </w:rPr>
        <w:tab/>
      </w:r>
      <w:r>
        <w:rPr>
          <w:color w:val="000000"/>
        </w:rPr>
        <w:fldChar w:fldCharType="begin"/>
      </w:r>
      <w:r>
        <w:rPr>
          <w:color w:val="000000"/>
        </w:rPr>
        <w:instrText xml:space="preserve"> PAGEREF _Toc19292 \h </w:instrText>
      </w:r>
      <w:r>
        <w:rPr>
          <w:color w:val="000000"/>
        </w:rPr>
        <w:fldChar w:fldCharType="separate"/>
      </w:r>
      <w:r>
        <w:rPr>
          <w:color w:val="000000"/>
        </w:rPr>
        <w:t>52</w:t>
      </w:r>
      <w:r>
        <w:rPr>
          <w:color w:val="000000"/>
        </w:rPr>
        <w:fldChar w:fldCharType="end"/>
      </w:r>
      <w:r>
        <w:rPr>
          <w:rFonts w:hint="eastAsia" w:ascii="宋体" w:hAnsi="宋体" w:eastAsia="宋体" w:cs="宋体"/>
          <w:bCs/>
          <w:color w:val="000000"/>
        </w:rPr>
        <w:fldChar w:fldCharType="end"/>
      </w:r>
    </w:p>
    <w:p w14:paraId="4584E312">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_Toc8026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w:t>
      </w:r>
      <w:r>
        <w:rPr>
          <w:rFonts w:hint="eastAsia" w:hAnsi="宋体" w:eastAsia="宋体" w:cs="宋体"/>
          <w:color w:val="000000"/>
          <w:lang w:val="en-US" w:eastAsia="zh-CN"/>
        </w:rPr>
        <w:t>9</w:t>
      </w:r>
      <w:r>
        <w:rPr>
          <w:rFonts w:hint="eastAsia" w:ascii="宋体" w:hAnsi="宋体" w:eastAsia="宋体" w:cs="宋体"/>
          <w:color w:val="000000"/>
          <w:lang w:val="zh-CN"/>
        </w:rPr>
        <w:t>、具备履行合同所必须的设备和专业技术能力证明</w:t>
      </w:r>
      <w:r>
        <w:rPr>
          <w:color w:val="000000"/>
        </w:rPr>
        <w:tab/>
      </w:r>
      <w:r>
        <w:rPr>
          <w:color w:val="000000"/>
        </w:rPr>
        <w:fldChar w:fldCharType="begin"/>
      </w:r>
      <w:r>
        <w:rPr>
          <w:color w:val="000000"/>
        </w:rPr>
        <w:instrText xml:space="preserve"> PAGEREF _Toc8026 \h </w:instrText>
      </w:r>
      <w:r>
        <w:rPr>
          <w:color w:val="000000"/>
        </w:rPr>
        <w:fldChar w:fldCharType="separate"/>
      </w:r>
      <w:r>
        <w:rPr>
          <w:color w:val="000000"/>
        </w:rPr>
        <w:t>53</w:t>
      </w:r>
      <w:r>
        <w:rPr>
          <w:color w:val="000000"/>
        </w:rPr>
        <w:fldChar w:fldCharType="end"/>
      </w:r>
      <w:r>
        <w:rPr>
          <w:rFonts w:hint="eastAsia" w:ascii="宋体" w:hAnsi="宋体" w:eastAsia="宋体" w:cs="宋体"/>
          <w:bCs/>
          <w:color w:val="000000"/>
        </w:rPr>
        <w:fldChar w:fldCharType="end"/>
      </w:r>
    </w:p>
    <w:p w14:paraId="36C6FF45">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_Toc1667 </w:instrText>
      </w:r>
      <w:r>
        <w:rPr>
          <w:rFonts w:hint="eastAsia" w:ascii="宋体" w:hAnsi="宋体" w:eastAsia="宋体" w:cs="宋体"/>
          <w:bCs/>
          <w:color w:val="000000"/>
        </w:rPr>
        <w:fldChar w:fldCharType="separate"/>
      </w:r>
      <w:r>
        <w:rPr>
          <w:rFonts w:hint="eastAsia" w:ascii="宋体" w:hAnsi="宋体" w:eastAsia="宋体" w:cs="宋体"/>
          <w:bCs/>
          <w:color w:val="000000"/>
          <w:szCs w:val="28"/>
        </w:rPr>
        <w:t>格式</w:t>
      </w:r>
      <w:r>
        <w:rPr>
          <w:rFonts w:hint="eastAsia" w:hAnsi="宋体" w:eastAsia="宋体" w:cs="宋体"/>
          <w:bCs/>
          <w:color w:val="000000"/>
          <w:szCs w:val="28"/>
          <w:lang w:val="en-US" w:eastAsia="zh-CN"/>
        </w:rPr>
        <w:t>10</w:t>
      </w:r>
      <w:r>
        <w:rPr>
          <w:rFonts w:hint="eastAsia" w:ascii="宋体" w:hAnsi="宋体" w:eastAsia="宋体" w:cs="宋体"/>
          <w:bCs/>
          <w:color w:val="000000"/>
          <w:szCs w:val="28"/>
        </w:rPr>
        <w:t>、无重大违法记录声明</w:t>
      </w:r>
      <w:r>
        <w:rPr>
          <w:color w:val="000000"/>
        </w:rPr>
        <w:tab/>
      </w:r>
      <w:r>
        <w:rPr>
          <w:color w:val="000000"/>
        </w:rPr>
        <w:fldChar w:fldCharType="begin"/>
      </w:r>
      <w:r>
        <w:rPr>
          <w:color w:val="000000"/>
        </w:rPr>
        <w:instrText xml:space="preserve"> PAGEREF _Toc1667 \h </w:instrText>
      </w:r>
      <w:r>
        <w:rPr>
          <w:color w:val="000000"/>
        </w:rPr>
        <w:fldChar w:fldCharType="separate"/>
      </w:r>
      <w:r>
        <w:rPr>
          <w:color w:val="000000"/>
        </w:rPr>
        <w:t>54</w:t>
      </w:r>
      <w:r>
        <w:rPr>
          <w:color w:val="000000"/>
        </w:rPr>
        <w:fldChar w:fldCharType="end"/>
      </w:r>
      <w:r>
        <w:rPr>
          <w:rFonts w:hint="eastAsia" w:ascii="宋体" w:hAnsi="宋体" w:eastAsia="宋体" w:cs="宋体"/>
          <w:bCs/>
          <w:color w:val="000000"/>
        </w:rPr>
        <w:fldChar w:fldCharType="end"/>
      </w:r>
    </w:p>
    <w:p w14:paraId="1746382D">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_Toc10891 </w:instrText>
      </w:r>
      <w:r>
        <w:rPr>
          <w:rFonts w:hint="eastAsia" w:ascii="宋体" w:hAnsi="宋体" w:eastAsia="宋体" w:cs="宋体"/>
          <w:bCs/>
          <w:color w:val="000000"/>
        </w:rPr>
        <w:fldChar w:fldCharType="separate"/>
      </w:r>
      <w:r>
        <w:rPr>
          <w:rFonts w:hint="eastAsia" w:ascii="宋体" w:hAnsi="宋体" w:eastAsia="宋体" w:cs="宋体"/>
          <w:bCs/>
          <w:color w:val="000000"/>
          <w:szCs w:val="28"/>
        </w:rPr>
        <w:t>格式1</w:t>
      </w:r>
      <w:r>
        <w:rPr>
          <w:rFonts w:hint="eastAsia" w:hAnsi="宋体" w:eastAsia="宋体" w:cs="宋体"/>
          <w:bCs/>
          <w:color w:val="000000"/>
          <w:szCs w:val="28"/>
          <w:lang w:val="en-US" w:eastAsia="zh-CN"/>
        </w:rPr>
        <w:t>1</w:t>
      </w:r>
      <w:r>
        <w:rPr>
          <w:rFonts w:hint="eastAsia" w:ascii="宋体" w:hAnsi="宋体" w:eastAsia="宋体" w:cs="宋体"/>
          <w:bCs/>
          <w:color w:val="000000"/>
          <w:szCs w:val="28"/>
        </w:rPr>
        <w:t>、磋商保证金证明</w:t>
      </w:r>
      <w:r>
        <w:rPr>
          <w:color w:val="000000"/>
        </w:rPr>
        <w:tab/>
      </w:r>
      <w:r>
        <w:rPr>
          <w:color w:val="000000"/>
        </w:rPr>
        <w:fldChar w:fldCharType="begin"/>
      </w:r>
      <w:r>
        <w:rPr>
          <w:color w:val="000000"/>
        </w:rPr>
        <w:instrText xml:space="preserve"> PAGEREF _Toc10891 \h </w:instrText>
      </w:r>
      <w:r>
        <w:rPr>
          <w:color w:val="000000"/>
        </w:rPr>
        <w:fldChar w:fldCharType="separate"/>
      </w:r>
      <w:r>
        <w:rPr>
          <w:color w:val="000000"/>
        </w:rPr>
        <w:t>55</w:t>
      </w:r>
      <w:r>
        <w:rPr>
          <w:color w:val="000000"/>
        </w:rPr>
        <w:fldChar w:fldCharType="end"/>
      </w:r>
      <w:r>
        <w:rPr>
          <w:rFonts w:hint="eastAsia" w:ascii="宋体" w:hAnsi="宋体" w:eastAsia="宋体" w:cs="宋体"/>
          <w:bCs/>
          <w:color w:val="000000"/>
        </w:rPr>
        <w:fldChar w:fldCharType="end"/>
      </w:r>
    </w:p>
    <w:p w14:paraId="17DC759B">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_Toc26905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格式1</w:t>
      </w:r>
      <w:r>
        <w:rPr>
          <w:rFonts w:hint="eastAsia" w:hAnsi="宋体" w:eastAsia="宋体" w:cs="宋体"/>
          <w:color w:val="000000"/>
          <w:lang w:val="en-US" w:eastAsia="zh-CN"/>
        </w:rPr>
        <w:t>2</w:t>
      </w:r>
      <w:r>
        <w:rPr>
          <w:rFonts w:hint="eastAsia" w:ascii="宋体" w:hAnsi="宋体" w:eastAsia="宋体" w:cs="宋体"/>
          <w:color w:val="000000"/>
          <w:lang w:val="zh-CN"/>
        </w:rPr>
        <w:t>、</w:t>
      </w:r>
      <w:r>
        <w:rPr>
          <w:rFonts w:hint="eastAsia" w:ascii="宋体" w:hAnsi="宋体" w:eastAsia="宋体" w:cs="宋体"/>
          <w:color w:val="000000"/>
          <w:szCs w:val="32"/>
        </w:rPr>
        <w:t>竞争性磋商首次报价表</w:t>
      </w:r>
      <w:r>
        <w:rPr>
          <w:color w:val="000000"/>
        </w:rPr>
        <w:tab/>
      </w:r>
      <w:r>
        <w:rPr>
          <w:color w:val="000000"/>
        </w:rPr>
        <w:fldChar w:fldCharType="begin"/>
      </w:r>
      <w:r>
        <w:rPr>
          <w:color w:val="000000"/>
        </w:rPr>
        <w:instrText xml:space="preserve"> PAGEREF _Toc26905 \h </w:instrText>
      </w:r>
      <w:r>
        <w:rPr>
          <w:color w:val="000000"/>
        </w:rPr>
        <w:fldChar w:fldCharType="separate"/>
      </w:r>
      <w:r>
        <w:rPr>
          <w:color w:val="000000"/>
        </w:rPr>
        <w:t>56</w:t>
      </w:r>
      <w:r>
        <w:rPr>
          <w:color w:val="000000"/>
        </w:rPr>
        <w:fldChar w:fldCharType="end"/>
      </w:r>
      <w:r>
        <w:rPr>
          <w:rFonts w:hint="eastAsia" w:ascii="宋体" w:hAnsi="宋体" w:eastAsia="宋体" w:cs="宋体"/>
          <w:bCs/>
          <w:color w:val="000000"/>
        </w:rPr>
        <w:fldChar w:fldCharType="end"/>
      </w:r>
    </w:p>
    <w:p w14:paraId="57ABD299">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_Toc18419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格式1</w:t>
      </w:r>
      <w:r>
        <w:rPr>
          <w:rFonts w:hint="eastAsia" w:hAnsi="宋体" w:eastAsia="宋体" w:cs="宋体"/>
          <w:color w:val="000000"/>
          <w:lang w:val="en-US" w:eastAsia="zh-CN"/>
        </w:rPr>
        <w:t>3</w:t>
      </w:r>
      <w:r>
        <w:rPr>
          <w:rFonts w:hint="eastAsia" w:ascii="宋体" w:hAnsi="宋体" w:eastAsia="宋体" w:cs="宋体"/>
          <w:color w:val="000000"/>
          <w:lang w:val="zh-CN"/>
        </w:rPr>
        <w:t>、磋商服务相关资料</w:t>
      </w:r>
      <w:r>
        <w:rPr>
          <w:color w:val="000000"/>
        </w:rPr>
        <w:tab/>
      </w:r>
      <w:r>
        <w:rPr>
          <w:color w:val="000000"/>
        </w:rPr>
        <w:fldChar w:fldCharType="begin"/>
      </w:r>
      <w:r>
        <w:rPr>
          <w:color w:val="000000"/>
        </w:rPr>
        <w:instrText xml:space="preserve"> PAGEREF _Toc18419 \h </w:instrText>
      </w:r>
      <w:r>
        <w:rPr>
          <w:color w:val="000000"/>
        </w:rPr>
        <w:fldChar w:fldCharType="separate"/>
      </w:r>
      <w:r>
        <w:rPr>
          <w:color w:val="000000"/>
        </w:rPr>
        <w:t>57</w:t>
      </w:r>
      <w:r>
        <w:rPr>
          <w:color w:val="000000"/>
        </w:rPr>
        <w:fldChar w:fldCharType="end"/>
      </w:r>
      <w:r>
        <w:rPr>
          <w:rFonts w:hint="eastAsia" w:ascii="宋体" w:hAnsi="宋体" w:eastAsia="宋体" w:cs="宋体"/>
          <w:bCs/>
          <w:color w:val="000000"/>
        </w:rPr>
        <w:fldChar w:fldCharType="end"/>
      </w:r>
    </w:p>
    <w:p w14:paraId="7C91F71F">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_Toc19591 </w:instrText>
      </w:r>
      <w:r>
        <w:rPr>
          <w:rFonts w:hint="eastAsia" w:ascii="宋体" w:hAnsi="宋体" w:eastAsia="宋体" w:cs="宋体"/>
          <w:bCs/>
          <w:color w:val="000000"/>
        </w:rPr>
        <w:fldChar w:fldCharType="separate"/>
      </w:r>
      <w:r>
        <w:rPr>
          <w:rFonts w:hint="eastAsia" w:ascii="宋体" w:hAnsi="宋体" w:eastAsia="宋体" w:cs="宋体"/>
          <w:color w:val="000000"/>
        </w:rPr>
        <w:t>格式1</w:t>
      </w:r>
      <w:r>
        <w:rPr>
          <w:rFonts w:hint="eastAsia" w:ascii="宋体" w:hAnsi="宋体" w:eastAsia="宋体" w:cs="宋体"/>
          <w:color w:val="000000"/>
          <w:lang w:val="en-US" w:eastAsia="zh-CN"/>
        </w:rPr>
        <w:t>4</w:t>
      </w:r>
      <w:r>
        <w:rPr>
          <w:rFonts w:hint="eastAsia" w:ascii="宋体" w:hAnsi="宋体" w:eastAsia="宋体" w:cs="宋体"/>
          <w:color w:val="000000"/>
        </w:rPr>
        <w:t>、磋商供应商的类似业绩证明材料</w:t>
      </w:r>
      <w:r>
        <w:rPr>
          <w:color w:val="000000"/>
        </w:rPr>
        <w:tab/>
      </w:r>
      <w:r>
        <w:rPr>
          <w:color w:val="000000"/>
        </w:rPr>
        <w:fldChar w:fldCharType="begin"/>
      </w:r>
      <w:r>
        <w:rPr>
          <w:color w:val="000000"/>
        </w:rPr>
        <w:instrText xml:space="preserve"> PAGEREF _Toc19591 \h </w:instrText>
      </w:r>
      <w:r>
        <w:rPr>
          <w:color w:val="000000"/>
        </w:rPr>
        <w:fldChar w:fldCharType="separate"/>
      </w:r>
      <w:r>
        <w:rPr>
          <w:color w:val="000000"/>
        </w:rPr>
        <w:t>58</w:t>
      </w:r>
      <w:r>
        <w:rPr>
          <w:color w:val="000000"/>
        </w:rPr>
        <w:fldChar w:fldCharType="end"/>
      </w:r>
      <w:r>
        <w:rPr>
          <w:rFonts w:hint="eastAsia" w:ascii="宋体" w:hAnsi="宋体" w:eastAsia="宋体" w:cs="宋体"/>
          <w:bCs/>
          <w:color w:val="000000"/>
        </w:rPr>
        <w:fldChar w:fldCharType="end"/>
      </w:r>
    </w:p>
    <w:p w14:paraId="5842E950">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_Toc18770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格式1</w:t>
      </w:r>
      <w:r>
        <w:rPr>
          <w:rFonts w:hint="eastAsia" w:hAnsi="宋体" w:eastAsia="宋体" w:cs="宋体"/>
          <w:color w:val="000000"/>
          <w:lang w:val="en-US" w:eastAsia="zh-CN"/>
        </w:rPr>
        <w:t>5</w:t>
      </w:r>
      <w:r>
        <w:rPr>
          <w:rFonts w:hint="eastAsia" w:ascii="宋体" w:hAnsi="宋体" w:eastAsia="宋体" w:cs="宋体"/>
          <w:color w:val="000000"/>
          <w:lang w:val="zh-CN"/>
        </w:rPr>
        <w:t>、享受政府采购政策优惠的证明资料</w:t>
      </w:r>
      <w:r>
        <w:rPr>
          <w:color w:val="000000"/>
        </w:rPr>
        <w:tab/>
      </w:r>
      <w:r>
        <w:rPr>
          <w:color w:val="000000"/>
        </w:rPr>
        <w:fldChar w:fldCharType="begin"/>
      </w:r>
      <w:r>
        <w:rPr>
          <w:color w:val="000000"/>
        </w:rPr>
        <w:instrText xml:space="preserve"> PAGEREF _Toc18770 \h </w:instrText>
      </w:r>
      <w:r>
        <w:rPr>
          <w:color w:val="000000"/>
        </w:rPr>
        <w:fldChar w:fldCharType="separate"/>
      </w:r>
      <w:r>
        <w:rPr>
          <w:color w:val="000000"/>
        </w:rPr>
        <w:t>59</w:t>
      </w:r>
      <w:r>
        <w:rPr>
          <w:color w:val="000000"/>
        </w:rPr>
        <w:fldChar w:fldCharType="end"/>
      </w:r>
      <w:r>
        <w:rPr>
          <w:rFonts w:hint="eastAsia" w:ascii="宋体" w:hAnsi="宋体" w:eastAsia="宋体" w:cs="宋体"/>
          <w:bCs/>
          <w:color w:val="000000"/>
        </w:rPr>
        <w:fldChar w:fldCharType="end"/>
      </w:r>
    </w:p>
    <w:p w14:paraId="6863B01D">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_Toc10636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格式1</w:t>
      </w:r>
      <w:r>
        <w:rPr>
          <w:rFonts w:hint="eastAsia" w:hAnsi="宋体" w:eastAsia="宋体" w:cs="宋体"/>
          <w:color w:val="000000"/>
          <w:lang w:val="en-US" w:eastAsia="zh-CN"/>
        </w:rPr>
        <w:t>6</w:t>
      </w:r>
      <w:r>
        <w:rPr>
          <w:rFonts w:hint="eastAsia" w:ascii="宋体" w:hAnsi="宋体" w:eastAsia="宋体" w:cs="宋体"/>
          <w:color w:val="000000"/>
          <w:lang w:val="zh-CN"/>
        </w:rPr>
        <w:t>、磋商供应商认为在其他方面有必要说明的事项</w:t>
      </w:r>
      <w:r>
        <w:rPr>
          <w:color w:val="000000"/>
        </w:rPr>
        <w:tab/>
      </w:r>
      <w:r>
        <w:rPr>
          <w:color w:val="000000"/>
        </w:rPr>
        <w:fldChar w:fldCharType="begin"/>
      </w:r>
      <w:r>
        <w:rPr>
          <w:color w:val="000000"/>
        </w:rPr>
        <w:instrText xml:space="preserve"> PAGEREF _Toc10636 \h </w:instrText>
      </w:r>
      <w:r>
        <w:rPr>
          <w:color w:val="000000"/>
        </w:rPr>
        <w:fldChar w:fldCharType="separate"/>
      </w:r>
      <w:r>
        <w:rPr>
          <w:color w:val="000000"/>
        </w:rPr>
        <w:t>62</w:t>
      </w:r>
      <w:r>
        <w:rPr>
          <w:color w:val="000000"/>
        </w:rPr>
        <w:fldChar w:fldCharType="end"/>
      </w:r>
      <w:r>
        <w:rPr>
          <w:rFonts w:hint="eastAsia" w:ascii="宋体" w:hAnsi="宋体" w:eastAsia="宋体" w:cs="宋体"/>
          <w:bCs/>
          <w:color w:val="000000"/>
        </w:rPr>
        <w:fldChar w:fldCharType="end"/>
      </w:r>
    </w:p>
    <w:p w14:paraId="59DB91ED">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_Toc25220 </w:instrText>
      </w:r>
      <w:r>
        <w:rPr>
          <w:rFonts w:hint="eastAsia" w:ascii="宋体" w:hAnsi="宋体" w:eastAsia="宋体" w:cs="宋体"/>
          <w:bCs/>
          <w:color w:val="000000"/>
        </w:rPr>
        <w:fldChar w:fldCharType="separate"/>
      </w:r>
      <w:r>
        <w:rPr>
          <w:rFonts w:hint="eastAsia" w:ascii="宋体" w:hAnsi="宋体" w:eastAsia="宋体" w:cs="宋体"/>
          <w:color w:val="000000"/>
          <w:lang w:val="zh-CN"/>
        </w:rPr>
        <w:t>格式1</w:t>
      </w:r>
      <w:r>
        <w:rPr>
          <w:rFonts w:hint="eastAsia" w:hAnsi="宋体" w:eastAsia="宋体" w:cs="宋体"/>
          <w:color w:val="000000"/>
          <w:lang w:val="en-US" w:eastAsia="zh-CN"/>
        </w:rPr>
        <w:t>7</w:t>
      </w:r>
      <w:r>
        <w:rPr>
          <w:rFonts w:hint="eastAsia" w:ascii="宋体" w:hAnsi="宋体" w:eastAsia="宋体" w:cs="宋体"/>
          <w:color w:val="000000"/>
          <w:lang w:val="zh-CN"/>
        </w:rPr>
        <w:t>、磋商最终报价表</w:t>
      </w:r>
      <w:r>
        <w:rPr>
          <w:rFonts w:hint="eastAsia" w:ascii="宋体" w:hAnsi="宋体" w:eastAsia="宋体" w:cs="宋体"/>
          <w:color w:val="000000"/>
          <w:szCs w:val="36"/>
        </w:rPr>
        <w:t>（单独提交）</w:t>
      </w:r>
      <w:r>
        <w:rPr>
          <w:color w:val="000000"/>
        </w:rPr>
        <w:tab/>
      </w:r>
      <w:r>
        <w:rPr>
          <w:color w:val="000000"/>
        </w:rPr>
        <w:fldChar w:fldCharType="begin"/>
      </w:r>
      <w:r>
        <w:rPr>
          <w:color w:val="000000"/>
        </w:rPr>
        <w:instrText xml:space="preserve"> PAGEREF _Toc25220 \h </w:instrText>
      </w:r>
      <w:r>
        <w:rPr>
          <w:color w:val="000000"/>
        </w:rPr>
        <w:fldChar w:fldCharType="separate"/>
      </w:r>
      <w:r>
        <w:rPr>
          <w:color w:val="000000"/>
        </w:rPr>
        <w:t>63</w:t>
      </w:r>
      <w:r>
        <w:rPr>
          <w:color w:val="000000"/>
        </w:rPr>
        <w:fldChar w:fldCharType="end"/>
      </w:r>
      <w:r>
        <w:rPr>
          <w:rFonts w:hint="eastAsia" w:ascii="宋体" w:hAnsi="宋体" w:eastAsia="宋体" w:cs="宋体"/>
          <w:bCs/>
          <w:color w:val="000000"/>
        </w:rPr>
        <w:fldChar w:fldCharType="end"/>
      </w:r>
    </w:p>
    <w:p w14:paraId="4E1A6B74">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_Toc21081 </w:instrText>
      </w:r>
      <w:r>
        <w:rPr>
          <w:rFonts w:hint="eastAsia" w:ascii="宋体" w:hAnsi="宋体" w:eastAsia="宋体" w:cs="宋体"/>
          <w:bCs/>
          <w:color w:val="000000"/>
        </w:rPr>
        <w:fldChar w:fldCharType="separate"/>
      </w:r>
      <w:r>
        <w:rPr>
          <w:rFonts w:hint="eastAsia" w:ascii="宋体" w:hAnsi="宋体" w:eastAsia="宋体" w:cs="宋体"/>
          <w:color w:val="000000"/>
        </w:rPr>
        <w:t>第六部分  采购项目要求及内容</w:t>
      </w:r>
      <w:r>
        <w:rPr>
          <w:color w:val="000000"/>
        </w:rPr>
        <w:tab/>
      </w:r>
      <w:r>
        <w:rPr>
          <w:color w:val="000000"/>
        </w:rPr>
        <w:fldChar w:fldCharType="begin"/>
      </w:r>
      <w:r>
        <w:rPr>
          <w:color w:val="000000"/>
        </w:rPr>
        <w:instrText xml:space="preserve"> PAGEREF _Toc21081 \h </w:instrText>
      </w:r>
      <w:r>
        <w:rPr>
          <w:color w:val="000000"/>
        </w:rPr>
        <w:fldChar w:fldCharType="separate"/>
      </w:r>
      <w:r>
        <w:rPr>
          <w:color w:val="000000"/>
        </w:rPr>
        <w:t>64</w:t>
      </w:r>
      <w:r>
        <w:rPr>
          <w:color w:val="000000"/>
        </w:rPr>
        <w:fldChar w:fldCharType="end"/>
      </w:r>
      <w:r>
        <w:rPr>
          <w:rFonts w:hint="eastAsia" w:ascii="宋体" w:hAnsi="宋体" w:eastAsia="宋体" w:cs="宋体"/>
          <w:bCs/>
          <w:color w:val="000000"/>
        </w:rPr>
        <w:fldChar w:fldCharType="end"/>
      </w:r>
    </w:p>
    <w:p w14:paraId="1291BAE9">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_Toc31634 </w:instrText>
      </w:r>
      <w:r>
        <w:rPr>
          <w:rFonts w:hint="eastAsia" w:ascii="宋体" w:hAnsi="宋体" w:eastAsia="宋体" w:cs="宋体"/>
          <w:bCs/>
          <w:color w:val="000000"/>
        </w:rPr>
        <w:fldChar w:fldCharType="separate"/>
      </w:r>
      <w:r>
        <w:rPr>
          <w:rFonts w:hint="eastAsia" w:ascii="宋体" w:hAnsi="宋体" w:eastAsia="宋体" w:cs="宋体"/>
          <w:bCs/>
          <w:color w:val="000000"/>
          <w:kern w:val="0"/>
          <w:szCs w:val="32"/>
        </w:rPr>
        <w:t>一、磋商要求</w:t>
      </w:r>
      <w:r>
        <w:rPr>
          <w:color w:val="000000"/>
        </w:rPr>
        <w:tab/>
      </w:r>
      <w:r>
        <w:rPr>
          <w:color w:val="000000"/>
        </w:rPr>
        <w:fldChar w:fldCharType="begin"/>
      </w:r>
      <w:r>
        <w:rPr>
          <w:color w:val="000000"/>
        </w:rPr>
        <w:instrText xml:space="preserve"> PAGEREF _Toc31634 \h </w:instrText>
      </w:r>
      <w:r>
        <w:rPr>
          <w:color w:val="000000"/>
        </w:rPr>
        <w:fldChar w:fldCharType="separate"/>
      </w:r>
      <w:r>
        <w:rPr>
          <w:color w:val="000000"/>
        </w:rPr>
        <w:t>64</w:t>
      </w:r>
      <w:r>
        <w:rPr>
          <w:color w:val="000000"/>
        </w:rPr>
        <w:fldChar w:fldCharType="end"/>
      </w:r>
      <w:r>
        <w:rPr>
          <w:rFonts w:hint="eastAsia" w:ascii="宋体" w:hAnsi="宋体" w:eastAsia="宋体" w:cs="宋体"/>
          <w:bCs/>
          <w:color w:val="000000"/>
        </w:rPr>
        <w:fldChar w:fldCharType="end"/>
      </w:r>
    </w:p>
    <w:p w14:paraId="750B9C41">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_Toc31472 </w:instrText>
      </w:r>
      <w:r>
        <w:rPr>
          <w:rFonts w:hint="eastAsia" w:ascii="宋体" w:hAnsi="宋体" w:eastAsia="宋体" w:cs="宋体"/>
          <w:bCs/>
          <w:color w:val="000000"/>
        </w:rPr>
        <w:fldChar w:fldCharType="separate"/>
      </w:r>
      <w:r>
        <w:rPr>
          <w:rFonts w:hint="eastAsia" w:ascii="宋体" w:hAnsi="宋体" w:eastAsia="宋体" w:cs="宋体"/>
          <w:color w:val="000000"/>
        </w:rPr>
        <w:t>1.磋商说明</w:t>
      </w:r>
      <w:r>
        <w:rPr>
          <w:color w:val="000000"/>
        </w:rPr>
        <w:tab/>
      </w:r>
      <w:r>
        <w:rPr>
          <w:color w:val="000000"/>
        </w:rPr>
        <w:fldChar w:fldCharType="begin"/>
      </w:r>
      <w:r>
        <w:rPr>
          <w:color w:val="000000"/>
        </w:rPr>
        <w:instrText xml:space="preserve"> PAGEREF _Toc31472 \h </w:instrText>
      </w:r>
      <w:r>
        <w:rPr>
          <w:color w:val="000000"/>
        </w:rPr>
        <w:fldChar w:fldCharType="separate"/>
      </w:r>
      <w:r>
        <w:rPr>
          <w:color w:val="000000"/>
        </w:rPr>
        <w:t>64</w:t>
      </w:r>
      <w:r>
        <w:rPr>
          <w:color w:val="000000"/>
        </w:rPr>
        <w:fldChar w:fldCharType="end"/>
      </w:r>
      <w:r>
        <w:rPr>
          <w:rFonts w:hint="eastAsia" w:ascii="宋体" w:hAnsi="宋体" w:eastAsia="宋体" w:cs="宋体"/>
          <w:bCs/>
          <w:color w:val="000000"/>
        </w:rPr>
        <w:fldChar w:fldCharType="end"/>
      </w:r>
    </w:p>
    <w:p w14:paraId="40E21EC0">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_Toc7210 </w:instrText>
      </w:r>
      <w:r>
        <w:rPr>
          <w:rFonts w:hint="eastAsia" w:ascii="宋体" w:hAnsi="宋体" w:eastAsia="宋体" w:cs="宋体"/>
          <w:bCs/>
          <w:color w:val="000000"/>
        </w:rPr>
        <w:fldChar w:fldCharType="separate"/>
      </w:r>
      <w:r>
        <w:rPr>
          <w:rFonts w:hint="eastAsia" w:ascii="宋体" w:hAnsi="宋体" w:eastAsia="宋体" w:cs="宋体"/>
          <w:color w:val="000000"/>
        </w:rPr>
        <w:t>2.报价说明</w:t>
      </w:r>
      <w:r>
        <w:rPr>
          <w:color w:val="000000"/>
        </w:rPr>
        <w:tab/>
      </w:r>
      <w:r>
        <w:rPr>
          <w:color w:val="000000"/>
        </w:rPr>
        <w:fldChar w:fldCharType="begin"/>
      </w:r>
      <w:r>
        <w:rPr>
          <w:color w:val="000000"/>
        </w:rPr>
        <w:instrText xml:space="preserve"> PAGEREF _Toc7210 \h </w:instrText>
      </w:r>
      <w:r>
        <w:rPr>
          <w:color w:val="000000"/>
        </w:rPr>
        <w:fldChar w:fldCharType="separate"/>
      </w:r>
      <w:r>
        <w:rPr>
          <w:color w:val="000000"/>
        </w:rPr>
        <w:t>64</w:t>
      </w:r>
      <w:r>
        <w:rPr>
          <w:color w:val="000000"/>
        </w:rPr>
        <w:fldChar w:fldCharType="end"/>
      </w:r>
      <w:r>
        <w:rPr>
          <w:rFonts w:hint="eastAsia" w:ascii="宋体" w:hAnsi="宋体" w:eastAsia="宋体" w:cs="宋体"/>
          <w:bCs/>
          <w:color w:val="000000"/>
        </w:rPr>
        <w:fldChar w:fldCharType="end"/>
      </w:r>
    </w:p>
    <w:p w14:paraId="1F83D8C7">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_Toc26928 </w:instrText>
      </w:r>
      <w:r>
        <w:rPr>
          <w:rFonts w:hint="eastAsia" w:ascii="宋体" w:hAnsi="宋体" w:eastAsia="宋体" w:cs="宋体"/>
          <w:bCs/>
          <w:color w:val="000000"/>
        </w:rPr>
        <w:fldChar w:fldCharType="separate"/>
      </w:r>
      <w:r>
        <w:rPr>
          <w:rFonts w:hint="eastAsia" w:ascii="宋体" w:hAnsi="宋体" w:eastAsia="宋体" w:cs="宋体"/>
          <w:color w:val="000000"/>
        </w:rPr>
        <w:t>3.商务要求</w:t>
      </w:r>
      <w:r>
        <w:rPr>
          <w:color w:val="000000"/>
        </w:rPr>
        <w:tab/>
      </w:r>
      <w:r>
        <w:rPr>
          <w:color w:val="000000"/>
        </w:rPr>
        <w:fldChar w:fldCharType="begin"/>
      </w:r>
      <w:r>
        <w:rPr>
          <w:color w:val="000000"/>
        </w:rPr>
        <w:instrText xml:space="preserve"> PAGEREF _Toc26928 \h </w:instrText>
      </w:r>
      <w:r>
        <w:rPr>
          <w:color w:val="000000"/>
        </w:rPr>
        <w:fldChar w:fldCharType="separate"/>
      </w:r>
      <w:r>
        <w:rPr>
          <w:color w:val="000000"/>
        </w:rPr>
        <w:t>64</w:t>
      </w:r>
      <w:r>
        <w:rPr>
          <w:color w:val="000000"/>
        </w:rPr>
        <w:fldChar w:fldCharType="end"/>
      </w:r>
      <w:r>
        <w:rPr>
          <w:rFonts w:hint="eastAsia" w:ascii="宋体" w:hAnsi="宋体" w:eastAsia="宋体" w:cs="宋体"/>
          <w:bCs/>
          <w:color w:val="000000"/>
        </w:rPr>
        <w:fldChar w:fldCharType="end"/>
      </w:r>
    </w:p>
    <w:p w14:paraId="5C8EA501">
      <w:pPr>
        <w:pStyle w:val="23"/>
        <w:tabs>
          <w:tab w:val="right" w:leader="dot" w:pos="8618"/>
          <w:tab w:val="clear" w:pos="8296"/>
        </w:tabs>
        <w:rPr>
          <w:color w:val="000000"/>
        </w:rPr>
      </w:pP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\l _Toc1007 </w:instrText>
      </w:r>
      <w:r>
        <w:rPr>
          <w:rFonts w:hint="eastAsia" w:ascii="宋体" w:hAnsi="宋体" w:eastAsia="宋体" w:cs="宋体"/>
          <w:bCs/>
          <w:color w:val="000000"/>
        </w:rPr>
        <w:fldChar w:fldCharType="separate"/>
      </w:r>
      <w:r>
        <w:rPr>
          <w:rFonts w:hint="eastAsia" w:ascii="宋体" w:hAnsi="宋体" w:eastAsia="宋体" w:cs="宋体"/>
          <w:bCs/>
          <w:color w:val="000000"/>
          <w:kern w:val="0"/>
          <w:szCs w:val="32"/>
        </w:rPr>
        <w:t>二、服务内容及要求</w:t>
      </w:r>
      <w:r>
        <w:rPr>
          <w:color w:val="000000"/>
        </w:rPr>
        <w:tab/>
      </w:r>
      <w:r>
        <w:rPr>
          <w:color w:val="000000"/>
        </w:rPr>
        <w:fldChar w:fldCharType="begin"/>
      </w:r>
      <w:r>
        <w:rPr>
          <w:color w:val="000000"/>
        </w:rPr>
        <w:instrText xml:space="preserve"> PAGEREF _Toc1007 \h </w:instrText>
      </w:r>
      <w:r>
        <w:rPr>
          <w:color w:val="000000"/>
        </w:rPr>
        <w:fldChar w:fldCharType="separate"/>
      </w:r>
      <w:r>
        <w:rPr>
          <w:color w:val="000000"/>
        </w:rPr>
        <w:t>64</w:t>
      </w:r>
      <w:r>
        <w:rPr>
          <w:color w:val="000000"/>
        </w:rPr>
        <w:fldChar w:fldCharType="end"/>
      </w:r>
      <w:r>
        <w:rPr>
          <w:rFonts w:hint="eastAsia" w:ascii="宋体" w:hAnsi="宋体" w:eastAsia="宋体" w:cs="宋体"/>
          <w:bCs/>
          <w:color w:val="000000"/>
        </w:rPr>
        <w:fldChar w:fldCharType="end"/>
      </w:r>
    </w:p>
    <w:p w14:paraId="2D589B3A">
      <w:pPr>
        <w:pStyle w:val="23"/>
        <w:spacing w:line="276" w:lineRule="auto"/>
        <w:jc w:val="center"/>
        <w:rPr>
          <w:rFonts w:hint="eastAsia" w:ascii="宋体" w:hAnsi="宋体" w:eastAsia="宋体" w:cs="宋体"/>
          <w:bCs/>
          <w:color w:val="000000"/>
          <w:sz w:val="24"/>
        </w:rPr>
      </w:pPr>
      <w:r>
        <w:rPr>
          <w:rFonts w:hint="eastAsia" w:ascii="宋体" w:hAnsi="宋体" w:eastAsia="宋体" w:cs="宋体"/>
          <w:bCs/>
          <w:color w:val="000000"/>
        </w:rPr>
        <w:fldChar w:fldCharType="end"/>
      </w:r>
    </w:p>
    <w:p w14:paraId="2A08B96D">
      <w:pPr>
        <w:pStyle w:val="24"/>
        <w:spacing w:before="0" w:after="0" w:line="360" w:lineRule="auto"/>
        <w:rPr>
          <w:rFonts w:hint="eastAsia" w:ascii="宋体" w:hAnsi="宋体" w:eastAsia="宋体" w:cs="宋体"/>
          <w:color w:val="000000"/>
          <w:sz w:val="48"/>
        </w:rPr>
      </w:pPr>
      <w:bookmarkStart w:id="3" w:name="_Toc444715732"/>
      <w:r>
        <w:rPr>
          <w:rFonts w:hint="eastAsia" w:ascii="宋体" w:hAnsi="宋体" w:eastAsia="宋体" w:cs="宋体"/>
          <w:color w:val="000000"/>
          <w:sz w:val="48"/>
        </w:rPr>
        <w:br w:type="page"/>
      </w:r>
      <w:bookmarkStart w:id="4" w:name="_Toc31252"/>
      <w:r>
        <w:rPr>
          <w:rFonts w:hint="eastAsia" w:ascii="宋体" w:hAnsi="宋体" w:eastAsia="宋体" w:cs="宋体"/>
          <w:color w:val="000000"/>
          <w:sz w:val="48"/>
        </w:rPr>
        <w:t>第一部分  磋商邀请</w:t>
      </w:r>
      <w:bookmarkEnd w:id="3"/>
      <w:bookmarkEnd w:id="4"/>
    </w:p>
    <w:p w14:paraId="353682AF">
      <w:pPr>
        <w:spacing w:line="360" w:lineRule="auto"/>
        <w:ind w:firstLine="600" w:firstLineChars="250"/>
        <w:rPr>
          <w:rFonts w:hint="eastAsia" w:ascii="宋体" w:hAnsi="宋体" w:eastAsia="宋体" w:cs="宋体"/>
          <w:color w:val="000000"/>
          <w:sz w:val="24"/>
          <w:lang w:val="zh-CN"/>
        </w:rPr>
      </w:pPr>
      <w:r>
        <w:rPr>
          <w:rFonts w:hint="eastAsia" w:ascii="宋体" w:hAnsi="宋体" w:eastAsia="宋体" w:cs="宋体"/>
          <w:color w:val="000000"/>
          <w:sz w:val="24"/>
          <w:lang w:val="zh-CN"/>
        </w:rPr>
        <w:t>青海国焱工程项目管理有限公司（以下均简称“采购代理机构”）受</w:t>
      </w:r>
      <w:r>
        <w:rPr>
          <w:rFonts w:hint="eastAsia" w:ascii="宋体" w:hAnsi="宋体" w:eastAsia="宋体" w:cs="宋体"/>
          <w:color w:val="000000"/>
          <w:sz w:val="24"/>
          <w:lang w:eastAsia="zh-CN"/>
        </w:rPr>
        <w:t>青海民族大学</w:t>
      </w:r>
      <w:r>
        <w:rPr>
          <w:rFonts w:hint="eastAsia" w:ascii="宋体" w:hAnsi="宋体" w:eastAsia="宋体" w:cs="宋体"/>
          <w:color w:val="000000"/>
          <w:sz w:val="24"/>
          <w:lang w:val="zh-CN"/>
        </w:rPr>
        <w:t>（以下均简称“采购单位”）委托</w:t>
      </w:r>
      <w:r>
        <w:rPr>
          <w:rFonts w:hint="eastAsia" w:ascii="宋体" w:hAnsi="宋体" w:eastAsia="宋体" w:cs="宋体"/>
          <w:color w:val="000000"/>
          <w:sz w:val="24"/>
        </w:rPr>
        <w:t>，拟对</w:t>
      </w:r>
      <w:r>
        <w:rPr>
          <w:rFonts w:hint="eastAsia" w:ascii="宋体" w:hAnsi="宋体" w:eastAsia="宋体" w:cs="宋体"/>
          <w:color w:val="000000"/>
          <w:kern w:val="0"/>
          <w:sz w:val="24"/>
          <w:lang w:eastAsia="zh-CN"/>
        </w:rPr>
        <w:t>青海民族大学2025年度在建工程竣工决算项目评审</w:t>
      </w:r>
      <w:r>
        <w:rPr>
          <w:rFonts w:hint="eastAsia" w:ascii="宋体" w:hAnsi="宋体" w:eastAsia="宋体" w:cs="宋体"/>
          <w:color w:val="000000"/>
          <w:sz w:val="24"/>
        </w:rPr>
        <w:t>（采购项目编号：</w:t>
      </w:r>
      <w:r>
        <w:rPr>
          <w:rFonts w:hint="eastAsia" w:ascii="宋体" w:hAnsi="宋体" w:eastAsia="宋体" w:cs="宋体"/>
          <w:color w:val="000000"/>
          <w:sz w:val="24"/>
          <w:lang w:eastAsia="zh-CN"/>
        </w:rPr>
        <w:t>青海国焱竞磋（服务）2025-267号</w:t>
      </w:r>
      <w:r>
        <w:rPr>
          <w:rFonts w:hint="eastAsia" w:ascii="宋体" w:hAnsi="宋体" w:eastAsia="宋体" w:cs="宋体"/>
          <w:color w:val="000000"/>
          <w:sz w:val="24"/>
        </w:rPr>
        <w:t>）进行国内竞争性磋商采购，现予以公告，欢迎潜在的磋商供应商参加本次采购活动</w:t>
      </w:r>
      <w:r>
        <w:rPr>
          <w:rFonts w:hint="eastAsia" w:ascii="宋体" w:hAnsi="宋体" w:eastAsia="宋体" w:cs="宋体"/>
          <w:color w:val="000000"/>
          <w:sz w:val="24"/>
          <w:lang w:val="zh-CN"/>
        </w:rPr>
        <w:t>。</w:t>
      </w:r>
    </w:p>
    <w:tbl>
      <w:tblPr>
        <w:tblStyle w:val="34"/>
        <w:tblW w:w="9669"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2369"/>
        <w:gridCol w:w="7300"/>
      </w:tblGrid>
      <w:tr w14:paraId="54FAD6B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A119265">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采购项目编号</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64F161E6">
            <w:pPr>
              <w:pStyle w:val="68"/>
              <w:spacing w:line="360" w:lineRule="auto"/>
              <w:rPr>
                <w:rFonts w:hint="eastAsia" w:ascii="宋体" w:hAnsi="宋体" w:eastAsia="宋体" w:cs="宋体"/>
                <w:bCs/>
                <w:color w:val="000000"/>
                <w:sz w:val="24"/>
                <w:lang w:eastAsia="zh-CN"/>
              </w:rPr>
            </w:pPr>
            <w:bookmarkStart w:id="5" w:name="OLE_LINK12"/>
            <w:r>
              <w:rPr>
                <w:rFonts w:hint="eastAsia" w:ascii="宋体" w:hAnsi="宋体" w:eastAsia="宋体" w:cs="宋体"/>
                <w:color w:val="000000"/>
                <w:sz w:val="24"/>
                <w:lang w:eastAsia="zh-CN"/>
              </w:rPr>
              <w:t>青海国焱竞磋（服务）2025-267号</w:t>
            </w:r>
            <w:bookmarkEnd w:id="5"/>
          </w:p>
        </w:tc>
      </w:tr>
      <w:tr w14:paraId="417DE9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15917C7">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采购项目名称</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2907B72">
            <w:pPr>
              <w:spacing w:line="360" w:lineRule="auto"/>
              <w:rPr>
                <w:rFonts w:hint="eastAsia" w:ascii="宋体" w:hAnsi="宋体" w:eastAsia="宋体" w:cs="宋体"/>
                <w:color w:val="000000"/>
                <w:lang w:eastAsia="zh-CN"/>
              </w:rPr>
            </w:pPr>
            <w:bookmarkStart w:id="6" w:name="OLE_LINK13"/>
            <w:r>
              <w:rPr>
                <w:rFonts w:hint="eastAsia" w:ascii="宋体" w:hAnsi="宋体" w:eastAsia="宋体" w:cs="宋体"/>
                <w:color w:val="000000"/>
                <w:kern w:val="0"/>
                <w:sz w:val="24"/>
                <w:lang w:eastAsia="zh-CN"/>
              </w:rPr>
              <w:t>青海民族大学2025年度在建工程竣工决算项目评审</w:t>
            </w:r>
            <w:bookmarkEnd w:id="6"/>
          </w:p>
        </w:tc>
      </w:tr>
      <w:tr w14:paraId="3D1BEEE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99" w:hRule="atLeast"/>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601DE1A3">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采购方式</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3536967D">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竞争性磋商</w:t>
            </w:r>
          </w:p>
        </w:tc>
      </w:tr>
      <w:tr w14:paraId="7E1562A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7F69F951">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采购预算控制额度</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4611DF27">
            <w:pPr>
              <w:pStyle w:val="68"/>
              <w:spacing w:line="360" w:lineRule="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人民币32.96万</w:t>
            </w:r>
            <w:r>
              <w:rPr>
                <w:rFonts w:hint="eastAsia" w:ascii="宋体" w:hAnsi="宋体" w:eastAsia="宋体" w:cs="宋体"/>
                <w:color w:val="000000"/>
                <w:kern w:val="0"/>
                <w:sz w:val="24"/>
                <w:lang w:val="en-US" w:eastAsia="zh-CN"/>
              </w:rPr>
              <w:t>元</w:t>
            </w:r>
          </w:p>
        </w:tc>
      </w:tr>
      <w:tr w14:paraId="2458AF8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F02BE63">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项目分包个数</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55E08AE">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无</w:t>
            </w:r>
          </w:p>
        </w:tc>
      </w:tr>
      <w:tr w14:paraId="110811B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46" w:hRule="atLeast"/>
          <w:jc w:val="center"/>
        </w:trPr>
        <w:tc>
          <w:tcPr>
            <w:tcW w:w="2369" w:type="dxa"/>
            <w:tcBorders>
              <w:top w:val="outset" w:color="000000" w:sz="6" w:space="0"/>
              <w:left w:val="outset" w:color="000000" w:sz="6" w:space="0"/>
              <w:right w:val="outset" w:color="000000" w:sz="6" w:space="0"/>
            </w:tcBorders>
            <w:noWrap w:val="0"/>
            <w:vAlign w:val="center"/>
          </w:tcPr>
          <w:p w14:paraId="239D8FD2">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项目要求</w:t>
            </w:r>
          </w:p>
        </w:tc>
        <w:tc>
          <w:tcPr>
            <w:tcW w:w="7300" w:type="dxa"/>
            <w:tcBorders>
              <w:top w:val="outset" w:color="000000" w:sz="6" w:space="0"/>
              <w:left w:val="outset" w:color="000000" w:sz="6" w:space="0"/>
              <w:right w:val="outset" w:color="000000" w:sz="6" w:space="0"/>
            </w:tcBorders>
            <w:noWrap w:val="0"/>
            <w:vAlign w:val="center"/>
          </w:tcPr>
          <w:p w14:paraId="59A4685D">
            <w:pPr>
              <w:pStyle w:val="68"/>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青海民族大学2025年度在建工程竣工决算项目评审</w:t>
            </w:r>
          </w:p>
          <w:p w14:paraId="0BE365D8">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具体内容详见《磋商文件》</w:t>
            </w:r>
          </w:p>
        </w:tc>
      </w:tr>
      <w:tr w14:paraId="4F57997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3D0FA9D1">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sz w:val="24"/>
              </w:rPr>
              <w:t>磋商供应商</w:t>
            </w:r>
            <w:r>
              <w:rPr>
                <w:rFonts w:hint="eastAsia" w:ascii="宋体" w:hAnsi="宋体" w:eastAsia="宋体" w:cs="宋体"/>
                <w:color w:val="000000"/>
                <w:kern w:val="0"/>
                <w:sz w:val="24"/>
              </w:rPr>
              <w:t>资格条件</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31B48224">
            <w:pPr>
              <w:pStyle w:val="96"/>
              <w:numPr>
                <w:ilvl w:val="0"/>
                <w:numId w:val="2"/>
              </w:num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符合以下条件，并提供下列材料：</w:t>
            </w:r>
          </w:p>
          <w:p w14:paraId="616F748C">
            <w:pPr>
              <w:pStyle w:val="96"/>
              <w:numPr>
                <w:ilvl w:val="0"/>
                <w:numId w:val="0"/>
              </w:num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&lt;1&gt;磋商供应商的营业执照等证明文件，自然人的身份证明。</w:t>
            </w:r>
          </w:p>
          <w:p w14:paraId="186D8439">
            <w:pPr>
              <w:pStyle w:val="96"/>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&lt;2&gt;财务状况报告，依法缴纳税收和社会保障资金的相关材料。</w:t>
            </w:r>
          </w:p>
          <w:p w14:paraId="6116FC09">
            <w:pPr>
              <w:pStyle w:val="96"/>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&lt;3&gt;具备履行合同所必需的设备和专业技术能力的证明材料。</w:t>
            </w:r>
          </w:p>
          <w:p w14:paraId="06CC4D0E">
            <w:pPr>
              <w:pStyle w:val="96"/>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&lt;4&gt;参加采购活动前3年内在经营活动中没有重大违法记录的书面声明。</w:t>
            </w:r>
          </w:p>
          <w:p w14:paraId="753EE17F">
            <w:pPr>
              <w:pStyle w:val="96"/>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&lt;5&gt;具备法律、行政法规规定的其他条件的证明材料。</w:t>
            </w:r>
          </w:p>
          <w:p w14:paraId="0EF3977C">
            <w:pPr>
              <w:pStyle w:val="96"/>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2.单位负责人为同一人或者存在直接控股、管理关系的不同磋商供应商，不得参加同一合同项下的采购活动。否则，皆取消磋商资格。</w:t>
            </w:r>
          </w:p>
          <w:p w14:paraId="3276AC2E">
            <w:pPr>
              <w:pStyle w:val="96"/>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3.经信用中国（www.creditchina.gov.cn）、中国政府采购网（www.ccgp.gov.cn）等渠道查询后，列入失信被执行人、</w:t>
            </w:r>
            <w:r>
              <w:rPr>
                <w:rFonts w:hint="eastAsia" w:ascii="宋体" w:hAnsi="宋体" w:eastAsia="宋体" w:cs="宋体"/>
                <w:color w:val="000000"/>
                <w:sz w:val="24"/>
                <w:lang w:val="en-US" w:eastAsia="zh-CN"/>
              </w:rPr>
              <w:t>重大</w:t>
            </w:r>
            <w:r>
              <w:rPr>
                <w:rFonts w:hint="eastAsia" w:ascii="宋体" w:hAnsi="宋体" w:eastAsia="宋体" w:cs="宋体"/>
                <w:color w:val="000000"/>
                <w:sz w:val="24"/>
                <w:lang w:val="zh-CN"/>
              </w:rPr>
              <w:t>税收违法</w:t>
            </w:r>
            <w:r>
              <w:rPr>
                <w:rFonts w:hint="eastAsia" w:ascii="宋体" w:hAnsi="宋体" w:eastAsia="宋体" w:cs="宋体"/>
                <w:color w:val="000000"/>
                <w:sz w:val="24"/>
                <w:lang w:val="en-US" w:eastAsia="zh-CN"/>
              </w:rPr>
              <w:t>失信主体</w:t>
            </w:r>
            <w:r>
              <w:rPr>
                <w:rFonts w:hint="eastAsia" w:ascii="宋体" w:hAnsi="宋体" w:eastAsia="宋体" w:cs="宋体"/>
                <w:color w:val="000000"/>
                <w:sz w:val="24"/>
                <w:lang w:val="zh-CN"/>
              </w:rPr>
              <w:t xml:space="preserve">、政府采购严重违法失信行为记录名单的，取消磋商资格(提供“信用中国”网站的查询截图)。                                                                                                                     </w:t>
            </w:r>
          </w:p>
          <w:p w14:paraId="1672BEA1">
            <w:pPr>
              <w:pStyle w:val="96"/>
              <w:spacing w:line="360" w:lineRule="auto"/>
              <w:rPr>
                <w:rFonts w:hint="eastAsia" w:ascii="宋体" w:hAnsi="宋体"/>
                <w:color w:val="000000"/>
                <w:sz w:val="24"/>
                <w:lang w:val="zh-CN"/>
              </w:rPr>
            </w:pPr>
            <w:r>
              <w:rPr>
                <w:rFonts w:hint="eastAsia" w:ascii="宋体" w:hAnsi="宋体"/>
                <w:color w:val="000000"/>
                <w:sz w:val="24"/>
                <w:lang w:val="zh-CN"/>
              </w:rPr>
              <w:t>4.本项目</w:t>
            </w:r>
            <w:r>
              <w:rPr>
                <w:rFonts w:hint="eastAsia" w:ascii="宋体" w:hAnsi="宋体"/>
                <w:color w:val="000000"/>
                <w:sz w:val="24"/>
                <w:lang w:val="en-US" w:eastAsia="zh-CN"/>
              </w:rPr>
              <w:t>不</w:t>
            </w:r>
            <w:r>
              <w:rPr>
                <w:rFonts w:hint="eastAsia" w:ascii="宋体" w:hAnsi="宋体"/>
                <w:color w:val="000000"/>
                <w:sz w:val="24"/>
                <w:lang w:val="zh-CN"/>
              </w:rPr>
              <w:t>接受磋商供应商以联合体方式进行磋商；</w:t>
            </w:r>
          </w:p>
          <w:p w14:paraId="1CF475D7">
            <w:pPr>
              <w:pStyle w:val="96"/>
              <w:spacing w:line="360" w:lineRule="auto"/>
              <w:rPr>
                <w:rFonts w:hint="default" w:ascii="宋体" w:hAnsi="宋体" w:eastAsia="宋体"/>
                <w:color w:val="000000"/>
                <w:sz w:val="24"/>
                <w:lang w:val="en-US" w:eastAsia="zh-CN"/>
              </w:rPr>
            </w:pPr>
            <w:r>
              <w:rPr>
                <w:rFonts w:hint="eastAsia" w:ascii="宋体" w:hAnsi="宋体"/>
                <w:color w:val="000000"/>
                <w:sz w:val="24"/>
                <w:lang w:val="en-US" w:eastAsia="zh-CN"/>
              </w:rPr>
              <w:t>5.</w:t>
            </w:r>
            <w:bookmarkStart w:id="7" w:name="OLE_LINK9"/>
            <w:r>
              <w:rPr>
                <w:rFonts w:hint="eastAsia" w:ascii="宋体" w:hAnsi="宋体"/>
                <w:color w:val="000000"/>
                <w:sz w:val="24"/>
                <w:lang w:val="en-US" w:eastAsia="zh-CN"/>
              </w:rPr>
              <w:t>供应商须具备有效的《会计师事务所执业证书》</w:t>
            </w:r>
            <w:bookmarkEnd w:id="7"/>
            <w:r>
              <w:rPr>
                <w:rFonts w:hint="eastAsia" w:ascii="宋体" w:hAnsi="宋体"/>
                <w:color w:val="000000"/>
                <w:sz w:val="24"/>
                <w:lang w:val="en-US" w:eastAsia="zh-CN"/>
              </w:rPr>
              <w:t>。</w:t>
            </w:r>
          </w:p>
        </w:tc>
      </w:tr>
      <w:tr w14:paraId="1415F38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3FB5BD56">
            <w:pPr>
              <w:pStyle w:val="68"/>
              <w:spacing w:line="360" w:lineRule="auto"/>
              <w:jc w:val="left"/>
              <w:rPr>
                <w:rFonts w:hint="eastAsia" w:ascii="宋体" w:hAnsi="宋体" w:eastAsia="宋体" w:cs="宋体"/>
                <w:color w:val="000000"/>
                <w:sz w:val="24"/>
                <w:lang w:val="zh-CN"/>
              </w:rPr>
            </w:pPr>
            <w:r>
              <w:rPr>
                <w:rFonts w:hint="eastAsia" w:ascii="宋体" w:hAnsi="宋体" w:eastAsia="宋体" w:cs="宋体"/>
                <w:color w:val="000000"/>
                <w:sz w:val="24"/>
                <w:lang w:val="zh-CN"/>
              </w:rPr>
              <w:t>公告发布时间</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5495DAC">
            <w:pPr>
              <w:pStyle w:val="112"/>
              <w:rPr>
                <w:rFonts w:hint="eastAsia" w:ascii="宋体" w:hAnsi="宋体" w:eastAsia="宋体" w:cs="宋体"/>
                <w:color w:val="000000"/>
                <w:sz w:val="24"/>
                <w:lang w:val="zh-CN"/>
              </w:rPr>
            </w:pPr>
            <w:r>
              <w:rPr>
                <w:rFonts w:hint="eastAsia" w:ascii="宋体" w:hAnsi="宋体" w:eastAsia="宋体" w:cs="宋体"/>
                <w:color w:val="000000"/>
                <w:sz w:val="24"/>
                <w:lang w:val="zh-CN"/>
              </w:rPr>
              <w:t>2025年07月14日</w:t>
            </w:r>
          </w:p>
        </w:tc>
      </w:tr>
      <w:tr w14:paraId="2891999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cantSplit/>
          <w:trHeight w:val="617" w:hRule="atLeast"/>
          <w:jc w:val="center"/>
        </w:trPr>
        <w:tc>
          <w:tcPr>
            <w:tcW w:w="2369" w:type="dxa"/>
            <w:tcBorders>
              <w:top w:val="outset" w:color="000000" w:sz="6" w:space="0"/>
              <w:left w:val="outset" w:color="000000" w:sz="6" w:space="0"/>
              <w:bottom w:val="outset" w:color="000000" w:sz="6" w:space="0"/>
              <w:right w:val="outset" w:color="000000" w:sz="6" w:space="0"/>
            </w:tcBorders>
            <w:noWrap w:val="0"/>
            <w:vAlign w:val="top"/>
          </w:tcPr>
          <w:p w14:paraId="7C759363">
            <w:pPr>
              <w:pStyle w:val="68"/>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磋商文件发售起止时间</w:t>
            </w:r>
          </w:p>
        </w:tc>
        <w:tc>
          <w:tcPr>
            <w:tcW w:w="7300" w:type="dxa"/>
            <w:tcBorders>
              <w:top w:val="outset" w:color="000000" w:sz="6" w:space="0"/>
              <w:left w:val="outset" w:color="000000" w:sz="6" w:space="0"/>
              <w:bottom w:val="outset" w:color="000000" w:sz="6" w:space="0"/>
              <w:right w:val="outset" w:color="000000" w:sz="6" w:space="0"/>
            </w:tcBorders>
            <w:noWrap w:val="0"/>
            <w:vAlign w:val="top"/>
          </w:tcPr>
          <w:p w14:paraId="712537BE">
            <w:pPr>
              <w:pStyle w:val="112"/>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自202</w:t>
            </w:r>
            <w:r>
              <w:rPr>
                <w:rFonts w:hint="eastAsia" w:ascii="宋体" w:hAnsi="宋体" w:eastAsia="宋体" w:cs="宋体"/>
                <w:color w:val="000000"/>
                <w:sz w:val="24"/>
                <w:lang w:val="en-US" w:eastAsia="zh-CN"/>
              </w:rPr>
              <w:t>4</w:t>
            </w:r>
            <w:r>
              <w:rPr>
                <w:rFonts w:hint="eastAsia" w:ascii="宋体" w:hAnsi="宋体" w:eastAsia="宋体" w:cs="宋体"/>
                <w:color w:val="000000"/>
                <w:sz w:val="24"/>
                <w:lang w:val="zh-CN"/>
              </w:rPr>
              <w:t>年0</w:t>
            </w:r>
            <w:r>
              <w:rPr>
                <w:rFonts w:hint="eastAsia" w:ascii="宋体" w:hAnsi="宋体" w:eastAsia="宋体" w:cs="宋体"/>
                <w:color w:val="000000"/>
                <w:sz w:val="24"/>
                <w:lang w:val="en-US" w:eastAsia="zh-CN"/>
              </w:rPr>
              <w:t>7</w:t>
            </w:r>
            <w:r>
              <w:rPr>
                <w:rFonts w:hint="eastAsia" w:ascii="宋体" w:hAnsi="宋体" w:eastAsia="宋体" w:cs="宋体"/>
                <w:color w:val="000000"/>
                <w:sz w:val="24"/>
                <w:lang w:val="zh-CN"/>
              </w:rPr>
              <w:t>月</w:t>
            </w:r>
            <w:r>
              <w:rPr>
                <w:rFonts w:hint="eastAsia" w:ascii="宋体" w:hAnsi="宋体" w:eastAsia="宋体" w:cs="宋体"/>
                <w:color w:val="000000"/>
                <w:sz w:val="24"/>
                <w:lang w:val="en-US" w:eastAsia="zh-CN"/>
              </w:rPr>
              <w:t>15</w:t>
            </w:r>
            <w:r>
              <w:rPr>
                <w:rFonts w:hint="eastAsia" w:ascii="宋体" w:hAnsi="宋体" w:eastAsia="宋体" w:cs="宋体"/>
                <w:color w:val="000000"/>
                <w:sz w:val="24"/>
                <w:lang w:val="zh-CN"/>
              </w:rPr>
              <w:t>日至202</w:t>
            </w:r>
            <w:r>
              <w:rPr>
                <w:rFonts w:hint="eastAsia" w:ascii="宋体" w:hAnsi="宋体" w:eastAsia="宋体" w:cs="宋体"/>
                <w:color w:val="000000"/>
                <w:sz w:val="24"/>
                <w:lang w:val="en-US" w:eastAsia="zh-CN"/>
              </w:rPr>
              <w:t>4</w:t>
            </w:r>
            <w:r>
              <w:rPr>
                <w:rFonts w:hint="eastAsia" w:ascii="宋体" w:hAnsi="宋体" w:eastAsia="宋体" w:cs="宋体"/>
                <w:color w:val="000000"/>
                <w:sz w:val="24"/>
                <w:lang w:val="zh-CN"/>
              </w:rPr>
              <w:t>年</w:t>
            </w:r>
            <w:r>
              <w:rPr>
                <w:rFonts w:hint="eastAsia" w:ascii="宋体" w:hAnsi="宋体" w:eastAsia="宋体" w:cs="宋体"/>
                <w:color w:val="000000"/>
                <w:sz w:val="24"/>
                <w:lang w:val="en-US" w:eastAsia="zh-CN"/>
              </w:rPr>
              <w:t>07</w:t>
            </w:r>
            <w:r>
              <w:rPr>
                <w:rFonts w:hint="eastAsia" w:ascii="宋体" w:hAnsi="宋体" w:eastAsia="宋体" w:cs="宋体"/>
                <w:color w:val="000000"/>
                <w:sz w:val="24"/>
                <w:lang w:val="zh-CN"/>
              </w:rPr>
              <w:t>月</w:t>
            </w:r>
            <w:r>
              <w:rPr>
                <w:rFonts w:hint="eastAsia" w:ascii="宋体" w:hAnsi="宋体" w:eastAsia="宋体" w:cs="宋体"/>
                <w:color w:val="000000"/>
                <w:sz w:val="24"/>
                <w:lang w:val="en-US" w:eastAsia="zh-CN"/>
              </w:rPr>
              <w:t>21</w:t>
            </w:r>
            <w:r>
              <w:rPr>
                <w:rFonts w:hint="eastAsia" w:ascii="宋体" w:hAnsi="宋体" w:eastAsia="宋体" w:cs="宋体"/>
                <w:color w:val="000000"/>
                <w:sz w:val="24"/>
                <w:lang w:val="zh-CN"/>
              </w:rPr>
              <w:t>日（上午9:00-12:00，下午14:00-17:30休息日、节假日除外）。</w:t>
            </w:r>
          </w:p>
        </w:tc>
      </w:tr>
      <w:tr w14:paraId="5F827C7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36FB17BD">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磋商文件发售方式</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6912A288">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现场获取或网上获取</w:t>
            </w:r>
          </w:p>
        </w:tc>
      </w:tr>
      <w:tr w14:paraId="36E0632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F8CD5D6">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磋商文件售价</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A6E1BB5">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500元整</w:t>
            </w:r>
            <w:r>
              <w:rPr>
                <w:rFonts w:hint="eastAsia" w:ascii="宋体" w:hAnsi="宋体" w:eastAsia="宋体" w:cs="宋体"/>
                <w:color w:val="000000"/>
                <w:kern w:val="0"/>
                <w:sz w:val="24"/>
                <w:lang w:val="zh-CN"/>
              </w:rPr>
              <w:t>（磋商文件售后不退,磋商资格不能转让）</w:t>
            </w:r>
          </w:p>
        </w:tc>
      </w:tr>
      <w:tr w14:paraId="1811E4F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4C8E127B">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磋商文件发售地点</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765708CE">
            <w:pPr>
              <w:pStyle w:val="68"/>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西宁市城西区盐湖巷6号10号楼（城西区总部经济大厦)16楼青海国焱工程项目管理有限公司</w:t>
            </w:r>
          </w:p>
        </w:tc>
      </w:tr>
      <w:tr w14:paraId="5D1A6C0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2A64A5D6">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购买磋商文件时应提供材料</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79E48AD4">
            <w:pPr>
              <w:pStyle w:val="96"/>
              <w:numPr>
                <w:ilvl w:val="0"/>
                <w:numId w:val="3"/>
              </w:numPr>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磋商供应商的营业执照（副本）复印件、组织机构代码证（副本）</w:t>
            </w:r>
          </w:p>
          <w:p w14:paraId="0AA30727">
            <w:pPr>
              <w:pStyle w:val="96"/>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复印件、税务登记证（副本）复印件或三证合一营业执照（副本）复印件、法人授权委托书（原件）及法人身份证复印件、被授权人身份证复印件。以上资料除原件外均需加盖公章（采购代理机构对以上资料留存备案）。</w:t>
            </w:r>
          </w:p>
          <w:p w14:paraId="5339B6F1">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2、网上获取标书的磋商供应商应将以上材料扫描后发至我公司联系邮箱(qhgyzb@126.com)，在邮件中标明项目名称、项目编号、联系人及联系方式，并与我公司工作人员进行联系确认。</w:t>
            </w:r>
          </w:p>
        </w:tc>
      </w:tr>
      <w:tr w14:paraId="261F536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39" w:hRule="atLeast"/>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426691CC">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磋商截止时间</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119BC152">
            <w:pPr>
              <w:pStyle w:val="112"/>
              <w:spacing w:line="276"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2025年07月25日上午09:30（北京时间）</w:t>
            </w:r>
          </w:p>
        </w:tc>
      </w:tr>
      <w:tr w14:paraId="2BE56FF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E5C124E">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磋商时间</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195CE47C">
            <w:pPr>
              <w:pStyle w:val="112"/>
              <w:spacing w:line="276"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2025年07月25日上午09:30（北京时间）</w:t>
            </w:r>
          </w:p>
        </w:tc>
      </w:tr>
      <w:tr w14:paraId="6629B0F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74A7FC13">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磋商及磋商地点</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BE94A4E">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西宁市城西区盐湖巷6号10号楼（城西区总部经济大厦)16楼青海国焱工程项目管理有限公司</w:t>
            </w:r>
            <w:r>
              <w:rPr>
                <w:rFonts w:hint="eastAsia" w:ascii="宋体" w:hAnsi="宋体" w:eastAsia="宋体" w:cs="宋体"/>
                <w:color w:val="000000"/>
                <w:kern w:val="0"/>
                <w:sz w:val="24"/>
              </w:rPr>
              <w:t>开标室</w:t>
            </w:r>
          </w:p>
        </w:tc>
      </w:tr>
      <w:tr w14:paraId="1B97A31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5CFB0FFF">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采购单位及联系人电话</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1A9AC0DA">
            <w:pPr>
              <w:pStyle w:val="96"/>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采购人：</w:t>
            </w:r>
            <w:bookmarkStart w:id="8" w:name="OLE_LINK15"/>
            <w:bookmarkStart w:id="9" w:name="_Hlk68689167"/>
            <w:r>
              <w:rPr>
                <w:rFonts w:hint="eastAsia" w:ascii="宋体" w:hAnsi="宋体" w:eastAsia="宋体" w:cs="宋体"/>
                <w:color w:val="000000"/>
                <w:kern w:val="0"/>
                <w:sz w:val="24"/>
                <w:lang w:eastAsia="zh-CN"/>
              </w:rPr>
              <w:t>青海民族大学</w:t>
            </w:r>
            <w:bookmarkEnd w:id="8"/>
          </w:p>
          <w:bookmarkEnd w:id="9"/>
          <w:p w14:paraId="006A2874">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联 系 人：</w:t>
            </w:r>
            <w:bookmarkStart w:id="10" w:name="OLE_LINK26"/>
            <w:r>
              <w:rPr>
                <w:rFonts w:hint="eastAsia" w:ascii="宋体" w:hAnsi="宋体" w:eastAsia="宋体" w:cs="Times New Roman"/>
                <w:color w:val="000000"/>
                <w:kern w:val="0"/>
                <w:sz w:val="24"/>
                <w:lang w:val="en-US" w:eastAsia="zh-CN"/>
              </w:rPr>
              <w:t>李先生</w:t>
            </w:r>
            <w:bookmarkEnd w:id="10"/>
          </w:p>
          <w:p w14:paraId="2B653DDD">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联系电话：</w:t>
            </w:r>
            <w:r>
              <w:rPr>
                <w:rFonts w:ascii="宋体" w:hAnsi="宋体" w:cs="宋体"/>
                <w:color w:val="000000"/>
                <w:kern w:val="0"/>
                <w:sz w:val="24"/>
              </w:rPr>
              <w:t>0971-8802687</w:t>
            </w:r>
          </w:p>
          <w:p w14:paraId="62099D15">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联系地址：</w:t>
            </w:r>
            <w:bookmarkStart w:id="11" w:name="OLE_LINK27"/>
            <w:r>
              <w:rPr>
                <w:rFonts w:hint="eastAsia" w:ascii="宋体" w:hAnsi="宋体" w:cs="宋体"/>
                <w:kern w:val="0"/>
                <w:sz w:val="24"/>
              </w:rPr>
              <w:t>青海省西宁市城东区八一中路3号</w:t>
            </w:r>
            <w:bookmarkEnd w:id="11"/>
          </w:p>
        </w:tc>
      </w:tr>
      <w:tr w14:paraId="642E29B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83" w:hRule="atLeast"/>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219FA4CB">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采购代理机构及联系人电话</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1D32A263">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采购代理机构：青海国焱工程项目管理有限公司</w:t>
            </w:r>
          </w:p>
          <w:p w14:paraId="678890D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   系   人：刘女士</w:t>
            </w:r>
          </w:p>
          <w:p w14:paraId="511411BD">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 系  电 话：</w:t>
            </w:r>
            <w:bookmarkStart w:id="12" w:name="OLE_LINK16"/>
            <w:r>
              <w:rPr>
                <w:rFonts w:hint="eastAsia" w:ascii="宋体" w:hAnsi="宋体" w:eastAsia="宋体" w:cs="宋体"/>
                <w:color w:val="000000"/>
                <w:kern w:val="0"/>
                <w:sz w:val="24"/>
              </w:rPr>
              <w:t>0971-8456071</w:t>
            </w:r>
            <w:bookmarkEnd w:id="12"/>
          </w:p>
          <w:p w14:paraId="38CA715B">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邮        箱：qhgyzb@126.com</w:t>
            </w:r>
          </w:p>
          <w:p w14:paraId="03DF0F5C">
            <w:pPr>
              <w:pStyle w:val="68"/>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联 系  地 址：</w:t>
            </w:r>
            <w:bookmarkStart w:id="13" w:name="OLE_LINK17"/>
            <w:r>
              <w:rPr>
                <w:rFonts w:hint="eastAsia" w:ascii="宋体" w:hAnsi="宋体" w:eastAsia="宋体" w:cs="宋体"/>
                <w:color w:val="000000"/>
                <w:kern w:val="0"/>
                <w:sz w:val="24"/>
                <w:lang w:eastAsia="zh-CN"/>
              </w:rPr>
              <w:t>西宁市城西区盐湖巷6号10号楼（城西区总部经济大厦)16楼</w:t>
            </w:r>
            <w:bookmarkEnd w:id="13"/>
          </w:p>
        </w:tc>
      </w:tr>
      <w:tr w14:paraId="2EF939D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79F6EBDC">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w:t>
            </w:r>
          </w:p>
          <w:p w14:paraId="6DD8953F">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开户银行</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00E96BEE">
            <w:pPr>
              <w:autoSpaceDE w:val="0"/>
              <w:autoSpaceDN w:val="0"/>
              <w:spacing w:line="360" w:lineRule="auto"/>
              <w:jc w:val="left"/>
              <w:rPr>
                <w:rFonts w:hint="eastAsia" w:ascii="宋体" w:hAnsi="宋体" w:eastAsia="宋体" w:cs="宋体"/>
                <w:color w:val="000000"/>
                <w:kern w:val="0"/>
                <w:sz w:val="24"/>
                <w:lang w:val="zh-CN"/>
              </w:rPr>
            </w:pPr>
            <w:bookmarkStart w:id="14" w:name="OLE_LINK20"/>
            <w:r>
              <w:rPr>
                <w:rFonts w:hint="eastAsia" w:ascii="宋体" w:hAnsi="宋体" w:eastAsia="宋体" w:cs="宋体"/>
                <w:color w:val="000000"/>
                <w:kern w:val="0"/>
                <w:sz w:val="24"/>
                <w:lang w:val="zh-CN"/>
              </w:rPr>
              <w:t>中国工商银行股份有限公司西宁五四大街支行</w:t>
            </w:r>
            <w:bookmarkEnd w:id="14"/>
          </w:p>
        </w:tc>
      </w:tr>
      <w:tr w14:paraId="3EDBD3B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2C5339D8">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收款人</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0AB50F11">
            <w:pPr>
              <w:autoSpaceDE w:val="0"/>
              <w:autoSpaceDN w:val="0"/>
              <w:spacing w:line="360" w:lineRule="auto"/>
              <w:jc w:val="left"/>
              <w:rPr>
                <w:rFonts w:hint="eastAsia" w:ascii="宋体" w:hAnsi="宋体" w:eastAsia="宋体" w:cs="宋体"/>
                <w:color w:val="000000"/>
                <w:kern w:val="0"/>
                <w:sz w:val="24"/>
                <w:lang w:val="zh-CN"/>
              </w:rPr>
            </w:pPr>
            <w:bookmarkStart w:id="15" w:name="OLE_LINK18"/>
            <w:r>
              <w:rPr>
                <w:rFonts w:hint="eastAsia" w:ascii="宋体" w:hAnsi="宋体" w:eastAsia="宋体" w:cs="宋体"/>
                <w:color w:val="000000"/>
                <w:kern w:val="0"/>
                <w:sz w:val="24"/>
                <w:lang w:val="zh-CN"/>
              </w:rPr>
              <w:t>青海国焱工程项目管理有限公司</w:t>
            </w:r>
            <w:bookmarkEnd w:id="15"/>
          </w:p>
        </w:tc>
      </w:tr>
      <w:tr w14:paraId="72BC540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1A14A0FC">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银行账号</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71C34C2F">
            <w:pPr>
              <w:autoSpaceDE w:val="0"/>
              <w:autoSpaceDN w:val="0"/>
              <w:spacing w:line="360" w:lineRule="auto"/>
              <w:jc w:val="left"/>
              <w:rPr>
                <w:rFonts w:hint="eastAsia" w:ascii="宋体" w:hAnsi="宋体" w:eastAsia="宋体" w:cs="宋体"/>
                <w:color w:val="000000"/>
                <w:kern w:val="0"/>
                <w:sz w:val="24"/>
                <w:lang w:val="zh-CN"/>
              </w:rPr>
            </w:pPr>
            <w:bookmarkStart w:id="16" w:name="OLE_LINK19"/>
            <w:r>
              <w:rPr>
                <w:rFonts w:hint="eastAsia" w:ascii="宋体" w:hAnsi="宋体" w:eastAsia="宋体" w:cs="宋体"/>
                <w:color w:val="000000"/>
                <w:kern w:val="0"/>
                <w:sz w:val="24"/>
                <w:lang w:val="zh-CN"/>
              </w:rPr>
              <w:t>2806001309000043259（开户行号：102851000139）</w:t>
            </w:r>
            <w:bookmarkEnd w:id="16"/>
          </w:p>
        </w:tc>
      </w:tr>
      <w:tr w14:paraId="11D9E89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center"/>
          </w:tcPr>
          <w:p w14:paraId="49C73453">
            <w:pPr>
              <w:pStyle w:val="68"/>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其他事项</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75EB763E">
            <w:pPr>
              <w:autoSpaceDE w:val="0"/>
              <w:autoSpaceDN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本项目招标公告在《青海项目信息网》、</w:t>
            </w:r>
            <w:r>
              <w:rPr>
                <w:rFonts w:hint="eastAsia" w:ascii="宋体" w:hAnsi="宋体" w:eastAsia="宋体" w:cs="宋体"/>
                <w:color w:val="000000"/>
                <w:sz w:val="24"/>
                <w:lang w:eastAsia="zh-CN"/>
              </w:rPr>
              <w:t>《青海省电子招投标公共服务平台》</w:t>
            </w:r>
            <w:r>
              <w:rPr>
                <w:rFonts w:hint="eastAsia" w:ascii="宋体" w:hAnsi="宋体" w:eastAsia="宋体" w:cs="宋体"/>
                <w:color w:val="000000"/>
                <w:sz w:val="24"/>
              </w:rPr>
              <w:t>同时发布</w:t>
            </w:r>
          </w:p>
        </w:tc>
      </w:tr>
      <w:tr w14:paraId="0E80C0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wBefore w:w="0" w:type="dxa"/>
          <w:wAfter w:w="0" w:type="dxa"/>
          <w:jc w:val="center"/>
        </w:trPr>
        <w:tc>
          <w:tcPr>
            <w:tcW w:w="2369" w:type="dxa"/>
            <w:tcBorders>
              <w:top w:val="outset" w:color="000000" w:sz="6" w:space="0"/>
              <w:left w:val="outset" w:color="000000" w:sz="6" w:space="0"/>
              <w:bottom w:val="outset" w:color="000000" w:sz="6" w:space="0"/>
              <w:right w:val="outset" w:color="000000" w:sz="6" w:space="0"/>
            </w:tcBorders>
            <w:noWrap w:val="0"/>
            <w:vAlign w:val="top"/>
          </w:tcPr>
          <w:p w14:paraId="38E7E131">
            <w:pPr>
              <w:autoSpaceDE w:val="0"/>
              <w:autoSpaceDN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监督电话</w:t>
            </w:r>
          </w:p>
        </w:tc>
        <w:tc>
          <w:tcPr>
            <w:tcW w:w="7300" w:type="dxa"/>
            <w:tcBorders>
              <w:top w:val="outset" w:color="000000" w:sz="6" w:space="0"/>
              <w:left w:val="outset" w:color="000000" w:sz="6" w:space="0"/>
              <w:bottom w:val="outset" w:color="000000" w:sz="6" w:space="0"/>
              <w:right w:val="outset" w:color="000000" w:sz="6" w:space="0"/>
            </w:tcBorders>
            <w:noWrap w:val="0"/>
            <w:vAlign w:val="center"/>
          </w:tcPr>
          <w:p w14:paraId="2D2B7827">
            <w:pPr>
              <w:autoSpaceDE w:val="0"/>
              <w:autoSpaceDN w:val="0"/>
              <w:spacing w:line="360" w:lineRule="auto"/>
              <w:jc w:val="left"/>
              <w:rPr>
                <w:rFonts w:hint="eastAsia" w:ascii="宋体" w:hAnsi="宋体" w:eastAsia="宋体" w:cs="宋体"/>
                <w:color w:val="000000"/>
                <w:sz w:val="24"/>
              </w:rPr>
            </w:pPr>
            <w:r>
              <w:rPr>
                <w:rFonts w:hint="eastAsia" w:ascii="宋体" w:hAnsi="宋体" w:cs="宋体"/>
                <w:sz w:val="24"/>
              </w:rPr>
              <w:t>监督单位：</w:t>
            </w:r>
            <w:bookmarkStart w:id="17" w:name="OLE_LINK14"/>
            <w:bookmarkStart w:id="18" w:name="OLE_LINK25"/>
            <w:r>
              <w:rPr>
                <w:rFonts w:hint="eastAsia" w:ascii="宋体" w:hAnsi="宋体" w:cs="宋体"/>
                <w:sz w:val="24"/>
              </w:rPr>
              <w:t>青海民族大学校纪委</w:t>
            </w:r>
            <w:bookmarkEnd w:id="17"/>
            <w:r>
              <w:rPr>
                <w:rFonts w:hint="eastAsia" w:ascii="宋体" w:hAnsi="宋体" w:cs="宋体"/>
                <w:sz w:val="24"/>
              </w:rPr>
              <w:br w:type="textWrapping"/>
            </w:r>
            <w:bookmarkEnd w:id="18"/>
            <w:r>
              <w:rPr>
                <w:rFonts w:hint="eastAsia" w:ascii="宋体" w:hAnsi="宋体" w:cs="宋体"/>
                <w:sz w:val="24"/>
              </w:rPr>
              <w:t>联系电话：</w:t>
            </w:r>
            <w:r>
              <w:rPr>
                <w:rFonts w:ascii="宋体" w:hAnsi="宋体" w:cs="宋体"/>
                <w:sz w:val="24"/>
              </w:rPr>
              <w:t>0971-8804617 </w:t>
            </w:r>
          </w:p>
        </w:tc>
      </w:tr>
    </w:tbl>
    <w:p w14:paraId="0337DC96">
      <w:pPr>
        <w:adjustRightInd w:val="0"/>
        <w:spacing w:line="360" w:lineRule="auto"/>
        <w:jc w:val="right"/>
        <w:textAlignment w:val="baseline"/>
        <w:rPr>
          <w:rFonts w:hint="eastAsia" w:ascii="宋体" w:hAnsi="宋体" w:eastAsia="宋体" w:cs="宋体"/>
          <w:color w:val="000000"/>
          <w:sz w:val="24"/>
        </w:rPr>
      </w:pPr>
      <w:r>
        <w:rPr>
          <w:rFonts w:hint="eastAsia" w:ascii="宋体" w:hAnsi="宋体" w:eastAsia="宋体" w:cs="宋体"/>
          <w:color w:val="000000"/>
          <w:sz w:val="24"/>
        </w:rPr>
        <w:t>青海国焱工程项目管理有限公司</w:t>
      </w:r>
    </w:p>
    <w:p w14:paraId="51CB51F7">
      <w:pPr>
        <w:adjustRightInd w:val="0"/>
        <w:spacing w:line="360" w:lineRule="auto"/>
        <w:jc w:val="righ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lang w:eastAsia="zh-CN"/>
        </w:rPr>
        <w:t>2025年07月14日</w:t>
      </w:r>
    </w:p>
    <w:p w14:paraId="3B231D1E">
      <w:pPr>
        <w:pStyle w:val="24"/>
        <w:spacing w:before="0" w:after="0" w:line="360" w:lineRule="auto"/>
        <w:rPr>
          <w:rFonts w:hint="eastAsia" w:ascii="宋体" w:hAnsi="宋体" w:eastAsia="宋体" w:cs="宋体"/>
          <w:color w:val="000000"/>
          <w:lang w:val="zh-CN"/>
        </w:rPr>
      </w:pPr>
      <w:bookmarkStart w:id="19" w:name="_Toc444715733"/>
      <w:r>
        <w:rPr>
          <w:rFonts w:hint="eastAsia" w:ascii="宋体" w:hAnsi="宋体" w:eastAsia="宋体" w:cs="宋体"/>
          <w:color w:val="000000"/>
          <w:sz w:val="48"/>
        </w:rPr>
        <w:br w:type="page"/>
      </w:r>
      <w:bookmarkStart w:id="20" w:name="_Toc6731"/>
      <w:r>
        <w:rPr>
          <w:rFonts w:hint="eastAsia" w:ascii="宋体" w:hAnsi="宋体" w:eastAsia="宋体" w:cs="宋体"/>
          <w:color w:val="000000"/>
          <w:sz w:val="48"/>
        </w:rPr>
        <w:t>第二部分  磋商供应商须知前附表</w:t>
      </w:r>
      <w:bookmarkEnd w:id="19"/>
      <w:bookmarkEnd w:id="20"/>
    </w:p>
    <w:tbl>
      <w:tblPr>
        <w:tblStyle w:val="34"/>
        <w:tblW w:w="10433" w:type="dxa"/>
        <w:jc w:val="center"/>
        <w:tblLayout w:type="fixed"/>
        <w:tblCellMar>
          <w:top w:w="0" w:type="dxa"/>
          <w:left w:w="57" w:type="dxa"/>
          <w:bottom w:w="0" w:type="dxa"/>
          <w:right w:w="57" w:type="dxa"/>
        </w:tblCellMar>
      </w:tblPr>
      <w:tblGrid>
        <w:gridCol w:w="653"/>
        <w:gridCol w:w="2523"/>
        <w:gridCol w:w="7257"/>
      </w:tblGrid>
      <w:tr w14:paraId="04A50500">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5091FF">
            <w:pPr>
              <w:autoSpaceDE w:val="0"/>
              <w:autoSpaceDN w:val="0"/>
              <w:spacing w:line="360" w:lineRule="auto"/>
              <w:jc w:val="center"/>
              <w:rPr>
                <w:rFonts w:hint="eastAsia" w:ascii="宋体" w:hAnsi="宋体" w:eastAsia="宋体" w:cs="宋体"/>
                <w:color w:val="000000"/>
                <w:kern w:val="0"/>
                <w:sz w:val="24"/>
                <w:lang w:val="zh-CN"/>
              </w:rPr>
            </w:pPr>
            <w:r>
              <w:rPr>
                <w:rFonts w:hint="eastAsia" w:ascii="宋体" w:hAnsi="宋体" w:eastAsia="宋体" w:cs="宋体"/>
                <w:bCs/>
                <w:color w:val="000000"/>
                <w:kern w:val="0"/>
                <w:sz w:val="24"/>
                <w:lang w:val="zh-CN"/>
              </w:rPr>
              <w:t>序号</w:t>
            </w:r>
          </w:p>
        </w:tc>
        <w:tc>
          <w:tcPr>
            <w:tcW w:w="9780"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425338">
            <w:pPr>
              <w:autoSpaceDE w:val="0"/>
              <w:autoSpaceDN w:val="0"/>
              <w:spacing w:line="360" w:lineRule="auto"/>
              <w:jc w:val="center"/>
              <w:rPr>
                <w:rFonts w:hint="eastAsia" w:ascii="宋体" w:hAnsi="宋体" w:eastAsia="宋体" w:cs="宋体"/>
                <w:color w:val="000000"/>
                <w:kern w:val="0"/>
                <w:sz w:val="24"/>
                <w:lang w:val="zh-CN"/>
              </w:rPr>
            </w:pPr>
            <w:r>
              <w:rPr>
                <w:rFonts w:hint="eastAsia" w:ascii="宋体" w:hAnsi="宋体" w:eastAsia="宋体" w:cs="宋体"/>
                <w:bCs/>
                <w:color w:val="000000"/>
                <w:kern w:val="0"/>
                <w:sz w:val="24"/>
                <w:lang w:val="zh-CN"/>
              </w:rPr>
              <w:t>内容</w:t>
            </w:r>
          </w:p>
        </w:tc>
      </w:tr>
      <w:tr w14:paraId="04607B38">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522BA9">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B3A019">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采购项目名称</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D8C43C9">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bCs/>
                <w:color w:val="000000"/>
                <w:kern w:val="0"/>
                <w:sz w:val="24"/>
                <w:lang w:val="zh-CN"/>
              </w:rPr>
              <w:t>青海民族大学2025年度在建工程竣工决算项目评审</w:t>
            </w:r>
          </w:p>
        </w:tc>
      </w:tr>
      <w:tr w14:paraId="79136F39">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8B684A">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8511A31">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采购项目编号</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6B1AA02">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青海国焱竞磋（服务）2025-267号</w:t>
            </w:r>
          </w:p>
        </w:tc>
      </w:tr>
      <w:tr w14:paraId="1DFDA35A">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7DD1069">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9D7C864">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采购单位</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632FB9">
            <w:pPr>
              <w:autoSpaceDE w:val="0"/>
              <w:autoSpaceDN w:val="0"/>
              <w:spacing w:line="360" w:lineRule="auto"/>
              <w:jc w:val="left"/>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eastAsia="zh-CN"/>
              </w:rPr>
              <w:t>青海民族大学</w:t>
            </w:r>
          </w:p>
        </w:tc>
      </w:tr>
      <w:tr w14:paraId="7103D399">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DFBEDF8">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8E308A">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采购代理机构</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9F84F28">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青海国焱工程项目管理有限公司</w:t>
            </w:r>
          </w:p>
        </w:tc>
      </w:tr>
      <w:tr w14:paraId="627454FA">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1ED36D">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EF0C94">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采购方式</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33544A5">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竞争性磋商</w:t>
            </w:r>
          </w:p>
        </w:tc>
      </w:tr>
      <w:tr w14:paraId="3CD99598">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83A8B7C">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380D6C">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评分办法</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B2050FF">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综合评分法</w:t>
            </w:r>
          </w:p>
        </w:tc>
      </w:tr>
      <w:tr w14:paraId="7AF501D9">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39F456">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4CBC03">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采购预算控制额度</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51D2D6">
            <w:pPr>
              <w:spacing w:line="360" w:lineRule="auto"/>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人民币32.96万</w:t>
            </w:r>
            <w:r>
              <w:rPr>
                <w:rFonts w:hint="eastAsia" w:ascii="宋体" w:hAnsi="宋体" w:eastAsia="宋体" w:cs="宋体"/>
                <w:color w:val="000000"/>
                <w:kern w:val="0"/>
                <w:sz w:val="24"/>
                <w:lang w:val="en-US" w:eastAsia="zh-CN"/>
              </w:rPr>
              <w:t>元</w:t>
            </w:r>
          </w:p>
        </w:tc>
      </w:tr>
      <w:tr w14:paraId="30B1A504">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831BB9">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C45BE4">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项目分包个数</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8C48ED">
            <w:pPr>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无</w:t>
            </w:r>
          </w:p>
        </w:tc>
      </w:tr>
      <w:tr w14:paraId="79D958A0">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DE5956">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E54E1A6">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采购要求</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EB6425">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详见磋商文件“第六部分 采购项目要求及内容”</w:t>
            </w:r>
          </w:p>
        </w:tc>
      </w:tr>
      <w:tr w14:paraId="546C0AA6">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68264C">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25AABC">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color w:val="000000"/>
                <w:sz w:val="24"/>
              </w:rPr>
              <w:t>磋商供应商</w:t>
            </w:r>
            <w:r>
              <w:rPr>
                <w:rFonts w:hint="eastAsia" w:ascii="宋体" w:hAnsi="宋体" w:eastAsia="宋体" w:cs="宋体"/>
                <w:bCs/>
                <w:color w:val="000000"/>
                <w:kern w:val="0"/>
                <w:sz w:val="24"/>
                <w:lang w:val="zh-CN"/>
              </w:rPr>
              <w:t>资格条件</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3C8CB82">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en-US" w:eastAsia="zh-CN"/>
              </w:rPr>
              <w:t>1.</w:t>
            </w:r>
            <w:r>
              <w:rPr>
                <w:rFonts w:hint="eastAsia" w:ascii="宋体" w:hAnsi="宋体" w:eastAsia="宋体" w:cs="宋体"/>
                <w:bCs/>
                <w:color w:val="000000"/>
                <w:kern w:val="0"/>
                <w:sz w:val="24"/>
                <w:lang w:val="zh-CN"/>
              </w:rPr>
              <w:t>符合以下条件，并提供下列材料：</w:t>
            </w:r>
          </w:p>
          <w:p w14:paraId="30CA40EF">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&lt;1&gt;磋商供应商的营业执照等证明文件，自然人的身份证明。</w:t>
            </w:r>
          </w:p>
          <w:p w14:paraId="45C25F5D">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&lt;2&gt;财务状况报告，依法缴纳税收和社会保障资金的相关材料。</w:t>
            </w:r>
          </w:p>
          <w:p w14:paraId="54D84842">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&lt;3&gt;具备履行合同所必需的设备和专业技术能力的证明材料。</w:t>
            </w:r>
          </w:p>
          <w:p w14:paraId="56ED461B">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&lt;4&gt;参加采购活动前3年内在经营活动中没有重大违法记录的书面声明。</w:t>
            </w:r>
          </w:p>
          <w:p w14:paraId="0221480C">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&lt;5&gt;具备法律、行政法规规定的其他条件的证明材料。</w:t>
            </w:r>
          </w:p>
          <w:p w14:paraId="46C5B7E1">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2. 单位负责人为同一人或者存在直接控股、管理关系的不同磋商供应商，不得参加同一合同项下的政府采购活动。否则，皆取消磋商资格；</w:t>
            </w:r>
          </w:p>
          <w:p w14:paraId="044F7AE1">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3.经信用中国（www.creditchina.gov.cn）、中国政府采购网（www.ccgp.gov.cn）等渠道查询后，列入失信被执行人、</w:t>
            </w:r>
            <w:r>
              <w:rPr>
                <w:rFonts w:hint="eastAsia" w:ascii="宋体" w:hAnsi="宋体" w:eastAsia="宋体" w:cs="宋体"/>
                <w:bCs/>
                <w:color w:val="000000"/>
                <w:kern w:val="0"/>
                <w:sz w:val="24"/>
                <w:lang w:val="en-US" w:eastAsia="zh-CN"/>
              </w:rPr>
              <w:t>重大</w:t>
            </w:r>
            <w:r>
              <w:rPr>
                <w:rFonts w:hint="eastAsia" w:ascii="宋体" w:hAnsi="宋体" w:eastAsia="宋体" w:cs="宋体"/>
                <w:bCs/>
                <w:color w:val="000000"/>
                <w:kern w:val="0"/>
                <w:sz w:val="24"/>
                <w:lang w:val="zh-CN"/>
              </w:rPr>
              <w:t>税收违法</w:t>
            </w:r>
            <w:r>
              <w:rPr>
                <w:rFonts w:hint="eastAsia" w:ascii="宋体" w:hAnsi="宋体" w:eastAsia="宋体" w:cs="宋体"/>
                <w:bCs/>
                <w:color w:val="000000"/>
                <w:kern w:val="0"/>
                <w:sz w:val="24"/>
                <w:lang w:val="en-US" w:eastAsia="zh-CN"/>
              </w:rPr>
              <w:t>失信主体</w:t>
            </w:r>
            <w:r>
              <w:rPr>
                <w:rFonts w:hint="eastAsia" w:ascii="宋体" w:hAnsi="宋体" w:eastAsia="宋体" w:cs="宋体"/>
                <w:bCs/>
                <w:color w:val="000000"/>
                <w:kern w:val="0"/>
                <w:sz w:val="24"/>
                <w:lang w:val="zh-CN"/>
              </w:rPr>
              <w:t>、政府采购严重违法失信行为记录名单的，取消磋商资格(提供“信用中国”网站的查询截图)；</w:t>
            </w:r>
          </w:p>
          <w:p w14:paraId="2FB9BF64">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4.本项目</w:t>
            </w:r>
            <w:r>
              <w:rPr>
                <w:rFonts w:hint="eastAsia" w:ascii="宋体" w:hAnsi="宋体" w:eastAsia="宋体" w:cs="宋体"/>
                <w:bCs/>
                <w:color w:val="000000"/>
                <w:kern w:val="0"/>
                <w:sz w:val="24"/>
                <w:lang w:val="en-US" w:eastAsia="zh-CN"/>
              </w:rPr>
              <w:t>不</w:t>
            </w:r>
            <w:r>
              <w:rPr>
                <w:rFonts w:hint="eastAsia" w:ascii="宋体" w:hAnsi="宋体" w:eastAsia="宋体" w:cs="宋体"/>
                <w:bCs/>
                <w:color w:val="000000"/>
                <w:kern w:val="0"/>
                <w:sz w:val="24"/>
                <w:lang w:val="zh-CN"/>
              </w:rPr>
              <w:t>接受磋商供应商以联合体方式进行磋商；</w:t>
            </w:r>
          </w:p>
          <w:p w14:paraId="0D79239B">
            <w:pPr>
              <w:pStyle w:val="68"/>
              <w:spacing w:line="360" w:lineRule="auto"/>
              <w:rPr>
                <w:rFonts w:hint="eastAsia"/>
                <w:lang w:val="zh-CN" w:eastAsia="zh-CN"/>
              </w:rPr>
            </w:pPr>
            <w:r>
              <w:rPr>
                <w:rFonts w:hint="eastAsia" w:ascii="宋体" w:hAnsi="宋体" w:eastAsia="宋体" w:cs="宋体"/>
                <w:bCs/>
                <w:color w:val="000000"/>
                <w:kern w:val="0"/>
                <w:sz w:val="24"/>
                <w:lang w:val="en-US" w:eastAsia="zh-CN"/>
              </w:rPr>
              <w:t>5.供应商须具备有效的《会计师事务所执业证书》。</w:t>
            </w:r>
          </w:p>
        </w:tc>
      </w:tr>
      <w:tr w14:paraId="0689AAAB">
        <w:tblPrEx>
          <w:tblCellMar>
            <w:top w:w="0" w:type="dxa"/>
            <w:left w:w="57" w:type="dxa"/>
            <w:bottom w:w="0" w:type="dxa"/>
            <w:right w:w="57" w:type="dxa"/>
          </w:tblCellMar>
        </w:tblPrEx>
        <w:trPr>
          <w:wBefore w:w="0" w:type="dxa"/>
          <w:wAfter w:w="0" w:type="dxa"/>
          <w:trHeight w:val="552" w:hRule="atLeast"/>
          <w:jc w:val="center"/>
        </w:trPr>
        <w:tc>
          <w:tcPr>
            <w:tcW w:w="653" w:type="dxa"/>
            <w:tcBorders>
              <w:top w:val="single" w:color="000000" w:sz="6" w:space="0"/>
              <w:left w:val="single" w:color="000000" w:sz="6" w:space="0"/>
              <w:right w:val="single" w:color="000000" w:sz="6" w:space="0"/>
            </w:tcBorders>
            <w:shd w:val="clear" w:color="000000" w:fill="FFFFFF"/>
            <w:noWrap w:val="0"/>
            <w:vAlign w:val="center"/>
          </w:tcPr>
          <w:p w14:paraId="36C44302">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right w:val="single" w:color="000000" w:sz="6" w:space="0"/>
            </w:tcBorders>
            <w:shd w:val="clear" w:color="000000" w:fill="FFFFFF"/>
            <w:noWrap w:val="0"/>
            <w:vAlign w:val="center"/>
          </w:tcPr>
          <w:p w14:paraId="7643F527">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磋商保证金</w:t>
            </w:r>
          </w:p>
        </w:tc>
        <w:tc>
          <w:tcPr>
            <w:tcW w:w="7257" w:type="dxa"/>
            <w:tcBorders>
              <w:top w:val="single" w:color="000000" w:sz="6" w:space="0"/>
              <w:left w:val="single" w:color="000000" w:sz="6" w:space="0"/>
              <w:right w:val="single" w:color="000000" w:sz="6" w:space="0"/>
            </w:tcBorders>
            <w:shd w:val="clear" w:color="000000" w:fill="FFFFFF"/>
            <w:noWrap w:val="0"/>
            <w:vAlign w:val="top"/>
          </w:tcPr>
          <w:p w14:paraId="28E15E6A">
            <w:pPr>
              <w:pStyle w:val="68"/>
              <w:spacing w:line="360" w:lineRule="auto"/>
              <w:rPr>
                <w:rFonts w:hint="eastAsia" w:ascii="宋体" w:hAnsi="宋体" w:eastAsia="宋体" w:cs="宋体"/>
                <w:bCs/>
                <w:color w:val="000000"/>
                <w:kern w:val="0"/>
                <w:sz w:val="24"/>
                <w:lang w:val="zh-CN"/>
              </w:rPr>
            </w:pPr>
            <w:bookmarkStart w:id="21" w:name="_Toc421873478"/>
            <w:bookmarkStart w:id="22" w:name="_Toc444762753"/>
            <w:bookmarkStart w:id="23" w:name="_Toc435176391"/>
            <w:bookmarkStart w:id="24" w:name="_Toc435175539"/>
            <w:r>
              <w:rPr>
                <w:rFonts w:hint="eastAsia" w:ascii="宋体" w:hAnsi="宋体" w:eastAsia="宋体" w:cs="宋体"/>
                <w:bCs/>
                <w:color w:val="000000"/>
                <w:kern w:val="0"/>
                <w:sz w:val="24"/>
                <w:lang w:val="zh-CN"/>
              </w:rPr>
              <w:t>各磋商供应商须在磋商响应文件递交截止时间前，缴纳磋商保证金（磋商保证金应当从其基本账户汇出</w:t>
            </w:r>
            <w:bookmarkEnd w:id="21"/>
            <w:r>
              <w:rPr>
                <w:rFonts w:hint="eastAsia" w:ascii="宋体" w:hAnsi="宋体" w:eastAsia="宋体" w:cs="宋体"/>
                <w:bCs/>
                <w:color w:val="000000"/>
                <w:kern w:val="0"/>
                <w:sz w:val="24"/>
                <w:lang w:val="zh-CN"/>
              </w:rPr>
              <w:t>，磋商响应文件中须附企业基本账户开户许可证并加盖磋商企业公章）</w:t>
            </w:r>
            <w:bookmarkEnd w:id="22"/>
            <w:bookmarkEnd w:id="23"/>
            <w:bookmarkEnd w:id="24"/>
          </w:p>
          <w:p w14:paraId="77EE92AD">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磋商保证金金额：</w:t>
            </w:r>
            <w:r>
              <w:rPr>
                <w:rFonts w:hint="eastAsia" w:ascii="宋体" w:hAnsi="宋体" w:eastAsia="宋体" w:cs="宋体"/>
                <w:color w:val="000000"/>
                <w:kern w:val="0"/>
                <w:sz w:val="24"/>
              </w:rPr>
              <w:t>人民币</w:t>
            </w:r>
            <w:r>
              <w:rPr>
                <w:rFonts w:hint="eastAsia" w:ascii="宋体" w:hAnsi="宋体" w:eastAsia="宋体" w:cs="宋体"/>
                <w:color w:val="000000"/>
                <w:kern w:val="0"/>
                <w:sz w:val="24"/>
                <w:lang w:val="en-US" w:eastAsia="zh-CN"/>
              </w:rPr>
              <w:t>6,000.00元整（大写：陆仟元整）</w:t>
            </w:r>
            <w:r>
              <w:rPr>
                <w:rFonts w:hint="eastAsia" w:ascii="宋体" w:hAnsi="宋体" w:eastAsia="宋体" w:cs="宋体"/>
                <w:color w:val="000000"/>
                <w:kern w:val="0"/>
                <w:sz w:val="24"/>
                <w:lang w:val="zh-CN"/>
              </w:rPr>
              <w:t>；</w:t>
            </w:r>
          </w:p>
          <w:p w14:paraId="689004DF">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收款单位：青海国焱工程项目管理有限公司</w:t>
            </w:r>
          </w:p>
          <w:p w14:paraId="52E8FBE1">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开 户 行：中国工商银行股份有限公司西宁五四大街支行</w:t>
            </w:r>
          </w:p>
          <w:p w14:paraId="6DD6ACCF">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银行账号：2806001309000043259</w:t>
            </w:r>
            <w:r>
              <w:rPr>
                <w:rFonts w:hint="eastAsia" w:ascii="宋体" w:hAnsi="宋体" w:eastAsia="宋体" w:cs="宋体"/>
                <w:color w:val="000000"/>
                <w:kern w:val="0"/>
                <w:sz w:val="24"/>
                <w:lang w:val="zh-CN"/>
              </w:rPr>
              <w:t>（开户行号：102851000139）</w:t>
            </w:r>
          </w:p>
          <w:p w14:paraId="164C266D">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缴纳时间：磋商供应商在磋商截止期前，以银行到账时间为准。</w:t>
            </w:r>
          </w:p>
          <w:p w14:paraId="23FC7027">
            <w:pPr>
              <w:pStyle w:val="68"/>
              <w:spacing w:line="360" w:lineRule="auto"/>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（1）不接受个人名义或现金形式递交的磋商保证金，磋商供应商应单独提交磋商保证金，磋商保证金须从企业基本账户中支付，磋商文件中须附企业开户许可证；</w:t>
            </w:r>
          </w:p>
          <w:p w14:paraId="479F46D9">
            <w:pPr>
              <w:pStyle w:val="68"/>
              <w:spacing w:line="360" w:lineRule="auto"/>
              <w:rPr>
                <w:rFonts w:hint="eastAsia" w:ascii="宋体" w:hAnsi="宋体" w:eastAsia="宋体" w:cs="宋体"/>
                <w:color w:val="000000"/>
                <w:kern w:val="0"/>
                <w:lang w:val="zh-CN"/>
              </w:rPr>
            </w:pPr>
            <w:r>
              <w:rPr>
                <w:rFonts w:hint="eastAsia" w:ascii="宋体" w:hAnsi="宋体" w:eastAsia="宋体" w:cs="宋体"/>
                <w:bCs/>
                <w:color w:val="000000"/>
                <w:kern w:val="0"/>
                <w:sz w:val="24"/>
                <w:lang w:val="zh-CN"/>
              </w:rPr>
              <w:t>（2）磋商保证金有效期与磋商有效期一致。</w:t>
            </w:r>
          </w:p>
        </w:tc>
      </w:tr>
      <w:tr w14:paraId="223B67C6">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9302F5">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E422D96">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color w:val="000000"/>
                <w:kern w:val="0"/>
                <w:sz w:val="24"/>
              </w:rPr>
              <w:t>磋商</w:t>
            </w:r>
            <w:r>
              <w:rPr>
                <w:rFonts w:hint="eastAsia" w:ascii="宋体" w:hAnsi="宋体" w:eastAsia="宋体" w:cs="宋体"/>
                <w:bCs/>
                <w:color w:val="000000"/>
                <w:kern w:val="0"/>
                <w:sz w:val="24"/>
                <w:lang w:val="zh-CN"/>
              </w:rPr>
              <w:t>保证金缴纳方式</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012F0FA">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保证金应当以电汇、支票、汇票、本票或者金融机构、担保机构出具的保函等非现金形式提交。通过银行转账的，必须由磋商供应商从其基本账户（需提供开户许可证）汇（转）入本须知附表中第11条指定的账户。</w:t>
            </w:r>
          </w:p>
          <w:p w14:paraId="534A307F">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磋商供应商未按照磋商文件要求提交</w:t>
            </w: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保证金的，磋商无效。</w:t>
            </w:r>
          </w:p>
        </w:tc>
      </w:tr>
      <w:tr w14:paraId="21F042BF">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7C08FF">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16E29C">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color w:val="000000"/>
                <w:kern w:val="0"/>
                <w:sz w:val="24"/>
              </w:rPr>
              <w:t>磋商</w:t>
            </w:r>
            <w:r>
              <w:rPr>
                <w:rFonts w:hint="eastAsia" w:ascii="宋体" w:hAnsi="宋体" w:eastAsia="宋体" w:cs="宋体"/>
                <w:bCs/>
                <w:color w:val="000000"/>
                <w:kern w:val="0"/>
                <w:sz w:val="24"/>
                <w:lang w:val="zh-CN"/>
              </w:rPr>
              <w:t>保证金退还</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E7379CF">
            <w:pPr>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未成交磋商供应商的</w:t>
            </w: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保证金自成交通知书发出之日起5个工作日内退还（不退现金）；成交磋商供应商的磋商保证金，自采购合同签订之日起5个工作日内退还（不退现金）。</w:t>
            </w:r>
          </w:p>
        </w:tc>
      </w:tr>
      <w:tr w14:paraId="7319494B">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94321B">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698A5CF">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磋商文件编制要求</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17FD963">
            <w:pPr>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sz w:val="24"/>
                <w:lang w:val="zh-CN"/>
              </w:rPr>
              <w:t>磋商供应商应按照磋商文件所提供的磋商响应文件格式，分别填写磋商文件第五部分的内容，应分别注明所提供服务的名称、数量和价格等内容；磋商文件要求签字、盖章的地方必须由磋商供应商的法定代表人或委托代理人按要求签字、盖章。</w:t>
            </w:r>
          </w:p>
          <w:p w14:paraId="4CE83E78">
            <w:pPr>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2、磋商供应商应按磋商文件要求准备磋商响应文件（</w:t>
            </w:r>
            <w:r>
              <w:rPr>
                <w:rFonts w:hint="eastAsia" w:ascii="宋体" w:hAnsi="宋体" w:eastAsia="宋体" w:cs="宋体"/>
                <w:color w:val="000000"/>
                <w:kern w:val="0"/>
                <w:sz w:val="24"/>
              </w:rPr>
              <w:t>1</w:t>
            </w:r>
            <w:r>
              <w:rPr>
                <w:rFonts w:hint="eastAsia" w:ascii="宋体" w:hAnsi="宋体" w:eastAsia="宋体" w:cs="宋体"/>
                <w:color w:val="000000"/>
                <w:kern w:val="0"/>
                <w:sz w:val="24"/>
                <w:lang w:val="zh-CN"/>
              </w:rPr>
              <w:t>份正本、</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份副本和相应的电子文档1份，用于单独提交的“竞争性磋商首次报价表”1份以及用于退还磋商保证金单独提交“磋商保证金证明”1份）。每份磋商响应文件都必须清楚地标明“正本”或“副本”等字样。若发生正本和副本不符，以正本磋商响应文件为准。磋商响应文件统一使用A4幅面的纸张印制，必须胶装成册并编码，不得采用</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lang w:val="zh-CN"/>
              </w:rPr>
              <w:t>活页夹等可随时拆换的方式装订。</w:t>
            </w:r>
          </w:p>
          <w:p w14:paraId="2949D4BC">
            <w:pPr>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3、磋商响应文件的正本和副本均需打印或用不褪色、不变质的墨水书写并由磋商供应商的委托代理人逐页加盖公章。磋商响应文件副本可采用正本的复印件，若不满足以上条件，按无效磋商处理。</w:t>
            </w:r>
          </w:p>
          <w:p w14:paraId="781D6244">
            <w:pPr>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电子文档采用可读的U盘编制，须写明采购项目名称、供应商名称及磋商日期，电子文档为纸质版磋商响应文件正本的扫描件，需采用不可修改文档格式，电子文档与纸质版磋商响应文件正本内容必须完全一致，包括盖章和签字，并与书面磋商响应文件一并提交，否则，视为无效磋商。</w:t>
            </w:r>
          </w:p>
        </w:tc>
      </w:tr>
      <w:tr w14:paraId="22ACFCDF">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22FAD85">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AC209B">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磋商文件的密封</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72D2ADF">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磋商响应文件的正本与副本须分别密封，加贴密封条，并在密封包装的封口处加盖磋商单位公章（未按要求密封的磋商响应文件将不予接收）；磋商响应文件的封套上应标记“正本”或“副本”字样，封套上应写明：</w:t>
            </w:r>
          </w:p>
          <w:p w14:paraId="4F1C8442">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采购项目名称：                正（副）本</w:t>
            </w:r>
          </w:p>
          <w:p w14:paraId="7185B597">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采购项目编号：</w:t>
            </w:r>
          </w:p>
          <w:p w14:paraId="1696872C">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磋商供应商名称：          （加盖单位公章）</w:t>
            </w:r>
          </w:p>
          <w:p w14:paraId="3EFB229B">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              （签字）</w:t>
            </w:r>
          </w:p>
          <w:p w14:paraId="461439E1">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rPr>
              <w:t>于</w:t>
            </w:r>
            <w:r>
              <w:rPr>
                <w:rFonts w:hint="eastAsia" w:ascii="宋体" w:hAnsi="宋体" w:eastAsia="宋体" w:cs="宋体"/>
                <w:color w:val="000000"/>
                <w:kern w:val="0"/>
                <w:sz w:val="24"/>
                <w:lang w:eastAsia="zh-CN"/>
              </w:rPr>
              <w:t>2025年07月25日上午09:30（北京时间）</w:t>
            </w:r>
            <w:r>
              <w:rPr>
                <w:rFonts w:hint="eastAsia" w:ascii="宋体" w:hAnsi="宋体" w:eastAsia="宋体" w:cs="宋体"/>
                <w:color w:val="000000"/>
                <w:kern w:val="0"/>
                <w:sz w:val="24"/>
                <w:lang w:val="zh-CN"/>
              </w:rPr>
              <w:t>前不准启封</w:t>
            </w:r>
          </w:p>
        </w:tc>
      </w:tr>
      <w:tr w14:paraId="56600E6C">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FF26C5">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F6F55C">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递交磋商文件方式</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820113">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现场递交，不接受邮寄磋商。 </w:t>
            </w:r>
          </w:p>
        </w:tc>
      </w:tr>
      <w:tr w14:paraId="3FDAA4F6">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7E140E">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2171F96">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color w:val="000000"/>
                <w:kern w:val="0"/>
                <w:sz w:val="24"/>
              </w:rPr>
              <w:t>磋商</w:t>
            </w:r>
            <w:r>
              <w:rPr>
                <w:rFonts w:hint="eastAsia" w:ascii="宋体" w:hAnsi="宋体" w:eastAsia="宋体" w:cs="宋体"/>
                <w:bCs/>
                <w:color w:val="000000"/>
                <w:kern w:val="0"/>
                <w:sz w:val="24"/>
                <w:lang w:val="zh-CN"/>
              </w:rPr>
              <w:t>截止时间</w:t>
            </w:r>
          </w:p>
        </w:tc>
        <w:tc>
          <w:tcPr>
            <w:tcW w:w="7257" w:type="dxa"/>
            <w:tcBorders>
              <w:top w:val="outset" w:color="000000" w:sz="6" w:space="0"/>
              <w:left w:val="outset" w:color="000000" w:sz="6" w:space="0"/>
              <w:bottom w:val="outset" w:color="000000" w:sz="6" w:space="0"/>
              <w:right w:val="outset" w:color="000000" w:sz="6" w:space="0"/>
            </w:tcBorders>
            <w:noWrap w:val="0"/>
            <w:vAlign w:val="center"/>
          </w:tcPr>
          <w:p w14:paraId="64D0809E">
            <w:pPr>
              <w:pStyle w:val="68"/>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2025年07月25日上午09:30（北京时间）</w:t>
            </w:r>
          </w:p>
        </w:tc>
      </w:tr>
      <w:tr w14:paraId="14D328C7">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280CB7">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3AF359">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磋商时间</w:t>
            </w:r>
          </w:p>
        </w:tc>
        <w:tc>
          <w:tcPr>
            <w:tcW w:w="7257" w:type="dxa"/>
            <w:tcBorders>
              <w:top w:val="outset" w:color="000000" w:sz="6" w:space="0"/>
              <w:left w:val="outset" w:color="000000" w:sz="6" w:space="0"/>
              <w:bottom w:val="outset" w:color="000000" w:sz="6" w:space="0"/>
              <w:right w:val="outset" w:color="000000" w:sz="6" w:space="0"/>
            </w:tcBorders>
            <w:noWrap w:val="0"/>
            <w:vAlign w:val="center"/>
          </w:tcPr>
          <w:p w14:paraId="6FDBA473">
            <w:pPr>
              <w:pStyle w:val="68"/>
              <w:spacing w:line="36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2025年07月25日上午09:30（北京时间）</w:t>
            </w:r>
          </w:p>
        </w:tc>
      </w:tr>
      <w:tr w14:paraId="25103942">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60FEC1">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92FEF3">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磋商及磋商地点</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10291A7">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eastAsia="zh-CN"/>
              </w:rPr>
              <w:t>西宁市城西区盐湖巷6号10号楼（城西区总部经济大厦)16楼青海国焱工程项目管理有限公司</w:t>
            </w:r>
            <w:r>
              <w:rPr>
                <w:rFonts w:hint="eastAsia" w:ascii="宋体" w:hAnsi="宋体" w:eastAsia="宋体" w:cs="宋体"/>
                <w:color w:val="000000"/>
                <w:kern w:val="0"/>
                <w:sz w:val="24"/>
              </w:rPr>
              <w:t>开标室</w:t>
            </w:r>
          </w:p>
        </w:tc>
      </w:tr>
      <w:tr w14:paraId="0B7C8681">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C9F079">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BB8A93">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答疑澄清方式</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334F1E">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采用现场答疑。磋商供应商须提供准确的联系方式（手机和固定电话），应在规定的时间内到达评审现场进行答疑澄清，如在规定的时间内联系无果或未按时到达的，视同放弃答疑。</w:t>
            </w:r>
          </w:p>
        </w:tc>
      </w:tr>
      <w:tr w14:paraId="227B4FBC">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38842F">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F99672">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代理服务费收取</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B5C6CFE">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招标代理服务费：</w:t>
            </w:r>
          </w:p>
          <w:p w14:paraId="6C2CD317">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收取对象：成交磋商供应商</w:t>
            </w:r>
          </w:p>
          <w:p w14:paraId="2A688B66">
            <w:p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收取金额：</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000元（大写：</w:t>
            </w:r>
            <w:r>
              <w:rPr>
                <w:rFonts w:hint="eastAsia" w:ascii="宋体" w:hAnsi="宋体" w:eastAsia="宋体" w:cs="宋体"/>
                <w:color w:val="000000"/>
                <w:kern w:val="0"/>
                <w:sz w:val="24"/>
                <w:lang w:val="en-US" w:eastAsia="zh-CN"/>
              </w:rPr>
              <w:t>伍</w:t>
            </w:r>
            <w:r>
              <w:rPr>
                <w:rFonts w:hint="eastAsia" w:ascii="宋体" w:hAnsi="宋体" w:eastAsia="宋体" w:cs="宋体"/>
                <w:color w:val="000000"/>
                <w:kern w:val="0"/>
                <w:sz w:val="24"/>
              </w:rPr>
              <w:t>仟元整）</w:t>
            </w:r>
          </w:p>
          <w:p w14:paraId="6140DF55">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代理服务费的支付形式：电汇、支票。</w:t>
            </w:r>
          </w:p>
          <w:p w14:paraId="6A3368A8">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账户名：青海国焱工程项目管理有限公司</w:t>
            </w:r>
          </w:p>
          <w:p w14:paraId="5B99ABB6">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开户行号：102851000139</w:t>
            </w:r>
          </w:p>
          <w:p w14:paraId="1EF05763">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账  号：2806001309000043259</w:t>
            </w:r>
          </w:p>
          <w:p w14:paraId="33F1AE21">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开户行：中国工商银行股份有限公司西宁五四大街支行</w:t>
            </w:r>
          </w:p>
          <w:p w14:paraId="56021012">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代理服务费以人民币支付。</w:t>
            </w:r>
          </w:p>
          <w:p w14:paraId="508AED66">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代理服务费不在磋商报价中单列。</w:t>
            </w:r>
          </w:p>
        </w:tc>
      </w:tr>
      <w:tr w14:paraId="484C50DD">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FAA955">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E3147C3">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合同签订有效期</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15543BB">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自成交通知书发出之日起</w:t>
            </w:r>
            <w:r>
              <w:rPr>
                <w:rFonts w:hint="eastAsia" w:ascii="宋体" w:hAnsi="宋体" w:eastAsia="宋体" w:cs="宋体"/>
                <w:color w:val="000000"/>
                <w:kern w:val="0"/>
                <w:sz w:val="24"/>
              </w:rPr>
              <w:t>30</w:t>
            </w:r>
            <w:r>
              <w:rPr>
                <w:rFonts w:hint="eastAsia" w:ascii="宋体" w:hAnsi="宋体" w:eastAsia="宋体" w:cs="宋体"/>
                <w:color w:val="000000"/>
                <w:kern w:val="0"/>
                <w:sz w:val="24"/>
                <w:lang w:val="zh-CN"/>
              </w:rPr>
              <w:t>日内与采购单位签订服务合同</w:t>
            </w:r>
          </w:p>
        </w:tc>
      </w:tr>
      <w:tr w14:paraId="65A4E73B">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B1CBB0">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0B3C72">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采购合同备案</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9A0A87">
            <w:pPr>
              <w:spacing w:line="360" w:lineRule="auto"/>
              <w:rPr>
                <w:rFonts w:hint="eastAsia" w:ascii="宋体" w:hAnsi="宋体" w:eastAsia="宋体" w:cs="宋体"/>
                <w:color w:val="000000"/>
                <w:sz w:val="24"/>
              </w:rPr>
            </w:pPr>
            <w:r>
              <w:rPr>
                <w:rFonts w:hint="eastAsia" w:ascii="宋体" w:hAnsi="宋体" w:eastAsia="宋体" w:cs="宋体"/>
                <w:color w:val="000000"/>
                <w:sz w:val="24"/>
              </w:rPr>
              <w:t>采购合同全数返回采购代理机构签证，盖章。</w:t>
            </w:r>
          </w:p>
          <w:p w14:paraId="4D100E2B">
            <w:pPr>
              <w:spacing w:line="360" w:lineRule="auto"/>
              <w:rPr>
                <w:rFonts w:hint="eastAsia" w:ascii="宋体" w:hAnsi="宋体" w:eastAsia="宋体" w:cs="宋体"/>
                <w:color w:val="000000"/>
                <w:sz w:val="24"/>
              </w:rPr>
            </w:pPr>
            <w:r>
              <w:rPr>
                <w:rFonts w:hint="eastAsia" w:ascii="宋体" w:hAnsi="宋体" w:eastAsia="宋体" w:cs="宋体"/>
                <w:color w:val="000000"/>
                <w:sz w:val="24"/>
              </w:rPr>
              <w:t>采购代理机构留存叁份原件备案。</w:t>
            </w:r>
          </w:p>
          <w:p w14:paraId="7BF2E43A">
            <w:pPr>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rPr>
              <w:t>合同返回地址：</w:t>
            </w:r>
            <w:r>
              <w:rPr>
                <w:rFonts w:hint="eastAsia" w:ascii="宋体" w:hAnsi="宋体" w:eastAsia="宋体" w:cs="宋体"/>
                <w:color w:val="000000"/>
                <w:kern w:val="0"/>
                <w:sz w:val="24"/>
                <w:lang w:eastAsia="zh-CN"/>
              </w:rPr>
              <w:t>西宁市城西区盐湖巷6号10号楼（城西区总部经济大厦)16楼青海国焱工程项目管理有限公司</w:t>
            </w:r>
          </w:p>
        </w:tc>
      </w:tr>
      <w:tr w14:paraId="02BE0571">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185C8F">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BE74E3">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磋商有效期</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CD5FAA0">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本次磋商有效期为磋商之日起60日历日</w:t>
            </w:r>
          </w:p>
        </w:tc>
      </w:tr>
      <w:tr w14:paraId="557A2BF5">
        <w:tblPrEx>
          <w:tblCellMar>
            <w:top w:w="0" w:type="dxa"/>
            <w:left w:w="57" w:type="dxa"/>
            <w:bottom w:w="0" w:type="dxa"/>
            <w:right w:w="57" w:type="dxa"/>
          </w:tblCellMar>
        </w:tblPrEx>
        <w:trPr>
          <w:wBefore w:w="0" w:type="dxa"/>
          <w:wAfter w:w="0" w:type="dxa"/>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CF11A03">
            <w:pPr>
              <w:numPr>
                <w:ilvl w:val="0"/>
                <w:numId w:val="4"/>
              </w:numPr>
              <w:autoSpaceDE w:val="0"/>
              <w:autoSpaceDN w:val="0"/>
              <w:spacing w:line="360" w:lineRule="auto"/>
              <w:jc w:val="center"/>
              <w:rPr>
                <w:rFonts w:hint="eastAsia" w:ascii="宋体" w:hAnsi="宋体" w:eastAsia="宋体" w:cs="宋体"/>
                <w:bCs/>
                <w:color w:val="000000"/>
                <w:kern w:val="0"/>
                <w:sz w:val="24"/>
                <w:lang w:val="zh-CN"/>
              </w:rPr>
            </w:pPr>
          </w:p>
        </w:tc>
        <w:tc>
          <w:tcPr>
            <w:tcW w:w="252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8A3FBB">
            <w:pPr>
              <w:autoSpaceDE w:val="0"/>
              <w:autoSpaceDN w:val="0"/>
              <w:spacing w:line="360" w:lineRule="auto"/>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其他要求</w:t>
            </w:r>
          </w:p>
        </w:tc>
        <w:tc>
          <w:tcPr>
            <w:tcW w:w="725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62E115A">
            <w:pPr>
              <w:autoSpaceDE w:val="0"/>
              <w:autoSpaceDN w:val="0"/>
              <w:spacing w:line="360" w:lineRule="auto"/>
              <w:jc w:val="left"/>
              <w:rPr>
                <w:rFonts w:hint="eastAsia" w:ascii="宋体" w:hAnsi="宋体" w:eastAsia="宋体" w:cs="宋体"/>
                <w:color w:val="000000"/>
                <w:kern w:val="0"/>
                <w:sz w:val="24"/>
                <w:lang w:val="zh-CN"/>
              </w:rPr>
            </w:pPr>
            <w:r>
              <w:rPr>
                <w:rFonts w:hint="eastAsia" w:ascii="宋体" w:hAnsi="宋体" w:eastAsia="宋体" w:cs="宋体"/>
                <w:color w:val="000000"/>
                <w:sz w:val="24"/>
              </w:rPr>
              <w:t>本项目招标公告在《青海项目信息网》、</w:t>
            </w:r>
            <w:r>
              <w:rPr>
                <w:rFonts w:hint="eastAsia" w:ascii="宋体" w:hAnsi="宋体" w:eastAsia="宋体" w:cs="宋体"/>
                <w:color w:val="000000"/>
                <w:sz w:val="24"/>
                <w:lang w:eastAsia="zh-CN"/>
              </w:rPr>
              <w:t>《青海省电子招投标公共服务平台》</w:t>
            </w:r>
            <w:r>
              <w:rPr>
                <w:rFonts w:hint="eastAsia" w:ascii="宋体" w:hAnsi="宋体" w:eastAsia="宋体" w:cs="宋体"/>
                <w:color w:val="000000"/>
                <w:kern w:val="0"/>
                <w:sz w:val="24"/>
              </w:rPr>
              <w:t>同时发布。</w:t>
            </w:r>
          </w:p>
        </w:tc>
      </w:tr>
    </w:tbl>
    <w:p w14:paraId="77DDA9E9">
      <w:pPr>
        <w:pStyle w:val="17"/>
        <w:rPr>
          <w:rFonts w:hint="eastAsia" w:ascii="宋体" w:hAnsi="宋体" w:eastAsia="宋体" w:cs="宋体"/>
          <w:color w:val="000000"/>
        </w:rPr>
      </w:pPr>
      <w:bookmarkStart w:id="25" w:name="_Toc444715734"/>
    </w:p>
    <w:p w14:paraId="69FE3BA5">
      <w:pPr>
        <w:pStyle w:val="24"/>
        <w:spacing w:before="0" w:after="0" w:line="360" w:lineRule="auto"/>
        <w:rPr>
          <w:rFonts w:hint="eastAsia" w:ascii="宋体" w:hAnsi="宋体" w:eastAsia="宋体" w:cs="宋体"/>
          <w:color w:val="000000"/>
          <w:lang w:val="zh-CN"/>
        </w:rPr>
      </w:pPr>
      <w:bookmarkStart w:id="26" w:name="_Toc14690"/>
      <w:r>
        <w:rPr>
          <w:rFonts w:hint="eastAsia" w:ascii="宋体" w:hAnsi="宋体" w:eastAsia="宋体" w:cs="宋体"/>
          <w:color w:val="000000"/>
          <w:sz w:val="48"/>
        </w:rPr>
        <w:br w:type="page"/>
      </w:r>
      <w:r>
        <w:rPr>
          <w:rFonts w:hint="eastAsia" w:ascii="宋体" w:hAnsi="宋体" w:eastAsia="宋体" w:cs="宋体"/>
          <w:color w:val="000000"/>
          <w:sz w:val="48"/>
        </w:rPr>
        <w:t>第三部分  磋商供应商须知</w:t>
      </w:r>
      <w:bookmarkEnd w:id="25"/>
      <w:bookmarkEnd w:id="26"/>
    </w:p>
    <w:p w14:paraId="53F30A7E">
      <w:pPr>
        <w:pStyle w:val="6"/>
        <w:rPr>
          <w:rFonts w:hint="eastAsia" w:ascii="宋体" w:hAnsi="宋体" w:eastAsia="宋体" w:cs="宋体"/>
          <w:b/>
          <w:color w:val="000000"/>
          <w:sz w:val="32"/>
          <w:szCs w:val="32"/>
        </w:rPr>
      </w:pPr>
      <w:bookmarkStart w:id="27" w:name="_Toc31706"/>
      <w:r>
        <w:rPr>
          <w:rFonts w:hint="eastAsia" w:ascii="宋体" w:hAnsi="宋体" w:eastAsia="宋体" w:cs="宋体"/>
          <w:b/>
          <w:color w:val="000000"/>
          <w:sz w:val="32"/>
          <w:szCs w:val="32"/>
        </w:rPr>
        <w:t>说明</w:t>
      </w:r>
      <w:bookmarkEnd w:id="27"/>
    </w:p>
    <w:p w14:paraId="7E165B5E">
      <w:pPr>
        <w:pStyle w:val="7"/>
        <w:numPr>
          <w:ilvl w:val="0"/>
          <w:numId w:val="5"/>
        </w:numPr>
        <w:spacing w:before="0" w:after="0" w:line="360" w:lineRule="auto"/>
        <w:rPr>
          <w:rFonts w:hint="eastAsia" w:ascii="宋体" w:hAnsi="宋体" w:eastAsia="宋体" w:cs="宋体"/>
          <w:b w:val="0"/>
          <w:color w:val="000000"/>
        </w:rPr>
      </w:pPr>
      <w:bookmarkStart w:id="28" w:name="_Toc14439"/>
      <w:bookmarkStart w:id="29" w:name="_Toc495570969"/>
      <w:bookmarkStart w:id="30" w:name="_Toc488691479"/>
      <w:bookmarkStart w:id="31" w:name="_Toc459377860"/>
      <w:bookmarkStart w:id="32" w:name="_Toc446427794"/>
      <w:r>
        <w:rPr>
          <w:rFonts w:hint="eastAsia" w:ascii="宋体" w:hAnsi="宋体" w:eastAsia="宋体" w:cs="宋体"/>
          <w:b w:val="0"/>
          <w:color w:val="000000"/>
        </w:rPr>
        <w:t>磋商内容及要求</w:t>
      </w:r>
      <w:bookmarkEnd w:id="28"/>
      <w:bookmarkEnd w:id="29"/>
      <w:bookmarkEnd w:id="30"/>
      <w:bookmarkEnd w:id="31"/>
      <w:bookmarkEnd w:id="32"/>
    </w:p>
    <w:p w14:paraId="4AC95B11">
      <w:pPr>
        <w:pStyle w:val="17"/>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本次采购依据采购单位的采购计划，仅适用于本竞争性磋商文件（以下简称“磋商文件”）中所叙述的项目。</w:t>
      </w:r>
    </w:p>
    <w:p w14:paraId="7FB8D646">
      <w:pPr>
        <w:pStyle w:val="7"/>
        <w:numPr>
          <w:ilvl w:val="0"/>
          <w:numId w:val="5"/>
        </w:numPr>
        <w:spacing w:before="0" w:after="0" w:line="360" w:lineRule="auto"/>
        <w:rPr>
          <w:rFonts w:hint="eastAsia" w:ascii="宋体" w:hAnsi="宋体" w:eastAsia="宋体" w:cs="宋体"/>
          <w:b w:val="0"/>
          <w:color w:val="000000"/>
        </w:rPr>
      </w:pPr>
      <w:bookmarkStart w:id="33" w:name="_Toc3415"/>
      <w:bookmarkStart w:id="34" w:name="_Toc488673614"/>
      <w:r>
        <w:rPr>
          <w:rFonts w:hint="eastAsia" w:ascii="宋体" w:hAnsi="宋体" w:eastAsia="宋体" w:cs="宋体"/>
          <w:b w:val="0"/>
          <w:color w:val="000000"/>
        </w:rPr>
        <w:t>采购方式、合格的磋商供应商</w:t>
      </w:r>
      <w:bookmarkEnd w:id="33"/>
      <w:bookmarkEnd w:id="34"/>
    </w:p>
    <w:p w14:paraId="77F75F9F">
      <w:pPr>
        <w:pStyle w:val="17"/>
        <w:numPr>
          <w:ilvl w:val="1"/>
          <w:numId w:val="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本次磋商采取竞争性磋商方式；</w:t>
      </w:r>
    </w:p>
    <w:p w14:paraId="11FC4D3E">
      <w:pPr>
        <w:pStyle w:val="17"/>
        <w:numPr>
          <w:ilvl w:val="1"/>
          <w:numId w:val="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4"/>
        </w:rPr>
        <w:t>合格的磋商供应商：</w:t>
      </w:r>
    </w:p>
    <w:p w14:paraId="1EEA838B">
      <w:pPr>
        <w:pStyle w:val="68"/>
        <w:numPr>
          <w:ilvl w:val="0"/>
          <w:numId w:val="7"/>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参加采购活动的供应商应当具备以下的条件，提供下列材料：</w:t>
      </w:r>
      <w:bookmarkStart w:id="35" w:name="OLE_LINK3"/>
    </w:p>
    <w:bookmarkEnd w:id="35"/>
    <w:p w14:paraId="50A61466">
      <w:pPr>
        <w:numPr>
          <w:ilvl w:val="0"/>
          <w:numId w:val="8"/>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磋商供应商的营业执照等证明文件，自然人的身份证明。</w:t>
      </w:r>
    </w:p>
    <w:p w14:paraId="032D6E7C">
      <w:pPr>
        <w:numPr>
          <w:ilvl w:val="0"/>
          <w:numId w:val="8"/>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财务状况报告，依法缴纳税收和社会保障资金的相关材料。</w:t>
      </w:r>
    </w:p>
    <w:p w14:paraId="7CB638B3">
      <w:pPr>
        <w:numPr>
          <w:ilvl w:val="0"/>
          <w:numId w:val="8"/>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具备履行合同所必需的设备和专业技术能力的证明材料。</w:t>
      </w:r>
    </w:p>
    <w:p w14:paraId="625BF715">
      <w:pPr>
        <w:numPr>
          <w:ilvl w:val="0"/>
          <w:numId w:val="8"/>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参加采购活动前3年内在经营活动中没有重大违法记录的书面声明。</w:t>
      </w:r>
    </w:p>
    <w:p w14:paraId="6E976AF0">
      <w:pPr>
        <w:numPr>
          <w:ilvl w:val="0"/>
          <w:numId w:val="8"/>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具备法律、行政法规规定的其他条件的证明材料。</w:t>
      </w:r>
    </w:p>
    <w:p w14:paraId="76076944">
      <w:pPr>
        <w:numPr>
          <w:ilvl w:val="0"/>
          <w:numId w:val="7"/>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单位负责人为同一人或者存在直接控股、管理关系的不同供应商，不得参加同一合同项下的采购活动。否则，皆取消磋商资格；</w:t>
      </w:r>
    </w:p>
    <w:p w14:paraId="52AFC9CF">
      <w:pPr>
        <w:numPr>
          <w:ilvl w:val="0"/>
          <w:numId w:val="7"/>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经信用中国（www.creditchina.gov.cn）、中国政府采购网（www.ccgp.gov.cn）等渠道查询后，列入失信被执行人、</w:t>
      </w:r>
      <w:r>
        <w:rPr>
          <w:rFonts w:hint="eastAsia" w:ascii="宋体" w:hAnsi="宋体" w:eastAsia="宋体" w:cs="宋体"/>
          <w:color w:val="000000"/>
          <w:sz w:val="24"/>
          <w:lang w:val="en-US" w:eastAsia="zh-CN"/>
        </w:rPr>
        <w:t>重大</w:t>
      </w:r>
      <w:r>
        <w:rPr>
          <w:rFonts w:hint="eastAsia" w:ascii="宋体" w:hAnsi="宋体" w:eastAsia="宋体" w:cs="宋体"/>
          <w:color w:val="000000"/>
          <w:sz w:val="24"/>
          <w:lang w:val="zh-CN"/>
        </w:rPr>
        <w:t>税收违法</w:t>
      </w:r>
      <w:r>
        <w:rPr>
          <w:rFonts w:hint="eastAsia" w:ascii="宋体" w:hAnsi="宋体" w:eastAsia="宋体" w:cs="宋体"/>
          <w:color w:val="000000"/>
          <w:sz w:val="24"/>
          <w:lang w:val="en-US" w:eastAsia="zh-CN"/>
        </w:rPr>
        <w:t>失信主体</w:t>
      </w:r>
      <w:r>
        <w:rPr>
          <w:rFonts w:hint="eastAsia" w:ascii="宋体" w:hAnsi="宋体" w:eastAsia="宋体" w:cs="宋体"/>
          <w:color w:val="000000"/>
          <w:kern w:val="0"/>
          <w:sz w:val="24"/>
        </w:rPr>
        <w:t>、政府采购严重违法失信行为记录名单的，取消磋商资格(提供“信用中国”网站的查询截图)。</w:t>
      </w:r>
      <w:r>
        <w:rPr>
          <w:rFonts w:hint="eastAsia"/>
          <w:color w:val="000000"/>
          <w:kern w:val="0"/>
          <w:sz w:val="24"/>
        </w:rPr>
        <w:t>；</w:t>
      </w:r>
    </w:p>
    <w:p w14:paraId="38F7FF87">
      <w:pPr>
        <w:numPr>
          <w:ilvl w:val="0"/>
          <w:numId w:val="7"/>
        </w:num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lang w:val="zh-CN"/>
        </w:rPr>
        <w:t>本项目</w:t>
      </w:r>
      <w:r>
        <w:rPr>
          <w:rFonts w:hint="eastAsia" w:ascii="宋体" w:hAnsi="宋体" w:eastAsia="宋体" w:cs="宋体"/>
          <w:color w:val="000000"/>
          <w:kern w:val="0"/>
          <w:sz w:val="24"/>
          <w:lang w:val="en-US" w:eastAsia="zh-CN"/>
        </w:rPr>
        <w:t>不</w:t>
      </w:r>
      <w:r>
        <w:rPr>
          <w:rFonts w:hint="eastAsia" w:ascii="宋体" w:hAnsi="宋体" w:eastAsia="宋体" w:cs="宋体"/>
          <w:color w:val="000000"/>
          <w:kern w:val="0"/>
          <w:sz w:val="24"/>
          <w:lang w:val="zh-CN"/>
        </w:rPr>
        <w:t>接受磋商供应商以联合体方式进行磋商；</w:t>
      </w:r>
    </w:p>
    <w:p w14:paraId="21DE0C55">
      <w:pPr>
        <w:numPr>
          <w:ilvl w:val="0"/>
          <w:numId w:val="7"/>
        </w:numPr>
        <w:spacing w:line="360" w:lineRule="auto"/>
        <w:rPr>
          <w:rFonts w:hint="eastAsia" w:ascii="宋体" w:hAnsi="宋体" w:eastAsia="宋体" w:cs="宋体"/>
          <w:color w:val="000000"/>
          <w:kern w:val="0"/>
          <w:sz w:val="24"/>
        </w:rPr>
      </w:pPr>
      <w:r>
        <w:rPr>
          <w:rFonts w:hint="eastAsia" w:ascii="宋体" w:hAnsi="宋体"/>
          <w:color w:val="000000"/>
          <w:sz w:val="24"/>
          <w:lang w:val="en-US" w:eastAsia="zh-CN"/>
        </w:rPr>
        <w:t>供应商须具备有效的《会计师事务所执业证书》。</w:t>
      </w:r>
    </w:p>
    <w:p w14:paraId="3F90AB6C">
      <w:pPr>
        <w:pStyle w:val="7"/>
        <w:numPr>
          <w:ilvl w:val="0"/>
          <w:numId w:val="5"/>
        </w:numPr>
        <w:spacing w:before="0" w:after="0" w:line="360" w:lineRule="auto"/>
        <w:rPr>
          <w:rFonts w:hint="eastAsia" w:ascii="宋体" w:hAnsi="宋体" w:eastAsia="宋体" w:cs="宋体"/>
          <w:b w:val="0"/>
          <w:color w:val="000000"/>
        </w:rPr>
      </w:pPr>
      <w:bookmarkStart w:id="36" w:name="_Toc27504"/>
      <w:bookmarkStart w:id="37" w:name="_Toc488673615"/>
      <w:r>
        <w:rPr>
          <w:rFonts w:hint="eastAsia" w:ascii="宋体" w:hAnsi="宋体" w:eastAsia="宋体" w:cs="宋体"/>
          <w:b w:val="0"/>
          <w:color w:val="000000"/>
        </w:rPr>
        <w:t>磋商费用</w:t>
      </w:r>
      <w:bookmarkEnd w:id="36"/>
      <w:bookmarkEnd w:id="37"/>
    </w:p>
    <w:p w14:paraId="34DC02E7">
      <w:pPr>
        <w:pStyle w:val="17"/>
        <w:spacing w:line="360" w:lineRule="auto"/>
        <w:ind w:firstLine="480" w:firstLineChars="200"/>
        <w:rPr>
          <w:rFonts w:hint="eastAsia" w:ascii="宋体" w:hAnsi="宋体" w:eastAsia="宋体" w:cs="宋体"/>
          <w:b/>
          <w:color w:val="000000"/>
          <w:sz w:val="24"/>
          <w:szCs w:val="28"/>
        </w:rPr>
      </w:pPr>
      <w:r>
        <w:rPr>
          <w:rFonts w:hint="eastAsia" w:ascii="宋体" w:hAnsi="宋体" w:eastAsia="宋体" w:cs="宋体"/>
          <w:color w:val="000000"/>
          <w:sz w:val="24"/>
          <w:szCs w:val="28"/>
        </w:rPr>
        <w:t>磋商供应商应自愿承担与参加本次磋商有关的费用。采购代理机构对磋商供应商发生的费用不承担任何责任。</w:t>
      </w:r>
    </w:p>
    <w:p w14:paraId="2EBBE6AD">
      <w:pPr>
        <w:pStyle w:val="6"/>
        <w:rPr>
          <w:rFonts w:hint="eastAsia" w:ascii="宋体" w:hAnsi="宋体" w:eastAsia="宋体" w:cs="宋体"/>
          <w:b/>
          <w:color w:val="000000"/>
          <w:sz w:val="32"/>
          <w:szCs w:val="32"/>
        </w:rPr>
      </w:pPr>
      <w:bookmarkStart w:id="38" w:name="_Toc1112"/>
      <w:r>
        <w:rPr>
          <w:rFonts w:hint="eastAsia" w:ascii="宋体" w:hAnsi="宋体" w:eastAsia="宋体" w:cs="宋体"/>
          <w:b/>
          <w:color w:val="000000"/>
          <w:sz w:val="32"/>
          <w:szCs w:val="32"/>
        </w:rPr>
        <w:t>磋商文件说明</w:t>
      </w:r>
      <w:bookmarkEnd w:id="38"/>
    </w:p>
    <w:p w14:paraId="6F29A383">
      <w:pPr>
        <w:pStyle w:val="7"/>
        <w:numPr>
          <w:ilvl w:val="0"/>
          <w:numId w:val="5"/>
        </w:numPr>
        <w:spacing w:before="0" w:after="0" w:line="360" w:lineRule="auto"/>
        <w:rPr>
          <w:rFonts w:hint="eastAsia" w:ascii="宋体" w:hAnsi="宋体" w:eastAsia="宋体" w:cs="宋体"/>
          <w:b w:val="0"/>
          <w:color w:val="000000"/>
        </w:rPr>
      </w:pPr>
      <w:bookmarkStart w:id="39" w:name="_Toc488673617"/>
      <w:bookmarkStart w:id="40" w:name="_Toc566"/>
      <w:r>
        <w:rPr>
          <w:rFonts w:hint="eastAsia" w:ascii="宋体" w:hAnsi="宋体" w:eastAsia="宋体" w:cs="宋体"/>
          <w:b w:val="0"/>
          <w:color w:val="000000"/>
        </w:rPr>
        <w:t>磋商文件的</w:t>
      </w:r>
      <w:bookmarkEnd w:id="39"/>
      <w:r>
        <w:rPr>
          <w:rFonts w:hint="eastAsia" w:ascii="宋体" w:hAnsi="宋体" w:eastAsia="宋体" w:cs="宋体"/>
          <w:b w:val="0"/>
          <w:color w:val="000000"/>
        </w:rPr>
        <w:t>构成</w:t>
      </w:r>
      <w:bookmarkEnd w:id="40"/>
    </w:p>
    <w:p w14:paraId="23899CB9">
      <w:pPr>
        <w:pStyle w:val="17"/>
        <w:numPr>
          <w:ilvl w:val="1"/>
          <w:numId w:val="9"/>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磋商文件包括：</w:t>
      </w:r>
    </w:p>
    <w:p w14:paraId="30A889E4">
      <w:pPr>
        <w:pStyle w:val="17"/>
        <w:numPr>
          <w:ilvl w:val="0"/>
          <w:numId w:val="1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磋商邀请；</w:t>
      </w:r>
    </w:p>
    <w:p w14:paraId="67FA8F47">
      <w:pPr>
        <w:pStyle w:val="17"/>
        <w:numPr>
          <w:ilvl w:val="0"/>
          <w:numId w:val="1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磋商供应商须知前附表；</w:t>
      </w:r>
    </w:p>
    <w:p w14:paraId="5C46FFFF">
      <w:pPr>
        <w:pStyle w:val="17"/>
        <w:numPr>
          <w:ilvl w:val="0"/>
          <w:numId w:val="1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磋商供应商须知；</w:t>
      </w:r>
    </w:p>
    <w:p w14:paraId="3CFE3E6E">
      <w:pPr>
        <w:pStyle w:val="17"/>
        <w:numPr>
          <w:ilvl w:val="0"/>
          <w:numId w:val="1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青海省采购合同文本；</w:t>
      </w:r>
    </w:p>
    <w:p w14:paraId="179F92AA">
      <w:pPr>
        <w:pStyle w:val="17"/>
        <w:numPr>
          <w:ilvl w:val="0"/>
          <w:numId w:val="1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磋商响应文件格式；</w:t>
      </w:r>
    </w:p>
    <w:p w14:paraId="6F9B465F">
      <w:pPr>
        <w:pStyle w:val="17"/>
        <w:numPr>
          <w:ilvl w:val="0"/>
          <w:numId w:val="1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采购项目服务要求；</w:t>
      </w:r>
    </w:p>
    <w:p w14:paraId="2467BB31">
      <w:pPr>
        <w:pStyle w:val="17"/>
        <w:numPr>
          <w:ilvl w:val="0"/>
          <w:numId w:val="1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采购过程中发生的澄清、变更和补充文件；</w:t>
      </w:r>
    </w:p>
    <w:p w14:paraId="3F7289DE">
      <w:pPr>
        <w:pStyle w:val="17"/>
        <w:numPr>
          <w:ilvl w:val="1"/>
          <w:numId w:val="9"/>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认真阅读磋商文件中列示的事项、格式、条款和要求等内容。如果磋商供应商未按磋商文件要求提交全部资料，或者对磋商文件未作出实质性响应的，根据相关法规要求，此类磋商将被拒绝（视为无效磋商）。</w:t>
      </w:r>
    </w:p>
    <w:p w14:paraId="6F50B8D4">
      <w:pPr>
        <w:pStyle w:val="7"/>
        <w:numPr>
          <w:ilvl w:val="0"/>
          <w:numId w:val="5"/>
        </w:numPr>
        <w:spacing w:before="0" w:after="0" w:line="360" w:lineRule="auto"/>
        <w:rPr>
          <w:rFonts w:hint="eastAsia" w:ascii="宋体" w:hAnsi="宋体" w:eastAsia="宋体" w:cs="宋体"/>
          <w:b w:val="0"/>
          <w:color w:val="000000"/>
        </w:rPr>
      </w:pPr>
      <w:bookmarkStart w:id="41" w:name="_Toc18502"/>
      <w:bookmarkStart w:id="42" w:name="_Toc488673618"/>
      <w:r>
        <w:rPr>
          <w:rFonts w:hint="eastAsia" w:ascii="宋体" w:hAnsi="宋体" w:eastAsia="宋体" w:cs="宋体"/>
          <w:b w:val="0"/>
          <w:color w:val="000000"/>
        </w:rPr>
        <w:t>磋商文件、磋商活动和成交结果的质疑</w:t>
      </w:r>
      <w:bookmarkEnd w:id="41"/>
      <w:bookmarkEnd w:id="42"/>
    </w:p>
    <w:p w14:paraId="6195FAAE">
      <w:pPr>
        <w:pStyle w:val="17"/>
        <w:numPr>
          <w:ilvl w:val="1"/>
          <w:numId w:val="1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认为磋商文件、采购过程和成交结果使自己的权益受到损害的，可以在知道或者应知其权益受到损害之日起7个工作日内以书面形式（如信件、传真等）向采购人或者采购代理机构提出质疑，不接受匿名质疑。潜在供应商已依法获取其可质疑的磋商文件的，可以对该文件提出质疑，对磋商文件提出质疑的，应当在获取磋商文件或者磋商文件公告期限届满之日起7个工作日内提出。供应商须在法定质疑期内一次性提出针对同一采购程序环节的质疑。采购人或采购代理机构在收到书面质疑函后7个工作日内作出答复。</w:t>
      </w:r>
    </w:p>
    <w:p w14:paraId="09661CB4">
      <w:pPr>
        <w:pStyle w:val="17"/>
        <w:numPr>
          <w:ilvl w:val="1"/>
          <w:numId w:val="1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参与采购活动的磋商供应商对评审过程或者结果提出质疑的，采购人或采购代理机构可以组织原评审委员会协助处理质疑事项，并依据评审委员会出具的意见进行答复。质疑事项处理完成后，采购人或采购代理机构应按照规定填写《青海省政府采购磋商供应商质疑处理情况表》，并在15日内报同级采购监督管理部门备案。</w:t>
      </w:r>
    </w:p>
    <w:p w14:paraId="040649AD">
      <w:pPr>
        <w:pStyle w:val="17"/>
        <w:numPr>
          <w:ilvl w:val="1"/>
          <w:numId w:val="1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质疑时效期间的计算</w:t>
      </w:r>
    </w:p>
    <w:p w14:paraId="24B44DEB">
      <w:pPr>
        <w:pStyle w:val="17"/>
        <w:numPr>
          <w:ilvl w:val="0"/>
          <w:numId w:val="1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对可以质疑的磋商文件提出质疑的，为收到磋商文件之日或磋商文件公告期限届满之日；</w:t>
      </w:r>
    </w:p>
    <w:p w14:paraId="46407300">
      <w:pPr>
        <w:pStyle w:val="17"/>
        <w:numPr>
          <w:ilvl w:val="0"/>
          <w:numId w:val="1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对磋商过程提出质疑的，为磋商程序各环节结束之日；</w:t>
      </w:r>
    </w:p>
    <w:p w14:paraId="2D3FDA01">
      <w:pPr>
        <w:pStyle w:val="17"/>
        <w:numPr>
          <w:ilvl w:val="0"/>
          <w:numId w:val="1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对成交结果提出质疑的，为成交公告期限届满之日。</w:t>
      </w:r>
    </w:p>
    <w:p w14:paraId="2218E1B9">
      <w:pPr>
        <w:pStyle w:val="7"/>
        <w:numPr>
          <w:ilvl w:val="0"/>
          <w:numId w:val="5"/>
        </w:numPr>
        <w:spacing w:before="0" w:after="0" w:line="360" w:lineRule="auto"/>
        <w:rPr>
          <w:rFonts w:hint="eastAsia" w:ascii="宋体" w:hAnsi="宋体" w:eastAsia="宋体" w:cs="宋体"/>
          <w:b w:val="0"/>
          <w:color w:val="000000"/>
        </w:rPr>
      </w:pPr>
      <w:bookmarkStart w:id="43" w:name="_Toc488673619"/>
      <w:bookmarkStart w:id="44" w:name="_Toc10954"/>
      <w:r>
        <w:rPr>
          <w:rFonts w:hint="eastAsia" w:ascii="宋体" w:hAnsi="宋体" w:eastAsia="宋体" w:cs="宋体"/>
          <w:b w:val="0"/>
          <w:color w:val="000000"/>
        </w:rPr>
        <w:t>磋商文件的修改</w:t>
      </w:r>
      <w:bookmarkEnd w:id="43"/>
      <w:bookmarkEnd w:id="44"/>
    </w:p>
    <w:p w14:paraId="3B88FF47">
      <w:pPr>
        <w:pStyle w:val="17"/>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在磋商截止期前，采购单位或采购代理机构可对磋商文件进行必要的修改或者澄清；</w:t>
      </w:r>
    </w:p>
    <w:p w14:paraId="55920DD1">
      <w:pPr>
        <w:pStyle w:val="17"/>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采购代理机构对已发出的磋商文件进行必要的澄清或者修改的，澄清或者修改的内容可能影响磋商响应文件编制的，在磋商文件要求提交磋商响应文件截止时间5日前，在青海项目信息网、</w:t>
      </w:r>
      <w:r>
        <w:rPr>
          <w:rFonts w:hint="eastAsia" w:hAnsi="宋体" w:eastAsia="宋体" w:cs="宋体"/>
          <w:color w:val="000000"/>
          <w:sz w:val="24"/>
          <w:lang w:eastAsia="zh-CN"/>
        </w:rPr>
        <w:t>青海省电子招投标公共服务平台</w:t>
      </w:r>
      <w:r>
        <w:rPr>
          <w:rFonts w:hint="eastAsia" w:ascii="宋体" w:hAnsi="宋体" w:eastAsia="宋体" w:cs="宋体"/>
          <w:color w:val="000000"/>
          <w:sz w:val="24"/>
          <w:szCs w:val="28"/>
        </w:rPr>
        <w:t>等媒体上发布公告。不足5日的，顺延提交磋商响应文件的截止时间。该澄清或者修改的内容为磋商文件的组成部分；</w:t>
      </w:r>
    </w:p>
    <w:p w14:paraId="67B79448">
      <w:pPr>
        <w:pStyle w:val="17"/>
        <w:numPr>
          <w:ilvl w:val="1"/>
          <w:numId w:val="1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在磋商截止时间前，采购单位或采购代理机构可以视采购具体情况，延长磋商截止时间和磋商时间，并在磋商文件要求提交磋商响应文件的截止时间3日前，将变更时间以书面形式通知所有购买了磋商文件的潜在磋商供应商，同时在发布本次磋商公告的网站发布变更公告。</w:t>
      </w:r>
    </w:p>
    <w:p w14:paraId="5E521BF3">
      <w:pPr>
        <w:pStyle w:val="6"/>
        <w:rPr>
          <w:rFonts w:hint="eastAsia" w:ascii="宋体" w:hAnsi="宋体" w:eastAsia="宋体" w:cs="宋体"/>
          <w:b/>
          <w:color w:val="000000"/>
          <w:sz w:val="32"/>
          <w:szCs w:val="32"/>
        </w:rPr>
      </w:pPr>
      <w:bookmarkStart w:id="45" w:name="_Toc18962"/>
      <w:r>
        <w:rPr>
          <w:rFonts w:hint="eastAsia" w:ascii="宋体" w:hAnsi="宋体" w:eastAsia="宋体" w:cs="宋体"/>
          <w:b/>
          <w:color w:val="000000"/>
          <w:sz w:val="32"/>
          <w:szCs w:val="32"/>
        </w:rPr>
        <w:t>磋商响应文件的编写</w:t>
      </w:r>
      <w:bookmarkEnd w:id="45"/>
    </w:p>
    <w:p w14:paraId="5A7169C3">
      <w:pPr>
        <w:pStyle w:val="7"/>
        <w:numPr>
          <w:ilvl w:val="0"/>
          <w:numId w:val="5"/>
        </w:numPr>
        <w:spacing w:before="0" w:after="0" w:line="360" w:lineRule="auto"/>
        <w:rPr>
          <w:rFonts w:hint="eastAsia" w:ascii="宋体" w:hAnsi="宋体" w:eastAsia="宋体" w:cs="宋体"/>
          <w:b w:val="0"/>
          <w:color w:val="000000"/>
        </w:rPr>
      </w:pPr>
      <w:bookmarkStart w:id="46" w:name="_Toc10483"/>
      <w:bookmarkStart w:id="47" w:name="_Toc488673621"/>
      <w:r>
        <w:rPr>
          <w:rFonts w:hint="eastAsia" w:ascii="宋体" w:hAnsi="宋体" w:eastAsia="宋体" w:cs="宋体"/>
          <w:b w:val="0"/>
          <w:color w:val="000000"/>
        </w:rPr>
        <w:t>磋商响应文件的语言及度量衡单位</w:t>
      </w:r>
      <w:bookmarkEnd w:id="46"/>
      <w:bookmarkEnd w:id="47"/>
    </w:p>
    <w:p w14:paraId="3FAB7FE9">
      <w:pPr>
        <w:pStyle w:val="17"/>
        <w:numPr>
          <w:ilvl w:val="1"/>
          <w:numId w:val="14"/>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磋商供应商提交的磋商响应文件以及磋商供应商与采购代理机构就此磋商发生的所有来往函电均应使用简体中文；</w:t>
      </w:r>
    </w:p>
    <w:p w14:paraId="7B84D01C">
      <w:pPr>
        <w:pStyle w:val="17"/>
        <w:numPr>
          <w:ilvl w:val="1"/>
          <w:numId w:val="14"/>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除磋商文件中另有规定外，磋商文件所使用的度量衡单位，均须采用国家法定计量单位；</w:t>
      </w:r>
    </w:p>
    <w:p w14:paraId="271BD453">
      <w:pPr>
        <w:pStyle w:val="17"/>
        <w:numPr>
          <w:ilvl w:val="1"/>
          <w:numId w:val="14"/>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附有外文资料的须翻译成中文，并加盖磋商供应商公章，如果翻译的中文资料与外文资料出现差异与矛盾时，以中文为准，其准确性由磋商供应商负责。</w:t>
      </w:r>
    </w:p>
    <w:p w14:paraId="4650BE9C">
      <w:pPr>
        <w:pStyle w:val="7"/>
        <w:numPr>
          <w:ilvl w:val="0"/>
          <w:numId w:val="5"/>
        </w:numPr>
        <w:spacing w:before="0" w:after="0" w:line="360" w:lineRule="auto"/>
        <w:rPr>
          <w:rFonts w:hint="eastAsia" w:ascii="宋体" w:hAnsi="宋体" w:eastAsia="宋体" w:cs="宋体"/>
          <w:b w:val="0"/>
          <w:color w:val="000000"/>
        </w:rPr>
      </w:pPr>
      <w:bookmarkStart w:id="48" w:name="_Toc488673622"/>
      <w:bookmarkStart w:id="49" w:name="_Toc25238"/>
      <w:r>
        <w:rPr>
          <w:rFonts w:hint="eastAsia" w:ascii="宋体" w:hAnsi="宋体" w:eastAsia="宋体" w:cs="宋体"/>
          <w:b w:val="0"/>
          <w:color w:val="000000"/>
        </w:rPr>
        <w:t>磋商报价及币种</w:t>
      </w:r>
      <w:bookmarkEnd w:id="48"/>
      <w:bookmarkEnd w:id="49"/>
    </w:p>
    <w:p w14:paraId="1D320E3B">
      <w:pPr>
        <w:pStyle w:val="17"/>
        <w:numPr>
          <w:ilvl w:val="1"/>
          <w:numId w:val="1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报价为磋商总价。磋商报价必须包括：完成本服务内容可能发生的各项费用，如人员工资、交通、设备、利润、税收、招标代理费以及所有有关的管理成本和其他不可预见费等全部费用。（说明：具体内容应根据项目特点实事求是的填写）</w:t>
      </w:r>
    </w:p>
    <w:p w14:paraId="6E0C229C">
      <w:pPr>
        <w:pStyle w:val="17"/>
        <w:numPr>
          <w:ilvl w:val="1"/>
          <w:numId w:val="1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磋商报价应注明有效期，有效期应与磋商有效期一致；</w:t>
      </w:r>
    </w:p>
    <w:p w14:paraId="4A380077">
      <w:pPr>
        <w:pStyle w:val="17"/>
        <w:numPr>
          <w:ilvl w:val="1"/>
          <w:numId w:val="1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磋商供应商应根据磋商文件规定的格式完整填写所有内容，并保证所提供的全部资料真实可靠，自愿承担相应责任；</w:t>
      </w:r>
    </w:p>
    <w:p w14:paraId="4D0DF9D6">
      <w:pPr>
        <w:pStyle w:val="17"/>
        <w:numPr>
          <w:ilvl w:val="1"/>
          <w:numId w:val="1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磋商报价为闭口价，即成交后在合同有效期内价格不变；</w:t>
      </w:r>
    </w:p>
    <w:p w14:paraId="335A6BFC">
      <w:pPr>
        <w:pStyle w:val="17"/>
        <w:numPr>
          <w:ilvl w:val="1"/>
          <w:numId w:val="1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磋商币种为人民币。</w:t>
      </w:r>
    </w:p>
    <w:p w14:paraId="14582D78">
      <w:pPr>
        <w:pStyle w:val="7"/>
        <w:numPr>
          <w:ilvl w:val="0"/>
          <w:numId w:val="5"/>
        </w:numPr>
        <w:spacing w:before="0" w:after="0" w:line="360" w:lineRule="auto"/>
        <w:rPr>
          <w:rFonts w:hint="eastAsia" w:ascii="宋体" w:hAnsi="宋体" w:eastAsia="宋体" w:cs="宋体"/>
          <w:b w:val="0"/>
          <w:color w:val="000000"/>
        </w:rPr>
      </w:pPr>
      <w:bookmarkStart w:id="50" w:name="_Toc19847"/>
      <w:bookmarkStart w:id="51" w:name="_Toc488673623"/>
      <w:r>
        <w:rPr>
          <w:rFonts w:hint="eastAsia" w:ascii="宋体" w:hAnsi="宋体" w:eastAsia="宋体" w:cs="宋体"/>
          <w:b w:val="0"/>
          <w:color w:val="000000"/>
        </w:rPr>
        <w:t>磋商保证金</w:t>
      </w:r>
      <w:bookmarkEnd w:id="50"/>
      <w:bookmarkEnd w:id="51"/>
    </w:p>
    <w:p w14:paraId="4A31DE68">
      <w:pPr>
        <w:pStyle w:val="17"/>
        <w:numPr>
          <w:ilvl w:val="1"/>
          <w:numId w:val="1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磋商供应商应将磋商保证金缴纳证明作为磋商文件的内容一并提供。缴纳的磋商保证金用于因磋商供应商的行为使本次磋商活动受到损失的抵项；</w:t>
      </w:r>
    </w:p>
    <w:p w14:paraId="67783C61">
      <w:pPr>
        <w:pStyle w:val="17"/>
        <w:numPr>
          <w:ilvl w:val="1"/>
          <w:numId w:val="1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磋商供应商须在磋商截止期前按以下要求交纳磋商保证金：</w:t>
      </w:r>
    </w:p>
    <w:p w14:paraId="3F1E53AA">
      <w:pPr>
        <w:widowControl/>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磋商</w:t>
      </w:r>
      <w:r>
        <w:rPr>
          <w:rFonts w:hint="eastAsia" w:ascii="宋体" w:hAnsi="宋体" w:eastAsia="宋体" w:cs="宋体"/>
          <w:color w:val="000000"/>
          <w:sz w:val="24"/>
        </w:rPr>
        <w:t>保证金的金额（人民币）</w:t>
      </w:r>
      <w:bookmarkStart w:id="52" w:name="_Toc421873480"/>
      <w:r>
        <w:rPr>
          <w:rFonts w:hint="eastAsia" w:ascii="宋体" w:hAnsi="宋体" w:eastAsia="宋体" w:cs="宋体"/>
          <w:color w:val="000000"/>
          <w:sz w:val="24"/>
        </w:rPr>
        <w:t>：</w:t>
      </w:r>
      <w:bookmarkEnd w:id="52"/>
      <w:bookmarkStart w:id="53" w:name="_Toc421873483"/>
      <w:r>
        <w:rPr>
          <w:rFonts w:hint="eastAsia" w:ascii="宋体" w:hAnsi="宋体" w:eastAsia="宋体" w:cs="宋体"/>
          <w:color w:val="000000"/>
          <w:kern w:val="0"/>
          <w:sz w:val="24"/>
        </w:rPr>
        <w:t>人民币</w:t>
      </w:r>
      <w:r>
        <w:rPr>
          <w:rFonts w:hint="eastAsia" w:ascii="宋体" w:hAnsi="宋体" w:eastAsia="宋体" w:cs="宋体"/>
          <w:color w:val="000000"/>
          <w:kern w:val="0"/>
          <w:sz w:val="24"/>
          <w:lang w:val="en-US" w:eastAsia="zh-CN"/>
        </w:rPr>
        <w:t>6,000.00元整（大写：陆仟元整）</w:t>
      </w:r>
      <w:r>
        <w:rPr>
          <w:rFonts w:hint="eastAsia" w:ascii="宋体" w:hAnsi="宋体" w:eastAsia="宋体" w:cs="宋体"/>
          <w:color w:val="000000"/>
          <w:kern w:val="0"/>
          <w:sz w:val="24"/>
          <w:lang w:val="zh-CN"/>
        </w:rPr>
        <w:t>；</w:t>
      </w:r>
    </w:p>
    <w:p w14:paraId="2E57ABFE">
      <w:pPr>
        <w:widowControl/>
        <w:adjustRightInd w:val="0"/>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磋商供应商可以采用现金支票、银行汇票、银行保函等非现金形式交纳磋商保证金（注明此次项目磋商文件编号，例：</w:t>
      </w:r>
      <w:r>
        <w:rPr>
          <w:rFonts w:hint="eastAsia" w:ascii="宋体" w:hAnsi="宋体" w:eastAsia="宋体" w:cs="宋体"/>
          <w:color w:val="000000"/>
          <w:kern w:val="0"/>
          <w:sz w:val="24"/>
          <w:lang w:eastAsia="zh-CN"/>
        </w:rPr>
        <w:t>青海国焱竞磋（服务）2025-267号</w:t>
      </w:r>
      <w:r>
        <w:rPr>
          <w:rFonts w:hint="eastAsia" w:ascii="宋体" w:hAnsi="宋体" w:eastAsia="宋体" w:cs="宋体"/>
          <w:color w:val="000000"/>
          <w:kern w:val="0"/>
          <w:sz w:val="24"/>
        </w:rPr>
        <w:t>）；提交账号如下：</w:t>
      </w:r>
      <w:bookmarkEnd w:id="53"/>
    </w:p>
    <w:p w14:paraId="73A8DE2B">
      <w:pPr>
        <w:widowControl/>
        <w:adjustRightInd w:val="0"/>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开户行：中国工商银行股份有限公司西宁五四大街支行</w:t>
      </w:r>
    </w:p>
    <w:p w14:paraId="0B6F18F9">
      <w:pPr>
        <w:widowControl/>
        <w:adjustRightInd w:val="0"/>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账户名：青海国焱工程项目管理有限公司</w:t>
      </w:r>
    </w:p>
    <w:p w14:paraId="717F6C7F">
      <w:pPr>
        <w:widowControl/>
        <w:adjustRightInd w:val="0"/>
        <w:snapToGrid w:val="0"/>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账  号：2806001309000043259（开户行号：102851000139）</w:t>
      </w:r>
    </w:p>
    <w:p w14:paraId="6113A045">
      <w:pPr>
        <w:pStyle w:val="17"/>
        <w:spacing w:line="360" w:lineRule="auto"/>
        <w:ind w:left="141" w:leftChars="67" w:firstLine="354" w:firstLineChars="147"/>
        <w:rPr>
          <w:rFonts w:hint="eastAsia" w:ascii="宋体" w:hAnsi="宋体" w:eastAsia="宋体" w:cs="宋体"/>
          <w:b/>
          <w:color w:val="000000"/>
          <w:sz w:val="24"/>
          <w:szCs w:val="24"/>
        </w:rPr>
      </w:pPr>
      <w:r>
        <w:rPr>
          <w:rFonts w:hint="eastAsia" w:ascii="宋体" w:hAnsi="宋体" w:eastAsia="宋体" w:cs="宋体"/>
          <w:b/>
          <w:bCs/>
          <w:color w:val="000000"/>
          <w:sz w:val="24"/>
          <w:lang w:val="zh-CN"/>
        </w:rPr>
        <w:t>磋商供应商在磋商截止期前，以银行到账时间为准。</w:t>
      </w:r>
    </w:p>
    <w:p w14:paraId="4CD7BCEE">
      <w:pPr>
        <w:pStyle w:val="17"/>
        <w:numPr>
          <w:ilvl w:val="1"/>
          <w:numId w:val="1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磋商保证金应当以电汇、支票、汇票、本票或者金融机构、担保机构出具的保函等非现金形式提交，通过银行转账的，必须从磋商供应商基本账户直接汇（转）入采购代理机构指定账户；</w:t>
      </w:r>
    </w:p>
    <w:p w14:paraId="418DD59C">
      <w:pPr>
        <w:pStyle w:val="17"/>
        <w:numPr>
          <w:ilvl w:val="1"/>
          <w:numId w:val="1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未按磋商文件要求在规定时间前交纳规定数额磋商保证金的磋商将被拒绝；</w:t>
      </w:r>
    </w:p>
    <w:p w14:paraId="3688C4E7">
      <w:pPr>
        <w:pStyle w:val="17"/>
        <w:numPr>
          <w:ilvl w:val="1"/>
          <w:numId w:val="1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未成交磋商供应商的磋商保证金自成交通知书发出之日起5个工作日内全额无息退还（不退现金）；成交磋商供应商的磋商保证金，自采购合同签订之日起5个工作日内全额无息退还（不退现金）；</w:t>
      </w:r>
    </w:p>
    <w:p w14:paraId="3F508522">
      <w:pPr>
        <w:pStyle w:val="17"/>
        <w:numPr>
          <w:ilvl w:val="1"/>
          <w:numId w:val="16"/>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下列任何情况发生时，磋商保证金将不予退还：</w:t>
      </w:r>
    </w:p>
    <w:p w14:paraId="3964DD79">
      <w:pPr>
        <w:pStyle w:val="17"/>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磋商供应商在递交磋商响应文件的截止时间前未到达现场并且没有以书面形式如信函、传真等告知采购代理机构要撤其磋商的；</w:t>
      </w:r>
    </w:p>
    <w:p w14:paraId="764CC1CF">
      <w:pPr>
        <w:pStyle w:val="17"/>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成交磋商供应商在规定期限内未能按规定签订合同或未按规定缴纳成交服务费；</w:t>
      </w:r>
    </w:p>
    <w:p w14:paraId="41BD4D0A">
      <w:pPr>
        <w:pStyle w:val="17"/>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提供虚假材料谋取成交的；</w:t>
      </w:r>
    </w:p>
    <w:p w14:paraId="1FF3D124">
      <w:pPr>
        <w:pStyle w:val="17"/>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将成交项目转让给他人，或者在磋商响应文件中未说明，将成交项目分包给他人的；</w:t>
      </w:r>
    </w:p>
    <w:p w14:paraId="2175BCD6">
      <w:pPr>
        <w:pStyle w:val="17"/>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拒绝履行合同义务的；</w:t>
      </w:r>
    </w:p>
    <w:p w14:paraId="33E13B53">
      <w:pPr>
        <w:pStyle w:val="17"/>
        <w:numPr>
          <w:ilvl w:val="0"/>
          <w:numId w:val="17"/>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法律、法规规定的其他情形。</w:t>
      </w:r>
    </w:p>
    <w:p w14:paraId="13193E8C">
      <w:pPr>
        <w:pStyle w:val="7"/>
        <w:numPr>
          <w:ilvl w:val="0"/>
          <w:numId w:val="5"/>
        </w:numPr>
        <w:spacing w:before="0" w:after="0" w:line="360" w:lineRule="auto"/>
        <w:rPr>
          <w:rFonts w:hint="eastAsia" w:ascii="宋体" w:hAnsi="宋体" w:eastAsia="宋体" w:cs="宋体"/>
          <w:b w:val="0"/>
          <w:color w:val="000000"/>
        </w:rPr>
      </w:pPr>
      <w:bookmarkStart w:id="54" w:name="_Toc488673624"/>
      <w:bookmarkStart w:id="55" w:name="_Toc13587"/>
      <w:r>
        <w:rPr>
          <w:rFonts w:hint="eastAsia" w:ascii="宋体" w:hAnsi="宋体" w:eastAsia="宋体" w:cs="宋体"/>
          <w:b w:val="0"/>
          <w:color w:val="000000"/>
        </w:rPr>
        <w:t>磋商有效期</w:t>
      </w:r>
      <w:bookmarkEnd w:id="54"/>
      <w:bookmarkEnd w:id="55"/>
    </w:p>
    <w:p w14:paraId="0AA52489">
      <w:pPr>
        <w:pStyle w:val="17"/>
        <w:spacing w:line="360" w:lineRule="auto"/>
        <w:ind w:firstLine="480" w:firstLineChars="200"/>
        <w:rPr>
          <w:rFonts w:hint="eastAsia" w:ascii="宋体" w:hAnsi="宋体" w:eastAsia="宋体" w:cs="宋体"/>
          <w:b/>
          <w:color w:val="000000"/>
          <w:sz w:val="24"/>
          <w:szCs w:val="28"/>
        </w:rPr>
      </w:pPr>
      <w:r>
        <w:rPr>
          <w:rFonts w:hint="eastAsia" w:ascii="宋体" w:hAnsi="宋体" w:eastAsia="宋体" w:cs="宋体"/>
          <w:color w:val="000000"/>
          <w:sz w:val="24"/>
          <w:szCs w:val="24"/>
        </w:rPr>
        <w:t>本次磋商有效期为自磋商之日起60日历日。</w:t>
      </w:r>
    </w:p>
    <w:p w14:paraId="4FCFF47F">
      <w:pPr>
        <w:pStyle w:val="7"/>
        <w:numPr>
          <w:ilvl w:val="0"/>
          <w:numId w:val="5"/>
        </w:numPr>
        <w:spacing w:before="0" w:after="0" w:line="360" w:lineRule="auto"/>
        <w:rPr>
          <w:rFonts w:hint="eastAsia" w:ascii="宋体" w:hAnsi="宋体" w:eastAsia="宋体" w:cs="宋体"/>
          <w:b w:val="0"/>
          <w:color w:val="000000"/>
        </w:rPr>
      </w:pPr>
      <w:bookmarkStart w:id="56" w:name="_Toc488673625"/>
      <w:bookmarkStart w:id="57" w:name="_Toc30086"/>
      <w:r>
        <w:rPr>
          <w:rFonts w:hint="eastAsia" w:ascii="宋体" w:hAnsi="宋体" w:eastAsia="宋体" w:cs="宋体"/>
          <w:b w:val="0"/>
          <w:color w:val="000000"/>
        </w:rPr>
        <w:t>磋商响应文件的构成</w:t>
      </w:r>
      <w:bookmarkEnd w:id="56"/>
      <w:bookmarkEnd w:id="57"/>
    </w:p>
    <w:p w14:paraId="6189714D">
      <w:pPr>
        <w:pStyle w:val="17"/>
        <w:spacing w:line="360" w:lineRule="auto"/>
        <w:ind w:left="621"/>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磋商供应商应提交相关证明材料，作为其参加磋商和成交后有能力履行合同的证明。编写的磋商响应文件须包括以下内容（格式见磋商文件“第五部分  磋商响应文件格式”）：</w:t>
      </w:r>
    </w:p>
    <w:p w14:paraId="481E4018">
      <w:pPr>
        <w:pStyle w:val="17"/>
        <w:numPr>
          <w:ilvl w:val="1"/>
          <w:numId w:val="18"/>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磋商响应文件；</w:t>
      </w:r>
    </w:p>
    <w:p w14:paraId="7F9CF065">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磋商函；</w:t>
      </w:r>
    </w:p>
    <w:p w14:paraId="3EA647A2">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法定代表人证明书；</w:t>
      </w:r>
    </w:p>
    <w:p w14:paraId="367CB7AD">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法定代表人授权书</w:t>
      </w:r>
      <w:r>
        <w:rPr>
          <w:rFonts w:hint="eastAsia" w:hAnsi="宋体" w:eastAsia="宋体" w:cs="宋体"/>
          <w:color w:val="000000"/>
          <w:sz w:val="24"/>
          <w:szCs w:val="24"/>
          <w:lang w:eastAsia="zh-CN"/>
        </w:rPr>
        <w:t>；</w:t>
      </w:r>
    </w:p>
    <w:p w14:paraId="025361E1">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磋商供应商承诺书；</w:t>
      </w:r>
    </w:p>
    <w:p w14:paraId="22D66A92">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供应商诚信承诺书；</w:t>
      </w:r>
    </w:p>
    <w:p w14:paraId="05C38782">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资格证明材料；</w:t>
      </w:r>
    </w:p>
    <w:p w14:paraId="0B36C0A0">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财务状况、缴纳税收和社会保障资金证明；</w:t>
      </w:r>
    </w:p>
    <w:p w14:paraId="52518E2C">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具备履行合同所必须的设备和专业技术能力证明；</w:t>
      </w:r>
    </w:p>
    <w:p w14:paraId="6398BF94">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无重大违法记录声明；</w:t>
      </w:r>
    </w:p>
    <w:p w14:paraId="1E567DFD">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磋商保证金证明；</w:t>
      </w:r>
    </w:p>
    <w:p w14:paraId="007D2DA3">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竞争性磋商首次报价表；</w:t>
      </w:r>
    </w:p>
    <w:p w14:paraId="635F77D8">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磋商服务相关资料；</w:t>
      </w:r>
    </w:p>
    <w:p w14:paraId="5865541B">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磋商供应商的类似业绩证明材料；</w:t>
      </w:r>
    </w:p>
    <w:p w14:paraId="5F696C01">
      <w:pPr>
        <w:pStyle w:val="17"/>
        <w:numPr>
          <w:ilvl w:val="0"/>
          <w:numId w:val="19"/>
        </w:num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zh-CN"/>
        </w:rPr>
        <w:t>享受政府采购政策优惠的证明资料</w:t>
      </w:r>
      <w:r>
        <w:rPr>
          <w:rFonts w:hint="eastAsia" w:ascii="宋体" w:hAnsi="宋体" w:eastAsia="宋体" w:cs="宋体"/>
          <w:bCs/>
          <w:color w:val="000000"/>
          <w:sz w:val="24"/>
          <w:szCs w:val="24"/>
        </w:rPr>
        <w:t>；</w:t>
      </w:r>
    </w:p>
    <w:p w14:paraId="69165072">
      <w:pPr>
        <w:pStyle w:val="17"/>
        <w:numPr>
          <w:ilvl w:val="0"/>
          <w:numId w:val="1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磋商供应商认为在其他方面有必要说明的事项；</w:t>
      </w:r>
    </w:p>
    <w:p w14:paraId="4F139BF2">
      <w:pPr>
        <w:pStyle w:val="17"/>
        <w:spacing w:line="360" w:lineRule="auto"/>
        <w:ind w:left="845"/>
        <w:rPr>
          <w:rFonts w:hint="eastAsia" w:ascii="宋体" w:hAnsi="宋体" w:eastAsia="宋体" w:cs="宋体"/>
          <w:color w:val="000000"/>
          <w:sz w:val="24"/>
          <w:szCs w:val="24"/>
        </w:rPr>
      </w:pPr>
      <w:r>
        <w:rPr>
          <w:rFonts w:hint="eastAsia" w:ascii="宋体" w:hAnsi="宋体" w:eastAsia="宋体" w:cs="宋体"/>
          <w:color w:val="000000"/>
          <w:sz w:val="24"/>
          <w:szCs w:val="24"/>
        </w:rPr>
        <w:t>注：磋商供应商须按上述内容、顺序和格式编制磋商响应文件，并按要求编制目录、页码，并保证所提供的全部资料真实可信，自愿承担相应责任。</w:t>
      </w:r>
    </w:p>
    <w:p w14:paraId="45E44EEF">
      <w:pPr>
        <w:pStyle w:val="7"/>
        <w:numPr>
          <w:ilvl w:val="0"/>
          <w:numId w:val="5"/>
        </w:numPr>
        <w:spacing w:before="0" w:after="0" w:line="360" w:lineRule="auto"/>
        <w:rPr>
          <w:rFonts w:hint="eastAsia" w:ascii="宋体" w:hAnsi="宋体" w:eastAsia="宋体" w:cs="宋体"/>
          <w:b w:val="0"/>
          <w:color w:val="000000"/>
        </w:rPr>
      </w:pPr>
      <w:bookmarkStart w:id="58" w:name="_Toc15964"/>
      <w:bookmarkStart w:id="59" w:name="_Toc488673626"/>
      <w:r>
        <w:rPr>
          <w:rFonts w:hint="eastAsia" w:ascii="宋体" w:hAnsi="宋体" w:eastAsia="宋体" w:cs="宋体"/>
          <w:b w:val="0"/>
          <w:color w:val="000000"/>
        </w:rPr>
        <w:t>磋商响应文件的编制要求</w:t>
      </w:r>
      <w:bookmarkEnd w:id="58"/>
      <w:bookmarkEnd w:id="59"/>
    </w:p>
    <w:p w14:paraId="4D4D2640">
      <w:pPr>
        <w:pStyle w:val="17"/>
        <w:numPr>
          <w:ilvl w:val="1"/>
          <w:numId w:val="20"/>
        </w:numPr>
        <w:spacing w:line="360" w:lineRule="auto"/>
        <w:ind w:left="960"/>
        <w:rPr>
          <w:rFonts w:hint="eastAsia" w:ascii="宋体" w:hAnsi="宋体" w:eastAsia="宋体" w:cs="宋体"/>
          <w:color w:val="000000"/>
          <w:sz w:val="24"/>
          <w:szCs w:val="28"/>
        </w:rPr>
      </w:pPr>
      <w:r>
        <w:rPr>
          <w:rFonts w:hint="eastAsia" w:ascii="宋体" w:hAnsi="宋体" w:eastAsia="宋体" w:cs="宋体"/>
          <w:color w:val="000000"/>
          <w:sz w:val="24"/>
          <w:lang w:val="zh-CN"/>
        </w:rPr>
        <w:t>磋商供应商应按照磋商文件所提供的磋商响应文件格式，分别填写磋商文件第五部分的内容，应分别注明所提供服务的名称、数量和价格等内容；磋商文件要求签字、盖章的地方必须由磋商供应商的法定代表人或委托代理人按要求签字、盖章。</w:t>
      </w:r>
    </w:p>
    <w:p w14:paraId="7BA1FF12">
      <w:pPr>
        <w:pStyle w:val="17"/>
        <w:numPr>
          <w:ilvl w:val="1"/>
          <w:numId w:val="20"/>
        </w:numPr>
        <w:spacing w:line="360" w:lineRule="auto"/>
        <w:ind w:left="960"/>
        <w:rPr>
          <w:rFonts w:hint="eastAsia" w:ascii="宋体" w:hAnsi="宋体" w:eastAsia="宋体" w:cs="宋体"/>
          <w:color w:val="000000"/>
          <w:sz w:val="24"/>
          <w:lang w:val="zh-CN"/>
        </w:rPr>
      </w:pPr>
      <w:r>
        <w:rPr>
          <w:rFonts w:hint="eastAsia" w:ascii="宋体" w:hAnsi="宋体" w:eastAsia="宋体" w:cs="宋体"/>
          <w:color w:val="000000"/>
          <w:sz w:val="24"/>
          <w:lang w:val="zh-CN"/>
        </w:rPr>
        <w:t>磋商供应商应按磋商文件要求准备磋商响应文件（</w:t>
      </w:r>
      <w:r>
        <w:rPr>
          <w:rFonts w:hint="eastAsia" w:ascii="宋体" w:hAnsi="宋体" w:eastAsia="宋体" w:cs="宋体"/>
          <w:color w:val="000000"/>
          <w:sz w:val="24"/>
        </w:rPr>
        <w:t>1</w:t>
      </w:r>
      <w:r>
        <w:rPr>
          <w:rFonts w:hint="eastAsia" w:ascii="宋体" w:hAnsi="宋体" w:eastAsia="宋体" w:cs="宋体"/>
          <w:color w:val="000000"/>
          <w:sz w:val="24"/>
          <w:lang w:val="zh-CN"/>
        </w:rPr>
        <w:t>份正本、</w:t>
      </w:r>
      <w:r>
        <w:rPr>
          <w:rFonts w:hint="eastAsia" w:ascii="宋体" w:hAnsi="宋体" w:eastAsia="宋体" w:cs="宋体"/>
          <w:color w:val="000000"/>
          <w:sz w:val="24"/>
        </w:rPr>
        <w:t>2</w:t>
      </w:r>
      <w:r>
        <w:rPr>
          <w:rFonts w:hint="eastAsia" w:ascii="宋体" w:hAnsi="宋体" w:eastAsia="宋体" w:cs="宋体"/>
          <w:color w:val="000000"/>
          <w:sz w:val="24"/>
          <w:lang w:val="zh-CN"/>
        </w:rPr>
        <w:t>份副本和相应的电子文档1份，用于单独提交的“竞争性磋商首次报价表”1份以及用于退还磋商保证金单独提交“磋商保证金证明”1份）。每份磋商响应文件都必须清楚地标明“正本”或“副本”等字样。若发生正本和副本不符，以正本磋商响应文件为准。磋商响应文件统一使用A4幅面的纸张印制，必须胶装成册并编码，不得采用活页夹等可随时拆换的方式装订。</w:t>
      </w:r>
    </w:p>
    <w:p w14:paraId="42E72100">
      <w:pPr>
        <w:pStyle w:val="17"/>
        <w:numPr>
          <w:ilvl w:val="1"/>
          <w:numId w:val="20"/>
        </w:numPr>
        <w:spacing w:line="360" w:lineRule="auto"/>
        <w:ind w:left="960"/>
        <w:rPr>
          <w:rFonts w:hint="eastAsia" w:ascii="宋体" w:hAnsi="宋体" w:eastAsia="宋体" w:cs="宋体"/>
          <w:color w:val="000000"/>
          <w:sz w:val="24"/>
          <w:szCs w:val="28"/>
        </w:rPr>
      </w:pPr>
      <w:r>
        <w:rPr>
          <w:rFonts w:hint="eastAsia" w:ascii="宋体" w:hAnsi="宋体" w:eastAsia="宋体" w:cs="宋体"/>
          <w:color w:val="000000"/>
          <w:sz w:val="24"/>
          <w:lang w:val="zh-CN"/>
        </w:rPr>
        <w:t>磋商响应文件的正本和副本均需打印或用不褪色、不变质的墨水书写并由磋商供应商的委托代理人逐页加盖公章。磋商响应文件副本可采用正本的复印件，若不满足以上条件，按无效磋商处理。</w:t>
      </w:r>
    </w:p>
    <w:p w14:paraId="449A2285">
      <w:pPr>
        <w:pStyle w:val="17"/>
        <w:numPr>
          <w:ilvl w:val="1"/>
          <w:numId w:val="20"/>
        </w:numPr>
        <w:spacing w:line="360" w:lineRule="auto"/>
        <w:ind w:left="960"/>
        <w:rPr>
          <w:rFonts w:hint="eastAsia" w:ascii="宋体" w:hAnsi="宋体" w:eastAsia="宋体" w:cs="宋体"/>
          <w:color w:val="000000"/>
          <w:sz w:val="24"/>
          <w:lang w:val="zh-CN"/>
        </w:rPr>
      </w:pPr>
      <w:r>
        <w:rPr>
          <w:rFonts w:hint="eastAsia" w:ascii="宋体" w:hAnsi="宋体" w:eastAsia="宋体" w:cs="宋体"/>
          <w:color w:val="000000"/>
          <w:sz w:val="24"/>
          <w:lang w:val="zh-CN"/>
        </w:rPr>
        <w:t>电子文档采用可读的U盘编制，须写明采购项目名称、供应商名称及磋商日期，电子文档为纸质版磋商响应文件正本的扫描件，需采用不可修改文档格式，电子文档与纸质版磋商响应文件正本内容必须完全一致，包括盖章和签字，并与书面磋商响应文件一并提交，否则，视为无效磋商。</w:t>
      </w:r>
    </w:p>
    <w:p w14:paraId="44DF89C6">
      <w:pPr>
        <w:pStyle w:val="17"/>
        <w:numPr>
          <w:ilvl w:val="1"/>
          <w:numId w:val="20"/>
        </w:numPr>
        <w:spacing w:line="360" w:lineRule="auto"/>
        <w:ind w:left="960"/>
        <w:rPr>
          <w:rFonts w:hint="eastAsia" w:ascii="宋体" w:hAnsi="宋体" w:eastAsia="宋体" w:cs="宋体"/>
          <w:color w:val="000000"/>
          <w:sz w:val="24"/>
          <w:szCs w:val="28"/>
        </w:rPr>
      </w:pPr>
      <w:r>
        <w:rPr>
          <w:rFonts w:hint="eastAsia" w:ascii="宋体" w:hAnsi="宋体" w:eastAsia="宋体" w:cs="宋体"/>
          <w:color w:val="000000"/>
          <w:sz w:val="24"/>
          <w:szCs w:val="28"/>
        </w:rPr>
        <w:t>磋商响应文件中不得行间插字、涂改或增删，如有修改错漏处，须由磋商供应商法人或其委托代理人签字或盖个人印鉴。</w:t>
      </w:r>
    </w:p>
    <w:p w14:paraId="07267558">
      <w:pPr>
        <w:pStyle w:val="6"/>
        <w:rPr>
          <w:rFonts w:hint="eastAsia" w:ascii="宋体" w:hAnsi="宋体" w:eastAsia="宋体" w:cs="宋体"/>
          <w:b/>
          <w:color w:val="000000"/>
        </w:rPr>
      </w:pPr>
      <w:bookmarkStart w:id="60" w:name="_Toc14072"/>
      <w:r>
        <w:rPr>
          <w:rFonts w:hint="eastAsia" w:ascii="宋体" w:hAnsi="宋体" w:eastAsia="宋体" w:cs="宋体"/>
          <w:b/>
          <w:color w:val="000000"/>
        </w:rPr>
        <w:t>磋商响应文件的递交</w:t>
      </w:r>
      <w:bookmarkEnd w:id="60"/>
    </w:p>
    <w:p w14:paraId="2D34DA05">
      <w:pPr>
        <w:pStyle w:val="7"/>
        <w:numPr>
          <w:ilvl w:val="0"/>
          <w:numId w:val="5"/>
        </w:numPr>
        <w:spacing w:before="0" w:after="0" w:line="360" w:lineRule="auto"/>
        <w:rPr>
          <w:rFonts w:hint="eastAsia" w:ascii="宋体" w:hAnsi="宋体" w:eastAsia="宋体" w:cs="宋体"/>
          <w:b w:val="0"/>
          <w:color w:val="000000"/>
        </w:rPr>
      </w:pPr>
      <w:bookmarkStart w:id="61" w:name="_Toc488673628"/>
      <w:bookmarkStart w:id="62" w:name="_Toc16057"/>
      <w:r>
        <w:rPr>
          <w:rFonts w:hint="eastAsia" w:ascii="宋体" w:hAnsi="宋体" w:eastAsia="宋体" w:cs="宋体"/>
          <w:b w:val="0"/>
          <w:color w:val="000000"/>
        </w:rPr>
        <w:t>磋商响应文件的密封和标记</w:t>
      </w:r>
      <w:bookmarkEnd w:id="61"/>
      <w:bookmarkEnd w:id="62"/>
    </w:p>
    <w:p w14:paraId="570FA066">
      <w:pPr>
        <w:pStyle w:val="17"/>
        <w:numPr>
          <w:ilvl w:val="1"/>
          <w:numId w:val="2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响应文件正本、所有副本和磋商响应文件要求单独提交的竞争性磋商首次报价表、电子文档，磋商保证金证明，应分别封装于不同的密封袋内，密封袋上应分别标上“正本”、“副本”、“竞争性磋商首次报价表”、“磋商保证金证明”、“电子文档”字样，并注明磋商供应商名称、采购项目编号、采购项目名称及分包号（如有分包）；</w:t>
      </w:r>
    </w:p>
    <w:p w14:paraId="2D764409">
      <w:pPr>
        <w:pStyle w:val="17"/>
        <w:numPr>
          <w:ilvl w:val="1"/>
          <w:numId w:val="2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为方便我司退还磋商保证金，磋商供应商应将“磋商保证金证明”单独密封，并在信封上标明“磋商保证金证明”字样；</w:t>
      </w:r>
    </w:p>
    <w:p w14:paraId="474CFE0D">
      <w:pPr>
        <w:pStyle w:val="17"/>
        <w:numPr>
          <w:ilvl w:val="1"/>
          <w:numId w:val="2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密封后的磋商响应文件均应：</w:t>
      </w:r>
    </w:p>
    <w:p w14:paraId="21C44EFF">
      <w:pPr>
        <w:pStyle w:val="17"/>
        <w:numPr>
          <w:ilvl w:val="0"/>
          <w:numId w:val="2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按“磋商供应商须知前附表”注明的时间、地址送达；</w:t>
      </w:r>
    </w:p>
    <w:p w14:paraId="25D49E72">
      <w:pPr>
        <w:pStyle w:val="17"/>
        <w:numPr>
          <w:ilvl w:val="1"/>
          <w:numId w:val="2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磋商响应文件密封袋用“于</w:t>
      </w:r>
      <w:r>
        <w:rPr>
          <w:rFonts w:hint="eastAsia" w:hAnsi="宋体" w:eastAsia="宋体" w:cs="宋体"/>
          <w:color w:val="000000"/>
          <w:sz w:val="24"/>
          <w:lang w:eastAsia="zh-CN"/>
        </w:rPr>
        <w:t>2025年07月25日上午09:30（北京时间）</w:t>
      </w:r>
      <w:r>
        <w:rPr>
          <w:rFonts w:hint="eastAsia" w:ascii="宋体" w:hAnsi="宋体" w:eastAsia="宋体" w:cs="宋体"/>
          <w:color w:val="000000"/>
          <w:sz w:val="24"/>
          <w:szCs w:val="28"/>
        </w:rPr>
        <w:t>前不准开启”的标签密封。</w:t>
      </w:r>
    </w:p>
    <w:p w14:paraId="0632E2DF">
      <w:pPr>
        <w:pStyle w:val="17"/>
        <w:numPr>
          <w:ilvl w:val="1"/>
          <w:numId w:val="2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如果磋商供应商未按第13.1-13.4条要求将磋商响应文件密封或在密封袋上加写标记，采购代理机构对误投或过早启封概不负责。由此造成提前启封的磋商响应文件，采购代理机构予以拒绝，并退回磋商供应商；</w:t>
      </w:r>
    </w:p>
    <w:p w14:paraId="00C8879A">
      <w:pPr>
        <w:pStyle w:val="17"/>
        <w:numPr>
          <w:ilvl w:val="1"/>
          <w:numId w:val="21"/>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磋商供应商以电报、电话、传真形式磋商的，采购代理机构概不接受。</w:t>
      </w:r>
    </w:p>
    <w:p w14:paraId="3D395600">
      <w:pPr>
        <w:pStyle w:val="7"/>
        <w:numPr>
          <w:ilvl w:val="0"/>
          <w:numId w:val="5"/>
        </w:numPr>
        <w:spacing w:before="0" w:after="0" w:line="360" w:lineRule="auto"/>
        <w:rPr>
          <w:rFonts w:hint="eastAsia" w:ascii="宋体" w:hAnsi="宋体" w:eastAsia="宋体" w:cs="宋体"/>
          <w:b w:val="0"/>
          <w:color w:val="000000"/>
        </w:rPr>
      </w:pPr>
      <w:bookmarkStart w:id="63" w:name="_Toc488673629"/>
      <w:bookmarkStart w:id="64" w:name="_Toc20965"/>
      <w:r>
        <w:rPr>
          <w:rFonts w:hint="eastAsia" w:ascii="宋体" w:hAnsi="宋体" w:eastAsia="宋体" w:cs="宋体"/>
          <w:b w:val="0"/>
          <w:color w:val="000000"/>
        </w:rPr>
        <w:t>递交磋商响应文件的地点、截止时间</w:t>
      </w:r>
      <w:bookmarkEnd w:id="63"/>
      <w:bookmarkEnd w:id="64"/>
    </w:p>
    <w:p w14:paraId="77F1ED49">
      <w:pPr>
        <w:pStyle w:val="17"/>
        <w:numPr>
          <w:ilvl w:val="1"/>
          <w:numId w:val="2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所有磋商响应文件都必须按磋商文件规定的磋商截止时间之前送达磋商地点；</w:t>
      </w:r>
    </w:p>
    <w:p w14:paraId="7BD33314">
      <w:pPr>
        <w:pStyle w:val="17"/>
        <w:numPr>
          <w:ilvl w:val="1"/>
          <w:numId w:val="23"/>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采购代理机构将拒绝接收在磋商截止时间之后送达的磋商响应文件；</w:t>
      </w:r>
    </w:p>
    <w:p w14:paraId="3ADC7E17">
      <w:pPr>
        <w:pStyle w:val="7"/>
        <w:numPr>
          <w:ilvl w:val="0"/>
          <w:numId w:val="5"/>
        </w:numPr>
        <w:spacing w:before="0" w:after="0" w:line="360" w:lineRule="auto"/>
        <w:rPr>
          <w:rFonts w:hint="eastAsia" w:ascii="宋体" w:hAnsi="宋体" w:eastAsia="宋体" w:cs="宋体"/>
          <w:b w:val="0"/>
          <w:color w:val="000000"/>
        </w:rPr>
      </w:pPr>
      <w:bookmarkStart w:id="65" w:name="_Toc23432"/>
      <w:bookmarkStart w:id="66" w:name="_Toc488673630"/>
      <w:r>
        <w:rPr>
          <w:rFonts w:hint="eastAsia" w:ascii="宋体" w:hAnsi="宋体" w:eastAsia="宋体" w:cs="宋体"/>
          <w:b w:val="0"/>
          <w:color w:val="000000"/>
        </w:rPr>
        <w:t>磋商响应文件的撤回和修改</w:t>
      </w:r>
      <w:bookmarkEnd w:id="65"/>
      <w:bookmarkEnd w:id="66"/>
    </w:p>
    <w:p w14:paraId="09B68413">
      <w:pPr>
        <w:pStyle w:val="17"/>
        <w:spacing w:line="360" w:lineRule="auto"/>
        <w:ind w:firstLine="240" w:firstLineChars="100"/>
        <w:rPr>
          <w:rFonts w:hint="eastAsia" w:ascii="宋体" w:hAnsi="宋体" w:eastAsia="宋体" w:cs="宋体"/>
          <w:color w:val="000000"/>
          <w:sz w:val="24"/>
          <w:szCs w:val="28"/>
        </w:rPr>
      </w:pPr>
      <w:r>
        <w:rPr>
          <w:rFonts w:hint="eastAsia" w:ascii="宋体" w:hAnsi="宋体" w:eastAsia="宋体" w:cs="宋体"/>
          <w:color w:val="000000"/>
          <w:sz w:val="24"/>
          <w:szCs w:val="28"/>
        </w:rPr>
        <w:t>15.1 允许磋商供应商在磋商截止期前撤回其磋商响应文件（须以书面形式通知采购代理机构），磋商截止期后不得撤回其磋商响应文件。否则，其磋商保证金将不予退还，上缴同级财政部门。</w:t>
      </w:r>
    </w:p>
    <w:p w14:paraId="4AA46CCF">
      <w:pPr>
        <w:widowControl/>
        <w:spacing w:line="360" w:lineRule="auto"/>
        <w:ind w:firstLine="240" w:firstLine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15.2 无论成交与否，磋商供应商递交的一切磋商材料均不予退还。</w:t>
      </w:r>
    </w:p>
    <w:p w14:paraId="22AB164B">
      <w:pPr>
        <w:pStyle w:val="6"/>
        <w:rPr>
          <w:rFonts w:hint="eastAsia" w:ascii="宋体" w:hAnsi="宋体" w:eastAsia="宋体" w:cs="宋体"/>
          <w:b/>
          <w:color w:val="000000"/>
        </w:rPr>
      </w:pPr>
      <w:bookmarkStart w:id="67" w:name="_Toc28124"/>
      <w:r>
        <w:rPr>
          <w:rFonts w:hint="eastAsia" w:ascii="宋体" w:hAnsi="宋体" w:eastAsia="宋体" w:cs="宋体"/>
          <w:b/>
          <w:color w:val="000000"/>
        </w:rPr>
        <w:t>磋商过程</w:t>
      </w:r>
      <w:bookmarkEnd w:id="67"/>
    </w:p>
    <w:p w14:paraId="1D4543CC">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1、采购代理机构按本磋商文件中确定的时间和地点组织本项目的磋商活动。供应商应由其委托代理人参加。</w:t>
      </w:r>
    </w:p>
    <w:p w14:paraId="2BB67630">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2、磋商时，对不同文字文本响应文件的解释发生异议的，以中文文本为准。</w:t>
      </w:r>
    </w:p>
    <w:p w14:paraId="55277DE0">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3、磋商工作由采购代理机构组织，采购单位、采购监管、纪检监察等有关方面代表可根据采购项目的具体情况列席。</w:t>
      </w:r>
    </w:p>
    <w:p w14:paraId="2D10AE6B">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4、磋商过程有专人记录，并存档备查。</w:t>
      </w:r>
    </w:p>
    <w:p w14:paraId="14B82672">
      <w:pPr>
        <w:pStyle w:val="6"/>
        <w:rPr>
          <w:rFonts w:hint="eastAsia" w:ascii="宋体" w:hAnsi="宋体" w:eastAsia="宋体" w:cs="宋体"/>
          <w:b/>
          <w:color w:val="000000"/>
        </w:rPr>
      </w:pPr>
      <w:bookmarkStart w:id="68" w:name="_Toc32537"/>
      <w:bookmarkStart w:id="69" w:name="_Toc500355579"/>
      <w:r>
        <w:rPr>
          <w:rFonts w:hint="eastAsia" w:ascii="宋体" w:hAnsi="宋体" w:eastAsia="宋体" w:cs="宋体"/>
          <w:b/>
          <w:color w:val="000000"/>
        </w:rPr>
        <w:t>资格审查程序</w:t>
      </w:r>
      <w:bookmarkEnd w:id="68"/>
      <w:bookmarkEnd w:id="69"/>
    </w:p>
    <w:p w14:paraId="5D2C95DF">
      <w:pPr>
        <w:pStyle w:val="119"/>
        <w:spacing w:line="360" w:lineRule="auto"/>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1、资格审查时，磋商供应商存在下列情况之一的，按无效磋商处理：</w:t>
      </w:r>
    </w:p>
    <w:p w14:paraId="402F9235">
      <w:pPr>
        <w:pStyle w:val="119"/>
        <w:numPr>
          <w:ilvl w:val="0"/>
          <w:numId w:val="24"/>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sz w:val="24"/>
          <w:shd w:val="clear" w:color="auto" w:fill="FFFFFF"/>
        </w:rPr>
        <w:t>不具备</w:t>
      </w:r>
      <w:r>
        <w:rPr>
          <w:rFonts w:hint="eastAsia" w:ascii="宋体" w:hAnsi="宋体" w:eastAsia="宋体" w:cs="宋体"/>
          <w:color w:val="000000"/>
          <w:kern w:val="0"/>
          <w:sz w:val="24"/>
          <w:lang w:val="zh-CN"/>
        </w:rPr>
        <w:t>第2.2款“合格的磋商供应商”</w:t>
      </w:r>
      <w:r>
        <w:rPr>
          <w:rFonts w:hint="eastAsia" w:ascii="宋体" w:hAnsi="宋体" w:eastAsia="宋体" w:cs="宋体"/>
          <w:color w:val="000000"/>
          <w:sz w:val="24"/>
          <w:shd w:val="clear" w:color="auto" w:fill="FFFFFF"/>
        </w:rPr>
        <w:t>规定的资格要求的；</w:t>
      </w:r>
    </w:p>
    <w:p w14:paraId="65026E71">
      <w:pPr>
        <w:pStyle w:val="119"/>
        <w:numPr>
          <w:ilvl w:val="0"/>
          <w:numId w:val="24"/>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kern w:val="0"/>
          <w:sz w:val="24"/>
        </w:rPr>
        <w:t>未按磋商文件要求交纳或未足额交纳磋商保证金的；</w:t>
      </w:r>
    </w:p>
    <w:p w14:paraId="3E7E3C80">
      <w:pPr>
        <w:pStyle w:val="119"/>
        <w:numPr>
          <w:ilvl w:val="0"/>
          <w:numId w:val="24"/>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kern w:val="0"/>
          <w:sz w:val="24"/>
        </w:rPr>
        <w:t>未按第11.1</w:t>
      </w:r>
      <w:r>
        <w:rPr>
          <w:rFonts w:hint="eastAsia" w:ascii="宋体" w:hAnsi="宋体" w:eastAsia="宋体" w:cs="宋体"/>
          <w:color w:val="000000"/>
          <w:kern w:val="0"/>
          <w:sz w:val="24"/>
          <w:lang w:val="zh-CN"/>
        </w:rPr>
        <w:t>款</w:t>
      </w:r>
      <w:r>
        <w:rPr>
          <w:rFonts w:hint="eastAsia" w:ascii="宋体" w:hAnsi="宋体" w:eastAsia="宋体" w:cs="宋体"/>
          <w:color w:val="000000"/>
          <w:kern w:val="0"/>
          <w:sz w:val="24"/>
        </w:rPr>
        <w:t>（1）-（1</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）要求提供相关资料的；</w:t>
      </w:r>
    </w:p>
    <w:p w14:paraId="2AC335B0">
      <w:pPr>
        <w:pStyle w:val="119"/>
        <w:numPr>
          <w:ilvl w:val="0"/>
          <w:numId w:val="24"/>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kern w:val="0"/>
          <w:sz w:val="24"/>
        </w:rPr>
        <w:t>资格性审查文件未按磋商文件规定和要求签字、盖章的；</w:t>
      </w:r>
    </w:p>
    <w:p w14:paraId="46B77BD5">
      <w:pPr>
        <w:pStyle w:val="119"/>
        <w:numPr>
          <w:ilvl w:val="0"/>
          <w:numId w:val="24"/>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sz w:val="24"/>
          <w:shd w:val="clear" w:color="auto" w:fill="FFFFFF"/>
        </w:rPr>
        <w:t>报价超过</w:t>
      </w:r>
      <w:r>
        <w:rPr>
          <w:rFonts w:hint="eastAsia" w:ascii="宋体" w:hAnsi="宋体" w:eastAsia="宋体" w:cs="宋体"/>
          <w:color w:val="000000"/>
          <w:kern w:val="0"/>
          <w:sz w:val="24"/>
        </w:rPr>
        <w:t>磋商</w:t>
      </w:r>
      <w:r>
        <w:rPr>
          <w:rFonts w:hint="eastAsia" w:ascii="宋体" w:hAnsi="宋体" w:eastAsia="宋体" w:cs="宋体"/>
          <w:color w:val="000000"/>
          <w:sz w:val="24"/>
          <w:shd w:val="clear" w:color="auto" w:fill="FFFFFF"/>
        </w:rPr>
        <w:t>文件中规定的预算金额或者最高限价的；</w:t>
      </w:r>
    </w:p>
    <w:p w14:paraId="6848A1C0">
      <w:pPr>
        <w:pStyle w:val="119"/>
        <w:numPr>
          <w:ilvl w:val="0"/>
          <w:numId w:val="24"/>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kern w:val="0"/>
          <w:sz w:val="24"/>
          <w:lang w:val="zh-CN"/>
        </w:rPr>
        <w:t>磋商有效期不能满足</w:t>
      </w: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文件要求的；</w:t>
      </w:r>
    </w:p>
    <w:p w14:paraId="3BBACEFB">
      <w:pPr>
        <w:pStyle w:val="119"/>
        <w:numPr>
          <w:ilvl w:val="0"/>
          <w:numId w:val="24"/>
        </w:numPr>
        <w:spacing w:line="360" w:lineRule="auto"/>
        <w:ind w:firstLineChars="0"/>
        <w:jc w:val="left"/>
        <w:rPr>
          <w:rFonts w:hint="eastAsia" w:ascii="宋体" w:hAnsi="宋体" w:eastAsia="宋体" w:cs="宋体"/>
          <w:color w:val="000000"/>
          <w:sz w:val="24"/>
        </w:rPr>
      </w:pPr>
      <w:r>
        <w:rPr>
          <w:rFonts w:hint="eastAsia" w:ascii="宋体" w:hAnsi="宋体" w:eastAsia="宋体" w:cs="宋体"/>
          <w:color w:val="000000"/>
          <w:sz w:val="24"/>
        </w:rPr>
        <w:t>未提供电子文档或电子文档与纸质磋商响应文件正本不一致的</w:t>
      </w:r>
      <w:r>
        <w:rPr>
          <w:rFonts w:hint="eastAsia" w:ascii="宋体" w:hAnsi="宋体" w:eastAsia="宋体" w:cs="宋体"/>
          <w:color w:val="000000"/>
          <w:kern w:val="0"/>
          <w:sz w:val="24"/>
          <w:lang w:val="zh-CN"/>
        </w:rPr>
        <w:t>。</w:t>
      </w:r>
    </w:p>
    <w:p w14:paraId="2E359F24">
      <w:pPr>
        <w:pStyle w:val="6"/>
        <w:rPr>
          <w:rFonts w:hint="eastAsia" w:ascii="宋体" w:hAnsi="宋体" w:eastAsia="宋体" w:cs="宋体"/>
          <w:b/>
          <w:color w:val="000000"/>
        </w:rPr>
      </w:pPr>
      <w:bookmarkStart w:id="70" w:name="_Toc12517"/>
      <w:r>
        <w:rPr>
          <w:rFonts w:hint="eastAsia" w:ascii="宋体" w:hAnsi="宋体" w:eastAsia="宋体" w:cs="宋体"/>
          <w:b/>
          <w:color w:val="000000"/>
        </w:rPr>
        <w:t>评审程序及方法</w:t>
      </w:r>
      <w:bookmarkEnd w:id="70"/>
    </w:p>
    <w:p w14:paraId="0560C02E">
      <w:pPr>
        <w:pStyle w:val="7"/>
        <w:numPr>
          <w:ilvl w:val="0"/>
          <w:numId w:val="5"/>
        </w:numPr>
        <w:spacing w:before="0" w:after="0" w:line="360" w:lineRule="auto"/>
        <w:rPr>
          <w:rFonts w:hint="eastAsia" w:ascii="宋体" w:hAnsi="宋体" w:eastAsia="宋体" w:cs="宋体"/>
          <w:b w:val="0"/>
          <w:color w:val="000000"/>
        </w:rPr>
      </w:pPr>
      <w:bookmarkStart w:id="71" w:name="_Toc28777"/>
      <w:bookmarkStart w:id="72" w:name="_Toc488673633"/>
      <w:r>
        <w:rPr>
          <w:rFonts w:hint="eastAsia" w:ascii="宋体" w:hAnsi="宋体" w:eastAsia="宋体" w:cs="宋体"/>
          <w:b w:val="0"/>
          <w:color w:val="000000"/>
        </w:rPr>
        <w:t>评标委员会</w:t>
      </w:r>
      <w:bookmarkEnd w:id="71"/>
      <w:bookmarkEnd w:id="72"/>
    </w:p>
    <w:p w14:paraId="18247E88">
      <w:pPr>
        <w:pStyle w:val="17"/>
        <w:numPr>
          <w:ilvl w:val="1"/>
          <w:numId w:val="2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4"/>
        </w:rPr>
        <w:t>采购代理机构将根据采购项目的特点依法组建磋商小组，其成员由具有一定专业水平的技术、经济等方面的专家和采购单位代表等三人以上单数组成。其中技术、经济等方面的专家不少于成员总数的三分之二。</w:t>
      </w:r>
    </w:p>
    <w:p w14:paraId="146673DB">
      <w:pPr>
        <w:autoSpaceDE w:val="0"/>
        <w:autoSpaceDN w:val="0"/>
        <w:spacing w:line="360" w:lineRule="auto"/>
        <w:ind w:left="481" w:leftChars="229" w:firstLine="600" w:firstLineChars="250"/>
        <w:rPr>
          <w:rFonts w:hint="eastAsia" w:ascii="宋体" w:hAnsi="宋体" w:eastAsia="宋体" w:cs="宋体"/>
          <w:color w:val="000000"/>
          <w:kern w:val="0"/>
          <w:sz w:val="24"/>
        </w:rPr>
      </w:pPr>
      <w:r>
        <w:rPr>
          <w:rFonts w:hint="eastAsia" w:ascii="宋体" w:hAnsi="宋体" w:eastAsia="宋体" w:cs="宋体"/>
          <w:color w:val="000000"/>
          <w:kern w:val="0"/>
          <w:sz w:val="24"/>
        </w:rPr>
        <w:t>评审专家对本单位的采购项目只能作为采购人代表参与评标。采购代理机构工作人员不得参加由本机构代理的采购项目的评标。</w:t>
      </w:r>
    </w:p>
    <w:p w14:paraId="5CADD623">
      <w:pPr>
        <w:pStyle w:val="17"/>
        <w:spacing w:line="360" w:lineRule="auto"/>
        <w:ind w:left="481" w:leftChars="229"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评标委员会成员名单在评标结果公告前应当保密。</w:t>
      </w:r>
    </w:p>
    <w:p w14:paraId="4E590D5B">
      <w:pPr>
        <w:pStyle w:val="17"/>
        <w:numPr>
          <w:ilvl w:val="1"/>
          <w:numId w:val="2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人或采购代理机构应当从省级以上财政部门设立的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49B74F57">
      <w:pPr>
        <w:pStyle w:val="17"/>
        <w:numPr>
          <w:ilvl w:val="1"/>
          <w:numId w:val="2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磋商响应文件和开标、评标资料，依法重新组建评标委员会进行评标。原评标委员会所作出的评标意见无效。</w:t>
      </w:r>
    </w:p>
    <w:p w14:paraId="72803520">
      <w:pPr>
        <w:pStyle w:val="17"/>
        <w:spacing w:line="360" w:lineRule="auto"/>
        <w:ind w:left="622" w:leftChars="296"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zh-CN"/>
        </w:rPr>
        <w:t>采购人或采购代理机构</w:t>
      </w:r>
      <w:r>
        <w:rPr>
          <w:rFonts w:hint="eastAsia" w:ascii="宋体" w:hAnsi="宋体" w:eastAsia="宋体" w:cs="宋体"/>
          <w:color w:val="000000"/>
          <w:sz w:val="24"/>
          <w:szCs w:val="24"/>
        </w:rPr>
        <w:t>应当将变更、重新组建评标委员会的情况予以记录，并随磋商文件一并存档。</w:t>
      </w:r>
    </w:p>
    <w:p w14:paraId="365A78E4">
      <w:pPr>
        <w:pStyle w:val="17"/>
        <w:numPr>
          <w:ilvl w:val="1"/>
          <w:numId w:val="2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采购人、采购代理机构应当采取必要措施，保证评标在严格保密的情况下进行。除采购人代表、评标现场组织人员外，采购人的其他工作人员以及与评标工作无关的人员不得进入评标现场。</w:t>
      </w:r>
    </w:p>
    <w:p w14:paraId="230FDAE4">
      <w:pPr>
        <w:pStyle w:val="17"/>
        <w:spacing w:line="360" w:lineRule="auto"/>
        <w:ind w:left="62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有关人员对评标情况以及在评标过程中获悉的国家秘密、商业秘密负有保密责任。</w:t>
      </w:r>
    </w:p>
    <w:p w14:paraId="67844352">
      <w:pPr>
        <w:pStyle w:val="17"/>
        <w:numPr>
          <w:ilvl w:val="1"/>
          <w:numId w:val="2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4"/>
        </w:rPr>
        <w:t>磋商由采购代理机构负责组织，具体磋商事务由依法组建的磋商小组负责，并独立履行下列职责：</w:t>
      </w:r>
    </w:p>
    <w:p w14:paraId="3534749A">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核对评审专家身份和采购人代表授权函，对评审专家在采购活动中的职责履行情况予以记录，并及时将有关违法违规行为向财政部门报告；</w:t>
      </w:r>
    </w:p>
    <w:p w14:paraId="3C7AFD48">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宣布评标纪律；</w:t>
      </w:r>
    </w:p>
    <w:p w14:paraId="67FB16F6">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公布磋商供应商名单，告知评审专家应当回避的情形；</w:t>
      </w:r>
    </w:p>
    <w:p w14:paraId="037162E1">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组织评标委员会推选评标组长，采购人代表不得担任组长；</w:t>
      </w:r>
    </w:p>
    <w:p w14:paraId="2B3C3970">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在评标期间采取必要的通讯管理措施，保证评标活动不受外界干扰；</w:t>
      </w:r>
    </w:p>
    <w:p w14:paraId="789E3B66">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根据评标委员会的要求介绍采购相关政策法规、磋商文件；</w:t>
      </w:r>
    </w:p>
    <w:p w14:paraId="1DBB6569">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维护评标秩序，监督评标委员会依照磋商文件规定的评标程序、方法和标准进行独立评审，及时制止和纠正采购人代表、评审专家的倾向性言论或者违法违规行为；</w:t>
      </w:r>
    </w:p>
    <w:p w14:paraId="0AE717C8">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核对评标结果，有19.3规定情形的，要求评标委员会复核或者书面说明理由，评标委员会拒绝的，应予记录并向本级财政部门报告；</w:t>
      </w:r>
    </w:p>
    <w:p w14:paraId="22E87460">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评审工作完成后，按照规定由采购人向评审专家支付劳务报酬和异地评审差旅费，不得向评审专家以外的其他人员支付评审劳务报酬；</w:t>
      </w:r>
    </w:p>
    <w:p w14:paraId="7FA87BCE">
      <w:pPr>
        <w:numPr>
          <w:ilvl w:val="0"/>
          <w:numId w:val="26"/>
        </w:num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处理与评标有关的其他事项。</w:t>
      </w:r>
    </w:p>
    <w:p w14:paraId="53D97019">
      <w:pPr>
        <w:pStyle w:val="17"/>
        <w:spacing w:line="360" w:lineRule="auto"/>
        <w:ind w:left="480"/>
        <w:rPr>
          <w:rFonts w:hint="eastAsia" w:ascii="宋体" w:hAnsi="宋体" w:eastAsia="宋体" w:cs="宋体"/>
          <w:color w:val="000000"/>
          <w:sz w:val="24"/>
          <w:szCs w:val="24"/>
        </w:rPr>
      </w:pPr>
      <w:r>
        <w:rPr>
          <w:rFonts w:hint="eastAsia" w:ascii="宋体" w:hAnsi="宋体" w:eastAsia="宋体" w:cs="宋体"/>
          <w:color w:val="000000"/>
          <w:sz w:val="24"/>
          <w:szCs w:val="24"/>
          <w:lang w:val="zh-CN"/>
        </w:rPr>
        <w:t>采购人可以在评标前说明项目背景和采购需求，说明内容不得含有歧视性、倾向性意见，不得超出磋商文件所述范围。说明应当提交书面材料，并随磋商文件一并存档。</w:t>
      </w:r>
    </w:p>
    <w:p w14:paraId="3EEFAC95">
      <w:pPr>
        <w:pStyle w:val="17"/>
        <w:numPr>
          <w:ilvl w:val="1"/>
          <w:numId w:val="2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4"/>
        </w:rPr>
        <w:t>磋商小组应遵守并履行下列义务</w:t>
      </w:r>
      <w:r>
        <w:rPr>
          <w:rFonts w:hint="eastAsia" w:ascii="宋体" w:hAnsi="宋体" w:eastAsia="宋体" w:cs="宋体"/>
          <w:color w:val="000000"/>
          <w:sz w:val="24"/>
          <w:szCs w:val="28"/>
        </w:rPr>
        <w:t>：</w:t>
      </w:r>
    </w:p>
    <w:p w14:paraId="68203A5C">
      <w:pPr>
        <w:numPr>
          <w:ilvl w:val="0"/>
          <w:numId w:val="27"/>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审查、评价磋商响应文件是否符合磋商文件的商务、技术等实质性要求；</w:t>
      </w:r>
    </w:p>
    <w:p w14:paraId="717A7080">
      <w:pPr>
        <w:numPr>
          <w:ilvl w:val="0"/>
          <w:numId w:val="27"/>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要求磋商供应商对磋商响应文件有关事项作出澄清或者说明；</w:t>
      </w:r>
    </w:p>
    <w:p w14:paraId="43A475E3">
      <w:pPr>
        <w:numPr>
          <w:ilvl w:val="0"/>
          <w:numId w:val="27"/>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对磋商响应文件进行比较和评价；</w:t>
      </w:r>
    </w:p>
    <w:p w14:paraId="0642AA36">
      <w:pPr>
        <w:numPr>
          <w:ilvl w:val="0"/>
          <w:numId w:val="27"/>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确定成交候选人名单，以及根据采购人委托直接确定成交人；</w:t>
      </w:r>
    </w:p>
    <w:p w14:paraId="05B1F0DB">
      <w:pPr>
        <w:numPr>
          <w:ilvl w:val="0"/>
          <w:numId w:val="27"/>
        </w:num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向采购人、采购代理机构或者有关部门报告评标中发现的违法行为。</w:t>
      </w:r>
    </w:p>
    <w:p w14:paraId="3F0629EB">
      <w:pPr>
        <w:pStyle w:val="17"/>
        <w:numPr>
          <w:ilvl w:val="1"/>
          <w:numId w:val="25"/>
        </w:num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评审工作在有关部门的监督下依法开展，任何单位和个人不得非法干预、影响评审工作和评审结果。</w:t>
      </w:r>
    </w:p>
    <w:p w14:paraId="65C16B05">
      <w:pPr>
        <w:pStyle w:val="7"/>
        <w:numPr>
          <w:ilvl w:val="0"/>
          <w:numId w:val="5"/>
        </w:numPr>
        <w:spacing w:before="0" w:after="0" w:line="360" w:lineRule="auto"/>
        <w:rPr>
          <w:rFonts w:hint="eastAsia" w:ascii="宋体" w:hAnsi="宋体" w:eastAsia="宋体" w:cs="宋体"/>
          <w:b w:val="0"/>
          <w:color w:val="000000"/>
        </w:rPr>
      </w:pPr>
      <w:bookmarkStart w:id="73" w:name="_Toc488673634"/>
      <w:bookmarkStart w:id="74" w:name="_Toc25299"/>
      <w:r>
        <w:rPr>
          <w:rFonts w:hint="eastAsia" w:ascii="宋体" w:hAnsi="宋体" w:eastAsia="宋体" w:cs="宋体"/>
          <w:b w:val="0"/>
          <w:color w:val="000000"/>
        </w:rPr>
        <w:t>磋商程序</w:t>
      </w:r>
      <w:bookmarkEnd w:id="73"/>
      <w:bookmarkEnd w:id="74"/>
    </w:p>
    <w:p w14:paraId="28ACD502">
      <w:pPr>
        <w:pStyle w:val="17"/>
        <w:numPr>
          <w:ilvl w:val="1"/>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评标委员会应当对符合资格的磋商供应商的磋商响应文件进行符合性审查，以确定其是否满足磋商文件的实质性要求。</w:t>
      </w:r>
    </w:p>
    <w:p w14:paraId="0F351551">
      <w:pPr>
        <w:numPr>
          <w:ilvl w:val="0"/>
          <w:numId w:val="29"/>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本次综合评分的主要因素是：磋商报价、履约能力、技术水平评分标准。</w:t>
      </w:r>
    </w:p>
    <w:p w14:paraId="1B525039">
      <w:pPr>
        <w:numPr>
          <w:ilvl w:val="0"/>
          <w:numId w:val="29"/>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供应商为小型、微型企业，且提供本企业生产的货物或者提供其他小型、微型企业生产的货物，价格按相关规定给予10%-20%的价格折扣，用扣除后的价格参与评审。本项所称货物不包括使用大型企业注册商标的货物；</w:t>
      </w:r>
    </w:p>
    <w:p w14:paraId="53869464">
      <w:pPr>
        <w:numPr>
          <w:ilvl w:val="0"/>
          <w:numId w:val="29"/>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监狱企业、残疾人福利性单位视同小型、微型企业，享受评审中价格扣除等促进中小企业发展的政府采购政策；</w:t>
      </w:r>
    </w:p>
    <w:p w14:paraId="2CB5DB9C">
      <w:pPr>
        <w:numPr>
          <w:ilvl w:val="0"/>
          <w:numId w:val="29"/>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供应商同时符合小型、微型企业及监狱企业、残疾人福利性单位要求的，评审时只有一种类型享受价格评审优惠政策；</w:t>
      </w:r>
    </w:p>
    <w:p w14:paraId="2FE50AB5">
      <w:pPr>
        <w:numPr>
          <w:ilvl w:val="0"/>
          <w:numId w:val="29"/>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投标文件符合本章前款规定的，供应商应提供相关证明资料，且所提供资料必须真实可信。如有虚假，将依法承担相应责任；</w:t>
      </w:r>
    </w:p>
    <w:p w14:paraId="5A63F5EF">
      <w:pPr>
        <w:numPr>
          <w:ilvl w:val="0"/>
          <w:numId w:val="29"/>
        </w:numPr>
        <w:autoSpaceDE w:val="0"/>
        <w:autoSpaceDN w:val="0"/>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除磋商价格因素外，评标委员会应依据磋商文件规定的评审方法和评审标准对其他因素进行客观评审；</w:t>
      </w:r>
    </w:p>
    <w:p w14:paraId="5FCA8D8B">
      <w:pPr>
        <w:pStyle w:val="17"/>
        <w:numPr>
          <w:ilvl w:val="1"/>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磋商响应文件中含义不明确、同类问题表述不一致或者有明显文字和计算错误的内容，评标委员会应当以书面形式要求磋商供应商作出必要的澄清、说明或者补正。</w:t>
      </w:r>
    </w:p>
    <w:p w14:paraId="31ADCB55">
      <w:pPr>
        <w:pStyle w:val="17"/>
        <w:spacing w:line="360" w:lineRule="auto"/>
        <w:ind w:left="621"/>
        <w:rPr>
          <w:rFonts w:hint="eastAsia" w:ascii="宋体" w:hAnsi="宋体" w:eastAsia="宋体" w:cs="宋体"/>
          <w:color w:val="000000"/>
          <w:sz w:val="24"/>
          <w:szCs w:val="24"/>
        </w:rPr>
      </w:pPr>
      <w:r>
        <w:rPr>
          <w:rFonts w:hint="eastAsia" w:ascii="宋体" w:hAnsi="宋体" w:eastAsia="宋体" w:cs="宋体"/>
          <w:color w:val="000000"/>
          <w:sz w:val="24"/>
          <w:szCs w:val="24"/>
          <w:lang w:val="zh-CN"/>
        </w:rPr>
        <w:t>磋商供应商的澄清、说明或者补正应当采用书面形式，并加盖公章，或者由法定代表人或其授权的代表签字。磋商供应商的澄清、说明或者补正不得超出磋商响应文件的范围或者改变磋商响应文件的实质性内容。</w:t>
      </w:r>
    </w:p>
    <w:p w14:paraId="1EC58FF9">
      <w:pPr>
        <w:pStyle w:val="17"/>
        <w:numPr>
          <w:ilvl w:val="0"/>
          <w:numId w:val="3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磋商供应商存在下列情况之一的，按无效磋商处理</w:t>
      </w:r>
      <w:r>
        <w:rPr>
          <w:rFonts w:hint="eastAsia" w:ascii="宋体" w:hAnsi="宋体" w:eastAsia="宋体" w:cs="宋体"/>
          <w:color w:val="000000"/>
          <w:lang w:val="zh-CN"/>
        </w:rPr>
        <w:t>:</w:t>
      </w:r>
    </w:p>
    <w:p w14:paraId="6861B1F4">
      <w:pPr>
        <w:pStyle w:val="17"/>
        <w:numPr>
          <w:ilvl w:val="0"/>
          <w:numId w:val="31"/>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符合性审查磋商响应文件未按磋商文件要求签署、盖章的；</w:t>
      </w:r>
    </w:p>
    <w:p w14:paraId="721D85A2">
      <w:pPr>
        <w:pStyle w:val="17"/>
        <w:numPr>
          <w:ilvl w:val="0"/>
          <w:numId w:val="31"/>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报价超过磋商文件中规定的预算金额或者最高限价的；</w:t>
      </w:r>
    </w:p>
    <w:p w14:paraId="7706FC07">
      <w:pPr>
        <w:pStyle w:val="17"/>
        <w:numPr>
          <w:ilvl w:val="0"/>
          <w:numId w:val="31"/>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服务期、磋商有效期不能满足磋商文件要求的；</w:t>
      </w:r>
    </w:p>
    <w:p w14:paraId="7E0F4910">
      <w:pPr>
        <w:pStyle w:val="17"/>
        <w:numPr>
          <w:ilvl w:val="0"/>
          <w:numId w:val="31"/>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磋商响应文件中含有采购单位不能接受的条件的；</w:t>
      </w:r>
    </w:p>
    <w:p w14:paraId="36814F71">
      <w:pPr>
        <w:pStyle w:val="17"/>
        <w:numPr>
          <w:ilvl w:val="0"/>
          <w:numId w:val="31"/>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存在串通磋商行为；</w:t>
      </w:r>
    </w:p>
    <w:p w14:paraId="1B3FDA50">
      <w:pPr>
        <w:pStyle w:val="17"/>
        <w:numPr>
          <w:ilvl w:val="0"/>
          <w:numId w:val="31"/>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法律、法规和磋商文件规定的其他无效情形。</w:t>
      </w:r>
    </w:p>
    <w:p w14:paraId="0606587C">
      <w:pPr>
        <w:pStyle w:val="17"/>
        <w:numPr>
          <w:ilvl w:val="0"/>
          <w:numId w:val="3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磋商响应文件报价出现前后不一致的，按照下列规定修正：</w:t>
      </w:r>
    </w:p>
    <w:p w14:paraId="2ED46505">
      <w:pPr>
        <w:pStyle w:val="17"/>
        <w:numPr>
          <w:ilvl w:val="0"/>
          <w:numId w:val="3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大写金额和小写金额不一致的，以大写金额为准；</w:t>
      </w:r>
    </w:p>
    <w:p w14:paraId="145E9A03">
      <w:pPr>
        <w:pStyle w:val="17"/>
        <w:numPr>
          <w:ilvl w:val="0"/>
          <w:numId w:val="3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单价金额小数点或者百分比有明显错位的，以竞争性磋商首次报价表的总价为准，并修改单价；</w:t>
      </w:r>
    </w:p>
    <w:p w14:paraId="1DBD7980">
      <w:pPr>
        <w:pStyle w:val="17"/>
        <w:numPr>
          <w:ilvl w:val="0"/>
          <w:numId w:val="32"/>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总价金额与按单价汇总金额不一致的，以单价金额计算结果为准。</w:t>
      </w:r>
    </w:p>
    <w:p w14:paraId="0C9A44DF">
      <w:pPr>
        <w:pStyle w:val="17"/>
        <w:spacing w:line="360" w:lineRule="auto"/>
        <w:ind w:left="1129"/>
        <w:rPr>
          <w:rFonts w:hint="eastAsia" w:ascii="宋体" w:hAnsi="宋体" w:eastAsia="宋体" w:cs="宋体"/>
          <w:color w:val="000000"/>
          <w:sz w:val="24"/>
          <w:szCs w:val="24"/>
        </w:rPr>
      </w:pPr>
      <w:r>
        <w:rPr>
          <w:rFonts w:hint="eastAsia" w:ascii="宋体" w:hAnsi="宋体" w:eastAsia="宋体" w:cs="宋体"/>
          <w:color w:val="000000"/>
          <w:sz w:val="24"/>
          <w:szCs w:val="24"/>
        </w:rPr>
        <w:t>同时出现两种以上不一致的，按照前款规定的顺序修正。修正后的报价按17.2第二款的规定经磋商供应商确认后产生约束力，磋商供应商不确认的，其磋商无效。</w:t>
      </w:r>
    </w:p>
    <w:p w14:paraId="38342634">
      <w:pPr>
        <w:pStyle w:val="17"/>
        <w:numPr>
          <w:ilvl w:val="1"/>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zh-CN"/>
        </w:rPr>
        <w:t>在评审过程中，</w:t>
      </w:r>
      <w:r>
        <w:rPr>
          <w:rFonts w:hint="eastAsia" w:ascii="宋体" w:hAnsi="宋体" w:eastAsia="宋体" w:cs="宋体"/>
          <w:color w:val="000000"/>
          <w:sz w:val="24"/>
          <w:szCs w:val="24"/>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4303B602">
      <w:pPr>
        <w:pStyle w:val="17"/>
        <w:numPr>
          <w:ilvl w:val="1"/>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评标委员会应当按照磋商文件中规定的评标方法和标准，对符合性审查合格的磋商响应文件进行商务和技术评估，综合比较与评价。</w:t>
      </w:r>
    </w:p>
    <w:p w14:paraId="510F5C17">
      <w:pPr>
        <w:pStyle w:val="17"/>
        <w:numPr>
          <w:ilvl w:val="1"/>
          <w:numId w:val="28"/>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评标委员会认为磋商供应商的报价明显低于其他通过符合性审查磋商供应商的报价，有可能影响服务或者不能诚信履约的，应当要求其在评标现场合理的时间内提供书面说明，必要时提交相关证明材料；磋商供应商不能证明其报价合理性的，评标委员会应当将其作为无效磋商处理。</w:t>
      </w:r>
    </w:p>
    <w:p w14:paraId="4B1DD2ED">
      <w:pPr>
        <w:pStyle w:val="7"/>
        <w:numPr>
          <w:ilvl w:val="0"/>
          <w:numId w:val="5"/>
        </w:numPr>
        <w:spacing w:before="0" w:after="0" w:line="360" w:lineRule="auto"/>
        <w:rPr>
          <w:rFonts w:hint="eastAsia" w:ascii="宋体" w:hAnsi="宋体" w:eastAsia="宋体" w:cs="宋体"/>
          <w:b w:val="0"/>
          <w:color w:val="000000"/>
        </w:rPr>
      </w:pPr>
      <w:bookmarkStart w:id="75" w:name="_Toc488673635"/>
      <w:bookmarkStart w:id="76" w:name="_Toc10655"/>
      <w:r>
        <w:rPr>
          <w:rFonts w:hint="eastAsia" w:ascii="宋体" w:hAnsi="宋体" w:eastAsia="宋体" w:cs="宋体"/>
          <w:b w:val="0"/>
          <w:color w:val="000000"/>
        </w:rPr>
        <w:t>评审办法</w:t>
      </w:r>
      <w:bookmarkEnd w:id="75"/>
      <w:bookmarkEnd w:id="76"/>
    </w:p>
    <w:p w14:paraId="0F111DB8">
      <w:pPr>
        <w:pStyle w:val="17"/>
        <w:numPr>
          <w:ilvl w:val="1"/>
          <w:numId w:val="33"/>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依照《中华人民共和国政府采购法》、《中华人民共和国政府采购法实施条例》、财政部《政府采购货物和服务招投标管理办法》、《政府采购竞争性磋商采购方式管理暂行办法》、财政部《关于加强政府采购货物和服务项目价格评审管理的通知》的规定，结合该项目的特点制定本评审办法。本次评审采用综合评分法，满分为100分。</w:t>
      </w:r>
    </w:p>
    <w:p w14:paraId="5CBF400B">
      <w:pPr>
        <w:pStyle w:val="17"/>
        <w:numPr>
          <w:ilvl w:val="1"/>
          <w:numId w:val="33"/>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本次评审方法采用综合评分法</w:t>
      </w:r>
      <w:r>
        <w:rPr>
          <w:rFonts w:hint="eastAsia" w:ascii="宋体" w:hAnsi="宋体" w:eastAsia="宋体" w:cs="宋体"/>
          <w:color w:val="000000"/>
          <w:sz w:val="24"/>
          <w:szCs w:val="24"/>
        </w:rPr>
        <w:t>。</w:t>
      </w:r>
    </w:p>
    <w:p w14:paraId="2EFC5D28">
      <w:pPr>
        <w:pStyle w:val="17"/>
        <w:numPr>
          <w:ilvl w:val="1"/>
          <w:numId w:val="33"/>
        </w:numPr>
        <w:spacing w:line="360" w:lineRule="auto"/>
        <w:jc w:val="left"/>
        <w:rPr>
          <w:rFonts w:hint="eastAsia" w:ascii="宋体" w:hAnsi="宋体" w:eastAsia="宋体" w:cs="宋体"/>
          <w:color w:val="000000"/>
          <w:sz w:val="24"/>
        </w:rPr>
      </w:pPr>
      <w:r>
        <w:rPr>
          <w:rFonts w:hint="eastAsia" w:ascii="宋体" w:hAnsi="宋体" w:eastAsia="宋体" w:cs="宋体"/>
          <w:color w:val="000000"/>
          <w:sz w:val="24"/>
          <w:szCs w:val="24"/>
        </w:rPr>
        <w:t>评审标准和分值分配：</w:t>
      </w:r>
    </w:p>
    <w:p w14:paraId="604ADAB6">
      <w:pPr>
        <w:pStyle w:val="17"/>
        <w:spacing w:line="360" w:lineRule="auto"/>
        <w:ind w:left="141"/>
        <w:jc w:val="left"/>
        <w:rPr>
          <w:rFonts w:hint="eastAsia" w:ascii="宋体" w:hAnsi="宋体" w:eastAsia="宋体" w:cs="宋体"/>
          <w:b/>
          <w:color w:val="000000"/>
          <w:sz w:val="24"/>
        </w:rPr>
      </w:pPr>
      <w:r>
        <w:rPr>
          <w:rFonts w:hint="eastAsia" w:ascii="宋体" w:hAnsi="宋体" w:eastAsia="宋体" w:cs="宋体"/>
          <w:b/>
          <w:color w:val="000000"/>
          <w:sz w:val="24"/>
        </w:rPr>
        <w:t>具体项目及评分细则：</w:t>
      </w:r>
    </w:p>
    <w:tbl>
      <w:tblPr>
        <w:tblStyle w:val="34"/>
        <w:tblW w:w="538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68"/>
        <w:gridCol w:w="1530"/>
        <w:gridCol w:w="759"/>
        <w:gridCol w:w="6359"/>
      </w:tblGrid>
      <w:tr w14:paraId="10F0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2" w:hRule="atLeast"/>
          <w:jc w:val="center"/>
        </w:trPr>
        <w:tc>
          <w:tcPr>
            <w:tcW w:w="456"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822F49">
            <w:pPr>
              <w:autoSpaceDE w:val="0"/>
              <w:autoSpaceDN w:val="0"/>
              <w:adjustRightInd w:val="0"/>
              <w:spacing w:line="360" w:lineRule="auto"/>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类别</w:t>
            </w: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1AF421">
            <w:pPr>
              <w:autoSpaceDE w:val="0"/>
              <w:autoSpaceDN w:val="0"/>
              <w:adjustRightInd w:val="0"/>
              <w:spacing w:line="360" w:lineRule="auto"/>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项目</w:t>
            </w: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AA9A36">
            <w:pPr>
              <w:autoSpaceDE w:val="0"/>
              <w:autoSpaceDN w:val="0"/>
              <w:adjustRightInd w:val="0"/>
              <w:spacing w:line="360" w:lineRule="auto"/>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满分分值</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78C569">
            <w:pPr>
              <w:autoSpaceDE w:val="0"/>
              <w:autoSpaceDN w:val="0"/>
              <w:adjustRightInd w:val="0"/>
              <w:spacing w:line="360" w:lineRule="auto"/>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评审标准</w:t>
            </w:r>
          </w:p>
        </w:tc>
      </w:tr>
      <w:tr w14:paraId="495B7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56"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B2E4D8">
            <w:pPr>
              <w:autoSpaceDE w:val="0"/>
              <w:autoSpaceDN w:val="0"/>
              <w:adjustRightInd w:val="0"/>
              <w:spacing w:line="360" w:lineRule="auto"/>
              <w:jc w:val="center"/>
              <w:rPr>
                <w:rFonts w:hint="eastAsia" w:ascii="宋体" w:hAnsi="宋体" w:eastAsia="宋体" w:cs="宋体"/>
                <w:color w:val="000000"/>
                <w:kern w:val="2"/>
                <w:sz w:val="24"/>
                <w:szCs w:val="24"/>
                <w:highlight w:val="none"/>
                <w:lang w:val="zh-CN" w:eastAsia="zh-TW" w:bidi="zh-CN"/>
              </w:rPr>
            </w:pPr>
            <w:r>
              <w:rPr>
                <w:rFonts w:hint="eastAsia" w:ascii="宋体" w:hAnsi="宋体" w:eastAsia="宋体" w:cs="宋体"/>
                <w:color w:val="000000"/>
                <w:kern w:val="2"/>
                <w:sz w:val="24"/>
                <w:szCs w:val="24"/>
                <w:highlight w:val="none"/>
                <w:lang w:val="zh-CN" w:eastAsia="zh-TW" w:bidi="zh-CN"/>
              </w:rPr>
              <w:t>投标报价</w:t>
            </w:r>
            <w:r>
              <w:rPr>
                <w:rFonts w:hint="eastAsia" w:ascii="宋体" w:hAnsi="宋体" w:eastAsia="宋体" w:cs="宋体"/>
                <w:color w:val="000000"/>
                <w:kern w:val="2"/>
                <w:sz w:val="24"/>
                <w:szCs w:val="24"/>
                <w:highlight w:val="none"/>
                <w:lang w:val="en-US" w:eastAsia="zh-TW" w:bidi="zh-CN"/>
              </w:rPr>
              <w:t>20</w:t>
            </w:r>
            <w:r>
              <w:rPr>
                <w:rFonts w:hint="eastAsia" w:ascii="宋体" w:hAnsi="宋体" w:eastAsia="宋体" w:cs="宋体"/>
                <w:color w:val="000000"/>
                <w:kern w:val="2"/>
                <w:sz w:val="24"/>
                <w:szCs w:val="24"/>
                <w:highlight w:val="none"/>
                <w:lang w:val="zh-CN" w:eastAsia="zh-TW" w:bidi="zh-CN"/>
              </w:rPr>
              <w:t>分</w:t>
            </w: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8A8948">
            <w:pPr>
              <w:autoSpaceDE w:val="0"/>
              <w:autoSpaceDN w:val="0"/>
              <w:adjustRightInd w:val="0"/>
              <w:spacing w:line="360" w:lineRule="auto"/>
              <w:jc w:val="center"/>
              <w:rPr>
                <w:rFonts w:hint="eastAsia" w:ascii="宋体" w:hAnsi="宋体" w:eastAsia="宋体" w:cs="宋体"/>
                <w:color w:val="000000"/>
                <w:kern w:val="2"/>
                <w:sz w:val="24"/>
                <w:szCs w:val="24"/>
                <w:highlight w:val="none"/>
                <w:lang w:val="zh-CN" w:eastAsia="zh-TW" w:bidi="zh-CN"/>
              </w:rPr>
            </w:pPr>
            <w:r>
              <w:rPr>
                <w:rFonts w:hint="eastAsia" w:ascii="宋体" w:hAnsi="宋体" w:eastAsia="宋体" w:cs="宋体"/>
                <w:color w:val="000000"/>
                <w:kern w:val="2"/>
                <w:sz w:val="24"/>
                <w:szCs w:val="24"/>
                <w:highlight w:val="none"/>
                <w:lang w:val="zh-CN" w:eastAsia="zh-TW" w:bidi="zh-CN"/>
              </w:rPr>
              <w:t>报价分</w:t>
            </w: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2952F2">
            <w:pPr>
              <w:autoSpaceDE w:val="0"/>
              <w:autoSpaceDN w:val="0"/>
              <w:adjustRightInd w:val="0"/>
              <w:spacing w:line="360" w:lineRule="auto"/>
              <w:jc w:val="center"/>
              <w:rPr>
                <w:rFonts w:hint="default" w:ascii="宋体" w:hAnsi="宋体" w:eastAsia="宋体" w:cs="宋体"/>
                <w:color w:val="000000"/>
                <w:kern w:val="2"/>
                <w:sz w:val="24"/>
                <w:szCs w:val="24"/>
                <w:highlight w:val="none"/>
                <w:lang w:val="en-US" w:eastAsia="zh-TW" w:bidi="zh-CN"/>
              </w:rPr>
            </w:pPr>
            <w:r>
              <w:rPr>
                <w:rFonts w:hint="eastAsia" w:ascii="宋体" w:hAnsi="宋体" w:eastAsia="宋体" w:cs="宋体"/>
                <w:color w:val="000000"/>
                <w:kern w:val="2"/>
                <w:sz w:val="24"/>
                <w:szCs w:val="24"/>
                <w:highlight w:val="none"/>
                <w:lang w:val="en-US" w:eastAsia="zh-TW" w:bidi="zh-CN"/>
              </w:rPr>
              <w:t>20</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E7A9358">
            <w:pPr>
              <w:autoSpaceDE w:val="0"/>
              <w:autoSpaceDN w:val="0"/>
              <w:adjustRightInd w:val="0"/>
              <w:spacing w:line="360" w:lineRule="auto"/>
              <w:jc w:val="left"/>
              <w:rPr>
                <w:rFonts w:hint="eastAsia" w:ascii="宋体" w:hAnsi="宋体" w:eastAsia="宋体" w:cs="宋体"/>
                <w:color w:val="000000"/>
                <w:kern w:val="2"/>
                <w:sz w:val="24"/>
                <w:szCs w:val="24"/>
                <w:highlight w:val="none"/>
                <w:lang w:val="zh-CN" w:eastAsia="zh-TW" w:bidi="zh-CN"/>
              </w:rPr>
            </w:pPr>
            <w:r>
              <w:rPr>
                <w:rFonts w:hint="eastAsia" w:ascii="宋体" w:hAnsi="宋体" w:eastAsia="宋体" w:cs="宋体"/>
                <w:color w:val="000000"/>
                <w:kern w:val="2"/>
                <w:sz w:val="24"/>
                <w:szCs w:val="24"/>
                <w:highlight w:val="none"/>
                <w:lang w:val="zh-CN" w:eastAsia="zh-TW" w:bidi="zh-CN"/>
              </w:rPr>
              <w:t>在所有的有效投标报价中，以最低投标报价为基准价，其价格分为满分。其他供应商的报价分统一按下列公式计算：投标报价得分=（评标基准价／投标报价)×价格权值（</w:t>
            </w:r>
            <w:r>
              <w:rPr>
                <w:rFonts w:hint="eastAsia" w:ascii="宋体" w:hAnsi="宋体" w:eastAsia="宋体" w:cs="宋体"/>
                <w:color w:val="000000"/>
                <w:kern w:val="2"/>
                <w:sz w:val="24"/>
                <w:szCs w:val="24"/>
                <w:highlight w:val="none"/>
                <w:lang w:val="en-US" w:eastAsia="zh-TW" w:bidi="zh-CN"/>
              </w:rPr>
              <w:t>2</w:t>
            </w:r>
            <w:r>
              <w:rPr>
                <w:rFonts w:hint="eastAsia" w:ascii="宋体" w:hAnsi="宋体" w:eastAsia="宋体" w:cs="宋体"/>
                <w:color w:val="000000"/>
                <w:kern w:val="2"/>
                <w:sz w:val="24"/>
                <w:szCs w:val="24"/>
                <w:highlight w:val="none"/>
                <w:lang w:val="zh-CN" w:eastAsia="zh-TW" w:bidi="zh-CN"/>
              </w:rPr>
              <w:t>0%）×100（四舍五入后保留小数点后两位）。</w:t>
            </w:r>
          </w:p>
          <w:p w14:paraId="6175B342">
            <w:pPr>
              <w:autoSpaceDE w:val="0"/>
              <w:autoSpaceDN w:val="0"/>
              <w:adjustRightInd w:val="0"/>
              <w:spacing w:line="360" w:lineRule="auto"/>
              <w:jc w:val="left"/>
              <w:rPr>
                <w:rFonts w:hint="eastAsia" w:ascii="宋体" w:hAnsi="宋体" w:cs="宋体"/>
                <w:color w:val="000000"/>
                <w:sz w:val="24"/>
                <w:lang w:val="zh-CN"/>
              </w:rPr>
            </w:pPr>
            <w:r>
              <w:rPr>
                <w:rFonts w:hint="eastAsia" w:ascii="宋体" w:hAnsi="宋体" w:cs="宋体"/>
                <w:color w:val="000000"/>
                <w:sz w:val="24"/>
                <w:lang w:val="zh-CN"/>
              </w:rPr>
              <w:t>注：1、根据《政府采购促进中小企业发展管理办法》（财库〔2020〕46号）的规定，对于经主管预算单位统筹后未预留份额专门面向中小企业采购的采购项目，以及预留份额项目中的非预留部分采购包，采购人、采购代理机构应当对符合本办法规定的小微企业报价给予10%的扣除，用扣除后的价格参加评审；</w:t>
            </w:r>
          </w:p>
          <w:p w14:paraId="39FCF017">
            <w:pPr>
              <w:autoSpaceDE w:val="0"/>
              <w:autoSpaceDN w:val="0"/>
              <w:adjustRightInd w:val="0"/>
              <w:spacing w:line="360" w:lineRule="auto"/>
              <w:jc w:val="left"/>
              <w:rPr>
                <w:rFonts w:hint="eastAsia" w:ascii="宋体" w:hAnsi="宋体" w:eastAsia="宋体" w:cs="宋体"/>
                <w:color w:val="000000"/>
                <w:kern w:val="2"/>
                <w:sz w:val="24"/>
                <w:szCs w:val="24"/>
                <w:highlight w:val="none"/>
                <w:lang w:val="zh-CN" w:eastAsia="zh-TW" w:bidi="zh-CN"/>
              </w:rPr>
            </w:pPr>
            <w:r>
              <w:rPr>
                <w:rFonts w:hint="eastAsia" w:ascii="宋体" w:hAnsi="宋体" w:cs="宋体"/>
                <w:color w:val="000000"/>
                <w:sz w:val="24"/>
                <w:lang w:val="zh-CN"/>
              </w:rPr>
              <w:t>2、监狱企业、残疾人福利性单位属于小型、微型企业的，不重复享受政策。</w:t>
            </w:r>
          </w:p>
        </w:tc>
      </w:tr>
      <w:tr w14:paraId="59F2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0" w:hRule="atLeast"/>
          <w:jc w:val="center"/>
        </w:trPr>
        <w:tc>
          <w:tcPr>
            <w:tcW w:w="456" w:type="pct"/>
            <w:vMerge w:val="restart"/>
            <w:tcBorders>
              <w:top w:val="single" w:color="000000" w:sz="6" w:space="0"/>
              <w:left w:val="single" w:color="000000" w:sz="6" w:space="0"/>
              <w:right w:val="single" w:color="000000" w:sz="6" w:space="0"/>
            </w:tcBorders>
            <w:shd w:val="clear" w:color="000000" w:fill="FFFFFF"/>
            <w:noWrap w:val="0"/>
            <w:vAlign w:val="center"/>
          </w:tcPr>
          <w:p w14:paraId="67CD0940">
            <w:pPr>
              <w:autoSpaceDE w:val="0"/>
              <w:autoSpaceDN w:val="0"/>
              <w:adjustRightInd w:val="0"/>
              <w:spacing w:line="360" w:lineRule="auto"/>
              <w:jc w:val="center"/>
              <w:rPr>
                <w:rFonts w:hint="eastAsia" w:ascii="宋体" w:hAnsi="宋体" w:eastAsia="宋体" w:cs="宋体"/>
                <w:color w:val="000000"/>
                <w:kern w:val="2"/>
                <w:sz w:val="24"/>
                <w:szCs w:val="24"/>
                <w:highlight w:val="none"/>
                <w:lang w:val="zh-TW" w:eastAsia="zh-TW" w:bidi="zh-CN"/>
              </w:rPr>
            </w:pPr>
            <w:r>
              <w:rPr>
                <w:rFonts w:hint="eastAsia" w:ascii="宋体" w:hAnsi="宋体" w:eastAsia="宋体" w:cs="宋体"/>
                <w:color w:val="000000"/>
                <w:kern w:val="2"/>
                <w:sz w:val="24"/>
                <w:szCs w:val="24"/>
                <w:highlight w:val="none"/>
                <w:lang w:val="zh-TW" w:eastAsia="zh-TW" w:bidi="zh-CN"/>
              </w:rPr>
              <w:t>商务部分</w:t>
            </w:r>
            <w:r>
              <w:rPr>
                <w:rFonts w:hint="eastAsia" w:ascii="宋体" w:hAnsi="宋体" w:eastAsia="宋体" w:cs="宋体"/>
                <w:color w:val="000000"/>
                <w:kern w:val="2"/>
                <w:sz w:val="24"/>
                <w:szCs w:val="24"/>
                <w:highlight w:val="none"/>
                <w:lang w:val="en-US" w:eastAsia="zh-CN" w:bidi="zh-CN"/>
              </w:rPr>
              <w:t>30</w:t>
            </w:r>
            <w:r>
              <w:rPr>
                <w:rFonts w:hint="eastAsia" w:ascii="宋体" w:hAnsi="宋体" w:eastAsia="宋体" w:cs="宋体"/>
                <w:color w:val="000000"/>
                <w:kern w:val="2"/>
                <w:sz w:val="24"/>
                <w:szCs w:val="24"/>
                <w:highlight w:val="none"/>
                <w:lang w:val="zh-TW" w:eastAsia="zh-TW" w:bidi="zh-CN"/>
              </w:rPr>
              <w:t>分</w:t>
            </w: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E0EB8D">
            <w:pPr>
              <w:autoSpaceDE w:val="0"/>
              <w:autoSpaceDN w:val="0"/>
              <w:adjustRightInd w:val="0"/>
              <w:spacing w:line="360" w:lineRule="auto"/>
              <w:jc w:val="center"/>
              <w:rPr>
                <w:rFonts w:hint="eastAsia" w:ascii="宋体" w:hAnsi="宋体" w:eastAsia="宋体" w:cs="宋体"/>
                <w:color w:val="000000"/>
                <w:kern w:val="2"/>
                <w:sz w:val="24"/>
                <w:szCs w:val="24"/>
                <w:highlight w:val="none"/>
                <w:lang w:val="zh-CN" w:eastAsia="zh-TW" w:bidi="zh-CN"/>
              </w:rPr>
            </w:pPr>
            <w:r>
              <w:rPr>
                <w:rFonts w:hint="eastAsia" w:ascii="宋体" w:hAnsi="宋体" w:eastAsia="宋体" w:cs="宋体"/>
                <w:color w:val="000000"/>
                <w:kern w:val="2"/>
                <w:sz w:val="24"/>
                <w:szCs w:val="24"/>
                <w:highlight w:val="none"/>
                <w:lang w:val="zh-CN" w:eastAsia="zh-TW" w:bidi="zh-CN"/>
              </w:rPr>
              <w:t>业绩情况</w:t>
            </w: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C04252">
            <w:pPr>
              <w:autoSpaceDE w:val="0"/>
              <w:autoSpaceDN w:val="0"/>
              <w:adjustRightInd w:val="0"/>
              <w:spacing w:line="360" w:lineRule="auto"/>
              <w:jc w:val="center"/>
              <w:rPr>
                <w:rFonts w:hint="default" w:ascii="宋体" w:hAnsi="宋体" w:eastAsia="宋体" w:cs="宋体"/>
                <w:color w:val="000000"/>
                <w:kern w:val="2"/>
                <w:sz w:val="24"/>
                <w:szCs w:val="24"/>
                <w:highlight w:val="none"/>
                <w:lang w:val="en-US" w:eastAsia="zh-TW" w:bidi="zh-CN"/>
              </w:rPr>
            </w:pPr>
            <w:r>
              <w:rPr>
                <w:rFonts w:hint="eastAsia" w:ascii="宋体" w:hAnsi="宋体" w:eastAsia="宋体" w:cs="宋体"/>
                <w:color w:val="000000"/>
                <w:kern w:val="2"/>
                <w:sz w:val="24"/>
                <w:szCs w:val="24"/>
                <w:highlight w:val="none"/>
                <w:lang w:val="en-US" w:eastAsia="zh-TW" w:bidi="zh-CN"/>
              </w:rPr>
              <w:t>10</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ACB333">
            <w:pPr>
              <w:autoSpaceDE w:val="0"/>
              <w:autoSpaceDN w:val="0"/>
              <w:adjustRightInd w:val="0"/>
              <w:spacing w:line="360" w:lineRule="auto"/>
              <w:jc w:val="left"/>
              <w:rPr>
                <w:rFonts w:hint="eastAsia" w:ascii="宋体" w:hAnsi="宋体" w:eastAsia="宋体" w:cs="宋体"/>
                <w:color w:val="000000"/>
                <w:kern w:val="2"/>
                <w:sz w:val="24"/>
                <w:szCs w:val="24"/>
                <w:highlight w:val="none"/>
                <w:lang w:val="zh-CN" w:eastAsia="zh-TW" w:bidi="zh-CN"/>
              </w:rPr>
            </w:pPr>
            <w:r>
              <w:rPr>
                <w:rFonts w:hint="eastAsia" w:ascii="宋体" w:hAnsi="宋体" w:eastAsia="宋体" w:cs="宋体"/>
                <w:color w:val="000000"/>
                <w:kern w:val="2"/>
                <w:sz w:val="24"/>
                <w:szCs w:val="24"/>
                <w:highlight w:val="none"/>
                <w:lang w:val="zh-CN" w:eastAsia="zh-TW" w:bidi="zh-CN"/>
              </w:rPr>
              <w:t>提供自20</w:t>
            </w:r>
            <w:r>
              <w:rPr>
                <w:rFonts w:hint="eastAsia" w:ascii="宋体" w:hAnsi="宋体" w:eastAsia="宋体" w:cs="宋体"/>
                <w:color w:val="000000"/>
                <w:kern w:val="2"/>
                <w:sz w:val="24"/>
                <w:szCs w:val="24"/>
                <w:highlight w:val="none"/>
                <w:lang w:val="en-US" w:eastAsia="zh-TW" w:bidi="zh-CN"/>
              </w:rPr>
              <w:t>22</w:t>
            </w:r>
            <w:r>
              <w:rPr>
                <w:rFonts w:hint="eastAsia" w:ascii="宋体" w:hAnsi="宋体" w:eastAsia="宋体" w:cs="宋体"/>
                <w:color w:val="000000"/>
                <w:kern w:val="2"/>
                <w:sz w:val="24"/>
                <w:szCs w:val="24"/>
                <w:highlight w:val="none"/>
                <w:lang w:val="zh-CN" w:eastAsia="zh-TW" w:bidi="zh-CN"/>
              </w:rPr>
              <w:t>年以来投标人类似业绩证明材料，每提供一个得</w:t>
            </w:r>
            <w:r>
              <w:rPr>
                <w:rFonts w:hint="eastAsia" w:ascii="宋体" w:hAnsi="宋体" w:eastAsia="宋体" w:cs="宋体"/>
                <w:color w:val="000000"/>
                <w:kern w:val="2"/>
                <w:sz w:val="24"/>
                <w:szCs w:val="24"/>
                <w:highlight w:val="none"/>
                <w:lang w:val="en-US" w:eastAsia="zh-TW" w:bidi="zh-CN"/>
              </w:rPr>
              <w:t>2</w:t>
            </w:r>
            <w:r>
              <w:rPr>
                <w:rFonts w:hint="eastAsia" w:ascii="宋体" w:hAnsi="宋体" w:eastAsia="宋体" w:cs="宋体"/>
                <w:color w:val="000000"/>
                <w:kern w:val="2"/>
                <w:sz w:val="24"/>
                <w:szCs w:val="24"/>
                <w:highlight w:val="none"/>
                <w:lang w:val="zh-CN" w:eastAsia="zh-TW" w:bidi="zh-CN"/>
              </w:rPr>
              <w:t>分，最高得</w:t>
            </w:r>
            <w:r>
              <w:rPr>
                <w:rFonts w:hint="eastAsia" w:ascii="宋体" w:hAnsi="宋体" w:eastAsia="宋体" w:cs="宋体"/>
                <w:color w:val="000000"/>
                <w:kern w:val="2"/>
                <w:sz w:val="24"/>
                <w:szCs w:val="24"/>
                <w:highlight w:val="none"/>
                <w:lang w:val="en-US" w:eastAsia="zh-TW" w:bidi="zh-CN"/>
              </w:rPr>
              <w:t>10</w:t>
            </w:r>
            <w:r>
              <w:rPr>
                <w:rFonts w:hint="eastAsia" w:ascii="宋体" w:hAnsi="宋体" w:eastAsia="宋体" w:cs="宋体"/>
                <w:color w:val="000000"/>
                <w:kern w:val="2"/>
                <w:sz w:val="24"/>
                <w:szCs w:val="24"/>
                <w:highlight w:val="none"/>
                <w:lang w:val="zh-CN" w:eastAsia="zh-TW" w:bidi="zh-CN"/>
              </w:rPr>
              <w:t>分；未提供或其他情况的不得分。需提供</w:t>
            </w:r>
            <w:r>
              <w:rPr>
                <w:rFonts w:hint="eastAsia" w:ascii="宋体" w:hAnsi="宋体" w:eastAsia="宋体" w:cs="宋体"/>
                <w:color w:val="000000"/>
                <w:kern w:val="2"/>
                <w:sz w:val="24"/>
                <w:szCs w:val="24"/>
                <w:highlight w:val="none"/>
                <w:lang w:val="zh-TW" w:eastAsia="zh-TW" w:bidi="zh-CN"/>
              </w:rPr>
              <w:t>中标通知书或合同协议书</w:t>
            </w:r>
            <w:r>
              <w:rPr>
                <w:rFonts w:hint="eastAsia" w:ascii="宋体" w:hAnsi="宋体" w:eastAsia="宋体" w:cs="宋体"/>
                <w:color w:val="000000"/>
                <w:kern w:val="2"/>
                <w:sz w:val="24"/>
                <w:szCs w:val="24"/>
                <w:highlight w:val="none"/>
                <w:lang w:val="zh-CN" w:eastAsia="zh-TW" w:bidi="zh-CN"/>
              </w:rPr>
              <w:t>（包含合同首页、标的及金额所在页、服务合同签字盖章页）。</w:t>
            </w:r>
          </w:p>
        </w:tc>
      </w:tr>
      <w:tr w14:paraId="5EE8D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1" w:hRule="atLeast"/>
          <w:jc w:val="center"/>
        </w:trPr>
        <w:tc>
          <w:tcPr>
            <w:tcW w:w="456" w:type="pct"/>
            <w:vMerge w:val="continue"/>
            <w:tcBorders>
              <w:left w:val="single" w:color="000000" w:sz="6" w:space="0"/>
              <w:right w:val="single" w:color="000000" w:sz="6" w:space="0"/>
            </w:tcBorders>
            <w:shd w:val="clear" w:color="000000" w:fill="FFFFFF"/>
            <w:noWrap w:val="0"/>
            <w:vAlign w:val="center"/>
          </w:tcPr>
          <w:p w14:paraId="7740D0E2">
            <w:pPr>
              <w:autoSpaceDE w:val="0"/>
              <w:autoSpaceDN w:val="0"/>
              <w:adjustRightInd w:val="0"/>
              <w:spacing w:line="360" w:lineRule="auto"/>
              <w:jc w:val="left"/>
              <w:rPr>
                <w:rFonts w:hint="eastAsia" w:ascii="宋体" w:hAnsi="宋体" w:eastAsia="宋体" w:cs="宋体"/>
                <w:color w:val="000000"/>
                <w:sz w:val="24"/>
                <w:highlight w:val="none"/>
              </w:rPr>
            </w:pP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52A4F9A">
            <w:pPr>
              <w:autoSpaceDE w:val="0"/>
              <w:autoSpaceDN w:val="0"/>
              <w:adjustRightInd w:val="0"/>
              <w:spacing w:line="360" w:lineRule="auto"/>
              <w:jc w:val="center"/>
              <w:rPr>
                <w:rFonts w:hint="eastAsia" w:ascii="宋体" w:hAnsi="宋体" w:eastAsia="宋体" w:cs="宋体"/>
                <w:color w:val="000000"/>
                <w:sz w:val="24"/>
                <w:highlight w:val="none"/>
                <w:lang w:val="zh-CN"/>
              </w:rPr>
            </w:pPr>
            <w: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t>项目负责人</w:t>
            </w: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1AD316">
            <w:pPr>
              <w:autoSpaceDE w:val="0"/>
              <w:autoSpaceDN w:val="0"/>
              <w:adjustRightInd w:val="0"/>
              <w:spacing w:line="360" w:lineRule="auto"/>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4FAF8B">
            <w:pPr>
              <w:autoSpaceDE w:val="0"/>
              <w:autoSpaceDN w:val="0"/>
              <w:adjustRightInd w:val="0"/>
              <w:spacing w:line="360" w:lineRule="auto"/>
              <w:jc w:val="left"/>
              <w:rPr>
                <w:rFonts w:hint="eastAsia" w:ascii="宋体" w:hAnsi="宋体" w:eastAsia="宋体" w:cs="宋体"/>
                <w:color w:val="000000"/>
                <w:kern w:val="2"/>
                <w:sz w:val="24"/>
                <w:szCs w:val="24"/>
                <w:highlight w:val="none"/>
                <w:lang w:val="zh-CN" w:eastAsia="zh-TW" w:bidi="zh-CN"/>
              </w:rPr>
            </w:pPr>
            <w:r>
              <w:rPr>
                <w:rFonts w:hint="eastAsia" w:ascii="宋体" w:hAnsi="宋体" w:eastAsia="宋体" w:cs="宋体"/>
                <w:color w:val="000000"/>
                <w:kern w:val="2"/>
                <w:sz w:val="24"/>
                <w:szCs w:val="24"/>
                <w:highlight w:val="none"/>
                <w:lang w:val="zh-TW" w:eastAsia="zh-TW" w:bidi="zh-CN"/>
              </w:rPr>
              <w:t>拟派的</w:t>
            </w:r>
            <w:bookmarkStart w:id="77" w:name="OLE_LINK11"/>
            <w:r>
              <w:rPr>
                <w:rFonts w:hint="eastAsia" w:ascii="宋体" w:hAnsi="宋体" w:eastAsia="宋体" w:cs="宋体"/>
                <w:color w:val="000000"/>
                <w:kern w:val="2"/>
                <w:sz w:val="24"/>
                <w:szCs w:val="24"/>
                <w:highlight w:val="none"/>
                <w:lang w:val="zh-TW" w:eastAsia="zh-TW" w:bidi="zh-CN"/>
              </w:rPr>
              <w:t>项目负责人</w:t>
            </w:r>
            <w:bookmarkEnd w:id="77"/>
            <w:bookmarkStart w:id="78" w:name="OLE_LINK8"/>
            <w:r>
              <w:rPr>
                <w:rFonts w:hint="eastAsia" w:ascii="宋体" w:hAnsi="宋体" w:eastAsia="宋体" w:cs="宋体"/>
                <w:color w:val="000000"/>
                <w:kern w:val="2"/>
                <w:sz w:val="24"/>
                <w:szCs w:val="24"/>
                <w:highlight w:val="none"/>
                <w:lang w:val="zh-TW" w:eastAsia="zh-TW" w:bidi="zh-CN"/>
              </w:rPr>
              <w:t>具备</w:t>
            </w:r>
            <w:bookmarkEnd w:id="78"/>
            <w:r>
              <w:rPr>
                <w:rFonts w:hint="eastAsia" w:ascii="宋体" w:hAnsi="宋体" w:eastAsia="宋体" w:cs="宋体"/>
                <w:color w:val="000000"/>
                <w:kern w:val="2"/>
                <w:sz w:val="24"/>
                <w:szCs w:val="24"/>
                <w:highlight w:val="none"/>
                <w:lang w:val="zh-TW" w:eastAsia="zh-TW" w:bidi="zh-CN"/>
              </w:rPr>
              <w:t>相关专业</w:t>
            </w:r>
            <w:r>
              <w:rPr>
                <w:rFonts w:hint="eastAsia" w:ascii="宋体" w:hAnsi="宋体" w:eastAsia="宋体" w:cs="宋体"/>
                <w:color w:val="000000"/>
                <w:kern w:val="2"/>
                <w:sz w:val="24"/>
                <w:szCs w:val="24"/>
                <w:highlight w:val="none"/>
                <w:lang w:val="en-US" w:eastAsia="zh-TW" w:bidi="zh-CN"/>
              </w:rPr>
              <w:t>高级</w:t>
            </w:r>
            <w:r>
              <w:rPr>
                <w:rFonts w:hint="eastAsia" w:ascii="宋体" w:hAnsi="宋体" w:eastAsia="宋体" w:cs="宋体"/>
                <w:color w:val="000000"/>
                <w:kern w:val="2"/>
                <w:sz w:val="24"/>
                <w:szCs w:val="24"/>
                <w:highlight w:val="none"/>
                <w:lang w:val="zh-TW" w:eastAsia="zh-TW" w:bidi="zh-CN"/>
              </w:rPr>
              <w:t>职称的得</w:t>
            </w:r>
            <w:r>
              <w:rPr>
                <w:rFonts w:hint="eastAsia" w:ascii="宋体" w:hAnsi="宋体" w:eastAsia="宋体" w:cs="宋体"/>
                <w:color w:val="000000"/>
                <w:kern w:val="2"/>
                <w:sz w:val="24"/>
                <w:szCs w:val="24"/>
                <w:highlight w:val="none"/>
                <w:lang w:val="en-US" w:eastAsia="zh-TW" w:bidi="zh-CN"/>
              </w:rPr>
              <w:t>5</w:t>
            </w:r>
            <w:r>
              <w:rPr>
                <w:rFonts w:hint="eastAsia" w:ascii="宋体" w:hAnsi="宋体" w:eastAsia="宋体" w:cs="宋体"/>
                <w:color w:val="000000"/>
                <w:kern w:val="2"/>
                <w:sz w:val="24"/>
                <w:szCs w:val="24"/>
                <w:highlight w:val="none"/>
                <w:lang w:val="zh-TW" w:eastAsia="zh-TW" w:bidi="zh-CN"/>
              </w:rPr>
              <w:t>分；具备</w:t>
            </w:r>
            <w:r>
              <w:rPr>
                <w:rFonts w:ascii="宋体" w:hAnsi="宋体" w:eastAsia="宋体" w:cs="宋体"/>
                <w:b w:val="0"/>
                <w:color w:val="000000"/>
                <w:sz w:val="24"/>
                <w:szCs w:val="24"/>
              </w:rPr>
              <w:t>注册会计师执业资格</w:t>
            </w:r>
            <w:r>
              <w:rPr>
                <w:rFonts w:hint="eastAsia" w:ascii="宋体" w:hAnsi="宋体" w:eastAsia="宋体" w:cs="宋体"/>
                <w:b w:val="0"/>
                <w:color w:val="000000"/>
                <w:sz w:val="24"/>
                <w:szCs w:val="24"/>
                <w:lang w:val="en-US" w:eastAsia="zh-CN"/>
              </w:rPr>
              <w:t>的得5分；满分10分。</w:t>
            </w:r>
            <w:r>
              <w:rPr>
                <w:rFonts w:hint="eastAsia" w:ascii="宋体" w:hAnsi="宋体" w:eastAsia="宋体" w:cs="宋体"/>
                <w:color w:val="000000"/>
                <w:kern w:val="2"/>
                <w:sz w:val="24"/>
                <w:szCs w:val="24"/>
                <w:highlight w:val="none"/>
                <w:lang w:val="zh-TW" w:eastAsia="zh-TW" w:bidi="zh-CN"/>
              </w:rPr>
              <w:t>未提供不得分。</w:t>
            </w:r>
            <w:bookmarkStart w:id="79" w:name="OLE_LINK7"/>
            <w:r>
              <w:rPr>
                <w:rFonts w:hint="eastAsia" w:ascii="宋体" w:hAnsi="宋体" w:eastAsia="宋体" w:cs="宋体"/>
                <w:color w:val="000000"/>
                <w:kern w:val="2"/>
                <w:sz w:val="24"/>
                <w:szCs w:val="24"/>
                <w:highlight w:val="none"/>
                <w:lang w:val="zh-TW" w:eastAsia="zh-TW" w:bidi="zh-CN"/>
              </w:rPr>
              <w:t>(需提供身份证、毕业证、劳动合同、本单位为其缴纳社保的证明及相关证书)。</w:t>
            </w:r>
            <w:bookmarkEnd w:id="79"/>
          </w:p>
        </w:tc>
      </w:tr>
      <w:tr w14:paraId="06401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3" w:hRule="atLeast"/>
          <w:jc w:val="center"/>
        </w:trPr>
        <w:tc>
          <w:tcPr>
            <w:tcW w:w="456" w:type="pct"/>
            <w:vMerge w:val="continue"/>
            <w:tcBorders>
              <w:left w:val="single" w:color="000000" w:sz="6" w:space="0"/>
              <w:bottom w:val="single" w:color="000000" w:sz="6" w:space="0"/>
              <w:right w:val="single" w:color="000000" w:sz="6" w:space="0"/>
            </w:tcBorders>
            <w:shd w:val="clear" w:color="000000" w:fill="FFFFFF"/>
            <w:noWrap w:val="0"/>
            <w:vAlign w:val="center"/>
          </w:tcPr>
          <w:p w14:paraId="4775B609">
            <w:pPr>
              <w:autoSpaceDE w:val="0"/>
              <w:autoSpaceDN w:val="0"/>
              <w:adjustRightInd w:val="0"/>
              <w:spacing w:line="360" w:lineRule="auto"/>
              <w:jc w:val="left"/>
              <w:rPr>
                <w:rFonts w:hint="eastAsia" w:ascii="宋体" w:hAnsi="宋体" w:eastAsia="宋体" w:cs="宋体"/>
                <w:color w:val="000000"/>
                <w:sz w:val="24"/>
                <w:highlight w:val="none"/>
              </w:rPr>
            </w:pP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B92235">
            <w:pPr>
              <w:autoSpaceDE w:val="0"/>
              <w:autoSpaceDN w:val="0"/>
              <w:adjustRightInd w:val="0"/>
              <w:spacing w:line="360" w:lineRule="auto"/>
              <w:jc w:val="center"/>
              <w:rPr>
                <w:rFonts w:hint="eastAsia" w:ascii="宋体" w:hAnsi="宋体" w:eastAsia="宋体" w:cs="宋体"/>
                <w:color w:val="000000"/>
                <w:sz w:val="24"/>
                <w:highlight w:val="none"/>
                <w:lang w:val="zh-CN"/>
              </w:rPr>
            </w:pPr>
            <w:r>
              <w:rPr>
                <w:rFonts w:hint="eastAsia" w:ascii="宋体" w:hAnsi="宋体" w:eastAsia="宋体" w:cs="宋体"/>
                <w:color w:val="000000"/>
                <w:kern w:val="2"/>
                <w:sz w:val="24"/>
                <w:szCs w:val="24"/>
                <w:highlight w:val="none"/>
                <w:lang w:val="en-US" w:eastAsia="zh-CN" w:bidi="zh-CN"/>
              </w:rPr>
              <w:t>拟投入项目人员</w:t>
            </w: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66D23D">
            <w:pPr>
              <w:autoSpaceDE w:val="0"/>
              <w:autoSpaceDN w:val="0"/>
              <w:adjustRightInd w:val="0"/>
              <w:spacing w:line="360" w:lineRule="auto"/>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457B44">
            <w:pPr>
              <w:autoSpaceDE w:val="0"/>
              <w:autoSpaceDN w:val="0"/>
              <w:adjustRightInd w:val="0"/>
              <w:spacing w:line="360" w:lineRule="auto"/>
              <w:jc w:val="left"/>
              <w:rPr>
                <w:rFonts w:hint="eastAsia" w:ascii="宋体" w:hAnsi="宋体" w:eastAsia="宋体" w:cs="宋体"/>
                <w:color w:val="000000"/>
                <w:kern w:val="2"/>
                <w:sz w:val="24"/>
                <w:szCs w:val="24"/>
                <w:highlight w:val="none"/>
                <w:lang w:val="zh-CN" w:eastAsia="zh-CN" w:bidi="zh-CN"/>
              </w:rPr>
            </w:pPr>
            <w:r>
              <w:rPr>
                <w:rFonts w:hint="eastAsia" w:ascii="宋体" w:hAnsi="宋体" w:eastAsia="宋体" w:cs="宋体"/>
                <w:color w:val="000000"/>
                <w:kern w:val="2"/>
                <w:sz w:val="24"/>
                <w:szCs w:val="24"/>
                <w:highlight w:val="none"/>
                <w:lang w:val="en-US" w:eastAsia="zh-TW" w:bidi="zh-CN"/>
              </w:rPr>
              <w:t>除</w:t>
            </w:r>
            <w:r>
              <w:rPr>
                <w:rFonts w:hint="eastAsia" w:ascii="宋体" w:hAnsi="宋体" w:eastAsia="宋体" w:cs="宋体"/>
                <w:color w:val="000000"/>
                <w:kern w:val="2"/>
                <w:sz w:val="24"/>
                <w:szCs w:val="24"/>
                <w:highlight w:val="none"/>
                <w:lang w:val="zh-TW" w:eastAsia="zh-TW" w:bidi="zh-CN"/>
              </w:rPr>
              <w:t>项目负责人</w:t>
            </w:r>
            <w:r>
              <w:rPr>
                <w:rFonts w:hint="eastAsia" w:ascii="宋体" w:hAnsi="宋体" w:eastAsia="宋体" w:cs="宋体"/>
                <w:color w:val="000000"/>
                <w:kern w:val="2"/>
                <w:sz w:val="24"/>
                <w:szCs w:val="24"/>
                <w:highlight w:val="none"/>
                <w:lang w:val="en-US" w:eastAsia="zh-TW" w:bidi="zh-CN"/>
              </w:rPr>
              <w:t>外，本项目拟派驻的项目成员中，每提供1名高级会计师得3分，每提供1名中级会计师得2分；每提供1名初级会计师得1分；满分10分。未提供不得分。(需提供身份证、毕业证、劳动合同及职称证书)。</w:t>
            </w:r>
          </w:p>
        </w:tc>
      </w:tr>
      <w:tr w14:paraId="43FE1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6" w:hRule="atLeast"/>
          <w:jc w:val="center"/>
        </w:trPr>
        <w:tc>
          <w:tcPr>
            <w:tcW w:w="456" w:type="pct"/>
            <w:vMerge w:val="restart"/>
            <w:tcBorders>
              <w:top w:val="single" w:color="000000" w:sz="6" w:space="0"/>
              <w:left w:val="single" w:color="000000" w:sz="6" w:space="0"/>
              <w:right w:val="single" w:color="000000" w:sz="6" w:space="0"/>
            </w:tcBorders>
            <w:shd w:val="clear" w:color="000000" w:fill="FFFFFF"/>
            <w:noWrap w:val="0"/>
            <w:vAlign w:val="center"/>
          </w:tcPr>
          <w:p w14:paraId="61F72892">
            <w:pPr>
              <w:autoSpaceDE w:val="0"/>
              <w:autoSpaceDN w:val="0"/>
              <w:adjustRightIn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技术</w:t>
            </w:r>
            <w:r>
              <w:rPr>
                <w:rFonts w:hint="eastAsia" w:ascii="宋体" w:hAnsi="宋体" w:eastAsia="宋体" w:cs="宋体"/>
                <w:color w:val="000000"/>
                <w:sz w:val="24"/>
                <w:szCs w:val="24"/>
                <w:highlight w:val="none"/>
              </w:rPr>
              <w:t>部分</w:t>
            </w:r>
          </w:p>
          <w:p w14:paraId="1BF7799A">
            <w:pPr>
              <w:autoSpaceDE w:val="0"/>
              <w:autoSpaceDN w:val="0"/>
              <w:adjustRightInd w:val="0"/>
              <w:spacing w:line="36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分</w:t>
            </w: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D448CB2">
            <w:pPr>
              <w:autoSpaceDE w:val="0"/>
              <w:autoSpaceDN w:val="0"/>
              <w:adjustRightIn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实施方案</w:t>
            </w: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1DE7E8">
            <w:pPr>
              <w:autoSpaceDE w:val="0"/>
              <w:autoSpaceDN w:val="0"/>
              <w:adjustRightInd w:val="0"/>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DA9649">
            <w:pPr>
              <w:autoSpaceDE w:val="0"/>
              <w:autoSpaceDN w:val="0"/>
              <w:adjustRightInd w:val="0"/>
              <w:spacing w:line="360" w:lineRule="auto"/>
              <w:jc w:val="left"/>
              <w:rPr>
                <w:rFonts w:hint="eastAsia" w:ascii="宋体" w:hAnsi="宋体" w:eastAsia="宋体" w:cs="宋体"/>
                <w:color w:val="0000FF"/>
                <w:sz w:val="24"/>
                <w:szCs w:val="24"/>
                <w:highlight w:val="none"/>
                <w:lang w:val="zh-CN"/>
              </w:rPr>
            </w:pPr>
            <w:r>
              <w:rPr>
                <w:rFonts w:hint="eastAsia" w:ascii="宋体" w:hAnsi="宋体" w:eastAsia="宋体" w:cs="宋体"/>
                <w:bCs/>
                <w:color w:val="auto"/>
                <w:kern w:val="0"/>
                <w:sz w:val="24"/>
                <w:szCs w:val="24"/>
                <w:highlight w:val="none"/>
                <w:lang w:val="en-US" w:eastAsia="zh-CN"/>
              </w:rPr>
              <w:t>针对本项目需求，提供详细、清晰、科学、合理的服务方案。包含：①</w:t>
            </w:r>
            <w:bookmarkStart w:id="80" w:name="OLE_LINK6"/>
            <w:r>
              <w:rPr>
                <w:rFonts w:hint="eastAsia" w:ascii="宋体" w:hAnsi="宋体" w:eastAsia="宋体" w:cs="宋体"/>
                <w:bCs/>
                <w:color w:val="auto"/>
                <w:kern w:val="0"/>
                <w:sz w:val="24"/>
                <w:szCs w:val="24"/>
                <w:highlight w:val="none"/>
                <w:lang w:val="en-US" w:eastAsia="zh-CN"/>
              </w:rPr>
              <w:t>决算</w:t>
            </w:r>
            <w:bookmarkEnd w:id="80"/>
            <w:r>
              <w:rPr>
                <w:rFonts w:hint="eastAsia" w:ascii="宋体" w:hAnsi="宋体" w:eastAsia="宋体" w:cs="宋体"/>
                <w:bCs/>
                <w:color w:val="auto"/>
                <w:kern w:val="0"/>
                <w:sz w:val="24"/>
                <w:szCs w:val="24"/>
                <w:highlight w:val="none"/>
                <w:lang w:val="en-US" w:eastAsia="zh-CN"/>
              </w:rPr>
              <w:t>目标②决算范围③决算内容④决算重点⑤预期成果。</w:t>
            </w:r>
            <w:r>
              <w:rPr>
                <w:rFonts w:hint="default" w:ascii="Times New Roman" w:hAnsi="宋体" w:eastAsia="宋体" w:cs="宋体"/>
                <w:b w:val="0"/>
                <w:bCs w:val="0"/>
                <w:color w:val="auto"/>
                <w:sz w:val="24"/>
                <w:szCs w:val="24"/>
                <w:lang w:val="en-US" w:eastAsia="zh-CN"/>
              </w:rPr>
              <w:t>以上内容完整且完全满足项目需求的得</w:t>
            </w:r>
            <w:r>
              <w:rPr>
                <w:rFonts w:hint="eastAsia" w:ascii="Times New Roman" w:hAnsi="宋体" w:eastAsia="宋体" w:cs="宋体"/>
                <w:b w:val="0"/>
                <w:bCs w:val="0"/>
                <w:color w:val="auto"/>
                <w:sz w:val="24"/>
                <w:szCs w:val="24"/>
                <w:lang w:val="en-US" w:eastAsia="zh-CN"/>
              </w:rPr>
              <w:t>20</w:t>
            </w:r>
            <w:r>
              <w:rPr>
                <w:rFonts w:hint="default" w:ascii="Times New Roman" w:hAnsi="宋体" w:eastAsia="宋体" w:cs="宋体"/>
                <w:b w:val="0"/>
                <w:bCs w:val="0"/>
                <w:color w:val="auto"/>
                <w:sz w:val="24"/>
                <w:szCs w:val="24"/>
                <w:lang w:val="en-US" w:eastAsia="zh-CN"/>
              </w:rPr>
              <w:t>分；</w:t>
            </w:r>
            <w:r>
              <w:rPr>
                <w:rFonts w:hint="eastAsia" w:ascii="宋体" w:hAnsi="宋体" w:eastAsia="宋体" w:cs="宋体"/>
                <w:color w:val="auto"/>
                <w:spacing w:val="1"/>
                <w:sz w:val="24"/>
                <w:szCs w:val="24"/>
                <w:lang w:val="en-US" w:eastAsia="en-US" w:bidi="ar-SA"/>
              </w:rPr>
              <w:t>每有一项内容缺失扣</w:t>
            </w:r>
            <w:r>
              <w:rPr>
                <w:rFonts w:hint="eastAsia" w:ascii="宋体" w:hAnsi="宋体" w:eastAsia="宋体" w:cs="宋体"/>
                <w:color w:val="auto"/>
                <w:spacing w:val="1"/>
                <w:sz w:val="24"/>
                <w:szCs w:val="24"/>
                <w:lang w:val="en-US" w:eastAsia="zh-CN" w:bidi="ar-SA"/>
              </w:rPr>
              <w:t>4</w:t>
            </w:r>
            <w:r>
              <w:rPr>
                <w:rFonts w:hint="eastAsia" w:ascii="宋体" w:hAnsi="宋体" w:eastAsia="宋体" w:cs="宋体"/>
                <w:color w:val="auto"/>
                <w:spacing w:val="1"/>
                <w:sz w:val="24"/>
                <w:szCs w:val="24"/>
                <w:lang w:val="en-US" w:eastAsia="en-US" w:bidi="ar-SA"/>
              </w:rPr>
              <w:t>分，在此基础上每有一处表述不清楚、针对性不强、逻辑不清晰、有缺陷或不足的</w:t>
            </w:r>
            <w:r>
              <w:rPr>
                <w:rFonts w:hint="eastAsia" w:ascii="宋体" w:hAnsi="宋体" w:eastAsia="宋体" w:cs="宋体"/>
                <w:color w:val="auto"/>
                <w:spacing w:val="1"/>
                <w:sz w:val="24"/>
                <w:szCs w:val="24"/>
                <w:lang w:val="en-US" w:eastAsia="zh-CN" w:bidi="ar-SA"/>
              </w:rPr>
              <w:t>扣</w:t>
            </w:r>
            <w:r>
              <w:rPr>
                <w:rFonts w:hint="eastAsia" w:ascii="宋体" w:hAnsi="宋体" w:eastAsia="宋体" w:cs="宋体"/>
                <w:color w:val="auto"/>
                <w:spacing w:val="1"/>
                <w:sz w:val="24"/>
                <w:szCs w:val="24"/>
                <w:lang w:val="en-US" w:eastAsia="en-US" w:bidi="ar-SA"/>
              </w:rPr>
              <w:t xml:space="preserve"> </w:t>
            </w:r>
            <w:r>
              <w:rPr>
                <w:rFonts w:hint="eastAsia" w:ascii="宋体" w:hAnsi="宋体" w:eastAsia="宋体" w:cs="宋体"/>
                <w:color w:val="auto"/>
                <w:spacing w:val="1"/>
                <w:sz w:val="24"/>
                <w:szCs w:val="24"/>
                <w:lang w:val="en-US" w:eastAsia="zh-CN" w:bidi="ar-SA"/>
              </w:rPr>
              <w:t>1</w:t>
            </w:r>
            <w:r>
              <w:rPr>
                <w:rFonts w:hint="eastAsia" w:ascii="宋体" w:hAnsi="宋体" w:eastAsia="宋体" w:cs="宋体"/>
                <w:color w:val="auto"/>
                <w:spacing w:val="1"/>
                <w:sz w:val="24"/>
                <w:szCs w:val="24"/>
                <w:lang w:val="en-US" w:eastAsia="en-US" w:bidi="ar-SA"/>
              </w:rPr>
              <w:t>分，扣完为止。</w:t>
            </w:r>
          </w:p>
        </w:tc>
      </w:tr>
      <w:tr w14:paraId="5920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7" w:hRule="atLeast"/>
          <w:jc w:val="center"/>
        </w:trPr>
        <w:tc>
          <w:tcPr>
            <w:tcW w:w="456" w:type="pct"/>
            <w:vMerge w:val="continue"/>
            <w:tcBorders>
              <w:left w:val="single" w:color="000000" w:sz="6" w:space="0"/>
              <w:right w:val="single" w:color="000000" w:sz="6" w:space="0"/>
            </w:tcBorders>
            <w:shd w:val="clear" w:color="000000" w:fill="FFFFFF"/>
            <w:noWrap w:val="0"/>
            <w:vAlign w:val="center"/>
          </w:tcPr>
          <w:p w14:paraId="158C5CCD">
            <w:pPr>
              <w:autoSpaceDE w:val="0"/>
              <w:autoSpaceDN w:val="0"/>
              <w:adjustRightInd w:val="0"/>
              <w:spacing w:line="360" w:lineRule="auto"/>
              <w:jc w:val="left"/>
              <w:rPr>
                <w:rFonts w:hint="eastAsia" w:ascii="宋体" w:hAnsi="宋体" w:eastAsia="宋体" w:cs="宋体"/>
                <w:color w:val="000000"/>
                <w:sz w:val="24"/>
                <w:highlight w:val="none"/>
                <w:lang w:val="zh-CN"/>
              </w:rPr>
            </w:pP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F5D888">
            <w:pPr>
              <w:autoSpaceDE w:val="0"/>
              <w:autoSpaceDN w:val="0"/>
              <w:adjustRightInd w:val="0"/>
              <w:spacing w:line="360" w:lineRule="auto"/>
              <w:jc w:val="center"/>
              <w:rPr>
                <w:rFonts w:hint="eastAsia" w:ascii="宋体" w:hAnsi="宋体" w:eastAsia="宋体" w:cs="宋体"/>
                <w:color w:val="auto"/>
                <w:spacing w:val="1"/>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项目管理机制及工作计划</w:t>
            </w:r>
          </w:p>
          <w:p w14:paraId="60ED1252">
            <w:pPr>
              <w:spacing w:line="360" w:lineRule="auto"/>
              <w:jc w:val="center"/>
              <w:rPr>
                <w:rFonts w:hint="eastAsia" w:ascii="宋体" w:hAnsi="宋体" w:eastAsia="宋体" w:cs="宋体"/>
                <w:color w:val="000000"/>
                <w:sz w:val="24"/>
                <w:szCs w:val="24"/>
                <w:highlight w:val="none"/>
                <w:lang w:val="en-US" w:eastAsia="zh-CN"/>
              </w:rPr>
            </w:pP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506A42">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DDC8E0">
            <w:pPr>
              <w:spacing w:line="360" w:lineRule="auto"/>
              <w:jc w:val="both"/>
              <w:rPr>
                <w:rFonts w:hint="eastAsia" w:ascii="宋体" w:hAnsi="宋体" w:eastAsia="宋体" w:cs="宋体"/>
                <w:color w:val="0000FF"/>
                <w:sz w:val="24"/>
                <w:szCs w:val="24"/>
                <w:highlight w:val="none"/>
                <w:lang w:val="en-US" w:eastAsia="zh-CN"/>
              </w:rPr>
            </w:pPr>
            <w:bookmarkStart w:id="81" w:name="OLE_LINK5"/>
            <w:r>
              <w:rPr>
                <w:rFonts w:hint="eastAsia" w:ascii="宋体" w:hAnsi="宋体" w:eastAsia="宋体" w:cs="宋体"/>
                <w:color w:val="auto"/>
                <w:spacing w:val="1"/>
                <w:sz w:val="24"/>
                <w:szCs w:val="24"/>
                <w:highlight w:val="none"/>
                <w:lang w:val="en-US" w:eastAsia="zh-CN" w:bidi="ar-SA"/>
              </w:rPr>
              <w:t>供应商针对本项目提供</w:t>
            </w:r>
            <w:bookmarkEnd w:id="81"/>
            <w:r>
              <w:rPr>
                <w:rFonts w:hint="eastAsia" w:ascii="宋体" w:hAnsi="宋体" w:eastAsia="宋体" w:cs="宋体"/>
                <w:color w:val="auto"/>
                <w:sz w:val="24"/>
                <w:szCs w:val="24"/>
                <w:highlight w:val="none"/>
                <w:lang w:val="en-US" w:eastAsia="zh-CN"/>
              </w:rPr>
              <w:t>①项目管理机制人员配备；②工作合理进度计划安排③服务响应时间；④对影响进度目标实现的干扰和风险因素进行分析；</w:t>
            </w:r>
            <w:r>
              <w:rPr>
                <w:rFonts w:hint="eastAsia" w:ascii="Times New Roman" w:hAnsi="宋体" w:eastAsia="宋体" w:cs="宋体"/>
                <w:b w:val="0"/>
                <w:bCs w:val="0"/>
                <w:color w:val="auto"/>
                <w:sz w:val="24"/>
                <w:szCs w:val="24"/>
                <w:lang w:val="en-US" w:eastAsia="zh-CN"/>
              </w:rPr>
              <w:t>⑤合理化建议</w:t>
            </w:r>
            <w:r>
              <w:rPr>
                <w:rFonts w:hint="eastAsia" w:ascii="宋体" w:hAnsi="宋体" w:eastAsia="宋体" w:cs="宋体"/>
                <w:color w:val="auto"/>
                <w:sz w:val="24"/>
                <w:szCs w:val="24"/>
                <w:highlight w:val="none"/>
                <w:lang w:val="en-US" w:eastAsia="zh-CN"/>
              </w:rPr>
              <w:t>；</w:t>
            </w:r>
            <w:r>
              <w:rPr>
                <w:rFonts w:hint="default" w:ascii="Times New Roman" w:hAnsi="宋体" w:eastAsia="宋体" w:cs="宋体"/>
                <w:b w:val="0"/>
                <w:bCs w:val="0"/>
                <w:color w:val="auto"/>
                <w:sz w:val="24"/>
                <w:szCs w:val="24"/>
                <w:highlight w:val="none"/>
                <w:lang w:val="en-US" w:eastAsia="zh-CN"/>
              </w:rPr>
              <w:t>以上内容完整且完全满足项目需求的得</w:t>
            </w:r>
            <w:r>
              <w:rPr>
                <w:rFonts w:hint="eastAsia" w:ascii="Times New Roman" w:hAnsi="宋体" w:eastAsia="宋体" w:cs="宋体"/>
                <w:b w:val="0"/>
                <w:bCs w:val="0"/>
                <w:color w:val="auto"/>
                <w:sz w:val="24"/>
                <w:szCs w:val="24"/>
                <w:highlight w:val="none"/>
                <w:lang w:val="en-US" w:eastAsia="zh-CN"/>
              </w:rPr>
              <w:t>10</w:t>
            </w:r>
            <w:r>
              <w:rPr>
                <w:rFonts w:hint="default" w:ascii="Times New Roman" w:hAnsi="宋体" w:eastAsia="宋体" w:cs="宋体"/>
                <w:b w:val="0"/>
                <w:bCs w:val="0"/>
                <w:color w:val="auto"/>
                <w:sz w:val="24"/>
                <w:szCs w:val="24"/>
                <w:highlight w:val="none"/>
                <w:lang w:val="en-US" w:eastAsia="zh-CN"/>
              </w:rPr>
              <w:t>分；</w:t>
            </w:r>
            <w:r>
              <w:rPr>
                <w:rFonts w:hint="eastAsia" w:ascii="宋体" w:hAnsi="宋体" w:eastAsia="宋体" w:cs="宋体"/>
                <w:color w:val="auto"/>
                <w:spacing w:val="1"/>
                <w:sz w:val="24"/>
                <w:szCs w:val="24"/>
                <w:highlight w:val="none"/>
                <w:lang w:val="en-US" w:eastAsia="en-US" w:bidi="ar-SA"/>
              </w:rPr>
              <w:t>每有一项内容缺失扣2分，在此基础上每有一处表述不清楚、针对性不强、逻辑不清晰、有缺陷或不足的</w:t>
            </w:r>
            <w:r>
              <w:rPr>
                <w:rFonts w:hint="eastAsia" w:ascii="宋体" w:hAnsi="宋体" w:eastAsia="宋体" w:cs="宋体"/>
                <w:color w:val="auto"/>
                <w:spacing w:val="1"/>
                <w:sz w:val="24"/>
                <w:szCs w:val="24"/>
                <w:highlight w:val="none"/>
                <w:lang w:val="en-US" w:eastAsia="zh-CN" w:bidi="ar-SA"/>
              </w:rPr>
              <w:t>扣1</w:t>
            </w:r>
            <w:r>
              <w:rPr>
                <w:rFonts w:hint="eastAsia" w:ascii="宋体" w:hAnsi="宋体" w:eastAsia="宋体" w:cs="宋体"/>
                <w:color w:val="auto"/>
                <w:spacing w:val="1"/>
                <w:sz w:val="24"/>
                <w:szCs w:val="24"/>
                <w:highlight w:val="none"/>
                <w:lang w:val="en-US" w:eastAsia="en-US" w:bidi="ar-SA"/>
              </w:rPr>
              <w:t>分，扣完为止。</w:t>
            </w:r>
          </w:p>
        </w:tc>
      </w:tr>
      <w:tr w14:paraId="3A406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28" w:hRule="atLeast"/>
          <w:jc w:val="center"/>
        </w:trPr>
        <w:tc>
          <w:tcPr>
            <w:tcW w:w="456" w:type="pct"/>
            <w:vMerge w:val="continue"/>
            <w:tcBorders>
              <w:left w:val="single" w:color="000000" w:sz="6" w:space="0"/>
              <w:right w:val="single" w:color="000000" w:sz="6" w:space="0"/>
            </w:tcBorders>
            <w:shd w:val="clear" w:color="000000" w:fill="FFFFFF"/>
            <w:noWrap w:val="0"/>
            <w:vAlign w:val="center"/>
          </w:tcPr>
          <w:p w14:paraId="08D1D29D">
            <w:pPr>
              <w:autoSpaceDE w:val="0"/>
              <w:autoSpaceDN w:val="0"/>
              <w:adjustRightInd w:val="0"/>
              <w:spacing w:line="360" w:lineRule="auto"/>
              <w:jc w:val="left"/>
              <w:rPr>
                <w:rFonts w:hint="eastAsia" w:ascii="宋体" w:hAnsi="宋体" w:eastAsia="宋体" w:cs="宋体"/>
                <w:color w:val="000000"/>
                <w:sz w:val="24"/>
                <w:highlight w:val="none"/>
                <w:lang w:val="zh-CN"/>
              </w:rPr>
            </w:pP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744BD2">
            <w:pPr>
              <w:spacing w:line="360" w:lineRule="auto"/>
              <w:jc w:val="center"/>
              <w:rPr>
                <w:rFonts w:hint="eastAsia" w:ascii="宋体" w:hAnsi="宋体" w:eastAsia="宋体" w:cs="宋体"/>
                <w:color w:val="000000"/>
                <w:sz w:val="24"/>
                <w:szCs w:val="24"/>
                <w:highlight w:val="none"/>
                <w:lang w:val="en-US" w:eastAsia="zh-CN"/>
              </w:rPr>
            </w:pPr>
            <w:bookmarkStart w:id="82" w:name="OLE_LINK4"/>
            <w:r>
              <w:rPr>
                <w:rFonts w:hint="eastAsia" w:ascii="Times New Roman" w:hAnsi="宋体" w:eastAsia="宋体" w:cs="宋体"/>
                <w:b w:val="0"/>
                <w:bCs w:val="0"/>
                <w:color w:val="auto"/>
                <w:sz w:val="24"/>
                <w:szCs w:val="24"/>
                <w:lang w:val="en-US" w:eastAsia="zh-CN"/>
              </w:rPr>
              <w:t>质量</w:t>
            </w:r>
            <w:bookmarkEnd w:id="82"/>
            <w:r>
              <w:rPr>
                <w:rFonts w:hint="eastAsia" w:ascii="Times New Roman" w:hAnsi="宋体" w:eastAsia="宋体" w:cs="宋体"/>
                <w:b w:val="0"/>
                <w:bCs w:val="0"/>
                <w:color w:val="auto"/>
                <w:sz w:val="24"/>
                <w:szCs w:val="24"/>
                <w:lang w:val="en-US" w:eastAsia="zh-CN"/>
              </w:rPr>
              <w:t>保障</w:t>
            </w: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BAE62D">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874397">
            <w:pPr>
              <w:autoSpaceDE w:val="0"/>
              <w:autoSpaceDN w:val="0"/>
              <w:adjustRightInd w:val="0"/>
              <w:spacing w:line="360" w:lineRule="auto"/>
              <w:jc w:val="left"/>
              <w:rPr>
                <w:rFonts w:hint="eastAsia" w:ascii="Times New Roman" w:hAnsi="宋体" w:eastAsia="宋体" w:cs="宋体"/>
                <w:b w:val="0"/>
                <w:bCs w:val="0"/>
                <w:color w:val="auto"/>
                <w:sz w:val="24"/>
                <w:szCs w:val="24"/>
                <w:lang w:val="en-US" w:eastAsia="zh-CN"/>
              </w:rPr>
            </w:pPr>
            <w:r>
              <w:rPr>
                <w:rFonts w:hint="eastAsia" w:ascii="Times New Roman" w:hAnsi="宋体" w:eastAsia="宋体" w:cs="宋体"/>
                <w:b w:val="0"/>
                <w:bCs w:val="0"/>
                <w:color w:val="auto"/>
                <w:sz w:val="24"/>
                <w:szCs w:val="24"/>
                <w:lang w:val="en-US" w:eastAsia="zh-CN"/>
              </w:rPr>
              <w:t>针对本项目需求，提供详细、完善的质量保障方案。</w:t>
            </w:r>
          </w:p>
          <w:p w14:paraId="0954AC73">
            <w:pPr>
              <w:spacing w:line="360" w:lineRule="auto"/>
              <w:jc w:val="both"/>
              <w:rPr>
                <w:rFonts w:hint="eastAsia" w:ascii="宋体" w:hAnsi="宋体" w:eastAsia="宋体" w:cs="宋体"/>
                <w:color w:val="0000FF"/>
                <w:sz w:val="24"/>
                <w:szCs w:val="24"/>
                <w:highlight w:val="none"/>
                <w:lang w:val="en-US" w:eastAsia="zh-CN"/>
              </w:rPr>
            </w:pPr>
            <w:r>
              <w:rPr>
                <w:rFonts w:hint="eastAsia" w:ascii="Times New Roman" w:hAnsi="宋体" w:eastAsia="宋体" w:cs="宋体"/>
                <w:b w:val="0"/>
                <w:bCs w:val="0"/>
                <w:color w:val="auto"/>
                <w:sz w:val="24"/>
                <w:szCs w:val="24"/>
                <w:lang w:val="en-US" w:eastAsia="zh-CN"/>
              </w:rPr>
              <w:t>包含①投标人基本情况②服务质量保障措施③服务进度保障措施④项目组织计划⑤风险控制。</w:t>
            </w:r>
            <w:r>
              <w:rPr>
                <w:rFonts w:hint="default" w:ascii="Times New Roman" w:hAnsi="宋体" w:eastAsia="宋体" w:cs="宋体"/>
                <w:b w:val="0"/>
                <w:bCs w:val="0"/>
                <w:color w:val="auto"/>
                <w:sz w:val="24"/>
                <w:szCs w:val="24"/>
                <w:lang w:val="en-US" w:eastAsia="zh-CN"/>
              </w:rPr>
              <w:t>以上内容完整且完全满足项目需求的得</w:t>
            </w:r>
            <w:r>
              <w:rPr>
                <w:rFonts w:hint="eastAsia" w:ascii="Times New Roman" w:hAnsi="宋体" w:eastAsia="宋体" w:cs="宋体"/>
                <w:b w:val="0"/>
                <w:bCs w:val="0"/>
                <w:color w:val="auto"/>
                <w:sz w:val="24"/>
                <w:szCs w:val="24"/>
                <w:lang w:val="en-US" w:eastAsia="zh-CN"/>
              </w:rPr>
              <w:t>10</w:t>
            </w:r>
            <w:r>
              <w:rPr>
                <w:rFonts w:hint="default" w:ascii="Times New Roman" w:hAnsi="宋体" w:eastAsia="宋体" w:cs="宋体"/>
                <w:b w:val="0"/>
                <w:bCs w:val="0"/>
                <w:color w:val="auto"/>
                <w:sz w:val="24"/>
                <w:szCs w:val="24"/>
                <w:lang w:val="en-US" w:eastAsia="zh-CN"/>
              </w:rPr>
              <w:t>分；</w:t>
            </w:r>
            <w:r>
              <w:rPr>
                <w:rFonts w:hint="eastAsia" w:ascii="宋体" w:hAnsi="宋体" w:eastAsia="宋体" w:cs="宋体"/>
                <w:color w:val="auto"/>
                <w:spacing w:val="1"/>
                <w:sz w:val="24"/>
                <w:szCs w:val="24"/>
                <w:lang w:val="en-US" w:eastAsia="en-US" w:bidi="ar-SA"/>
              </w:rPr>
              <w:t>每有一项内容缺失扣</w:t>
            </w:r>
            <w:r>
              <w:rPr>
                <w:rFonts w:hint="eastAsia" w:ascii="宋体" w:hAnsi="宋体" w:eastAsia="宋体" w:cs="宋体"/>
                <w:color w:val="auto"/>
                <w:spacing w:val="1"/>
                <w:sz w:val="24"/>
                <w:szCs w:val="24"/>
                <w:lang w:val="en-US" w:eastAsia="zh-CN" w:bidi="ar-SA"/>
              </w:rPr>
              <w:t>2</w:t>
            </w:r>
            <w:r>
              <w:rPr>
                <w:rFonts w:hint="eastAsia" w:ascii="宋体" w:hAnsi="宋体" w:eastAsia="宋体" w:cs="宋体"/>
                <w:color w:val="auto"/>
                <w:spacing w:val="1"/>
                <w:sz w:val="24"/>
                <w:szCs w:val="24"/>
                <w:lang w:val="en-US" w:eastAsia="en-US" w:bidi="ar-SA"/>
              </w:rPr>
              <w:t>分，在此基础上每有一处表述不清楚、针对性不强、逻辑不清晰、有缺陷或不足的</w:t>
            </w:r>
            <w:r>
              <w:rPr>
                <w:rFonts w:hint="eastAsia" w:ascii="宋体" w:hAnsi="宋体" w:eastAsia="宋体" w:cs="宋体"/>
                <w:color w:val="auto"/>
                <w:spacing w:val="1"/>
                <w:sz w:val="24"/>
                <w:szCs w:val="24"/>
                <w:lang w:val="en-US" w:eastAsia="zh-CN" w:bidi="ar-SA"/>
              </w:rPr>
              <w:t>扣1</w:t>
            </w:r>
            <w:r>
              <w:rPr>
                <w:rFonts w:hint="eastAsia" w:ascii="宋体" w:hAnsi="宋体" w:eastAsia="宋体" w:cs="宋体"/>
                <w:color w:val="auto"/>
                <w:spacing w:val="1"/>
                <w:sz w:val="24"/>
                <w:szCs w:val="24"/>
                <w:lang w:val="en-US" w:eastAsia="en-US" w:bidi="ar-SA"/>
              </w:rPr>
              <w:t>分，扣完为止。</w:t>
            </w:r>
          </w:p>
        </w:tc>
      </w:tr>
      <w:tr w14:paraId="484C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3" w:hRule="atLeast"/>
          <w:jc w:val="center"/>
        </w:trPr>
        <w:tc>
          <w:tcPr>
            <w:tcW w:w="456" w:type="pct"/>
            <w:vMerge w:val="continue"/>
            <w:tcBorders>
              <w:left w:val="single" w:color="000000" w:sz="6" w:space="0"/>
              <w:right w:val="single" w:color="000000" w:sz="6" w:space="0"/>
            </w:tcBorders>
            <w:shd w:val="clear" w:color="000000" w:fill="FFFFFF"/>
            <w:noWrap w:val="0"/>
            <w:vAlign w:val="center"/>
          </w:tcPr>
          <w:p w14:paraId="2203BBF6">
            <w:pPr>
              <w:autoSpaceDE w:val="0"/>
              <w:autoSpaceDN w:val="0"/>
              <w:adjustRightInd w:val="0"/>
              <w:spacing w:line="360" w:lineRule="auto"/>
              <w:jc w:val="left"/>
              <w:rPr>
                <w:rFonts w:hint="eastAsia" w:ascii="宋体" w:hAnsi="宋体" w:eastAsia="宋体" w:cs="宋体"/>
                <w:color w:val="000000"/>
                <w:sz w:val="24"/>
                <w:highlight w:val="none"/>
                <w:lang w:val="zh-CN"/>
              </w:rPr>
            </w:pPr>
          </w:p>
        </w:tc>
        <w:tc>
          <w:tcPr>
            <w:tcW w:w="8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E4ED45">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服务成果的交付和售后</w:t>
            </w:r>
          </w:p>
          <w:p w14:paraId="48F89D10">
            <w:pPr>
              <w:spacing w:line="360" w:lineRule="auto"/>
              <w:jc w:val="center"/>
              <w:rPr>
                <w:rFonts w:hint="eastAsia" w:ascii="宋体" w:hAnsi="宋体" w:eastAsia="宋体" w:cs="宋体"/>
                <w:color w:val="000000"/>
                <w:sz w:val="24"/>
                <w:szCs w:val="24"/>
                <w:highlight w:val="none"/>
              </w:rPr>
            </w:pPr>
          </w:p>
        </w:tc>
        <w:tc>
          <w:tcPr>
            <w:tcW w:w="39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426CF1">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3340"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801F209">
            <w:pPr>
              <w:spacing w:line="360" w:lineRule="auto"/>
              <w:jc w:val="both"/>
              <w:rPr>
                <w:rFonts w:hint="eastAsia" w:ascii="宋体" w:hAnsi="宋体" w:eastAsia="宋体" w:cs="宋体"/>
                <w:color w:val="0000FF"/>
                <w:sz w:val="24"/>
                <w:szCs w:val="24"/>
                <w:highlight w:val="none"/>
              </w:rPr>
            </w:pPr>
            <w:r>
              <w:rPr>
                <w:rFonts w:hint="eastAsia" w:ascii="宋体" w:hAnsi="宋体" w:eastAsia="宋体" w:cs="宋体"/>
                <w:color w:val="auto"/>
                <w:spacing w:val="1"/>
                <w:sz w:val="24"/>
                <w:szCs w:val="24"/>
                <w:highlight w:val="none"/>
                <w:lang w:val="en-US" w:eastAsia="zh-CN" w:bidi="ar-SA"/>
              </w:rPr>
              <w:t>供应商针对本项目提供</w:t>
            </w:r>
            <w:r>
              <w:rPr>
                <w:rFonts w:hint="eastAsia" w:ascii="宋体" w:hAnsi="宋体" w:eastAsia="宋体" w:cs="宋体"/>
                <w:color w:val="auto"/>
                <w:sz w:val="24"/>
                <w:szCs w:val="24"/>
                <w:highlight w:val="none"/>
                <w:lang w:val="en-US" w:eastAsia="zh-CN"/>
              </w:rPr>
              <w:t>①资料的完整性②资料移交③归档制度④上级验收配合措施⑤后续服务工作安排及承诺。以上5项内容完整、合理、切实、符合行业特征和本项目要求的得10分，每缺失一项扣2分，每项中每有一处内容存在缺陷或不足的扣1分，扣完为止；未提供不得分。</w:t>
            </w:r>
          </w:p>
        </w:tc>
      </w:tr>
      <w:tr w14:paraId="60F2B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3" w:hRule="atLeast"/>
          <w:jc w:val="center"/>
        </w:trPr>
        <w:tc>
          <w:tcPr>
            <w:tcW w:w="5000" w:type="pct"/>
            <w:gridSpan w:val="4"/>
            <w:tcBorders>
              <w:left w:val="single" w:color="000000" w:sz="6" w:space="0"/>
              <w:right w:val="single" w:color="000000" w:sz="6" w:space="0"/>
            </w:tcBorders>
            <w:shd w:val="clear" w:color="000000" w:fill="FFFFFF"/>
            <w:noWrap w:val="0"/>
            <w:vAlign w:val="center"/>
          </w:tcPr>
          <w:p w14:paraId="3E4C9408">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注：存在缺陷或不足情况是指内容脱离了该项目实际情况，不具备实施的可能性或套用其他项目方案或引用错误或前后内容不一致甚至矛盾或存在与本项目无关的内容。</w:t>
            </w:r>
          </w:p>
        </w:tc>
      </w:tr>
    </w:tbl>
    <w:p w14:paraId="39CF1E2C">
      <w:pPr>
        <w:pStyle w:val="6"/>
        <w:rPr>
          <w:rFonts w:hint="eastAsia" w:ascii="宋体" w:hAnsi="宋体" w:eastAsia="宋体" w:cs="宋体"/>
          <w:b/>
          <w:color w:val="000000"/>
        </w:rPr>
      </w:pPr>
      <w:bookmarkStart w:id="83" w:name="_Toc10320"/>
      <w:r>
        <w:rPr>
          <w:rFonts w:hint="eastAsia" w:ascii="宋体" w:hAnsi="宋体" w:eastAsia="宋体" w:cs="宋体"/>
          <w:b/>
          <w:color w:val="000000"/>
          <w:sz w:val="24"/>
          <w:szCs w:val="24"/>
        </w:rPr>
        <w:t>定标</w:t>
      </w:r>
      <w:bookmarkEnd w:id="83"/>
    </w:p>
    <w:p w14:paraId="78402473">
      <w:pPr>
        <w:pStyle w:val="7"/>
        <w:numPr>
          <w:ilvl w:val="0"/>
          <w:numId w:val="5"/>
        </w:numPr>
        <w:spacing w:before="0" w:after="0" w:line="360" w:lineRule="auto"/>
        <w:rPr>
          <w:rFonts w:hint="eastAsia" w:ascii="宋体" w:hAnsi="宋体" w:eastAsia="宋体" w:cs="宋体"/>
          <w:b w:val="0"/>
          <w:color w:val="000000"/>
        </w:rPr>
      </w:pPr>
      <w:bookmarkStart w:id="84" w:name="_Toc27508"/>
      <w:bookmarkStart w:id="85" w:name="_Toc488673637"/>
      <w:r>
        <w:rPr>
          <w:rFonts w:hint="eastAsia" w:ascii="宋体" w:hAnsi="宋体" w:eastAsia="宋体" w:cs="宋体"/>
          <w:b w:val="0"/>
          <w:color w:val="000000"/>
        </w:rPr>
        <w:t>推荐并确定成交磋商供应商</w:t>
      </w:r>
      <w:bookmarkEnd w:id="84"/>
      <w:bookmarkEnd w:id="85"/>
    </w:p>
    <w:p w14:paraId="6A036B71">
      <w:pPr>
        <w:pStyle w:val="17"/>
        <w:numPr>
          <w:ilvl w:val="1"/>
          <w:numId w:val="34"/>
        </w:numPr>
        <w:spacing w:line="360" w:lineRule="auto"/>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采用综合评分法的，</w:t>
      </w:r>
      <w:r>
        <w:rPr>
          <w:rFonts w:hint="eastAsia" w:ascii="宋体" w:hAnsi="宋体" w:eastAsia="宋体" w:cs="宋体"/>
          <w:color w:val="000000"/>
          <w:sz w:val="24"/>
          <w:szCs w:val="24"/>
          <w:shd w:val="clear" w:color="auto" w:fill="FFFFFF"/>
        </w:rPr>
        <w:t>评标结果按评审后得分由高到低顺序排列。得分相同的，按磋商报价由低到高顺序排列。得分且磋商报价相同的并列。磋商响应文件满足磋商文件全部实质性要求，且按照评审因素的量化指标评审得分最高的磋商供应商为排名第一的成交候选人。</w:t>
      </w:r>
    </w:p>
    <w:p w14:paraId="58040995">
      <w:pPr>
        <w:pStyle w:val="17"/>
        <w:numPr>
          <w:ilvl w:val="1"/>
          <w:numId w:val="34"/>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成交磋商供应商因不可抗力或自身原因不能履行合同时，采购单位可以按照评审报告推荐的预成交候选磋商供应商名单排序，确定下一候选磋商供应商为成交磋商供应商，也可重新开展政府采购活动。</w:t>
      </w:r>
    </w:p>
    <w:p w14:paraId="0EDA975E">
      <w:pPr>
        <w:pStyle w:val="17"/>
        <w:numPr>
          <w:ilvl w:val="1"/>
          <w:numId w:val="34"/>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评标结果汇总完成后，除下列情形外，任何人不得修改评标结果：</w:t>
      </w:r>
    </w:p>
    <w:p w14:paraId="61E3DFE6">
      <w:pPr>
        <w:pStyle w:val="17"/>
        <w:numPr>
          <w:ilvl w:val="0"/>
          <w:numId w:val="35"/>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分值汇总计算错误的；</w:t>
      </w:r>
    </w:p>
    <w:p w14:paraId="04E3FAD4">
      <w:pPr>
        <w:pStyle w:val="17"/>
        <w:numPr>
          <w:ilvl w:val="0"/>
          <w:numId w:val="35"/>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分项评分超出评分标准范围的；</w:t>
      </w:r>
    </w:p>
    <w:p w14:paraId="0AC26808">
      <w:pPr>
        <w:pStyle w:val="17"/>
        <w:numPr>
          <w:ilvl w:val="0"/>
          <w:numId w:val="35"/>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评标委员会成员对客观评审因素评分不一致的；</w:t>
      </w:r>
    </w:p>
    <w:p w14:paraId="7EB9BBD6">
      <w:pPr>
        <w:pStyle w:val="17"/>
        <w:numPr>
          <w:ilvl w:val="0"/>
          <w:numId w:val="35"/>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经评标委员会认定评分畸高、畸低的。</w:t>
      </w:r>
    </w:p>
    <w:p w14:paraId="68180A41">
      <w:pPr>
        <w:autoSpaceDE w:val="0"/>
        <w:autoSpaceDN w:val="0"/>
        <w:spacing w:line="360" w:lineRule="auto"/>
        <w:ind w:firstLine="720" w:firstLineChars="3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CDB1B69">
      <w:pPr>
        <w:pStyle w:val="17"/>
        <w:spacing w:line="360" w:lineRule="auto"/>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磋商供应商对以上情形提出质疑的，采购人或者采购代理机构可以组织原评标委员会进行重新评审，重新评审改变评标结果的，应当书面报告本级财政部门。</w:t>
      </w:r>
    </w:p>
    <w:p w14:paraId="3EEC1317">
      <w:pPr>
        <w:pStyle w:val="7"/>
        <w:numPr>
          <w:ilvl w:val="0"/>
          <w:numId w:val="5"/>
        </w:numPr>
        <w:spacing w:before="0" w:after="0" w:line="360" w:lineRule="auto"/>
        <w:rPr>
          <w:rFonts w:hint="eastAsia" w:ascii="宋体" w:hAnsi="宋体" w:eastAsia="宋体" w:cs="宋体"/>
          <w:b w:val="0"/>
          <w:color w:val="000000"/>
        </w:rPr>
      </w:pPr>
      <w:bookmarkStart w:id="86" w:name="_Toc31510"/>
      <w:bookmarkStart w:id="87" w:name="_Toc488673638"/>
      <w:r>
        <w:rPr>
          <w:rFonts w:hint="eastAsia" w:ascii="宋体" w:hAnsi="宋体" w:eastAsia="宋体" w:cs="宋体"/>
          <w:b w:val="0"/>
          <w:color w:val="000000"/>
        </w:rPr>
        <w:t>成交通知</w:t>
      </w:r>
      <w:bookmarkEnd w:id="86"/>
      <w:bookmarkEnd w:id="87"/>
    </w:p>
    <w:p w14:paraId="1FA9C17A">
      <w:pPr>
        <w:pStyle w:val="17"/>
        <w:numPr>
          <w:ilvl w:val="1"/>
          <w:numId w:val="36"/>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采购代理机构应当在评标结束后2个工作日内将评标报告送采购人。采购人应当自收到评标报告之日起5个工作日内，在评标报告确定的成交候选人名单中按顺序确定成交人。成交候选人并列的，由采购人或者采购人委托评标委员会按照磋商文件规定的方式确定成交人；磋商文件未规定的，采取随机抽取的方式确定。</w:t>
      </w:r>
    </w:p>
    <w:p w14:paraId="7F1B2046">
      <w:pPr>
        <w:pStyle w:val="17"/>
        <w:numPr>
          <w:ilvl w:val="1"/>
          <w:numId w:val="36"/>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采购人在收到评标报告5个工作日内未按评标报告推荐的成交候选人顺序确定成交人，又不能说明合法理由的，视同按评标报告推荐的顺序确定排名第一的成交候选人为成交人。</w:t>
      </w:r>
    </w:p>
    <w:p w14:paraId="138391FD">
      <w:pPr>
        <w:pStyle w:val="17"/>
        <w:numPr>
          <w:ilvl w:val="1"/>
          <w:numId w:val="36"/>
        </w:numPr>
        <w:spacing w:line="360" w:lineRule="auto"/>
        <w:jc w:val="left"/>
        <w:rPr>
          <w:rFonts w:hint="eastAsia" w:ascii="宋体" w:hAnsi="宋体" w:eastAsia="宋体" w:cs="宋体"/>
          <w:b/>
          <w:bCs/>
          <w:color w:val="000000"/>
          <w:sz w:val="32"/>
        </w:rPr>
      </w:pPr>
      <w:r>
        <w:rPr>
          <w:rFonts w:hint="eastAsia" w:ascii="宋体" w:hAnsi="宋体" w:eastAsia="宋体" w:cs="宋体"/>
          <w:color w:val="000000"/>
          <w:sz w:val="24"/>
          <w:szCs w:val="28"/>
        </w:rPr>
        <w:t>采购代理机构自成交磋商供应商确定之日起2个工作日内发出《成交通知书》，并在青海项目信息网、</w:t>
      </w:r>
      <w:r>
        <w:rPr>
          <w:rFonts w:hint="eastAsia" w:hAnsi="宋体" w:eastAsia="宋体" w:cs="宋体"/>
          <w:color w:val="000000"/>
          <w:sz w:val="24"/>
          <w:lang w:eastAsia="zh-CN"/>
        </w:rPr>
        <w:t>青海省电子招投标公共服务平台</w:t>
      </w:r>
      <w:r>
        <w:rPr>
          <w:rFonts w:hint="eastAsia" w:ascii="宋体" w:hAnsi="宋体" w:eastAsia="宋体" w:cs="宋体"/>
          <w:color w:val="000000"/>
          <w:sz w:val="24"/>
          <w:szCs w:val="28"/>
        </w:rPr>
        <w:t>等媒体上公告成交结果。</w:t>
      </w:r>
    </w:p>
    <w:p w14:paraId="71551F62">
      <w:pPr>
        <w:pStyle w:val="17"/>
        <w:numPr>
          <w:ilvl w:val="1"/>
          <w:numId w:val="36"/>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成交结果公告内容应当包括采购人及其委托的采购代理机构的名称、地址、联系方式，项目名称和项目编号，成交人名称、地址和成交金额，主要成交标的的名称、数量、单价、服务要求，成交公告期限以及评审专家名单。</w:t>
      </w:r>
    </w:p>
    <w:p w14:paraId="5F251514">
      <w:pPr>
        <w:pStyle w:val="17"/>
        <w:numPr>
          <w:ilvl w:val="1"/>
          <w:numId w:val="36"/>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成交公告期限为1个工作日。</w:t>
      </w:r>
    </w:p>
    <w:p w14:paraId="345E2529">
      <w:pPr>
        <w:pStyle w:val="17"/>
        <w:numPr>
          <w:ilvl w:val="1"/>
          <w:numId w:val="36"/>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在公告成交结果的同时，</w:t>
      </w:r>
      <w:r>
        <w:rPr>
          <w:rFonts w:hint="eastAsia" w:ascii="宋体" w:hAnsi="宋体" w:eastAsia="宋体" w:cs="宋体"/>
          <w:color w:val="000000"/>
          <w:sz w:val="24"/>
          <w:szCs w:val="24"/>
          <w:shd w:val="clear" w:color="auto" w:fill="FFFFFF"/>
        </w:rPr>
        <w:t>采购人或者采购代理机构</w:t>
      </w:r>
      <w:r>
        <w:rPr>
          <w:rFonts w:hint="eastAsia" w:ascii="宋体" w:hAnsi="宋体" w:eastAsia="宋体" w:cs="宋体"/>
          <w:color w:val="000000"/>
          <w:sz w:val="24"/>
          <w:szCs w:val="24"/>
        </w:rPr>
        <w:t>应当向成交人发出成交通知书；采用综合评分法评审的，还应当告知未成交人本人的评审得分与排序。</w:t>
      </w:r>
    </w:p>
    <w:p w14:paraId="7250A8DD">
      <w:pPr>
        <w:pStyle w:val="17"/>
        <w:numPr>
          <w:ilvl w:val="1"/>
          <w:numId w:val="36"/>
        </w:numPr>
        <w:spacing w:line="360" w:lineRule="auto"/>
        <w:jc w:val="left"/>
        <w:rPr>
          <w:rFonts w:hint="eastAsia" w:ascii="宋体" w:hAnsi="宋体" w:eastAsia="宋体" w:cs="宋体"/>
          <w:b/>
          <w:bCs/>
          <w:color w:val="000000"/>
          <w:sz w:val="24"/>
          <w:szCs w:val="24"/>
        </w:rPr>
      </w:pPr>
      <w:r>
        <w:rPr>
          <w:rFonts w:hint="eastAsia" w:ascii="宋体" w:hAnsi="宋体" w:eastAsia="宋体" w:cs="宋体"/>
          <w:color w:val="000000"/>
          <w:sz w:val="24"/>
          <w:szCs w:val="24"/>
        </w:rPr>
        <w:t>成交通知书发出后，采购人不得违法改变成交结果，成交人无正当理由不得放弃成交。</w:t>
      </w:r>
    </w:p>
    <w:p w14:paraId="5F7B90CA">
      <w:pPr>
        <w:pStyle w:val="17"/>
        <w:numPr>
          <w:ilvl w:val="1"/>
          <w:numId w:val="36"/>
        </w:numPr>
        <w:spacing w:line="360" w:lineRule="auto"/>
        <w:jc w:val="left"/>
        <w:rPr>
          <w:rFonts w:hint="eastAsia" w:ascii="宋体" w:hAnsi="宋体" w:eastAsia="宋体" w:cs="宋体"/>
          <w:b/>
          <w:bCs/>
          <w:color w:val="000000"/>
          <w:sz w:val="32"/>
        </w:rPr>
      </w:pPr>
      <w:r>
        <w:rPr>
          <w:rFonts w:hint="eastAsia" w:ascii="宋体" w:hAnsi="宋体" w:eastAsia="宋体" w:cs="宋体"/>
          <w:color w:val="000000"/>
          <w:sz w:val="24"/>
          <w:szCs w:val="28"/>
        </w:rPr>
        <w:t>《成交通知书》对采购单位和成交磋商供应商具有同等效力，《成交通知书》发出后，采购单位改变成交结果的，或者成交磋商供应商无正当理由放弃成交项目的，依法承担法律责任。</w:t>
      </w:r>
    </w:p>
    <w:p w14:paraId="540BE6D0">
      <w:pPr>
        <w:pStyle w:val="6"/>
        <w:rPr>
          <w:rFonts w:hint="eastAsia" w:ascii="宋体" w:hAnsi="宋体" w:eastAsia="宋体" w:cs="宋体"/>
          <w:b/>
          <w:color w:val="000000"/>
        </w:rPr>
      </w:pPr>
      <w:bookmarkStart w:id="88" w:name="_Toc15605"/>
      <w:r>
        <w:rPr>
          <w:rFonts w:hint="eastAsia" w:ascii="宋体" w:hAnsi="宋体" w:eastAsia="宋体" w:cs="宋体"/>
          <w:b/>
          <w:color w:val="000000"/>
        </w:rPr>
        <w:t>授予合同</w:t>
      </w:r>
      <w:bookmarkEnd w:id="88"/>
    </w:p>
    <w:p w14:paraId="0FFF3BA4">
      <w:pPr>
        <w:pStyle w:val="7"/>
        <w:numPr>
          <w:ilvl w:val="0"/>
          <w:numId w:val="5"/>
        </w:numPr>
        <w:spacing w:before="0" w:after="0" w:line="360" w:lineRule="auto"/>
        <w:rPr>
          <w:rFonts w:hint="eastAsia" w:ascii="宋体" w:hAnsi="宋体" w:eastAsia="宋体" w:cs="宋体"/>
          <w:b w:val="0"/>
          <w:color w:val="000000"/>
        </w:rPr>
      </w:pPr>
      <w:bookmarkStart w:id="89" w:name="_Toc488673640"/>
      <w:bookmarkStart w:id="90" w:name="_Toc28983"/>
      <w:r>
        <w:rPr>
          <w:rFonts w:hint="eastAsia" w:ascii="宋体" w:hAnsi="宋体" w:eastAsia="宋体" w:cs="宋体"/>
          <w:b w:val="0"/>
          <w:color w:val="000000"/>
        </w:rPr>
        <w:t>签订合同</w:t>
      </w:r>
      <w:bookmarkEnd w:id="89"/>
      <w:bookmarkEnd w:id="90"/>
    </w:p>
    <w:p w14:paraId="09609E51">
      <w:pPr>
        <w:pStyle w:val="17"/>
        <w:numPr>
          <w:ilvl w:val="1"/>
          <w:numId w:val="37"/>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采购单位与成交磋商供应商双方应当自《成交通知书》发出之日起30日内，签订采购合同，送采购代理机构审核并备案；</w:t>
      </w:r>
    </w:p>
    <w:p w14:paraId="21CF1580">
      <w:pPr>
        <w:pStyle w:val="17"/>
        <w:numPr>
          <w:ilvl w:val="1"/>
          <w:numId w:val="37"/>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成交磋商供应商在法定期限内无正当理由拒签合同的，按违约处理。同时，采购代理机构和采购单位可依评标排序重新确定成交磋商供应商，并协调双方签订采购合同，或重新组织采购活动；</w:t>
      </w:r>
    </w:p>
    <w:p w14:paraId="7A45D428">
      <w:pPr>
        <w:pStyle w:val="17"/>
        <w:numPr>
          <w:ilvl w:val="1"/>
          <w:numId w:val="37"/>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采购单位不得向成交供应商提出任何不合理的要求作为订立合同的条件，采购单位和成交供应商不得私下订立背离合同实质性内容的协议；</w:t>
      </w:r>
    </w:p>
    <w:p w14:paraId="265C2AC6">
      <w:pPr>
        <w:pStyle w:val="17"/>
        <w:numPr>
          <w:ilvl w:val="1"/>
          <w:numId w:val="37"/>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磋商文件、成交磋商供应商的磋商响应文件、《成交通知书》及其澄清、说明文件、承诺等，均为签订采购合同的依据，作为采购合同的组成部分；</w:t>
      </w:r>
    </w:p>
    <w:p w14:paraId="16C226F6">
      <w:pPr>
        <w:pStyle w:val="17"/>
        <w:numPr>
          <w:ilvl w:val="1"/>
          <w:numId w:val="37"/>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采购人与成交人应当根据合同的约定依法履行合同义务。采购合同的履行、违约责任和解决争议的方法等适用《中华人民共和国民法典》。</w:t>
      </w:r>
    </w:p>
    <w:p w14:paraId="2066A95D">
      <w:pPr>
        <w:pStyle w:val="17"/>
        <w:numPr>
          <w:ilvl w:val="1"/>
          <w:numId w:val="37"/>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采购人应当及时对采购项目进行验收。采购人可以邀请参加本项目的其他磋商供应商或者第三方机构参与验收。参与验收的磋商供应商或者第三方机构的意见作为验收书的参考资料一并存档。</w:t>
      </w:r>
    </w:p>
    <w:p w14:paraId="0AA8AE4F">
      <w:pPr>
        <w:pStyle w:val="17"/>
        <w:numPr>
          <w:ilvl w:val="1"/>
          <w:numId w:val="37"/>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采购人应当加强对成交人的履约管理，并按照采购合同约定，及时向成交人支付采购资金。对于成交人违反采购合同约定的行为，采购人应当及时处理，依法追究其违约责任。</w:t>
      </w:r>
    </w:p>
    <w:p w14:paraId="54CD0715">
      <w:pPr>
        <w:pStyle w:val="17"/>
        <w:numPr>
          <w:ilvl w:val="1"/>
          <w:numId w:val="37"/>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采购人、采购代理机构应当建立真实完整的招标采购档案，妥善保存每项采购活动的磋商文件。</w:t>
      </w:r>
    </w:p>
    <w:p w14:paraId="63020805">
      <w:pPr>
        <w:pStyle w:val="6"/>
        <w:rPr>
          <w:rFonts w:hint="eastAsia" w:ascii="宋体" w:hAnsi="宋体" w:eastAsia="宋体" w:cs="宋体"/>
          <w:b/>
          <w:color w:val="000000"/>
        </w:rPr>
      </w:pPr>
      <w:bookmarkStart w:id="91" w:name="_Toc16961"/>
      <w:r>
        <w:rPr>
          <w:rFonts w:hint="eastAsia" w:ascii="宋体" w:hAnsi="宋体" w:eastAsia="宋体" w:cs="宋体"/>
          <w:b/>
          <w:color w:val="000000"/>
        </w:rPr>
        <w:t>废标条款</w:t>
      </w:r>
      <w:bookmarkEnd w:id="91"/>
    </w:p>
    <w:p w14:paraId="640703BF">
      <w:pPr>
        <w:pStyle w:val="7"/>
        <w:numPr>
          <w:ilvl w:val="0"/>
          <w:numId w:val="5"/>
        </w:numPr>
        <w:spacing w:before="0" w:after="0" w:line="360" w:lineRule="auto"/>
        <w:rPr>
          <w:rFonts w:hint="eastAsia" w:ascii="宋体" w:hAnsi="宋体" w:eastAsia="宋体" w:cs="宋体"/>
          <w:b w:val="0"/>
          <w:color w:val="000000"/>
        </w:rPr>
      </w:pPr>
      <w:bookmarkStart w:id="92" w:name="_Toc488673642"/>
      <w:bookmarkStart w:id="93" w:name="_Toc13156"/>
      <w:r>
        <w:rPr>
          <w:rFonts w:hint="eastAsia" w:ascii="宋体" w:hAnsi="宋体" w:eastAsia="宋体" w:cs="宋体"/>
          <w:b w:val="0"/>
          <w:color w:val="000000"/>
        </w:rPr>
        <w:t>废标情形</w:t>
      </w:r>
      <w:bookmarkEnd w:id="92"/>
      <w:bookmarkEnd w:id="93"/>
    </w:p>
    <w:p w14:paraId="44BAF45F">
      <w:pPr>
        <w:pStyle w:val="17"/>
        <w:numPr>
          <w:ilvl w:val="1"/>
          <w:numId w:val="38"/>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4"/>
        </w:rPr>
        <w:t>在磋商采购中，出现下列情形之一的，应予废标：</w:t>
      </w:r>
    </w:p>
    <w:p w14:paraId="530F3A7F">
      <w:pPr>
        <w:pStyle w:val="17"/>
        <w:numPr>
          <w:ilvl w:val="0"/>
          <w:numId w:val="3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出现影响采购活动正常推进的违法、违规行为的；</w:t>
      </w:r>
    </w:p>
    <w:p w14:paraId="1D0EFA15">
      <w:pPr>
        <w:pStyle w:val="17"/>
        <w:numPr>
          <w:ilvl w:val="0"/>
          <w:numId w:val="3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磋商供应商的报价均超出采购预算额度，采购单位不能支付的；</w:t>
      </w:r>
    </w:p>
    <w:p w14:paraId="4E994751">
      <w:pPr>
        <w:pStyle w:val="17"/>
        <w:numPr>
          <w:ilvl w:val="0"/>
          <w:numId w:val="39"/>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因重大变故，采购任务取消的。</w:t>
      </w:r>
    </w:p>
    <w:p w14:paraId="698CA6AF">
      <w:pPr>
        <w:pStyle w:val="17"/>
        <w:numPr>
          <w:ilvl w:val="1"/>
          <w:numId w:val="38"/>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废标后，由采购代理机构发布废标公告。</w:t>
      </w:r>
    </w:p>
    <w:p w14:paraId="378F4F99">
      <w:pPr>
        <w:pStyle w:val="6"/>
        <w:rPr>
          <w:rFonts w:hint="eastAsia" w:ascii="宋体" w:hAnsi="宋体" w:eastAsia="宋体" w:cs="宋体"/>
          <w:b/>
          <w:color w:val="000000"/>
        </w:rPr>
      </w:pPr>
      <w:bookmarkStart w:id="94" w:name="_Toc27174"/>
      <w:r>
        <w:rPr>
          <w:rFonts w:hint="eastAsia" w:ascii="宋体" w:hAnsi="宋体" w:eastAsia="宋体" w:cs="宋体"/>
          <w:b/>
          <w:color w:val="000000"/>
        </w:rPr>
        <w:t>其他</w:t>
      </w:r>
      <w:bookmarkEnd w:id="94"/>
    </w:p>
    <w:p w14:paraId="4FAAAFFA">
      <w:pPr>
        <w:pStyle w:val="7"/>
        <w:numPr>
          <w:ilvl w:val="0"/>
          <w:numId w:val="5"/>
        </w:numPr>
        <w:spacing w:before="0" w:after="0" w:line="360" w:lineRule="auto"/>
        <w:rPr>
          <w:rFonts w:hint="eastAsia" w:ascii="宋体" w:hAnsi="宋体" w:eastAsia="宋体" w:cs="宋体"/>
          <w:b w:val="0"/>
          <w:color w:val="000000"/>
        </w:rPr>
      </w:pPr>
      <w:bookmarkStart w:id="95" w:name="_Toc488673644"/>
      <w:bookmarkStart w:id="96" w:name="_Toc17033"/>
      <w:r>
        <w:rPr>
          <w:rFonts w:hint="eastAsia" w:ascii="宋体" w:hAnsi="宋体" w:eastAsia="宋体" w:cs="宋体"/>
          <w:b w:val="0"/>
          <w:color w:val="000000"/>
        </w:rPr>
        <w:t>串标情形</w:t>
      </w:r>
      <w:bookmarkEnd w:id="95"/>
      <w:bookmarkEnd w:id="96"/>
    </w:p>
    <w:p w14:paraId="76100C5A">
      <w:pPr>
        <w:pStyle w:val="17"/>
        <w:numPr>
          <w:ilvl w:val="0"/>
          <w:numId w:val="40"/>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磋商供应商应当遵循公平竞争的原则，不得恶意串通，不得妨碍其他磋商供应商的竞争行为，不得损害采购人或者其他磋商供应商的合法权益</w:t>
      </w:r>
      <w:r>
        <w:rPr>
          <w:rFonts w:hint="eastAsia" w:ascii="宋体" w:hAnsi="宋体" w:eastAsia="宋体" w:cs="宋体"/>
          <w:color w:val="000000"/>
        </w:rPr>
        <w:t>。</w:t>
      </w:r>
    </w:p>
    <w:p w14:paraId="37A3A3FF">
      <w:pPr>
        <w:pStyle w:val="17"/>
        <w:spacing w:line="360" w:lineRule="auto"/>
        <w:ind w:left="1042" w:leftChars="496" w:firstLine="480" w:firstLineChars="200"/>
        <w:jc w:val="left"/>
        <w:rPr>
          <w:rFonts w:hint="eastAsia" w:ascii="宋体" w:hAnsi="宋体" w:eastAsia="宋体" w:cs="宋体"/>
          <w:color w:val="000000"/>
        </w:rPr>
      </w:pPr>
      <w:r>
        <w:rPr>
          <w:rFonts w:hint="eastAsia" w:ascii="宋体" w:hAnsi="宋体" w:eastAsia="宋体" w:cs="宋体"/>
          <w:color w:val="000000"/>
          <w:sz w:val="24"/>
          <w:szCs w:val="28"/>
        </w:rPr>
        <w:t>在评标过程中发现磋商供应商有上述情形的，评标委员会应当认定其磋商无效，并书面报告本级财政部门</w:t>
      </w:r>
      <w:r>
        <w:rPr>
          <w:rFonts w:hint="eastAsia" w:ascii="宋体" w:hAnsi="宋体" w:eastAsia="宋体" w:cs="宋体"/>
          <w:color w:val="000000"/>
        </w:rPr>
        <w:t>。</w:t>
      </w:r>
    </w:p>
    <w:p w14:paraId="5CB33EB6">
      <w:pPr>
        <w:pStyle w:val="17"/>
        <w:numPr>
          <w:ilvl w:val="0"/>
          <w:numId w:val="40"/>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有下列情形之一的，视为磋商供应商串通磋商，其磋商无效：</w:t>
      </w:r>
    </w:p>
    <w:p w14:paraId="7DA0D26D">
      <w:pPr>
        <w:pStyle w:val="17"/>
        <w:numPr>
          <w:ilvl w:val="0"/>
          <w:numId w:val="41"/>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不同磋商供应商的磋商响应文件由同一单位或者个人编制；</w:t>
      </w:r>
    </w:p>
    <w:p w14:paraId="08AE0714">
      <w:pPr>
        <w:pStyle w:val="17"/>
        <w:numPr>
          <w:ilvl w:val="0"/>
          <w:numId w:val="41"/>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不同磋商供应商委托同一单位或者个人办理磋商事宜；</w:t>
      </w:r>
    </w:p>
    <w:p w14:paraId="0D79A854">
      <w:pPr>
        <w:pStyle w:val="17"/>
        <w:numPr>
          <w:ilvl w:val="0"/>
          <w:numId w:val="41"/>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不同磋商供应商的磋商响应文件载明的项目管理成员或者联系人员为同一人；</w:t>
      </w:r>
    </w:p>
    <w:p w14:paraId="06C7F4B1">
      <w:pPr>
        <w:pStyle w:val="17"/>
        <w:numPr>
          <w:ilvl w:val="0"/>
          <w:numId w:val="41"/>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不同磋商供应商的磋商响应文件异常一致或者磋商报价呈规律性差异；</w:t>
      </w:r>
    </w:p>
    <w:p w14:paraId="0B2E26AF">
      <w:pPr>
        <w:pStyle w:val="17"/>
        <w:numPr>
          <w:ilvl w:val="0"/>
          <w:numId w:val="41"/>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不同磋商供应商的磋商响应文件相互混装；</w:t>
      </w:r>
    </w:p>
    <w:p w14:paraId="0DE7814E">
      <w:pPr>
        <w:pStyle w:val="17"/>
        <w:numPr>
          <w:ilvl w:val="0"/>
          <w:numId w:val="41"/>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不同磋商供应商的磋商保证金从同一单位或者个人的账户转出。</w:t>
      </w:r>
    </w:p>
    <w:p w14:paraId="20A7A4CD">
      <w:pPr>
        <w:pStyle w:val="17"/>
        <w:spacing w:line="360" w:lineRule="auto"/>
        <w:ind w:firstLine="960" w:firstLineChars="400"/>
        <w:jc w:val="left"/>
        <w:rPr>
          <w:rFonts w:hint="eastAsia" w:ascii="宋体" w:hAnsi="宋体" w:eastAsia="宋体" w:cs="宋体"/>
          <w:color w:val="000000"/>
          <w:sz w:val="24"/>
          <w:szCs w:val="28"/>
        </w:rPr>
      </w:pPr>
      <w:r>
        <w:rPr>
          <w:rFonts w:hint="eastAsia" w:ascii="宋体" w:hAnsi="宋体" w:eastAsia="宋体" w:cs="宋体"/>
          <w:color w:val="000000"/>
          <w:sz w:val="24"/>
          <w:szCs w:val="28"/>
        </w:rPr>
        <w:t>算。</w:t>
      </w:r>
    </w:p>
    <w:p w14:paraId="7CEA7CE3">
      <w:pPr>
        <w:pStyle w:val="17"/>
        <w:numPr>
          <w:ilvl w:val="0"/>
          <w:numId w:val="40"/>
        </w:numPr>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其他未尽事宜，按照《中华人民共和国政府采购法》、《中华人民共和国民法典》、《中华人民共和国政府采购法实施条例》、《政府采购竞争性磋商采购方式管理暂行办法》等法律法规的有关条款执行。</w:t>
      </w:r>
    </w:p>
    <w:p w14:paraId="44C13FB2">
      <w:pPr>
        <w:pStyle w:val="24"/>
        <w:spacing w:before="0" w:after="0" w:line="360" w:lineRule="auto"/>
        <w:rPr>
          <w:rFonts w:hint="eastAsia" w:ascii="宋体" w:hAnsi="宋体" w:eastAsia="宋体" w:cs="宋体"/>
          <w:color w:val="000000"/>
          <w:sz w:val="48"/>
          <w:lang w:eastAsia="zh-CN"/>
        </w:rPr>
      </w:pPr>
      <w:r>
        <w:rPr>
          <w:rFonts w:hint="eastAsia" w:ascii="宋体" w:hAnsi="宋体" w:eastAsia="宋体" w:cs="宋体"/>
          <w:color w:val="000000"/>
          <w:sz w:val="48"/>
        </w:rPr>
        <w:br w:type="page"/>
      </w:r>
      <w:bookmarkStart w:id="97" w:name="_Toc12758"/>
      <w:r>
        <w:rPr>
          <w:rFonts w:hint="eastAsia" w:ascii="宋体" w:hAnsi="宋体" w:eastAsia="宋体" w:cs="宋体"/>
          <w:color w:val="000000"/>
          <w:sz w:val="48"/>
        </w:rPr>
        <w:t>第四部分 青海省采购合同文本</w:t>
      </w:r>
      <w:bookmarkEnd w:id="97"/>
      <w:r>
        <w:rPr>
          <w:rFonts w:hint="eastAsia" w:ascii="宋体" w:hAnsi="宋体" w:eastAsia="宋体" w:cs="宋体"/>
          <w:color w:val="000000"/>
          <w:sz w:val="48"/>
          <w:lang w:val="en-US" w:eastAsia="zh-CN"/>
        </w:rPr>
        <w:t>范本</w:t>
      </w:r>
    </w:p>
    <w:p w14:paraId="3600BBFB">
      <w:pPr>
        <w:spacing w:line="360" w:lineRule="auto"/>
        <w:jc w:val="center"/>
        <w:rPr>
          <w:rFonts w:hint="eastAsia" w:ascii="宋体" w:hAnsi="宋体" w:eastAsia="宋体" w:cs="宋体"/>
          <w:b/>
          <w:color w:val="000000"/>
          <w:spacing w:val="120"/>
          <w:sz w:val="56"/>
          <w:szCs w:val="72"/>
        </w:rPr>
      </w:pPr>
    </w:p>
    <w:p w14:paraId="0198DA47">
      <w:pPr>
        <w:spacing w:line="360" w:lineRule="auto"/>
        <w:jc w:val="center"/>
        <w:rPr>
          <w:rFonts w:hint="eastAsia" w:ascii="宋体" w:hAnsi="宋体" w:eastAsia="宋体" w:cs="宋体"/>
          <w:b/>
          <w:color w:val="000000"/>
          <w:spacing w:val="120"/>
          <w:sz w:val="56"/>
          <w:szCs w:val="72"/>
        </w:rPr>
      </w:pPr>
    </w:p>
    <w:p w14:paraId="0E2C2BB2">
      <w:pPr>
        <w:spacing w:line="360" w:lineRule="auto"/>
        <w:jc w:val="center"/>
        <w:rPr>
          <w:rFonts w:hint="eastAsia" w:ascii="宋体" w:hAnsi="宋体" w:eastAsia="宋体" w:cs="宋体"/>
          <w:b/>
          <w:color w:val="000000"/>
          <w:spacing w:val="120"/>
          <w:sz w:val="56"/>
          <w:szCs w:val="72"/>
        </w:rPr>
      </w:pPr>
    </w:p>
    <w:p w14:paraId="1E401CFA">
      <w:pPr>
        <w:spacing w:line="360" w:lineRule="auto"/>
        <w:jc w:val="center"/>
        <w:rPr>
          <w:rFonts w:hint="eastAsia" w:ascii="宋体" w:hAnsi="宋体" w:eastAsia="宋体" w:cs="宋体"/>
          <w:b/>
          <w:bCs/>
          <w:color w:val="000000"/>
          <w:sz w:val="72"/>
          <w:szCs w:val="50"/>
          <w:lang w:val="zh-CN"/>
        </w:rPr>
      </w:pPr>
      <w:r>
        <w:rPr>
          <w:rFonts w:hint="eastAsia" w:ascii="宋体" w:hAnsi="宋体" w:eastAsia="宋体" w:cs="宋体"/>
          <w:b/>
          <w:bCs/>
          <w:color w:val="000000"/>
          <w:sz w:val="72"/>
          <w:szCs w:val="50"/>
          <w:lang w:val="zh-CN"/>
        </w:rPr>
        <w:t>青海省采购合同书</w:t>
      </w:r>
    </w:p>
    <w:p w14:paraId="2D6ED70F">
      <w:pPr>
        <w:spacing w:line="360" w:lineRule="auto"/>
        <w:jc w:val="center"/>
        <w:rPr>
          <w:rFonts w:hint="eastAsia" w:ascii="宋体" w:hAnsi="宋体" w:eastAsia="宋体" w:cs="宋体"/>
          <w:b/>
          <w:color w:val="000000"/>
          <w:sz w:val="32"/>
          <w:szCs w:val="36"/>
          <w:lang w:eastAsia="zh-CN"/>
        </w:rPr>
      </w:pPr>
      <w:r>
        <w:rPr>
          <w:rFonts w:hint="eastAsia" w:ascii="宋体" w:hAnsi="宋体" w:eastAsia="宋体" w:cs="宋体"/>
          <w:b/>
          <w:color w:val="000000"/>
          <w:sz w:val="32"/>
          <w:szCs w:val="36"/>
          <w:lang w:eastAsia="zh-CN"/>
        </w:rPr>
        <w:t>（</w:t>
      </w:r>
      <w:r>
        <w:rPr>
          <w:rFonts w:hint="eastAsia" w:ascii="宋体" w:hAnsi="宋体" w:eastAsia="宋体" w:cs="宋体"/>
          <w:b/>
          <w:color w:val="000000"/>
          <w:sz w:val="32"/>
          <w:szCs w:val="36"/>
          <w:lang w:val="en-US" w:eastAsia="zh-CN"/>
        </w:rPr>
        <w:t>合同以最终签订为准</w:t>
      </w:r>
      <w:r>
        <w:rPr>
          <w:rFonts w:hint="eastAsia" w:ascii="宋体" w:hAnsi="宋体" w:eastAsia="宋体" w:cs="宋体"/>
          <w:b/>
          <w:color w:val="000000"/>
          <w:sz w:val="32"/>
          <w:szCs w:val="36"/>
          <w:lang w:eastAsia="zh-CN"/>
        </w:rPr>
        <w:t>）</w:t>
      </w:r>
    </w:p>
    <w:p w14:paraId="70DD52C2">
      <w:pPr>
        <w:spacing w:line="360" w:lineRule="auto"/>
        <w:rPr>
          <w:rFonts w:hint="eastAsia" w:ascii="宋体" w:hAnsi="宋体" w:eastAsia="宋体" w:cs="宋体"/>
          <w:b/>
          <w:color w:val="000000"/>
          <w:sz w:val="24"/>
          <w:szCs w:val="28"/>
        </w:rPr>
      </w:pPr>
    </w:p>
    <w:p w14:paraId="3FF2D91E">
      <w:pPr>
        <w:pStyle w:val="2"/>
        <w:rPr>
          <w:rFonts w:hint="eastAsia" w:ascii="宋体" w:hAnsi="宋体" w:eastAsia="宋体" w:cs="宋体"/>
          <w:b/>
          <w:color w:val="000000"/>
          <w:sz w:val="24"/>
          <w:szCs w:val="28"/>
        </w:rPr>
      </w:pPr>
    </w:p>
    <w:p w14:paraId="31CAA550">
      <w:pPr>
        <w:pStyle w:val="2"/>
        <w:rPr>
          <w:rFonts w:hint="eastAsia" w:ascii="宋体" w:hAnsi="宋体" w:eastAsia="宋体" w:cs="宋体"/>
          <w:b/>
          <w:color w:val="000000"/>
          <w:sz w:val="24"/>
          <w:szCs w:val="28"/>
        </w:rPr>
      </w:pPr>
    </w:p>
    <w:p w14:paraId="1E8FBE6E">
      <w:pPr>
        <w:pStyle w:val="2"/>
        <w:rPr>
          <w:rFonts w:hint="eastAsia" w:ascii="宋体" w:hAnsi="宋体" w:eastAsia="宋体" w:cs="宋体"/>
          <w:b/>
          <w:color w:val="000000"/>
          <w:sz w:val="24"/>
          <w:szCs w:val="28"/>
        </w:rPr>
      </w:pPr>
    </w:p>
    <w:p w14:paraId="5BC7BE1E">
      <w:pPr>
        <w:pStyle w:val="2"/>
        <w:rPr>
          <w:rFonts w:hint="eastAsia" w:ascii="宋体" w:hAnsi="宋体" w:eastAsia="宋体" w:cs="宋体"/>
          <w:b/>
          <w:color w:val="000000"/>
          <w:sz w:val="24"/>
          <w:szCs w:val="28"/>
        </w:rPr>
      </w:pPr>
    </w:p>
    <w:p w14:paraId="1907D097">
      <w:pPr>
        <w:pStyle w:val="2"/>
        <w:rPr>
          <w:rFonts w:hint="eastAsia" w:ascii="宋体" w:hAnsi="宋体" w:eastAsia="宋体" w:cs="宋体"/>
          <w:b/>
          <w:color w:val="000000"/>
          <w:sz w:val="24"/>
          <w:szCs w:val="28"/>
        </w:rPr>
      </w:pPr>
    </w:p>
    <w:p w14:paraId="7A708158">
      <w:pPr>
        <w:pStyle w:val="2"/>
        <w:rPr>
          <w:rFonts w:hint="eastAsia" w:ascii="宋体" w:hAnsi="宋体" w:eastAsia="宋体" w:cs="宋体"/>
          <w:b/>
          <w:color w:val="000000"/>
          <w:sz w:val="24"/>
          <w:szCs w:val="28"/>
        </w:rPr>
      </w:pPr>
    </w:p>
    <w:p w14:paraId="6287EF54">
      <w:pPr>
        <w:spacing w:line="360" w:lineRule="auto"/>
        <w:ind w:left="2317" w:leftChars="300" w:hanging="1687" w:hangingChars="700"/>
        <w:rPr>
          <w:rFonts w:hint="eastAsia" w:ascii="宋体" w:hAnsi="宋体" w:eastAsia="宋体" w:cs="宋体"/>
          <w:b/>
          <w:color w:val="000000"/>
          <w:kern w:val="0"/>
          <w:sz w:val="32"/>
          <w:szCs w:val="32"/>
          <w:u w:val="single"/>
        </w:rPr>
      </w:pPr>
      <w:r>
        <w:rPr>
          <w:rFonts w:hint="eastAsia" w:ascii="宋体" w:hAnsi="宋体" w:eastAsia="宋体" w:cs="宋体"/>
          <w:b/>
          <w:color w:val="000000"/>
          <w:sz w:val="24"/>
          <w:szCs w:val="28"/>
        </w:rPr>
        <w:t>采购项目名称：</w:t>
      </w:r>
      <w:r>
        <w:rPr>
          <w:rFonts w:hint="eastAsia" w:ascii="宋体" w:hAnsi="宋体" w:eastAsia="宋体" w:cs="宋体"/>
          <w:b/>
          <w:color w:val="000000"/>
          <w:sz w:val="24"/>
          <w:szCs w:val="28"/>
          <w:u w:val="single"/>
          <w:lang w:eastAsia="zh-CN"/>
        </w:rPr>
        <w:t>青海民族大学2025年度在建工程竣工决算项目评审</w:t>
      </w:r>
      <w:r>
        <w:rPr>
          <w:rFonts w:hint="eastAsia" w:ascii="宋体" w:hAnsi="宋体" w:eastAsia="宋体" w:cs="宋体"/>
          <w:b/>
          <w:color w:val="000000"/>
          <w:sz w:val="24"/>
          <w:szCs w:val="28"/>
          <w:u w:val="single"/>
        </w:rPr>
        <w:t xml:space="preserve"> </w:t>
      </w:r>
    </w:p>
    <w:p w14:paraId="4BFB7FC6">
      <w:pPr>
        <w:spacing w:line="360" w:lineRule="auto"/>
        <w:ind w:left="2317" w:leftChars="300" w:hanging="1687" w:hangingChars="7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采购项目编号：</w:t>
      </w:r>
      <w:r>
        <w:rPr>
          <w:rFonts w:hint="eastAsia" w:ascii="宋体" w:hAnsi="宋体" w:eastAsia="宋体" w:cs="宋体"/>
          <w:b/>
          <w:color w:val="000000"/>
          <w:sz w:val="24"/>
          <w:szCs w:val="28"/>
          <w:u w:val="single"/>
          <w:lang w:eastAsia="zh-CN"/>
        </w:rPr>
        <w:t>青海国焱竞磋（服务）2025-267号</w:t>
      </w:r>
      <w:r>
        <w:rPr>
          <w:rFonts w:hint="eastAsia" w:ascii="宋体" w:hAnsi="宋体" w:eastAsia="宋体" w:cs="宋体"/>
          <w:b/>
          <w:color w:val="000000"/>
          <w:sz w:val="24"/>
          <w:szCs w:val="28"/>
          <w:u w:val="single"/>
        </w:rPr>
        <w:t xml:space="preserve">               </w:t>
      </w:r>
    </w:p>
    <w:p w14:paraId="289EDC79">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采购合同编号：</w:t>
      </w:r>
      <w:r>
        <w:rPr>
          <w:rFonts w:hint="eastAsia" w:ascii="宋体" w:hAnsi="宋体" w:eastAsia="宋体" w:cs="宋体"/>
          <w:b/>
          <w:color w:val="000000"/>
          <w:sz w:val="24"/>
          <w:szCs w:val="28"/>
          <w:u w:val="single"/>
        </w:rPr>
        <w:t>QHGY-202</w:t>
      </w:r>
      <w:r>
        <w:rPr>
          <w:rFonts w:hint="eastAsia" w:ascii="宋体" w:hAnsi="宋体" w:eastAsia="宋体" w:cs="宋体"/>
          <w:b/>
          <w:color w:val="000000"/>
          <w:sz w:val="24"/>
          <w:szCs w:val="28"/>
          <w:u w:val="single"/>
          <w:lang w:val="en-US" w:eastAsia="zh-CN"/>
        </w:rPr>
        <w:t>5</w:t>
      </w:r>
      <w:r>
        <w:rPr>
          <w:rFonts w:hint="eastAsia" w:ascii="宋体" w:hAnsi="宋体" w:eastAsia="宋体" w:cs="宋体"/>
          <w:b/>
          <w:color w:val="000000"/>
          <w:sz w:val="24"/>
          <w:szCs w:val="28"/>
          <w:u w:val="single"/>
        </w:rPr>
        <w:t>-</w:t>
      </w:r>
      <w:r>
        <w:rPr>
          <w:rFonts w:hint="eastAsia" w:ascii="宋体" w:hAnsi="宋体" w:eastAsia="宋体" w:cs="宋体"/>
          <w:b/>
          <w:color w:val="000000"/>
          <w:sz w:val="24"/>
          <w:szCs w:val="28"/>
          <w:u w:val="single"/>
          <w:lang w:val="en-US" w:eastAsia="zh-CN"/>
        </w:rPr>
        <w:t>267</w:t>
      </w:r>
      <w:r>
        <w:rPr>
          <w:rFonts w:hint="eastAsia" w:ascii="宋体" w:hAnsi="宋体" w:eastAsia="宋体" w:cs="宋体"/>
          <w:b/>
          <w:color w:val="000000"/>
          <w:sz w:val="24"/>
          <w:szCs w:val="28"/>
          <w:u w:val="single"/>
        </w:rPr>
        <w:t xml:space="preserve">                               </w:t>
      </w:r>
    </w:p>
    <w:p w14:paraId="5AF8D5CB">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合同金额（人民币）：</w:t>
      </w:r>
      <w:r>
        <w:rPr>
          <w:rFonts w:hint="eastAsia" w:ascii="宋体" w:hAnsi="宋体" w:eastAsia="宋体" w:cs="宋体"/>
          <w:b/>
          <w:color w:val="000000"/>
          <w:sz w:val="24"/>
          <w:szCs w:val="28"/>
          <w:u w:val="single"/>
        </w:rPr>
        <w:t xml:space="preserve">                                        </w:t>
      </w:r>
    </w:p>
    <w:p w14:paraId="16983BA4">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采购单位（甲方）：</w:t>
      </w:r>
      <w:r>
        <w:rPr>
          <w:rFonts w:hint="eastAsia" w:ascii="宋体" w:hAnsi="宋体" w:eastAsia="宋体" w:cs="宋体"/>
          <w:b/>
          <w:color w:val="000000"/>
          <w:sz w:val="24"/>
          <w:szCs w:val="28"/>
          <w:u w:val="single"/>
          <w:lang w:eastAsia="zh-CN"/>
        </w:rPr>
        <w:t>青海民族大学</w:t>
      </w:r>
      <w:r>
        <w:rPr>
          <w:rFonts w:hint="eastAsia" w:ascii="宋体" w:hAnsi="宋体" w:eastAsia="宋体" w:cs="宋体"/>
          <w:b/>
          <w:color w:val="000000"/>
          <w:sz w:val="24"/>
          <w:szCs w:val="28"/>
          <w:u w:val="single"/>
        </w:rPr>
        <w:t xml:space="preserve">（盖章 )                      </w:t>
      </w:r>
    </w:p>
    <w:p w14:paraId="715BCD32">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成交磋商供应商（乙方）：</w:t>
      </w:r>
      <w:r>
        <w:rPr>
          <w:rFonts w:hint="eastAsia" w:ascii="宋体" w:hAnsi="宋体" w:eastAsia="宋体" w:cs="宋体"/>
          <w:b/>
          <w:color w:val="000000"/>
          <w:sz w:val="24"/>
          <w:szCs w:val="28"/>
          <w:u w:val="single"/>
        </w:rPr>
        <w:t xml:space="preserve">                         （盖章）   </w:t>
      </w:r>
    </w:p>
    <w:p w14:paraId="10464CB5">
      <w:pPr>
        <w:spacing w:line="360" w:lineRule="auto"/>
        <w:ind w:firstLine="723" w:firstLineChars="300"/>
        <w:rPr>
          <w:rFonts w:hint="eastAsia" w:ascii="宋体" w:hAnsi="宋体" w:eastAsia="宋体" w:cs="宋体"/>
          <w:b/>
          <w:color w:val="000000"/>
          <w:sz w:val="24"/>
          <w:szCs w:val="28"/>
          <w:u w:val="single"/>
        </w:rPr>
      </w:pPr>
      <w:r>
        <w:rPr>
          <w:rFonts w:hint="eastAsia" w:ascii="宋体" w:hAnsi="宋体" w:eastAsia="宋体" w:cs="宋体"/>
          <w:b/>
          <w:color w:val="000000"/>
          <w:sz w:val="24"/>
          <w:szCs w:val="28"/>
        </w:rPr>
        <w:t>采购日期：</w:t>
      </w:r>
      <w:r>
        <w:rPr>
          <w:rFonts w:hint="eastAsia" w:ascii="宋体" w:hAnsi="宋体" w:eastAsia="宋体" w:cs="宋体"/>
          <w:b/>
          <w:color w:val="000000"/>
          <w:sz w:val="24"/>
          <w:szCs w:val="28"/>
          <w:u w:val="single"/>
        </w:rPr>
        <w:t xml:space="preserve">                                                 </w:t>
      </w:r>
    </w:p>
    <w:p w14:paraId="273993D0">
      <w:pPr>
        <w:autoSpaceDE w:val="0"/>
        <w:autoSpaceDN w:val="0"/>
        <w:adjustRightInd w:val="0"/>
        <w:spacing w:before="13" w:line="280" w:lineRule="exact"/>
        <w:jc w:val="left"/>
        <w:rPr>
          <w:rFonts w:hint="eastAsia" w:ascii="宋体" w:hAnsi="宋体" w:eastAsia="宋体" w:cs="宋体"/>
          <w:color w:val="000000"/>
          <w:kern w:val="0"/>
          <w:sz w:val="28"/>
          <w:szCs w:val="28"/>
        </w:rPr>
      </w:pPr>
    </w:p>
    <w:p w14:paraId="07877B34">
      <w:pPr>
        <w:spacing w:line="360" w:lineRule="auto"/>
        <w:rPr>
          <w:rFonts w:hint="eastAsia" w:ascii="宋体" w:hAnsi="宋体" w:eastAsia="宋体" w:cs="宋体"/>
          <w:b/>
          <w:bCs/>
          <w:color w:val="000000"/>
          <w:sz w:val="28"/>
          <w:szCs w:val="32"/>
          <w:lang w:val="zh-CN"/>
        </w:rPr>
      </w:pPr>
      <w:r>
        <w:rPr>
          <w:rFonts w:hint="eastAsia" w:ascii="宋体" w:hAnsi="宋体" w:eastAsia="宋体" w:cs="宋体"/>
          <w:color w:val="000000"/>
          <w:kern w:val="0"/>
          <w:sz w:val="24"/>
        </w:rPr>
        <w:br w:type="page"/>
      </w:r>
      <w:r>
        <w:rPr>
          <w:rFonts w:hint="eastAsia" w:ascii="宋体" w:hAnsi="宋体" w:eastAsia="宋体" w:cs="宋体"/>
          <w:b/>
          <w:bCs/>
          <w:color w:val="000000"/>
          <w:sz w:val="28"/>
          <w:szCs w:val="32"/>
          <w:lang w:val="zh-CN"/>
        </w:rPr>
        <w:t>采购单位（以下简称甲方）：</w:t>
      </w:r>
    </w:p>
    <w:p w14:paraId="3841ABB9">
      <w:pPr>
        <w:autoSpaceDE w:val="0"/>
        <w:autoSpaceDN w:val="0"/>
        <w:spacing w:line="360" w:lineRule="auto"/>
        <w:rPr>
          <w:rFonts w:hint="eastAsia" w:ascii="宋体" w:hAnsi="宋体" w:eastAsia="宋体" w:cs="宋体"/>
          <w:b/>
          <w:bCs/>
          <w:color w:val="000000"/>
          <w:sz w:val="28"/>
          <w:szCs w:val="32"/>
          <w:lang w:val="zh-CN"/>
        </w:rPr>
      </w:pPr>
      <w:r>
        <w:rPr>
          <w:rFonts w:hint="eastAsia" w:ascii="宋体" w:hAnsi="宋体" w:eastAsia="宋体" w:cs="宋体"/>
          <w:b/>
          <w:bCs/>
          <w:color w:val="000000"/>
          <w:sz w:val="28"/>
          <w:szCs w:val="32"/>
          <w:lang w:val="zh-CN"/>
        </w:rPr>
        <w:t>供应商（以下简称乙方）：</w:t>
      </w:r>
    </w:p>
    <w:p w14:paraId="457A755B">
      <w:pPr>
        <w:autoSpaceDE w:val="0"/>
        <w:autoSpaceDN w:val="0"/>
        <w:spacing w:line="360" w:lineRule="auto"/>
        <w:ind w:firstLine="480" w:firstLineChars="200"/>
        <w:rPr>
          <w:rFonts w:hint="eastAsia" w:ascii="宋体" w:hAnsi="宋体" w:eastAsia="宋体" w:cs="宋体"/>
          <w:b/>
          <w:bCs/>
          <w:color w:val="000000"/>
          <w:sz w:val="32"/>
          <w:szCs w:val="32"/>
          <w:lang w:val="zh-CN"/>
        </w:rPr>
      </w:pPr>
      <w:r>
        <w:rPr>
          <w:rFonts w:hint="eastAsia" w:ascii="宋体" w:hAnsi="宋体" w:eastAsia="宋体" w:cs="宋体"/>
          <w:color w:val="000000"/>
          <w:sz w:val="24"/>
          <w:lang w:val="zh-CN"/>
        </w:rPr>
        <w:t>甲、乙双方根据</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采购项目</w:t>
      </w:r>
      <w:r>
        <w:rPr>
          <w:rFonts w:hint="eastAsia" w:ascii="宋体" w:hAnsi="宋体" w:eastAsia="宋体" w:cs="宋体"/>
          <w:color w:val="000000"/>
          <w:sz w:val="24"/>
          <w:u w:val="single"/>
          <w:lang w:val="zh-CN"/>
        </w:rPr>
        <w:t>( 采购项目编号                   )</w:t>
      </w:r>
      <w:r>
        <w:rPr>
          <w:rFonts w:hint="eastAsia" w:ascii="宋体" w:hAnsi="宋体" w:eastAsia="宋体" w:cs="宋体"/>
          <w:color w:val="000000"/>
          <w:sz w:val="24"/>
          <w:lang w:val="zh-CN"/>
        </w:rPr>
        <w:t>的磋商文件要求和采购代理机构出具的《成交通知书》，并经双方协商一致，签订本合同协议书。</w:t>
      </w:r>
    </w:p>
    <w:p w14:paraId="42AD272E">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一、签订本采购合同的依据</w:t>
      </w:r>
    </w:p>
    <w:p w14:paraId="66ADA7E5">
      <w:pPr>
        <w:autoSpaceDE w:val="0"/>
        <w:autoSpaceDN w:val="0"/>
        <w:spacing w:line="36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本采购合同所附下列文件是构成本采购合同不可分割的部分：</w:t>
      </w:r>
    </w:p>
    <w:p w14:paraId="2CE31656">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1．磋商文件；</w:t>
      </w:r>
    </w:p>
    <w:p w14:paraId="2140A1A4">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2．磋商文件的更正、变更公告；</w:t>
      </w:r>
    </w:p>
    <w:p w14:paraId="6E015F37">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3．成交供应商提交的磋商报价文件；</w:t>
      </w:r>
    </w:p>
    <w:p w14:paraId="0870CE1F">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4．磋商文件中规定的采购合同通用条款；</w:t>
      </w:r>
    </w:p>
    <w:p w14:paraId="6B37C6AB">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5．成交通知书。</w:t>
      </w:r>
    </w:p>
    <w:p w14:paraId="1F06C3C8">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b/>
          <w:color w:val="000000"/>
          <w:sz w:val="24"/>
          <w:lang w:val="zh-CN"/>
        </w:rPr>
        <w:t>二、合同标的及金额</w:t>
      </w:r>
      <w:r>
        <w:rPr>
          <w:rFonts w:hint="eastAsia" w:ascii="宋体" w:hAnsi="宋体" w:eastAsia="宋体" w:cs="宋体"/>
          <w:color w:val="000000"/>
          <w:sz w:val="24"/>
          <w:lang w:val="zh-CN"/>
        </w:rPr>
        <w:t xml:space="preserve">                                         单位：元</w:t>
      </w:r>
    </w:p>
    <w:tbl>
      <w:tblPr>
        <w:tblStyle w:val="34"/>
        <w:tblW w:w="5000" w:type="pct"/>
        <w:jc w:val="center"/>
        <w:tblLayout w:type="autofit"/>
        <w:tblCellMar>
          <w:top w:w="0" w:type="dxa"/>
          <w:left w:w="108" w:type="dxa"/>
          <w:bottom w:w="0" w:type="dxa"/>
          <w:right w:w="108" w:type="dxa"/>
        </w:tblCellMar>
      </w:tblPr>
      <w:tblGrid>
        <w:gridCol w:w="1115"/>
        <w:gridCol w:w="3147"/>
        <w:gridCol w:w="1348"/>
        <w:gridCol w:w="1019"/>
        <w:gridCol w:w="1145"/>
        <w:gridCol w:w="1060"/>
      </w:tblGrid>
      <w:tr w14:paraId="6ABD02B9">
        <w:tblPrEx>
          <w:tblCellMar>
            <w:top w:w="0" w:type="dxa"/>
            <w:left w:w="108" w:type="dxa"/>
            <w:bottom w:w="0" w:type="dxa"/>
            <w:right w:w="108" w:type="dxa"/>
          </w:tblCellMar>
        </w:tblPrEx>
        <w:trPr>
          <w:wBefore w:w="0" w:type="dxa"/>
          <w:wAfter w:w="0" w:type="dxa"/>
          <w:cantSplit/>
          <w:trHeight w:val="282" w:hRule="atLeast"/>
          <w:jc w:val="center"/>
        </w:trPr>
        <w:tc>
          <w:tcPr>
            <w:tcW w:w="631" w:type="pct"/>
            <w:tcBorders>
              <w:top w:val="single" w:color="auto" w:sz="4" w:space="0"/>
              <w:left w:val="single" w:color="auto" w:sz="4" w:space="0"/>
              <w:bottom w:val="single" w:color="auto" w:sz="4" w:space="0"/>
              <w:right w:val="single" w:color="auto" w:sz="4" w:space="0"/>
            </w:tcBorders>
            <w:noWrap w:val="0"/>
            <w:vAlign w:val="center"/>
          </w:tcPr>
          <w:p w14:paraId="3E632BE7">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编号</w:t>
            </w:r>
          </w:p>
        </w:tc>
        <w:tc>
          <w:tcPr>
            <w:tcW w:w="1781" w:type="pct"/>
            <w:tcBorders>
              <w:top w:val="single" w:color="auto" w:sz="4" w:space="0"/>
              <w:left w:val="single" w:color="auto" w:sz="4" w:space="0"/>
              <w:bottom w:val="single" w:color="auto" w:sz="4" w:space="0"/>
              <w:right w:val="single" w:color="auto" w:sz="4" w:space="0"/>
            </w:tcBorders>
            <w:noWrap w:val="0"/>
            <w:vAlign w:val="center"/>
          </w:tcPr>
          <w:p w14:paraId="5446F7D2">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服务内容</w:t>
            </w:r>
          </w:p>
        </w:tc>
        <w:tc>
          <w:tcPr>
            <w:tcW w:w="763" w:type="pct"/>
            <w:tcBorders>
              <w:top w:val="single" w:color="auto" w:sz="4" w:space="0"/>
              <w:left w:val="single" w:color="auto" w:sz="4" w:space="0"/>
              <w:bottom w:val="single" w:color="auto" w:sz="4" w:space="0"/>
              <w:right w:val="single" w:color="auto" w:sz="4" w:space="0"/>
            </w:tcBorders>
            <w:noWrap w:val="0"/>
            <w:vAlign w:val="center"/>
          </w:tcPr>
          <w:p w14:paraId="0C25D1C4">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服务数量</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718B16C0">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单价</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BAF15CF">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总价</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0D5C5CC5">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备注</w:t>
            </w:r>
          </w:p>
        </w:tc>
      </w:tr>
      <w:tr w14:paraId="734B724E">
        <w:tblPrEx>
          <w:tblCellMar>
            <w:top w:w="0" w:type="dxa"/>
            <w:left w:w="108" w:type="dxa"/>
            <w:bottom w:w="0" w:type="dxa"/>
            <w:right w:w="108" w:type="dxa"/>
          </w:tblCellMar>
        </w:tblPrEx>
        <w:trPr>
          <w:wBefore w:w="0" w:type="dxa"/>
          <w:wAfter w:w="0" w:type="dxa"/>
          <w:cantSplit/>
          <w:trHeight w:val="332" w:hRule="atLeast"/>
          <w:jc w:val="center"/>
        </w:trPr>
        <w:tc>
          <w:tcPr>
            <w:tcW w:w="631" w:type="pct"/>
            <w:tcBorders>
              <w:top w:val="single" w:color="auto" w:sz="4" w:space="0"/>
              <w:left w:val="single" w:color="auto" w:sz="4" w:space="0"/>
              <w:bottom w:val="single" w:color="auto" w:sz="4" w:space="0"/>
              <w:right w:val="single" w:color="auto" w:sz="4" w:space="0"/>
            </w:tcBorders>
            <w:noWrap w:val="0"/>
            <w:vAlign w:val="center"/>
          </w:tcPr>
          <w:p w14:paraId="63F9E758">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1</w:t>
            </w:r>
          </w:p>
        </w:tc>
        <w:tc>
          <w:tcPr>
            <w:tcW w:w="1781" w:type="pct"/>
            <w:tcBorders>
              <w:top w:val="single" w:color="auto" w:sz="4" w:space="0"/>
              <w:left w:val="single" w:color="auto" w:sz="4" w:space="0"/>
              <w:bottom w:val="single" w:color="auto" w:sz="4" w:space="0"/>
              <w:right w:val="single" w:color="auto" w:sz="4" w:space="0"/>
            </w:tcBorders>
            <w:noWrap w:val="0"/>
            <w:vAlign w:val="center"/>
          </w:tcPr>
          <w:p w14:paraId="2B46F562">
            <w:pPr>
              <w:autoSpaceDE w:val="0"/>
              <w:autoSpaceDN w:val="0"/>
              <w:spacing w:line="360" w:lineRule="auto"/>
              <w:jc w:val="center"/>
              <w:rPr>
                <w:rFonts w:hint="eastAsia" w:ascii="宋体" w:hAnsi="宋体" w:eastAsia="宋体" w:cs="宋体"/>
                <w:color w:val="000000"/>
                <w:sz w:val="24"/>
                <w:lang w:val="zh-CN"/>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5540C370">
            <w:pPr>
              <w:autoSpaceDE w:val="0"/>
              <w:autoSpaceDN w:val="0"/>
              <w:spacing w:line="360" w:lineRule="auto"/>
              <w:jc w:val="center"/>
              <w:rPr>
                <w:rFonts w:hint="eastAsia" w:ascii="宋体" w:hAnsi="宋体" w:eastAsia="宋体" w:cs="宋体"/>
                <w:color w:val="000000"/>
                <w:sz w:val="24"/>
                <w:lang w:val="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51A8C757">
            <w:pPr>
              <w:autoSpaceDE w:val="0"/>
              <w:autoSpaceDN w:val="0"/>
              <w:spacing w:line="360" w:lineRule="auto"/>
              <w:jc w:val="center"/>
              <w:rPr>
                <w:rFonts w:hint="eastAsia" w:ascii="宋体" w:hAnsi="宋体" w:eastAsia="宋体" w:cs="宋体"/>
                <w:color w:val="000000"/>
                <w:sz w:val="24"/>
                <w:lang w:val="zh-CN"/>
              </w:rPr>
            </w:pPr>
          </w:p>
        </w:tc>
        <w:tc>
          <w:tcPr>
            <w:tcW w:w="648" w:type="pct"/>
            <w:tcBorders>
              <w:top w:val="single" w:color="auto" w:sz="4" w:space="0"/>
              <w:left w:val="single" w:color="auto" w:sz="4" w:space="0"/>
              <w:bottom w:val="single" w:color="auto" w:sz="4" w:space="0"/>
              <w:right w:val="single" w:color="auto" w:sz="4" w:space="0"/>
            </w:tcBorders>
            <w:noWrap w:val="0"/>
            <w:vAlign w:val="center"/>
          </w:tcPr>
          <w:p w14:paraId="5DAC6A03">
            <w:pPr>
              <w:autoSpaceDE w:val="0"/>
              <w:autoSpaceDN w:val="0"/>
              <w:spacing w:line="360" w:lineRule="auto"/>
              <w:jc w:val="center"/>
              <w:rPr>
                <w:rFonts w:hint="eastAsia" w:ascii="宋体" w:hAnsi="宋体" w:eastAsia="宋体" w:cs="宋体"/>
                <w:color w:val="000000"/>
                <w:sz w:val="24"/>
                <w:lang w:val="zh-CN"/>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70042A72">
            <w:pPr>
              <w:autoSpaceDE w:val="0"/>
              <w:autoSpaceDN w:val="0"/>
              <w:spacing w:line="360" w:lineRule="auto"/>
              <w:jc w:val="center"/>
              <w:rPr>
                <w:rFonts w:hint="eastAsia" w:ascii="宋体" w:hAnsi="宋体" w:eastAsia="宋体" w:cs="宋体"/>
                <w:color w:val="000000"/>
                <w:sz w:val="24"/>
                <w:lang w:val="zh-CN"/>
              </w:rPr>
            </w:pPr>
          </w:p>
        </w:tc>
      </w:tr>
      <w:tr w14:paraId="070FA997">
        <w:tblPrEx>
          <w:tblCellMar>
            <w:top w:w="0" w:type="dxa"/>
            <w:left w:w="108" w:type="dxa"/>
            <w:bottom w:w="0" w:type="dxa"/>
            <w:right w:w="108" w:type="dxa"/>
          </w:tblCellMar>
        </w:tblPrEx>
        <w:trPr>
          <w:wBefore w:w="0" w:type="dxa"/>
          <w:wAfter w:w="0" w:type="dxa"/>
          <w:cantSplit/>
          <w:trHeight w:val="410" w:hRule="atLeast"/>
          <w:jc w:val="center"/>
        </w:trPr>
        <w:tc>
          <w:tcPr>
            <w:tcW w:w="631" w:type="pct"/>
            <w:tcBorders>
              <w:top w:val="single" w:color="auto" w:sz="4" w:space="0"/>
              <w:left w:val="single" w:color="auto" w:sz="4" w:space="0"/>
              <w:bottom w:val="single" w:color="auto" w:sz="4" w:space="0"/>
              <w:right w:val="single" w:color="auto" w:sz="4" w:space="0"/>
            </w:tcBorders>
            <w:noWrap w:val="0"/>
            <w:vAlign w:val="center"/>
          </w:tcPr>
          <w:p w14:paraId="6C1F1802">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2</w:t>
            </w:r>
          </w:p>
        </w:tc>
        <w:tc>
          <w:tcPr>
            <w:tcW w:w="1781" w:type="pct"/>
            <w:tcBorders>
              <w:top w:val="single" w:color="auto" w:sz="4" w:space="0"/>
              <w:left w:val="single" w:color="auto" w:sz="4" w:space="0"/>
              <w:bottom w:val="single" w:color="auto" w:sz="4" w:space="0"/>
              <w:right w:val="single" w:color="auto" w:sz="4" w:space="0"/>
            </w:tcBorders>
            <w:noWrap w:val="0"/>
            <w:vAlign w:val="center"/>
          </w:tcPr>
          <w:p w14:paraId="4B77EB93">
            <w:pPr>
              <w:autoSpaceDE w:val="0"/>
              <w:autoSpaceDN w:val="0"/>
              <w:spacing w:line="360" w:lineRule="auto"/>
              <w:jc w:val="center"/>
              <w:rPr>
                <w:rFonts w:hint="eastAsia" w:ascii="宋体" w:hAnsi="宋体" w:eastAsia="宋体" w:cs="宋体"/>
                <w:color w:val="000000"/>
                <w:sz w:val="24"/>
                <w:lang w:val="zh-CN"/>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41A930F5">
            <w:pPr>
              <w:autoSpaceDE w:val="0"/>
              <w:autoSpaceDN w:val="0"/>
              <w:spacing w:line="360" w:lineRule="auto"/>
              <w:jc w:val="center"/>
              <w:rPr>
                <w:rFonts w:hint="eastAsia" w:ascii="宋体" w:hAnsi="宋体" w:eastAsia="宋体" w:cs="宋体"/>
                <w:color w:val="000000"/>
                <w:sz w:val="24"/>
                <w:lang w:val="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C064CE5">
            <w:pPr>
              <w:autoSpaceDE w:val="0"/>
              <w:autoSpaceDN w:val="0"/>
              <w:spacing w:line="360" w:lineRule="auto"/>
              <w:jc w:val="center"/>
              <w:rPr>
                <w:rFonts w:hint="eastAsia" w:ascii="宋体" w:hAnsi="宋体" w:eastAsia="宋体" w:cs="宋体"/>
                <w:color w:val="000000"/>
                <w:sz w:val="24"/>
                <w:lang w:val="zh-CN"/>
              </w:rPr>
            </w:pPr>
          </w:p>
        </w:tc>
        <w:tc>
          <w:tcPr>
            <w:tcW w:w="648" w:type="pct"/>
            <w:tcBorders>
              <w:top w:val="single" w:color="auto" w:sz="4" w:space="0"/>
              <w:left w:val="single" w:color="auto" w:sz="4" w:space="0"/>
              <w:bottom w:val="single" w:color="auto" w:sz="4" w:space="0"/>
              <w:right w:val="single" w:color="auto" w:sz="4" w:space="0"/>
            </w:tcBorders>
            <w:noWrap w:val="0"/>
            <w:vAlign w:val="center"/>
          </w:tcPr>
          <w:p w14:paraId="73733BA7">
            <w:pPr>
              <w:autoSpaceDE w:val="0"/>
              <w:autoSpaceDN w:val="0"/>
              <w:spacing w:line="360" w:lineRule="auto"/>
              <w:jc w:val="center"/>
              <w:rPr>
                <w:rFonts w:hint="eastAsia" w:ascii="宋体" w:hAnsi="宋体" w:eastAsia="宋体" w:cs="宋体"/>
                <w:color w:val="000000"/>
                <w:sz w:val="24"/>
                <w:lang w:val="zh-CN"/>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08F213AF">
            <w:pPr>
              <w:autoSpaceDE w:val="0"/>
              <w:autoSpaceDN w:val="0"/>
              <w:spacing w:line="360" w:lineRule="auto"/>
              <w:jc w:val="center"/>
              <w:rPr>
                <w:rFonts w:hint="eastAsia" w:ascii="宋体" w:hAnsi="宋体" w:eastAsia="宋体" w:cs="宋体"/>
                <w:color w:val="000000"/>
                <w:sz w:val="24"/>
                <w:lang w:val="zh-CN"/>
              </w:rPr>
            </w:pPr>
          </w:p>
        </w:tc>
      </w:tr>
      <w:tr w14:paraId="5FAD8EF9">
        <w:tblPrEx>
          <w:tblCellMar>
            <w:top w:w="0" w:type="dxa"/>
            <w:left w:w="108" w:type="dxa"/>
            <w:bottom w:w="0" w:type="dxa"/>
            <w:right w:w="108" w:type="dxa"/>
          </w:tblCellMar>
        </w:tblPrEx>
        <w:trPr>
          <w:wBefore w:w="0" w:type="dxa"/>
          <w:wAfter w:w="0" w:type="dxa"/>
          <w:cantSplit/>
          <w:trHeight w:val="360" w:hRule="atLeast"/>
          <w:jc w:val="center"/>
        </w:trPr>
        <w:tc>
          <w:tcPr>
            <w:tcW w:w="631" w:type="pct"/>
            <w:tcBorders>
              <w:top w:val="single" w:color="auto" w:sz="4" w:space="0"/>
              <w:left w:val="single" w:color="auto" w:sz="4" w:space="0"/>
              <w:bottom w:val="single" w:color="auto" w:sz="4" w:space="0"/>
              <w:right w:val="single" w:color="auto" w:sz="4" w:space="0"/>
            </w:tcBorders>
            <w:noWrap w:val="0"/>
            <w:vAlign w:val="center"/>
          </w:tcPr>
          <w:p w14:paraId="18740C24">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w:t>
            </w:r>
          </w:p>
        </w:tc>
        <w:tc>
          <w:tcPr>
            <w:tcW w:w="1781" w:type="pct"/>
            <w:tcBorders>
              <w:top w:val="single" w:color="auto" w:sz="4" w:space="0"/>
              <w:left w:val="single" w:color="auto" w:sz="4" w:space="0"/>
              <w:bottom w:val="single" w:color="auto" w:sz="4" w:space="0"/>
              <w:right w:val="single" w:color="auto" w:sz="4" w:space="0"/>
            </w:tcBorders>
            <w:noWrap w:val="0"/>
            <w:vAlign w:val="center"/>
          </w:tcPr>
          <w:p w14:paraId="26D35A34">
            <w:pPr>
              <w:autoSpaceDE w:val="0"/>
              <w:autoSpaceDN w:val="0"/>
              <w:spacing w:line="360" w:lineRule="auto"/>
              <w:jc w:val="center"/>
              <w:rPr>
                <w:rFonts w:hint="eastAsia" w:ascii="宋体" w:hAnsi="宋体" w:eastAsia="宋体" w:cs="宋体"/>
                <w:color w:val="000000"/>
                <w:sz w:val="24"/>
                <w:lang w:val="zh-CN"/>
              </w:rPr>
            </w:pPr>
          </w:p>
        </w:tc>
        <w:tc>
          <w:tcPr>
            <w:tcW w:w="763" w:type="pct"/>
            <w:tcBorders>
              <w:top w:val="single" w:color="auto" w:sz="4" w:space="0"/>
              <w:left w:val="single" w:color="auto" w:sz="4" w:space="0"/>
              <w:bottom w:val="single" w:color="auto" w:sz="4" w:space="0"/>
              <w:right w:val="single" w:color="auto" w:sz="4" w:space="0"/>
            </w:tcBorders>
            <w:noWrap w:val="0"/>
            <w:vAlign w:val="center"/>
          </w:tcPr>
          <w:p w14:paraId="53811DCE">
            <w:pPr>
              <w:autoSpaceDE w:val="0"/>
              <w:autoSpaceDN w:val="0"/>
              <w:spacing w:line="360" w:lineRule="auto"/>
              <w:jc w:val="center"/>
              <w:rPr>
                <w:rFonts w:hint="eastAsia" w:ascii="宋体" w:hAnsi="宋体" w:eastAsia="宋体" w:cs="宋体"/>
                <w:color w:val="000000"/>
                <w:sz w:val="24"/>
                <w:lang w:val="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59F485CE">
            <w:pPr>
              <w:autoSpaceDE w:val="0"/>
              <w:autoSpaceDN w:val="0"/>
              <w:spacing w:line="360" w:lineRule="auto"/>
              <w:jc w:val="center"/>
              <w:rPr>
                <w:rFonts w:hint="eastAsia" w:ascii="宋体" w:hAnsi="宋体" w:eastAsia="宋体" w:cs="宋体"/>
                <w:color w:val="000000"/>
                <w:sz w:val="24"/>
                <w:lang w:val="zh-CN"/>
              </w:rPr>
            </w:pPr>
          </w:p>
        </w:tc>
        <w:tc>
          <w:tcPr>
            <w:tcW w:w="648" w:type="pct"/>
            <w:tcBorders>
              <w:top w:val="single" w:color="auto" w:sz="4" w:space="0"/>
              <w:left w:val="single" w:color="auto" w:sz="4" w:space="0"/>
              <w:bottom w:val="single" w:color="auto" w:sz="4" w:space="0"/>
              <w:right w:val="single" w:color="auto" w:sz="4" w:space="0"/>
            </w:tcBorders>
            <w:noWrap w:val="0"/>
            <w:vAlign w:val="center"/>
          </w:tcPr>
          <w:p w14:paraId="19512883">
            <w:pPr>
              <w:autoSpaceDE w:val="0"/>
              <w:autoSpaceDN w:val="0"/>
              <w:spacing w:line="360" w:lineRule="auto"/>
              <w:jc w:val="center"/>
              <w:rPr>
                <w:rFonts w:hint="eastAsia" w:ascii="宋体" w:hAnsi="宋体" w:eastAsia="宋体" w:cs="宋体"/>
                <w:color w:val="000000"/>
                <w:sz w:val="24"/>
                <w:lang w:val="zh-CN"/>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567DF496">
            <w:pPr>
              <w:autoSpaceDE w:val="0"/>
              <w:autoSpaceDN w:val="0"/>
              <w:spacing w:line="360" w:lineRule="auto"/>
              <w:jc w:val="center"/>
              <w:rPr>
                <w:rFonts w:hint="eastAsia" w:ascii="宋体" w:hAnsi="宋体" w:eastAsia="宋体" w:cs="宋体"/>
                <w:color w:val="000000"/>
                <w:sz w:val="24"/>
                <w:lang w:val="zh-CN"/>
              </w:rPr>
            </w:pPr>
          </w:p>
        </w:tc>
      </w:tr>
    </w:tbl>
    <w:p w14:paraId="5FE8B475">
      <w:pPr>
        <w:autoSpaceDE w:val="0"/>
        <w:autoSpaceDN w:val="0"/>
        <w:spacing w:line="36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根据上述采购合同文件要求，本次采购合同的总金额为人民币</w:t>
      </w:r>
      <w:r>
        <w:rPr>
          <w:rFonts w:hint="eastAsia" w:ascii="宋体" w:hAnsi="宋体" w:eastAsia="宋体" w:cs="宋体"/>
          <w:color w:val="000000"/>
          <w:sz w:val="24"/>
          <w:u w:val="single"/>
          <w:lang w:val="zh-CN"/>
        </w:rPr>
        <w:t xml:space="preserve">        元</w:t>
      </w:r>
      <w:r>
        <w:rPr>
          <w:rFonts w:hint="eastAsia" w:ascii="宋体" w:hAnsi="宋体" w:eastAsia="宋体" w:cs="宋体"/>
          <w:color w:val="000000"/>
          <w:sz w:val="24"/>
          <w:lang w:val="zh-CN"/>
        </w:rPr>
        <w:t>（大写）。</w:t>
      </w:r>
    </w:p>
    <w:p w14:paraId="3F8932FD">
      <w:pPr>
        <w:autoSpaceDE w:val="0"/>
        <w:autoSpaceDN w:val="0"/>
        <w:spacing w:line="36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本合同以人民币进行结算，合同总价包括：</w:t>
      </w:r>
      <w:r>
        <w:rPr>
          <w:rFonts w:hint="eastAsia" w:ascii="宋体" w:hAnsi="宋体" w:eastAsia="宋体" w:cs="宋体"/>
          <w:color w:val="000000"/>
          <w:sz w:val="24"/>
        </w:rPr>
        <w:t>人员工资、交通、通讯、设备、利润、税收、招标代理费以及所有有关的管理成本和其他不可预见费等全部费用</w:t>
      </w:r>
      <w:r>
        <w:rPr>
          <w:rFonts w:hint="eastAsia" w:ascii="宋体" w:hAnsi="宋体" w:eastAsia="宋体" w:cs="宋体"/>
          <w:color w:val="000000"/>
          <w:sz w:val="24"/>
          <w:lang w:val="zh-CN"/>
        </w:rPr>
        <w:t>。</w:t>
      </w:r>
    </w:p>
    <w:p w14:paraId="625F1633">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三、交付时间、地点和要求</w:t>
      </w:r>
    </w:p>
    <w:p w14:paraId="2D7C5C51">
      <w:pPr>
        <w:autoSpaceDE w:val="0"/>
        <w:autoSpaceDN w:val="0"/>
        <w:adjustRightInd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服务期：合同签订后45个工作日</w:t>
      </w:r>
      <w:r>
        <w:rPr>
          <w:rFonts w:hint="eastAsia" w:ascii="宋体" w:hAnsi="宋体" w:eastAsia="宋体" w:cs="宋体"/>
          <w:color w:val="000000"/>
          <w:kern w:val="0"/>
          <w:sz w:val="24"/>
          <w:lang w:val="zh-CN"/>
        </w:rPr>
        <w:t>；</w:t>
      </w:r>
    </w:p>
    <w:p w14:paraId="332395C8">
      <w:pPr>
        <w:autoSpaceDE w:val="0"/>
        <w:autoSpaceDN w:val="0"/>
        <w:spacing w:line="360" w:lineRule="auto"/>
        <w:ind w:firstLine="240" w:firstLineChars="100"/>
        <w:rPr>
          <w:rFonts w:hint="eastAsia" w:ascii="宋体" w:hAnsi="宋体" w:eastAsia="宋体" w:cs="宋体"/>
          <w:color w:val="000000"/>
          <w:sz w:val="24"/>
          <w:lang w:val="zh-CN"/>
        </w:rPr>
      </w:pPr>
      <w:r>
        <w:rPr>
          <w:rFonts w:hint="eastAsia" w:ascii="宋体" w:hAnsi="宋体" w:eastAsia="宋体" w:cs="宋体"/>
          <w:color w:val="000000"/>
          <w:sz w:val="24"/>
          <w:lang w:val="zh-CN"/>
        </w:rPr>
        <w:t>服务地点：</w:t>
      </w:r>
      <w:r>
        <w:rPr>
          <w:rFonts w:hint="eastAsia" w:ascii="宋体" w:hAnsi="宋体" w:eastAsia="宋体" w:cs="宋体"/>
          <w:color w:val="000000"/>
          <w:sz w:val="24"/>
        </w:rPr>
        <w:t>采购人指定的地点；</w:t>
      </w:r>
    </w:p>
    <w:p w14:paraId="4DACD832">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乙方提供不符合报价文件和本合同规定的服务，甲方有权拒绝接受；</w:t>
      </w:r>
    </w:p>
    <w:p w14:paraId="3DCD92B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乙方应将提供服务的清单资料等交付给甲方，如有缺失应及时补齐，否则视为逾期</w:t>
      </w:r>
      <w:r>
        <w:rPr>
          <w:rFonts w:hint="eastAsia" w:ascii="宋体" w:hAnsi="宋体" w:eastAsia="宋体" w:cs="宋体"/>
          <w:color w:val="000000"/>
          <w:sz w:val="24"/>
          <w:lang w:val="en-US" w:eastAsia="zh-CN"/>
        </w:rPr>
        <w:t>服务</w:t>
      </w:r>
      <w:r>
        <w:rPr>
          <w:rFonts w:hint="eastAsia" w:ascii="宋体" w:hAnsi="宋体" w:eastAsia="宋体" w:cs="宋体"/>
          <w:color w:val="000000"/>
          <w:sz w:val="24"/>
          <w:lang w:val="zh-CN"/>
        </w:rPr>
        <w:t>；</w:t>
      </w:r>
    </w:p>
    <w:p w14:paraId="16068D8D">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zh-CN"/>
        </w:rPr>
        <w:t>乙方向甲方提供服务相关完税销售发票。</w:t>
      </w:r>
    </w:p>
    <w:p w14:paraId="4CD8BF61">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四、付款方式</w:t>
      </w:r>
    </w:p>
    <w:p w14:paraId="59417B59">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1.项目经费确保专款专用，根据目标任务完成情况和绩效评价结果，拨付服务经费。</w:t>
      </w:r>
    </w:p>
    <w:p w14:paraId="50036D71">
      <w:pPr>
        <w:autoSpaceDE w:val="0"/>
        <w:autoSpaceDN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支付方式：（</w:t>
      </w:r>
      <w:r>
        <w:rPr>
          <w:rFonts w:hint="eastAsia" w:ascii="宋体" w:hAnsi="宋体" w:eastAsia="宋体" w:cs="宋体"/>
          <w:color w:val="000000"/>
          <w:sz w:val="24"/>
          <w:highlight w:val="none"/>
        </w:rPr>
        <w:t>以甲乙双方约定为准）</w:t>
      </w:r>
    </w:p>
    <w:p w14:paraId="46E80BAA">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购买服务价款总额：（大写）</w:t>
      </w:r>
    </w:p>
    <w:p w14:paraId="495FC6FE">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第一次支付时间：</w:t>
      </w:r>
    </w:p>
    <w:p w14:paraId="01B36FF9">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金额（大写，为价款总额%)：</w:t>
      </w:r>
    </w:p>
    <w:p w14:paraId="0B8F61C2">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第二次支付时间：</w:t>
      </w:r>
    </w:p>
    <w:p w14:paraId="4CCA2995">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金额（大写，为价款总额%)：</w:t>
      </w:r>
    </w:p>
    <w:p w14:paraId="3843BBC9">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第三次支付时间：</w:t>
      </w:r>
    </w:p>
    <w:p w14:paraId="20F8B206">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金额（大写，为价款总额%)：</w:t>
      </w:r>
    </w:p>
    <w:p w14:paraId="3B2F0B70">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第四次支付时间：</w:t>
      </w:r>
    </w:p>
    <w:p w14:paraId="52F1D5C1">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金额（大写，为价款总额%)：</w:t>
      </w:r>
    </w:p>
    <w:p w14:paraId="1FB89F9A">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本合同预留价款金额：（大写）</w:t>
      </w:r>
    </w:p>
    <w:p w14:paraId="2803911D">
      <w:pPr>
        <w:autoSpaceDE w:val="0"/>
        <w:autoSpaceDN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合同终止后根据绩效评价及合同履行中的过错或过失责任造成经济损失的在清算后支付。</w:t>
      </w:r>
    </w:p>
    <w:p w14:paraId="1782A99F">
      <w:pPr>
        <w:autoSpaceDE w:val="0"/>
        <w:autoSpaceDN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zh-CN"/>
        </w:rPr>
        <w:t>五、合同的变更、终止与转让</w:t>
      </w:r>
    </w:p>
    <w:p w14:paraId="5804FC5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除《中华人民共和国政府采购法》第</w:t>
      </w:r>
      <w:r>
        <w:rPr>
          <w:rFonts w:hint="eastAsia" w:ascii="宋体" w:hAnsi="宋体" w:eastAsia="宋体" w:cs="宋体"/>
          <w:color w:val="000000"/>
          <w:sz w:val="24"/>
          <w:highlight w:val="none"/>
        </w:rPr>
        <w:t>50</w:t>
      </w:r>
      <w:r>
        <w:rPr>
          <w:rFonts w:hint="eastAsia" w:ascii="宋体" w:hAnsi="宋体" w:eastAsia="宋体" w:cs="宋体"/>
          <w:color w:val="000000"/>
          <w:sz w:val="24"/>
          <w:highlight w:val="none"/>
          <w:lang w:val="zh-CN"/>
        </w:rPr>
        <w:t>条规定的情形外，本合同一经签订，甲</w:t>
      </w:r>
      <w:r>
        <w:rPr>
          <w:rFonts w:hint="eastAsia" w:ascii="宋体" w:hAnsi="宋体" w:eastAsia="宋体" w:cs="宋体"/>
          <w:color w:val="000000"/>
          <w:sz w:val="24"/>
          <w:lang w:val="zh-CN"/>
        </w:rPr>
        <w:t>乙双方不得擅自变更、中止或终止；</w:t>
      </w:r>
    </w:p>
    <w:p w14:paraId="14BA81C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乙方不得擅自转让其应履行的合同义务。</w:t>
      </w:r>
    </w:p>
    <w:p w14:paraId="05AE8033">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六、违约责任</w:t>
      </w:r>
    </w:p>
    <w:p w14:paraId="6CBAE16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乙方所提供的服务规格、技术标准、材料等质量不合格的，应及时更换；更换不及时的，按逾期处罚；因质量问题甲方不同意接收的，质保金全额扣除，并由乙方赔偿由此引起的甲方的一切经济损失；</w:t>
      </w:r>
    </w:p>
    <w:p w14:paraId="0C7127C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乙方提供的服务如侵犯了第三方权益而引发纠纷或诉讼的，均由乙方负责交涉并承担全部责任；</w:t>
      </w:r>
    </w:p>
    <w:p w14:paraId="2E696DE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甲方无故延期接受服务和乙方逾期服务的，每天应向对方偿付未交服务的服务款</w:t>
      </w:r>
      <w:r>
        <w:rPr>
          <w:rFonts w:hint="eastAsia" w:ascii="宋体" w:hAnsi="宋体" w:eastAsia="宋体" w:cs="宋体"/>
          <w:color w:val="000000"/>
          <w:sz w:val="24"/>
        </w:rPr>
        <w:t>3</w:t>
      </w:r>
      <w:r>
        <w:rPr>
          <w:rFonts w:hint="eastAsia" w:ascii="宋体" w:hAnsi="宋体" w:eastAsia="宋体" w:cs="宋体"/>
          <w:color w:val="000000"/>
          <w:sz w:val="24"/>
          <w:lang w:val="zh-CN"/>
        </w:rPr>
        <w:t>‰的违约金，但违约金累计不得超过违约服务款的</w:t>
      </w:r>
      <w:r>
        <w:rPr>
          <w:rFonts w:hint="eastAsia" w:ascii="宋体" w:hAnsi="宋体" w:eastAsia="宋体" w:cs="宋体"/>
          <w:color w:val="000000"/>
          <w:sz w:val="24"/>
        </w:rPr>
        <w:t>5%</w:t>
      </w:r>
      <w:r>
        <w:rPr>
          <w:rFonts w:hint="eastAsia" w:ascii="宋体" w:hAnsi="宋体" w:eastAsia="宋体" w:cs="宋体"/>
          <w:color w:val="000000"/>
          <w:sz w:val="24"/>
          <w:lang w:val="zh-CN"/>
        </w:rPr>
        <w:t>，超过</w:t>
      </w:r>
      <w:r>
        <w:rPr>
          <w:rFonts w:hint="eastAsia" w:ascii="宋体" w:hAnsi="宋体" w:eastAsia="宋体" w:cs="宋体"/>
          <w:color w:val="000000"/>
          <w:sz w:val="24"/>
          <w:u w:val="single"/>
        </w:rPr>
        <w:t xml:space="preserve"> 15 </w:t>
      </w:r>
      <w:r>
        <w:rPr>
          <w:rFonts w:hint="eastAsia" w:ascii="宋体" w:hAnsi="宋体" w:eastAsia="宋体" w:cs="宋体"/>
          <w:color w:val="000000"/>
          <w:sz w:val="24"/>
          <w:lang w:val="zh-CN"/>
        </w:rPr>
        <w:t>天对方有权解除合同，违约方承担因此给对方造成的经济损失；</w:t>
      </w:r>
    </w:p>
    <w:p w14:paraId="3782133D">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zh-CN"/>
        </w:rPr>
        <w:t>乙方未按本合同和报价文件中规定的服务承诺提供售后服务的，乙方应按本合同合计金额的</w:t>
      </w:r>
      <w:r>
        <w:rPr>
          <w:rFonts w:hint="eastAsia" w:ascii="宋体" w:hAnsi="宋体" w:eastAsia="宋体" w:cs="宋体"/>
          <w:color w:val="000000"/>
          <w:sz w:val="24"/>
        </w:rPr>
        <w:t>5%</w:t>
      </w:r>
      <w:r>
        <w:rPr>
          <w:rFonts w:hint="eastAsia" w:ascii="宋体" w:hAnsi="宋体" w:eastAsia="宋体" w:cs="宋体"/>
          <w:color w:val="000000"/>
          <w:sz w:val="24"/>
          <w:lang w:val="zh-CN"/>
        </w:rPr>
        <w:t>向甲方支付违约金；</w:t>
      </w:r>
    </w:p>
    <w:p w14:paraId="3FBC1FDB">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5．</w:t>
      </w:r>
      <w:r>
        <w:rPr>
          <w:rFonts w:hint="eastAsia" w:ascii="宋体" w:hAnsi="宋体" w:eastAsia="宋体" w:cs="宋体"/>
          <w:color w:val="000000"/>
          <w:sz w:val="24"/>
          <w:lang w:val="zh-CN"/>
        </w:rPr>
        <w:t>乙方提供的服务在质量保证期内，因设计、工艺或材料的缺陷和其它质量原因造成的问题，由乙方负责，费用从质量保证金中扣除，不足另补；</w:t>
      </w:r>
    </w:p>
    <w:p w14:paraId="75932C1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6.其它违约行为按违约服务款额</w:t>
      </w:r>
      <w:r>
        <w:rPr>
          <w:rFonts w:hint="eastAsia" w:ascii="宋体" w:hAnsi="宋体" w:eastAsia="宋体" w:cs="宋体"/>
          <w:color w:val="000000"/>
          <w:sz w:val="24"/>
        </w:rPr>
        <w:t>5%</w:t>
      </w:r>
      <w:r>
        <w:rPr>
          <w:rFonts w:hint="eastAsia" w:ascii="宋体" w:hAnsi="宋体" w:eastAsia="宋体" w:cs="宋体"/>
          <w:color w:val="000000"/>
          <w:sz w:val="24"/>
          <w:lang w:val="zh-CN"/>
        </w:rPr>
        <w:t>收取违约金并赔偿经济损失。</w:t>
      </w:r>
    </w:p>
    <w:p w14:paraId="22CCAF5D">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七、不可抗力</w:t>
      </w:r>
    </w:p>
    <w:p w14:paraId="5BA3190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不可抗力使合同的某些内容有变更必要的，双方应通过协商在</w:t>
      </w:r>
      <w:r>
        <w:rPr>
          <w:rFonts w:hint="eastAsia" w:ascii="宋体" w:hAnsi="宋体" w:eastAsia="宋体" w:cs="宋体"/>
          <w:color w:val="000000"/>
          <w:sz w:val="24"/>
          <w:u w:val="single"/>
        </w:rPr>
        <w:t xml:space="preserve"> 15 </w:t>
      </w:r>
      <w:r>
        <w:rPr>
          <w:rFonts w:hint="eastAsia" w:ascii="宋体" w:hAnsi="宋体" w:eastAsia="宋体" w:cs="宋体"/>
          <w:color w:val="000000"/>
          <w:sz w:val="24"/>
          <w:lang w:val="zh-CN"/>
        </w:rPr>
        <w:t>天内达成进一步履行合同的协议，因不可抗力致使合同不能履行的，合同终止；</w:t>
      </w:r>
    </w:p>
    <w:p w14:paraId="4CD2091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除法律、法规规定的不可抗力情形外，双方约定出现</w:t>
      </w:r>
      <w:r>
        <w:rPr>
          <w:rFonts w:hint="eastAsia" w:ascii="宋体" w:hAnsi="宋体" w:eastAsia="宋体" w:cs="宋体"/>
          <w:color w:val="000000"/>
          <w:sz w:val="24"/>
          <w:u w:val="single"/>
        </w:rPr>
        <w:t xml:space="preserve"> 自然灾害 </w:t>
      </w:r>
      <w:r>
        <w:rPr>
          <w:rFonts w:hint="eastAsia" w:ascii="宋体" w:hAnsi="宋体" w:eastAsia="宋体" w:cs="宋体"/>
          <w:color w:val="000000"/>
          <w:sz w:val="24"/>
          <w:lang w:val="zh-CN"/>
        </w:rPr>
        <w:t>情况亦视为不可抗力。</w:t>
      </w:r>
    </w:p>
    <w:p w14:paraId="623DF06E">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八、知识产权</w:t>
      </w:r>
    </w:p>
    <w:p w14:paraId="272CB0BB">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九、其他约定</w:t>
      </w:r>
    </w:p>
    <w:p w14:paraId="35BB9752">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十、合同争议解决</w:t>
      </w:r>
    </w:p>
    <w:p w14:paraId="6D7C840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因服务质量问题发生争议的，应邀请国家认可的机构进行鉴定。服务符合标准的，鉴定费由甲方承担；服务不符合标准的，鉴定费由乙方承担；</w:t>
      </w:r>
    </w:p>
    <w:p w14:paraId="00E74F6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因履行本合同引起的或与本合同有关的争议，甲乙双方应首先通过友好协商解决，如果协商不能解决，可向</w:t>
      </w:r>
      <w:r>
        <w:rPr>
          <w:rFonts w:hint="eastAsia" w:ascii="宋体" w:hAnsi="宋体" w:eastAsia="宋体" w:cs="宋体"/>
          <w:color w:val="000000"/>
          <w:sz w:val="24"/>
          <w:u w:val="single"/>
          <w:lang w:val="zh-CN"/>
        </w:rPr>
        <w:t>甲方</w:t>
      </w:r>
      <w:r>
        <w:rPr>
          <w:rFonts w:hint="eastAsia" w:ascii="宋体" w:hAnsi="宋体" w:eastAsia="宋体" w:cs="宋体"/>
          <w:color w:val="000000"/>
          <w:sz w:val="24"/>
          <w:lang w:val="zh-CN"/>
        </w:rPr>
        <w:t>所在地仲裁委员会申请仲裁或向甲方所在地人民法院提起诉讼；</w:t>
      </w:r>
    </w:p>
    <w:p w14:paraId="5C28FD5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诉讼期间，本合同继续履行。</w:t>
      </w:r>
    </w:p>
    <w:p w14:paraId="36DE42B3">
      <w:pPr>
        <w:autoSpaceDE w:val="0"/>
        <w:autoSpaceDN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val="zh-CN"/>
        </w:rPr>
        <w:t>十一、合同生效及其它</w:t>
      </w:r>
      <w:r>
        <w:rPr>
          <w:rFonts w:hint="eastAsia" w:ascii="宋体" w:hAnsi="宋体" w:eastAsia="宋体" w:cs="宋体"/>
          <w:b/>
          <w:color w:val="000000"/>
          <w:sz w:val="24"/>
        </w:rPr>
        <w:t>：</w:t>
      </w:r>
    </w:p>
    <w:p w14:paraId="273B6EA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本合同一式八份，经双方签字，并加盖公章即为生效；</w:t>
      </w:r>
    </w:p>
    <w:p w14:paraId="402EA09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本合同未尽事宜，按经济民法典有关规定处理；</w:t>
      </w:r>
    </w:p>
    <w:p w14:paraId="6ECC219E">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3．</w:t>
      </w:r>
      <w:r>
        <w:rPr>
          <w:rFonts w:hint="eastAsia" w:ascii="宋体" w:hAnsi="宋体" w:eastAsia="宋体" w:cs="宋体"/>
          <w:color w:val="000000"/>
          <w:sz w:val="24"/>
          <w:lang w:val="zh-CN"/>
        </w:rPr>
        <w:t>本合同的组成包含《合同通用条款》，可自行在青海政府采购网下载《合同通用条款》。</w:t>
      </w:r>
    </w:p>
    <w:p w14:paraId="69C906E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甲方（盖章）：                     乙方（盖章）：</w:t>
      </w:r>
    </w:p>
    <w:p w14:paraId="5909E9E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                         法定代表人</w:t>
      </w:r>
    </w:p>
    <w:p w14:paraId="5C555A5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或委托代理人（签字）：             或委托代理人（签字）：</w:t>
      </w:r>
    </w:p>
    <w:p w14:paraId="646C462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联系电话：                         开户银行：</w:t>
      </w:r>
    </w:p>
    <w:p w14:paraId="5664B73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账号：</w:t>
      </w:r>
    </w:p>
    <w:p w14:paraId="12ADB4A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联系电话：</w:t>
      </w:r>
    </w:p>
    <w:p w14:paraId="273C57CE">
      <w:pPr>
        <w:autoSpaceDE w:val="0"/>
        <w:autoSpaceDN w:val="0"/>
        <w:spacing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lang w:val="zh-CN"/>
        </w:rPr>
        <w:t>签约时间：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5438BAA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采购代理机构：青海国焱工程项目管理有限公司</w:t>
      </w:r>
    </w:p>
    <w:p w14:paraId="367627A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负责人或经办人：</w:t>
      </w:r>
    </w:p>
    <w:p w14:paraId="3E5BA9F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合同备案时间：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008F7D4B">
      <w:pPr>
        <w:autoSpaceDE w:val="0"/>
        <w:autoSpaceDN w:val="0"/>
        <w:spacing w:line="360" w:lineRule="auto"/>
        <w:jc w:val="center"/>
        <w:rPr>
          <w:rFonts w:hint="eastAsia" w:ascii="宋体" w:hAnsi="宋体" w:eastAsia="宋体" w:cs="宋体"/>
          <w:b/>
          <w:bCs/>
          <w:color w:val="000000"/>
        </w:rPr>
      </w:pPr>
      <w:r>
        <w:rPr>
          <w:rFonts w:hint="eastAsia" w:ascii="宋体" w:hAnsi="宋体" w:eastAsia="宋体" w:cs="宋体"/>
          <w:b/>
          <w:bCs/>
          <w:color w:val="000000"/>
          <w:sz w:val="20"/>
          <w:lang w:val="zh-CN"/>
        </w:rPr>
        <w:br w:type="page"/>
      </w:r>
      <w:r>
        <w:rPr>
          <w:rFonts w:hint="eastAsia" w:ascii="宋体" w:hAnsi="宋体" w:eastAsia="宋体" w:cs="宋体"/>
          <w:b/>
          <w:bCs/>
          <w:color w:val="000000"/>
          <w:sz w:val="28"/>
          <w:lang w:val="zh-CN"/>
        </w:rPr>
        <w:t>合同通用条款</w:t>
      </w:r>
    </w:p>
    <w:p w14:paraId="1E3B0AE3">
      <w:pPr>
        <w:autoSpaceDE w:val="0"/>
        <w:autoSpaceDN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zh-CN"/>
        </w:rPr>
        <w:t>根据《中华人民共和国民法典》、《中华人民共和国政府采购法》的规定，合同双方经协商达成一致，自愿订立本合同，遵循公平原则明确双方的权利、义务，确保双方诚实守信地履行合同。</w:t>
      </w:r>
    </w:p>
    <w:p w14:paraId="4C7A0A0E">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eastAsia="宋体" w:cs="宋体"/>
          <w:b/>
          <w:bCs/>
          <w:color w:val="000000"/>
          <w:sz w:val="24"/>
          <w:lang w:val="zh-CN"/>
        </w:rPr>
        <w:t>定义</w:t>
      </w:r>
    </w:p>
    <w:p w14:paraId="1BD14DA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本合同中的下列术语应解释为：</w:t>
      </w:r>
    </w:p>
    <w:p w14:paraId="58979EE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w:t>
      </w:r>
      <w:r>
        <w:rPr>
          <w:rFonts w:hint="eastAsia" w:ascii="宋体" w:hAnsi="宋体" w:eastAsia="宋体" w:cs="宋体"/>
          <w:color w:val="000000"/>
          <w:sz w:val="24"/>
          <w:lang w:val="zh-CN"/>
        </w:rPr>
        <w:t>“合同”指甲乙双方签署的、载明的甲乙双方权利义务的协议，包括所有的附件、附录和上述文件所提到的构成合同的所有文件。</w:t>
      </w:r>
    </w:p>
    <w:p w14:paraId="16D21C8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zh-CN"/>
        </w:rPr>
        <w:t>“合同金额”指根据合同规定，乙方在正确地完全履行合同义务后甲方应付给乙方的价款。</w:t>
      </w:r>
    </w:p>
    <w:p w14:paraId="494662D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1.3</w:t>
      </w:r>
      <w:r>
        <w:rPr>
          <w:rFonts w:hint="eastAsia" w:ascii="宋体" w:hAnsi="宋体" w:eastAsia="宋体" w:cs="宋体"/>
          <w:color w:val="000000"/>
          <w:sz w:val="24"/>
          <w:lang w:val="zh-CN"/>
        </w:rPr>
        <w:t>“合同条款”指本合同条款。</w:t>
      </w:r>
    </w:p>
    <w:p w14:paraId="0B37B10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w:t>
      </w:r>
      <w:r>
        <w:rPr>
          <w:rFonts w:hint="eastAsia" w:ascii="宋体" w:hAnsi="宋体" w:eastAsia="宋体" w:cs="宋体"/>
          <w:color w:val="000000"/>
          <w:sz w:val="24"/>
          <w:lang w:val="zh-CN"/>
        </w:rPr>
        <w:t>“货物”指乙方根据合同约定须向甲方提供的一切产品、设备、机械、仪表、备件等，包括辅助工具、使用手册等相关资料。</w:t>
      </w:r>
    </w:p>
    <w:p w14:paraId="01D7165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1.5</w:t>
      </w:r>
      <w:r>
        <w:rPr>
          <w:rFonts w:hint="eastAsia" w:ascii="宋体" w:hAnsi="宋体" w:eastAsia="宋体" w:cs="宋体"/>
          <w:color w:val="000000"/>
          <w:sz w:val="24"/>
          <w:lang w:val="zh-CN"/>
        </w:rPr>
        <w:t>“服务”指根据本合同规定乙方承担与供货有关的辅助服务，如运输、保险及安装、调试、提供技术援助、培训和合同中规定乙方应承担的其它义务。</w:t>
      </w:r>
    </w:p>
    <w:p w14:paraId="61719D0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1.6</w:t>
      </w:r>
      <w:r>
        <w:rPr>
          <w:rFonts w:hint="eastAsia" w:ascii="宋体" w:hAnsi="宋体" w:eastAsia="宋体" w:cs="宋体"/>
          <w:color w:val="000000"/>
          <w:sz w:val="24"/>
          <w:lang w:val="zh-CN"/>
        </w:rPr>
        <w:t>“甲方”指购买货物和服务的单位。</w:t>
      </w:r>
    </w:p>
    <w:p w14:paraId="04CFE5D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1.7</w:t>
      </w:r>
      <w:r>
        <w:rPr>
          <w:rFonts w:hint="eastAsia" w:ascii="宋体" w:hAnsi="宋体" w:eastAsia="宋体" w:cs="宋体"/>
          <w:color w:val="000000"/>
          <w:sz w:val="24"/>
          <w:lang w:val="zh-CN"/>
        </w:rPr>
        <w:t>“乙方”指提供本合同条款下货物和服务的公司或其他实体。</w:t>
      </w:r>
    </w:p>
    <w:p w14:paraId="44B10F2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1.8</w:t>
      </w:r>
      <w:r>
        <w:rPr>
          <w:rFonts w:hint="eastAsia" w:ascii="宋体" w:hAnsi="宋体" w:eastAsia="宋体" w:cs="宋体"/>
          <w:color w:val="000000"/>
          <w:sz w:val="24"/>
          <w:lang w:val="zh-CN"/>
        </w:rPr>
        <w:t>“现场”指合同规定货物将要运至和安装的地点。</w:t>
      </w:r>
    </w:p>
    <w:p w14:paraId="2851DA0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1.9</w:t>
      </w:r>
      <w:r>
        <w:rPr>
          <w:rFonts w:hint="eastAsia" w:ascii="宋体" w:hAnsi="宋体" w:eastAsia="宋体" w:cs="宋体"/>
          <w:color w:val="000000"/>
          <w:sz w:val="24"/>
          <w:lang w:val="zh-CN"/>
        </w:rPr>
        <w:t>“验收”指合同双方依据强制性的国家技术质量规范和合同约定，确认合同条款下的货物符合合同规定的活动。</w:t>
      </w:r>
    </w:p>
    <w:p w14:paraId="22634D9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1.10</w:t>
      </w:r>
      <w:r>
        <w:rPr>
          <w:rFonts w:hint="eastAsia" w:ascii="宋体" w:hAnsi="宋体" w:eastAsia="宋体" w:cs="宋体"/>
          <w:color w:val="000000"/>
          <w:sz w:val="24"/>
          <w:lang w:val="zh-CN"/>
        </w:rPr>
        <w:t>原厂商：产品制造商或其在中国境内设立的办事或技术服务机构。除另有说明外，本合同文件所述的制造商、产品制造商、制造厂家、产品制造厂家均为原厂商。</w:t>
      </w:r>
    </w:p>
    <w:p w14:paraId="67BF230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w:t>
      </w:r>
      <w:r>
        <w:rPr>
          <w:rFonts w:hint="eastAsia" w:ascii="宋体" w:hAnsi="宋体" w:eastAsia="宋体" w:cs="宋体"/>
          <w:color w:val="000000"/>
          <w:sz w:val="24"/>
          <w:lang w:val="zh-CN"/>
        </w:rPr>
        <w:t>原产地：指产品的生产地，或提供服务的来源地。</w:t>
      </w:r>
    </w:p>
    <w:p w14:paraId="54B5D89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w:t>
      </w:r>
      <w:r>
        <w:rPr>
          <w:rFonts w:hint="eastAsia" w:ascii="宋体" w:hAnsi="宋体" w:eastAsia="宋体" w:cs="宋体"/>
          <w:color w:val="000000"/>
          <w:sz w:val="24"/>
          <w:lang w:val="zh-CN"/>
        </w:rPr>
        <w:t>“工作日”指国家法定工作日，“天”指日历天数。</w:t>
      </w:r>
    </w:p>
    <w:p w14:paraId="408EEB13">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eastAsia="宋体" w:cs="宋体"/>
          <w:b/>
          <w:bCs/>
          <w:color w:val="000000"/>
          <w:sz w:val="24"/>
          <w:lang w:val="zh-CN"/>
        </w:rPr>
        <w:t>技术规格要求</w:t>
      </w:r>
    </w:p>
    <w:p w14:paraId="309759C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2.1</w:t>
      </w:r>
      <w:r>
        <w:rPr>
          <w:rFonts w:hint="eastAsia" w:ascii="宋体" w:hAnsi="宋体" w:eastAsia="宋体" w:cs="宋体"/>
          <w:color w:val="000000"/>
          <w:sz w:val="24"/>
          <w:lang w:val="zh-CN"/>
        </w:rPr>
        <w:t>本合同条款下提交货物的技术规格要求应等于或优于磋商文件/磋商响应文件技术规格要求。若技术规格要求中无相应规定，则应符合相应的国家有关部门最新颁布的相应正式标准。</w:t>
      </w:r>
    </w:p>
    <w:p w14:paraId="15363B4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2.2</w:t>
      </w:r>
      <w:r>
        <w:rPr>
          <w:rFonts w:hint="eastAsia" w:ascii="宋体" w:hAnsi="宋体" w:eastAsia="宋体" w:cs="宋体"/>
          <w:color w:val="000000"/>
          <w:sz w:val="24"/>
          <w:lang w:val="zh-CN"/>
        </w:rPr>
        <w:t>乙方应向甲方提供货物及服务有关的标准的中文文本。</w:t>
      </w:r>
    </w:p>
    <w:p w14:paraId="7D9FD62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2.3</w:t>
      </w:r>
      <w:r>
        <w:rPr>
          <w:rFonts w:hint="eastAsia" w:ascii="宋体" w:hAnsi="宋体" w:eastAsia="宋体" w:cs="宋体"/>
          <w:color w:val="000000"/>
          <w:sz w:val="24"/>
          <w:lang w:val="zh-CN"/>
        </w:rPr>
        <w:t>除非技术规范中另有规定，计量单位均采用中华人民共和国法定计量单位。</w:t>
      </w:r>
    </w:p>
    <w:p w14:paraId="1DF7A166">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3.</w:t>
      </w:r>
      <w:r>
        <w:rPr>
          <w:rFonts w:hint="eastAsia" w:ascii="宋体" w:hAnsi="宋体" w:eastAsia="宋体" w:cs="宋体"/>
          <w:b/>
          <w:bCs/>
          <w:color w:val="000000"/>
          <w:sz w:val="24"/>
          <w:lang w:val="zh-CN"/>
        </w:rPr>
        <w:t>合同范围</w:t>
      </w:r>
    </w:p>
    <w:p w14:paraId="2F73318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3.1</w:t>
      </w:r>
      <w:r>
        <w:rPr>
          <w:rFonts w:hint="eastAsia" w:ascii="宋体" w:hAnsi="宋体" w:eastAsia="宋体" w:cs="宋体"/>
          <w:color w:val="00000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48F2E3E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3.2</w:t>
      </w:r>
      <w:r>
        <w:rPr>
          <w:rFonts w:hint="eastAsia" w:ascii="宋体" w:hAnsi="宋体" w:eastAsia="宋体" w:cs="宋体"/>
          <w:color w:val="000000"/>
          <w:sz w:val="24"/>
          <w:lang w:val="zh-CN"/>
        </w:rPr>
        <w:t>乙方应负责培训甲方的技术人员。</w:t>
      </w:r>
    </w:p>
    <w:p w14:paraId="4D1C6D3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3.3</w:t>
      </w:r>
      <w:r>
        <w:rPr>
          <w:rFonts w:hint="eastAsia" w:ascii="宋体" w:hAnsi="宋体" w:eastAsia="宋体" w:cs="宋体"/>
          <w:color w:val="00000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7B415A4">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4.</w:t>
      </w:r>
      <w:r>
        <w:rPr>
          <w:rFonts w:hint="eastAsia" w:ascii="宋体" w:hAnsi="宋体" w:eastAsia="宋体" w:cs="宋体"/>
          <w:b/>
          <w:bCs/>
          <w:color w:val="000000"/>
          <w:sz w:val="24"/>
          <w:lang w:val="zh-CN"/>
        </w:rPr>
        <w:t>合同文件和资料</w:t>
      </w:r>
    </w:p>
    <w:p w14:paraId="42B86C0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4.1</w:t>
      </w:r>
      <w:r>
        <w:rPr>
          <w:rFonts w:hint="eastAsia" w:ascii="宋体" w:hAnsi="宋体" w:eastAsia="宋体" w:cs="宋体"/>
          <w:color w:val="000000"/>
          <w:sz w:val="24"/>
          <w:lang w:val="zh-CN"/>
        </w:rPr>
        <w:t>乙方在提供仪器设备时应同时提供中文版相关的技术资料，如目录索引、图纸、操作手册、使用指南、维修指南、服务手册等。</w:t>
      </w:r>
    </w:p>
    <w:p w14:paraId="6F3D5C5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4.2</w:t>
      </w:r>
      <w:r>
        <w:rPr>
          <w:rFonts w:hint="eastAsia" w:ascii="宋体" w:hAnsi="宋体" w:eastAsia="宋体" w:cs="宋体"/>
          <w:color w:val="00000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03653D8">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zh-CN"/>
        </w:rPr>
        <w:t>知识产权</w:t>
      </w:r>
    </w:p>
    <w:p w14:paraId="43E5A02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5.1</w:t>
      </w:r>
      <w:r>
        <w:rPr>
          <w:rFonts w:hint="eastAsia" w:ascii="宋体" w:hAnsi="宋体" w:eastAsia="宋体" w:cs="宋体"/>
          <w:color w:val="000000"/>
          <w:sz w:val="24"/>
          <w:lang w:val="zh-CN"/>
        </w:rPr>
        <w:t>乙方应保证甲方在使用该货物或其任何一部分时不受第三方提出的侵犯专利权、</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著作权、商标权和工业设计权等的起诉。</w:t>
      </w:r>
    </w:p>
    <w:p w14:paraId="2C16DB5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5.2</w:t>
      </w:r>
      <w:r>
        <w:rPr>
          <w:rFonts w:hint="eastAsia" w:ascii="宋体" w:hAnsi="宋体" w:eastAsia="宋体" w:cs="宋体"/>
          <w:color w:val="000000"/>
          <w:sz w:val="24"/>
          <w:lang w:val="zh-CN"/>
        </w:rPr>
        <w:t>任何第三方提出侵权指控，乙方须与第三方交涉并承担由此产生的一切责任、费用和经济赔偿。</w:t>
      </w:r>
    </w:p>
    <w:p w14:paraId="19A8247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5.3</w:t>
      </w:r>
      <w:r>
        <w:rPr>
          <w:rFonts w:hint="eastAsia" w:ascii="宋体" w:hAnsi="宋体" w:eastAsia="宋体" w:cs="宋体"/>
          <w:color w:val="00000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095EE9C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5.4</w:t>
      </w:r>
      <w:r>
        <w:rPr>
          <w:rFonts w:hint="eastAsia" w:ascii="宋体" w:hAnsi="宋体" w:eastAsia="宋体" w:cs="宋体"/>
          <w:color w:val="000000"/>
          <w:sz w:val="24"/>
          <w:lang w:val="zh-CN"/>
        </w:rPr>
        <w:t>在本合同生效时已经存在并为各方合法拥有或使用的所有技术、资料和信息的知识产权，仍应属于其各自的原权利人所有或享有，另有约定的除外。</w:t>
      </w:r>
    </w:p>
    <w:p w14:paraId="60F1069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5.5</w:t>
      </w:r>
      <w:r>
        <w:rPr>
          <w:rFonts w:hint="eastAsia" w:ascii="宋体" w:hAnsi="宋体" w:eastAsia="宋体" w:cs="宋体"/>
          <w:color w:val="00000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DECAF1A">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6.</w:t>
      </w:r>
      <w:r>
        <w:rPr>
          <w:rFonts w:hint="eastAsia" w:ascii="宋体" w:hAnsi="宋体" w:eastAsia="宋体" w:cs="宋体"/>
          <w:b/>
          <w:bCs/>
          <w:color w:val="000000"/>
          <w:sz w:val="24"/>
          <w:lang w:val="zh-CN"/>
        </w:rPr>
        <w:t>保密</w:t>
      </w:r>
    </w:p>
    <w:p w14:paraId="1728E26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6.1</w:t>
      </w:r>
      <w:r>
        <w:rPr>
          <w:rFonts w:hint="eastAsia" w:ascii="宋体" w:hAnsi="宋体" w:eastAsia="宋体" w:cs="宋体"/>
          <w:color w:val="00000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EACE5E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6.2</w:t>
      </w:r>
      <w:r>
        <w:rPr>
          <w:rFonts w:hint="eastAsia" w:ascii="宋体" w:hAnsi="宋体" w:eastAsia="宋体" w:cs="宋体"/>
          <w:color w:val="000000"/>
          <w:sz w:val="24"/>
          <w:lang w:val="zh-CN"/>
        </w:rPr>
        <w:t>保密信息指任何一方因履行本合同所知悉的任何以口头、书面、图表或电子形式存在的对方信息，具体包括：</w:t>
      </w:r>
    </w:p>
    <w:p w14:paraId="1ED9F2C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6.2.1</w:t>
      </w:r>
      <w:r>
        <w:rPr>
          <w:rFonts w:hint="eastAsia" w:ascii="宋体" w:hAnsi="宋体" w:eastAsia="宋体" w:cs="宋体"/>
          <w:color w:val="000000"/>
          <w:sz w:val="24"/>
          <w:lang w:val="zh-CN"/>
        </w:rPr>
        <w:t>任何涉及对方过去、现在或将来的商业计划、规章制度、操作规程、处理手段、财务信息；</w:t>
      </w:r>
    </w:p>
    <w:p w14:paraId="7255941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6.2.2</w:t>
      </w:r>
      <w:r>
        <w:rPr>
          <w:rFonts w:hint="eastAsia" w:ascii="宋体" w:hAnsi="宋体" w:eastAsia="宋体" w:cs="宋体"/>
          <w:color w:val="000000"/>
          <w:sz w:val="24"/>
          <w:lang w:val="zh-CN"/>
        </w:rPr>
        <w:t>任何对方的技术措施、技术方案、软件应用及开发，硬件设备的品种、质量、数量、品牌等；</w:t>
      </w:r>
    </w:p>
    <w:p w14:paraId="34FF4F3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6.2.3</w:t>
      </w:r>
      <w:r>
        <w:rPr>
          <w:rFonts w:hint="eastAsia" w:ascii="宋体" w:hAnsi="宋体" w:eastAsia="宋体" w:cs="宋体"/>
          <w:color w:val="000000"/>
          <w:sz w:val="24"/>
          <w:lang w:val="zh-CN"/>
        </w:rPr>
        <w:t>任何对方的技术秘密或专有知识、文件、报告、数据、客户软件、流程图、数据库、发明、知识、贸易秘密。</w:t>
      </w:r>
    </w:p>
    <w:p w14:paraId="252E4C8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6.3</w:t>
      </w:r>
      <w:r>
        <w:rPr>
          <w:rFonts w:hint="eastAsia" w:ascii="宋体" w:hAnsi="宋体" w:eastAsia="宋体" w:cs="宋体"/>
          <w:color w:val="000000"/>
          <w:sz w:val="24"/>
          <w:lang w:val="zh-CN"/>
        </w:rPr>
        <w:t>乙方应根据甲方的要求签署相应的保密协议，保密协议与本条款存在不一致的，以保密协议为准。</w:t>
      </w:r>
    </w:p>
    <w:p w14:paraId="03460EB3">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 xml:space="preserve">7. </w:t>
      </w:r>
      <w:r>
        <w:rPr>
          <w:rFonts w:hint="eastAsia" w:ascii="宋体" w:hAnsi="宋体" w:eastAsia="宋体" w:cs="宋体"/>
          <w:b/>
          <w:bCs/>
          <w:color w:val="000000"/>
          <w:sz w:val="24"/>
          <w:lang w:val="zh-CN"/>
        </w:rPr>
        <w:t>质量保证</w:t>
      </w:r>
    </w:p>
    <w:p w14:paraId="07A52CE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w:t>
      </w:r>
      <w:r>
        <w:rPr>
          <w:rFonts w:hint="eastAsia" w:ascii="宋体" w:hAnsi="宋体" w:eastAsia="宋体" w:cs="宋体"/>
          <w:color w:val="000000"/>
          <w:sz w:val="24"/>
          <w:lang w:val="zh-CN"/>
        </w:rPr>
        <w:t>货物质量保证</w:t>
      </w:r>
    </w:p>
    <w:p w14:paraId="77DCF9E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7.1.1</w:t>
      </w:r>
      <w:r>
        <w:rPr>
          <w:rFonts w:hint="eastAsia" w:ascii="宋体" w:hAnsi="宋体" w:eastAsia="宋体" w:cs="宋体"/>
          <w:color w:val="000000"/>
          <w:sz w:val="24"/>
          <w:lang w:val="zh-CN"/>
        </w:rPr>
        <w:t>乙方必须保证货物是全新、未使用过的，并完全符合强制性的国家技术质量规范和合同规定的质量、规格、性能和技术规范等的要求。</w:t>
      </w:r>
    </w:p>
    <w:p w14:paraId="3FC04A3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7.1.2</w:t>
      </w:r>
      <w:r>
        <w:rPr>
          <w:rFonts w:hint="eastAsia" w:ascii="宋体" w:hAnsi="宋体" w:eastAsia="宋体" w:cs="宋体"/>
          <w:color w:val="00000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7CC62C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7.1.3</w:t>
      </w:r>
      <w:r>
        <w:rPr>
          <w:rFonts w:hint="eastAsia" w:ascii="宋体" w:hAnsi="宋体" w:eastAsia="宋体" w:cs="宋体"/>
          <w:color w:val="00000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168CD26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7.1.4</w:t>
      </w:r>
      <w:r>
        <w:rPr>
          <w:rFonts w:hint="eastAsia" w:ascii="宋体" w:hAnsi="宋体" w:eastAsia="宋体" w:cs="宋体"/>
          <w:color w:val="000000"/>
          <w:sz w:val="24"/>
          <w:lang w:val="zh-CN"/>
        </w:rPr>
        <w:t>乙方在收到通知后虽答复，但没有弥补缺陷，甲方可采取必要的补救措施，但由此引发的风险和费用将由乙方承担。甲方可从合同款或乙方提交的保证金中扣款，不足部分，甲方有权要求乙方赔偿。甲方根据合同规定对卖方行使的其他权力不受影响。</w:t>
      </w:r>
    </w:p>
    <w:p w14:paraId="2B44CC8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7.1.5</w:t>
      </w:r>
      <w:r>
        <w:rPr>
          <w:rFonts w:hint="eastAsia" w:ascii="宋体" w:hAnsi="宋体" w:eastAsia="宋体" w:cs="宋体"/>
          <w:color w:val="000000"/>
          <w:sz w:val="24"/>
          <w:lang w:val="zh-CN"/>
        </w:rPr>
        <w:t>合同条款下货物的质量保证期自货物通过最终验收起算，合同另行规定除外。</w:t>
      </w:r>
    </w:p>
    <w:p w14:paraId="7FF7CFA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7.2</w:t>
      </w:r>
      <w:r>
        <w:rPr>
          <w:rFonts w:hint="eastAsia" w:ascii="宋体" w:hAnsi="宋体" w:eastAsia="宋体" w:cs="宋体"/>
          <w:color w:val="000000"/>
          <w:sz w:val="24"/>
          <w:lang w:val="zh-CN"/>
        </w:rPr>
        <w:t>辅助服务质量保证</w:t>
      </w:r>
    </w:p>
    <w:p w14:paraId="08DC5A9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7.2.1</w:t>
      </w:r>
      <w:r>
        <w:rPr>
          <w:rFonts w:hint="eastAsia" w:ascii="宋体" w:hAnsi="宋体" w:eastAsia="宋体" w:cs="宋体"/>
          <w:color w:val="00000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40EDAA72">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7.2.2</w:t>
      </w:r>
      <w:r>
        <w:rPr>
          <w:rFonts w:hint="eastAsia" w:ascii="宋体" w:hAnsi="宋体" w:eastAsia="宋体" w:cs="宋体"/>
          <w:color w:val="000000"/>
          <w:sz w:val="24"/>
          <w:lang w:val="zh-CN"/>
        </w:rPr>
        <w:t>乙方应保证合同条款下所提供的服务包括培训、安装指导、单机调试、系统联调和试验等，按合同规定方式进行，并保证不存在因乙方工作人员的过失、错误或疏忽而产生的缺陷。</w:t>
      </w:r>
    </w:p>
    <w:p w14:paraId="3A0E337A">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8.</w:t>
      </w:r>
      <w:r>
        <w:rPr>
          <w:rFonts w:hint="eastAsia" w:ascii="宋体" w:hAnsi="宋体" w:eastAsia="宋体" w:cs="宋体"/>
          <w:b/>
          <w:bCs/>
          <w:color w:val="000000"/>
          <w:sz w:val="24"/>
          <w:lang w:val="zh-CN"/>
        </w:rPr>
        <w:t>包装要求</w:t>
      </w:r>
    </w:p>
    <w:p w14:paraId="60303A6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8.1</w:t>
      </w:r>
      <w:r>
        <w:rPr>
          <w:rFonts w:hint="eastAsia" w:ascii="宋体" w:hAnsi="宋体" w:eastAsia="宋体" w:cs="宋体"/>
          <w:color w:val="000000"/>
          <w:sz w:val="24"/>
          <w:lang w:val="zh-CN"/>
        </w:rPr>
        <w:t>除合同另有约定外</w:t>
      </w:r>
      <w:r>
        <w:rPr>
          <w:rFonts w:hint="eastAsia" w:ascii="宋体" w:hAnsi="宋体" w:eastAsia="宋体" w:cs="宋体"/>
          <w:color w:val="000000"/>
          <w:sz w:val="24"/>
        </w:rPr>
        <w:t>,</w:t>
      </w:r>
      <w:r>
        <w:rPr>
          <w:rFonts w:hint="eastAsia" w:ascii="宋体" w:hAnsi="宋体" w:eastAsia="宋体" w:cs="宋体"/>
          <w:color w:val="000000"/>
          <w:sz w:val="24"/>
          <w:lang w:val="zh-CN"/>
        </w:rPr>
        <w:t>乙方提供的全部货物</w:t>
      </w:r>
      <w:r>
        <w:rPr>
          <w:rFonts w:hint="eastAsia" w:ascii="宋体" w:hAnsi="宋体" w:eastAsia="宋体" w:cs="宋体"/>
          <w:color w:val="000000"/>
          <w:sz w:val="24"/>
        </w:rPr>
        <w:t>,</w:t>
      </w:r>
      <w:r>
        <w:rPr>
          <w:rFonts w:hint="eastAsia" w:ascii="宋体" w:hAnsi="宋体" w:eastAsia="宋体" w:cs="宋体"/>
          <w:color w:val="000000"/>
          <w:sz w:val="24"/>
          <w:lang w:val="zh-CN"/>
        </w:rPr>
        <w:t>均应采用本行业通用的方式进行包装，且该包装应符合国家有关包装的法律、法规的规定。</w:t>
      </w:r>
    </w:p>
    <w:p w14:paraId="71D3B12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8.2</w:t>
      </w:r>
      <w:r>
        <w:rPr>
          <w:rFonts w:hint="eastAsia" w:ascii="宋体" w:hAnsi="宋体" w:eastAsia="宋体" w:cs="宋体"/>
          <w:color w:val="000000"/>
          <w:sz w:val="24"/>
          <w:lang w:val="zh-CN"/>
        </w:rPr>
        <w:t>包装应适应于远距离运输，并有良好的防潮、防震、防锈和防粗暴装卸等保护措施，以确保货物安全运抵现场。由于包装不善所引起的货物锈蚀、损坏和损失均由乙方承担。</w:t>
      </w:r>
    </w:p>
    <w:p w14:paraId="4C00C74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乙方应提供货物运至合同规定的最终目的地所需要的包装，以防止货物在转运中损坏或变质。</w:t>
      </w:r>
    </w:p>
    <w:p w14:paraId="58C7F4D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8.3</w:t>
      </w:r>
      <w:r>
        <w:rPr>
          <w:rFonts w:hint="eastAsia" w:ascii="宋体" w:hAnsi="宋体" w:eastAsia="宋体" w:cs="宋体"/>
          <w:color w:val="000000"/>
          <w:sz w:val="24"/>
          <w:lang w:val="zh-CN"/>
        </w:rPr>
        <w:t>乙方所提供的货物包装均为出厂时原包装。</w:t>
      </w:r>
    </w:p>
    <w:p w14:paraId="722B7AF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8.4</w:t>
      </w:r>
      <w:r>
        <w:rPr>
          <w:rFonts w:hint="eastAsia" w:ascii="宋体" w:hAnsi="宋体" w:eastAsia="宋体" w:cs="宋体"/>
          <w:color w:val="000000"/>
          <w:sz w:val="24"/>
          <w:lang w:val="zh-CN"/>
        </w:rPr>
        <w:t>乙方所提供货物必须附有质量合格证，装箱清单，主机、附件、各种零部件和消耗品，有清楚的与装箱单相对应的名称和编号。</w:t>
      </w:r>
    </w:p>
    <w:p w14:paraId="361FA4A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8.5</w:t>
      </w:r>
      <w:r>
        <w:rPr>
          <w:rFonts w:hint="eastAsia" w:ascii="宋体" w:hAnsi="宋体" w:eastAsia="宋体" w:cs="宋体"/>
          <w:color w:val="000000"/>
          <w:sz w:val="24"/>
          <w:lang w:val="zh-CN"/>
        </w:rPr>
        <w:t>货物运输中的运输费用和保险费用均由乙方承担。运输过程中的一切损失、损坏均由乙方负责。</w:t>
      </w:r>
    </w:p>
    <w:p w14:paraId="1FA86D37">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 xml:space="preserve">9. </w:t>
      </w:r>
      <w:r>
        <w:rPr>
          <w:rFonts w:hint="eastAsia" w:ascii="宋体" w:hAnsi="宋体" w:eastAsia="宋体" w:cs="宋体"/>
          <w:b/>
          <w:bCs/>
          <w:color w:val="000000"/>
          <w:sz w:val="24"/>
          <w:lang w:val="zh-CN"/>
        </w:rPr>
        <w:t>价格</w:t>
      </w:r>
    </w:p>
    <w:p w14:paraId="3F3819D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9.1</w:t>
      </w:r>
      <w:r>
        <w:rPr>
          <w:rFonts w:hint="eastAsia" w:ascii="宋体" w:hAnsi="宋体" w:eastAsia="宋体" w:cs="宋体"/>
          <w:color w:val="000000"/>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5D70435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9.2</w:t>
      </w:r>
      <w:r>
        <w:rPr>
          <w:rFonts w:hint="eastAsia" w:ascii="宋体" w:hAnsi="宋体" w:eastAsia="宋体" w:cs="宋体"/>
          <w:color w:val="000000"/>
          <w:sz w:val="24"/>
          <w:lang w:val="zh-CN"/>
        </w:rPr>
        <w:t>本合同价格为固定价格，包括了乙方履行合同全过程产生的所有成本和费用以及乙方应承担的一切税费。</w:t>
      </w:r>
    </w:p>
    <w:p w14:paraId="7DFA982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9.3</w:t>
      </w:r>
      <w:r>
        <w:rPr>
          <w:rFonts w:hint="eastAsia" w:ascii="宋体" w:hAnsi="宋体" w:eastAsia="宋体" w:cs="宋体"/>
          <w:color w:val="000000"/>
          <w:sz w:val="24"/>
          <w:lang w:val="zh-CN"/>
        </w:rPr>
        <w:t>检验费用</w:t>
      </w:r>
    </w:p>
    <w:p w14:paraId="4A4CE64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9.3.1</w:t>
      </w:r>
      <w:r>
        <w:rPr>
          <w:rFonts w:hint="eastAsia" w:ascii="宋体" w:hAnsi="宋体" w:eastAsia="宋体" w:cs="宋体"/>
          <w:color w:val="000000"/>
          <w:sz w:val="24"/>
          <w:lang w:val="zh-CN"/>
        </w:rPr>
        <w:t>乙方必须负担本条款下属于乙方负责的检验、测试、调试、试运行和验收的所有费用，并负责乙方派往买方组织的检验、测试和验收人员的所有费用。</w:t>
      </w:r>
    </w:p>
    <w:p w14:paraId="420BF53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9.3.2</w:t>
      </w:r>
      <w:r>
        <w:rPr>
          <w:rFonts w:hint="eastAsia" w:ascii="宋体" w:hAnsi="宋体" w:eastAsia="宋体" w:cs="宋体"/>
          <w:color w:val="000000"/>
          <w:sz w:val="24"/>
          <w:lang w:val="zh-CN"/>
        </w:rPr>
        <w:t>甲方按合同计划参加在乙方工厂所在地检验、测试和验收的费用全部由乙方负责并已包含在合同总价中。</w:t>
      </w:r>
    </w:p>
    <w:p w14:paraId="34311A16">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9.3.3</w:t>
      </w:r>
      <w:r>
        <w:rPr>
          <w:rFonts w:hint="eastAsia" w:ascii="宋体" w:hAnsi="宋体" w:eastAsia="宋体" w:cs="宋体"/>
          <w:color w:val="000000"/>
          <w:sz w:val="24"/>
          <w:lang w:val="zh-CN"/>
        </w:rPr>
        <w:t>甲方检验人员已到卖方所在地，测试无法依照合同进行，</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而引起甲方人员延长逗留时间，所有由此产生的包括甲方人员在内的直接费用及成本由乙方承担。</w:t>
      </w:r>
    </w:p>
    <w:p w14:paraId="461BB366">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10.</w:t>
      </w:r>
      <w:r>
        <w:rPr>
          <w:rFonts w:hint="eastAsia" w:ascii="宋体" w:hAnsi="宋体" w:eastAsia="宋体" w:cs="宋体"/>
          <w:b/>
          <w:bCs/>
          <w:color w:val="000000"/>
          <w:sz w:val="24"/>
          <w:lang w:val="zh-CN"/>
        </w:rPr>
        <w:t>交货方式及交货日期</w:t>
      </w:r>
    </w:p>
    <w:p w14:paraId="4A7C0B2A">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交货方式：现场交货，乙方负责办理运输和保险，将货物运抵现场。</w:t>
      </w:r>
    </w:p>
    <w:p w14:paraId="6A4D8734">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交货期应根据产品的特点实事求是填写，进口产品90个工作日内，国产产品60个工作日内。特殊产品交货期需说明。</w:t>
      </w:r>
    </w:p>
    <w:p w14:paraId="08872FE9">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交货日期：所有货物运抵现场并经双方开箱验收合格之日。</w:t>
      </w:r>
    </w:p>
    <w:p w14:paraId="62090249">
      <w:pPr>
        <w:autoSpaceDE w:val="0"/>
        <w:autoSpaceDN w:val="0"/>
        <w:spacing w:line="360" w:lineRule="auto"/>
        <w:rPr>
          <w:rFonts w:hint="eastAsia" w:ascii="宋体" w:hAnsi="宋体" w:eastAsia="宋体" w:cs="宋体"/>
          <w:b/>
          <w:color w:val="000000"/>
          <w:sz w:val="24"/>
          <w:lang w:val="zh-CN"/>
        </w:rPr>
      </w:pPr>
      <w:r>
        <w:rPr>
          <w:rFonts w:hint="eastAsia" w:ascii="宋体" w:hAnsi="宋体" w:eastAsia="宋体" w:cs="宋体"/>
          <w:b/>
          <w:color w:val="000000"/>
          <w:sz w:val="24"/>
          <w:lang w:val="zh-CN"/>
        </w:rPr>
        <w:t>11.检验和验收</w:t>
      </w:r>
    </w:p>
    <w:p w14:paraId="3D8B1524">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w:t>
      </w:r>
      <w:r>
        <w:rPr>
          <w:rFonts w:hint="eastAsia" w:ascii="宋体" w:hAnsi="宋体" w:eastAsia="宋体" w:cs="宋体"/>
          <w:color w:val="000000"/>
          <w:sz w:val="24"/>
          <w:lang w:val="zh-CN"/>
        </w:rPr>
        <w:t>开箱验收</w:t>
      </w:r>
    </w:p>
    <w:p w14:paraId="5D2FFFB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11.1.1</w:t>
      </w:r>
      <w:r>
        <w:rPr>
          <w:rFonts w:hint="eastAsia" w:ascii="宋体" w:hAnsi="宋体" w:eastAsia="宋体" w:cs="宋体"/>
          <w:color w:val="000000"/>
          <w:sz w:val="24"/>
          <w:lang w:val="zh-CN"/>
        </w:rPr>
        <w:t>货物运抵现场后，双方应及时开箱验收，并制作验收记录，以确认与本合同约定的数量、型号等是否一致。</w:t>
      </w:r>
    </w:p>
    <w:p w14:paraId="4F7A8D0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11.1.2</w:t>
      </w:r>
      <w:r>
        <w:rPr>
          <w:rFonts w:hint="eastAsia" w:ascii="宋体" w:hAnsi="宋体" w:eastAsia="宋体" w:cs="宋体"/>
          <w:color w:val="00000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6F473CAD">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11.1.3</w:t>
      </w:r>
      <w:r>
        <w:rPr>
          <w:rFonts w:hint="eastAsia" w:ascii="宋体" w:hAnsi="宋体" w:eastAsia="宋体" w:cs="宋体"/>
          <w:color w:val="000000"/>
          <w:sz w:val="24"/>
          <w:lang w:val="zh-CN"/>
        </w:rPr>
        <w:t>开箱验收中如发现货物的数量、规格与合同约定不符，甲方有权拒收货物，乙方应及时按甲方要求免费对拒收货物采取更换或其他必要的补救措施，直至开箱验收合格，方视为乙方完中标货。</w:t>
      </w:r>
    </w:p>
    <w:p w14:paraId="1C7623A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w:t>
      </w:r>
      <w:r>
        <w:rPr>
          <w:rFonts w:hint="eastAsia" w:ascii="宋体" w:hAnsi="宋体" w:eastAsia="宋体" w:cs="宋体"/>
          <w:color w:val="000000"/>
          <w:sz w:val="24"/>
          <w:lang w:val="zh-CN"/>
        </w:rPr>
        <w:t>检验验收</w:t>
      </w:r>
    </w:p>
    <w:p w14:paraId="5B8139A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11.2.1</w:t>
      </w:r>
      <w:r>
        <w:rPr>
          <w:rFonts w:hint="eastAsia" w:ascii="宋体" w:hAnsi="宋体" w:eastAsia="宋体" w:cs="宋体"/>
          <w:color w:val="000000"/>
          <w:sz w:val="24"/>
          <w:lang w:val="zh-CN"/>
        </w:rPr>
        <w:t>交货完成后，乙方应及时组装、调试、试运行，按照合同专用条款规定的试运行完成后，双方及时组织对货物检验验收。合同双方均须派人参加合同要求双方参加的试验、检验。</w:t>
      </w:r>
    </w:p>
    <w:p w14:paraId="5336878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11.2.2</w:t>
      </w:r>
      <w:r>
        <w:rPr>
          <w:rFonts w:hint="eastAsia" w:ascii="宋体" w:hAnsi="宋体" w:eastAsia="宋体" w:cs="宋体"/>
          <w:color w:val="000000"/>
          <w:sz w:val="24"/>
          <w:lang w:val="zh-CN"/>
        </w:rPr>
        <w:t>在具体实施合同规定的检验验收之前，乙方需提前提交相应的测试计划（包括测试程序、测试内容和检验标准、试验时间安排等）供甲方确认。</w:t>
      </w:r>
    </w:p>
    <w:p w14:paraId="16FF0E3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11.2.3</w:t>
      </w:r>
      <w:r>
        <w:rPr>
          <w:rFonts w:hint="eastAsia" w:ascii="宋体" w:hAnsi="宋体" w:eastAsia="宋体" w:cs="宋体"/>
          <w:color w:val="000000"/>
          <w:sz w:val="24"/>
          <w:lang w:val="zh-CN"/>
        </w:rPr>
        <w:t>除需甲方确认的试验验收外，乙方还应对所有检验验收测试的结果、步骤、原始数据等作妥善记录。如甲方要求，乙方应提供这些记录给买方。</w:t>
      </w:r>
    </w:p>
    <w:p w14:paraId="18CAC4B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11.2.4</w:t>
      </w:r>
      <w:r>
        <w:rPr>
          <w:rFonts w:hint="eastAsia" w:ascii="宋体" w:hAnsi="宋体" w:eastAsia="宋体" w:cs="宋体"/>
          <w:color w:val="000000"/>
          <w:sz w:val="24"/>
          <w:lang w:val="zh-CN"/>
        </w:rPr>
        <w:t>检验测试出现全部或部分未达到本合同所约定的技术指标，甲方有权选择下列任一处理方式：</w:t>
      </w:r>
    </w:p>
    <w:p w14:paraId="393DFAB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a.</w:t>
      </w:r>
      <w:r>
        <w:rPr>
          <w:rFonts w:hint="eastAsia" w:ascii="宋体" w:hAnsi="宋体" w:eastAsia="宋体" w:cs="宋体"/>
          <w:color w:val="000000"/>
          <w:sz w:val="24"/>
          <w:lang w:val="zh-CN"/>
        </w:rPr>
        <w:t>重新测试直至合格为止；</w:t>
      </w:r>
    </w:p>
    <w:p w14:paraId="11ECF4F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b.</w:t>
      </w:r>
      <w:r>
        <w:rPr>
          <w:rFonts w:hint="eastAsia" w:ascii="宋体" w:hAnsi="宋体" w:eastAsia="宋体" w:cs="宋体"/>
          <w:color w:val="000000"/>
          <w:sz w:val="24"/>
          <w:lang w:val="zh-CN"/>
        </w:rPr>
        <w:t>要求乙方对货物进行免费更换，然后重新测试直至合格为止；</w:t>
      </w:r>
    </w:p>
    <w:p w14:paraId="5E900E7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无论选择何种方式，甲方因此而发生的因卖方原因引起的所有费用均由乙方负担。</w:t>
      </w:r>
    </w:p>
    <w:p w14:paraId="71040EB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11.3 </w:t>
      </w:r>
      <w:r>
        <w:rPr>
          <w:rFonts w:hint="eastAsia" w:ascii="宋体" w:hAnsi="宋体" w:eastAsia="宋体" w:cs="宋体"/>
          <w:color w:val="000000"/>
          <w:sz w:val="24"/>
          <w:lang w:val="zh-CN"/>
        </w:rPr>
        <w:t>使用过程检验</w:t>
      </w:r>
    </w:p>
    <w:p w14:paraId="4A42676D">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11.3.1</w:t>
      </w:r>
      <w:r>
        <w:rPr>
          <w:rFonts w:hint="eastAsia" w:ascii="宋体" w:hAnsi="宋体" w:eastAsia="宋体" w:cs="宋体"/>
          <w:color w:val="00000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5EB00F7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11.3.2</w:t>
      </w:r>
      <w:r>
        <w:rPr>
          <w:rFonts w:hint="eastAsia" w:ascii="宋体" w:hAnsi="宋体" w:eastAsia="宋体" w:cs="宋体"/>
          <w:color w:val="000000"/>
          <w:sz w:val="24"/>
          <w:lang w:val="zh-CN"/>
        </w:rPr>
        <w:t>如果合同双方对乙方提供的上述试验结果报告的解释有分歧，双方须于出现分歧后</w:t>
      </w:r>
      <w:r>
        <w:rPr>
          <w:rFonts w:hint="eastAsia" w:ascii="宋体" w:hAnsi="宋体" w:eastAsia="宋体" w:cs="宋体"/>
          <w:color w:val="000000"/>
          <w:sz w:val="24"/>
        </w:rPr>
        <w:t>10</w:t>
      </w:r>
      <w:r>
        <w:rPr>
          <w:rFonts w:hint="eastAsia" w:ascii="宋体" w:hAnsi="宋体" w:eastAsia="宋体" w:cs="宋体"/>
          <w:color w:val="000000"/>
          <w:sz w:val="24"/>
          <w:lang w:val="zh-CN"/>
        </w:rPr>
        <w:t>天内给对方声明，以陈述己方的观点。声明须附有关证据。分歧应通过协商解决。</w:t>
      </w:r>
    </w:p>
    <w:p w14:paraId="52E1288E">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12.</w:t>
      </w:r>
      <w:r>
        <w:rPr>
          <w:rFonts w:hint="eastAsia" w:ascii="宋体" w:hAnsi="宋体" w:eastAsia="宋体" w:cs="宋体"/>
          <w:b/>
          <w:bCs/>
          <w:color w:val="000000"/>
          <w:sz w:val="24"/>
          <w:lang w:val="zh-CN"/>
        </w:rPr>
        <w:t>付款条件</w:t>
      </w:r>
    </w:p>
    <w:p w14:paraId="177DDC98">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本合同条款下的付款方法和条件在“青海省采购项目合同书”中具体规定。</w:t>
      </w:r>
    </w:p>
    <w:p w14:paraId="7112839E">
      <w:pPr>
        <w:autoSpaceDE w:val="0"/>
        <w:autoSpaceDN w:val="0"/>
        <w:spacing w:line="360" w:lineRule="auto"/>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13.履约保证金</w:t>
      </w:r>
    </w:p>
    <w:p w14:paraId="0589AF9F">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13.1乙方应在合同签订前，按约定提交履约保证金。</w:t>
      </w:r>
    </w:p>
    <w:p w14:paraId="15180C42">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13.2履约保证金用于补偿甲方因乙方不能履行其合同义务而蒙受的损失。</w:t>
      </w:r>
    </w:p>
    <w:p w14:paraId="26B4B9C6">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13.3履约保证金应使用本合同货币，按下述方式之一提交（磋商文件中另有约定的除外）：</w:t>
      </w:r>
    </w:p>
    <w:p w14:paraId="371364B7">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13.4甲方可接受的在中华人民共和国注册和营业的银行出具的履约保函；</w:t>
      </w:r>
    </w:p>
    <w:p w14:paraId="456460D0">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13.5支票或汇票。</w:t>
      </w:r>
    </w:p>
    <w:p w14:paraId="6B7D2762">
      <w:pPr>
        <w:autoSpaceDE w:val="0"/>
        <w:autoSpaceDN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13.6乙方未能按合同规定履行其义务，甲方有权从履约保证金中取得补偿。货物验收合格后，甲方将履约保证金退还乙方或转为质量保证金。</w:t>
      </w:r>
    </w:p>
    <w:p w14:paraId="2DD570A5">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14.</w:t>
      </w:r>
      <w:r>
        <w:rPr>
          <w:rFonts w:hint="eastAsia" w:ascii="宋体" w:hAnsi="宋体" w:eastAsia="宋体" w:cs="宋体"/>
          <w:b/>
          <w:bCs/>
          <w:color w:val="000000"/>
          <w:sz w:val="24"/>
          <w:lang w:val="zh-CN"/>
        </w:rPr>
        <w:t>索赔</w:t>
      </w:r>
    </w:p>
    <w:p w14:paraId="07CCF65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14.1</w:t>
      </w:r>
      <w:r>
        <w:rPr>
          <w:rFonts w:hint="eastAsia" w:ascii="宋体" w:hAnsi="宋体" w:eastAsia="宋体" w:cs="宋体"/>
          <w:color w:val="00000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103EEAD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14.2</w:t>
      </w:r>
      <w:r>
        <w:rPr>
          <w:rFonts w:hint="eastAsia" w:ascii="宋体" w:hAnsi="宋体" w:eastAsia="宋体" w:cs="宋体"/>
          <w:color w:val="000000"/>
          <w:sz w:val="24"/>
          <w:lang w:val="zh-CN"/>
        </w:rPr>
        <w:t>在履约保证期和检验期内，乙方对甲方提出的索赔负有责任，乙方应按照甲方同意的下列一种或多种方式解决索赔事宜：</w:t>
      </w:r>
    </w:p>
    <w:p w14:paraId="62CB325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14.2.1</w:t>
      </w:r>
      <w:r>
        <w:rPr>
          <w:rFonts w:hint="eastAsia" w:ascii="宋体" w:hAnsi="宋体" w:eastAsia="宋体" w:cs="宋体"/>
          <w:color w:val="00000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EBA396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14.2.2</w:t>
      </w:r>
      <w:r>
        <w:rPr>
          <w:rFonts w:hint="eastAsia" w:ascii="宋体" w:hAnsi="宋体" w:eastAsia="宋体" w:cs="宋体"/>
          <w:color w:val="000000"/>
          <w:sz w:val="24"/>
          <w:lang w:val="zh-CN"/>
        </w:rPr>
        <w:t>根据货物低劣程度、损坏程度以及甲方所遭受损失的数额，经甲乙双方商定降低货物的价格，或由有资质的中介机构评估，以降低后的价格或评估价格为准。</w:t>
      </w:r>
    </w:p>
    <w:p w14:paraId="36BF034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14.2.3</w:t>
      </w:r>
      <w:r>
        <w:rPr>
          <w:rFonts w:hint="eastAsia" w:ascii="宋体" w:hAnsi="宋体" w:eastAsia="宋体" w:cs="宋体"/>
          <w:color w:val="00000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5B16AE4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14.3</w:t>
      </w:r>
      <w:r>
        <w:rPr>
          <w:rFonts w:hint="eastAsia" w:ascii="宋体" w:hAnsi="宋体" w:eastAsia="宋体" w:cs="宋体"/>
          <w:color w:val="000000"/>
          <w:sz w:val="24"/>
          <w:lang w:val="zh-CN"/>
        </w:rPr>
        <w:t>乙方收到甲方发出的索赔通知之日起</w:t>
      </w:r>
      <w:r>
        <w:rPr>
          <w:rFonts w:hint="eastAsia" w:ascii="宋体" w:hAnsi="宋体" w:eastAsia="宋体" w:cs="宋体"/>
          <w:color w:val="000000"/>
          <w:sz w:val="24"/>
        </w:rPr>
        <w:t>5</w:t>
      </w:r>
      <w:r>
        <w:rPr>
          <w:rFonts w:hint="eastAsia" w:ascii="宋体" w:hAnsi="宋体" w:eastAsia="宋体" w:cs="宋体"/>
          <w:color w:val="000000"/>
          <w:sz w:val="24"/>
          <w:lang w:val="zh-CN"/>
        </w:rPr>
        <w:t>个工作日内未作答复的，甲方可从合同款或履约保证金中扣回索赔金额，如金额不足以补偿索赔金额，乙方应补足差额部分。</w:t>
      </w:r>
    </w:p>
    <w:p w14:paraId="0E1F8CBC">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15.</w:t>
      </w:r>
      <w:r>
        <w:rPr>
          <w:rFonts w:hint="eastAsia" w:ascii="宋体" w:hAnsi="宋体" w:eastAsia="宋体" w:cs="宋体"/>
          <w:b/>
          <w:bCs/>
          <w:color w:val="000000"/>
          <w:sz w:val="24"/>
          <w:lang w:val="zh-CN"/>
        </w:rPr>
        <w:t>迟延交货</w:t>
      </w:r>
    </w:p>
    <w:p w14:paraId="7783324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15.1</w:t>
      </w:r>
      <w:r>
        <w:rPr>
          <w:rFonts w:hint="eastAsia" w:ascii="宋体" w:hAnsi="宋体" w:eastAsia="宋体" w:cs="宋体"/>
          <w:color w:val="000000"/>
          <w:sz w:val="24"/>
          <w:lang w:val="zh-CN"/>
        </w:rPr>
        <w:t>乙方应按照合同约定的时间交货和提供服务。</w:t>
      </w:r>
    </w:p>
    <w:p w14:paraId="7438659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15.2</w:t>
      </w:r>
      <w:r>
        <w:rPr>
          <w:rFonts w:hint="eastAsia" w:ascii="宋体" w:hAnsi="宋体" w:eastAsia="宋体" w:cs="宋体"/>
          <w:color w:val="000000"/>
          <w:sz w:val="24"/>
          <w:lang w:val="zh-CN"/>
        </w:rPr>
        <w:t>除不可抗力因素外，乙方迟延交货，甲方有权提出违约损失赔偿或解除合同。</w:t>
      </w:r>
    </w:p>
    <w:p w14:paraId="7E3C6EE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15.3</w:t>
      </w:r>
      <w:r>
        <w:rPr>
          <w:rFonts w:hint="eastAsia" w:ascii="宋体" w:hAnsi="宋体" w:eastAsia="宋体" w:cs="宋体"/>
          <w:color w:val="00000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53D901BD">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16.</w:t>
      </w:r>
      <w:r>
        <w:rPr>
          <w:rFonts w:hint="eastAsia" w:ascii="宋体" w:hAnsi="宋体" w:eastAsia="宋体" w:cs="宋体"/>
          <w:b/>
          <w:bCs/>
          <w:color w:val="000000"/>
          <w:sz w:val="24"/>
          <w:lang w:val="zh-CN"/>
        </w:rPr>
        <w:t>违约赔偿</w:t>
      </w:r>
    </w:p>
    <w:p w14:paraId="50E7774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除不可抗力因素外，乙方没有按照合同规定的时间交货和提供服务，甲方可要求乙方支付违约金。违约金每日按合同总价款的千分之五计收。</w:t>
      </w:r>
    </w:p>
    <w:p w14:paraId="1A2614F1">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17.</w:t>
      </w:r>
      <w:r>
        <w:rPr>
          <w:rFonts w:hint="eastAsia" w:ascii="宋体" w:hAnsi="宋体" w:eastAsia="宋体" w:cs="宋体"/>
          <w:b/>
          <w:bCs/>
          <w:color w:val="000000"/>
          <w:sz w:val="24"/>
          <w:lang w:val="zh-CN"/>
        </w:rPr>
        <w:t>不可抗力</w:t>
      </w:r>
    </w:p>
    <w:p w14:paraId="121A4A4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17.1</w:t>
      </w:r>
      <w:r>
        <w:rPr>
          <w:rFonts w:hint="eastAsia" w:ascii="宋体" w:hAnsi="宋体" w:eastAsia="宋体" w:cs="宋体"/>
          <w:color w:val="000000"/>
          <w:sz w:val="24"/>
          <w:lang w:val="zh-CN"/>
        </w:rPr>
        <w:t>双方中任何一方遭遇法律规定的不可抗力，致使合同履行受阻时，履行合同的期限应予延长，延长的期限应相当于不可抗力所影响的时间。</w:t>
      </w:r>
    </w:p>
    <w:p w14:paraId="63FEFCC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17.2</w:t>
      </w:r>
      <w:r>
        <w:rPr>
          <w:rFonts w:hint="eastAsia" w:ascii="宋体" w:hAnsi="宋体" w:eastAsia="宋体" w:cs="宋体"/>
          <w:color w:val="000000"/>
          <w:sz w:val="24"/>
          <w:lang w:val="zh-CN"/>
        </w:rPr>
        <w:t>受事故影响的一方应在不可抗力的事故发生后以书面形式通知另一方。</w:t>
      </w:r>
    </w:p>
    <w:p w14:paraId="0FAD832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17.3</w:t>
      </w:r>
      <w:r>
        <w:rPr>
          <w:rFonts w:hint="eastAsia" w:ascii="宋体" w:hAnsi="宋体" w:eastAsia="宋体" w:cs="宋体"/>
          <w:color w:val="000000"/>
          <w:sz w:val="24"/>
          <w:lang w:val="zh-CN"/>
        </w:rPr>
        <w:t>不可抗力使合同的某些内容有变更必要的，</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双方应通过协商达成进一步履行合同的协议，因不可抗力致使合同不能履行的，合同终止。</w:t>
      </w:r>
    </w:p>
    <w:p w14:paraId="1DA9E0EC">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18.</w:t>
      </w:r>
      <w:r>
        <w:rPr>
          <w:rFonts w:hint="eastAsia" w:ascii="宋体" w:hAnsi="宋体" w:eastAsia="宋体" w:cs="宋体"/>
          <w:b/>
          <w:bCs/>
          <w:color w:val="000000"/>
          <w:sz w:val="24"/>
          <w:lang w:val="zh-CN"/>
        </w:rPr>
        <w:t>税费</w:t>
      </w:r>
    </w:p>
    <w:p w14:paraId="4F98664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与本合同有关的一切税费均由乙方承担。</w:t>
      </w:r>
    </w:p>
    <w:p w14:paraId="11BFF1E9">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19.</w:t>
      </w:r>
      <w:r>
        <w:rPr>
          <w:rFonts w:hint="eastAsia" w:ascii="宋体" w:hAnsi="宋体" w:eastAsia="宋体" w:cs="宋体"/>
          <w:b/>
          <w:bCs/>
          <w:color w:val="000000"/>
          <w:sz w:val="24"/>
          <w:lang w:val="zh-CN"/>
        </w:rPr>
        <w:t>合同争议的解决</w:t>
      </w:r>
    </w:p>
    <w:p w14:paraId="22B21FFC">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19.1</w:t>
      </w:r>
      <w:r>
        <w:rPr>
          <w:rFonts w:hint="eastAsia" w:ascii="宋体" w:hAnsi="宋体" w:eastAsia="宋体" w:cs="宋体"/>
          <w:color w:val="000000"/>
          <w:sz w:val="24"/>
          <w:lang w:val="zh-CN"/>
        </w:rPr>
        <w:t>甲方和乙方由于本合同的履行而发生任何争议时，双方可先通过协商解决。</w:t>
      </w:r>
    </w:p>
    <w:p w14:paraId="0AADBD21">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19.2</w:t>
      </w:r>
      <w:r>
        <w:rPr>
          <w:rFonts w:hint="eastAsia" w:ascii="宋体" w:hAnsi="宋体" w:eastAsia="宋体" w:cs="宋体"/>
          <w:color w:val="000000"/>
          <w:sz w:val="24"/>
          <w:lang w:val="zh-CN"/>
        </w:rPr>
        <w:t>任何一方不愿通过协商或通过协商仍不能解决争议，则双方中任何一方均应向甲方所在地人民法院起诉。</w:t>
      </w:r>
    </w:p>
    <w:p w14:paraId="6121E654">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20.</w:t>
      </w:r>
      <w:r>
        <w:rPr>
          <w:rFonts w:hint="eastAsia" w:ascii="宋体" w:hAnsi="宋体" w:eastAsia="宋体" w:cs="宋体"/>
          <w:b/>
          <w:bCs/>
          <w:color w:val="000000"/>
          <w:sz w:val="24"/>
          <w:lang w:val="zh-CN"/>
        </w:rPr>
        <w:t>违约解除合同</w:t>
      </w:r>
    </w:p>
    <w:p w14:paraId="358AC365">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20.1</w:t>
      </w:r>
      <w:r>
        <w:rPr>
          <w:rFonts w:hint="eastAsia" w:ascii="宋体" w:hAnsi="宋体" w:eastAsia="宋体" w:cs="宋体"/>
          <w:color w:val="000000"/>
          <w:sz w:val="24"/>
          <w:lang w:val="zh-CN"/>
        </w:rPr>
        <w:t>出现下列情形之一的，视为乙方违约。甲方可向乙方发出书面通知，部分或全部终止合同，同时保留向乙方索赔的权利。</w:t>
      </w:r>
    </w:p>
    <w:p w14:paraId="5A597CCA">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20.1.1</w:t>
      </w:r>
      <w:r>
        <w:rPr>
          <w:rFonts w:hint="eastAsia" w:ascii="宋体" w:hAnsi="宋体" w:eastAsia="宋体" w:cs="宋体"/>
          <w:color w:val="000000"/>
          <w:sz w:val="24"/>
          <w:lang w:val="zh-CN"/>
        </w:rPr>
        <w:t>乙方未能在合同规定的限期或甲方同意延长的限期内，提供全部或部分货物的；</w:t>
      </w:r>
    </w:p>
    <w:p w14:paraId="672A8C03">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20.1.2</w:t>
      </w:r>
      <w:r>
        <w:rPr>
          <w:rFonts w:hint="eastAsia" w:ascii="宋体" w:hAnsi="宋体" w:eastAsia="宋体" w:cs="宋体"/>
          <w:color w:val="000000"/>
          <w:sz w:val="24"/>
          <w:lang w:val="zh-CN"/>
        </w:rPr>
        <w:t>乙方未能履行合同规定的其它主要义务的；</w:t>
      </w:r>
    </w:p>
    <w:p w14:paraId="1D3EC73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20.1.3</w:t>
      </w:r>
      <w:r>
        <w:rPr>
          <w:rFonts w:hint="eastAsia" w:ascii="宋体" w:hAnsi="宋体" w:eastAsia="宋体" w:cs="宋体"/>
          <w:color w:val="000000"/>
          <w:sz w:val="24"/>
          <w:lang w:val="zh-CN"/>
        </w:rPr>
        <w:t>乙方在本合同履行过程中有欺诈行为的。</w:t>
      </w:r>
    </w:p>
    <w:p w14:paraId="57AA9C80">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20.2</w:t>
      </w:r>
      <w:r>
        <w:rPr>
          <w:rFonts w:hint="eastAsia" w:ascii="宋体" w:hAnsi="宋体" w:eastAsia="宋体" w:cs="宋体"/>
          <w:color w:val="00000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68BBD335">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21.</w:t>
      </w:r>
      <w:r>
        <w:rPr>
          <w:rFonts w:hint="eastAsia" w:ascii="宋体" w:hAnsi="宋体" w:eastAsia="宋体" w:cs="宋体"/>
          <w:b/>
          <w:bCs/>
          <w:color w:val="000000"/>
          <w:sz w:val="24"/>
          <w:lang w:val="zh-CN"/>
        </w:rPr>
        <w:t>破产终止合同</w:t>
      </w:r>
    </w:p>
    <w:p w14:paraId="3163AF5E">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54AA2973">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22.</w:t>
      </w:r>
      <w:r>
        <w:rPr>
          <w:rFonts w:hint="eastAsia" w:ascii="宋体" w:hAnsi="宋体" w:eastAsia="宋体" w:cs="宋体"/>
          <w:b/>
          <w:bCs/>
          <w:color w:val="000000"/>
          <w:sz w:val="24"/>
          <w:lang w:val="zh-CN"/>
        </w:rPr>
        <w:t>转让和分包</w:t>
      </w:r>
    </w:p>
    <w:p w14:paraId="4ACC3F47">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22.1</w:t>
      </w:r>
      <w:r>
        <w:rPr>
          <w:rFonts w:hint="eastAsia" w:ascii="宋体" w:hAnsi="宋体" w:eastAsia="宋体" w:cs="宋体"/>
          <w:color w:val="000000"/>
          <w:sz w:val="24"/>
          <w:lang w:val="zh-CN"/>
        </w:rPr>
        <w:t>采购合同不能转让。</w:t>
      </w:r>
    </w:p>
    <w:p w14:paraId="4420AD79">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rPr>
        <w:t>22.2</w:t>
      </w:r>
      <w:r>
        <w:rPr>
          <w:rFonts w:hint="eastAsia" w:ascii="宋体" w:hAnsi="宋体" w:eastAsia="宋体" w:cs="宋体"/>
          <w:color w:val="00000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76FEB103">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23.</w:t>
      </w:r>
      <w:r>
        <w:rPr>
          <w:rFonts w:hint="eastAsia" w:ascii="宋体" w:hAnsi="宋体" w:eastAsia="宋体" w:cs="宋体"/>
          <w:b/>
          <w:bCs/>
          <w:color w:val="000000"/>
          <w:sz w:val="24"/>
          <w:lang w:val="zh-CN"/>
        </w:rPr>
        <w:t>合同修改</w:t>
      </w:r>
    </w:p>
    <w:p w14:paraId="1F425F7F">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甲方和乙方都不得擅自变更本合同，但合同继续履行将损害国家和社会公共利益的除外。如必须对合同条款进行改动时，当事人双方须共同签署书面文件，做为合同的补充。</w:t>
      </w:r>
    </w:p>
    <w:p w14:paraId="76918485">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24.</w:t>
      </w:r>
      <w:r>
        <w:rPr>
          <w:rFonts w:hint="eastAsia" w:ascii="宋体" w:hAnsi="宋体" w:eastAsia="宋体" w:cs="宋体"/>
          <w:b/>
          <w:bCs/>
          <w:color w:val="000000"/>
          <w:sz w:val="24"/>
          <w:lang w:val="zh-CN"/>
        </w:rPr>
        <w:t>通知</w:t>
      </w:r>
    </w:p>
    <w:p w14:paraId="02CECE1B">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本合同任何一方给另一方的通知，都应以书面形式发送，而另一方也应以书面形式确认并发送到对方明确的地址。</w:t>
      </w:r>
    </w:p>
    <w:p w14:paraId="6464450A">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25.</w:t>
      </w:r>
      <w:r>
        <w:rPr>
          <w:rFonts w:hint="eastAsia" w:ascii="宋体" w:hAnsi="宋体" w:eastAsia="宋体" w:cs="宋体"/>
          <w:b/>
          <w:bCs/>
          <w:color w:val="000000"/>
          <w:sz w:val="24"/>
          <w:lang w:val="zh-CN"/>
        </w:rPr>
        <w:t>计量单位</w:t>
      </w:r>
    </w:p>
    <w:p w14:paraId="6E6F2DD8">
      <w:pPr>
        <w:autoSpaceDE w:val="0"/>
        <w:autoSpaceDN w:val="0"/>
        <w:spacing w:line="360" w:lineRule="auto"/>
        <w:rPr>
          <w:rFonts w:hint="eastAsia" w:ascii="宋体" w:hAnsi="宋体" w:eastAsia="宋体" w:cs="宋体"/>
          <w:color w:val="000000"/>
          <w:sz w:val="24"/>
        </w:rPr>
      </w:pPr>
      <w:r>
        <w:rPr>
          <w:rFonts w:hint="eastAsia" w:ascii="宋体" w:hAnsi="宋体" w:eastAsia="宋体" w:cs="宋体"/>
          <w:color w:val="000000"/>
          <w:sz w:val="24"/>
          <w:lang w:val="zh-CN"/>
        </w:rPr>
        <w:t>除技术规范中另有规定外</w:t>
      </w:r>
      <w:r>
        <w:rPr>
          <w:rFonts w:hint="eastAsia" w:ascii="宋体" w:hAnsi="宋体" w:eastAsia="宋体" w:cs="宋体"/>
          <w:color w:val="000000"/>
          <w:sz w:val="24"/>
        </w:rPr>
        <w:t>,</w:t>
      </w:r>
      <w:r>
        <w:rPr>
          <w:rFonts w:hint="eastAsia" w:ascii="宋体" w:hAnsi="宋体" w:eastAsia="宋体" w:cs="宋体"/>
          <w:color w:val="000000"/>
          <w:sz w:val="24"/>
          <w:lang w:val="zh-CN"/>
        </w:rPr>
        <w:t>计量单位均使用国家法定计量单位。</w:t>
      </w:r>
    </w:p>
    <w:p w14:paraId="12323BB9">
      <w:pPr>
        <w:autoSpaceDE w:val="0"/>
        <w:autoSpaceDN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26.</w:t>
      </w:r>
      <w:r>
        <w:rPr>
          <w:rFonts w:hint="eastAsia" w:ascii="宋体" w:hAnsi="宋体" w:eastAsia="宋体" w:cs="宋体"/>
          <w:b/>
          <w:bCs/>
          <w:color w:val="000000"/>
          <w:sz w:val="24"/>
          <w:lang w:val="zh-CN"/>
        </w:rPr>
        <w:t>适用法律</w:t>
      </w:r>
    </w:p>
    <w:p w14:paraId="70C607AA">
      <w:pPr>
        <w:autoSpaceDE w:val="0"/>
        <w:autoSpaceDN w:val="0"/>
        <w:adjustRightInd w:val="0"/>
        <w:spacing w:before="13" w:line="280" w:lineRule="exact"/>
        <w:jc w:val="left"/>
        <w:rPr>
          <w:rFonts w:hint="eastAsia" w:ascii="宋体" w:hAnsi="宋体" w:eastAsia="宋体" w:cs="宋体"/>
          <w:color w:val="000000"/>
          <w:kern w:val="0"/>
          <w:sz w:val="28"/>
          <w:szCs w:val="28"/>
        </w:rPr>
      </w:pPr>
      <w:bookmarkStart w:id="98" w:name="_Toc437511467"/>
      <w:r>
        <w:rPr>
          <w:rFonts w:hint="eastAsia" w:ascii="宋体" w:hAnsi="宋体" w:eastAsia="宋体" w:cs="宋体"/>
          <w:color w:val="000000"/>
          <w:sz w:val="24"/>
          <w:lang w:val="zh-CN"/>
        </w:rPr>
        <w:t>本合同按照中华人民共和国的相关法律进行解释。</w:t>
      </w:r>
      <w:bookmarkEnd w:id="98"/>
    </w:p>
    <w:p w14:paraId="1A7B9589">
      <w:pPr>
        <w:spacing w:line="360" w:lineRule="auto"/>
        <w:jc w:val="center"/>
        <w:rPr>
          <w:rFonts w:hint="eastAsia" w:ascii="宋体" w:hAnsi="宋体" w:eastAsia="宋体" w:cs="宋体"/>
          <w:color w:val="000000"/>
          <w:sz w:val="28"/>
          <w:szCs w:val="32"/>
        </w:rPr>
      </w:pPr>
      <w:r>
        <w:rPr>
          <w:rFonts w:hint="eastAsia" w:ascii="宋体" w:hAnsi="宋体" w:eastAsia="宋体" w:cs="宋体"/>
          <w:color w:val="000000"/>
          <w:sz w:val="28"/>
          <w:szCs w:val="32"/>
        </w:rPr>
        <w:t xml:space="preserve"> </w:t>
      </w:r>
    </w:p>
    <w:p w14:paraId="485EFE24">
      <w:pPr>
        <w:tabs>
          <w:tab w:val="left" w:pos="7640"/>
        </w:tabs>
        <w:spacing w:line="360" w:lineRule="auto"/>
        <w:ind w:right="1120"/>
        <w:rPr>
          <w:rFonts w:hint="eastAsia" w:ascii="宋体" w:hAnsi="宋体" w:eastAsia="宋体" w:cs="宋体"/>
          <w:snapToGrid w:val="0"/>
          <w:color w:val="000000"/>
          <w:kern w:val="0"/>
          <w:sz w:val="28"/>
          <w:szCs w:val="28"/>
        </w:rPr>
      </w:pPr>
    </w:p>
    <w:p w14:paraId="1FEC284A">
      <w:pPr>
        <w:tabs>
          <w:tab w:val="left" w:pos="7640"/>
        </w:tabs>
        <w:jc w:val="center"/>
        <w:rPr>
          <w:rFonts w:hint="eastAsia" w:ascii="宋体" w:hAnsi="宋体" w:eastAsia="宋体" w:cs="宋体"/>
          <w:color w:val="000000"/>
          <w:sz w:val="28"/>
          <w:szCs w:val="32"/>
        </w:rPr>
      </w:pPr>
    </w:p>
    <w:p w14:paraId="07C64312">
      <w:pPr>
        <w:spacing w:line="360" w:lineRule="auto"/>
        <w:rPr>
          <w:rFonts w:hint="eastAsia" w:ascii="宋体" w:hAnsi="宋体" w:eastAsia="宋体" w:cs="宋体"/>
          <w:color w:val="000000"/>
          <w:sz w:val="24"/>
        </w:rPr>
      </w:pPr>
      <w:r>
        <w:rPr>
          <w:rFonts w:hint="eastAsia" w:ascii="宋体" w:hAnsi="宋体" w:eastAsia="宋体" w:cs="宋体"/>
          <w:color w:val="000000"/>
          <w:sz w:val="28"/>
          <w:szCs w:val="32"/>
        </w:rPr>
        <w:br w:type="page"/>
      </w:r>
    </w:p>
    <w:p w14:paraId="7DD85559">
      <w:pPr>
        <w:pStyle w:val="24"/>
        <w:spacing w:before="0" w:after="0" w:line="360" w:lineRule="auto"/>
        <w:rPr>
          <w:rFonts w:hint="eastAsia" w:ascii="宋体" w:hAnsi="宋体" w:eastAsia="宋体" w:cs="宋体"/>
          <w:color w:val="000000"/>
        </w:rPr>
      </w:pPr>
      <w:bookmarkStart w:id="99" w:name="_Toc28480"/>
      <w:r>
        <w:rPr>
          <w:rFonts w:hint="eastAsia" w:ascii="宋体" w:hAnsi="宋体" w:eastAsia="宋体" w:cs="宋体"/>
          <w:color w:val="000000"/>
          <w:sz w:val="48"/>
        </w:rPr>
        <w:t>第五部分  磋商响应文件格式</w:t>
      </w:r>
      <w:bookmarkEnd w:id="99"/>
    </w:p>
    <w:p w14:paraId="39BE35B0">
      <w:pPr>
        <w:spacing w:line="360" w:lineRule="auto"/>
        <w:rPr>
          <w:rFonts w:hint="eastAsia" w:ascii="宋体" w:hAnsi="宋体" w:eastAsia="宋体" w:cs="宋体"/>
          <w:color w:val="000000"/>
          <w:sz w:val="32"/>
        </w:rPr>
      </w:pPr>
    </w:p>
    <w:p w14:paraId="2FDF1F16">
      <w:pPr>
        <w:widowControl/>
        <w:spacing w:line="360" w:lineRule="auto"/>
        <w:ind w:firstLine="630" w:firstLineChars="224"/>
        <w:rPr>
          <w:rFonts w:hint="eastAsia" w:ascii="宋体" w:hAnsi="宋体" w:eastAsia="宋体" w:cs="宋体"/>
          <w:b/>
          <w:bCs/>
          <w:color w:val="000000"/>
          <w:kern w:val="0"/>
          <w:sz w:val="28"/>
          <w:szCs w:val="28"/>
          <w:lang w:val="zh-CN"/>
        </w:rPr>
      </w:pPr>
      <w:r>
        <w:rPr>
          <w:rFonts w:hint="eastAsia" w:ascii="宋体" w:hAnsi="宋体" w:eastAsia="宋体" w:cs="宋体"/>
          <w:b/>
          <w:bCs/>
          <w:color w:val="000000"/>
          <w:kern w:val="0"/>
          <w:sz w:val="28"/>
          <w:szCs w:val="28"/>
          <w:lang w:val="zh-CN"/>
        </w:rPr>
        <w:t>磋商供应商应严格按照本格式要求编制磋商响应文件，胶装成册并编制相应页码，否则其磋商响应文件将不予接受。</w:t>
      </w:r>
    </w:p>
    <w:p w14:paraId="1453A76C">
      <w:pPr>
        <w:pStyle w:val="6"/>
        <w:numPr>
          <w:ilvl w:val="0"/>
          <w:numId w:val="0"/>
        </w:numPr>
        <w:ind w:left="709" w:hanging="709"/>
        <w:rPr>
          <w:rFonts w:hint="eastAsia" w:ascii="宋体" w:hAnsi="宋体" w:eastAsia="宋体" w:cs="宋体"/>
          <w:b/>
          <w:color w:val="000000"/>
          <w:sz w:val="32"/>
          <w:lang w:val="zh-CN"/>
        </w:rPr>
      </w:pPr>
      <w:r>
        <w:rPr>
          <w:rFonts w:hint="eastAsia" w:ascii="宋体" w:hAnsi="宋体" w:eastAsia="宋体" w:cs="宋体"/>
          <w:color w:val="000000"/>
          <w:kern w:val="0"/>
          <w:szCs w:val="28"/>
          <w:lang w:val="zh-CN"/>
        </w:rPr>
        <w:br w:type="page"/>
      </w:r>
      <w:bookmarkStart w:id="100" w:name="_Toc30468"/>
      <w:r>
        <w:rPr>
          <w:rFonts w:hint="eastAsia" w:ascii="宋体" w:hAnsi="宋体" w:eastAsia="宋体" w:cs="宋体"/>
          <w:b/>
          <w:color w:val="000000"/>
          <w:sz w:val="32"/>
          <w:lang w:val="zh-CN"/>
        </w:rPr>
        <w:t>磋商响应文件封面</w:t>
      </w:r>
      <w:bookmarkEnd w:id="100"/>
    </w:p>
    <w:p w14:paraId="445B0F1A">
      <w:pPr>
        <w:spacing w:line="360" w:lineRule="auto"/>
        <w:jc w:val="right"/>
        <w:rPr>
          <w:rFonts w:hint="eastAsia" w:ascii="宋体" w:hAnsi="宋体" w:eastAsia="宋体" w:cs="宋体"/>
          <w:color w:val="000000"/>
          <w:sz w:val="32"/>
        </w:rPr>
      </w:pPr>
      <w:r>
        <w:rPr>
          <w:rFonts w:hint="eastAsia" w:ascii="宋体" w:hAnsi="宋体" w:eastAsia="宋体" w:cs="宋体"/>
          <w:b/>
          <w:bCs/>
          <w:color w:val="000000"/>
          <w:kern w:val="0"/>
          <w:sz w:val="36"/>
          <w:szCs w:val="36"/>
        </w:rPr>
        <w:t>正本/副本</w:t>
      </w:r>
    </w:p>
    <w:p w14:paraId="50085153">
      <w:pPr>
        <w:spacing w:line="360" w:lineRule="auto"/>
        <w:rPr>
          <w:rFonts w:hint="eastAsia" w:ascii="宋体" w:hAnsi="宋体" w:eastAsia="宋体" w:cs="宋体"/>
          <w:color w:val="000000"/>
          <w:sz w:val="32"/>
        </w:rPr>
      </w:pPr>
    </w:p>
    <w:p w14:paraId="116B4E5F">
      <w:pPr>
        <w:spacing w:line="360" w:lineRule="auto"/>
        <w:rPr>
          <w:rFonts w:hint="eastAsia" w:ascii="宋体" w:hAnsi="宋体" w:eastAsia="宋体" w:cs="宋体"/>
          <w:color w:val="000000"/>
          <w:sz w:val="32"/>
        </w:rPr>
      </w:pPr>
    </w:p>
    <w:p w14:paraId="6EE23FA8">
      <w:pPr>
        <w:spacing w:line="360" w:lineRule="auto"/>
        <w:jc w:val="center"/>
        <w:rPr>
          <w:rFonts w:hint="eastAsia" w:ascii="宋体" w:hAnsi="宋体" w:eastAsia="宋体" w:cs="宋体"/>
          <w:b/>
          <w:color w:val="000000"/>
          <w:sz w:val="72"/>
        </w:rPr>
      </w:pPr>
    </w:p>
    <w:p w14:paraId="19A34B4A">
      <w:pPr>
        <w:spacing w:line="360" w:lineRule="auto"/>
        <w:jc w:val="center"/>
        <w:rPr>
          <w:rFonts w:hint="eastAsia" w:ascii="宋体" w:hAnsi="宋体" w:eastAsia="宋体" w:cs="宋体"/>
          <w:b/>
          <w:color w:val="000000"/>
          <w:sz w:val="96"/>
        </w:rPr>
      </w:pPr>
      <w:r>
        <w:rPr>
          <w:rFonts w:hint="eastAsia" w:ascii="宋体" w:hAnsi="宋体" w:eastAsia="宋体" w:cs="宋体"/>
          <w:b/>
          <w:color w:val="000000"/>
          <w:sz w:val="72"/>
        </w:rPr>
        <w:t>青海省采购项目</w:t>
      </w:r>
    </w:p>
    <w:p w14:paraId="03ACE1C7">
      <w:pPr>
        <w:spacing w:line="360" w:lineRule="auto"/>
        <w:jc w:val="center"/>
        <w:rPr>
          <w:rFonts w:hint="eastAsia" w:ascii="宋体" w:hAnsi="宋体" w:eastAsia="宋体" w:cs="宋体"/>
          <w:b/>
          <w:color w:val="000000"/>
          <w:sz w:val="48"/>
        </w:rPr>
      </w:pPr>
    </w:p>
    <w:p w14:paraId="080B0FBE">
      <w:pPr>
        <w:spacing w:line="360" w:lineRule="auto"/>
        <w:jc w:val="center"/>
        <w:rPr>
          <w:rFonts w:hint="eastAsia" w:ascii="宋体" w:hAnsi="宋体" w:eastAsia="宋体" w:cs="宋体"/>
          <w:b/>
          <w:color w:val="000000"/>
          <w:sz w:val="48"/>
        </w:rPr>
      </w:pPr>
    </w:p>
    <w:p w14:paraId="7068F66D">
      <w:pPr>
        <w:spacing w:line="360" w:lineRule="auto"/>
        <w:jc w:val="center"/>
        <w:rPr>
          <w:rFonts w:hint="eastAsia" w:ascii="宋体" w:hAnsi="宋体" w:eastAsia="宋体" w:cs="宋体"/>
          <w:b/>
          <w:color w:val="000000"/>
          <w:sz w:val="56"/>
        </w:rPr>
      </w:pPr>
      <w:r>
        <w:rPr>
          <w:rFonts w:hint="eastAsia" w:ascii="宋体" w:hAnsi="宋体" w:eastAsia="宋体" w:cs="宋体"/>
          <w:b/>
          <w:color w:val="000000"/>
          <w:sz w:val="52"/>
        </w:rPr>
        <w:t>磋商响应文件</w:t>
      </w:r>
    </w:p>
    <w:p w14:paraId="7EE66B59">
      <w:pPr>
        <w:adjustRightInd w:val="0"/>
        <w:spacing w:line="360" w:lineRule="auto"/>
        <w:textAlignment w:val="baseline"/>
        <w:rPr>
          <w:rFonts w:hint="eastAsia" w:ascii="宋体" w:hAnsi="宋体" w:eastAsia="宋体" w:cs="宋体"/>
          <w:b/>
          <w:bCs/>
          <w:color w:val="000000"/>
          <w:sz w:val="32"/>
        </w:rPr>
      </w:pPr>
    </w:p>
    <w:p w14:paraId="3B7261B8">
      <w:pPr>
        <w:adjustRightInd w:val="0"/>
        <w:spacing w:line="360" w:lineRule="auto"/>
        <w:textAlignment w:val="baseline"/>
        <w:rPr>
          <w:rFonts w:hint="eastAsia" w:ascii="宋体" w:hAnsi="宋体" w:eastAsia="宋体" w:cs="宋体"/>
          <w:b/>
          <w:bCs/>
          <w:color w:val="000000"/>
          <w:sz w:val="32"/>
        </w:rPr>
      </w:pPr>
    </w:p>
    <w:p w14:paraId="2956187D">
      <w:pPr>
        <w:adjustRightInd w:val="0"/>
        <w:spacing w:line="360" w:lineRule="auto"/>
        <w:ind w:firstLine="643" w:firstLineChars="200"/>
        <w:textAlignment w:val="baseline"/>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采购项目编号</w:t>
      </w:r>
      <w:r>
        <w:rPr>
          <w:rFonts w:hint="eastAsia" w:ascii="宋体" w:hAnsi="宋体" w:eastAsia="宋体" w:cs="宋体"/>
          <w:color w:val="000000"/>
          <w:sz w:val="32"/>
          <w:szCs w:val="32"/>
        </w:rPr>
        <w:t>：</w:t>
      </w:r>
      <w:r>
        <w:rPr>
          <w:rFonts w:hint="eastAsia" w:ascii="宋体" w:hAnsi="宋体" w:eastAsia="宋体" w:cs="宋体"/>
          <w:color w:val="000000"/>
          <w:sz w:val="32"/>
          <w:szCs w:val="32"/>
          <w:u w:val="single"/>
        </w:rPr>
        <w:t xml:space="preserve">                              </w:t>
      </w:r>
    </w:p>
    <w:p w14:paraId="2CFE3F57">
      <w:pPr>
        <w:adjustRightInd w:val="0"/>
        <w:spacing w:line="360" w:lineRule="auto"/>
        <w:ind w:firstLine="660"/>
        <w:textAlignment w:val="baseline"/>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采购项目名称：</w:t>
      </w:r>
      <w:r>
        <w:rPr>
          <w:rFonts w:hint="eastAsia" w:ascii="宋体" w:hAnsi="宋体" w:eastAsia="宋体" w:cs="宋体"/>
          <w:b/>
          <w:bCs/>
          <w:color w:val="000000"/>
          <w:sz w:val="32"/>
          <w:szCs w:val="32"/>
          <w:u w:val="single"/>
        </w:rPr>
        <w:t xml:space="preserve">                              </w:t>
      </w:r>
    </w:p>
    <w:p w14:paraId="271BCA09">
      <w:pPr>
        <w:adjustRightInd w:val="0"/>
        <w:spacing w:line="360" w:lineRule="auto"/>
        <w:ind w:firstLine="643" w:firstLineChars="200"/>
        <w:textAlignment w:val="baseline"/>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磋商供应商</w:t>
      </w:r>
      <w:r>
        <w:rPr>
          <w:rFonts w:hint="eastAsia" w:ascii="宋体" w:hAnsi="宋体" w:eastAsia="宋体" w:cs="宋体"/>
          <w:b/>
          <w:color w:val="000000"/>
          <w:sz w:val="32"/>
          <w:szCs w:val="32"/>
        </w:rPr>
        <w:t>：</w:t>
      </w:r>
      <w:r>
        <w:rPr>
          <w:rFonts w:hint="eastAsia" w:ascii="宋体" w:hAnsi="宋体" w:eastAsia="宋体" w:cs="宋体"/>
          <w:b/>
          <w:color w:val="000000"/>
          <w:sz w:val="32"/>
          <w:szCs w:val="32"/>
          <w:u w:val="single"/>
        </w:rPr>
        <w:t xml:space="preserve">                        （公章）</w:t>
      </w:r>
    </w:p>
    <w:p w14:paraId="4CBA4D56">
      <w:pPr>
        <w:adjustRightInd w:val="0"/>
        <w:spacing w:line="360" w:lineRule="auto"/>
        <w:ind w:firstLine="643" w:firstLineChars="200"/>
        <w:textAlignment w:val="baseline"/>
        <w:rPr>
          <w:rFonts w:hint="eastAsia" w:ascii="宋体" w:hAnsi="宋体" w:eastAsia="宋体" w:cs="宋体"/>
          <w:b/>
          <w:color w:val="000000"/>
          <w:sz w:val="32"/>
          <w:u w:val="single"/>
        </w:rPr>
      </w:pPr>
      <w:r>
        <w:rPr>
          <w:rFonts w:hint="eastAsia" w:ascii="宋体" w:hAnsi="宋体" w:eastAsia="宋体" w:cs="宋体"/>
          <w:b/>
          <w:color w:val="000000"/>
          <w:sz w:val="32"/>
        </w:rPr>
        <w:t>法定代表人：</w:t>
      </w:r>
      <w:r>
        <w:rPr>
          <w:rFonts w:hint="eastAsia" w:ascii="宋体" w:hAnsi="宋体" w:eastAsia="宋体" w:cs="宋体"/>
          <w:b/>
          <w:color w:val="000000"/>
          <w:sz w:val="32"/>
          <w:u w:val="single"/>
        </w:rPr>
        <w:t xml:space="preserve">                   （签字或盖章）</w:t>
      </w:r>
    </w:p>
    <w:p w14:paraId="770A79CD">
      <w:pPr>
        <w:adjustRightInd w:val="0"/>
        <w:spacing w:line="360" w:lineRule="auto"/>
        <w:ind w:firstLine="643" w:firstLineChars="200"/>
        <w:textAlignment w:val="baseline"/>
        <w:rPr>
          <w:rFonts w:hint="eastAsia" w:ascii="宋体" w:hAnsi="宋体" w:eastAsia="宋体" w:cs="宋体"/>
          <w:b/>
          <w:color w:val="000000"/>
          <w:sz w:val="32"/>
          <w:u w:val="single"/>
        </w:rPr>
      </w:pPr>
    </w:p>
    <w:p w14:paraId="7EB9A8ED">
      <w:pPr>
        <w:spacing w:line="360" w:lineRule="auto"/>
        <w:ind w:firstLine="3360" w:firstLineChars="1050"/>
        <w:rPr>
          <w:rFonts w:hint="eastAsia" w:ascii="宋体" w:hAnsi="宋体" w:eastAsia="宋体" w:cs="宋体"/>
          <w:color w:val="000000"/>
          <w:sz w:val="32"/>
        </w:rPr>
      </w:pPr>
      <w:r>
        <w:rPr>
          <w:rFonts w:hint="eastAsia" w:ascii="宋体" w:hAnsi="宋体" w:eastAsia="宋体" w:cs="宋体"/>
          <w:color w:val="000000"/>
          <w:sz w:val="32"/>
        </w:rPr>
        <w:t>年   月  日</w:t>
      </w:r>
      <w:bookmarkStart w:id="101" w:name="_Toc444715735"/>
    </w:p>
    <w:p w14:paraId="317F392A">
      <w:pPr>
        <w:spacing w:line="360" w:lineRule="auto"/>
        <w:ind w:firstLine="3360" w:firstLineChars="1050"/>
        <w:rPr>
          <w:rFonts w:hint="eastAsia" w:ascii="宋体" w:hAnsi="宋体" w:eastAsia="宋体" w:cs="宋体"/>
          <w:color w:val="000000"/>
          <w:sz w:val="32"/>
        </w:rPr>
      </w:pPr>
    </w:p>
    <w:p w14:paraId="428714B7">
      <w:pPr>
        <w:pStyle w:val="6"/>
        <w:numPr>
          <w:ilvl w:val="0"/>
          <w:numId w:val="0"/>
        </w:numPr>
        <w:ind w:left="709" w:hanging="709"/>
        <w:jc w:val="center"/>
        <w:rPr>
          <w:rFonts w:hint="eastAsia" w:ascii="宋体" w:hAnsi="宋体" w:eastAsia="宋体" w:cs="宋体"/>
          <w:b/>
          <w:color w:val="000000"/>
          <w:sz w:val="32"/>
          <w:lang w:val="zh-CN"/>
        </w:rPr>
      </w:pPr>
      <w:bookmarkStart w:id="102" w:name="_Toc14821"/>
      <w:r>
        <w:rPr>
          <w:rFonts w:hint="eastAsia" w:ascii="宋体" w:hAnsi="宋体" w:eastAsia="宋体" w:cs="宋体"/>
          <w:b/>
          <w:color w:val="000000"/>
          <w:sz w:val="32"/>
          <w:lang w:val="zh-CN"/>
        </w:rPr>
        <w:t>磋商响应文件目录</w:t>
      </w:r>
      <w:bookmarkEnd w:id="101"/>
      <w:bookmarkEnd w:id="102"/>
    </w:p>
    <w:p w14:paraId="10A3F630">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rPr>
        <w:t>磋商</w:t>
      </w:r>
      <w:r>
        <w:rPr>
          <w:rFonts w:hint="eastAsia" w:ascii="宋体" w:hAnsi="宋体" w:eastAsia="宋体" w:cs="宋体"/>
          <w:color w:val="000000"/>
          <w:kern w:val="0"/>
          <w:sz w:val="24"/>
          <w:lang w:val="zh-CN"/>
        </w:rPr>
        <w:t>函……………………………………………………………所在页码</w:t>
      </w:r>
    </w:p>
    <w:p w14:paraId="579E43C4">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）法定代表人证明书……………………………………………… 所在页码</w:t>
      </w:r>
    </w:p>
    <w:p w14:paraId="4FE2D4DA">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rPr>
        <w:t>3</w:t>
      </w:r>
      <w:r>
        <w:rPr>
          <w:rFonts w:hint="eastAsia" w:ascii="宋体" w:hAnsi="宋体" w:eastAsia="宋体" w:cs="宋体"/>
          <w:color w:val="000000"/>
          <w:kern w:val="0"/>
          <w:sz w:val="24"/>
          <w:lang w:val="zh-CN"/>
        </w:rPr>
        <w:t>）法定代表人授权书……………………………………………… 所在页码</w:t>
      </w:r>
    </w:p>
    <w:p w14:paraId="60EC2F0B">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lang w:val="zh-CN"/>
        </w:rPr>
        <w:t>）磋商供应商承诺书……………………………………………… 所在页码</w:t>
      </w:r>
    </w:p>
    <w:p w14:paraId="53539FAD">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lang w:val="zh-CN"/>
        </w:rPr>
        <w:t>）供应商诚信承诺书……………………………………………… 所在页码</w:t>
      </w:r>
    </w:p>
    <w:p w14:paraId="7BDEFE7F">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val="zh-CN"/>
        </w:rPr>
        <w:t>）资格证明材料…………………………………………………… 所在页码</w:t>
      </w:r>
    </w:p>
    <w:p w14:paraId="0AEF7DE3">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lang w:val="zh-CN"/>
        </w:rPr>
        <w:t>）财务状况、缴纳税收和社会保障资金证明…………………… 所在页码</w:t>
      </w:r>
    </w:p>
    <w:p w14:paraId="3054CC8B">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lang w:val="zh-CN"/>
        </w:rPr>
        <w:t>）具备履行合同所必须的设备和专业技术能力证明……………所在页码</w:t>
      </w:r>
    </w:p>
    <w:p w14:paraId="5554E6A3">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w:t>
      </w:r>
      <w:r>
        <w:rPr>
          <w:rFonts w:hint="eastAsia" w:ascii="宋体" w:hAnsi="宋体" w:eastAsia="宋体" w:cs="宋体"/>
          <w:color w:val="000000"/>
          <w:kern w:val="0"/>
          <w:sz w:val="24"/>
          <w:lang w:val="en-US" w:eastAsia="zh-CN"/>
        </w:rPr>
        <w:t>9</w:t>
      </w:r>
      <w:r>
        <w:rPr>
          <w:rFonts w:hint="eastAsia" w:ascii="宋体" w:hAnsi="宋体" w:eastAsia="宋体" w:cs="宋体"/>
          <w:color w:val="000000"/>
          <w:kern w:val="0"/>
          <w:sz w:val="24"/>
          <w:lang w:val="zh-CN"/>
        </w:rPr>
        <w:t>）无重大违法记录声明……………………………………………所在页码</w:t>
      </w:r>
    </w:p>
    <w:p w14:paraId="2E69A2F5">
      <w:pPr>
        <w:autoSpaceDE w:val="0"/>
        <w:autoSpaceDN w:val="0"/>
        <w:spacing w:line="360" w:lineRule="auto"/>
        <w:ind w:firstLine="240" w:firstLineChars="100"/>
        <w:jc w:val="center"/>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w:t>
      </w:r>
      <w:r>
        <w:rPr>
          <w:rFonts w:hint="eastAsia" w:ascii="宋体" w:hAnsi="宋体" w:eastAsia="宋体" w:cs="宋体"/>
          <w:color w:val="000000"/>
          <w:kern w:val="0"/>
          <w:sz w:val="24"/>
          <w:lang w:val="en-US" w:eastAsia="zh-CN"/>
        </w:rPr>
        <w:t>0</w:t>
      </w:r>
      <w:r>
        <w:rPr>
          <w:rFonts w:hint="eastAsia" w:ascii="宋体" w:hAnsi="宋体" w:eastAsia="宋体" w:cs="宋体"/>
          <w:color w:val="000000"/>
          <w:kern w:val="0"/>
          <w:sz w:val="24"/>
          <w:lang w:val="zh-CN"/>
        </w:rPr>
        <w:t>）</w:t>
      </w:r>
      <w:r>
        <w:rPr>
          <w:rFonts w:hint="eastAsia" w:ascii="宋体" w:hAnsi="宋体" w:eastAsia="宋体" w:cs="宋体"/>
          <w:color w:val="000000"/>
          <w:sz w:val="24"/>
        </w:rPr>
        <w:t>磋商保证金证明</w:t>
      </w:r>
      <w:r>
        <w:rPr>
          <w:rFonts w:hint="eastAsia" w:ascii="宋体" w:hAnsi="宋体" w:eastAsia="宋体" w:cs="宋体"/>
          <w:color w:val="000000"/>
          <w:kern w:val="0"/>
          <w:sz w:val="24"/>
          <w:lang w:val="zh-CN"/>
        </w:rPr>
        <w:t>…………………………………………………所在页码</w:t>
      </w:r>
    </w:p>
    <w:p w14:paraId="56C50E8B">
      <w:pPr>
        <w:autoSpaceDE w:val="0"/>
        <w:autoSpaceDN w:val="0"/>
        <w:spacing w:line="360" w:lineRule="auto"/>
        <w:ind w:firstLine="240" w:firstLineChars="10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）竞争性磋商首次报价表…………………………………………所在页码</w:t>
      </w:r>
    </w:p>
    <w:p w14:paraId="5BE35466">
      <w:pPr>
        <w:autoSpaceDE w:val="0"/>
        <w:autoSpaceDN w:val="0"/>
        <w:spacing w:line="360" w:lineRule="auto"/>
        <w:ind w:firstLine="240" w:firstLineChars="10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）磋商服务相关资料………………………………………………所在页码</w:t>
      </w:r>
    </w:p>
    <w:p w14:paraId="5801F0D0">
      <w:pPr>
        <w:autoSpaceDE w:val="0"/>
        <w:autoSpaceDN w:val="0"/>
        <w:spacing w:line="360" w:lineRule="auto"/>
        <w:ind w:firstLine="240" w:firstLineChars="10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）磋商供应商的类似业绩证明材料………………………………所在页码</w:t>
      </w:r>
    </w:p>
    <w:p w14:paraId="7A269A47">
      <w:pPr>
        <w:autoSpaceDE w:val="0"/>
        <w:autoSpaceDN w:val="0"/>
        <w:spacing w:line="360" w:lineRule="auto"/>
        <w:ind w:firstLine="240" w:firstLineChars="10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w:t>
      </w:r>
      <w:bookmarkStart w:id="103" w:name="_Toc10010"/>
      <w:bookmarkStart w:id="104" w:name="_Toc1304"/>
      <w:bookmarkStart w:id="105" w:name="_Toc64561345"/>
      <w:r>
        <w:rPr>
          <w:rFonts w:hint="eastAsia" w:ascii="宋体" w:hAnsi="宋体" w:eastAsia="宋体" w:cs="宋体"/>
          <w:color w:val="000000"/>
          <w:kern w:val="0"/>
          <w:sz w:val="24"/>
        </w:rPr>
        <w:t>享受政府采购政策优惠的证明资料</w:t>
      </w:r>
      <w:bookmarkEnd w:id="103"/>
      <w:bookmarkEnd w:id="104"/>
      <w:bookmarkEnd w:id="105"/>
      <w:r>
        <w:rPr>
          <w:rFonts w:hint="eastAsia" w:ascii="宋体" w:hAnsi="宋体" w:eastAsia="宋体" w:cs="宋体"/>
          <w:color w:val="000000"/>
          <w:kern w:val="0"/>
          <w:sz w:val="24"/>
        </w:rPr>
        <w:t>……………………………所在页码</w:t>
      </w:r>
    </w:p>
    <w:p w14:paraId="28456A73">
      <w:pPr>
        <w:autoSpaceDE w:val="0"/>
        <w:autoSpaceDN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）磋商供应商认为在其他方面有必要说明的事项………………所在页码</w:t>
      </w:r>
    </w:p>
    <w:p w14:paraId="2B48D3D2">
      <w:pPr>
        <w:pStyle w:val="6"/>
        <w:numPr>
          <w:ilvl w:val="0"/>
          <w:numId w:val="0"/>
        </w:numPr>
        <w:ind w:left="709" w:hanging="709"/>
        <w:rPr>
          <w:rFonts w:hint="eastAsia" w:ascii="宋体" w:hAnsi="宋体" w:eastAsia="宋体" w:cs="宋体"/>
          <w:color w:val="000000"/>
        </w:rPr>
      </w:pPr>
      <w:r>
        <w:rPr>
          <w:rFonts w:hint="eastAsia" w:ascii="宋体" w:hAnsi="宋体" w:eastAsia="宋体" w:cs="宋体"/>
          <w:b/>
          <w:bCs/>
          <w:color w:val="000000"/>
        </w:rPr>
        <w:br w:type="page"/>
      </w:r>
      <w:bookmarkStart w:id="106" w:name="_Toc21544"/>
      <w:r>
        <w:rPr>
          <w:rFonts w:hint="eastAsia" w:ascii="宋体" w:hAnsi="宋体" w:eastAsia="宋体" w:cs="宋体"/>
          <w:b/>
          <w:color w:val="000000"/>
          <w:sz w:val="32"/>
          <w:lang w:val="zh-CN"/>
        </w:rPr>
        <w:t>格式1、磋商函</w:t>
      </w:r>
      <w:bookmarkEnd w:id="106"/>
    </w:p>
    <w:p w14:paraId="1DE0D6CD">
      <w:pPr>
        <w:adjustRightInd w:val="0"/>
        <w:spacing w:line="360" w:lineRule="auto"/>
        <w:jc w:val="center"/>
        <w:textAlignment w:val="baseline"/>
        <w:rPr>
          <w:rFonts w:hint="eastAsia" w:ascii="宋体" w:hAnsi="宋体" w:eastAsia="宋体" w:cs="宋体"/>
          <w:b/>
          <w:color w:val="000000"/>
          <w:sz w:val="32"/>
          <w:szCs w:val="30"/>
        </w:rPr>
      </w:pPr>
      <w:r>
        <w:rPr>
          <w:rFonts w:hint="eastAsia" w:ascii="宋体" w:hAnsi="宋体" w:eastAsia="宋体" w:cs="宋体"/>
          <w:b/>
          <w:color w:val="000000"/>
          <w:sz w:val="32"/>
          <w:szCs w:val="30"/>
        </w:rPr>
        <w:t>磋 商 函</w:t>
      </w:r>
    </w:p>
    <w:p w14:paraId="610F6AB0">
      <w:pPr>
        <w:adjustRightInd w:val="0"/>
        <w:spacing w:line="360" w:lineRule="auto"/>
        <w:ind w:left="482" w:hanging="482" w:hangingChars="200"/>
        <w:textAlignment w:val="baseline"/>
        <w:rPr>
          <w:rFonts w:hint="eastAsia" w:ascii="宋体" w:hAnsi="宋体" w:eastAsia="宋体" w:cs="宋体"/>
          <w:b/>
          <w:color w:val="000000"/>
          <w:sz w:val="24"/>
        </w:rPr>
      </w:pPr>
      <w:r>
        <w:rPr>
          <w:rFonts w:hint="eastAsia" w:ascii="宋体" w:hAnsi="宋体" w:eastAsia="宋体" w:cs="宋体"/>
          <w:b/>
          <w:color w:val="000000"/>
          <w:sz w:val="24"/>
        </w:rPr>
        <w:t>致：</w:t>
      </w:r>
      <w:r>
        <w:rPr>
          <w:rFonts w:hint="eastAsia" w:ascii="宋体" w:hAnsi="宋体" w:eastAsia="宋体" w:cs="宋体"/>
          <w:b/>
          <w:color w:val="000000"/>
          <w:sz w:val="24"/>
          <w:u w:val="single"/>
        </w:rPr>
        <w:t>青海国焱工程项目管理有限公司：</w:t>
      </w:r>
    </w:p>
    <w:p w14:paraId="5CF7752E">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我们收到</w:t>
      </w:r>
      <w:r>
        <w:rPr>
          <w:rFonts w:hint="eastAsia" w:ascii="宋体" w:hAnsi="宋体" w:eastAsia="宋体" w:cs="宋体"/>
          <w:color w:val="000000"/>
          <w:sz w:val="24"/>
          <w:u w:val="single"/>
          <w:lang w:eastAsia="zh-CN"/>
        </w:rPr>
        <w:t>青海民族大学2025年度在建工程竣工决算项目评审</w:t>
      </w:r>
      <w:r>
        <w:rPr>
          <w:rFonts w:hint="eastAsia" w:ascii="宋体" w:hAnsi="宋体" w:eastAsia="宋体" w:cs="宋体"/>
          <w:color w:val="000000"/>
          <w:sz w:val="24"/>
          <w:u w:val="single"/>
        </w:rPr>
        <w:t>（</w:t>
      </w:r>
      <w:r>
        <w:rPr>
          <w:rFonts w:hint="eastAsia" w:ascii="宋体" w:hAnsi="宋体" w:eastAsia="宋体" w:cs="宋体"/>
          <w:color w:val="000000"/>
          <w:sz w:val="24"/>
          <w:u w:val="single"/>
          <w:lang w:eastAsia="zh-CN"/>
        </w:rPr>
        <w:t>青海国焱竞磋（服务）2025-267号</w:t>
      </w:r>
      <w:r>
        <w:rPr>
          <w:rFonts w:hint="eastAsia" w:ascii="宋体" w:hAnsi="宋体" w:eastAsia="宋体" w:cs="宋体"/>
          <w:color w:val="000000"/>
          <w:sz w:val="24"/>
          <w:u w:val="single"/>
        </w:rPr>
        <w:t>）</w:t>
      </w:r>
      <w:r>
        <w:rPr>
          <w:rFonts w:hint="eastAsia" w:ascii="宋体" w:hAnsi="宋体" w:eastAsia="宋体" w:cs="宋体"/>
          <w:color w:val="000000"/>
          <w:sz w:val="24"/>
        </w:rPr>
        <w:t>磋商文件，经研究，法定代表人（姓名、职务）正式授权（委托代理人姓名、职务）代表磋商供应商（磋商供应商名称、地址）提交磋商响应文件。</w:t>
      </w:r>
    </w:p>
    <w:p w14:paraId="6B8BAA05">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据此函，签字代表宣布同意如下：</w:t>
      </w:r>
    </w:p>
    <w:p w14:paraId="2CFCA8E1">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1.我方已详阅磋商文件的全部内容，包括澄清、修改条款等有关附件，承诺对其完全理解并接受。</w:t>
      </w:r>
    </w:p>
    <w:p w14:paraId="41E26061">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2.磋商有效期自开标之日起</w:t>
      </w:r>
      <w:r>
        <w:rPr>
          <w:rFonts w:hint="eastAsia" w:ascii="宋体" w:hAnsi="宋体" w:eastAsia="宋体" w:cs="宋体"/>
          <w:color w:val="000000"/>
          <w:sz w:val="24"/>
          <w:u w:val="single"/>
        </w:rPr>
        <w:t xml:space="preserve"> 60日历日 </w:t>
      </w:r>
      <w:r>
        <w:rPr>
          <w:rFonts w:hint="eastAsia" w:ascii="宋体" w:hAnsi="宋体" w:eastAsia="宋体" w:cs="宋体"/>
          <w:color w:val="000000"/>
          <w:sz w:val="24"/>
        </w:rPr>
        <w:t>内有效。如果在规定的开标时间后，我方在磋商有效期内撤回磋商或中标后不签约的，磋商保证金将被贵方没收。</w:t>
      </w:r>
    </w:p>
    <w:p w14:paraId="20683B45">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3.我方同意按照贵方要求提供与磋商有关的一切数据或资料，理解并接受贵方制定的评标办法。</w:t>
      </w:r>
    </w:p>
    <w:p w14:paraId="1BB652E4">
      <w:pPr>
        <w:adjustRightInd w:val="0"/>
        <w:spacing w:line="360" w:lineRule="auto"/>
        <w:ind w:firstLine="480" w:firstLineChars="200"/>
        <w:textAlignment w:val="baseline"/>
        <w:rPr>
          <w:rFonts w:hint="eastAsia" w:ascii="宋体" w:hAnsi="宋体" w:eastAsia="宋体" w:cs="宋体"/>
          <w:color w:val="000000"/>
          <w:sz w:val="24"/>
        </w:rPr>
      </w:pPr>
      <w:r>
        <w:rPr>
          <w:rFonts w:hint="eastAsia" w:ascii="宋体" w:hAnsi="宋体" w:eastAsia="宋体" w:cs="宋体"/>
          <w:color w:val="000000"/>
          <w:sz w:val="24"/>
        </w:rPr>
        <w:t>4.与本磋商有关的一切正式往来通讯请寄：</w:t>
      </w:r>
    </w:p>
    <w:p w14:paraId="43B7E662">
      <w:pPr>
        <w:adjustRightInd w:val="0"/>
        <w:spacing w:line="360" w:lineRule="auto"/>
        <w:ind w:firstLine="480" w:firstLineChars="200"/>
        <w:textAlignment w:val="baseline"/>
        <w:rPr>
          <w:rFonts w:hint="eastAsia" w:ascii="宋体" w:hAnsi="宋体" w:eastAsia="宋体" w:cs="宋体"/>
          <w:color w:val="000000"/>
          <w:sz w:val="24"/>
        </w:rPr>
      </w:pPr>
    </w:p>
    <w:p w14:paraId="246F3114">
      <w:pPr>
        <w:adjustRightInd w:val="0"/>
        <w:spacing w:line="360" w:lineRule="auto"/>
        <w:textAlignment w:val="baseline"/>
        <w:rPr>
          <w:rFonts w:hint="eastAsia" w:ascii="宋体" w:hAnsi="宋体" w:eastAsia="宋体" w:cs="宋体"/>
          <w:color w:val="000000"/>
          <w:sz w:val="24"/>
        </w:rPr>
      </w:pPr>
      <w:r>
        <w:rPr>
          <w:rFonts w:hint="eastAsia" w:ascii="宋体" w:hAnsi="宋体" w:eastAsia="宋体" w:cs="宋体"/>
          <w:color w:val="000000"/>
          <w:sz w:val="24"/>
        </w:rPr>
        <w:t>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邮编：</w:t>
      </w:r>
      <w:r>
        <w:rPr>
          <w:rFonts w:hint="eastAsia" w:ascii="宋体" w:hAnsi="宋体" w:eastAsia="宋体" w:cs="宋体"/>
          <w:color w:val="000000"/>
          <w:sz w:val="24"/>
          <w:u w:val="single"/>
        </w:rPr>
        <w:t xml:space="preserve">                     </w:t>
      </w:r>
    </w:p>
    <w:p w14:paraId="6E7AE9D5">
      <w:pPr>
        <w:adjustRightInd w:val="0"/>
        <w:spacing w:line="360" w:lineRule="auto"/>
        <w:textAlignment w:val="baseline"/>
        <w:rPr>
          <w:rFonts w:hint="eastAsia" w:ascii="宋体" w:hAnsi="宋体" w:eastAsia="宋体" w:cs="宋体"/>
          <w:color w:val="000000"/>
          <w:sz w:val="24"/>
        </w:rPr>
      </w:pPr>
    </w:p>
    <w:p w14:paraId="71F7D918">
      <w:pPr>
        <w:adjustRightInd w:val="0"/>
        <w:spacing w:line="360" w:lineRule="auto"/>
        <w:textAlignment w:val="baseline"/>
        <w:rPr>
          <w:rFonts w:hint="eastAsia" w:ascii="宋体" w:hAnsi="宋体" w:eastAsia="宋体" w:cs="宋体"/>
          <w:color w:val="000000"/>
          <w:sz w:val="24"/>
        </w:rPr>
      </w:pPr>
      <w:r>
        <w:rPr>
          <w:rFonts w:hint="eastAsia" w:ascii="宋体" w:hAnsi="宋体" w:eastAsia="宋体" w:cs="宋体"/>
          <w:color w:val="000000"/>
          <w:sz w:val="24"/>
        </w:rPr>
        <w:t>电话：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传真：</w:t>
      </w:r>
      <w:r>
        <w:rPr>
          <w:rFonts w:hint="eastAsia" w:ascii="宋体" w:hAnsi="宋体" w:eastAsia="宋体" w:cs="宋体"/>
          <w:color w:val="000000"/>
          <w:sz w:val="24"/>
          <w:u w:val="single"/>
        </w:rPr>
        <w:t xml:space="preserve">                     </w:t>
      </w:r>
    </w:p>
    <w:p w14:paraId="4EDC1E5E">
      <w:pPr>
        <w:adjustRightInd w:val="0"/>
        <w:spacing w:line="360" w:lineRule="auto"/>
        <w:textAlignment w:val="baseline"/>
        <w:rPr>
          <w:rFonts w:hint="eastAsia" w:ascii="宋体" w:hAnsi="宋体" w:eastAsia="宋体" w:cs="宋体"/>
          <w:color w:val="000000"/>
          <w:sz w:val="24"/>
        </w:rPr>
      </w:pPr>
    </w:p>
    <w:p w14:paraId="39E09F10">
      <w:pPr>
        <w:adjustRightInd w:val="0"/>
        <w:spacing w:line="360" w:lineRule="auto"/>
        <w:textAlignment w:val="baseline"/>
        <w:rPr>
          <w:rFonts w:hint="eastAsia" w:ascii="宋体" w:hAnsi="宋体" w:eastAsia="宋体" w:cs="宋体"/>
          <w:color w:val="000000"/>
          <w:sz w:val="24"/>
        </w:rPr>
      </w:pPr>
      <w:r>
        <w:rPr>
          <w:rFonts w:hint="eastAsia" w:ascii="宋体" w:hAnsi="宋体" w:eastAsia="宋体" w:cs="宋体"/>
          <w:color w:val="000000"/>
          <w:sz w:val="24"/>
        </w:rPr>
        <w:t>法定代表人姓名：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职务：</w:t>
      </w:r>
      <w:bookmarkStart w:id="107" w:name="_Toc444715736"/>
      <w:r>
        <w:rPr>
          <w:rFonts w:hint="eastAsia" w:ascii="宋体" w:hAnsi="宋体" w:eastAsia="宋体" w:cs="宋体"/>
          <w:color w:val="000000"/>
          <w:sz w:val="24"/>
          <w:u w:val="single"/>
        </w:rPr>
        <w:t xml:space="preserve">                     </w:t>
      </w:r>
    </w:p>
    <w:p w14:paraId="694F704C">
      <w:pPr>
        <w:tabs>
          <w:tab w:val="left" w:pos="168"/>
        </w:tabs>
        <w:adjustRightInd w:val="0"/>
        <w:spacing w:line="360" w:lineRule="auto"/>
        <w:ind w:right="480"/>
        <w:jc w:val="right"/>
        <w:textAlignment w:val="baseline"/>
        <w:rPr>
          <w:rFonts w:hint="eastAsia" w:ascii="宋体" w:hAnsi="宋体" w:eastAsia="宋体" w:cs="宋体"/>
          <w:bCs/>
          <w:color w:val="000000"/>
          <w:sz w:val="24"/>
          <w:szCs w:val="28"/>
        </w:rPr>
      </w:pPr>
    </w:p>
    <w:p w14:paraId="4E8D1E1D">
      <w:pPr>
        <w:tabs>
          <w:tab w:val="left" w:pos="168"/>
        </w:tabs>
        <w:adjustRightInd w:val="0"/>
        <w:spacing w:line="360" w:lineRule="auto"/>
        <w:ind w:right="240"/>
        <w:jc w:val="right"/>
        <w:textAlignment w:val="baseline"/>
        <w:rPr>
          <w:rFonts w:hint="eastAsia" w:ascii="宋体" w:hAnsi="宋体" w:eastAsia="宋体" w:cs="宋体"/>
          <w:bCs/>
          <w:color w:val="000000"/>
          <w:sz w:val="24"/>
          <w:szCs w:val="28"/>
        </w:rPr>
      </w:pPr>
    </w:p>
    <w:p w14:paraId="5EC2AA9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2A71FC78">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530BCA58">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6E46833F">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br w:type="page"/>
      </w:r>
    </w:p>
    <w:bookmarkEnd w:id="107"/>
    <w:p w14:paraId="071780BE">
      <w:pPr>
        <w:pStyle w:val="17"/>
        <w:rPr>
          <w:rFonts w:hint="eastAsia" w:ascii="宋体" w:hAnsi="宋体" w:eastAsia="宋体" w:cs="宋体"/>
          <w:color w:val="000000"/>
        </w:rPr>
      </w:pPr>
      <w:bookmarkStart w:id="108" w:name="_Toc25583"/>
      <w:bookmarkStart w:id="109" w:name="_Toc444715737"/>
      <w:r>
        <w:rPr>
          <w:rFonts w:hint="eastAsia" w:ascii="宋体" w:hAnsi="宋体" w:eastAsia="宋体" w:cs="宋体"/>
          <w:color w:val="000000"/>
        </w:rPr>
        <w:t xml:space="preserve"> </w:t>
      </w:r>
      <w:bookmarkEnd w:id="108"/>
      <w:bookmarkEnd w:id="109"/>
    </w:p>
    <w:p w14:paraId="6EA48F4B">
      <w:pPr>
        <w:pStyle w:val="6"/>
        <w:numPr>
          <w:ilvl w:val="0"/>
          <w:numId w:val="0"/>
        </w:numPr>
        <w:ind w:left="709" w:hanging="709"/>
        <w:rPr>
          <w:rFonts w:hint="eastAsia" w:ascii="宋体" w:hAnsi="宋体" w:eastAsia="宋体" w:cs="宋体"/>
          <w:color w:val="000000"/>
          <w:lang w:val="zh-CN"/>
        </w:rPr>
      </w:pPr>
      <w:bookmarkStart w:id="110" w:name="_Toc18521"/>
      <w:r>
        <w:rPr>
          <w:rFonts w:hint="eastAsia" w:ascii="宋体" w:hAnsi="宋体" w:eastAsia="宋体" w:cs="宋体"/>
          <w:b/>
          <w:color w:val="000000"/>
          <w:sz w:val="32"/>
          <w:lang w:val="zh-CN"/>
        </w:rPr>
        <w:t>格式2、法定代表人证明书</w:t>
      </w:r>
      <w:bookmarkEnd w:id="110"/>
    </w:p>
    <w:p w14:paraId="1BB79278">
      <w:pPr>
        <w:spacing w:line="360" w:lineRule="auto"/>
        <w:rPr>
          <w:rFonts w:hint="eastAsia" w:ascii="宋体" w:hAnsi="宋体" w:eastAsia="宋体" w:cs="宋体"/>
          <w:color w:val="000000"/>
          <w:lang w:val="zh-CN"/>
        </w:rPr>
      </w:pPr>
    </w:p>
    <w:p w14:paraId="1A4F9478">
      <w:pPr>
        <w:autoSpaceDE w:val="0"/>
        <w:autoSpaceDN w:val="0"/>
        <w:adjustRightInd w:val="0"/>
        <w:spacing w:line="360" w:lineRule="auto"/>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0"/>
          <w:szCs w:val="30"/>
          <w:lang w:val="zh-CN"/>
        </w:rPr>
        <w:t>法定代表人证明书</w:t>
      </w:r>
    </w:p>
    <w:p w14:paraId="4A157017">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致：青海国焱工程项目管理有限公司</w:t>
      </w:r>
    </w:p>
    <w:p w14:paraId="72729521">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p>
    <w:p w14:paraId="42811805">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u w:val="single"/>
          <w:lang w:val="zh-CN"/>
        </w:rPr>
        <w:t xml:space="preserve">（法定代表人姓名）  </w:t>
      </w:r>
      <w:r>
        <w:rPr>
          <w:rFonts w:hint="eastAsia" w:ascii="宋体" w:hAnsi="宋体" w:eastAsia="宋体" w:cs="宋体"/>
          <w:color w:val="000000"/>
          <w:kern w:val="0"/>
          <w:sz w:val="24"/>
          <w:lang w:val="zh-CN"/>
        </w:rPr>
        <w:t>现任我单位</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职务，为法定代表人，特此证明。</w:t>
      </w:r>
    </w:p>
    <w:p w14:paraId="38853B43">
      <w:pPr>
        <w:autoSpaceDE w:val="0"/>
        <w:autoSpaceDN w:val="0"/>
        <w:adjustRightInd w:val="0"/>
        <w:spacing w:line="360" w:lineRule="auto"/>
        <w:rPr>
          <w:rFonts w:hint="eastAsia" w:ascii="宋体" w:hAnsi="宋体" w:eastAsia="宋体" w:cs="宋体"/>
          <w:color w:val="000000"/>
          <w:kern w:val="0"/>
          <w:sz w:val="24"/>
          <w:lang w:val="zh-CN"/>
        </w:rPr>
      </w:pPr>
    </w:p>
    <w:p w14:paraId="78A501D0">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法定代表人基本情况： </w:t>
      </w:r>
    </w:p>
    <w:p w14:paraId="59726024">
      <w:pPr>
        <w:autoSpaceDE w:val="0"/>
        <w:autoSpaceDN w:val="0"/>
        <w:adjustRightInd w:val="0"/>
        <w:spacing w:line="360" w:lineRule="auto"/>
        <w:rPr>
          <w:rFonts w:hint="eastAsia" w:ascii="宋体" w:hAnsi="宋体" w:eastAsia="宋体" w:cs="宋体"/>
          <w:color w:val="000000"/>
          <w:kern w:val="0"/>
          <w:sz w:val="24"/>
          <w:lang w:val="zh-CN"/>
        </w:rPr>
      </w:pPr>
    </w:p>
    <w:p w14:paraId="66A50265">
      <w:pPr>
        <w:autoSpaceDE w:val="0"/>
        <w:autoSpaceDN w:val="0"/>
        <w:adjustRightInd w:val="0"/>
        <w:spacing w:line="360" w:lineRule="auto"/>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性别：</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年龄：</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 xml:space="preserve"> 民族：</w:t>
      </w:r>
      <w:r>
        <w:rPr>
          <w:rFonts w:hint="eastAsia" w:ascii="宋体" w:hAnsi="宋体" w:eastAsia="宋体" w:cs="宋体"/>
          <w:color w:val="000000"/>
          <w:kern w:val="0"/>
          <w:sz w:val="24"/>
          <w:u w:val="single"/>
          <w:lang w:val="zh-CN"/>
        </w:rPr>
        <w:t xml:space="preserve">         </w:t>
      </w:r>
    </w:p>
    <w:p w14:paraId="50841ED0">
      <w:pPr>
        <w:autoSpaceDE w:val="0"/>
        <w:autoSpaceDN w:val="0"/>
        <w:adjustRightInd w:val="0"/>
        <w:spacing w:line="360" w:lineRule="auto"/>
        <w:rPr>
          <w:rFonts w:hint="eastAsia" w:ascii="宋体" w:hAnsi="宋体" w:eastAsia="宋体" w:cs="宋体"/>
          <w:color w:val="000000"/>
          <w:kern w:val="0"/>
          <w:sz w:val="24"/>
          <w:lang w:val="zh-CN"/>
        </w:rPr>
      </w:pPr>
    </w:p>
    <w:p w14:paraId="044BD626">
      <w:pPr>
        <w:autoSpaceDE w:val="0"/>
        <w:autoSpaceDN w:val="0"/>
        <w:adjustRightInd w:val="0"/>
        <w:spacing w:line="360" w:lineRule="auto"/>
        <w:rPr>
          <w:rFonts w:hint="eastAsia" w:ascii="宋体" w:hAnsi="宋体" w:eastAsia="宋体" w:cs="宋体"/>
          <w:color w:val="000000"/>
          <w:kern w:val="0"/>
          <w:sz w:val="24"/>
          <w:u w:val="single"/>
          <w:lang w:val="zh-CN"/>
        </w:rPr>
      </w:pPr>
      <w:r>
        <w:rPr>
          <w:rFonts w:hint="eastAsia" w:ascii="宋体" w:hAnsi="宋体" w:eastAsia="宋体" w:cs="宋体"/>
          <w:color w:val="000000"/>
          <w:kern w:val="0"/>
          <w:sz w:val="24"/>
          <w:lang w:val="zh-CN"/>
        </w:rPr>
        <w:t>地址：</w:t>
      </w:r>
      <w:r>
        <w:rPr>
          <w:rFonts w:hint="eastAsia" w:ascii="宋体" w:hAnsi="宋体" w:eastAsia="宋体" w:cs="宋体"/>
          <w:color w:val="000000"/>
          <w:kern w:val="0"/>
          <w:sz w:val="24"/>
          <w:u w:val="single"/>
          <w:lang w:val="zh-CN"/>
        </w:rPr>
        <w:t xml:space="preserve">                                            </w:t>
      </w:r>
    </w:p>
    <w:p w14:paraId="1FE3CCC3">
      <w:pPr>
        <w:autoSpaceDE w:val="0"/>
        <w:autoSpaceDN w:val="0"/>
        <w:adjustRightInd w:val="0"/>
        <w:spacing w:line="360" w:lineRule="auto"/>
        <w:rPr>
          <w:rFonts w:hint="eastAsia" w:ascii="宋体" w:hAnsi="宋体" w:eastAsia="宋体" w:cs="宋体"/>
          <w:color w:val="000000"/>
          <w:kern w:val="0"/>
          <w:sz w:val="24"/>
          <w:lang w:val="zh-CN"/>
        </w:rPr>
      </w:pPr>
    </w:p>
    <w:p w14:paraId="3237E4F7">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身份证号码：</w:t>
      </w:r>
      <w:r>
        <w:rPr>
          <w:rFonts w:hint="eastAsia" w:ascii="宋体" w:hAnsi="宋体" w:eastAsia="宋体" w:cs="宋体"/>
          <w:color w:val="000000"/>
          <w:kern w:val="0"/>
          <w:sz w:val="24"/>
          <w:u w:val="single"/>
          <w:lang w:val="zh-CN"/>
        </w:rPr>
        <w:t xml:space="preserve">                                      </w:t>
      </w:r>
    </w:p>
    <w:p w14:paraId="1F16CB46">
      <w:pPr>
        <w:autoSpaceDE w:val="0"/>
        <w:autoSpaceDN w:val="0"/>
        <w:adjustRightInd w:val="0"/>
        <w:spacing w:line="360" w:lineRule="auto"/>
        <w:rPr>
          <w:rFonts w:hint="eastAsia" w:ascii="宋体" w:hAnsi="宋体" w:eastAsia="宋体" w:cs="宋体"/>
          <w:color w:val="000000"/>
          <w:kern w:val="0"/>
          <w:sz w:val="24"/>
          <w:lang w:val="zh-CN"/>
        </w:rPr>
      </w:pPr>
    </w:p>
    <w:p w14:paraId="4FD205B0">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附：法定代表人第二代身份证双面扫描（或复印）件</w:t>
      </w:r>
    </w:p>
    <w:p w14:paraId="64C3B2E9">
      <w:pPr>
        <w:autoSpaceDE w:val="0"/>
        <w:autoSpaceDN w:val="0"/>
        <w:adjustRightInd w:val="0"/>
        <w:spacing w:line="360" w:lineRule="auto"/>
        <w:rPr>
          <w:rFonts w:hint="eastAsia" w:ascii="宋体" w:hAnsi="宋体" w:eastAsia="宋体" w:cs="宋体"/>
          <w:color w:val="000000"/>
          <w:kern w:val="0"/>
          <w:sz w:val="24"/>
          <w:lang w:val="zh-CN"/>
        </w:rPr>
      </w:pPr>
    </w:p>
    <w:p w14:paraId="45778835">
      <w:pPr>
        <w:autoSpaceDE w:val="0"/>
        <w:autoSpaceDN w:val="0"/>
        <w:adjustRightInd w:val="0"/>
        <w:spacing w:line="360" w:lineRule="auto"/>
        <w:rPr>
          <w:rFonts w:hint="eastAsia" w:ascii="宋体" w:hAnsi="宋体" w:eastAsia="宋体" w:cs="宋体"/>
          <w:color w:val="000000"/>
          <w:kern w:val="0"/>
          <w:sz w:val="24"/>
          <w:lang w:val="zh-CN"/>
        </w:rPr>
      </w:pPr>
    </w:p>
    <w:p w14:paraId="4C0B546A">
      <w:pPr>
        <w:autoSpaceDE w:val="0"/>
        <w:autoSpaceDN w:val="0"/>
        <w:adjustRightInd w:val="0"/>
        <w:spacing w:line="360" w:lineRule="auto"/>
        <w:rPr>
          <w:rFonts w:hint="eastAsia" w:ascii="宋体" w:hAnsi="宋体" w:eastAsia="宋体" w:cs="宋体"/>
          <w:color w:val="000000"/>
          <w:kern w:val="0"/>
          <w:sz w:val="24"/>
          <w:lang w:val="zh-CN"/>
        </w:rPr>
      </w:pPr>
    </w:p>
    <w:p w14:paraId="240290A7">
      <w:pPr>
        <w:autoSpaceDE w:val="0"/>
        <w:autoSpaceDN w:val="0"/>
        <w:adjustRightInd w:val="0"/>
        <w:spacing w:line="360" w:lineRule="auto"/>
        <w:rPr>
          <w:rFonts w:hint="eastAsia" w:ascii="宋体" w:hAnsi="宋体" w:eastAsia="宋体" w:cs="宋体"/>
          <w:color w:val="000000"/>
          <w:kern w:val="0"/>
          <w:sz w:val="24"/>
          <w:lang w:val="zh-CN"/>
        </w:rPr>
      </w:pPr>
    </w:p>
    <w:p w14:paraId="10459793">
      <w:pPr>
        <w:autoSpaceDE w:val="0"/>
        <w:autoSpaceDN w:val="0"/>
        <w:adjustRightInd w:val="0"/>
        <w:spacing w:line="360" w:lineRule="auto"/>
        <w:rPr>
          <w:rFonts w:hint="eastAsia" w:ascii="宋体" w:hAnsi="宋体" w:eastAsia="宋体" w:cs="宋体"/>
          <w:color w:val="000000"/>
          <w:kern w:val="0"/>
          <w:sz w:val="24"/>
          <w:lang w:val="zh-CN"/>
        </w:rPr>
      </w:pPr>
    </w:p>
    <w:p w14:paraId="05A4B7AC">
      <w:pPr>
        <w:autoSpaceDE w:val="0"/>
        <w:autoSpaceDN w:val="0"/>
        <w:adjustRightInd w:val="0"/>
        <w:spacing w:line="360" w:lineRule="auto"/>
        <w:rPr>
          <w:rFonts w:hint="eastAsia" w:ascii="宋体" w:hAnsi="宋体" w:eastAsia="宋体" w:cs="宋体"/>
          <w:color w:val="000000"/>
          <w:kern w:val="0"/>
          <w:sz w:val="24"/>
          <w:lang w:val="zh-CN"/>
        </w:rPr>
      </w:pPr>
    </w:p>
    <w:p w14:paraId="48B11408">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bookmarkStart w:id="111" w:name="_Toc444715738"/>
      <w:bookmarkStart w:id="112" w:name="_Toc16858"/>
      <w:r>
        <w:rPr>
          <w:rFonts w:hint="eastAsia" w:ascii="宋体" w:hAnsi="宋体" w:eastAsia="宋体" w:cs="宋体"/>
          <w:color w:val="000000"/>
          <w:kern w:val="0"/>
          <w:sz w:val="24"/>
          <w:lang w:val="en-US" w:eastAsia="zh-CN"/>
        </w:rPr>
        <w:t xml:space="preserve"> </w:t>
      </w:r>
      <w:r>
        <w:rPr>
          <w:rFonts w:hint="eastAsia" w:ascii="宋体" w:hAnsi="宋体" w:eastAsia="宋体" w:cs="宋体"/>
          <w:bCs/>
          <w:color w:val="000000"/>
          <w:sz w:val="24"/>
          <w:szCs w:val="28"/>
        </w:rPr>
        <w:t>磋商供应商：                   （公章）</w:t>
      </w:r>
    </w:p>
    <w:p w14:paraId="60827EB7">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法定代表人：                   （签字）</w:t>
      </w:r>
    </w:p>
    <w:p w14:paraId="4E033A14">
      <w:pPr>
        <w:tabs>
          <w:tab w:val="left" w:pos="168"/>
        </w:tabs>
        <w:adjustRightInd w:val="0"/>
        <w:spacing w:line="360" w:lineRule="auto"/>
        <w:ind w:right="480" w:firstLine="3720" w:firstLineChars="1550"/>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13F21939">
      <w:pPr>
        <w:pStyle w:val="6"/>
        <w:numPr>
          <w:ilvl w:val="0"/>
          <w:numId w:val="0"/>
        </w:numPr>
        <w:ind w:left="709" w:hanging="709"/>
        <w:rPr>
          <w:rFonts w:hint="eastAsia" w:ascii="宋体" w:hAnsi="宋体" w:eastAsia="宋体" w:cs="宋体"/>
          <w:color w:val="000000"/>
          <w:szCs w:val="28"/>
        </w:rPr>
      </w:pPr>
      <w:r>
        <w:rPr>
          <w:rFonts w:hint="eastAsia" w:ascii="宋体" w:hAnsi="宋体" w:eastAsia="宋体" w:cs="宋体"/>
          <w:bCs/>
          <w:color w:val="000000"/>
          <w:szCs w:val="28"/>
        </w:rPr>
        <w:br w:type="page"/>
      </w:r>
      <w:bookmarkStart w:id="113" w:name="_Toc8135"/>
      <w:r>
        <w:rPr>
          <w:rFonts w:hint="eastAsia" w:ascii="宋体" w:hAnsi="宋体" w:eastAsia="宋体" w:cs="宋体"/>
          <w:b/>
          <w:color w:val="000000"/>
          <w:sz w:val="32"/>
          <w:lang w:val="zh-CN"/>
        </w:rPr>
        <w:t>格式3、法定代表人授权书</w:t>
      </w:r>
      <w:bookmarkEnd w:id="111"/>
      <w:bookmarkEnd w:id="112"/>
      <w:bookmarkEnd w:id="113"/>
    </w:p>
    <w:p w14:paraId="2FD26266">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法定代表人授权书</w:t>
      </w:r>
    </w:p>
    <w:p w14:paraId="09E987FB">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致：青海国焱工程项目管理有限公司</w:t>
      </w:r>
    </w:p>
    <w:p w14:paraId="194E6E82">
      <w:pPr>
        <w:spacing w:line="360" w:lineRule="auto"/>
        <w:rPr>
          <w:rFonts w:hint="eastAsia" w:ascii="宋体" w:hAnsi="宋体" w:eastAsia="宋体" w:cs="宋体"/>
          <w:color w:val="000000"/>
          <w:sz w:val="24"/>
          <w:u w:val="single"/>
        </w:rPr>
      </w:pPr>
    </w:p>
    <w:p w14:paraId="7AC6D52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rPr>
        <w:t xml:space="preserve">  （磋商供应商名称）  </w:t>
      </w:r>
      <w:r>
        <w:rPr>
          <w:rFonts w:hint="eastAsia" w:ascii="宋体" w:hAnsi="宋体" w:eastAsia="宋体" w:cs="宋体"/>
          <w:color w:val="000000"/>
          <w:sz w:val="24"/>
        </w:rPr>
        <w:t>系中华人民共和国合法企业，法定地址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9B009B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rPr>
        <w:t xml:space="preserve">  （法定代表人姓名）  </w:t>
      </w:r>
      <w:r>
        <w:rPr>
          <w:rFonts w:hint="eastAsia" w:ascii="宋体" w:hAnsi="宋体" w:eastAsia="宋体" w:cs="宋体"/>
          <w:color w:val="000000"/>
          <w:sz w:val="24"/>
        </w:rPr>
        <w:t>特授权</w:t>
      </w:r>
      <w:r>
        <w:rPr>
          <w:rFonts w:hint="eastAsia" w:ascii="宋体" w:hAnsi="宋体" w:eastAsia="宋体" w:cs="宋体"/>
          <w:color w:val="000000"/>
          <w:sz w:val="24"/>
          <w:u w:val="single"/>
        </w:rPr>
        <w:t>（被授权人姓名）</w:t>
      </w:r>
      <w:r>
        <w:rPr>
          <w:rFonts w:hint="eastAsia" w:ascii="宋体" w:hAnsi="宋体" w:eastAsia="宋体" w:cs="宋体"/>
          <w:color w:val="000000"/>
          <w:sz w:val="24"/>
        </w:rPr>
        <w:t>代表我单位全权办理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项目的磋商、答疑等具体工作，并签署全部有关的文件、协议及合同。</w:t>
      </w:r>
    </w:p>
    <w:p w14:paraId="7C05732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我单位对被授权人的签名负全部责任。</w:t>
      </w:r>
    </w:p>
    <w:p w14:paraId="059F005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在撤销授权的书面通知以前，本授权书一直有效。被授权人签署的所有文件（在授权书有效期内签署的）不因授权的撤销而失效。</w:t>
      </w:r>
    </w:p>
    <w:p w14:paraId="5FF70703">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p>
    <w:p w14:paraId="3D0E398F">
      <w:pPr>
        <w:spacing w:line="360" w:lineRule="auto"/>
        <w:rPr>
          <w:rFonts w:hint="eastAsia" w:ascii="宋体" w:hAnsi="宋体" w:eastAsia="宋体" w:cs="宋体"/>
          <w:color w:val="000000"/>
          <w:sz w:val="24"/>
        </w:rPr>
      </w:pPr>
    </w:p>
    <w:p w14:paraId="72794C5B">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被授权人联系电话：</w:t>
      </w:r>
      <w:r>
        <w:rPr>
          <w:rFonts w:hint="eastAsia" w:ascii="宋体" w:hAnsi="宋体" w:eastAsia="宋体" w:cs="宋体"/>
          <w:color w:val="000000"/>
          <w:sz w:val="24"/>
          <w:u w:val="single"/>
        </w:rPr>
        <w:t xml:space="preserve">               </w:t>
      </w:r>
    </w:p>
    <w:p w14:paraId="226F4A0F">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被授权人（委托代理人）签名：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授权人（法定代表人）签名：</w:t>
      </w:r>
      <w:r>
        <w:rPr>
          <w:rFonts w:hint="eastAsia" w:ascii="宋体" w:hAnsi="宋体" w:eastAsia="宋体" w:cs="宋体"/>
          <w:color w:val="000000"/>
          <w:sz w:val="24"/>
          <w:u w:val="single"/>
        </w:rPr>
        <w:t xml:space="preserve">            </w:t>
      </w:r>
    </w:p>
    <w:p w14:paraId="41F25E58">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职务：</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职务：</w:t>
      </w:r>
      <w:r>
        <w:rPr>
          <w:rFonts w:hint="eastAsia" w:ascii="宋体" w:hAnsi="宋体" w:eastAsia="宋体" w:cs="宋体"/>
          <w:color w:val="000000"/>
          <w:sz w:val="24"/>
          <w:u w:val="single"/>
        </w:rPr>
        <w:t xml:space="preserve">            </w:t>
      </w:r>
    </w:p>
    <w:p w14:paraId="3461B716">
      <w:pPr>
        <w:spacing w:line="360" w:lineRule="auto"/>
        <w:rPr>
          <w:rFonts w:hint="eastAsia" w:ascii="宋体" w:hAnsi="宋体" w:eastAsia="宋体" w:cs="宋体"/>
          <w:color w:val="000000"/>
          <w:sz w:val="24"/>
        </w:rPr>
      </w:pPr>
      <w:r>
        <w:rPr>
          <w:rFonts w:hint="eastAsia" w:ascii="宋体" w:hAnsi="宋体" w:eastAsia="宋体" w:cs="宋体"/>
          <w:color w:val="000000"/>
          <w:sz w:val="24"/>
        </w:rPr>
        <w:t>附：被授权人身份证正、反面扫描（或复印）件</w:t>
      </w:r>
    </w:p>
    <w:p w14:paraId="1D0697D2">
      <w:pPr>
        <w:tabs>
          <w:tab w:val="left" w:pos="168"/>
        </w:tabs>
        <w:adjustRightInd w:val="0"/>
        <w:spacing w:line="360" w:lineRule="auto"/>
        <w:textAlignment w:val="baseline"/>
        <w:rPr>
          <w:rFonts w:hint="eastAsia" w:ascii="宋体" w:hAnsi="宋体" w:eastAsia="宋体" w:cs="宋体"/>
          <w:bCs/>
          <w:color w:val="000000"/>
          <w:sz w:val="28"/>
          <w:szCs w:val="28"/>
        </w:rPr>
      </w:pPr>
    </w:p>
    <w:p w14:paraId="0B54DFE3">
      <w:pPr>
        <w:tabs>
          <w:tab w:val="left" w:pos="168"/>
        </w:tabs>
        <w:adjustRightInd w:val="0"/>
        <w:spacing w:line="360" w:lineRule="auto"/>
        <w:textAlignment w:val="baseline"/>
        <w:rPr>
          <w:rFonts w:hint="eastAsia" w:ascii="宋体" w:hAnsi="宋体" w:eastAsia="宋体" w:cs="宋体"/>
          <w:bCs/>
          <w:color w:val="000000"/>
          <w:sz w:val="28"/>
          <w:szCs w:val="28"/>
        </w:rPr>
      </w:pPr>
    </w:p>
    <w:p w14:paraId="619C3875">
      <w:pPr>
        <w:tabs>
          <w:tab w:val="left" w:pos="168"/>
        </w:tabs>
        <w:adjustRightInd w:val="0"/>
        <w:spacing w:line="360" w:lineRule="auto"/>
        <w:textAlignment w:val="baseline"/>
        <w:rPr>
          <w:rFonts w:hint="eastAsia" w:ascii="宋体" w:hAnsi="宋体" w:eastAsia="宋体" w:cs="宋体"/>
          <w:bCs/>
          <w:color w:val="000000"/>
          <w:sz w:val="28"/>
          <w:szCs w:val="28"/>
        </w:rPr>
      </w:pPr>
    </w:p>
    <w:p w14:paraId="19D118FC">
      <w:pPr>
        <w:tabs>
          <w:tab w:val="left" w:pos="168"/>
        </w:tabs>
        <w:adjustRightInd w:val="0"/>
        <w:spacing w:line="360" w:lineRule="auto"/>
        <w:textAlignment w:val="baseline"/>
        <w:rPr>
          <w:rFonts w:hint="eastAsia" w:ascii="宋体" w:hAnsi="宋体" w:eastAsia="宋体" w:cs="宋体"/>
          <w:bCs/>
          <w:color w:val="000000"/>
          <w:sz w:val="28"/>
          <w:szCs w:val="28"/>
        </w:rPr>
      </w:pPr>
    </w:p>
    <w:p w14:paraId="55AE7931">
      <w:pPr>
        <w:tabs>
          <w:tab w:val="left" w:pos="168"/>
        </w:tabs>
        <w:adjustRightInd w:val="0"/>
        <w:spacing w:line="360" w:lineRule="auto"/>
        <w:textAlignment w:val="baseline"/>
        <w:rPr>
          <w:rFonts w:hint="eastAsia" w:ascii="宋体" w:hAnsi="宋体" w:eastAsia="宋体" w:cs="宋体"/>
          <w:bCs/>
          <w:color w:val="000000"/>
          <w:sz w:val="28"/>
          <w:szCs w:val="28"/>
        </w:rPr>
      </w:pPr>
    </w:p>
    <w:p w14:paraId="214B9440">
      <w:pPr>
        <w:tabs>
          <w:tab w:val="left" w:pos="168"/>
        </w:tabs>
        <w:adjustRightInd w:val="0"/>
        <w:spacing w:line="360" w:lineRule="auto"/>
        <w:textAlignment w:val="baseline"/>
        <w:rPr>
          <w:rFonts w:hint="eastAsia" w:ascii="宋体" w:hAnsi="宋体" w:eastAsia="宋体" w:cs="宋体"/>
          <w:bCs/>
          <w:color w:val="000000"/>
          <w:sz w:val="28"/>
          <w:szCs w:val="28"/>
        </w:rPr>
      </w:pPr>
    </w:p>
    <w:p w14:paraId="53E29993">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394F9014">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法定代表人：                   （签字）</w:t>
      </w:r>
    </w:p>
    <w:p w14:paraId="52BBE40D">
      <w:pPr>
        <w:tabs>
          <w:tab w:val="left" w:pos="168"/>
        </w:tabs>
        <w:adjustRightInd w:val="0"/>
        <w:spacing w:line="360" w:lineRule="auto"/>
        <w:ind w:right="480" w:firstLine="3600" w:firstLineChars="1500"/>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37DE5632">
      <w:pPr>
        <w:pStyle w:val="6"/>
        <w:numPr>
          <w:ilvl w:val="0"/>
          <w:numId w:val="0"/>
        </w:numPr>
        <w:ind w:left="709" w:hanging="709"/>
        <w:rPr>
          <w:rFonts w:hint="eastAsia" w:ascii="宋体" w:hAnsi="宋体" w:eastAsia="宋体" w:cs="宋体"/>
          <w:color w:val="000000"/>
          <w:lang w:val="zh-CN"/>
        </w:rPr>
      </w:pPr>
      <w:r>
        <w:rPr>
          <w:rFonts w:hint="eastAsia" w:ascii="宋体" w:hAnsi="宋体" w:eastAsia="宋体" w:cs="宋体"/>
          <w:bCs/>
          <w:color w:val="000000"/>
          <w:sz w:val="24"/>
        </w:rPr>
        <w:br w:type="page"/>
      </w:r>
      <w:bookmarkStart w:id="114" w:name="_Toc11999"/>
      <w:r>
        <w:rPr>
          <w:rFonts w:hint="eastAsia" w:ascii="宋体" w:hAnsi="宋体" w:eastAsia="宋体" w:cs="宋体"/>
          <w:b/>
          <w:color w:val="000000"/>
          <w:sz w:val="32"/>
          <w:lang w:val="zh-CN"/>
        </w:rPr>
        <w:t>格式</w:t>
      </w:r>
      <w:r>
        <w:rPr>
          <w:rFonts w:hint="eastAsia" w:hAnsi="宋体" w:eastAsia="宋体" w:cs="宋体"/>
          <w:b/>
          <w:color w:val="000000"/>
          <w:sz w:val="32"/>
          <w:lang w:val="en-US" w:eastAsia="zh-CN"/>
        </w:rPr>
        <w:t>4</w:t>
      </w:r>
      <w:r>
        <w:rPr>
          <w:rFonts w:hint="eastAsia" w:ascii="宋体" w:hAnsi="宋体" w:eastAsia="宋体" w:cs="宋体"/>
          <w:b/>
          <w:color w:val="000000"/>
          <w:sz w:val="32"/>
          <w:lang w:val="zh-CN"/>
        </w:rPr>
        <w:t>、磋商供应商承诺书</w:t>
      </w:r>
      <w:bookmarkEnd w:id="114"/>
    </w:p>
    <w:p w14:paraId="59C20374">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磋商供应商承诺书</w:t>
      </w:r>
    </w:p>
    <w:p w14:paraId="29E75CB3">
      <w:pPr>
        <w:spacing w:line="360" w:lineRule="auto"/>
        <w:rPr>
          <w:rFonts w:hint="eastAsia" w:ascii="宋体" w:hAnsi="宋体" w:eastAsia="宋体" w:cs="宋体"/>
          <w:b/>
          <w:bCs/>
          <w:color w:val="000000"/>
          <w:sz w:val="24"/>
          <w:szCs w:val="28"/>
        </w:rPr>
      </w:pPr>
      <w:r>
        <w:rPr>
          <w:rFonts w:hint="eastAsia" w:ascii="宋体" w:hAnsi="宋体" w:eastAsia="宋体" w:cs="宋体"/>
          <w:b/>
          <w:bCs/>
          <w:color w:val="000000"/>
          <w:sz w:val="24"/>
          <w:szCs w:val="28"/>
        </w:rPr>
        <w:t>致：青海国焱工程项目管理有限公司</w:t>
      </w:r>
    </w:p>
    <w:p w14:paraId="5FC0B7AA">
      <w:pPr>
        <w:spacing w:line="360" w:lineRule="auto"/>
        <w:rPr>
          <w:rFonts w:hint="eastAsia" w:ascii="宋体" w:hAnsi="宋体" w:eastAsia="宋体" w:cs="宋体"/>
          <w:color w:val="000000"/>
          <w:sz w:val="24"/>
          <w:szCs w:val="28"/>
        </w:rPr>
      </w:pPr>
    </w:p>
    <w:p w14:paraId="2D29B896">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关于贵方</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年</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月</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日</w:t>
      </w:r>
      <w:r>
        <w:rPr>
          <w:rFonts w:hint="eastAsia" w:ascii="宋体" w:hAnsi="宋体" w:eastAsia="宋体" w:cs="宋体"/>
          <w:color w:val="000000"/>
          <w:sz w:val="24"/>
          <w:szCs w:val="28"/>
          <w:u w:val="single"/>
        </w:rPr>
        <w:t xml:space="preserve">          (项目名称)</w:t>
      </w:r>
      <w:r>
        <w:rPr>
          <w:rFonts w:hint="eastAsia" w:ascii="宋体" w:hAnsi="宋体" w:eastAsia="宋体" w:cs="宋体"/>
          <w:color w:val="000000"/>
          <w:sz w:val="24"/>
          <w:szCs w:val="28"/>
        </w:rPr>
        <w:t>采购项目，本签字人愿意参加磋商，提供服务要求的所有服务，并证实提交的所有资料是准确的和真实的。同时，我代表（磋商供应商名称），在此作如下承诺：</w:t>
      </w:r>
    </w:p>
    <w:p w14:paraId="5BF8DFFC">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1、完全理解和接受磋商文件的一切规定和要求；</w:t>
      </w:r>
    </w:p>
    <w:p w14:paraId="6AE03537">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若中标，我方将按照磋商文件的具体规定与采购单位签订合同，并且严格履行合同义务，按时服务，提供优质的服务。如果在合同执行过程中，发现服务出现问题，我方一定尽快解决，并承担相应的经济责任；</w:t>
      </w:r>
    </w:p>
    <w:p w14:paraId="3EE10F6C">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3、在整个磋商过程中我方若有违规行为，贵方可按磋商文件之规定给予惩罚，我方完全接受。</w:t>
      </w:r>
    </w:p>
    <w:p w14:paraId="7651BAB3">
      <w:pPr>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4、若中标，本承诺将成为合同不可分割的一部分，与合同具有同等的法律效力。</w:t>
      </w:r>
    </w:p>
    <w:p w14:paraId="4C987EA3">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3B3D4A75">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17D57C66">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0C85DC1A">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0125B048">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696854DF">
      <w:pPr>
        <w:tabs>
          <w:tab w:val="left" w:pos="168"/>
        </w:tabs>
        <w:adjustRightInd w:val="0"/>
        <w:spacing w:line="360" w:lineRule="auto"/>
        <w:ind w:firstLine="560" w:firstLineChars="200"/>
        <w:textAlignment w:val="baseline"/>
        <w:rPr>
          <w:rFonts w:hint="eastAsia" w:ascii="宋体" w:hAnsi="宋体" w:eastAsia="宋体" w:cs="宋体"/>
          <w:bCs/>
          <w:color w:val="000000"/>
          <w:sz w:val="28"/>
          <w:szCs w:val="28"/>
        </w:rPr>
      </w:pPr>
    </w:p>
    <w:p w14:paraId="32ABBE9E">
      <w:pPr>
        <w:tabs>
          <w:tab w:val="left" w:pos="168"/>
        </w:tabs>
        <w:adjustRightInd w:val="0"/>
        <w:spacing w:line="360" w:lineRule="auto"/>
        <w:textAlignment w:val="baseline"/>
        <w:rPr>
          <w:rFonts w:hint="eastAsia" w:ascii="宋体" w:hAnsi="宋体" w:eastAsia="宋体" w:cs="宋体"/>
          <w:bCs/>
          <w:color w:val="000000"/>
          <w:sz w:val="28"/>
          <w:szCs w:val="28"/>
        </w:rPr>
      </w:pPr>
    </w:p>
    <w:p w14:paraId="036F8433">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09FF313D">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176CD26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73D46D6A">
      <w:pPr>
        <w:pStyle w:val="6"/>
        <w:numPr>
          <w:ilvl w:val="0"/>
          <w:numId w:val="0"/>
        </w:numPr>
        <w:ind w:left="709" w:hanging="709"/>
        <w:rPr>
          <w:rFonts w:hint="eastAsia" w:ascii="宋体" w:hAnsi="宋体" w:eastAsia="宋体" w:cs="宋体"/>
          <w:color w:val="000000"/>
          <w:lang w:val="zh-CN"/>
        </w:rPr>
      </w:pPr>
      <w:r>
        <w:rPr>
          <w:rFonts w:hint="eastAsia" w:ascii="宋体" w:hAnsi="宋体" w:eastAsia="宋体" w:cs="宋体"/>
          <w:bCs/>
          <w:color w:val="000000"/>
          <w:sz w:val="24"/>
        </w:rPr>
        <w:br w:type="page"/>
      </w:r>
      <w:bookmarkStart w:id="115" w:name="_Toc29258"/>
      <w:r>
        <w:rPr>
          <w:rFonts w:hint="eastAsia" w:ascii="宋体" w:hAnsi="宋体" w:eastAsia="宋体" w:cs="宋体"/>
          <w:b/>
          <w:color w:val="000000"/>
          <w:sz w:val="32"/>
          <w:lang w:val="zh-CN"/>
        </w:rPr>
        <w:t>格式</w:t>
      </w:r>
      <w:r>
        <w:rPr>
          <w:rFonts w:hint="eastAsia" w:hAnsi="宋体" w:eastAsia="宋体" w:cs="宋体"/>
          <w:b/>
          <w:color w:val="000000"/>
          <w:sz w:val="32"/>
          <w:lang w:val="en-US" w:eastAsia="zh-CN"/>
        </w:rPr>
        <w:t>5</w:t>
      </w:r>
      <w:r>
        <w:rPr>
          <w:rFonts w:hint="eastAsia" w:ascii="宋体" w:hAnsi="宋体" w:eastAsia="宋体" w:cs="宋体"/>
          <w:b/>
          <w:color w:val="000000"/>
          <w:sz w:val="32"/>
          <w:lang w:val="zh-CN"/>
        </w:rPr>
        <w:t>、供应商诚信承诺书</w:t>
      </w:r>
      <w:bookmarkEnd w:id="115"/>
    </w:p>
    <w:p w14:paraId="0EC2C20C">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供应商诚信承诺书</w:t>
      </w:r>
    </w:p>
    <w:p w14:paraId="4FDAC009">
      <w:pPr>
        <w:autoSpaceDE w:val="0"/>
        <w:autoSpaceDN w:val="0"/>
        <w:adjustRightInd w:val="0"/>
        <w:spacing w:line="360" w:lineRule="auto"/>
        <w:rPr>
          <w:rFonts w:hint="eastAsia" w:ascii="宋体" w:hAnsi="宋体" w:eastAsia="宋体" w:cs="宋体"/>
          <w:color w:val="000000"/>
          <w:kern w:val="0"/>
          <w:sz w:val="24"/>
          <w:lang w:val="zh-CN"/>
        </w:rPr>
      </w:pPr>
    </w:p>
    <w:p w14:paraId="53B51FB7">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致：青海国焱工程项目管理有限公司</w:t>
      </w:r>
    </w:p>
    <w:p w14:paraId="362A4F2C">
      <w:pPr>
        <w:autoSpaceDE w:val="0"/>
        <w:autoSpaceDN w:val="0"/>
        <w:adjustRightInd w:val="0"/>
        <w:spacing w:line="360" w:lineRule="auto"/>
        <w:rPr>
          <w:rFonts w:hint="eastAsia" w:ascii="宋体" w:hAnsi="宋体" w:eastAsia="宋体" w:cs="宋体"/>
          <w:color w:val="000000"/>
          <w:kern w:val="0"/>
          <w:sz w:val="24"/>
          <w:lang w:val="zh-CN"/>
        </w:rPr>
      </w:pPr>
    </w:p>
    <w:p w14:paraId="4918CF88">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为了诚实、客观、有序地参与青海省政府采购活动，愿就以下内容做出承诺：</w:t>
      </w:r>
    </w:p>
    <w:p w14:paraId="468D96D2">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一、自觉遵守各项法律、法规、规章、制度以及社会公德，维护廉洁环境，与同场竞争的供应商平等参加采购活动。</w:t>
      </w:r>
    </w:p>
    <w:p w14:paraId="2FB247BD">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二、参加采购代理机构组织的采购活动时，严格按照磋商文件的规定和要求提供所需的相关材料，并对所提供的各类资料的真实性负责，不虚假应标，不虚列业绩。</w:t>
      </w:r>
    </w:p>
    <w:p w14:paraId="4B32FB9C">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三、尊重参与采购活动各相关方的合法行为，接受采购活动依法形成的意见、结果。</w:t>
      </w:r>
    </w:p>
    <w:p w14:paraId="744D61A2">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四、依法参加采购活动，不围标、串标，维护市场秩序。</w:t>
      </w:r>
    </w:p>
    <w:p w14:paraId="11F82D7E">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14:paraId="3A0B5879">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六、认真履行中标人应承担的责任和义务，全面执行采购合同规定的各项内容，保质保量地按时提供采购服务。</w:t>
      </w:r>
    </w:p>
    <w:p w14:paraId="7F5096D9">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若本企业（单位）发生有悖于上述承诺的行为，愿意接受《中华人民共和国政府采购法》和《政府采购法实施条例》中对供应商的相关处理。</w:t>
      </w:r>
    </w:p>
    <w:p w14:paraId="23EFD331">
      <w:pPr>
        <w:autoSpaceDE w:val="0"/>
        <w:autoSpaceDN w:val="0"/>
        <w:adjustRightInd w:val="0"/>
        <w:spacing w:line="360" w:lineRule="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本承诺是采购项目磋商文件的组成部分。</w:t>
      </w:r>
    </w:p>
    <w:p w14:paraId="12DB0735">
      <w:pPr>
        <w:autoSpaceDE w:val="0"/>
        <w:autoSpaceDN w:val="0"/>
        <w:adjustRightInd w:val="0"/>
        <w:spacing w:line="360" w:lineRule="auto"/>
        <w:rPr>
          <w:rFonts w:hint="eastAsia" w:ascii="宋体" w:hAnsi="宋体" w:eastAsia="宋体" w:cs="宋体"/>
          <w:color w:val="000000"/>
          <w:kern w:val="0"/>
          <w:sz w:val="24"/>
          <w:lang w:val="zh-CN"/>
        </w:rPr>
      </w:pPr>
    </w:p>
    <w:p w14:paraId="6FB19749">
      <w:pPr>
        <w:autoSpaceDE w:val="0"/>
        <w:autoSpaceDN w:val="0"/>
        <w:adjustRightInd w:val="0"/>
        <w:spacing w:line="360" w:lineRule="auto"/>
        <w:rPr>
          <w:rFonts w:hint="eastAsia" w:ascii="宋体" w:hAnsi="宋体" w:eastAsia="宋体" w:cs="宋体"/>
          <w:color w:val="000000"/>
          <w:kern w:val="0"/>
          <w:sz w:val="24"/>
          <w:lang w:val="zh-CN"/>
        </w:rPr>
      </w:pPr>
    </w:p>
    <w:p w14:paraId="7EA0C0D2">
      <w:pPr>
        <w:tabs>
          <w:tab w:val="left" w:pos="168"/>
        </w:tabs>
        <w:adjustRightInd w:val="0"/>
        <w:spacing w:line="360" w:lineRule="auto"/>
        <w:textAlignment w:val="baseline"/>
        <w:rPr>
          <w:rFonts w:hint="eastAsia" w:ascii="宋体" w:hAnsi="宋体" w:eastAsia="宋体" w:cs="宋体"/>
          <w:bCs/>
          <w:color w:val="000000"/>
          <w:sz w:val="28"/>
          <w:szCs w:val="28"/>
        </w:rPr>
      </w:pPr>
      <w:bookmarkStart w:id="116" w:name="_Toc17097"/>
      <w:bookmarkStart w:id="117" w:name="_Toc444715739"/>
    </w:p>
    <w:p w14:paraId="6B5444F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338E34FF">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070C3B16">
      <w:pPr>
        <w:tabs>
          <w:tab w:val="left" w:pos="168"/>
        </w:tabs>
        <w:adjustRightInd w:val="0"/>
        <w:spacing w:line="360" w:lineRule="auto"/>
        <w:ind w:firstLine="4800" w:firstLineChars="2000"/>
        <w:jc w:val="lef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1BFB49AB">
      <w:pPr>
        <w:pStyle w:val="6"/>
        <w:numPr>
          <w:ilvl w:val="0"/>
          <w:numId w:val="0"/>
        </w:numPr>
        <w:ind w:left="709" w:hanging="709"/>
        <w:rPr>
          <w:rFonts w:hint="eastAsia" w:ascii="宋体" w:hAnsi="宋体" w:eastAsia="宋体" w:cs="宋体"/>
          <w:bCs/>
          <w:color w:val="000000"/>
          <w:sz w:val="24"/>
          <w:szCs w:val="28"/>
        </w:rPr>
      </w:pPr>
      <w:r>
        <w:rPr>
          <w:rFonts w:hint="eastAsia" w:ascii="宋体" w:hAnsi="宋体" w:eastAsia="宋体" w:cs="宋体"/>
          <w:bCs/>
          <w:color w:val="000000"/>
          <w:sz w:val="24"/>
        </w:rPr>
        <w:br w:type="page"/>
      </w:r>
      <w:bookmarkStart w:id="118" w:name="_Toc15350"/>
      <w:r>
        <w:rPr>
          <w:rStyle w:val="77"/>
          <w:rFonts w:hint="eastAsia" w:ascii="宋体" w:hAnsi="宋体" w:eastAsia="宋体" w:cs="宋体"/>
          <w:b/>
          <w:color w:val="000000"/>
          <w:sz w:val="32"/>
          <w:lang w:val="zh-CN"/>
        </w:rPr>
        <w:t>格式</w:t>
      </w:r>
      <w:r>
        <w:rPr>
          <w:rStyle w:val="77"/>
          <w:rFonts w:hint="eastAsia" w:hAnsi="宋体" w:eastAsia="宋体" w:cs="宋体"/>
          <w:b/>
          <w:color w:val="000000"/>
          <w:sz w:val="32"/>
          <w:lang w:val="en-US" w:eastAsia="zh-CN"/>
        </w:rPr>
        <w:t>6</w:t>
      </w:r>
      <w:r>
        <w:rPr>
          <w:rStyle w:val="77"/>
          <w:rFonts w:hint="eastAsia" w:ascii="宋体" w:hAnsi="宋体" w:eastAsia="宋体" w:cs="宋体"/>
          <w:b/>
          <w:color w:val="000000"/>
          <w:sz w:val="32"/>
          <w:lang w:val="zh-CN"/>
        </w:rPr>
        <w:t>、资格证明材料</w:t>
      </w:r>
      <w:bookmarkEnd w:id="116"/>
      <w:bookmarkEnd w:id="117"/>
      <w:bookmarkEnd w:id="118"/>
    </w:p>
    <w:p w14:paraId="7DBF78A1">
      <w:pPr>
        <w:spacing w:line="360" w:lineRule="auto"/>
        <w:rPr>
          <w:rFonts w:hint="eastAsia" w:ascii="宋体" w:hAnsi="宋体" w:eastAsia="宋体" w:cs="宋体"/>
          <w:color w:val="000000"/>
          <w:lang w:val="zh-CN"/>
        </w:rPr>
      </w:pPr>
    </w:p>
    <w:p w14:paraId="12CC618B">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资格证明材料</w:t>
      </w:r>
    </w:p>
    <w:p w14:paraId="40CB61CF">
      <w:pPr>
        <w:spacing w:line="360" w:lineRule="auto"/>
        <w:ind w:firstLine="424" w:firstLineChars="177"/>
        <w:rPr>
          <w:rFonts w:hint="eastAsia" w:ascii="宋体" w:hAnsi="宋体" w:eastAsia="宋体" w:cs="宋体"/>
          <w:color w:val="000000"/>
          <w:sz w:val="24"/>
        </w:rPr>
      </w:pPr>
      <w:r>
        <w:rPr>
          <w:rFonts w:hint="eastAsia" w:ascii="宋体" w:hAnsi="宋体" w:eastAsia="宋体" w:cs="宋体"/>
          <w:color w:val="000000"/>
          <w:sz w:val="24"/>
        </w:rPr>
        <w:t>资格证明材料包括：</w:t>
      </w:r>
    </w:p>
    <w:p w14:paraId="07590101">
      <w:pPr>
        <w:spacing w:line="360" w:lineRule="auto"/>
        <w:rPr>
          <w:rFonts w:hint="eastAsia" w:ascii="宋体" w:hAnsi="宋体" w:eastAsia="宋体" w:cs="宋体"/>
          <w:color w:val="000000"/>
          <w:sz w:val="24"/>
        </w:rPr>
      </w:pPr>
      <w:r>
        <w:rPr>
          <w:rFonts w:hint="eastAsia" w:ascii="宋体" w:hAnsi="宋体" w:eastAsia="宋体" w:cs="宋体"/>
          <w:color w:val="000000"/>
          <w:sz w:val="24"/>
        </w:rPr>
        <w:t>（1）单位法人营业执照、税务登记证、组织机构代码证；</w:t>
      </w:r>
    </w:p>
    <w:p w14:paraId="6D96B73B">
      <w:pPr>
        <w:spacing w:line="360" w:lineRule="auto"/>
        <w:rPr>
          <w:rFonts w:hint="eastAsia" w:ascii="宋体" w:hAnsi="宋体" w:eastAsia="宋体" w:cs="宋体"/>
          <w:color w:val="000000"/>
          <w:sz w:val="24"/>
        </w:rPr>
      </w:pPr>
      <w:r>
        <w:rPr>
          <w:rFonts w:hint="eastAsia" w:ascii="宋体" w:hAnsi="宋体" w:eastAsia="宋体" w:cs="宋体"/>
          <w:color w:val="000000"/>
          <w:sz w:val="24"/>
        </w:rPr>
        <w:t>（2）磋商文件规定的有关资格证书、许可证书、认证等；</w:t>
      </w:r>
    </w:p>
    <w:p w14:paraId="3DC158CF">
      <w:pPr>
        <w:spacing w:line="360" w:lineRule="auto"/>
        <w:rPr>
          <w:rFonts w:hint="eastAsia" w:ascii="宋体" w:hAnsi="宋体" w:eastAsia="宋体" w:cs="宋体"/>
          <w:color w:val="000000"/>
          <w:sz w:val="24"/>
        </w:rPr>
      </w:pPr>
      <w:r>
        <w:rPr>
          <w:rFonts w:hint="eastAsia" w:ascii="宋体" w:hAnsi="宋体" w:eastAsia="宋体" w:cs="宋体"/>
          <w:color w:val="000000"/>
          <w:sz w:val="24"/>
        </w:rPr>
        <w:t>（3）磋商供应商简介及获得相关证书证明文件；</w:t>
      </w:r>
    </w:p>
    <w:p w14:paraId="5B6036F0">
      <w:pPr>
        <w:spacing w:line="360" w:lineRule="auto"/>
        <w:rPr>
          <w:rFonts w:hint="eastAsia" w:ascii="宋体" w:hAnsi="宋体" w:eastAsia="宋体" w:cs="宋体"/>
          <w:color w:val="000000"/>
          <w:sz w:val="24"/>
        </w:rPr>
      </w:pPr>
      <w:r>
        <w:rPr>
          <w:rFonts w:hint="eastAsia" w:ascii="宋体" w:hAnsi="宋体" w:eastAsia="宋体" w:cs="宋体"/>
          <w:color w:val="000000"/>
          <w:sz w:val="24"/>
        </w:rPr>
        <w:t>（4）磋商供应商认为有必要提供的其他资格证明文件。</w:t>
      </w:r>
    </w:p>
    <w:p w14:paraId="0953D5CB">
      <w:pPr>
        <w:pStyle w:val="6"/>
        <w:numPr>
          <w:ilvl w:val="0"/>
          <w:numId w:val="0"/>
        </w:numPr>
        <w:ind w:left="709" w:hanging="709"/>
        <w:rPr>
          <w:rFonts w:hint="eastAsia" w:ascii="宋体" w:hAnsi="宋体" w:eastAsia="宋体" w:cs="宋体"/>
          <w:color w:val="000000"/>
          <w:lang w:val="zh-CN"/>
        </w:rPr>
      </w:pPr>
      <w:r>
        <w:rPr>
          <w:rFonts w:hint="eastAsia" w:ascii="宋体" w:hAnsi="宋体" w:eastAsia="宋体" w:cs="宋体"/>
          <w:color w:val="000000"/>
          <w:kern w:val="0"/>
          <w:sz w:val="24"/>
          <w:lang w:val="zh-CN"/>
        </w:rPr>
        <w:br w:type="page"/>
      </w:r>
      <w:bookmarkStart w:id="119" w:name="_Toc19292"/>
      <w:bookmarkStart w:id="120" w:name="_Toc20673"/>
      <w:bookmarkStart w:id="121" w:name="_Toc444715740"/>
      <w:r>
        <w:rPr>
          <w:rFonts w:hint="eastAsia" w:ascii="宋体" w:hAnsi="宋体" w:eastAsia="宋体" w:cs="宋体"/>
          <w:b/>
          <w:color w:val="000000"/>
          <w:sz w:val="32"/>
          <w:lang w:val="zh-CN"/>
        </w:rPr>
        <w:t>格式</w:t>
      </w:r>
      <w:r>
        <w:rPr>
          <w:rFonts w:hint="eastAsia" w:hAnsi="宋体" w:eastAsia="宋体" w:cs="宋体"/>
          <w:b/>
          <w:color w:val="000000"/>
          <w:sz w:val="32"/>
          <w:lang w:val="en-US" w:eastAsia="zh-CN"/>
        </w:rPr>
        <w:t>7</w:t>
      </w:r>
      <w:r>
        <w:rPr>
          <w:rFonts w:hint="eastAsia" w:ascii="宋体" w:hAnsi="宋体" w:eastAsia="宋体" w:cs="宋体"/>
          <w:b/>
          <w:color w:val="000000"/>
          <w:sz w:val="32"/>
          <w:lang w:val="zh-CN"/>
        </w:rPr>
        <w:t>、财务状况、缴纳税收和社会保障资金证明</w:t>
      </w:r>
      <w:bookmarkEnd w:id="119"/>
    </w:p>
    <w:p w14:paraId="11731419">
      <w:pPr>
        <w:spacing w:line="360" w:lineRule="auto"/>
        <w:rPr>
          <w:rFonts w:hint="eastAsia" w:ascii="宋体" w:hAnsi="宋体" w:eastAsia="宋体" w:cs="宋体"/>
          <w:color w:val="000000"/>
          <w:lang w:val="zh-CN"/>
        </w:rPr>
      </w:pPr>
    </w:p>
    <w:p w14:paraId="5320F45A">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财务状况、缴纳税收和社会保障资金证明</w:t>
      </w:r>
    </w:p>
    <w:p w14:paraId="514F3630">
      <w:pPr>
        <w:autoSpaceDE w:val="0"/>
        <w:autoSpaceDN w:val="0"/>
        <w:spacing w:line="360" w:lineRule="auto"/>
        <w:rPr>
          <w:rFonts w:hint="eastAsia" w:ascii="宋体" w:hAnsi="宋体" w:eastAsia="宋体" w:cs="宋体"/>
          <w:color w:val="000000"/>
          <w:sz w:val="24"/>
          <w:lang w:val="zh-CN"/>
        </w:rPr>
      </w:pPr>
    </w:p>
    <w:p w14:paraId="316A7F8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按照磋商文件第2.2款（1）中规定提供以下相关材料。</w:t>
      </w:r>
    </w:p>
    <w:p w14:paraId="4A231DA9">
      <w:pPr>
        <w:pStyle w:val="126"/>
        <w:spacing w:line="360" w:lineRule="auto"/>
        <w:ind w:firstLine="480"/>
        <w:jc w:val="left"/>
        <w:rPr>
          <w:rFonts w:hint="eastAsia" w:ascii="宋体" w:hAnsi="宋体" w:eastAsia="宋体" w:cs="宋体"/>
          <w:color w:val="000000"/>
          <w:sz w:val="24"/>
        </w:rPr>
      </w:pPr>
      <w:r>
        <w:rPr>
          <w:rFonts w:hint="eastAsia" w:ascii="宋体" w:hAnsi="宋体" w:eastAsia="宋体" w:cs="宋体"/>
          <w:color w:val="000000"/>
          <w:kern w:val="0"/>
          <w:sz w:val="24"/>
          <w:lang w:val="zh-CN"/>
        </w:rPr>
        <w:t>1、磋商供应商基本开户银行近三个月内出具的资信证明或经第三方机构出具的</w:t>
      </w:r>
      <w:r>
        <w:rPr>
          <w:rFonts w:hint="eastAsia" w:ascii="宋体" w:hAnsi="宋体" w:eastAsia="宋体" w:cs="宋体"/>
          <w:color w:val="000000"/>
          <w:kern w:val="0"/>
          <w:sz w:val="24"/>
        </w:rPr>
        <w:t>202</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年或202</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年度</w:t>
      </w:r>
      <w:r>
        <w:rPr>
          <w:rFonts w:hint="eastAsia" w:ascii="宋体" w:hAnsi="宋体" w:eastAsia="宋体" w:cs="宋体"/>
          <w:color w:val="000000"/>
          <w:kern w:val="0"/>
          <w:sz w:val="24"/>
          <w:lang w:val="zh-CN"/>
        </w:rPr>
        <w:t>财务状况审计报告（扫描或复印件应全面、完整、清晰），包括资产负债表、现金流量表、利润表和财务（会计）报表附注</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并提供第三方机构的营业执照、执业证书。</w:t>
      </w:r>
    </w:p>
    <w:p w14:paraId="12E1055B">
      <w:pPr>
        <w:pStyle w:val="126"/>
        <w:spacing w:line="360" w:lineRule="auto"/>
        <w:ind w:firstLineChars="0"/>
        <w:rPr>
          <w:rFonts w:hint="eastAsia" w:ascii="宋体" w:hAnsi="宋体" w:eastAsia="宋体" w:cs="宋体"/>
          <w:color w:val="000000"/>
          <w:kern w:val="0"/>
          <w:sz w:val="24"/>
          <w:lang w:val="zh-CN"/>
        </w:rPr>
      </w:pPr>
      <w:r>
        <w:rPr>
          <w:rFonts w:hint="eastAsia" w:ascii="宋体" w:hAnsi="宋体" w:eastAsia="宋体" w:cs="宋体"/>
          <w:color w:val="000000"/>
          <w:kern w:val="0"/>
          <w:sz w:val="24"/>
        </w:rPr>
        <w:t>2、</w:t>
      </w:r>
      <w:r>
        <w:rPr>
          <w:rFonts w:hint="eastAsia" w:ascii="宋体" w:hAnsi="宋体" w:eastAsia="宋体" w:cs="宋体"/>
          <w:color w:val="000000"/>
          <w:kern w:val="0"/>
          <w:sz w:val="24"/>
          <w:lang w:val="zh-CN"/>
        </w:rPr>
        <w:t>近半年内任意三个月的依法缴纳税收和社会保障资金记录的证明材料；依法免税或不需要缴纳社会保障资金的磋商供应商须提供相应文件证明其依法免税或不需要缴纳社会保障资金。</w:t>
      </w:r>
    </w:p>
    <w:p w14:paraId="6A7CD180">
      <w:pPr>
        <w:pStyle w:val="126"/>
        <w:spacing w:line="360" w:lineRule="auto"/>
        <w:ind w:firstLineChars="0"/>
        <w:rPr>
          <w:rFonts w:hint="eastAsia" w:ascii="宋体" w:hAnsi="宋体" w:eastAsia="宋体" w:cs="宋体"/>
          <w:color w:val="000000"/>
          <w:sz w:val="24"/>
        </w:rPr>
      </w:pPr>
      <w:r>
        <w:rPr>
          <w:rFonts w:hint="eastAsia" w:ascii="宋体" w:hAnsi="宋体" w:eastAsia="宋体" w:cs="宋体"/>
          <w:color w:val="000000"/>
          <w:sz w:val="24"/>
        </w:rPr>
        <w:t>3、扫描（或复印）件应全面、完整、清晰并加盖磋商供应商公章。</w:t>
      </w:r>
    </w:p>
    <w:p w14:paraId="769695EB">
      <w:pPr>
        <w:pStyle w:val="6"/>
        <w:numPr>
          <w:ilvl w:val="0"/>
          <w:numId w:val="0"/>
        </w:numPr>
        <w:ind w:left="709" w:hanging="709"/>
        <w:rPr>
          <w:rFonts w:hint="eastAsia" w:ascii="宋体" w:hAnsi="宋体" w:eastAsia="宋体" w:cs="宋体"/>
          <w:color w:val="000000"/>
          <w:lang w:val="zh-CN"/>
        </w:rPr>
      </w:pPr>
      <w:r>
        <w:rPr>
          <w:rFonts w:hint="eastAsia" w:ascii="宋体" w:hAnsi="宋体" w:eastAsia="宋体" w:cs="宋体"/>
          <w:b/>
          <w:color w:val="000000"/>
          <w:sz w:val="32"/>
          <w:lang w:val="zh-CN"/>
        </w:rPr>
        <w:br w:type="page"/>
      </w:r>
      <w:bookmarkStart w:id="122" w:name="_Toc8026"/>
      <w:r>
        <w:rPr>
          <w:rFonts w:hint="eastAsia" w:ascii="宋体" w:hAnsi="宋体" w:eastAsia="宋体" w:cs="宋体"/>
          <w:b/>
          <w:color w:val="000000"/>
          <w:sz w:val="32"/>
          <w:lang w:val="zh-CN"/>
        </w:rPr>
        <w:t>格式</w:t>
      </w:r>
      <w:r>
        <w:rPr>
          <w:rFonts w:hint="eastAsia" w:hAnsi="宋体" w:eastAsia="宋体" w:cs="宋体"/>
          <w:b/>
          <w:color w:val="000000"/>
          <w:sz w:val="32"/>
          <w:lang w:val="en-US" w:eastAsia="zh-CN"/>
        </w:rPr>
        <w:t>8</w:t>
      </w:r>
      <w:r>
        <w:rPr>
          <w:rFonts w:hint="eastAsia" w:ascii="宋体" w:hAnsi="宋体" w:eastAsia="宋体" w:cs="宋体"/>
          <w:b/>
          <w:color w:val="000000"/>
          <w:sz w:val="32"/>
          <w:lang w:val="zh-CN"/>
        </w:rPr>
        <w:t>、具备履行合同所必须的设备和专业技术能力证明</w:t>
      </w:r>
      <w:bookmarkEnd w:id="122"/>
    </w:p>
    <w:p w14:paraId="4BDCBF00">
      <w:pPr>
        <w:autoSpaceDE w:val="0"/>
        <w:autoSpaceDN w:val="0"/>
        <w:adjustRightInd w:val="0"/>
        <w:spacing w:line="360" w:lineRule="auto"/>
        <w:rPr>
          <w:rFonts w:hint="eastAsia" w:ascii="宋体" w:hAnsi="宋体" w:eastAsia="宋体" w:cs="宋体"/>
          <w:color w:val="000000"/>
          <w:kern w:val="0"/>
          <w:sz w:val="24"/>
          <w:lang w:val="zh-CN"/>
        </w:rPr>
      </w:pPr>
    </w:p>
    <w:p w14:paraId="33951D29">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具备履行合同所必须的设备和专业技术能力证明</w:t>
      </w:r>
    </w:p>
    <w:p w14:paraId="425529C5">
      <w:pPr>
        <w:rPr>
          <w:rFonts w:hint="eastAsia" w:ascii="宋体" w:hAnsi="宋体" w:eastAsia="宋体" w:cs="宋体"/>
          <w:color w:val="000000"/>
        </w:rPr>
      </w:pPr>
    </w:p>
    <w:p w14:paraId="391E317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为保证本项目合同的顺利履行，磋商供应商必须具备履行合同的设备和专业技术能力，须提供相关人员的证书或用工合同或相关设备购置发票等证明材料。须提供具备履行合同的设备和专业技术能力承诺函（格式自拟）。</w:t>
      </w:r>
    </w:p>
    <w:p w14:paraId="531A81E9">
      <w:pPr>
        <w:pStyle w:val="6"/>
        <w:numPr>
          <w:ilvl w:val="0"/>
          <w:numId w:val="0"/>
        </w:numPr>
        <w:tabs>
          <w:tab w:val="left" w:pos="720"/>
          <w:tab w:val="clear" w:pos="709"/>
        </w:tabs>
        <w:ind w:left="709" w:hanging="709"/>
        <w:rPr>
          <w:rFonts w:hint="eastAsia" w:ascii="宋体" w:hAnsi="宋体" w:eastAsia="宋体" w:cs="宋体"/>
          <w:color w:val="000000"/>
        </w:rPr>
      </w:pPr>
      <w:r>
        <w:rPr>
          <w:rFonts w:hint="eastAsia" w:ascii="宋体" w:hAnsi="宋体" w:eastAsia="宋体" w:cs="宋体"/>
          <w:color w:val="000000"/>
          <w:sz w:val="24"/>
        </w:rPr>
        <w:br w:type="page"/>
      </w:r>
      <w:bookmarkStart w:id="123" w:name="_Toc1667"/>
      <w:r>
        <w:rPr>
          <w:rFonts w:hint="eastAsia" w:ascii="宋体" w:hAnsi="宋体" w:eastAsia="宋体" w:cs="宋体"/>
          <w:b/>
          <w:bCs/>
          <w:color w:val="000000"/>
          <w:szCs w:val="28"/>
        </w:rPr>
        <w:t>格式</w:t>
      </w:r>
      <w:bookmarkEnd w:id="120"/>
      <w:bookmarkEnd w:id="121"/>
      <w:r>
        <w:rPr>
          <w:rFonts w:hint="eastAsia" w:hAnsi="宋体" w:eastAsia="宋体" w:cs="宋体"/>
          <w:b/>
          <w:bCs/>
          <w:color w:val="000000"/>
          <w:szCs w:val="28"/>
          <w:lang w:val="en-US" w:eastAsia="zh-CN"/>
        </w:rPr>
        <w:t>9</w:t>
      </w:r>
      <w:r>
        <w:rPr>
          <w:rFonts w:hint="eastAsia" w:ascii="宋体" w:hAnsi="宋体" w:eastAsia="宋体" w:cs="宋体"/>
          <w:b/>
          <w:bCs/>
          <w:color w:val="000000"/>
          <w:szCs w:val="28"/>
        </w:rPr>
        <w:t>、无重大违法记录声明</w:t>
      </w:r>
      <w:bookmarkEnd w:id="123"/>
    </w:p>
    <w:p w14:paraId="2103202E">
      <w:pPr>
        <w:autoSpaceDE w:val="0"/>
        <w:autoSpaceDN w:val="0"/>
        <w:adjustRightInd w:val="0"/>
        <w:spacing w:line="360" w:lineRule="auto"/>
        <w:rPr>
          <w:rFonts w:hint="eastAsia" w:ascii="宋体" w:hAnsi="宋体" w:eastAsia="宋体" w:cs="宋体"/>
          <w:color w:val="000000"/>
          <w:kern w:val="0"/>
          <w:sz w:val="24"/>
          <w:lang w:val="zh-CN"/>
        </w:rPr>
      </w:pPr>
    </w:p>
    <w:p w14:paraId="61B52BDE">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无重大违法记录声明</w:t>
      </w:r>
    </w:p>
    <w:p w14:paraId="56649499">
      <w:pPr>
        <w:autoSpaceDE w:val="0"/>
        <w:autoSpaceDN w:val="0"/>
        <w:adjustRightInd w:val="0"/>
        <w:spacing w:line="360" w:lineRule="auto"/>
        <w:rPr>
          <w:rFonts w:hint="eastAsia" w:ascii="宋体" w:hAnsi="宋体" w:eastAsia="宋体" w:cs="宋体"/>
          <w:color w:val="000000"/>
          <w:kern w:val="0"/>
          <w:sz w:val="22"/>
          <w:lang w:val="zh-CN"/>
        </w:rPr>
      </w:pPr>
    </w:p>
    <w:p w14:paraId="0EC6509D">
      <w:pPr>
        <w:spacing w:line="360" w:lineRule="auto"/>
        <w:ind w:firstLine="426" w:firstLineChars="177"/>
        <w:rPr>
          <w:rFonts w:hint="eastAsia" w:ascii="宋体" w:hAnsi="宋体" w:eastAsia="宋体" w:cs="宋体"/>
          <w:color w:val="000000"/>
          <w:sz w:val="22"/>
        </w:rPr>
      </w:pPr>
      <w:r>
        <w:rPr>
          <w:rFonts w:hint="eastAsia" w:ascii="宋体" w:hAnsi="宋体" w:eastAsia="宋体" w:cs="宋体"/>
          <w:b/>
          <w:bCs/>
          <w:color w:val="000000"/>
          <w:kern w:val="0"/>
          <w:sz w:val="24"/>
          <w:szCs w:val="28"/>
          <w:lang w:val="zh-CN"/>
        </w:rPr>
        <w:t>致：青海国焱工程项目管理有限公司</w:t>
      </w:r>
    </w:p>
    <w:p w14:paraId="45F418BD">
      <w:pPr>
        <w:spacing w:line="360" w:lineRule="auto"/>
        <w:ind w:firstLine="424" w:firstLineChars="177"/>
        <w:rPr>
          <w:rFonts w:hint="eastAsia" w:ascii="宋体" w:hAnsi="宋体" w:eastAsia="宋体" w:cs="宋体"/>
          <w:color w:val="000000"/>
          <w:sz w:val="24"/>
        </w:rPr>
      </w:pPr>
      <w:r>
        <w:rPr>
          <w:rFonts w:hint="eastAsia" w:ascii="宋体" w:hAnsi="宋体" w:eastAsia="宋体" w:cs="宋体"/>
          <w:color w:val="000000"/>
          <w:sz w:val="24"/>
        </w:rPr>
        <w:t>（竞争性磋商供应商名称）郑重声明，我方参加本项目竞磋活动前三年内无重大违法活动记录，符合《中华人民共和国政府采购法》规定的供应商资格条件。我方对此声明负全部法律责任。</w:t>
      </w:r>
    </w:p>
    <w:p w14:paraId="2878D1BC">
      <w:pPr>
        <w:spacing w:line="360" w:lineRule="auto"/>
        <w:ind w:firstLine="424" w:firstLineChars="177"/>
        <w:rPr>
          <w:rFonts w:hint="eastAsia" w:ascii="宋体" w:hAnsi="宋体" w:eastAsia="宋体" w:cs="宋体"/>
          <w:color w:val="000000"/>
          <w:sz w:val="24"/>
        </w:rPr>
      </w:pPr>
      <w:r>
        <w:rPr>
          <w:rFonts w:hint="eastAsia" w:ascii="宋体" w:hAnsi="宋体" w:eastAsia="宋体" w:cs="宋体"/>
          <w:color w:val="000000"/>
          <w:sz w:val="24"/>
        </w:rPr>
        <w:t xml:space="preserve"> </w:t>
      </w:r>
    </w:p>
    <w:p w14:paraId="3A3FC1EB">
      <w:pPr>
        <w:spacing w:line="360" w:lineRule="auto"/>
        <w:ind w:firstLine="424" w:firstLineChars="177"/>
        <w:rPr>
          <w:rFonts w:hint="eastAsia" w:ascii="宋体" w:hAnsi="宋体" w:eastAsia="宋体" w:cs="宋体"/>
          <w:color w:val="000000"/>
          <w:sz w:val="24"/>
        </w:rPr>
      </w:pPr>
    </w:p>
    <w:p w14:paraId="1160BBDE">
      <w:pPr>
        <w:spacing w:line="360" w:lineRule="auto"/>
        <w:ind w:firstLine="424" w:firstLineChars="177"/>
        <w:rPr>
          <w:rFonts w:hint="eastAsia" w:ascii="宋体" w:hAnsi="宋体" w:eastAsia="宋体" w:cs="宋体"/>
          <w:color w:val="000000"/>
          <w:sz w:val="24"/>
        </w:rPr>
      </w:pPr>
      <w:r>
        <w:rPr>
          <w:rFonts w:hint="eastAsia" w:ascii="宋体" w:hAnsi="宋体" w:eastAsia="宋体" w:cs="宋体"/>
          <w:color w:val="000000"/>
          <w:sz w:val="24"/>
        </w:rPr>
        <w:t>特此声明。</w:t>
      </w:r>
    </w:p>
    <w:p w14:paraId="7BB9EE75">
      <w:pPr>
        <w:spacing w:line="360" w:lineRule="auto"/>
        <w:ind w:firstLine="424" w:firstLineChars="177"/>
        <w:rPr>
          <w:rFonts w:hint="eastAsia" w:ascii="宋体" w:hAnsi="宋体" w:eastAsia="宋体" w:cs="宋体"/>
          <w:color w:val="000000"/>
          <w:sz w:val="24"/>
        </w:rPr>
      </w:pPr>
    </w:p>
    <w:p w14:paraId="21A59394">
      <w:pPr>
        <w:spacing w:line="360" w:lineRule="auto"/>
        <w:ind w:firstLine="426" w:firstLineChars="177"/>
        <w:rPr>
          <w:rFonts w:hint="eastAsia" w:ascii="宋体" w:hAnsi="宋体" w:cs="宋体"/>
          <w:b/>
          <w:bCs/>
          <w:color w:val="000000"/>
          <w:sz w:val="24"/>
        </w:rPr>
      </w:pPr>
    </w:p>
    <w:p w14:paraId="3B4E481F">
      <w:pPr>
        <w:spacing w:line="360" w:lineRule="auto"/>
        <w:ind w:firstLine="424" w:firstLineChars="177"/>
        <w:rPr>
          <w:rFonts w:hint="eastAsia" w:ascii="宋体" w:hAnsi="宋体" w:eastAsia="宋体" w:cs="宋体"/>
          <w:color w:val="000000"/>
          <w:sz w:val="24"/>
        </w:rPr>
      </w:pPr>
    </w:p>
    <w:p w14:paraId="0E0BD9DF">
      <w:pPr>
        <w:spacing w:line="360" w:lineRule="auto"/>
        <w:ind w:firstLine="424" w:firstLineChars="177"/>
        <w:rPr>
          <w:rFonts w:hint="eastAsia" w:ascii="宋体" w:hAnsi="宋体" w:eastAsia="宋体" w:cs="宋体"/>
          <w:color w:val="000000"/>
          <w:sz w:val="24"/>
        </w:rPr>
      </w:pPr>
    </w:p>
    <w:p w14:paraId="1A1B3FF9">
      <w:pPr>
        <w:spacing w:line="360" w:lineRule="auto"/>
        <w:ind w:firstLine="424" w:firstLineChars="177"/>
        <w:rPr>
          <w:rFonts w:hint="eastAsia" w:ascii="宋体" w:hAnsi="宋体" w:eastAsia="宋体" w:cs="宋体"/>
          <w:color w:val="000000"/>
          <w:sz w:val="24"/>
        </w:rPr>
      </w:pPr>
    </w:p>
    <w:p w14:paraId="0E678B36">
      <w:pPr>
        <w:spacing w:line="360" w:lineRule="auto"/>
        <w:ind w:firstLine="424" w:firstLineChars="177"/>
        <w:rPr>
          <w:rFonts w:hint="eastAsia" w:ascii="宋体" w:hAnsi="宋体" w:eastAsia="宋体" w:cs="宋体"/>
          <w:color w:val="000000"/>
          <w:sz w:val="24"/>
        </w:rPr>
      </w:pPr>
    </w:p>
    <w:p w14:paraId="0DD57481">
      <w:pPr>
        <w:spacing w:line="360" w:lineRule="auto"/>
        <w:ind w:firstLine="424" w:firstLineChars="177"/>
        <w:rPr>
          <w:rFonts w:hint="eastAsia" w:ascii="宋体" w:hAnsi="宋体" w:eastAsia="宋体" w:cs="宋体"/>
          <w:color w:val="000000"/>
          <w:sz w:val="24"/>
        </w:rPr>
      </w:pPr>
    </w:p>
    <w:p w14:paraId="5E6F07E1">
      <w:pPr>
        <w:spacing w:line="360" w:lineRule="auto"/>
        <w:ind w:firstLine="424" w:firstLineChars="177"/>
        <w:rPr>
          <w:rFonts w:hint="eastAsia" w:ascii="宋体" w:hAnsi="宋体" w:eastAsia="宋体" w:cs="宋体"/>
          <w:color w:val="000000"/>
          <w:sz w:val="24"/>
        </w:rPr>
      </w:pPr>
    </w:p>
    <w:p w14:paraId="54EA9280">
      <w:pPr>
        <w:spacing w:line="360" w:lineRule="auto"/>
        <w:ind w:firstLine="424" w:firstLineChars="177"/>
        <w:rPr>
          <w:rFonts w:hint="eastAsia" w:ascii="宋体" w:hAnsi="宋体" w:eastAsia="宋体" w:cs="宋体"/>
          <w:color w:val="000000"/>
          <w:sz w:val="24"/>
        </w:rPr>
      </w:pPr>
    </w:p>
    <w:p w14:paraId="5C1F9148">
      <w:pPr>
        <w:spacing w:line="360" w:lineRule="auto"/>
        <w:ind w:firstLine="424" w:firstLineChars="177"/>
        <w:rPr>
          <w:rFonts w:hint="eastAsia" w:ascii="宋体" w:hAnsi="宋体" w:eastAsia="宋体" w:cs="宋体"/>
          <w:color w:val="000000"/>
          <w:sz w:val="24"/>
        </w:rPr>
      </w:pPr>
    </w:p>
    <w:p w14:paraId="3525D408">
      <w:pPr>
        <w:spacing w:line="360" w:lineRule="auto"/>
        <w:ind w:firstLine="424" w:firstLineChars="177"/>
        <w:rPr>
          <w:rFonts w:hint="eastAsia" w:ascii="宋体" w:hAnsi="宋体" w:eastAsia="宋体" w:cs="宋体"/>
          <w:color w:val="000000"/>
          <w:sz w:val="24"/>
        </w:rPr>
      </w:pPr>
    </w:p>
    <w:p w14:paraId="7579E7B4">
      <w:pPr>
        <w:spacing w:line="360" w:lineRule="auto"/>
        <w:ind w:firstLine="424" w:firstLineChars="177"/>
        <w:rPr>
          <w:rFonts w:hint="eastAsia" w:ascii="宋体" w:hAnsi="宋体" w:eastAsia="宋体" w:cs="宋体"/>
          <w:color w:val="000000"/>
          <w:sz w:val="24"/>
        </w:rPr>
      </w:pPr>
    </w:p>
    <w:p w14:paraId="4B650FAE">
      <w:pPr>
        <w:spacing w:line="360" w:lineRule="auto"/>
        <w:ind w:firstLine="424" w:firstLineChars="177"/>
        <w:rPr>
          <w:rFonts w:hint="eastAsia" w:ascii="宋体" w:hAnsi="宋体" w:eastAsia="宋体" w:cs="宋体"/>
          <w:color w:val="000000"/>
          <w:sz w:val="24"/>
        </w:rPr>
      </w:pPr>
    </w:p>
    <w:p w14:paraId="7E5CA29B">
      <w:pPr>
        <w:spacing w:line="360" w:lineRule="auto"/>
        <w:ind w:firstLine="424" w:firstLineChars="177"/>
        <w:rPr>
          <w:rFonts w:hint="eastAsia" w:ascii="宋体" w:hAnsi="宋体" w:eastAsia="宋体" w:cs="宋体"/>
          <w:color w:val="000000"/>
          <w:sz w:val="24"/>
        </w:rPr>
      </w:pPr>
    </w:p>
    <w:p w14:paraId="32B3E822">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71BC718C">
      <w:pPr>
        <w:tabs>
          <w:tab w:val="left" w:pos="168"/>
        </w:tabs>
        <w:wordWrap w:val="0"/>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1EC92144">
      <w:pPr>
        <w:spacing w:line="360" w:lineRule="auto"/>
        <w:ind w:firstLine="424" w:firstLineChars="177"/>
        <w:rPr>
          <w:rFonts w:hint="eastAsia" w:ascii="宋体" w:hAnsi="宋体" w:eastAsia="宋体" w:cs="宋体"/>
          <w:color w:val="000000"/>
          <w:sz w:val="24"/>
        </w:rPr>
      </w:pPr>
      <w:r>
        <w:rPr>
          <w:rFonts w:hint="eastAsia" w:ascii="宋体" w:hAnsi="宋体" w:eastAsia="宋体" w:cs="宋体"/>
          <w:bCs/>
          <w:color w:val="000000"/>
          <w:sz w:val="24"/>
          <w:szCs w:val="28"/>
        </w:rPr>
        <w:t xml:space="preserve">                                日期：            年   月   日</w:t>
      </w:r>
    </w:p>
    <w:p w14:paraId="57B1F61C">
      <w:pPr>
        <w:rPr>
          <w:rFonts w:hint="eastAsia" w:ascii="宋体" w:hAnsi="宋体" w:eastAsia="宋体" w:cs="宋体"/>
          <w:color w:val="000000"/>
        </w:rPr>
      </w:pPr>
    </w:p>
    <w:p w14:paraId="28004F58">
      <w:pPr>
        <w:pStyle w:val="128"/>
        <w:ind w:firstLine="803" w:firstLineChars="250"/>
        <w:rPr>
          <w:rFonts w:hint="eastAsia" w:ascii="宋体" w:hAnsi="宋体" w:eastAsia="宋体" w:cs="宋体"/>
          <w:b/>
          <w:color w:val="000000"/>
          <w:sz w:val="32"/>
          <w:lang w:val="zh-CN"/>
        </w:rPr>
      </w:pPr>
    </w:p>
    <w:p w14:paraId="128798EE">
      <w:pPr>
        <w:pStyle w:val="6"/>
        <w:numPr>
          <w:ilvl w:val="0"/>
          <w:numId w:val="0"/>
        </w:numPr>
        <w:ind w:left="709" w:hanging="709"/>
        <w:rPr>
          <w:rFonts w:hint="eastAsia" w:ascii="宋体" w:hAnsi="宋体" w:eastAsia="宋体" w:cs="宋体"/>
          <w:b/>
          <w:bCs/>
          <w:color w:val="000000"/>
          <w:szCs w:val="28"/>
        </w:rPr>
      </w:pPr>
      <w:bookmarkStart w:id="124" w:name="_Toc10891"/>
      <w:bookmarkStart w:id="125" w:name="_Toc21450"/>
      <w:bookmarkStart w:id="126" w:name="_Toc428180589"/>
      <w:bookmarkStart w:id="127" w:name="_Toc444715741"/>
      <w:r>
        <w:rPr>
          <w:rFonts w:hint="eastAsia" w:ascii="宋体" w:hAnsi="宋体" w:eastAsia="宋体" w:cs="宋体"/>
          <w:b/>
          <w:bCs/>
          <w:color w:val="000000"/>
          <w:szCs w:val="28"/>
        </w:rPr>
        <w:t>格式1</w:t>
      </w:r>
      <w:r>
        <w:rPr>
          <w:rFonts w:hint="eastAsia" w:hAnsi="宋体" w:eastAsia="宋体" w:cs="宋体"/>
          <w:b/>
          <w:bCs/>
          <w:color w:val="000000"/>
          <w:szCs w:val="28"/>
          <w:lang w:val="en-US" w:eastAsia="zh-CN"/>
        </w:rPr>
        <w:t>0</w:t>
      </w:r>
      <w:r>
        <w:rPr>
          <w:rFonts w:hint="eastAsia" w:ascii="宋体" w:hAnsi="宋体" w:eastAsia="宋体" w:cs="宋体"/>
          <w:b/>
          <w:bCs/>
          <w:color w:val="000000"/>
          <w:szCs w:val="28"/>
        </w:rPr>
        <w:t>、磋商保证金证明</w:t>
      </w:r>
      <w:bookmarkEnd w:id="124"/>
    </w:p>
    <w:p w14:paraId="231B25D4">
      <w:pPr>
        <w:spacing w:line="360" w:lineRule="auto"/>
        <w:rPr>
          <w:rFonts w:hint="eastAsia" w:ascii="宋体" w:hAnsi="宋体" w:eastAsia="宋体" w:cs="宋体"/>
          <w:color w:val="000000"/>
          <w:sz w:val="22"/>
          <w:lang w:val="zh-CN"/>
        </w:rPr>
      </w:pPr>
    </w:p>
    <w:p w14:paraId="506803F9">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磋商保证金证明</w:t>
      </w:r>
    </w:p>
    <w:p w14:paraId="061B361A">
      <w:pPr>
        <w:autoSpaceDE w:val="0"/>
        <w:autoSpaceDN w:val="0"/>
        <w:adjustRightInd w:val="0"/>
        <w:spacing w:line="360" w:lineRule="auto"/>
        <w:rPr>
          <w:rFonts w:hint="eastAsia" w:ascii="宋体" w:hAnsi="宋体" w:eastAsia="宋体" w:cs="宋体"/>
          <w:b/>
          <w:bCs/>
          <w:color w:val="000000"/>
          <w:kern w:val="0"/>
          <w:sz w:val="24"/>
          <w:szCs w:val="28"/>
          <w:lang w:val="zh-CN"/>
        </w:rPr>
      </w:pPr>
    </w:p>
    <w:p w14:paraId="538632F8">
      <w:pPr>
        <w:autoSpaceDE w:val="0"/>
        <w:autoSpaceDN w:val="0"/>
        <w:adjustRightInd w:val="0"/>
        <w:spacing w:line="360" w:lineRule="auto"/>
        <w:rPr>
          <w:rFonts w:hint="eastAsia" w:ascii="宋体" w:hAnsi="宋体" w:eastAsia="宋体" w:cs="宋体"/>
          <w:b/>
          <w:bCs/>
          <w:color w:val="000000"/>
          <w:kern w:val="0"/>
          <w:sz w:val="22"/>
          <w:lang w:val="zh-CN"/>
        </w:rPr>
      </w:pPr>
      <w:r>
        <w:rPr>
          <w:rFonts w:hint="eastAsia" w:ascii="宋体" w:hAnsi="宋体" w:eastAsia="宋体" w:cs="宋体"/>
          <w:b/>
          <w:bCs/>
          <w:color w:val="000000"/>
          <w:kern w:val="0"/>
          <w:sz w:val="24"/>
          <w:szCs w:val="28"/>
          <w:lang w:val="zh-CN"/>
        </w:rPr>
        <w:t>致：青海国焱工程项目管理有限公司</w:t>
      </w:r>
    </w:p>
    <w:p w14:paraId="4CAD8B77">
      <w:pPr>
        <w:autoSpaceDE w:val="0"/>
        <w:autoSpaceDN w:val="0"/>
        <w:adjustRightInd w:val="0"/>
        <w:spacing w:line="360" w:lineRule="auto"/>
        <w:rPr>
          <w:rFonts w:hint="eastAsia" w:ascii="宋体" w:hAnsi="宋体" w:eastAsia="宋体" w:cs="宋体"/>
          <w:b/>
          <w:bCs/>
          <w:color w:val="000000"/>
          <w:kern w:val="0"/>
          <w:sz w:val="24"/>
          <w:lang w:val="zh-CN"/>
        </w:rPr>
      </w:pPr>
    </w:p>
    <w:p w14:paraId="4D4E253E">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我方为（项目名称）项目（采购编号为：</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）递交保证金人民币</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（大写：人民币</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元）已于</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年</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月</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日以基本户转账方式汇入你方账户。</w:t>
      </w:r>
    </w:p>
    <w:p w14:paraId="5D31739A">
      <w:pPr>
        <w:autoSpaceDE w:val="0"/>
        <w:autoSpaceDN w:val="0"/>
        <w:adjustRightInd w:val="0"/>
        <w:spacing w:line="360" w:lineRule="auto"/>
        <w:ind w:firstLine="360"/>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附件：保证金交款证明及开户许可证复印件（加盖磋商供应商公章）</w:t>
      </w:r>
    </w:p>
    <w:p w14:paraId="72E1CA13">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46E9FB26">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户    名：</w:t>
      </w:r>
    </w:p>
    <w:p w14:paraId="68E2D80E">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开户银行：</w:t>
      </w:r>
    </w:p>
    <w:p w14:paraId="48C42624">
      <w:pPr>
        <w:autoSpaceDE w:val="0"/>
        <w:autoSpaceDN w:val="0"/>
        <w:adjustRightInd w:val="0"/>
        <w:spacing w:line="360" w:lineRule="auto"/>
        <w:ind w:firstLine="36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开户帐号：</w:t>
      </w:r>
    </w:p>
    <w:p w14:paraId="7BF9E69A">
      <w:pPr>
        <w:autoSpaceDE w:val="0"/>
        <w:autoSpaceDN w:val="0"/>
        <w:adjustRightInd w:val="0"/>
        <w:spacing w:line="360" w:lineRule="auto"/>
        <w:rPr>
          <w:rFonts w:hint="eastAsia" w:ascii="宋体" w:hAnsi="宋体" w:eastAsia="宋体" w:cs="宋体"/>
          <w:color w:val="000000"/>
          <w:kern w:val="0"/>
          <w:sz w:val="24"/>
          <w:lang w:val="zh-CN"/>
        </w:rPr>
      </w:pPr>
    </w:p>
    <w:p w14:paraId="4D44BDFC">
      <w:pPr>
        <w:autoSpaceDE w:val="0"/>
        <w:autoSpaceDN w:val="0"/>
        <w:adjustRightInd w:val="0"/>
        <w:spacing w:line="360" w:lineRule="auto"/>
        <w:rPr>
          <w:rFonts w:hint="eastAsia" w:ascii="宋体" w:hAnsi="宋体" w:eastAsia="宋体" w:cs="宋体"/>
          <w:color w:val="000000"/>
          <w:kern w:val="0"/>
          <w:sz w:val="24"/>
          <w:lang w:val="zh-CN"/>
        </w:rPr>
      </w:pPr>
    </w:p>
    <w:p w14:paraId="63CAB2A8">
      <w:pPr>
        <w:autoSpaceDE w:val="0"/>
        <w:autoSpaceDN w:val="0"/>
        <w:adjustRightInd w:val="0"/>
        <w:spacing w:line="360" w:lineRule="auto"/>
        <w:rPr>
          <w:rFonts w:hint="eastAsia" w:ascii="宋体" w:hAnsi="宋体" w:eastAsia="宋体" w:cs="宋体"/>
          <w:color w:val="000000"/>
          <w:kern w:val="0"/>
          <w:sz w:val="24"/>
          <w:lang w:val="zh-CN"/>
        </w:rPr>
      </w:pPr>
    </w:p>
    <w:p w14:paraId="1FF9A103">
      <w:pPr>
        <w:autoSpaceDE w:val="0"/>
        <w:autoSpaceDN w:val="0"/>
        <w:adjustRightInd w:val="0"/>
        <w:spacing w:line="360" w:lineRule="auto"/>
        <w:rPr>
          <w:rFonts w:hint="eastAsia" w:ascii="宋体" w:hAnsi="宋体" w:eastAsia="宋体" w:cs="宋体"/>
          <w:color w:val="000000"/>
          <w:kern w:val="0"/>
          <w:sz w:val="24"/>
          <w:lang w:val="zh-CN"/>
        </w:rPr>
      </w:pPr>
    </w:p>
    <w:p w14:paraId="059DCF56">
      <w:pPr>
        <w:autoSpaceDE w:val="0"/>
        <w:autoSpaceDN w:val="0"/>
        <w:adjustRightInd w:val="0"/>
        <w:spacing w:line="360" w:lineRule="auto"/>
        <w:rPr>
          <w:rFonts w:hint="eastAsia" w:ascii="宋体" w:hAnsi="宋体" w:eastAsia="宋体" w:cs="宋体"/>
          <w:color w:val="000000"/>
          <w:kern w:val="0"/>
          <w:sz w:val="24"/>
          <w:lang w:val="zh-CN"/>
        </w:rPr>
      </w:pPr>
    </w:p>
    <w:p w14:paraId="469BB4D3">
      <w:pPr>
        <w:autoSpaceDE w:val="0"/>
        <w:autoSpaceDN w:val="0"/>
        <w:adjustRightInd w:val="0"/>
        <w:spacing w:line="360" w:lineRule="auto"/>
        <w:rPr>
          <w:rFonts w:hint="eastAsia" w:ascii="宋体" w:hAnsi="宋体" w:eastAsia="宋体" w:cs="宋体"/>
          <w:color w:val="000000"/>
          <w:kern w:val="0"/>
          <w:sz w:val="24"/>
          <w:lang w:val="zh-CN"/>
        </w:rPr>
      </w:pPr>
    </w:p>
    <w:p w14:paraId="54826635">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38EBFD9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2592DF44">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45318916">
      <w:pPr>
        <w:spacing w:line="360" w:lineRule="auto"/>
        <w:rPr>
          <w:rFonts w:hint="eastAsia" w:ascii="宋体" w:hAnsi="宋体" w:eastAsia="宋体" w:cs="宋体"/>
          <w:color w:val="000000"/>
          <w:lang w:val="zh-CN"/>
        </w:rPr>
      </w:pPr>
    </w:p>
    <w:bookmarkEnd w:id="125"/>
    <w:bookmarkEnd w:id="126"/>
    <w:bookmarkEnd w:id="127"/>
    <w:p w14:paraId="490F09B1">
      <w:pPr>
        <w:rPr>
          <w:rFonts w:hint="eastAsia" w:ascii="宋体" w:hAnsi="宋体" w:eastAsia="宋体" w:cs="宋体"/>
          <w:color w:val="000000"/>
          <w:lang w:val="zh-CN"/>
        </w:rPr>
      </w:pPr>
    </w:p>
    <w:p w14:paraId="1C40EA9A">
      <w:pPr>
        <w:rPr>
          <w:rFonts w:hint="eastAsia" w:ascii="宋体" w:hAnsi="宋体" w:eastAsia="宋体" w:cs="宋体"/>
          <w:color w:val="000000"/>
        </w:rPr>
      </w:pPr>
      <w:r>
        <w:rPr>
          <w:rFonts w:hint="eastAsia" w:ascii="宋体" w:hAnsi="宋体" w:eastAsia="宋体" w:cs="宋体"/>
          <w:color w:val="000000"/>
        </w:rPr>
        <w:t xml:space="preserve"> </w:t>
      </w:r>
    </w:p>
    <w:p w14:paraId="28BAB275">
      <w:pPr>
        <w:rPr>
          <w:rFonts w:hint="eastAsia" w:ascii="宋体" w:hAnsi="宋体" w:eastAsia="宋体" w:cs="宋体"/>
          <w:color w:val="000000"/>
        </w:rPr>
      </w:pPr>
      <w:r>
        <w:rPr>
          <w:rFonts w:hint="eastAsia" w:ascii="宋体" w:hAnsi="宋体" w:eastAsia="宋体" w:cs="宋体"/>
          <w:color w:val="000000"/>
        </w:rPr>
        <w:br w:type="page"/>
      </w:r>
    </w:p>
    <w:p w14:paraId="75B8ECDC">
      <w:pPr>
        <w:pStyle w:val="6"/>
        <w:numPr>
          <w:ilvl w:val="0"/>
          <w:numId w:val="0"/>
        </w:numPr>
        <w:ind w:left="709" w:hanging="709"/>
        <w:rPr>
          <w:rFonts w:hint="eastAsia" w:ascii="宋体" w:hAnsi="宋体" w:eastAsia="宋体" w:cs="宋体"/>
          <w:color w:val="000000"/>
          <w:lang w:val="zh-CN"/>
        </w:rPr>
      </w:pPr>
      <w:bookmarkStart w:id="128" w:name="_Toc26905"/>
      <w:r>
        <w:rPr>
          <w:rFonts w:hint="eastAsia" w:ascii="宋体" w:hAnsi="宋体" w:eastAsia="宋体" w:cs="宋体"/>
          <w:b/>
          <w:color w:val="000000"/>
          <w:sz w:val="32"/>
          <w:lang w:val="zh-CN"/>
        </w:rPr>
        <w:t>格式1</w:t>
      </w:r>
      <w:r>
        <w:rPr>
          <w:rFonts w:hint="eastAsia" w:hAnsi="宋体" w:eastAsia="宋体" w:cs="宋体"/>
          <w:b/>
          <w:color w:val="000000"/>
          <w:sz w:val="32"/>
          <w:lang w:val="en-US" w:eastAsia="zh-CN"/>
        </w:rPr>
        <w:t>1</w:t>
      </w:r>
      <w:r>
        <w:rPr>
          <w:rFonts w:hint="eastAsia" w:ascii="宋体" w:hAnsi="宋体" w:eastAsia="宋体" w:cs="宋体"/>
          <w:b/>
          <w:color w:val="000000"/>
          <w:sz w:val="32"/>
          <w:lang w:val="zh-CN"/>
        </w:rPr>
        <w:t>、</w:t>
      </w:r>
      <w:bookmarkStart w:id="129" w:name="_Toc487036155"/>
      <w:r>
        <w:rPr>
          <w:rFonts w:hint="eastAsia" w:ascii="宋体" w:hAnsi="宋体" w:eastAsia="宋体" w:cs="宋体"/>
          <w:b/>
          <w:color w:val="000000"/>
          <w:sz w:val="32"/>
          <w:szCs w:val="32"/>
        </w:rPr>
        <w:t>竞争性磋商首次报价表</w:t>
      </w:r>
      <w:bookmarkEnd w:id="128"/>
      <w:bookmarkEnd w:id="129"/>
    </w:p>
    <w:p w14:paraId="05C746FD">
      <w:pPr>
        <w:autoSpaceDE w:val="0"/>
        <w:autoSpaceDN w:val="0"/>
        <w:adjustRightInd w:val="0"/>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竞争性磋商首次报价表</w:t>
      </w:r>
    </w:p>
    <w:p w14:paraId="25B343F6">
      <w:pPr>
        <w:autoSpaceDE w:val="0"/>
        <w:autoSpaceDN w:val="0"/>
        <w:adjustRightInd w:val="0"/>
        <w:spacing w:line="360" w:lineRule="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采购项目名称:                      采购项目编号：</w:t>
      </w:r>
    </w:p>
    <w:p w14:paraId="7E6C6911">
      <w:pPr>
        <w:autoSpaceDE w:val="0"/>
        <w:autoSpaceDN w:val="0"/>
        <w:spacing w:line="360" w:lineRule="auto"/>
        <w:jc w:val="right"/>
        <w:rPr>
          <w:rFonts w:hint="eastAsia" w:ascii="宋体" w:hAnsi="宋体" w:eastAsia="宋体" w:cs="宋体"/>
          <w:bCs/>
          <w:color w:val="000000"/>
          <w:kern w:val="0"/>
          <w:sz w:val="24"/>
          <w:lang w:val="zh-CN"/>
        </w:rPr>
      </w:pPr>
    </w:p>
    <w:p w14:paraId="0B96805A">
      <w:pPr>
        <w:autoSpaceDE w:val="0"/>
        <w:autoSpaceDN w:val="0"/>
        <w:spacing w:line="360" w:lineRule="auto"/>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 xml:space="preserve">磋商供应商名称：                                        </w:t>
      </w:r>
      <w:r>
        <w:rPr>
          <w:rFonts w:hint="eastAsia" w:ascii="宋体" w:hAnsi="宋体" w:eastAsia="宋体" w:cs="宋体"/>
          <w:bCs/>
          <w:color w:val="000000"/>
          <w:kern w:val="0"/>
          <w:sz w:val="24"/>
          <w:lang w:val="zh-CN"/>
        </w:rPr>
        <w:t>单位：人民币（元）</w:t>
      </w:r>
    </w:p>
    <w:tbl>
      <w:tblPr>
        <w:tblStyle w:val="34"/>
        <w:tblW w:w="5000" w:type="pct"/>
        <w:jc w:val="center"/>
        <w:tblLayout w:type="autofit"/>
        <w:tblCellMar>
          <w:top w:w="0" w:type="dxa"/>
          <w:left w:w="108" w:type="dxa"/>
          <w:bottom w:w="0" w:type="dxa"/>
          <w:right w:w="108" w:type="dxa"/>
        </w:tblCellMar>
      </w:tblPr>
      <w:tblGrid>
        <w:gridCol w:w="2558"/>
        <w:gridCol w:w="2595"/>
        <w:gridCol w:w="1753"/>
        <w:gridCol w:w="1928"/>
      </w:tblGrid>
      <w:tr w14:paraId="379E28A9">
        <w:tblPrEx>
          <w:tblCellMar>
            <w:top w:w="0" w:type="dxa"/>
            <w:left w:w="108" w:type="dxa"/>
            <w:bottom w:w="0" w:type="dxa"/>
            <w:right w:w="108" w:type="dxa"/>
          </w:tblCellMar>
        </w:tblPrEx>
        <w:trPr>
          <w:wBefore w:w="0" w:type="dxa"/>
          <w:wAfter w:w="0" w:type="dxa"/>
          <w:trHeight w:val="699" w:hRule="atLeast"/>
          <w:jc w:val="center"/>
        </w:trPr>
        <w:tc>
          <w:tcPr>
            <w:tcW w:w="1448"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362F59">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bCs/>
                <w:color w:val="000000"/>
                <w:sz w:val="24"/>
                <w:lang w:val="zh-CN"/>
              </w:rPr>
              <w:t>项目名称</w:t>
            </w:r>
          </w:p>
        </w:tc>
        <w:tc>
          <w:tcPr>
            <w:tcW w:w="146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07EF2B">
            <w:pPr>
              <w:autoSpaceDE w:val="0"/>
              <w:autoSpaceDN w:val="0"/>
              <w:spacing w:line="360" w:lineRule="auto"/>
              <w:jc w:val="center"/>
              <w:rPr>
                <w:rFonts w:hint="eastAsia" w:ascii="宋体" w:hAnsi="宋体" w:eastAsia="宋体" w:cs="宋体"/>
                <w:color w:val="000000"/>
                <w:lang w:val="zh-CN"/>
              </w:rPr>
            </w:pPr>
            <w:r>
              <w:rPr>
                <w:rFonts w:hint="eastAsia" w:ascii="宋体" w:hAnsi="宋体" w:eastAsia="宋体" w:cs="宋体"/>
                <w:bCs/>
                <w:color w:val="000000"/>
                <w:sz w:val="24"/>
                <w:lang w:val="zh-CN"/>
              </w:rPr>
              <w:t>磋商首次报价</w:t>
            </w:r>
          </w:p>
        </w:tc>
        <w:tc>
          <w:tcPr>
            <w:tcW w:w="992" w:type="pct"/>
            <w:tcBorders>
              <w:top w:val="single" w:color="000000" w:sz="6" w:space="0"/>
              <w:left w:val="single" w:color="auto" w:sz="4" w:space="0"/>
              <w:bottom w:val="single" w:color="000000" w:sz="6" w:space="0"/>
              <w:right w:val="single" w:color="000000" w:sz="6" w:space="0"/>
            </w:tcBorders>
            <w:shd w:val="clear" w:color="000000" w:fill="FFFFFF"/>
            <w:noWrap w:val="0"/>
            <w:vAlign w:val="center"/>
          </w:tcPr>
          <w:p w14:paraId="6AFC3867">
            <w:pPr>
              <w:autoSpaceDE w:val="0"/>
              <w:autoSpaceDN w:val="0"/>
              <w:spacing w:line="360" w:lineRule="auto"/>
              <w:jc w:val="center"/>
              <w:rPr>
                <w:rFonts w:hint="eastAsia" w:ascii="宋体" w:hAnsi="宋体" w:eastAsia="宋体" w:cs="宋体"/>
                <w:bCs/>
                <w:color w:val="000000"/>
                <w:sz w:val="24"/>
                <w:lang w:val="zh-CN"/>
              </w:rPr>
            </w:pPr>
            <w:r>
              <w:rPr>
                <w:rFonts w:hint="eastAsia" w:ascii="宋体" w:hAnsi="宋体" w:eastAsia="宋体" w:cs="宋体"/>
                <w:bCs/>
                <w:color w:val="000000"/>
                <w:sz w:val="24"/>
                <w:lang w:val="zh-CN"/>
              </w:rPr>
              <w:t>服务期</w:t>
            </w:r>
          </w:p>
        </w:tc>
        <w:tc>
          <w:tcPr>
            <w:tcW w:w="1091"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536244">
            <w:pPr>
              <w:autoSpaceDE w:val="0"/>
              <w:autoSpaceDN w:val="0"/>
              <w:spacing w:line="360" w:lineRule="auto"/>
              <w:jc w:val="center"/>
              <w:rPr>
                <w:rFonts w:hint="eastAsia" w:ascii="宋体" w:hAnsi="宋体" w:eastAsia="宋体" w:cs="宋体"/>
                <w:color w:val="000000"/>
                <w:lang w:val="zh-CN"/>
              </w:rPr>
            </w:pPr>
            <w:r>
              <w:rPr>
                <w:rFonts w:hint="eastAsia" w:ascii="宋体" w:hAnsi="宋体" w:eastAsia="宋体" w:cs="宋体"/>
                <w:bCs/>
                <w:color w:val="000000"/>
                <w:sz w:val="24"/>
                <w:lang w:val="zh-CN"/>
              </w:rPr>
              <w:t>备注</w:t>
            </w:r>
          </w:p>
        </w:tc>
      </w:tr>
      <w:tr w14:paraId="2D5FC2D6">
        <w:tblPrEx>
          <w:tblCellMar>
            <w:top w:w="0" w:type="dxa"/>
            <w:left w:w="108" w:type="dxa"/>
            <w:bottom w:w="0" w:type="dxa"/>
            <w:right w:w="108" w:type="dxa"/>
          </w:tblCellMar>
        </w:tblPrEx>
        <w:trPr>
          <w:wBefore w:w="0" w:type="dxa"/>
          <w:wAfter w:w="0" w:type="dxa"/>
          <w:trHeight w:val="555" w:hRule="atLeast"/>
          <w:jc w:val="center"/>
        </w:trPr>
        <w:tc>
          <w:tcPr>
            <w:tcW w:w="1448" w:type="pct"/>
            <w:vMerge w:val="restart"/>
            <w:tcBorders>
              <w:top w:val="single" w:color="000000" w:sz="6" w:space="0"/>
              <w:left w:val="single" w:color="000000" w:sz="6" w:space="0"/>
              <w:right w:val="single" w:color="000000" w:sz="6" w:space="0"/>
            </w:tcBorders>
            <w:shd w:val="clear" w:color="000000" w:fill="FFFFFF"/>
            <w:noWrap w:val="0"/>
            <w:vAlign w:val="center"/>
          </w:tcPr>
          <w:p w14:paraId="40B2CD61">
            <w:pPr>
              <w:autoSpaceDE w:val="0"/>
              <w:autoSpaceDN w:val="0"/>
              <w:spacing w:line="360" w:lineRule="auto"/>
              <w:jc w:val="center"/>
              <w:rPr>
                <w:rFonts w:hint="eastAsia" w:ascii="宋体" w:hAnsi="宋体" w:eastAsia="宋体" w:cs="宋体"/>
                <w:color w:val="000000"/>
                <w:lang w:val="zh-CN"/>
              </w:rPr>
            </w:pPr>
          </w:p>
        </w:tc>
        <w:tc>
          <w:tcPr>
            <w:tcW w:w="146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5FE442A">
            <w:pPr>
              <w:autoSpaceDE w:val="0"/>
              <w:autoSpaceDN w:val="0"/>
              <w:spacing w:line="360" w:lineRule="auto"/>
              <w:rPr>
                <w:rFonts w:hint="eastAsia" w:ascii="宋体" w:hAnsi="宋体" w:eastAsia="宋体" w:cs="宋体"/>
                <w:color w:val="000000"/>
                <w:lang w:val="zh-CN"/>
              </w:rPr>
            </w:pPr>
            <w:r>
              <w:rPr>
                <w:rFonts w:hint="eastAsia" w:ascii="宋体" w:hAnsi="宋体" w:eastAsia="宋体" w:cs="宋体"/>
                <w:bCs/>
                <w:color w:val="000000"/>
                <w:sz w:val="24"/>
                <w:lang w:val="zh-CN"/>
              </w:rPr>
              <w:t>大写：</w:t>
            </w:r>
          </w:p>
        </w:tc>
        <w:tc>
          <w:tcPr>
            <w:tcW w:w="992" w:type="pct"/>
            <w:vMerge w:val="restart"/>
            <w:tcBorders>
              <w:top w:val="single" w:color="000000" w:sz="6" w:space="0"/>
              <w:left w:val="single" w:color="auto" w:sz="4" w:space="0"/>
              <w:right w:val="single" w:color="000000" w:sz="6" w:space="0"/>
            </w:tcBorders>
            <w:shd w:val="clear" w:color="000000" w:fill="FFFFFF"/>
            <w:noWrap w:val="0"/>
            <w:vAlign w:val="center"/>
          </w:tcPr>
          <w:p w14:paraId="39E1F180">
            <w:pPr>
              <w:autoSpaceDE w:val="0"/>
              <w:autoSpaceDN w:val="0"/>
              <w:spacing w:line="360" w:lineRule="auto"/>
              <w:ind w:firstLine="197"/>
              <w:jc w:val="center"/>
              <w:rPr>
                <w:rFonts w:hint="eastAsia" w:ascii="宋体" w:hAnsi="宋体" w:eastAsia="宋体" w:cs="宋体"/>
                <w:color w:val="000000"/>
                <w:lang w:val="zh-CN"/>
              </w:rPr>
            </w:pPr>
          </w:p>
        </w:tc>
        <w:tc>
          <w:tcPr>
            <w:tcW w:w="1091" w:type="pct"/>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2F765F">
            <w:pPr>
              <w:autoSpaceDE w:val="0"/>
              <w:autoSpaceDN w:val="0"/>
              <w:spacing w:line="360" w:lineRule="auto"/>
              <w:jc w:val="center"/>
              <w:rPr>
                <w:rFonts w:hint="eastAsia" w:ascii="宋体" w:hAnsi="宋体" w:eastAsia="宋体" w:cs="宋体"/>
                <w:color w:val="000000"/>
                <w:lang w:val="zh-CN"/>
              </w:rPr>
            </w:pPr>
          </w:p>
        </w:tc>
      </w:tr>
      <w:tr w14:paraId="55F5B62E">
        <w:tblPrEx>
          <w:tblCellMar>
            <w:top w:w="0" w:type="dxa"/>
            <w:left w:w="108" w:type="dxa"/>
            <w:bottom w:w="0" w:type="dxa"/>
            <w:right w:w="108" w:type="dxa"/>
          </w:tblCellMar>
        </w:tblPrEx>
        <w:trPr>
          <w:wBefore w:w="0" w:type="dxa"/>
          <w:wAfter w:w="0" w:type="dxa"/>
          <w:trHeight w:val="577" w:hRule="atLeast"/>
          <w:jc w:val="center"/>
        </w:trPr>
        <w:tc>
          <w:tcPr>
            <w:tcW w:w="1448" w:type="pct"/>
            <w:vMerge w:val="continue"/>
            <w:tcBorders>
              <w:left w:val="single" w:color="000000" w:sz="6" w:space="0"/>
              <w:bottom w:val="single" w:color="000000" w:sz="6" w:space="0"/>
              <w:right w:val="single" w:color="000000" w:sz="6" w:space="0"/>
            </w:tcBorders>
            <w:shd w:val="clear" w:color="000000" w:fill="FFFFFF"/>
            <w:noWrap w:val="0"/>
            <w:vAlign w:val="center"/>
          </w:tcPr>
          <w:p w14:paraId="06662BA1">
            <w:pPr>
              <w:autoSpaceDE w:val="0"/>
              <w:autoSpaceDN w:val="0"/>
              <w:spacing w:line="360" w:lineRule="auto"/>
              <w:jc w:val="center"/>
              <w:rPr>
                <w:rFonts w:hint="eastAsia" w:ascii="宋体" w:hAnsi="宋体" w:eastAsia="宋体" w:cs="宋体"/>
                <w:color w:val="000000"/>
                <w:lang w:val="zh-CN"/>
              </w:rPr>
            </w:pPr>
          </w:p>
        </w:tc>
        <w:tc>
          <w:tcPr>
            <w:tcW w:w="146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658999">
            <w:pPr>
              <w:autoSpaceDE w:val="0"/>
              <w:autoSpaceDN w:val="0"/>
              <w:spacing w:line="360" w:lineRule="auto"/>
              <w:rPr>
                <w:rFonts w:hint="eastAsia" w:ascii="宋体" w:hAnsi="宋体" w:eastAsia="宋体" w:cs="宋体"/>
                <w:color w:val="000000"/>
                <w:lang w:val="zh-CN"/>
              </w:rPr>
            </w:pPr>
            <w:r>
              <w:rPr>
                <w:rFonts w:hint="eastAsia" w:ascii="宋体" w:hAnsi="宋体" w:eastAsia="宋体" w:cs="宋体"/>
                <w:bCs/>
                <w:color w:val="000000"/>
                <w:sz w:val="24"/>
                <w:lang w:val="zh-CN"/>
              </w:rPr>
              <w:t>小写：</w:t>
            </w:r>
          </w:p>
        </w:tc>
        <w:tc>
          <w:tcPr>
            <w:tcW w:w="992" w:type="pct"/>
            <w:vMerge w:val="continue"/>
            <w:tcBorders>
              <w:left w:val="single" w:color="auto" w:sz="4" w:space="0"/>
              <w:bottom w:val="single" w:color="000000" w:sz="6" w:space="0"/>
              <w:right w:val="single" w:color="000000" w:sz="6" w:space="0"/>
            </w:tcBorders>
            <w:shd w:val="clear" w:color="000000" w:fill="FFFFFF"/>
            <w:noWrap w:val="0"/>
            <w:vAlign w:val="center"/>
          </w:tcPr>
          <w:p w14:paraId="36A0F469">
            <w:pPr>
              <w:autoSpaceDE w:val="0"/>
              <w:autoSpaceDN w:val="0"/>
              <w:spacing w:line="360" w:lineRule="auto"/>
              <w:jc w:val="center"/>
              <w:rPr>
                <w:rFonts w:hint="eastAsia" w:ascii="宋体" w:hAnsi="宋体" w:eastAsia="宋体" w:cs="宋体"/>
                <w:color w:val="000000"/>
                <w:lang w:val="zh-CN"/>
              </w:rPr>
            </w:pPr>
          </w:p>
        </w:tc>
        <w:tc>
          <w:tcPr>
            <w:tcW w:w="1091" w:type="pct"/>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33A6F8">
            <w:pPr>
              <w:autoSpaceDE w:val="0"/>
              <w:autoSpaceDN w:val="0"/>
              <w:spacing w:line="360" w:lineRule="auto"/>
              <w:jc w:val="center"/>
              <w:rPr>
                <w:rFonts w:hint="eastAsia" w:ascii="宋体" w:hAnsi="宋体" w:eastAsia="宋体" w:cs="宋体"/>
                <w:color w:val="000000"/>
                <w:lang w:val="zh-CN"/>
              </w:rPr>
            </w:pPr>
          </w:p>
        </w:tc>
      </w:tr>
    </w:tbl>
    <w:p w14:paraId="19DCF7E0">
      <w:pPr>
        <w:autoSpaceDE w:val="0"/>
        <w:autoSpaceDN w:val="0"/>
        <w:spacing w:line="360" w:lineRule="auto"/>
        <w:rPr>
          <w:rFonts w:hint="eastAsia" w:ascii="宋体" w:hAnsi="宋体" w:eastAsia="宋体" w:cs="宋体"/>
          <w:b/>
          <w:color w:val="000000"/>
          <w:szCs w:val="21"/>
          <w:lang w:val="zh-CN"/>
        </w:rPr>
      </w:pPr>
      <w:r>
        <w:rPr>
          <w:rFonts w:hint="eastAsia" w:ascii="宋体" w:hAnsi="宋体" w:eastAsia="宋体" w:cs="宋体"/>
          <w:b/>
          <w:bCs/>
          <w:color w:val="000000"/>
          <w:szCs w:val="21"/>
          <w:lang w:val="zh-CN"/>
        </w:rPr>
        <w:t>注：</w:t>
      </w:r>
      <w:r>
        <w:rPr>
          <w:rFonts w:hint="eastAsia" w:ascii="宋体" w:hAnsi="宋体" w:eastAsia="宋体" w:cs="宋体"/>
          <w:b/>
          <w:color w:val="000000"/>
          <w:szCs w:val="21"/>
          <w:lang w:val="zh-CN"/>
        </w:rPr>
        <w:t>1、填写此表时不得改变表格形式（可按所投包增加行）。</w:t>
      </w:r>
    </w:p>
    <w:p w14:paraId="56008121">
      <w:pPr>
        <w:spacing w:line="360" w:lineRule="auto"/>
        <w:ind w:firstLine="407" w:firstLineChars="193"/>
        <w:rPr>
          <w:rFonts w:hint="eastAsia" w:ascii="宋体" w:hAnsi="宋体" w:eastAsia="宋体" w:cs="宋体"/>
          <w:b/>
          <w:color w:val="000000"/>
          <w:szCs w:val="21"/>
          <w:lang w:val="zh-CN"/>
        </w:rPr>
      </w:pPr>
      <w:r>
        <w:rPr>
          <w:rFonts w:hint="eastAsia" w:ascii="宋体" w:hAnsi="宋体" w:eastAsia="宋体" w:cs="宋体"/>
          <w:b/>
          <w:color w:val="000000"/>
          <w:szCs w:val="21"/>
          <w:lang w:val="zh-CN"/>
        </w:rPr>
        <w:t>2、“磋商报价”为磋商总价。磋商报价必须包括：完成本服务内容可能发生的各项费用，如人员工资、交通、通讯、设备、利润、税收、招标代理费以及所有有关的管理成本和其他不可预见费等全部费用。</w:t>
      </w:r>
    </w:p>
    <w:p w14:paraId="6A0E9D2E">
      <w:pPr>
        <w:spacing w:line="360" w:lineRule="auto"/>
        <w:ind w:firstLine="407" w:firstLineChars="193"/>
        <w:rPr>
          <w:rFonts w:hint="eastAsia" w:ascii="宋体" w:hAnsi="宋体" w:eastAsia="宋体" w:cs="宋体"/>
          <w:b/>
          <w:bCs/>
          <w:color w:val="000000"/>
          <w:kern w:val="0"/>
          <w:szCs w:val="21"/>
          <w:lang w:val="zh-CN"/>
        </w:rPr>
      </w:pPr>
      <w:r>
        <w:rPr>
          <w:rFonts w:hint="eastAsia" w:ascii="宋体" w:hAnsi="宋体" w:eastAsia="宋体" w:cs="宋体"/>
          <w:b/>
          <w:color w:val="000000"/>
          <w:szCs w:val="21"/>
          <w:lang w:val="zh-CN"/>
        </w:rPr>
        <w:t>3、“服务期”是指服务的具体时间。</w:t>
      </w:r>
    </w:p>
    <w:p w14:paraId="20FC2A57">
      <w:pPr>
        <w:spacing w:line="360" w:lineRule="auto"/>
        <w:ind w:firstLine="407" w:firstLineChars="193"/>
        <w:rPr>
          <w:rFonts w:hint="eastAsia" w:ascii="宋体" w:hAnsi="宋体" w:eastAsia="宋体" w:cs="宋体"/>
          <w:b/>
          <w:color w:val="000000"/>
          <w:szCs w:val="21"/>
          <w:lang w:val="zh-CN"/>
        </w:rPr>
      </w:pPr>
      <w:r>
        <w:rPr>
          <w:rFonts w:hint="eastAsia" w:ascii="宋体" w:hAnsi="宋体" w:eastAsia="宋体" w:cs="宋体"/>
          <w:b/>
          <w:color w:val="000000"/>
          <w:szCs w:val="21"/>
          <w:lang w:val="zh-CN"/>
        </w:rPr>
        <w:t>4、除在标书中编制此表以外，磋商供应商应单独密封一份“竞争性磋商首次报价表”，并标明“竞争性磋商首次报价表”字样。“竞争性磋商首次报价表”和磋商响应文件正本中的“竞争性磋商首次报价表”应完全一致。</w:t>
      </w:r>
    </w:p>
    <w:p w14:paraId="0ACF1D3C">
      <w:pPr>
        <w:spacing w:line="360" w:lineRule="auto"/>
        <w:ind w:firstLine="407" w:firstLineChars="193"/>
        <w:rPr>
          <w:rFonts w:hint="eastAsia" w:ascii="宋体" w:hAnsi="宋体" w:eastAsia="宋体" w:cs="宋体"/>
          <w:b/>
          <w:bCs/>
          <w:color w:val="000000"/>
          <w:kern w:val="0"/>
          <w:szCs w:val="21"/>
          <w:lang w:val="zh-CN"/>
        </w:rPr>
      </w:pPr>
      <w:r>
        <w:rPr>
          <w:rFonts w:hint="eastAsia" w:ascii="宋体" w:hAnsi="宋体" w:eastAsia="宋体" w:cs="宋体"/>
          <w:b/>
          <w:color w:val="000000"/>
          <w:szCs w:val="21"/>
          <w:lang w:val="zh-CN"/>
        </w:rPr>
        <w:t>5、磋商报价不能有两个或两个以上的报价方案。</w:t>
      </w:r>
    </w:p>
    <w:p w14:paraId="5F441CE1">
      <w:pPr>
        <w:spacing w:line="360" w:lineRule="auto"/>
        <w:ind w:firstLine="388" w:firstLineChars="193"/>
        <w:rPr>
          <w:rFonts w:hint="eastAsia" w:ascii="宋体" w:hAnsi="宋体" w:eastAsia="宋体" w:cs="宋体"/>
          <w:b/>
          <w:bCs/>
          <w:color w:val="000000"/>
          <w:kern w:val="0"/>
          <w:sz w:val="20"/>
          <w:lang w:val="zh-CN"/>
        </w:rPr>
      </w:pPr>
    </w:p>
    <w:p w14:paraId="3511BE1B">
      <w:pPr>
        <w:spacing w:line="360" w:lineRule="auto"/>
        <w:ind w:firstLine="388" w:firstLineChars="193"/>
        <w:rPr>
          <w:rFonts w:hint="eastAsia" w:ascii="宋体" w:hAnsi="宋体" w:eastAsia="宋体" w:cs="宋体"/>
          <w:b/>
          <w:bCs/>
          <w:color w:val="000000"/>
          <w:kern w:val="0"/>
          <w:sz w:val="20"/>
          <w:lang w:val="zh-CN"/>
        </w:rPr>
      </w:pPr>
    </w:p>
    <w:p w14:paraId="483FBD0C">
      <w:pPr>
        <w:spacing w:line="360" w:lineRule="auto"/>
        <w:ind w:firstLine="388" w:firstLineChars="193"/>
        <w:rPr>
          <w:rFonts w:hint="eastAsia" w:ascii="宋体" w:hAnsi="宋体" w:eastAsia="宋体" w:cs="宋体"/>
          <w:b/>
          <w:bCs/>
          <w:color w:val="000000"/>
          <w:kern w:val="0"/>
          <w:sz w:val="20"/>
          <w:lang w:val="zh-CN"/>
        </w:rPr>
      </w:pPr>
    </w:p>
    <w:p w14:paraId="4E2C27C7">
      <w:pPr>
        <w:spacing w:line="360" w:lineRule="auto"/>
        <w:ind w:firstLine="388" w:firstLineChars="193"/>
        <w:rPr>
          <w:rFonts w:hint="eastAsia" w:ascii="宋体" w:hAnsi="宋体" w:eastAsia="宋体" w:cs="宋体"/>
          <w:b/>
          <w:bCs/>
          <w:color w:val="000000"/>
          <w:kern w:val="0"/>
          <w:sz w:val="20"/>
          <w:szCs w:val="22"/>
          <w:lang w:val="zh-CN"/>
        </w:rPr>
      </w:pPr>
    </w:p>
    <w:p w14:paraId="5BFF2FE0">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62AC4E44">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096540BA">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538C01C3">
      <w:pPr>
        <w:pStyle w:val="19"/>
        <w:rPr>
          <w:rFonts w:hint="eastAsia" w:ascii="宋体" w:hAnsi="宋体" w:eastAsia="宋体" w:cs="宋体"/>
          <w:color w:val="000000"/>
        </w:rPr>
      </w:pPr>
      <w:bookmarkStart w:id="130" w:name="_Toc20510"/>
      <w:bookmarkStart w:id="131" w:name="_Toc25742"/>
      <w:bookmarkStart w:id="132" w:name="_Toc444715742"/>
    </w:p>
    <w:p w14:paraId="11E32DFF">
      <w:pPr>
        <w:pStyle w:val="6"/>
        <w:numPr>
          <w:ilvl w:val="0"/>
          <w:numId w:val="0"/>
        </w:numPr>
        <w:rPr>
          <w:rFonts w:hint="eastAsia" w:ascii="宋体" w:hAnsi="宋体" w:eastAsia="宋体" w:cs="宋体"/>
          <w:bCs/>
          <w:color w:val="000000"/>
          <w:sz w:val="24"/>
          <w:szCs w:val="28"/>
        </w:rPr>
      </w:pPr>
      <w:r>
        <w:rPr>
          <w:rFonts w:hint="eastAsia" w:ascii="宋体" w:hAnsi="宋体" w:eastAsia="宋体" w:cs="宋体"/>
          <w:bCs/>
          <w:color w:val="000000"/>
          <w:sz w:val="24"/>
          <w:szCs w:val="28"/>
        </w:rPr>
        <w:br w:type="page"/>
      </w:r>
      <w:bookmarkStart w:id="133" w:name="_Toc18419"/>
      <w:r>
        <w:rPr>
          <w:rFonts w:hint="eastAsia" w:ascii="宋体" w:hAnsi="宋体" w:eastAsia="宋体" w:cs="宋体"/>
          <w:b/>
          <w:color w:val="000000"/>
          <w:sz w:val="32"/>
          <w:lang w:val="zh-CN"/>
        </w:rPr>
        <w:t>格式1</w:t>
      </w:r>
      <w:r>
        <w:rPr>
          <w:rFonts w:hint="eastAsia" w:hAnsi="宋体" w:eastAsia="宋体" w:cs="宋体"/>
          <w:b/>
          <w:color w:val="000000"/>
          <w:sz w:val="32"/>
          <w:lang w:val="en-US" w:eastAsia="zh-CN"/>
        </w:rPr>
        <w:t>2</w:t>
      </w:r>
      <w:r>
        <w:rPr>
          <w:rFonts w:hint="eastAsia" w:ascii="宋体" w:hAnsi="宋体" w:eastAsia="宋体" w:cs="宋体"/>
          <w:b/>
          <w:color w:val="000000"/>
          <w:sz w:val="32"/>
          <w:lang w:val="zh-CN"/>
        </w:rPr>
        <w:t>、磋商服务相关资料</w:t>
      </w:r>
      <w:bookmarkEnd w:id="133"/>
    </w:p>
    <w:p w14:paraId="78C90640">
      <w:pPr>
        <w:spacing w:line="360" w:lineRule="auto"/>
        <w:rPr>
          <w:rFonts w:hint="eastAsia" w:ascii="宋体" w:hAnsi="宋体" w:eastAsia="宋体" w:cs="宋体"/>
          <w:b/>
          <w:bCs/>
          <w:color w:val="000000"/>
          <w:kern w:val="28"/>
          <w:sz w:val="32"/>
          <w:szCs w:val="32"/>
          <w:lang w:val="zh-CN"/>
        </w:rPr>
      </w:pPr>
    </w:p>
    <w:p w14:paraId="4D708F39">
      <w:pPr>
        <w:autoSpaceDE w:val="0"/>
        <w:autoSpaceDN w:val="0"/>
        <w:adjustRightInd w:val="0"/>
        <w:spacing w:line="360" w:lineRule="auto"/>
        <w:jc w:val="center"/>
        <w:rPr>
          <w:rFonts w:hint="eastAsia" w:ascii="宋体" w:hAnsi="宋体" w:eastAsia="宋体" w:cs="宋体"/>
          <w:bCs/>
          <w:color w:val="000000"/>
          <w:sz w:val="40"/>
          <w:szCs w:val="36"/>
          <w:lang w:val="zh-CN"/>
        </w:rPr>
      </w:pPr>
      <w:r>
        <w:rPr>
          <w:rFonts w:hint="eastAsia" w:ascii="宋体" w:hAnsi="宋体" w:eastAsia="宋体" w:cs="宋体"/>
          <w:b/>
          <w:bCs/>
          <w:color w:val="000000"/>
          <w:kern w:val="0"/>
          <w:sz w:val="32"/>
          <w:szCs w:val="30"/>
          <w:lang w:val="zh-CN"/>
        </w:rPr>
        <w:t>磋商服务相关资料</w:t>
      </w:r>
    </w:p>
    <w:bookmarkEnd w:id="130"/>
    <w:bookmarkEnd w:id="131"/>
    <w:bookmarkEnd w:id="132"/>
    <w:p w14:paraId="7FB55BCD">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投标人应按不低于采购项目要求，针对该项目的实施，提供具体方案。</w:t>
      </w:r>
    </w:p>
    <w:p w14:paraId="0445EAC4">
      <w:pPr>
        <w:autoSpaceDE w:val="0"/>
        <w:autoSpaceDN w:val="0"/>
        <w:adjustRightInd w:val="0"/>
        <w:spacing w:line="360" w:lineRule="auto"/>
        <w:ind w:firstLine="480" w:firstLineChars="200"/>
        <w:jc w:val="left"/>
        <w:rPr>
          <w:rFonts w:hint="eastAsia" w:ascii="宋体" w:hAnsi="宋体" w:eastAsia="宋体" w:cs="宋体"/>
          <w:color w:val="000000"/>
          <w:kern w:val="0"/>
          <w:sz w:val="24"/>
          <w:lang w:val="zh-CN"/>
        </w:rPr>
      </w:pPr>
    </w:p>
    <w:p w14:paraId="346FB4DD">
      <w:pPr>
        <w:rPr>
          <w:rStyle w:val="77"/>
          <w:rFonts w:hint="eastAsia" w:ascii="宋体" w:hAnsi="宋体" w:eastAsia="宋体" w:cs="宋体"/>
          <w:bCs/>
          <w:color w:val="000000"/>
          <w:sz w:val="24"/>
          <w:szCs w:val="28"/>
        </w:rPr>
      </w:pPr>
      <w:r>
        <w:rPr>
          <w:rFonts w:hint="eastAsia" w:ascii="宋体" w:hAnsi="宋体" w:eastAsia="宋体" w:cs="宋体"/>
          <w:bCs/>
          <w:color w:val="000000"/>
          <w:sz w:val="24"/>
          <w:szCs w:val="28"/>
        </w:rPr>
        <w:br w:type="page"/>
      </w:r>
      <w:bookmarkStart w:id="134" w:name="_Toc19591"/>
      <w:r>
        <w:rPr>
          <w:rStyle w:val="77"/>
          <w:rFonts w:hint="eastAsia" w:ascii="宋体" w:hAnsi="宋体" w:eastAsia="宋体" w:cs="宋体"/>
          <w:b/>
          <w:color w:val="000000"/>
          <w:sz w:val="32"/>
        </w:rPr>
        <w:t>格式1</w:t>
      </w:r>
      <w:r>
        <w:rPr>
          <w:rStyle w:val="77"/>
          <w:rFonts w:hint="eastAsia" w:ascii="宋体" w:hAnsi="宋体" w:eastAsia="宋体" w:cs="宋体"/>
          <w:b/>
          <w:color w:val="000000"/>
          <w:sz w:val="32"/>
          <w:lang w:val="en-US" w:eastAsia="zh-CN"/>
        </w:rPr>
        <w:t>3</w:t>
      </w:r>
      <w:r>
        <w:rPr>
          <w:rStyle w:val="77"/>
          <w:rFonts w:hint="eastAsia" w:ascii="宋体" w:hAnsi="宋体" w:eastAsia="宋体" w:cs="宋体"/>
          <w:b/>
          <w:color w:val="000000"/>
          <w:sz w:val="32"/>
        </w:rPr>
        <w:t>、磋商供应商的类似业绩证明材料</w:t>
      </w:r>
    </w:p>
    <w:bookmarkEnd w:id="134"/>
    <w:p w14:paraId="3FD1E9AE">
      <w:pPr>
        <w:autoSpaceDE w:val="0"/>
        <w:autoSpaceDN w:val="0"/>
        <w:adjustRightInd w:val="0"/>
        <w:spacing w:line="360" w:lineRule="auto"/>
        <w:rPr>
          <w:rFonts w:hint="eastAsia" w:ascii="宋体" w:hAnsi="宋体" w:eastAsia="宋体" w:cs="宋体"/>
          <w:color w:val="000000"/>
          <w:kern w:val="0"/>
          <w:sz w:val="28"/>
          <w:lang w:val="zh-CN"/>
        </w:rPr>
      </w:pPr>
    </w:p>
    <w:p w14:paraId="55926A5F">
      <w:pPr>
        <w:autoSpaceDE w:val="0"/>
        <w:autoSpaceDN w:val="0"/>
        <w:adjustRightInd w:val="0"/>
        <w:spacing w:line="360" w:lineRule="auto"/>
        <w:jc w:val="center"/>
        <w:rPr>
          <w:rFonts w:hint="eastAsia" w:ascii="宋体" w:hAnsi="宋体" w:eastAsia="宋体" w:cs="宋体"/>
          <w:b/>
          <w:bCs/>
          <w:color w:val="000000"/>
          <w:kern w:val="0"/>
          <w:sz w:val="32"/>
          <w:szCs w:val="30"/>
          <w:lang w:val="zh-CN"/>
        </w:rPr>
      </w:pPr>
      <w:r>
        <w:rPr>
          <w:rFonts w:hint="eastAsia" w:ascii="宋体" w:hAnsi="宋体" w:eastAsia="宋体" w:cs="宋体"/>
          <w:b/>
          <w:bCs/>
          <w:color w:val="000000"/>
          <w:kern w:val="0"/>
          <w:sz w:val="32"/>
          <w:szCs w:val="30"/>
          <w:lang w:val="zh-CN"/>
        </w:rPr>
        <w:t>磋商供应商的类似业绩证明材料</w:t>
      </w:r>
    </w:p>
    <w:p w14:paraId="198E9724">
      <w:pPr>
        <w:autoSpaceDE w:val="0"/>
        <w:autoSpaceDN w:val="0"/>
        <w:adjustRightInd w:val="0"/>
        <w:spacing w:line="360" w:lineRule="auto"/>
        <w:rPr>
          <w:rFonts w:hint="eastAsia" w:ascii="宋体" w:hAnsi="宋体" w:eastAsia="宋体" w:cs="宋体"/>
          <w:color w:val="000000"/>
          <w:kern w:val="0"/>
          <w:sz w:val="24"/>
          <w:lang w:val="zh-CN"/>
        </w:rPr>
      </w:pPr>
    </w:p>
    <w:p w14:paraId="4A5E6234">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根据评分表要求提供相应的业绩证明材料。</w:t>
      </w:r>
    </w:p>
    <w:p w14:paraId="562B11A4">
      <w:pPr>
        <w:autoSpaceDE w:val="0"/>
        <w:autoSpaceDN w:val="0"/>
        <w:adjustRightInd w:val="0"/>
        <w:spacing w:line="360" w:lineRule="auto"/>
        <w:ind w:firstLine="480"/>
        <w:rPr>
          <w:rFonts w:hint="eastAsia" w:ascii="宋体" w:hAnsi="宋体" w:eastAsia="宋体" w:cs="宋体"/>
          <w:color w:val="000000"/>
          <w:kern w:val="0"/>
          <w:sz w:val="24"/>
          <w:lang w:val="zh-CN"/>
        </w:rPr>
      </w:pPr>
    </w:p>
    <w:p w14:paraId="5DC442DB">
      <w:pPr>
        <w:pStyle w:val="6"/>
        <w:numPr>
          <w:ilvl w:val="0"/>
          <w:numId w:val="0"/>
        </w:numPr>
        <w:rPr>
          <w:rFonts w:hint="eastAsia" w:ascii="宋体" w:hAnsi="宋体" w:eastAsia="宋体" w:cs="宋体"/>
          <w:color w:val="000000"/>
          <w:kern w:val="0"/>
          <w:sz w:val="32"/>
          <w:szCs w:val="32"/>
        </w:rPr>
      </w:pPr>
      <w:r>
        <w:rPr>
          <w:rFonts w:hint="eastAsia" w:ascii="宋体" w:hAnsi="宋体" w:eastAsia="宋体" w:cs="宋体"/>
          <w:bCs/>
          <w:color w:val="000000"/>
          <w:sz w:val="24"/>
          <w:szCs w:val="28"/>
        </w:rPr>
        <w:br w:type="page"/>
      </w:r>
      <w:bookmarkStart w:id="135" w:name="_Toc18770"/>
      <w:r>
        <w:rPr>
          <w:rFonts w:hint="eastAsia" w:ascii="宋体" w:hAnsi="宋体" w:eastAsia="宋体" w:cs="宋体"/>
          <w:b/>
          <w:color w:val="000000"/>
          <w:sz w:val="32"/>
          <w:lang w:val="zh-CN"/>
        </w:rPr>
        <w:t>格式1</w:t>
      </w:r>
      <w:r>
        <w:rPr>
          <w:rFonts w:hint="eastAsia" w:hAnsi="宋体" w:eastAsia="宋体" w:cs="宋体"/>
          <w:b/>
          <w:color w:val="000000"/>
          <w:sz w:val="32"/>
          <w:lang w:val="en-US" w:eastAsia="zh-CN"/>
        </w:rPr>
        <w:t>4</w:t>
      </w:r>
      <w:r>
        <w:rPr>
          <w:rFonts w:hint="eastAsia" w:ascii="宋体" w:hAnsi="宋体" w:eastAsia="宋体" w:cs="宋体"/>
          <w:b/>
          <w:color w:val="000000"/>
          <w:sz w:val="32"/>
          <w:lang w:val="zh-CN"/>
        </w:rPr>
        <w:t>、享受政府采购政策优惠的证明资料</w:t>
      </w:r>
      <w:bookmarkEnd w:id="135"/>
    </w:p>
    <w:p w14:paraId="4856FA1F">
      <w:pPr>
        <w:spacing w:line="360" w:lineRule="auto"/>
        <w:jc w:val="center"/>
        <w:rPr>
          <w:rFonts w:hint="eastAsia" w:ascii="宋体" w:hAnsi="宋体" w:eastAsia="宋体" w:cs="宋体"/>
          <w:b/>
          <w:bCs/>
          <w:color w:val="000000"/>
          <w:sz w:val="22"/>
          <w:szCs w:val="28"/>
        </w:rPr>
      </w:pPr>
    </w:p>
    <w:p w14:paraId="56F665A6">
      <w:pPr>
        <w:autoSpaceDE w:val="0"/>
        <w:autoSpaceDN w:val="0"/>
        <w:spacing w:line="360" w:lineRule="auto"/>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中小企业声明函</w:t>
      </w:r>
    </w:p>
    <w:p w14:paraId="215E9D75">
      <w:pPr>
        <w:autoSpaceDE w:val="0"/>
        <w:autoSpaceDN w:val="0"/>
        <w:adjustRightInd w:val="0"/>
        <w:spacing w:line="360" w:lineRule="auto"/>
        <w:jc w:val="left"/>
        <w:rPr>
          <w:rFonts w:ascii="宋体" w:hAnsi="宋体" w:cs="仿宋"/>
          <w:color w:val="000000"/>
          <w:kern w:val="0"/>
          <w:sz w:val="24"/>
        </w:rPr>
      </w:pPr>
      <w:bookmarkStart w:id="136" w:name="_Toc31287"/>
      <w:r>
        <w:rPr>
          <w:rFonts w:hint="eastAsia" w:ascii="宋体" w:hAnsi="宋体" w:eastAsia="宋体" w:cs="宋体"/>
          <w:color w:val="000000"/>
          <w:kern w:val="0"/>
          <w:sz w:val="24"/>
        </w:rPr>
        <w:t xml:space="preserve">  </w:t>
      </w:r>
      <w:r>
        <w:rPr>
          <w:rFonts w:hint="eastAsia" w:ascii="宋体" w:hAnsi="宋体" w:cs="仿宋"/>
          <w:color w:val="000000"/>
          <w:kern w:val="0"/>
          <w:sz w:val="24"/>
        </w:rPr>
        <w:t>本公司（联合体）郑重声明，根据《政府采购促进中小企业发展管理办法》（财库</w:t>
      </w:r>
      <w:r>
        <w:rPr>
          <w:rFonts w:hint="eastAsia" w:ascii="宋体" w:hAnsi="宋体" w:cs="宋体"/>
          <w:color w:val="000000"/>
          <w:kern w:val="0"/>
          <w:sz w:val="24"/>
        </w:rPr>
        <w:t>﹝</w:t>
      </w:r>
      <w:r>
        <w:rPr>
          <w:rFonts w:ascii="宋体" w:hAnsi="宋体" w:cs="仿宋"/>
          <w:color w:val="000000"/>
          <w:kern w:val="0"/>
          <w:sz w:val="24"/>
        </w:rPr>
        <w:t>2020</w:t>
      </w:r>
      <w:r>
        <w:rPr>
          <w:rFonts w:hint="eastAsia" w:ascii="宋体" w:hAnsi="宋体" w:cs="宋体"/>
          <w:color w:val="000000"/>
          <w:kern w:val="0"/>
          <w:sz w:val="24"/>
        </w:rPr>
        <w:t>﹞</w:t>
      </w:r>
      <w:r>
        <w:rPr>
          <w:rFonts w:ascii="宋体" w:hAnsi="宋体" w:cs="仿宋"/>
          <w:color w:val="000000"/>
          <w:kern w:val="0"/>
          <w:sz w:val="24"/>
        </w:rPr>
        <w:t xml:space="preserve">46 </w:t>
      </w:r>
      <w:r>
        <w:rPr>
          <w:rFonts w:hint="eastAsia" w:ascii="宋体" w:hAnsi="宋体" w:cs="仿宋"/>
          <w:color w:val="000000"/>
          <w:kern w:val="0"/>
          <w:sz w:val="24"/>
        </w:rPr>
        <w:t>号）的规定，本公司（联合体）参加</w:t>
      </w:r>
      <w:r>
        <w:rPr>
          <w:rFonts w:hint="eastAsia" w:ascii="宋体" w:hAnsi="宋体" w:cs="仿宋"/>
          <w:color w:val="000000"/>
          <w:kern w:val="0"/>
          <w:sz w:val="24"/>
          <w:u w:val="single"/>
        </w:rPr>
        <w:t>（单位名称）</w:t>
      </w:r>
      <w:r>
        <w:rPr>
          <w:rFonts w:hint="eastAsia" w:ascii="宋体" w:hAnsi="宋体" w:cs="仿宋"/>
          <w:color w:val="000000"/>
          <w:kern w:val="0"/>
          <w:sz w:val="24"/>
        </w:rPr>
        <w:t>的</w:t>
      </w:r>
      <w:r>
        <w:rPr>
          <w:rFonts w:hint="eastAsia" w:ascii="宋体" w:hAnsi="宋体" w:cs="仿宋"/>
          <w:color w:val="000000"/>
          <w:kern w:val="0"/>
          <w:sz w:val="24"/>
          <w:u w:val="single"/>
        </w:rPr>
        <w:t>（项目名称）</w:t>
      </w:r>
      <w:r>
        <w:rPr>
          <w:rFonts w:hint="eastAsia" w:ascii="宋体" w:hAnsi="宋体" w:cs="仿宋"/>
          <w:color w:val="000000"/>
          <w:kern w:val="0"/>
          <w:sz w:val="24"/>
        </w:rPr>
        <w:t>采购活动，</w:t>
      </w:r>
      <w:r>
        <w:rPr>
          <w:rFonts w:hint="eastAsia" w:ascii="宋体" w:hAnsi="宋体" w:cs="仿宋"/>
          <w:color w:val="000000"/>
          <w:kern w:val="0"/>
          <w:sz w:val="24"/>
          <w:lang w:eastAsia="zh-CN"/>
        </w:rPr>
        <w:t>服务</w:t>
      </w:r>
      <w:r>
        <w:rPr>
          <w:rFonts w:hint="eastAsia" w:ascii="宋体" w:hAnsi="宋体" w:cs="仿宋"/>
          <w:color w:val="000000"/>
          <w:kern w:val="0"/>
          <w:sz w:val="24"/>
        </w:rPr>
        <w:t>单位全部为符合政策要求的中小企业。相关企业（含联合体中的中小企业、签订分包意向协议的中小企业）的具体情况如下：</w:t>
      </w:r>
    </w:p>
    <w:p w14:paraId="6F4546C5">
      <w:pPr>
        <w:keepNext w:val="0"/>
        <w:keepLines w:val="0"/>
        <w:widowControl/>
        <w:suppressLineNumbers w:val="0"/>
        <w:spacing w:line="360" w:lineRule="auto"/>
        <w:jc w:val="left"/>
        <w:rPr>
          <w:rFonts w:ascii="宋体" w:hAnsi="宋体" w:cs="仿宋"/>
          <w:color w:val="000000"/>
          <w:kern w:val="0"/>
          <w:sz w:val="24"/>
        </w:rPr>
      </w:pPr>
      <w:r>
        <w:rPr>
          <w:rFonts w:hint="eastAsia" w:ascii="宋体" w:hAnsi="宋体" w:cs="仿宋"/>
          <w:color w:val="000000"/>
          <w:kern w:val="0"/>
          <w:sz w:val="24"/>
        </w:rPr>
        <w:t xml:space="preserve">    </w:t>
      </w:r>
      <w:r>
        <w:rPr>
          <w:rFonts w:ascii="宋体" w:hAnsi="宋体" w:cs="仿宋"/>
          <w:color w:val="000000"/>
          <w:kern w:val="0"/>
          <w:sz w:val="24"/>
        </w:rPr>
        <w:t xml:space="preserve">1. </w:t>
      </w:r>
      <w:r>
        <w:rPr>
          <w:rFonts w:hint="eastAsia" w:ascii="宋体" w:hAnsi="宋体" w:cs="仿宋"/>
          <w:color w:val="000000"/>
          <w:kern w:val="0"/>
          <w:sz w:val="24"/>
          <w:u w:val="single"/>
        </w:rPr>
        <w:t>（标的名称）</w:t>
      </w:r>
      <w:r>
        <w:rPr>
          <w:rFonts w:ascii="宋体" w:hAnsi="宋体" w:cs="仿宋"/>
          <w:color w:val="000000"/>
          <w:kern w:val="0"/>
          <w:sz w:val="24"/>
          <w:u w:val="single"/>
        </w:rPr>
        <w:t xml:space="preserve"> </w:t>
      </w:r>
      <w:r>
        <w:rPr>
          <w:rFonts w:hint="eastAsia" w:ascii="宋体" w:hAnsi="宋体" w:cs="仿宋"/>
          <w:color w:val="000000"/>
          <w:kern w:val="0"/>
          <w:sz w:val="24"/>
        </w:rPr>
        <w:t>，属于</w:t>
      </w:r>
      <w:r>
        <w:rPr>
          <w:rFonts w:hint="eastAsia" w:ascii="宋体" w:hAnsi="宋体" w:cs="仿宋"/>
          <w:color w:val="000000"/>
          <w:kern w:val="0"/>
          <w:sz w:val="24"/>
          <w:u w:val="single"/>
        </w:rPr>
        <w:t>（采购文件中明确的所属行业）</w:t>
      </w:r>
      <w:r>
        <w:rPr>
          <w:rFonts w:hint="eastAsia" w:ascii="宋体" w:hAnsi="宋体" w:cs="仿宋"/>
          <w:color w:val="000000"/>
          <w:kern w:val="0"/>
          <w:sz w:val="24"/>
        </w:rPr>
        <w:t>；承建（承接）企业为</w:t>
      </w:r>
      <w:r>
        <w:rPr>
          <w:rFonts w:hint="eastAsia" w:ascii="宋体" w:hAnsi="宋体" w:cs="仿宋"/>
          <w:color w:val="000000"/>
          <w:kern w:val="0"/>
          <w:sz w:val="24"/>
          <w:u w:val="single"/>
        </w:rPr>
        <w:t>（企业名称）</w:t>
      </w:r>
      <w:r>
        <w:rPr>
          <w:rFonts w:hint="eastAsia" w:ascii="宋体" w:hAnsi="宋体" w:cs="仿宋"/>
          <w:color w:val="000000"/>
          <w:kern w:val="0"/>
          <w:sz w:val="24"/>
        </w:rPr>
        <w:t>，从业人员</w:t>
      </w:r>
      <w:r>
        <w:rPr>
          <w:rFonts w:hint="eastAsia" w:ascii="宋体" w:hAnsi="宋体" w:cs="仿宋"/>
          <w:color w:val="000000"/>
          <w:kern w:val="0"/>
          <w:sz w:val="24"/>
          <w:u w:val="single"/>
          <w:lang w:val="en-US" w:eastAsia="zh-CN"/>
        </w:rPr>
        <w:t xml:space="preserve">        </w:t>
      </w:r>
      <w:r>
        <w:rPr>
          <w:rFonts w:hint="eastAsia" w:ascii="宋体" w:hAnsi="宋体" w:cs="仿宋"/>
          <w:color w:val="000000"/>
          <w:kern w:val="0"/>
          <w:sz w:val="24"/>
        </w:rPr>
        <w:t>人，营业收入为</w:t>
      </w:r>
      <w:r>
        <w:rPr>
          <w:rFonts w:hint="eastAsia" w:ascii="宋体" w:hAnsi="宋体" w:cs="仿宋"/>
          <w:color w:val="000000"/>
          <w:kern w:val="0"/>
          <w:sz w:val="24"/>
          <w:u w:val="single"/>
        </w:rPr>
        <w:t xml:space="preserve">    </w:t>
      </w:r>
      <w:r>
        <w:rPr>
          <w:rFonts w:hint="eastAsia" w:ascii="宋体" w:hAnsi="宋体" w:cs="仿宋"/>
          <w:color w:val="000000"/>
          <w:kern w:val="0"/>
          <w:sz w:val="24"/>
        </w:rPr>
        <w:t>万元，资产总额为</w:t>
      </w:r>
      <w:r>
        <w:rPr>
          <w:rFonts w:hint="eastAsia" w:ascii="宋体" w:hAnsi="宋体" w:cs="仿宋"/>
          <w:color w:val="000000"/>
          <w:kern w:val="0"/>
          <w:sz w:val="24"/>
          <w:u w:val="single"/>
        </w:rPr>
        <w:t xml:space="preserve"> </w:t>
      </w:r>
      <w:r>
        <w:rPr>
          <w:rFonts w:hint="eastAsia" w:ascii="宋体" w:hAnsi="宋体" w:cs="仿宋"/>
          <w:color w:val="000000"/>
          <w:kern w:val="0"/>
          <w:sz w:val="24"/>
          <w:u w:val="single"/>
          <w:lang w:val="en-US" w:eastAsia="zh-CN"/>
        </w:rPr>
        <w:t xml:space="preserve">  </w:t>
      </w:r>
      <w:r>
        <w:rPr>
          <w:rFonts w:hint="eastAsia" w:ascii="宋体" w:hAnsi="宋体" w:cs="仿宋"/>
          <w:color w:val="000000"/>
          <w:kern w:val="0"/>
          <w:sz w:val="24"/>
          <w:u w:val="single"/>
        </w:rPr>
        <w:t xml:space="preserve">  </w:t>
      </w:r>
      <w:r>
        <w:rPr>
          <w:rFonts w:hint="eastAsia" w:ascii="宋体" w:hAnsi="宋体" w:cs="仿宋"/>
          <w:color w:val="000000"/>
          <w:kern w:val="0"/>
          <w:sz w:val="24"/>
        </w:rPr>
        <w:t>万元，属于</w:t>
      </w:r>
      <w:r>
        <w:rPr>
          <w:rFonts w:hint="eastAsia" w:ascii="宋体" w:hAnsi="宋体" w:cs="仿宋"/>
          <w:color w:val="000000"/>
          <w:kern w:val="0"/>
          <w:sz w:val="24"/>
          <w:u w:val="single"/>
        </w:rPr>
        <w:t>（中型企业、小型企业、微型企业）</w:t>
      </w:r>
      <w:r>
        <w:rPr>
          <w:rFonts w:hint="eastAsia" w:ascii="宋体" w:hAnsi="宋体" w:cs="仿宋"/>
          <w:color w:val="000000"/>
          <w:kern w:val="0"/>
          <w:sz w:val="24"/>
        </w:rPr>
        <w:t>；</w:t>
      </w:r>
    </w:p>
    <w:p w14:paraId="57C063B9">
      <w:pPr>
        <w:autoSpaceDE w:val="0"/>
        <w:autoSpaceDN w:val="0"/>
        <w:adjustRightInd w:val="0"/>
        <w:spacing w:line="360" w:lineRule="auto"/>
        <w:jc w:val="left"/>
        <w:rPr>
          <w:rFonts w:ascii="宋体" w:hAnsi="宋体" w:cs="仿宋"/>
          <w:color w:val="000000"/>
          <w:kern w:val="0"/>
          <w:sz w:val="24"/>
        </w:rPr>
      </w:pPr>
      <w:r>
        <w:rPr>
          <w:rFonts w:hint="eastAsia" w:ascii="宋体" w:hAnsi="宋体" w:cs="仿宋"/>
          <w:color w:val="000000"/>
          <w:kern w:val="0"/>
          <w:sz w:val="24"/>
        </w:rPr>
        <w:t xml:space="preserve">    </w:t>
      </w:r>
      <w:r>
        <w:rPr>
          <w:rFonts w:ascii="宋体" w:hAnsi="宋体" w:cs="仿宋"/>
          <w:color w:val="000000"/>
          <w:kern w:val="0"/>
          <w:sz w:val="24"/>
        </w:rPr>
        <w:t xml:space="preserve">2. </w:t>
      </w:r>
      <w:r>
        <w:rPr>
          <w:rFonts w:hint="eastAsia" w:ascii="宋体" w:hAnsi="宋体" w:cs="仿宋"/>
          <w:color w:val="000000"/>
          <w:kern w:val="0"/>
          <w:sz w:val="24"/>
          <w:u w:val="single"/>
        </w:rPr>
        <w:t>（标的名称）</w:t>
      </w:r>
      <w:r>
        <w:rPr>
          <w:rFonts w:ascii="宋体" w:hAnsi="宋体" w:cs="仿宋"/>
          <w:color w:val="000000"/>
          <w:kern w:val="0"/>
          <w:sz w:val="24"/>
          <w:u w:val="single"/>
        </w:rPr>
        <w:t xml:space="preserve"> </w:t>
      </w:r>
      <w:r>
        <w:rPr>
          <w:rFonts w:hint="eastAsia" w:ascii="宋体" w:hAnsi="宋体" w:cs="仿宋"/>
          <w:color w:val="000000"/>
          <w:kern w:val="0"/>
          <w:sz w:val="24"/>
        </w:rPr>
        <w:t>，属于</w:t>
      </w:r>
      <w:r>
        <w:rPr>
          <w:rFonts w:hint="eastAsia" w:ascii="宋体" w:hAnsi="宋体" w:cs="仿宋"/>
          <w:color w:val="000000"/>
          <w:kern w:val="0"/>
          <w:sz w:val="24"/>
          <w:u w:val="single"/>
        </w:rPr>
        <w:t>（</w:t>
      </w:r>
      <w:bookmarkStart w:id="137" w:name="OLE_LINK10"/>
      <w:r>
        <w:rPr>
          <w:rFonts w:hint="eastAsia" w:ascii="宋体" w:hAnsi="宋体" w:cs="仿宋"/>
          <w:color w:val="000000"/>
          <w:kern w:val="0"/>
          <w:sz w:val="24"/>
          <w:u w:val="single"/>
        </w:rPr>
        <w:t>采购文件中明确的所属行业</w:t>
      </w:r>
      <w:bookmarkEnd w:id="137"/>
      <w:r>
        <w:rPr>
          <w:rFonts w:hint="eastAsia" w:ascii="宋体" w:hAnsi="宋体" w:cs="仿宋"/>
          <w:color w:val="000000"/>
          <w:kern w:val="0"/>
          <w:sz w:val="24"/>
          <w:u w:val="single"/>
        </w:rPr>
        <w:t>）</w:t>
      </w:r>
      <w:r>
        <w:rPr>
          <w:rFonts w:hint="eastAsia" w:ascii="宋体" w:hAnsi="宋体" w:cs="仿宋"/>
          <w:color w:val="000000"/>
          <w:kern w:val="0"/>
          <w:sz w:val="24"/>
        </w:rPr>
        <w:t>；承建（承接）企业为</w:t>
      </w:r>
      <w:r>
        <w:rPr>
          <w:rFonts w:hint="eastAsia" w:ascii="宋体" w:hAnsi="宋体" w:cs="仿宋"/>
          <w:color w:val="000000"/>
          <w:kern w:val="0"/>
          <w:sz w:val="24"/>
          <w:u w:val="single"/>
        </w:rPr>
        <w:t>（企业名称）</w:t>
      </w:r>
      <w:r>
        <w:rPr>
          <w:rFonts w:hint="eastAsia" w:ascii="宋体" w:hAnsi="宋体" w:cs="仿宋"/>
          <w:color w:val="000000"/>
          <w:kern w:val="0"/>
          <w:sz w:val="24"/>
        </w:rPr>
        <w:t>，从业人员</w:t>
      </w:r>
      <w:r>
        <w:rPr>
          <w:rFonts w:hint="eastAsia" w:ascii="宋体" w:hAnsi="宋体" w:cs="仿宋"/>
          <w:color w:val="000000"/>
          <w:kern w:val="0"/>
          <w:sz w:val="24"/>
          <w:u w:val="single"/>
          <w:lang w:val="en-US" w:eastAsia="zh-CN"/>
        </w:rPr>
        <w:t xml:space="preserve">        </w:t>
      </w:r>
      <w:r>
        <w:rPr>
          <w:rFonts w:hint="eastAsia" w:ascii="宋体" w:hAnsi="宋体" w:cs="仿宋"/>
          <w:color w:val="000000"/>
          <w:kern w:val="0"/>
          <w:sz w:val="24"/>
        </w:rPr>
        <w:t>人，营业收入为</w:t>
      </w:r>
      <w:r>
        <w:rPr>
          <w:rFonts w:hint="eastAsia" w:ascii="宋体" w:hAnsi="宋体" w:cs="仿宋"/>
          <w:color w:val="000000"/>
          <w:kern w:val="0"/>
          <w:sz w:val="24"/>
          <w:u w:val="single"/>
        </w:rPr>
        <w:t xml:space="preserve">    </w:t>
      </w:r>
      <w:r>
        <w:rPr>
          <w:rFonts w:hint="eastAsia" w:ascii="宋体" w:hAnsi="宋体" w:cs="仿宋"/>
          <w:color w:val="000000"/>
          <w:kern w:val="0"/>
          <w:sz w:val="24"/>
        </w:rPr>
        <w:t>万元，资产总额为</w:t>
      </w:r>
      <w:r>
        <w:rPr>
          <w:rFonts w:hint="eastAsia" w:ascii="宋体" w:hAnsi="宋体" w:cs="仿宋"/>
          <w:color w:val="000000"/>
          <w:kern w:val="0"/>
          <w:sz w:val="24"/>
          <w:u w:val="single"/>
        </w:rPr>
        <w:t xml:space="preserve">    </w:t>
      </w:r>
      <w:r>
        <w:rPr>
          <w:rFonts w:hint="eastAsia" w:ascii="宋体" w:hAnsi="宋体" w:cs="仿宋"/>
          <w:color w:val="000000"/>
          <w:kern w:val="0"/>
          <w:sz w:val="24"/>
        </w:rPr>
        <w:t>万元，属于</w:t>
      </w:r>
      <w:r>
        <w:rPr>
          <w:rFonts w:hint="eastAsia" w:ascii="宋体" w:hAnsi="宋体" w:cs="仿宋"/>
          <w:color w:val="000000"/>
          <w:kern w:val="0"/>
          <w:sz w:val="24"/>
          <w:u w:val="single"/>
        </w:rPr>
        <w:t>（中型企业、小型企业、微型企业）</w:t>
      </w:r>
      <w:r>
        <w:rPr>
          <w:rFonts w:hint="eastAsia" w:ascii="宋体" w:hAnsi="宋体" w:cs="仿宋"/>
          <w:color w:val="000000"/>
          <w:kern w:val="0"/>
          <w:sz w:val="24"/>
        </w:rPr>
        <w:t>；</w:t>
      </w:r>
    </w:p>
    <w:p w14:paraId="49B2C389">
      <w:pPr>
        <w:autoSpaceDE w:val="0"/>
        <w:autoSpaceDN w:val="0"/>
        <w:adjustRightInd w:val="0"/>
        <w:spacing w:line="360" w:lineRule="auto"/>
        <w:jc w:val="left"/>
        <w:rPr>
          <w:rFonts w:ascii="宋体" w:hAnsi="宋体" w:cs="仿宋"/>
          <w:color w:val="000000"/>
          <w:kern w:val="0"/>
          <w:sz w:val="24"/>
        </w:rPr>
      </w:pPr>
      <w:r>
        <w:rPr>
          <w:rFonts w:hint="eastAsia" w:ascii="宋体" w:hAnsi="宋体" w:cs="仿宋"/>
          <w:color w:val="000000"/>
          <w:kern w:val="0"/>
          <w:sz w:val="24"/>
        </w:rPr>
        <w:t>……</w:t>
      </w:r>
    </w:p>
    <w:p w14:paraId="2DB0F92F">
      <w:pPr>
        <w:autoSpaceDE w:val="0"/>
        <w:autoSpaceDN w:val="0"/>
        <w:adjustRightInd w:val="0"/>
        <w:spacing w:line="360" w:lineRule="auto"/>
        <w:jc w:val="left"/>
        <w:rPr>
          <w:rFonts w:ascii="宋体" w:hAnsi="宋体" w:cs="仿宋"/>
          <w:color w:val="000000"/>
          <w:kern w:val="0"/>
          <w:sz w:val="24"/>
        </w:rPr>
      </w:pPr>
      <w:r>
        <w:rPr>
          <w:rFonts w:hint="eastAsia" w:ascii="宋体" w:hAnsi="宋体" w:cs="仿宋"/>
          <w:color w:val="000000"/>
          <w:kern w:val="0"/>
          <w:sz w:val="24"/>
        </w:rPr>
        <w:t xml:space="preserve">    以上企业，不属于大企业的分支机构，不存在控股股东为大企业的情形，也不存在与大企业的负责人为同一人的情形。</w:t>
      </w:r>
    </w:p>
    <w:p w14:paraId="21912FAE">
      <w:pPr>
        <w:autoSpaceDE w:val="0"/>
        <w:autoSpaceDN w:val="0"/>
        <w:adjustRightInd w:val="0"/>
        <w:spacing w:line="360" w:lineRule="auto"/>
        <w:jc w:val="left"/>
        <w:rPr>
          <w:rFonts w:hint="eastAsia" w:ascii="宋体" w:hAnsi="宋体" w:eastAsia="宋体" w:cs="宋体"/>
          <w:color w:val="000000"/>
          <w:kern w:val="0"/>
          <w:sz w:val="24"/>
        </w:rPr>
      </w:pPr>
      <w:r>
        <w:rPr>
          <w:rFonts w:hint="eastAsia" w:ascii="宋体" w:hAnsi="宋体" w:cs="仿宋"/>
          <w:color w:val="000000"/>
          <w:kern w:val="0"/>
          <w:sz w:val="24"/>
        </w:rPr>
        <w:t xml:space="preserve">    本企业对上述声明内容的真实性负责。如有虚假，将依法承担相应责任。</w:t>
      </w:r>
    </w:p>
    <w:p w14:paraId="06743529">
      <w:pPr>
        <w:autoSpaceDE w:val="0"/>
        <w:autoSpaceDN w:val="0"/>
        <w:adjustRightInd w:val="0"/>
        <w:spacing w:line="360" w:lineRule="auto"/>
        <w:jc w:val="left"/>
        <w:rPr>
          <w:rFonts w:hint="eastAsia" w:ascii="宋体" w:hAnsi="宋体" w:eastAsia="宋体" w:cs="宋体"/>
          <w:b/>
          <w:bCs/>
          <w:color w:val="000000"/>
          <w:sz w:val="24"/>
        </w:rPr>
      </w:pPr>
      <w:r>
        <w:rPr>
          <w:rFonts w:hint="eastAsia" w:ascii="宋体" w:hAnsi="宋体" w:eastAsia="宋体" w:cs="宋体"/>
          <w:b/>
          <w:bCs/>
          <w:color w:val="000000"/>
          <w:sz w:val="24"/>
        </w:rPr>
        <w:t>注：1、若无此项内容，可不提供此函；</w:t>
      </w:r>
    </w:p>
    <w:p w14:paraId="1A5A8D31">
      <w:pPr>
        <w:autoSpaceDE w:val="0"/>
        <w:autoSpaceDN w:val="0"/>
        <w:adjustRightInd w:val="0"/>
        <w:spacing w:line="360" w:lineRule="auto"/>
        <w:ind w:firstLine="482" w:firstLineChars="200"/>
        <w:jc w:val="left"/>
        <w:rPr>
          <w:rFonts w:hint="eastAsia" w:ascii="宋体" w:hAnsi="宋体" w:eastAsia="宋体" w:cs="宋体"/>
          <w:color w:val="000000"/>
          <w:kern w:val="0"/>
          <w:sz w:val="24"/>
        </w:rPr>
      </w:pPr>
      <w:r>
        <w:rPr>
          <w:rFonts w:hint="eastAsia" w:ascii="宋体" w:hAnsi="宋体" w:eastAsia="宋体" w:cs="宋体"/>
          <w:b/>
          <w:bCs/>
          <w:color w:val="000000"/>
          <w:sz w:val="24"/>
        </w:rPr>
        <w:t>2、本项目的所属行业</w:t>
      </w:r>
      <w:r>
        <w:rPr>
          <w:rFonts w:hint="eastAsia" w:ascii="宋体" w:hAnsi="宋体" w:eastAsia="宋体" w:cs="宋体"/>
          <w:b/>
          <w:bCs/>
          <w:color w:val="000000"/>
          <w:sz w:val="24"/>
          <w:lang w:val="en-US" w:eastAsia="zh-CN"/>
        </w:rPr>
        <w:t>:其他未列明行业</w:t>
      </w:r>
      <w:r>
        <w:rPr>
          <w:rFonts w:hint="eastAsia" w:ascii="宋体" w:hAnsi="宋体" w:eastAsia="宋体" w:cs="宋体"/>
          <w:b/>
          <w:bCs/>
          <w:color w:val="000000"/>
          <w:sz w:val="24"/>
        </w:rPr>
        <w:t>。</w:t>
      </w:r>
    </w:p>
    <w:p w14:paraId="5482BF17">
      <w:pPr>
        <w:autoSpaceDE w:val="0"/>
        <w:autoSpaceDN w:val="0"/>
        <w:adjustRightInd w:val="0"/>
        <w:spacing w:line="360" w:lineRule="auto"/>
        <w:jc w:val="right"/>
        <w:rPr>
          <w:rFonts w:hint="eastAsia" w:ascii="宋体" w:hAnsi="宋体" w:eastAsia="宋体" w:cs="宋体"/>
          <w:color w:val="000000"/>
          <w:kern w:val="0"/>
          <w:sz w:val="24"/>
        </w:rPr>
      </w:pPr>
    </w:p>
    <w:p w14:paraId="48A1AA15">
      <w:pPr>
        <w:autoSpaceDE w:val="0"/>
        <w:autoSpaceDN w:val="0"/>
        <w:adjustRightInd w:val="0"/>
        <w:spacing w:line="360" w:lineRule="auto"/>
        <w:jc w:val="right"/>
        <w:rPr>
          <w:rFonts w:hint="eastAsia" w:ascii="宋体" w:hAnsi="宋体" w:eastAsia="宋体" w:cs="宋体"/>
          <w:color w:val="000000"/>
          <w:kern w:val="0"/>
          <w:sz w:val="24"/>
        </w:rPr>
      </w:pPr>
    </w:p>
    <w:p w14:paraId="0212DAA6">
      <w:pPr>
        <w:autoSpaceDE w:val="0"/>
        <w:autoSpaceDN w:val="0"/>
        <w:adjustRightInd w:val="0"/>
        <w:spacing w:line="360" w:lineRule="auto"/>
        <w:jc w:val="right"/>
        <w:rPr>
          <w:rFonts w:hint="eastAsia" w:ascii="宋体" w:hAnsi="宋体" w:eastAsia="宋体" w:cs="宋体"/>
          <w:color w:val="000000"/>
          <w:kern w:val="0"/>
          <w:sz w:val="24"/>
        </w:rPr>
      </w:pPr>
    </w:p>
    <w:p w14:paraId="162A8534">
      <w:pPr>
        <w:autoSpaceDE w:val="0"/>
        <w:autoSpaceDN w:val="0"/>
        <w:adjustRightInd w:val="0"/>
        <w:spacing w:line="360" w:lineRule="auto"/>
        <w:rPr>
          <w:rFonts w:hint="eastAsia" w:ascii="宋体" w:hAnsi="宋体" w:eastAsia="宋体" w:cs="宋体"/>
          <w:color w:val="000000"/>
          <w:kern w:val="0"/>
          <w:sz w:val="24"/>
        </w:rPr>
      </w:pPr>
    </w:p>
    <w:p w14:paraId="674370C6">
      <w:pPr>
        <w:autoSpaceDE w:val="0"/>
        <w:autoSpaceDN w:val="0"/>
        <w:adjustRightInd w:val="0"/>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企业名称（盖章）：   </w:t>
      </w:r>
    </w:p>
    <w:p w14:paraId="679401B8">
      <w:pPr>
        <w:autoSpaceDE w:val="0"/>
        <w:autoSpaceDN w:val="0"/>
        <w:adjustRightInd w:val="0"/>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日期：</w:t>
      </w:r>
    </w:p>
    <w:p w14:paraId="3B4CE5B5">
      <w:pPr>
        <w:autoSpaceDE w:val="0"/>
        <w:autoSpaceDN w:val="0"/>
        <w:adjustRightInd w:val="0"/>
        <w:spacing w:line="360" w:lineRule="auto"/>
        <w:jc w:val="right"/>
        <w:rPr>
          <w:rFonts w:hint="eastAsia" w:ascii="宋体" w:hAnsi="宋体" w:eastAsia="宋体" w:cs="宋体"/>
          <w:color w:val="000000"/>
          <w:kern w:val="0"/>
          <w:sz w:val="24"/>
        </w:rPr>
      </w:pPr>
    </w:p>
    <w:p w14:paraId="2EC11674">
      <w:pPr>
        <w:spacing w:line="360" w:lineRule="auto"/>
        <w:rPr>
          <w:rFonts w:hint="eastAsia" w:ascii="宋体" w:hAnsi="宋体" w:eastAsia="宋体" w:cs="宋体"/>
          <w:color w:val="000000"/>
          <w:sz w:val="24"/>
        </w:rPr>
      </w:pPr>
      <w:r>
        <w:rPr>
          <w:rFonts w:hint="eastAsia" w:ascii="宋体" w:hAnsi="宋体" w:eastAsia="宋体" w:cs="宋体"/>
          <w:color w:val="000000"/>
          <w:kern w:val="0"/>
          <w:sz w:val="24"/>
        </w:rPr>
        <w:t>从业人员、营业收入、资产总额填报上一年度数据，无上一年度数据的新成立企业可不填报。</w:t>
      </w:r>
    </w:p>
    <w:p w14:paraId="41162E95">
      <w:pPr>
        <w:adjustRightInd w:val="0"/>
        <w:snapToGrid w:val="0"/>
        <w:spacing w:line="440" w:lineRule="exact"/>
        <w:ind w:left="6114" w:hanging="6114" w:hangingChars="2900"/>
        <w:jc w:val="center"/>
        <w:rPr>
          <w:rFonts w:hint="eastAsia" w:ascii="宋体" w:hAnsi="宋体" w:eastAsia="宋体" w:cs="宋体"/>
          <w:b/>
          <w:bCs/>
          <w:color w:val="000000"/>
          <w:kern w:val="0"/>
          <w:lang w:val="zh-CN"/>
        </w:rPr>
      </w:pPr>
    </w:p>
    <w:p w14:paraId="31D2187A">
      <w:pPr>
        <w:adjustRightInd w:val="0"/>
        <w:snapToGrid w:val="0"/>
        <w:spacing w:line="440" w:lineRule="exact"/>
        <w:ind w:left="6114" w:hanging="6114" w:hangingChars="2900"/>
        <w:jc w:val="center"/>
        <w:rPr>
          <w:rFonts w:hint="eastAsia" w:ascii="宋体" w:hAnsi="宋体" w:eastAsia="宋体" w:cs="宋体"/>
          <w:b/>
          <w:bCs/>
          <w:color w:val="000000"/>
          <w:kern w:val="0"/>
          <w:lang w:val="zh-CN"/>
        </w:rPr>
      </w:pPr>
    </w:p>
    <w:p w14:paraId="7BAB1F19">
      <w:pPr>
        <w:autoSpaceDE w:val="0"/>
        <w:autoSpaceDN w:val="0"/>
        <w:spacing w:line="360" w:lineRule="auto"/>
        <w:jc w:val="center"/>
        <w:rPr>
          <w:rFonts w:hint="eastAsia" w:ascii="宋体" w:hAnsi="宋体" w:eastAsia="宋体" w:cs="宋体"/>
          <w:b/>
          <w:bCs/>
          <w:color w:val="000000"/>
          <w:kern w:val="0"/>
          <w:sz w:val="28"/>
          <w:szCs w:val="28"/>
        </w:rPr>
      </w:pPr>
      <w:bookmarkStart w:id="138" w:name="_Toc9477"/>
      <w:bookmarkStart w:id="139" w:name="_Toc30801"/>
      <w:r>
        <w:rPr>
          <w:rFonts w:hint="eastAsia" w:ascii="宋体" w:hAnsi="宋体" w:eastAsia="宋体" w:cs="宋体"/>
          <w:b/>
          <w:bCs/>
          <w:color w:val="000000"/>
          <w:kern w:val="0"/>
          <w:sz w:val="28"/>
          <w:szCs w:val="28"/>
        </w:rPr>
        <w:t>监狱企业证明资料</w:t>
      </w:r>
      <w:bookmarkEnd w:id="138"/>
      <w:bookmarkEnd w:id="139"/>
    </w:p>
    <w:p w14:paraId="447129AB">
      <w:pPr>
        <w:autoSpaceDE w:val="0"/>
        <w:autoSpaceDN w:val="0"/>
        <w:spacing w:line="360" w:lineRule="auto"/>
        <w:jc w:val="center"/>
        <w:rPr>
          <w:rFonts w:hint="eastAsia" w:ascii="宋体" w:hAnsi="宋体" w:eastAsia="宋体" w:cs="宋体"/>
          <w:color w:val="000000"/>
          <w:sz w:val="32"/>
          <w:szCs w:val="32"/>
        </w:rPr>
      </w:pPr>
    </w:p>
    <w:p w14:paraId="63AC099B">
      <w:pPr>
        <w:adjustRightInd w:val="0"/>
        <w:snapToGrid w:val="0"/>
        <w:spacing w:line="560" w:lineRule="exact"/>
        <w:jc w:val="center"/>
        <w:rPr>
          <w:rFonts w:hint="eastAsia" w:ascii="宋体" w:hAnsi="宋体" w:eastAsia="宋体" w:cs="宋体"/>
          <w:color w:val="000000"/>
          <w:sz w:val="32"/>
          <w:szCs w:val="32"/>
        </w:rPr>
      </w:pPr>
      <w:bookmarkStart w:id="140" w:name="_Toc28022_WPSOffice_Level3"/>
      <w:bookmarkStart w:id="141" w:name="_Toc25903_WPSOffice_Level3"/>
      <w:r>
        <w:rPr>
          <w:rFonts w:hint="eastAsia" w:ascii="宋体" w:hAnsi="宋体" w:eastAsia="宋体" w:cs="宋体"/>
          <w:b/>
          <w:color w:val="000000"/>
          <w:spacing w:val="6"/>
          <w:sz w:val="32"/>
          <w:szCs w:val="32"/>
        </w:rPr>
        <w:t>(不属于监狱企业的无需提供)</w:t>
      </w:r>
      <w:bookmarkEnd w:id="140"/>
      <w:bookmarkEnd w:id="141"/>
    </w:p>
    <w:p w14:paraId="0EEE4789">
      <w:pPr>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备注：按《财政部司法部关于政府采购支持监狱企业发展有关问题的通知》(财库〔2014〕68号)文件规定提供证明文件（复印件）。</w:t>
      </w:r>
    </w:p>
    <w:p w14:paraId="4D488E03">
      <w:pPr>
        <w:spacing w:before="120" w:beforeLines="50" w:line="560" w:lineRule="exact"/>
        <w:ind w:firstLine="480" w:firstLineChars="200"/>
        <w:jc w:val="righ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bookmarkStart w:id="142" w:name="_Toc22071_WPSOffice_Level3"/>
    </w:p>
    <w:p w14:paraId="03B8510B">
      <w:pPr>
        <w:spacing w:before="120" w:beforeLines="50" w:line="560" w:lineRule="exact"/>
        <w:ind w:firstLine="480" w:firstLineChars="200"/>
        <w:jc w:val="right"/>
        <w:rPr>
          <w:rFonts w:hint="eastAsia" w:ascii="宋体" w:hAnsi="宋体" w:eastAsia="宋体" w:cs="宋体"/>
          <w:color w:val="000000"/>
          <w:kern w:val="0"/>
          <w:sz w:val="24"/>
        </w:rPr>
      </w:pPr>
    </w:p>
    <w:p w14:paraId="364D2950">
      <w:pPr>
        <w:spacing w:before="120" w:beforeLines="50" w:line="560" w:lineRule="exact"/>
        <w:ind w:firstLine="480" w:firstLineChars="200"/>
        <w:jc w:val="right"/>
        <w:rPr>
          <w:rFonts w:hint="eastAsia" w:ascii="宋体" w:hAnsi="宋体" w:eastAsia="宋体" w:cs="宋体"/>
          <w:color w:val="000000"/>
          <w:kern w:val="0"/>
          <w:sz w:val="24"/>
        </w:rPr>
      </w:pPr>
    </w:p>
    <w:p w14:paraId="56403A36">
      <w:pPr>
        <w:spacing w:before="120" w:beforeLines="50" w:line="560" w:lineRule="exact"/>
        <w:ind w:firstLine="480" w:firstLineChars="200"/>
        <w:jc w:val="right"/>
        <w:rPr>
          <w:rFonts w:hint="eastAsia" w:ascii="宋体" w:hAnsi="宋体" w:eastAsia="宋体" w:cs="宋体"/>
          <w:color w:val="000000"/>
          <w:kern w:val="0"/>
          <w:sz w:val="24"/>
        </w:rPr>
      </w:pPr>
    </w:p>
    <w:p w14:paraId="61A611E0">
      <w:pPr>
        <w:spacing w:before="120" w:beforeLines="50" w:line="560" w:lineRule="exact"/>
        <w:ind w:firstLine="480" w:firstLineChars="200"/>
        <w:jc w:val="right"/>
        <w:rPr>
          <w:rFonts w:hint="eastAsia" w:ascii="宋体" w:hAnsi="宋体" w:eastAsia="宋体" w:cs="宋体"/>
          <w:color w:val="000000"/>
          <w:kern w:val="0"/>
          <w:sz w:val="24"/>
        </w:rPr>
      </w:pPr>
    </w:p>
    <w:p w14:paraId="40246608">
      <w:pPr>
        <w:spacing w:before="120" w:beforeLines="50" w:line="560" w:lineRule="exact"/>
        <w:ind w:firstLine="480" w:firstLineChars="200"/>
        <w:jc w:val="right"/>
        <w:rPr>
          <w:rFonts w:hint="eastAsia" w:ascii="宋体" w:hAnsi="宋体" w:eastAsia="宋体" w:cs="宋体"/>
          <w:color w:val="000000"/>
          <w:kern w:val="0"/>
          <w:sz w:val="24"/>
        </w:rPr>
      </w:pPr>
    </w:p>
    <w:p w14:paraId="3FC0FE0A">
      <w:pPr>
        <w:spacing w:before="120" w:beforeLines="50" w:line="560" w:lineRule="exact"/>
        <w:ind w:firstLine="480" w:firstLineChars="200"/>
        <w:jc w:val="right"/>
        <w:rPr>
          <w:rFonts w:hint="eastAsia" w:ascii="宋体" w:hAnsi="宋体" w:eastAsia="宋体" w:cs="宋体"/>
          <w:color w:val="000000"/>
          <w:kern w:val="0"/>
          <w:sz w:val="24"/>
        </w:rPr>
      </w:pPr>
    </w:p>
    <w:p w14:paraId="27C6323F">
      <w:pPr>
        <w:spacing w:before="120" w:beforeLines="50" w:line="560" w:lineRule="exact"/>
        <w:ind w:firstLine="480" w:firstLineChars="200"/>
        <w:jc w:val="right"/>
        <w:rPr>
          <w:rFonts w:hint="eastAsia" w:ascii="宋体" w:hAnsi="宋体" w:eastAsia="宋体" w:cs="宋体"/>
          <w:color w:val="000000"/>
          <w:kern w:val="0"/>
          <w:sz w:val="24"/>
        </w:rPr>
      </w:pPr>
    </w:p>
    <w:p w14:paraId="574941AD">
      <w:pPr>
        <w:spacing w:before="120" w:beforeLines="50" w:line="560" w:lineRule="exact"/>
        <w:ind w:firstLine="480" w:firstLineChars="200"/>
        <w:jc w:val="right"/>
        <w:rPr>
          <w:rFonts w:hint="eastAsia" w:ascii="宋体" w:hAnsi="宋体" w:eastAsia="宋体" w:cs="宋体"/>
          <w:color w:val="000000"/>
          <w:kern w:val="0"/>
          <w:sz w:val="24"/>
        </w:rPr>
      </w:pPr>
    </w:p>
    <w:p w14:paraId="7BF63E60">
      <w:pPr>
        <w:spacing w:before="120" w:beforeLines="50" w:line="560" w:lineRule="exact"/>
        <w:ind w:firstLine="480" w:firstLineChars="200"/>
        <w:jc w:val="right"/>
        <w:rPr>
          <w:rFonts w:hint="eastAsia" w:ascii="宋体" w:hAnsi="宋体" w:eastAsia="宋体" w:cs="宋体"/>
          <w:color w:val="000000"/>
          <w:kern w:val="0"/>
          <w:sz w:val="24"/>
        </w:rPr>
      </w:pPr>
    </w:p>
    <w:p w14:paraId="771C2F97">
      <w:pPr>
        <w:spacing w:before="120" w:beforeLines="50" w:line="560" w:lineRule="exact"/>
        <w:ind w:firstLine="480" w:firstLineChars="200"/>
        <w:jc w:val="right"/>
        <w:rPr>
          <w:rFonts w:hint="eastAsia" w:ascii="宋体" w:hAnsi="宋体" w:eastAsia="宋体" w:cs="宋体"/>
          <w:color w:val="000000"/>
          <w:kern w:val="0"/>
          <w:sz w:val="24"/>
        </w:rPr>
      </w:pPr>
    </w:p>
    <w:p w14:paraId="040E2E7F">
      <w:pPr>
        <w:spacing w:before="120" w:beforeLines="50" w:line="560" w:lineRule="exact"/>
        <w:ind w:firstLine="480" w:firstLineChars="200"/>
        <w:jc w:val="right"/>
        <w:rPr>
          <w:rFonts w:hint="eastAsia" w:ascii="宋体" w:hAnsi="宋体" w:eastAsia="宋体" w:cs="宋体"/>
          <w:color w:val="000000"/>
          <w:kern w:val="0"/>
          <w:sz w:val="24"/>
        </w:rPr>
      </w:pPr>
    </w:p>
    <w:p w14:paraId="56BF7E48">
      <w:pPr>
        <w:spacing w:before="120" w:beforeLines="50" w:line="560" w:lineRule="exact"/>
        <w:ind w:firstLine="480" w:firstLineChars="200"/>
        <w:jc w:val="right"/>
        <w:rPr>
          <w:rFonts w:hint="eastAsia" w:ascii="宋体" w:hAnsi="宋体" w:eastAsia="宋体" w:cs="宋体"/>
          <w:color w:val="000000"/>
          <w:kern w:val="0"/>
          <w:sz w:val="24"/>
        </w:rPr>
      </w:pPr>
      <w:r>
        <w:rPr>
          <w:rFonts w:hint="eastAsia" w:ascii="宋体" w:hAnsi="宋体" w:eastAsia="宋体" w:cs="宋体"/>
          <w:color w:val="000000"/>
          <w:kern w:val="0"/>
          <w:sz w:val="24"/>
        </w:rPr>
        <w:t>单位名称：       （公章）</w:t>
      </w:r>
      <w:bookmarkEnd w:id="142"/>
    </w:p>
    <w:p w14:paraId="15DE3A19">
      <w:pPr>
        <w:spacing w:before="120" w:beforeLines="50" w:line="560" w:lineRule="exact"/>
        <w:ind w:firstLine="480" w:firstLineChars="200"/>
        <w:jc w:val="righ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bookmarkStart w:id="143" w:name="_Toc11539_WPSOffice_Level3"/>
      <w:r>
        <w:rPr>
          <w:rFonts w:hint="eastAsia" w:ascii="宋体" w:hAnsi="宋体" w:eastAsia="宋体" w:cs="宋体"/>
          <w:color w:val="000000"/>
          <w:kern w:val="0"/>
          <w:sz w:val="24"/>
        </w:rPr>
        <w:t>法定代表人或委托代理人：       （签字或盖章）</w:t>
      </w:r>
      <w:bookmarkEnd w:id="143"/>
    </w:p>
    <w:p w14:paraId="5EB8C530">
      <w:pPr>
        <w:spacing w:before="120" w:beforeLines="50" w:line="560" w:lineRule="exact"/>
        <w:ind w:firstLine="640" w:firstLineChars="200"/>
        <w:jc w:val="center"/>
        <w:rPr>
          <w:rFonts w:hint="eastAsia" w:ascii="宋体" w:hAnsi="宋体" w:eastAsia="宋体" w:cs="宋体"/>
          <w:color w:val="000000"/>
          <w:kern w:val="0"/>
          <w:sz w:val="24"/>
        </w:rPr>
      </w:pPr>
      <w:r>
        <w:rPr>
          <w:rFonts w:hint="eastAsia" w:ascii="宋体" w:hAnsi="宋体" w:eastAsia="宋体" w:cs="宋体"/>
          <w:bCs/>
          <w:color w:val="000000"/>
          <w:sz w:val="32"/>
          <w:szCs w:val="32"/>
        </w:rPr>
        <w:t xml:space="preserve">                                    </w:t>
      </w:r>
      <w:bookmarkStart w:id="144" w:name="_Toc3285_WPSOffice_Level3"/>
      <w:r>
        <w:rPr>
          <w:rFonts w:hint="eastAsia" w:ascii="宋体" w:hAnsi="宋体" w:eastAsia="宋体" w:cs="宋体"/>
          <w:color w:val="000000"/>
          <w:kern w:val="0"/>
          <w:sz w:val="24"/>
        </w:rPr>
        <w:t>年   月  日</w:t>
      </w:r>
      <w:bookmarkEnd w:id="144"/>
    </w:p>
    <w:p w14:paraId="1DC8423F">
      <w:pPr>
        <w:rPr>
          <w:rFonts w:hint="eastAsia" w:ascii="宋体" w:hAnsi="宋体" w:eastAsia="宋体" w:cs="宋体"/>
          <w:color w:val="000000"/>
        </w:rPr>
      </w:pPr>
      <w:r>
        <w:rPr>
          <w:rFonts w:hint="eastAsia" w:ascii="宋体" w:hAnsi="宋体" w:eastAsia="宋体" w:cs="宋体"/>
          <w:color w:val="000000"/>
        </w:rPr>
        <w:br w:type="page"/>
      </w:r>
    </w:p>
    <w:p w14:paraId="259B1C2D">
      <w:pPr>
        <w:rPr>
          <w:rFonts w:hint="eastAsia" w:ascii="宋体" w:hAnsi="宋体" w:eastAsia="宋体" w:cs="宋体"/>
          <w:color w:val="000000"/>
        </w:rPr>
      </w:pPr>
    </w:p>
    <w:p w14:paraId="2612C323">
      <w:pPr>
        <w:autoSpaceDE w:val="0"/>
        <w:autoSpaceDN w:val="0"/>
        <w:spacing w:line="360" w:lineRule="auto"/>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残疾人福利性单位声明函</w:t>
      </w:r>
    </w:p>
    <w:p w14:paraId="31195C52">
      <w:pPr>
        <w:spacing w:after="120" w:afterLines="50"/>
        <w:rPr>
          <w:rFonts w:hint="eastAsia" w:ascii="宋体" w:hAnsi="宋体" w:eastAsia="宋体" w:cs="宋体"/>
          <w:bCs/>
          <w:color w:val="000000"/>
        </w:rPr>
      </w:pPr>
    </w:p>
    <w:p w14:paraId="691FB8AD">
      <w:pPr>
        <w:adjustRightInd w:val="0"/>
        <w:snapToGrid w:val="0"/>
        <w:spacing w:line="440" w:lineRule="exact"/>
        <w:ind w:left="6987" w:hanging="6987" w:hangingChars="2900"/>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致：青海国焱工程项目管理有限公司</w:t>
      </w:r>
    </w:p>
    <w:p w14:paraId="40AB5344">
      <w:pPr>
        <w:spacing w:line="360" w:lineRule="auto"/>
        <w:ind w:firstLine="480"/>
        <w:rPr>
          <w:rFonts w:hint="eastAsia" w:ascii="宋体" w:hAnsi="宋体" w:eastAsia="宋体" w:cs="宋体"/>
          <w:color w:val="000000"/>
        </w:rPr>
      </w:pPr>
    </w:p>
    <w:p w14:paraId="0F87DDEB">
      <w:pPr>
        <w:adjustRightInd w:val="0"/>
        <w:snapToGrid w:val="0"/>
        <w:spacing w:line="440" w:lineRule="exact"/>
        <w:ind w:left="-4" w:leftChars="-2" w:firstLine="480" w:firstLineChars="200"/>
        <w:rPr>
          <w:rFonts w:hint="eastAsia" w:ascii="宋体" w:hAnsi="宋体" w:eastAsia="宋体" w:cs="宋体"/>
          <w:color w:val="000000"/>
          <w:sz w:val="24"/>
        </w:rPr>
      </w:pPr>
      <w:r>
        <w:rPr>
          <w:rFonts w:hint="eastAsia" w:ascii="宋体" w:hAnsi="宋体" w:eastAsia="宋体" w:cs="宋体"/>
          <w:color w:val="000000"/>
          <w:sz w:val="24"/>
        </w:rPr>
        <w:t>本单位郑重声明，根据《财政部、民政部、中国残疾人联合会关于促进残疾人就业政府采购政策的通知》（财库〔2017〕141号）的规定，本单位为符合条件的残疾人福利性单位，本单位在职职工人数为       人，安置的残疾人人数      人。且本单位参加______单位的______项目采购活动提供本单位制造的货物（由本单位承担工程/提供服务），或者提供其他残疾人福利性单位制造的货物（不包括使用非残疾人福利性单位注册商标的货物）。</w:t>
      </w:r>
    </w:p>
    <w:p w14:paraId="2D076F09">
      <w:pPr>
        <w:adjustRightInd w:val="0"/>
        <w:snapToGrid w:val="0"/>
        <w:spacing w:line="440" w:lineRule="exact"/>
        <w:ind w:left="-4" w:leftChars="-2" w:firstLine="480" w:firstLineChars="200"/>
        <w:rPr>
          <w:rFonts w:hint="eastAsia" w:ascii="宋体" w:hAnsi="宋体" w:eastAsia="宋体" w:cs="宋体"/>
          <w:color w:val="000000"/>
          <w:sz w:val="24"/>
        </w:rPr>
      </w:pPr>
      <w:r>
        <w:rPr>
          <w:rFonts w:hint="eastAsia" w:ascii="宋体" w:hAnsi="宋体" w:eastAsia="宋体" w:cs="宋体"/>
          <w:color w:val="000000"/>
          <w:sz w:val="24"/>
        </w:rPr>
        <w:t>本单位对上述声明的真实性负责。如有虚假，将依法承担相应责任。</w:t>
      </w:r>
    </w:p>
    <w:p w14:paraId="7DF65E01">
      <w:pPr>
        <w:adjustRightInd w:val="0"/>
        <w:snapToGrid w:val="0"/>
        <w:spacing w:line="440" w:lineRule="exact"/>
        <w:ind w:left="-4" w:leftChars="-2" w:firstLine="480" w:firstLineChars="200"/>
        <w:rPr>
          <w:rFonts w:hint="eastAsia" w:ascii="宋体" w:hAnsi="宋体" w:eastAsia="宋体" w:cs="宋体"/>
          <w:color w:val="000000"/>
          <w:sz w:val="24"/>
        </w:rPr>
      </w:pPr>
    </w:p>
    <w:p w14:paraId="5DCAD32F">
      <w:pPr>
        <w:adjustRightInd w:val="0"/>
        <w:snapToGrid w:val="0"/>
        <w:spacing w:line="440" w:lineRule="exact"/>
        <w:ind w:left="-4" w:leftChars="-2" w:firstLine="480" w:firstLineChars="200"/>
        <w:rPr>
          <w:rFonts w:hint="eastAsia" w:ascii="宋体" w:hAnsi="宋体" w:eastAsia="宋体" w:cs="宋体"/>
          <w:color w:val="000000"/>
          <w:sz w:val="24"/>
        </w:rPr>
      </w:pPr>
      <w:r>
        <w:rPr>
          <w:rFonts w:hint="eastAsia" w:ascii="宋体" w:hAnsi="宋体" w:eastAsia="宋体" w:cs="宋体"/>
          <w:color w:val="000000"/>
          <w:sz w:val="24"/>
        </w:rPr>
        <w:t>注：若无此项内容，可不提供此函。</w:t>
      </w:r>
    </w:p>
    <w:p w14:paraId="0FFFDEF4">
      <w:pPr>
        <w:spacing w:line="360" w:lineRule="auto"/>
        <w:ind w:firstLine="480"/>
        <w:rPr>
          <w:rFonts w:hint="eastAsia" w:ascii="宋体" w:hAnsi="宋体" w:eastAsia="宋体" w:cs="宋体"/>
          <w:color w:val="000000"/>
        </w:rPr>
      </w:pPr>
    </w:p>
    <w:p w14:paraId="7E30D545">
      <w:pPr>
        <w:spacing w:line="360" w:lineRule="auto"/>
        <w:ind w:firstLine="480"/>
        <w:rPr>
          <w:rFonts w:hint="eastAsia" w:ascii="宋体" w:hAnsi="宋体" w:eastAsia="宋体" w:cs="宋体"/>
          <w:color w:val="000000"/>
        </w:rPr>
      </w:pPr>
    </w:p>
    <w:p w14:paraId="7FA07504">
      <w:pPr>
        <w:spacing w:line="360" w:lineRule="auto"/>
        <w:ind w:firstLine="480"/>
        <w:rPr>
          <w:rFonts w:hint="eastAsia" w:ascii="宋体" w:hAnsi="宋体" w:eastAsia="宋体" w:cs="宋体"/>
          <w:color w:val="000000"/>
        </w:rPr>
      </w:pPr>
    </w:p>
    <w:p w14:paraId="16935FB0">
      <w:pPr>
        <w:spacing w:line="360" w:lineRule="auto"/>
        <w:ind w:firstLine="480"/>
        <w:rPr>
          <w:rFonts w:hint="eastAsia" w:ascii="宋体" w:hAnsi="宋体" w:eastAsia="宋体" w:cs="宋体"/>
          <w:color w:val="000000"/>
        </w:rPr>
      </w:pPr>
    </w:p>
    <w:p w14:paraId="28BCA93D">
      <w:pPr>
        <w:spacing w:line="360" w:lineRule="auto"/>
        <w:ind w:firstLine="480"/>
        <w:rPr>
          <w:rFonts w:hint="eastAsia" w:ascii="宋体" w:hAnsi="宋体" w:eastAsia="宋体" w:cs="宋体"/>
          <w:color w:val="000000"/>
        </w:rPr>
      </w:pPr>
    </w:p>
    <w:p w14:paraId="42340E25">
      <w:pPr>
        <w:spacing w:line="360" w:lineRule="auto"/>
        <w:ind w:firstLine="480"/>
        <w:rPr>
          <w:rFonts w:hint="eastAsia" w:ascii="宋体" w:hAnsi="宋体" w:eastAsia="宋体" w:cs="宋体"/>
          <w:color w:val="000000"/>
        </w:rPr>
      </w:pPr>
    </w:p>
    <w:p w14:paraId="06294574">
      <w:pPr>
        <w:spacing w:line="360" w:lineRule="auto"/>
        <w:ind w:firstLine="480"/>
        <w:rPr>
          <w:rFonts w:hint="eastAsia" w:ascii="宋体" w:hAnsi="宋体" w:eastAsia="宋体" w:cs="宋体"/>
          <w:color w:val="000000"/>
        </w:rPr>
      </w:pPr>
    </w:p>
    <w:p w14:paraId="5737B3FE">
      <w:pPr>
        <w:spacing w:line="360" w:lineRule="auto"/>
        <w:ind w:firstLine="480"/>
        <w:rPr>
          <w:rFonts w:hint="eastAsia" w:ascii="宋体" w:hAnsi="宋体" w:eastAsia="宋体" w:cs="宋体"/>
          <w:color w:val="000000"/>
        </w:rPr>
      </w:pPr>
    </w:p>
    <w:p w14:paraId="2416AEA1">
      <w:pPr>
        <w:spacing w:line="360" w:lineRule="auto"/>
        <w:ind w:firstLine="480"/>
        <w:rPr>
          <w:rFonts w:hint="eastAsia" w:ascii="宋体" w:hAnsi="宋体" w:eastAsia="宋体" w:cs="宋体"/>
          <w:color w:val="000000"/>
        </w:rPr>
      </w:pPr>
    </w:p>
    <w:p w14:paraId="76E3334C">
      <w:pPr>
        <w:spacing w:line="360" w:lineRule="auto"/>
        <w:ind w:firstLine="480"/>
        <w:rPr>
          <w:rFonts w:hint="eastAsia" w:ascii="宋体" w:hAnsi="宋体" w:eastAsia="宋体" w:cs="宋体"/>
          <w:color w:val="000000"/>
        </w:rPr>
      </w:pPr>
    </w:p>
    <w:p w14:paraId="6F39ADDA">
      <w:pPr>
        <w:spacing w:line="360" w:lineRule="auto"/>
        <w:ind w:firstLine="480"/>
        <w:rPr>
          <w:rFonts w:hint="eastAsia" w:ascii="宋体" w:hAnsi="宋体" w:eastAsia="宋体" w:cs="宋体"/>
          <w:color w:val="000000"/>
        </w:rPr>
      </w:pPr>
    </w:p>
    <w:p w14:paraId="6043708E">
      <w:pPr>
        <w:spacing w:line="360" w:lineRule="auto"/>
        <w:ind w:firstLine="480"/>
        <w:rPr>
          <w:rFonts w:hint="eastAsia" w:ascii="宋体" w:hAnsi="宋体" w:eastAsia="宋体" w:cs="宋体"/>
          <w:color w:val="000000"/>
        </w:rPr>
      </w:pPr>
    </w:p>
    <w:p w14:paraId="3CC74B3E">
      <w:pPr>
        <w:autoSpaceDE w:val="0"/>
        <w:autoSpaceDN w:val="0"/>
        <w:spacing w:line="360" w:lineRule="auto"/>
        <w:jc w:val="right"/>
        <w:rPr>
          <w:rFonts w:hint="eastAsia" w:ascii="宋体" w:hAnsi="宋体" w:eastAsia="宋体" w:cs="宋体"/>
          <w:bCs/>
          <w:color w:val="000000"/>
          <w:sz w:val="24"/>
          <w:szCs w:val="28"/>
        </w:rPr>
      </w:pPr>
      <w:r>
        <w:rPr>
          <w:rFonts w:hint="eastAsia" w:ascii="宋体" w:hAnsi="宋体" w:eastAsia="宋体" w:cs="宋体"/>
          <w:b/>
          <w:color w:val="000000"/>
        </w:rPr>
        <w:t xml:space="preserve">                                </w:t>
      </w:r>
      <w:r>
        <w:rPr>
          <w:rFonts w:hint="eastAsia" w:ascii="宋体" w:hAnsi="宋体" w:eastAsia="宋体" w:cs="宋体"/>
          <w:bCs/>
          <w:color w:val="000000"/>
          <w:sz w:val="24"/>
          <w:szCs w:val="28"/>
        </w:rPr>
        <w:t>企业名称：       （公章）</w:t>
      </w:r>
    </w:p>
    <w:p w14:paraId="5FE6A17C">
      <w:pPr>
        <w:autoSpaceDE w:val="0"/>
        <w:autoSpaceDN w:val="0"/>
        <w:spacing w:line="360" w:lineRule="auto"/>
        <w:jc w:val="right"/>
        <w:rPr>
          <w:rFonts w:hint="eastAsia" w:ascii="宋体" w:hAnsi="宋体" w:eastAsia="宋体" w:cs="宋体"/>
          <w:bCs/>
          <w:color w:val="000000"/>
          <w:sz w:val="24"/>
          <w:szCs w:val="28"/>
        </w:rPr>
      </w:pPr>
      <w:r>
        <w:rPr>
          <w:rFonts w:hint="eastAsia" w:ascii="宋体" w:hAnsi="宋体" w:eastAsia="宋体" w:cs="宋体"/>
          <w:bCs/>
          <w:color w:val="000000"/>
          <w:sz w:val="24"/>
          <w:szCs w:val="28"/>
        </w:rPr>
        <w:t xml:space="preserve">       企业法定代表人：       （签字或盖章）</w:t>
      </w:r>
    </w:p>
    <w:p w14:paraId="136FEF29">
      <w:pPr>
        <w:rPr>
          <w:rFonts w:hint="eastAsia" w:ascii="宋体" w:hAnsi="宋体" w:eastAsia="宋体" w:cs="宋体"/>
          <w:color w:val="000000"/>
          <w:lang w:val="zh-CN"/>
        </w:rPr>
      </w:pPr>
      <w:r>
        <w:rPr>
          <w:rFonts w:hint="eastAsia" w:ascii="宋体" w:hAnsi="宋体" w:eastAsia="宋体" w:cs="宋体"/>
          <w:bCs/>
          <w:color w:val="000000"/>
          <w:sz w:val="24"/>
          <w:szCs w:val="28"/>
        </w:rPr>
        <w:t xml:space="preserve">                                                          年   月  日</w:t>
      </w:r>
    </w:p>
    <w:p w14:paraId="6E841B93">
      <w:pPr>
        <w:pStyle w:val="6"/>
        <w:numPr>
          <w:ilvl w:val="0"/>
          <w:numId w:val="0"/>
        </w:numPr>
        <w:rPr>
          <w:rFonts w:hint="eastAsia" w:ascii="宋体" w:hAnsi="宋体" w:eastAsia="宋体" w:cs="宋体"/>
          <w:b/>
          <w:color w:val="000000"/>
          <w:sz w:val="32"/>
          <w:lang w:val="zh-CN"/>
        </w:rPr>
      </w:pPr>
      <w:r>
        <w:rPr>
          <w:rFonts w:hint="eastAsia" w:ascii="宋体" w:hAnsi="宋体" w:eastAsia="宋体" w:cs="宋体"/>
          <w:b/>
          <w:color w:val="000000"/>
          <w:sz w:val="32"/>
          <w:lang w:val="zh-CN"/>
        </w:rPr>
        <w:br w:type="page"/>
      </w:r>
      <w:bookmarkStart w:id="145" w:name="_Toc10636"/>
      <w:r>
        <w:rPr>
          <w:rFonts w:hint="eastAsia" w:ascii="宋体" w:hAnsi="宋体" w:eastAsia="宋体" w:cs="宋体"/>
          <w:b/>
          <w:color w:val="000000"/>
          <w:sz w:val="32"/>
          <w:lang w:val="zh-CN"/>
        </w:rPr>
        <w:t>格式1</w:t>
      </w:r>
      <w:r>
        <w:rPr>
          <w:rFonts w:hint="eastAsia" w:hAnsi="宋体" w:eastAsia="宋体" w:cs="宋体"/>
          <w:b/>
          <w:color w:val="000000"/>
          <w:sz w:val="32"/>
          <w:lang w:val="en-US" w:eastAsia="zh-CN"/>
        </w:rPr>
        <w:t>5</w:t>
      </w:r>
      <w:r>
        <w:rPr>
          <w:rFonts w:hint="eastAsia" w:ascii="宋体" w:hAnsi="宋体" w:eastAsia="宋体" w:cs="宋体"/>
          <w:b/>
          <w:color w:val="000000"/>
          <w:sz w:val="32"/>
          <w:lang w:val="zh-CN"/>
        </w:rPr>
        <w:t>、磋商供应商认为在其他方面有必要说明的事项</w:t>
      </w:r>
      <w:bookmarkEnd w:id="136"/>
      <w:bookmarkEnd w:id="145"/>
    </w:p>
    <w:p w14:paraId="7D99E2B3">
      <w:pPr>
        <w:autoSpaceDE w:val="0"/>
        <w:autoSpaceDN w:val="0"/>
        <w:adjustRightInd w:val="0"/>
        <w:spacing w:line="360" w:lineRule="auto"/>
        <w:rPr>
          <w:rFonts w:hint="eastAsia" w:ascii="宋体" w:hAnsi="宋体" w:eastAsia="宋体" w:cs="宋体"/>
          <w:color w:val="000000"/>
          <w:kern w:val="0"/>
          <w:sz w:val="24"/>
          <w:lang w:val="zh-CN"/>
        </w:rPr>
      </w:pPr>
    </w:p>
    <w:p w14:paraId="16BDE4BF">
      <w:pPr>
        <w:pStyle w:val="17"/>
        <w:spacing w:line="360" w:lineRule="auto"/>
        <w:jc w:val="center"/>
        <w:rPr>
          <w:rFonts w:hint="eastAsia" w:ascii="宋体" w:hAnsi="宋体" w:eastAsia="宋体" w:cs="宋体"/>
          <w:b/>
          <w:bCs/>
          <w:color w:val="000000"/>
          <w:sz w:val="30"/>
          <w:szCs w:val="30"/>
          <w:lang w:val="zh-CN"/>
        </w:rPr>
      </w:pPr>
      <w:r>
        <w:rPr>
          <w:rFonts w:hint="eastAsia" w:ascii="宋体" w:hAnsi="宋体" w:eastAsia="宋体" w:cs="宋体"/>
          <w:b/>
          <w:bCs/>
          <w:color w:val="000000"/>
          <w:sz w:val="32"/>
          <w:szCs w:val="30"/>
          <w:lang w:val="zh-CN"/>
        </w:rPr>
        <w:t>磋商供应商认为在其他方面有必要说明的事项</w:t>
      </w:r>
    </w:p>
    <w:p w14:paraId="5D53BFFE">
      <w:pPr>
        <w:autoSpaceDE w:val="0"/>
        <w:autoSpaceDN w:val="0"/>
        <w:adjustRightInd w:val="0"/>
        <w:spacing w:line="360" w:lineRule="auto"/>
        <w:rPr>
          <w:rFonts w:hint="eastAsia" w:ascii="宋体" w:hAnsi="宋体" w:eastAsia="宋体" w:cs="宋体"/>
          <w:color w:val="000000"/>
          <w:kern w:val="0"/>
          <w:sz w:val="24"/>
          <w:lang w:val="zh-CN"/>
        </w:rPr>
      </w:pPr>
    </w:p>
    <w:p w14:paraId="6C449AA8">
      <w:pPr>
        <w:autoSpaceDE w:val="0"/>
        <w:autoSpaceDN w:val="0"/>
        <w:spacing w:line="360" w:lineRule="auto"/>
        <w:ind w:firstLine="480" w:firstLineChars="200"/>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磋商供应商在参加本项目磋商中根据磋商文件的要求认为需要说明的事项，如没有说明事项，此项可忽略。（格式可自定）</w:t>
      </w:r>
    </w:p>
    <w:p w14:paraId="2E9DBD1D">
      <w:pPr>
        <w:pStyle w:val="6"/>
        <w:numPr>
          <w:ilvl w:val="0"/>
          <w:numId w:val="0"/>
        </w:numPr>
        <w:ind w:left="709" w:hanging="709"/>
        <w:rPr>
          <w:rFonts w:hint="eastAsia" w:ascii="宋体" w:hAnsi="宋体" w:eastAsia="宋体" w:cs="宋体"/>
          <w:b/>
          <w:color w:val="000000"/>
          <w:sz w:val="32"/>
          <w:lang w:val="zh-CN"/>
        </w:rPr>
      </w:pPr>
      <w:r>
        <w:rPr>
          <w:rFonts w:hint="eastAsia" w:ascii="宋体" w:hAnsi="宋体" w:eastAsia="宋体" w:cs="宋体"/>
          <w:bCs/>
          <w:color w:val="000000"/>
          <w:sz w:val="24"/>
          <w:szCs w:val="28"/>
        </w:rPr>
        <w:br w:type="page"/>
      </w:r>
      <w:bookmarkStart w:id="146" w:name="_Toc25220"/>
      <w:r>
        <w:rPr>
          <w:rFonts w:hint="eastAsia" w:ascii="宋体" w:hAnsi="宋体" w:eastAsia="宋体" w:cs="宋体"/>
          <w:b/>
          <w:color w:val="000000"/>
          <w:sz w:val="32"/>
          <w:lang w:val="zh-CN"/>
        </w:rPr>
        <w:t>格式1</w:t>
      </w:r>
      <w:r>
        <w:rPr>
          <w:rFonts w:hint="eastAsia" w:hAnsi="宋体" w:eastAsia="宋体" w:cs="宋体"/>
          <w:b/>
          <w:color w:val="000000"/>
          <w:sz w:val="32"/>
          <w:lang w:val="en-US" w:eastAsia="zh-CN"/>
        </w:rPr>
        <w:t>6</w:t>
      </w:r>
      <w:r>
        <w:rPr>
          <w:rFonts w:hint="eastAsia" w:ascii="宋体" w:hAnsi="宋体" w:eastAsia="宋体" w:cs="宋体"/>
          <w:b/>
          <w:color w:val="000000"/>
          <w:sz w:val="32"/>
          <w:lang w:val="zh-CN"/>
        </w:rPr>
        <w:t>、磋商最终报价表</w:t>
      </w:r>
      <w:r>
        <w:rPr>
          <w:rFonts w:hint="eastAsia" w:ascii="宋体" w:hAnsi="宋体" w:eastAsia="宋体" w:cs="宋体"/>
          <w:b/>
          <w:color w:val="000000"/>
          <w:sz w:val="36"/>
          <w:szCs w:val="36"/>
        </w:rPr>
        <w:t>（单独提交）</w:t>
      </w:r>
      <w:bookmarkEnd w:id="146"/>
    </w:p>
    <w:p w14:paraId="3AEB4B06">
      <w:pPr>
        <w:spacing w:line="360" w:lineRule="auto"/>
        <w:jc w:val="center"/>
        <w:rPr>
          <w:rFonts w:hint="eastAsia" w:ascii="宋体" w:hAnsi="宋体" w:eastAsia="宋体" w:cs="宋体"/>
          <w:b/>
          <w:color w:val="000000"/>
          <w:sz w:val="32"/>
          <w:szCs w:val="36"/>
        </w:rPr>
      </w:pPr>
      <w:r>
        <w:rPr>
          <w:rFonts w:hint="eastAsia" w:ascii="宋体" w:hAnsi="宋体" w:eastAsia="宋体" w:cs="宋体"/>
          <w:b/>
          <w:color w:val="000000"/>
          <w:sz w:val="32"/>
          <w:szCs w:val="36"/>
        </w:rPr>
        <w:t>磋商最终报价表</w:t>
      </w:r>
    </w:p>
    <w:p w14:paraId="23AF6D58">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4"/>
          <w:szCs w:val="28"/>
        </w:rPr>
        <w:t xml:space="preserve">磋商供应商名称： </w:t>
      </w:r>
      <w:r>
        <w:rPr>
          <w:rFonts w:hint="eastAsia" w:ascii="宋体" w:hAnsi="宋体" w:eastAsia="宋体" w:cs="宋体"/>
          <w:b/>
          <w:color w:val="000000"/>
          <w:sz w:val="28"/>
          <w:szCs w:val="28"/>
        </w:rPr>
        <w:t xml:space="preserve">                                       </w:t>
      </w:r>
      <w:r>
        <w:rPr>
          <w:rFonts w:hint="eastAsia" w:ascii="宋体" w:hAnsi="宋体" w:eastAsia="宋体" w:cs="宋体"/>
          <w:b/>
          <w:color w:val="000000"/>
          <w:sz w:val="24"/>
        </w:rPr>
        <w:t>单位：元</w:t>
      </w:r>
    </w:p>
    <w:tbl>
      <w:tblPr>
        <w:tblStyle w:val="34"/>
        <w:tblW w:w="8859" w:type="dxa"/>
        <w:jc w:val="center"/>
        <w:tblLayout w:type="fixed"/>
        <w:tblCellMar>
          <w:top w:w="0" w:type="dxa"/>
          <w:left w:w="108" w:type="dxa"/>
          <w:bottom w:w="0" w:type="dxa"/>
          <w:right w:w="108" w:type="dxa"/>
        </w:tblCellMar>
      </w:tblPr>
      <w:tblGrid>
        <w:gridCol w:w="2347"/>
        <w:gridCol w:w="2934"/>
        <w:gridCol w:w="1742"/>
        <w:gridCol w:w="1836"/>
      </w:tblGrid>
      <w:tr w14:paraId="465AABAC">
        <w:tblPrEx>
          <w:tblCellMar>
            <w:top w:w="0" w:type="dxa"/>
            <w:left w:w="108" w:type="dxa"/>
            <w:bottom w:w="0" w:type="dxa"/>
            <w:right w:w="108" w:type="dxa"/>
          </w:tblCellMar>
        </w:tblPrEx>
        <w:trPr>
          <w:wBefore w:w="0" w:type="auto"/>
          <w:wAfter w:w="0" w:type="auto"/>
          <w:trHeight w:val="723" w:hRule="atLeast"/>
          <w:jc w:val="center"/>
        </w:trPr>
        <w:tc>
          <w:tcPr>
            <w:tcW w:w="234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CF3C78">
            <w:pPr>
              <w:autoSpaceDE w:val="0"/>
              <w:autoSpaceDN w:val="0"/>
              <w:spacing w:line="360" w:lineRule="auto"/>
              <w:jc w:val="center"/>
              <w:rPr>
                <w:rFonts w:hint="eastAsia" w:ascii="宋体" w:hAnsi="宋体" w:eastAsia="宋体" w:cs="宋体"/>
                <w:color w:val="000000"/>
                <w:sz w:val="24"/>
                <w:lang w:val="zh-CN"/>
              </w:rPr>
            </w:pPr>
            <w:r>
              <w:rPr>
                <w:rFonts w:hint="eastAsia" w:ascii="宋体" w:hAnsi="宋体" w:eastAsia="宋体" w:cs="宋体"/>
                <w:bCs/>
                <w:color w:val="000000"/>
                <w:sz w:val="24"/>
                <w:lang w:val="zh-CN"/>
              </w:rPr>
              <w:t>项目名称</w:t>
            </w:r>
          </w:p>
        </w:tc>
        <w:tc>
          <w:tcPr>
            <w:tcW w:w="29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5EC2B8">
            <w:pPr>
              <w:autoSpaceDE w:val="0"/>
              <w:autoSpaceDN w:val="0"/>
              <w:spacing w:line="360" w:lineRule="auto"/>
              <w:jc w:val="center"/>
              <w:rPr>
                <w:rFonts w:hint="eastAsia" w:ascii="宋体" w:hAnsi="宋体" w:eastAsia="宋体" w:cs="宋体"/>
                <w:color w:val="000000"/>
                <w:lang w:val="zh-CN"/>
              </w:rPr>
            </w:pPr>
            <w:r>
              <w:rPr>
                <w:rFonts w:hint="eastAsia" w:ascii="宋体" w:hAnsi="宋体" w:eastAsia="宋体" w:cs="宋体"/>
                <w:bCs/>
                <w:color w:val="000000"/>
                <w:sz w:val="24"/>
                <w:lang w:val="zh-CN"/>
              </w:rPr>
              <w:t>磋商最终报价</w:t>
            </w:r>
          </w:p>
        </w:tc>
        <w:tc>
          <w:tcPr>
            <w:tcW w:w="1742" w:type="dxa"/>
            <w:tcBorders>
              <w:top w:val="single" w:color="000000" w:sz="6" w:space="0"/>
              <w:left w:val="single" w:color="auto" w:sz="4" w:space="0"/>
              <w:bottom w:val="single" w:color="000000" w:sz="6" w:space="0"/>
              <w:right w:val="single" w:color="000000" w:sz="6" w:space="0"/>
            </w:tcBorders>
            <w:shd w:val="clear" w:color="000000" w:fill="FFFFFF"/>
            <w:noWrap w:val="0"/>
            <w:vAlign w:val="center"/>
          </w:tcPr>
          <w:p w14:paraId="48EDAECD">
            <w:pPr>
              <w:autoSpaceDE w:val="0"/>
              <w:autoSpaceDN w:val="0"/>
              <w:spacing w:line="360" w:lineRule="auto"/>
              <w:jc w:val="center"/>
              <w:rPr>
                <w:rFonts w:hint="eastAsia" w:ascii="宋体" w:hAnsi="宋体" w:eastAsia="宋体" w:cs="宋体"/>
                <w:bCs/>
                <w:color w:val="000000"/>
                <w:sz w:val="24"/>
                <w:lang w:val="zh-CN"/>
              </w:rPr>
            </w:pPr>
            <w:r>
              <w:rPr>
                <w:rFonts w:hint="eastAsia" w:ascii="宋体" w:hAnsi="宋体" w:eastAsia="宋体" w:cs="宋体"/>
                <w:bCs/>
                <w:color w:val="000000"/>
                <w:sz w:val="24"/>
                <w:lang w:val="zh-CN"/>
              </w:rPr>
              <w:t>服务期</w:t>
            </w:r>
          </w:p>
        </w:tc>
        <w:tc>
          <w:tcPr>
            <w:tcW w:w="18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4598D2">
            <w:pPr>
              <w:autoSpaceDE w:val="0"/>
              <w:autoSpaceDN w:val="0"/>
              <w:spacing w:line="360" w:lineRule="auto"/>
              <w:jc w:val="center"/>
              <w:rPr>
                <w:rFonts w:hint="eastAsia" w:ascii="宋体" w:hAnsi="宋体" w:eastAsia="宋体" w:cs="宋体"/>
                <w:color w:val="000000"/>
                <w:lang w:val="zh-CN"/>
              </w:rPr>
            </w:pPr>
            <w:r>
              <w:rPr>
                <w:rFonts w:hint="eastAsia" w:ascii="宋体" w:hAnsi="宋体" w:eastAsia="宋体" w:cs="宋体"/>
                <w:bCs/>
                <w:color w:val="000000"/>
                <w:sz w:val="24"/>
                <w:lang w:val="zh-CN"/>
              </w:rPr>
              <w:t>备注</w:t>
            </w:r>
          </w:p>
        </w:tc>
      </w:tr>
      <w:tr w14:paraId="6C96B45C">
        <w:tblPrEx>
          <w:tblCellMar>
            <w:top w:w="0" w:type="dxa"/>
            <w:left w:w="108" w:type="dxa"/>
            <w:bottom w:w="0" w:type="dxa"/>
            <w:right w:w="108" w:type="dxa"/>
          </w:tblCellMar>
        </w:tblPrEx>
        <w:trPr>
          <w:wBefore w:w="0" w:type="auto"/>
          <w:wAfter w:w="0" w:type="auto"/>
          <w:trHeight w:val="577" w:hRule="atLeast"/>
          <w:jc w:val="center"/>
        </w:trPr>
        <w:tc>
          <w:tcPr>
            <w:tcW w:w="2347" w:type="dxa"/>
            <w:vMerge w:val="restart"/>
            <w:tcBorders>
              <w:top w:val="single" w:color="000000" w:sz="6" w:space="0"/>
              <w:left w:val="single" w:color="000000" w:sz="6" w:space="0"/>
              <w:right w:val="single" w:color="000000" w:sz="6" w:space="0"/>
            </w:tcBorders>
            <w:shd w:val="clear" w:color="000000" w:fill="FFFFFF"/>
            <w:noWrap w:val="0"/>
            <w:vAlign w:val="center"/>
          </w:tcPr>
          <w:p w14:paraId="41D84D6B">
            <w:pPr>
              <w:autoSpaceDE w:val="0"/>
              <w:autoSpaceDN w:val="0"/>
              <w:spacing w:line="360" w:lineRule="auto"/>
              <w:jc w:val="center"/>
              <w:rPr>
                <w:rFonts w:hint="eastAsia" w:ascii="宋体" w:hAnsi="宋体" w:eastAsia="宋体" w:cs="宋体"/>
                <w:color w:val="000000"/>
                <w:lang w:val="zh-CN"/>
              </w:rPr>
            </w:pPr>
          </w:p>
        </w:tc>
        <w:tc>
          <w:tcPr>
            <w:tcW w:w="29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3E352A">
            <w:pPr>
              <w:autoSpaceDE w:val="0"/>
              <w:autoSpaceDN w:val="0"/>
              <w:spacing w:line="360" w:lineRule="auto"/>
              <w:rPr>
                <w:rFonts w:hint="eastAsia" w:ascii="宋体" w:hAnsi="宋体" w:eastAsia="宋体" w:cs="宋体"/>
                <w:color w:val="000000"/>
                <w:lang w:val="zh-CN"/>
              </w:rPr>
            </w:pPr>
            <w:r>
              <w:rPr>
                <w:rFonts w:hint="eastAsia" w:ascii="宋体" w:hAnsi="宋体" w:eastAsia="宋体" w:cs="宋体"/>
                <w:bCs/>
                <w:color w:val="000000"/>
                <w:sz w:val="24"/>
                <w:lang w:val="zh-CN"/>
              </w:rPr>
              <w:t>大写：</w:t>
            </w:r>
          </w:p>
        </w:tc>
        <w:tc>
          <w:tcPr>
            <w:tcW w:w="1742" w:type="dxa"/>
            <w:vMerge w:val="restart"/>
            <w:tcBorders>
              <w:top w:val="single" w:color="000000" w:sz="6" w:space="0"/>
              <w:left w:val="single" w:color="auto" w:sz="4" w:space="0"/>
              <w:right w:val="single" w:color="000000" w:sz="6" w:space="0"/>
            </w:tcBorders>
            <w:shd w:val="clear" w:color="000000" w:fill="FFFFFF"/>
            <w:noWrap w:val="0"/>
            <w:vAlign w:val="center"/>
          </w:tcPr>
          <w:p w14:paraId="3E251D6E">
            <w:pPr>
              <w:autoSpaceDE w:val="0"/>
              <w:autoSpaceDN w:val="0"/>
              <w:spacing w:line="360" w:lineRule="auto"/>
              <w:ind w:firstLine="197"/>
              <w:jc w:val="center"/>
              <w:rPr>
                <w:rFonts w:hint="eastAsia" w:ascii="宋体" w:hAnsi="宋体" w:eastAsia="宋体" w:cs="宋体"/>
                <w:color w:val="000000"/>
                <w:lang w:val="zh-CN"/>
              </w:rPr>
            </w:pPr>
          </w:p>
        </w:tc>
        <w:tc>
          <w:tcPr>
            <w:tcW w:w="1836"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042B7D">
            <w:pPr>
              <w:autoSpaceDE w:val="0"/>
              <w:autoSpaceDN w:val="0"/>
              <w:spacing w:line="360" w:lineRule="auto"/>
              <w:jc w:val="center"/>
              <w:rPr>
                <w:rFonts w:hint="eastAsia" w:ascii="宋体" w:hAnsi="宋体" w:eastAsia="宋体" w:cs="宋体"/>
                <w:color w:val="000000"/>
                <w:lang w:val="zh-CN"/>
              </w:rPr>
            </w:pPr>
          </w:p>
        </w:tc>
      </w:tr>
      <w:tr w14:paraId="175158A2">
        <w:tblPrEx>
          <w:tblCellMar>
            <w:top w:w="0" w:type="dxa"/>
            <w:left w:w="108" w:type="dxa"/>
            <w:bottom w:w="0" w:type="dxa"/>
            <w:right w:w="108" w:type="dxa"/>
          </w:tblCellMar>
        </w:tblPrEx>
        <w:trPr>
          <w:wBefore w:w="0" w:type="auto"/>
          <w:wAfter w:w="0" w:type="auto"/>
          <w:trHeight w:val="615" w:hRule="atLeast"/>
          <w:jc w:val="center"/>
        </w:trPr>
        <w:tc>
          <w:tcPr>
            <w:tcW w:w="2347" w:type="dxa"/>
            <w:vMerge w:val="continue"/>
            <w:tcBorders>
              <w:left w:val="single" w:color="000000" w:sz="6" w:space="0"/>
              <w:bottom w:val="single" w:color="000000" w:sz="6" w:space="0"/>
              <w:right w:val="single" w:color="000000" w:sz="6" w:space="0"/>
            </w:tcBorders>
            <w:shd w:val="clear" w:color="000000" w:fill="FFFFFF"/>
            <w:noWrap w:val="0"/>
            <w:vAlign w:val="center"/>
          </w:tcPr>
          <w:p w14:paraId="27DD7ACA">
            <w:pPr>
              <w:autoSpaceDE w:val="0"/>
              <w:autoSpaceDN w:val="0"/>
              <w:spacing w:line="360" w:lineRule="auto"/>
              <w:jc w:val="center"/>
              <w:rPr>
                <w:rFonts w:hint="eastAsia" w:ascii="宋体" w:hAnsi="宋体" w:eastAsia="宋体" w:cs="宋体"/>
                <w:color w:val="000000"/>
                <w:lang w:val="zh-CN"/>
              </w:rPr>
            </w:pPr>
          </w:p>
        </w:tc>
        <w:tc>
          <w:tcPr>
            <w:tcW w:w="29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24EE0E">
            <w:pPr>
              <w:autoSpaceDE w:val="0"/>
              <w:autoSpaceDN w:val="0"/>
              <w:spacing w:line="360" w:lineRule="auto"/>
              <w:rPr>
                <w:rFonts w:hint="eastAsia" w:ascii="宋体" w:hAnsi="宋体" w:eastAsia="宋体" w:cs="宋体"/>
                <w:color w:val="000000"/>
                <w:lang w:val="zh-CN"/>
              </w:rPr>
            </w:pPr>
            <w:r>
              <w:rPr>
                <w:rFonts w:hint="eastAsia" w:ascii="宋体" w:hAnsi="宋体" w:eastAsia="宋体" w:cs="宋体"/>
                <w:bCs/>
                <w:color w:val="000000"/>
                <w:sz w:val="24"/>
                <w:lang w:val="zh-CN"/>
              </w:rPr>
              <w:t>小写：</w:t>
            </w:r>
          </w:p>
        </w:tc>
        <w:tc>
          <w:tcPr>
            <w:tcW w:w="1742" w:type="dxa"/>
            <w:vMerge w:val="continue"/>
            <w:tcBorders>
              <w:left w:val="single" w:color="auto" w:sz="4" w:space="0"/>
              <w:bottom w:val="single" w:color="000000" w:sz="6" w:space="0"/>
              <w:right w:val="single" w:color="000000" w:sz="6" w:space="0"/>
            </w:tcBorders>
            <w:shd w:val="clear" w:color="000000" w:fill="FFFFFF"/>
            <w:noWrap w:val="0"/>
            <w:vAlign w:val="center"/>
          </w:tcPr>
          <w:p w14:paraId="7E0DAE02">
            <w:pPr>
              <w:autoSpaceDE w:val="0"/>
              <w:autoSpaceDN w:val="0"/>
              <w:spacing w:line="360" w:lineRule="auto"/>
              <w:jc w:val="center"/>
              <w:rPr>
                <w:rFonts w:hint="eastAsia" w:ascii="宋体" w:hAnsi="宋体" w:eastAsia="宋体" w:cs="宋体"/>
                <w:color w:val="000000"/>
                <w:lang w:val="zh-CN"/>
              </w:rPr>
            </w:pPr>
          </w:p>
        </w:tc>
        <w:tc>
          <w:tcPr>
            <w:tcW w:w="1836"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4D6242">
            <w:pPr>
              <w:autoSpaceDE w:val="0"/>
              <w:autoSpaceDN w:val="0"/>
              <w:spacing w:line="360" w:lineRule="auto"/>
              <w:jc w:val="center"/>
              <w:rPr>
                <w:rFonts w:hint="eastAsia" w:ascii="宋体" w:hAnsi="宋体" w:eastAsia="宋体" w:cs="宋体"/>
                <w:color w:val="000000"/>
                <w:lang w:val="zh-CN"/>
              </w:rPr>
            </w:pPr>
          </w:p>
        </w:tc>
      </w:tr>
    </w:tbl>
    <w:p w14:paraId="4606BC0D">
      <w:pPr>
        <w:spacing w:line="360" w:lineRule="auto"/>
        <w:jc w:val="left"/>
        <w:rPr>
          <w:rFonts w:hint="eastAsia" w:ascii="宋体" w:hAnsi="宋体" w:eastAsia="宋体" w:cs="宋体"/>
          <w:b/>
          <w:color w:val="000000"/>
        </w:rPr>
      </w:pPr>
    </w:p>
    <w:p w14:paraId="40BF6AB1">
      <w:pPr>
        <w:spacing w:line="360" w:lineRule="auto"/>
        <w:ind w:firstLine="422" w:firstLineChars="200"/>
        <w:jc w:val="left"/>
        <w:rPr>
          <w:rFonts w:hint="eastAsia" w:ascii="宋体" w:hAnsi="宋体" w:eastAsia="宋体" w:cs="宋体"/>
          <w:b/>
          <w:color w:val="000000"/>
        </w:rPr>
      </w:pPr>
      <w:r>
        <w:rPr>
          <w:rFonts w:hint="eastAsia" w:ascii="宋体" w:hAnsi="宋体" w:eastAsia="宋体" w:cs="宋体"/>
          <w:b/>
          <w:color w:val="000000"/>
        </w:rPr>
        <w:t>注：此表不需装订在磋商响应文件中，磋商供应商事先须盖章、签字。在磋商期间，由磋商小组确定合格的磋商供应商现场填写。</w:t>
      </w:r>
    </w:p>
    <w:p w14:paraId="58D65683">
      <w:pPr>
        <w:tabs>
          <w:tab w:val="left" w:pos="168"/>
        </w:tabs>
        <w:adjustRightInd w:val="0"/>
        <w:spacing w:line="360" w:lineRule="auto"/>
        <w:textAlignment w:val="baseline"/>
        <w:rPr>
          <w:rFonts w:hint="eastAsia" w:ascii="宋体" w:hAnsi="宋体" w:eastAsia="宋体" w:cs="宋体"/>
          <w:b/>
          <w:bCs/>
          <w:color w:val="000000"/>
          <w:sz w:val="28"/>
        </w:rPr>
      </w:pPr>
    </w:p>
    <w:p w14:paraId="2F49F25D">
      <w:pPr>
        <w:tabs>
          <w:tab w:val="left" w:pos="168"/>
        </w:tabs>
        <w:adjustRightInd w:val="0"/>
        <w:spacing w:line="360" w:lineRule="auto"/>
        <w:textAlignment w:val="baseline"/>
        <w:rPr>
          <w:rFonts w:hint="eastAsia" w:ascii="宋体" w:hAnsi="宋体" w:eastAsia="宋体" w:cs="宋体"/>
          <w:b/>
          <w:bCs/>
          <w:color w:val="000000"/>
          <w:sz w:val="28"/>
        </w:rPr>
      </w:pPr>
    </w:p>
    <w:p w14:paraId="6CEECC34">
      <w:pPr>
        <w:tabs>
          <w:tab w:val="left" w:pos="168"/>
        </w:tabs>
        <w:adjustRightInd w:val="0"/>
        <w:spacing w:line="360" w:lineRule="auto"/>
        <w:textAlignment w:val="baseline"/>
        <w:rPr>
          <w:rFonts w:hint="eastAsia" w:ascii="宋体" w:hAnsi="宋体" w:eastAsia="宋体" w:cs="宋体"/>
          <w:b/>
          <w:bCs/>
          <w:color w:val="000000"/>
          <w:sz w:val="28"/>
        </w:rPr>
      </w:pPr>
    </w:p>
    <w:p w14:paraId="6AD5EAE5">
      <w:pPr>
        <w:tabs>
          <w:tab w:val="left" w:pos="168"/>
        </w:tabs>
        <w:adjustRightInd w:val="0"/>
        <w:spacing w:line="360" w:lineRule="auto"/>
        <w:textAlignment w:val="baseline"/>
        <w:rPr>
          <w:rFonts w:hint="eastAsia" w:ascii="宋体" w:hAnsi="宋体" w:eastAsia="宋体" w:cs="宋体"/>
          <w:b/>
          <w:bCs/>
          <w:color w:val="000000"/>
          <w:sz w:val="28"/>
        </w:rPr>
      </w:pPr>
    </w:p>
    <w:p w14:paraId="28D028D7">
      <w:pPr>
        <w:tabs>
          <w:tab w:val="left" w:pos="168"/>
        </w:tabs>
        <w:adjustRightInd w:val="0"/>
        <w:spacing w:line="360" w:lineRule="auto"/>
        <w:textAlignment w:val="baseline"/>
        <w:rPr>
          <w:rFonts w:hint="eastAsia" w:ascii="宋体" w:hAnsi="宋体" w:eastAsia="宋体" w:cs="宋体"/>
          <w:bCs/>
          <w:color w:val="000000"/>
          <w:sz w:val="28"/>
          <w:szCs w:val="28"/>
        </w:rPr>
      </w:pPr>
    </w:p>
    <w:p w14:paraId="505B156F">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磋商供应商：                   （公章）</w:t>
      </w:r>
    </w:p>
    <w:p w14:paraId="2946AD54">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委托代理人：                （签字）</w:t>
      </w:r>
    </w:p>
    <w:p w14:paraId="1F9549A1">
      <w:pPr>
        <w:tabs>
          <w:tab w:val="left" w:pos="168"/>
        </w:tabs>
        <w:adjustRightInd w:val="0"/>
        <w:spacing w:line="360" w:lineRule="auto"/>
        <w:jc w:val="right"/>
        <w:textAlignment w:val="baseline"/>
        <w:rPr>
          <w:rFonts w:hint="eastAsia" w:ascii="宋体" w:hAnsi="宋体" w:eastAsia="宋体" w:cs="宋体"/>
          <w:bCs/>
          <w:color w:val="000000"/>
          <w:sz w:val="24"/>
          <w:szCs w:val="28"/>
        </w:rPr>
      </w:pPr>
      <w:r>
        <w:rPr>
          <w:rFonts w:hint="eastAsia" w:ascii="宋体" w:hAnsi="宋体" w:eastAsia="宋体" w:cs="宋体"/>
          <w:bCs/>
          <w:color w:val="000000"/>
          <w:sz w:val="24"/>
          <w:szCs w:val="28"/>
        </w:rPr>
        <w:t>日期：          年   月   日</w:t>
      </w:r>
    </w:p>
    <w:p w14:paraId="3F7DC0E5">
      <w:pPr>
        <w:spacing w:line="360" w:lineRule="auto"/>
        <w:jc w:val="center"/>
        <w:rPr>
          <w:rFonts w:hint="eastAsia" w:ascii="宋体" w:hAnsi="宋体" w:eastAsia="宋体" w:cs="宋体"/>
          <w:bCs/>
          <w:color w:val="000000"/>
          <w:sz w:val="24"/>
          <w:szCs w:val="28"/>
        </w:rPr>
      </w:pPr>
    </w:p>
    <w:p w14:paraId="4BF4B4BA">
      <w:pPr>
        <w:spacing w:line="360" w:lineRule="auto"/>
        <w:rPr>
          <w:rFonts w:hint="eastAsia" w:ascii="宋体" w:hAnsi="宋体" w:eastAsia="宋体" w:cs="宋体"/>
          <w:color w:val="000000"/>
          <w:sz w:val="24"/>
          <w:highlight w:val="green"/>
        </w:rPr>
      </w:pPr>
      <w:bookmarkStart w:id="147" w:name="_Toc29404"/>
      <w:bookmarkStart w:id="148" w:name="_Toc444715745"/>
    </w:p>
    <w:p w14:paraId="12D98C9B">
      <w:pPr>
        <w:pStyle w:val="24"/>
        <w:spacing w:before="0" w:after="0" w:line="360" w:lineRule="auto"/>
        <w:rPr>
          <w:rFonts w:hint="eastAsia" w:ascii="宋体" w:hAnsi="宋体" w:eastAsia="宋体" w:cs="宋体"/>
          <w:color w:val="000000"/>
          <w:sz w:val="48"/>
        </w:rPr>
      </w:pPr>
      <w:r>
        <w:rPr>
          <w:rFonts w:hint="eastAsia" w:ascii="宋体" w:hAnsi="宋体" w:eastAsia="宋体" w:cs="宋体"/>
          <w:color w:val="000000"/>
          <w:sz w:val="48"/>
        </w:rPr>
        <w:br w:type="page"/>
      </w:r>
      <w:bookmarkStart w:id="149" w:name="_Toc21081"/>
      <w:r>
        <w:rPr>
          <w:rFonts w:hint="eastAsia" w:ascii="宋体" w:hAnsi="宋体" w:eastAsia="宋体" w:cs="宋体"/>
          <w:color w:val="000000"/>
          <w:sz w:val="48"/>
        </w:rPr>
        <w:t>第六部分  采购项目要求及内容</w:t>
      </w:r>
      <w:bookmarkEnd w:id="147"/>
      <w:bookmarkEnd w:id="148"/>
      <w:bookmarkEnd w:id="149"/>
    </w:p>
    <w:p w14:paraId="6F766B46">
      <w:pPr>
        <w:pStyle w:val="6"/>
        <w:keepNext/>
        <w:keepLines/>
        <w:numPr>
          <w:ilvl w:val="0"/>
          <w:numId w:val="0"/>
        </w:numPr>
        <w:tabs>
          <w:tab w:val="clear" w:pos="709"/>
        </w:tabs>
        <w:snapToGrid/>
        <w:ind w:left="567" w:hanging="567"/>
        <w:rPr>
          <w:rFonts w:hint="eastAsia" w:ascii="宋体" w:hAnsi="宋体" w:eastAsia="宋体" w:cs="宋体"/>
          <w:b/>
          <w:bCs/>
          <w:color w:val="000000"/>
          <w:kern w:val="0"/>
          <w:sz w:val="32"/>
          <w:szCs w:val="32"/>
        </w:rPr>
      </w:pPr>
      <w:bookmarkStart w:id="150" w:name="_Toc428180595"/>
      <w:bookmarkStart w:id="151" w:name="_Toc31634"/>
      <w:r>
        <w:rPr>
          <w:rFonts w:hint="eastAsia" w:ascii="宋体" w:hAnsi="宋体" w:eastAsia="宋体" w:cs="宋体"/>
          <w:b/>
          <w:bCs/>
          <w:color w:val="000000"/>
          <w:kern w:val="0"/>
          <w:sz w:val="32"/>
          <w:szCs w:val="32"/>
        </w:rPr>
        <w:t>一、磋商要求</w:t>
      </w:r>
      <w:bookmarkEnd w:id="150"/>
      <w:bookmarkEnd w:id="151"/>
    </w:p>
    <w:p w14:paraId="38EB3EE0">
      <w:pPr>
        <w:pStyle w:val="7"/>
        <w:spacing w:before="0" w:after="0" w:line="360" w:lineRule="auto"/>
        <w:rPr>
          <w:rFonts w:hint="eastAsia" w:ascii="宋体" w:hAnsi="宋体" w:eastAsia="宋体" w:cs="宋体"/>
          <w:b w:val="0"/>
          <w:color w:val="000000"/>
        </w:rPr>
      </w:pPr>
      <w:bookmarkStart w:id="152" w:name="_Toc428180596"/>
      <w:bookmarkStart w:id="153" w:name="_Toc31472"/>
      <w:r>
        <w:rPr>
          <w:rFonts w:hint="eastAsia" w:ascii="宋体" w:hAnsi="宋体" w:eastAsia="宋体" w:cs="宋体"/>
          <w:b w:val="0"/>
          <w:color w:val="000000"/>
        </w:rPr>
        <w:t>1.磋商说明</w:t>
      </w:r>
      <w:bookmarkEnd w:id="152"/>
      <w:bookmarkEnd w:id="153"/>
      <w:r>
        <w:rPr>
          <w:rFonts w:hint="eastAsia" w:ascii="宋体" w:hAnsi="宋体" w:eastAsia="宋体" w:cs="宋体"/>
          <w:b w:val="0"/>
          <w:color w:val="000000"/>
        </w:rPr>
        <w:t xml:space="preserve"> </w:t>
      </w:r>
    </w:p>
    <w:p w14:paraId="1D7C7CC9">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1.1.磋商供应商可以按照磋商文件的规定磋商，但必须对所投包号中的所有内容作为一个整体进行磋商，不能拆分或少报。否则，磋商无效。</w:t>
      </w:r>
    </w:p>
    <w:p w14:paraId="23D777BD">
      <w:pPr>
        <w:autoSpaceDE w:val="0"/>
        <w:autoSpaceDN w:val="0"/>
        <w:adjustRightInd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1.2.磋商报价应包括</w:t>
      </w:r>
      <w:r>
        <w:rPr>
          <w:rFonts w:hint="eastAsia" w:ascii="宋体" w:hAnsi="宋体" w:eastAsia="宋体" w:cs="宋体"/>
          <w:color w:val="000000"/>
          <w:kern w:val="0"/>
          <w:sz w:val="24"/>
          <w:szCs w:val="28"/>
        </w:rPr>
        <w:t>完成本服务内容可能发生的各项费用，如人员工资、交通、通讯、设备、利润、税收、</w:t>
      </w:r>
      <w:r>
        <w:rPr>
          <w:rFonts w:hint="eastAsia" w:ascii="宋体" w:hAnsi="宋体" w:eastAsia="宋体" w:cs="宋体"/>
          <w:color w:val="000000"/>
          <w:sz w:val="24"/>
          <w:szCs w:val="28"/>
        </w:rPr>
        <w:t>招标代理费</w:t>
      </w:r>
      <w:r>
        <w:rPr>
          <w:rFonts w:hint="eastAsia" w:ascii="宋体" w:hAnsi="宋体" w:eastAsia="宋体" w:cs="宋体"/>
          <w:color w:val="000000"/>
          <w:kern w:val="0"/>
          <w:sz w:val="24"/>
          <w:szCs w:val="28"/>
        </w:rPr>
        <w:t>以及所有有关的管理成本和其他不可预见费等全部费用</w:t>
      </w:r>
      <w:r>
        <w:rPr>
          <w:rFonts w:hint="eastAsia" w:ascii="宋体" w:hAnsi="宋体" w:eastAsia="宋体" w:cs="宋体"/>
          <w:color w:val="000000"/>
          <w:kern w:val="0"/>
          <w:sz w:val="24"/>
          <w:lang w:val="zh-CN"/>
        </w:rPr>
        <w:t xml:space="preserve">。若磋商报价不能完全包括上述内容，该磋商将被认为非实质性响应。 </w:t>
      </w:r>
    </w:p>
    <w:p w14:paraId="64789F5D">
      <w:pPr>
        <w:pStyle w:val="7"/>
        <w:spacing w:before="0" w:after="0" w:line="360" w:lineRule="auto"/>
        <w:rPr>
          <w:rFonts w:hint="eastAsia" w:ascii="宋体" w:hAnsi="宋体" w:eastAsia="宋体" w:cs="宋体"/>
          <w:color w:val="000000"/>
          <w:sz w:val="32"/>
        </w:rPr>
      </w:pPr>
      <w:bookmarkStart w:id="154" w:name="_Toc428180597"/>
      <w:bookmarkStart w:id="155" w:name="_Toc7210"/>
      <w:r>
        <w:rPr>
          <w:rFonts w:hint="eastAsia" w:ascii="宋体" w:hAnsi="宋体" w:eastAsia="宋体" w:cs="宋体"/>
          <w:b w:val="0"/>
          <w:color w:val="000000"/>
        </w:rPr>
        <w:t>2.报价说明</w:t>
      </w:r>
      <w:bookmarkEnd w:id="154"/>
      <w:bookmarkEnd w:id="155"/>
    </w:p>
    <w:p w14:paraId="180268F1">
      <w:pPr>
        <w:autoSpaceDE w:val="0"/>
        <w:autoSpaceDN w:val="0"/>
        <w:adjustRightInd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本次磋商文件中规定的采购预算额度为磋商最高限价，磋商供应商的磋商报价不得超出此额度。否则，磋商无效。</w:t>
      </w:r>
    </w:p>
    <w:p w14:paraId="4FC9628A">
      <w:pPr>
        <w:pStyle w:val="7"/>
        <w:spacing w:before="0" w:after="0" w:line="360" w:lineRule="auto"/>
        <w:rPr>
          <w:rFonts w:hint="eastAsia" w:ascii="宋体" w:hAnsi="宋体" w:eastAsia="宋体" w:cs="宋体"/>
          <w:b w:val="0"/>
          <w:color w:val="auto"/>
        </w:rPr>
      </w:pPr>
      <w:bookmarkStart w:id="156" w:name="_Toc428180599"/>
      <w:bookmarkStart w:id="157" w:name="_Toc26928"/>
      <w:r>
        <w:rPr>
          <w:rFonts w:hint="eastAsia" w:ascii="宋体" w:hAnsi="宋体" w:eastAsia="宋体" w:cs="宋体"/>
          <w:b w:val="0"/>
          <w:color w:val="000000"/>
        </w:rPr>
        <w:t>3.商务要</w:t>
      </w:r>
      <w:r>
        <w:rPr>
          <w:rFonts w:hint="eastAsia" w:ascii="宋体" w:hAnsi="宋体" w:eastAsia="宋体" w:cs="宋体"/>
          <w:b w:val="0"/>
          <w:color w:val="auto"/>
        </w:rPr>
        <w:t>求</w:t>
      </w:r>
      <w:bookmarkEnd w:id="156"/>
      <w:bookmarkEnd w:id="157"/>
    </w:p>
    <w:p w14:paraId="32AAEE86">
      <w:pPr>
        <w:autoSpaceDE w:val="0"/>
        <w:autoSpaceDN w:val="0"/>
        <w:adjustRightInd w:val="0"/>
        <w:spacing w:line="360" w:lineRule="auto"/>
        <w:ind w:firstLine="480" w:firstLineChars="200"/>
        <w:rPr>
          <w:rFonts w:hint="eastAsia" w:ascii="宋体" w:hAnsi="宋体" w:eastAsia="宋体" w:cs="宋体"/>
          <w:color w:val="auto"/>
          <w:kern w:val="0"/>
          <w:sz w:val="24"/>
          <w:lang w:val="zh-CN"/>
        </w:rPr>
      </w:pPr>
      <w:bookmarkStart w:id="158" w:name="_Toc488673674"/>
      <w:r>
        <w:rPr>
          <w:rFonts w:hint="eastAsia" w:ascii="宋体" w:hAnsi="宋体" w:eastAsia="宋体" w:cs="宋体"/>
          <w:color w:val="auto"/>
          <w:kern w:val="0"/>
          <w:sz w:val="24"/>
          <w:lang w:val="zh-CN"/>
        </w:rPr>
        <w:t>3.1.</w:t>
      </w:r>
      <w:bookmarkEnd w:id="158"/>
      <w:r>
        <w:rPr>
          <w:rFonts w:hint="eastAsia" w:ascii="宋体" w:hAnsi="宋体" w:eastAsia="宋体" w:cs="宋体"/>
          <w:color w:val="auto"/>
          <w:sz w:val="24"/>
          <w:lang w:eastAsia="zh-CN"/>
        </w:rPr>
        <w:t>服务期：合同签订后45个工作日</w:t>
      </w:r>
      <w:r>
        <w:rPr>
          <w:rFonts w:hint="eastAsia" w:ascii="宋体" w:hAnsi="宋体" w:eastAsia="宋体" w:cs="宋体"/>
          <w:color w:val="auto"/>
          <w:kern w:val="0"/>
          <w:sz w:val="24"/>
          <w:lang w:val="zh-CN"/>
        </w:rPr>
        <w:t>；</w:t>
      </w:r>
    </w:p>
    <w:p w14:paraId="3EFFACC2">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0"/>
          <w:sz w:val="24"/>
          <w:lang w:val="zh-CN"/>
        </w:rPr>
        <w:t>3.2.服务地点：</w:t>
      </w:r>
      <w:bookmarkStart w:id="159" w:name="_Hlk111447823"/>
      <w:r>
        <w:rPr>
          <w:rFonts w:hint="eastAsia" w:ascii="宋体" w:hAnsi="宋体" w:eastAsia="宋体" w:cs="宋体"/>
          <w:color w:val="auto"/>
          <w:sz w:val="24"/>
        </w:rPr>
        <w:t>采购人指定的</w:t>
      </w:r>
      <w:bookmarkEnd w:id="159"/>
      <w:r>
        <w:rPr>
          <w:rFonts w:hint="eastAsia" w:ascii="宋体" w:hAnsi="宋体" w:eastAsia="宋体" w:cs="宋体"/>
          <w:color w:val="auto"/>
          <w:sz w:val="24"/>
        </w:rPr>
        <w:t>地点</w:t>
      </w:r>
      <w:r>
        <w:rPr>
          <w:rFonts w:hint="eastAsia" w:ascii="宋体" w:hAnsi="宋体" w:eastAsia="宋体" w:cs="宋体"/>
          <w:color w:val="auto"/>
          <w:kern w:val="0"/>
          <w:sz w:val="24"/>
          <w:lang w:val="zh-CN"/>
        </w:rPr>
        <w:t>；</w:t>
      </w:r>
    </w:p>
    <w:p w14:paraId="40FB2B0A">
      <w:pPr>
        <w:spacing w:line="360" w:lineRule="auto"/>
        <w:ind w:firstLine="480" w:firstLineChars="200"/>
        <w:rPr>
          <w:rFonts w:hint="eastAsia" w:ascii="宋体" w:hAnsi="宋体" w:eastAsia="宋体" w:cs="宋体"/>
          <w:color w:val="000000"/>
          <w:sz w:val="24"/>
        </w:rPr>
      </w:pPr>
      <w:bookmarkStart w:id="160" w:name="_Toc488673676"/>
      <w:r>
        <w:rPr>
          <w:rFonts w:hint="eastAsia" w:ascii="宋体" w:hAnsi="宋体" w:eastAsia="宋体" w:cs="宋体"/>
          <w:color w:val="000000"/>
          <w:kern w:val="0"/>
          <w:sz w:val="24"/>
          <w:lang w:val="zh-CN"/>
        </w:rPr>
        <w:t>3.3.付款方式：</w:t>
      </w:r>
      <w:bookmarkEnd w:id="160"/>
      <w:r>
        <w:rPr>
          <w:rFonts w:hint="eastAsia" w:ascii="宋体" w:hAnsi="宋体" w:eastAsia="宋体" w:cs="宋体"/>
          <w:color w:val="000000"/>
          <w:kern w:val="0"/>
          <w:sz w:val="24"/>
        </w:rPr>
        <w:t>详见“第四部分  青海省采购项目合同书范本”中“四、付款方式”的规定</w:t>
      </w:r>
      <w:r>
        <w:rPr>
          <w:rFonts w:hint="eastAsia" w:ascii="宋体" w:hAnsi="宋体" w:eastAsia="宋体" w:cs="宋体"/>
          <w:color w:val="000000"/>
          <w:sz w:val="24"/>
        </w:rPr>
        <w:t>。</w:t>
      </w:r>
    </w:p>
    <w:p w14:paraId="15875DB0">
      <w:pPr>
        <w:pStyle w:val="6"/>
        <w:keepNext/>
        <w:keepLines/>
        <w:numPr>
          <w:ilvl w:val="0"/>
          <w:numId w:val="0"/>
        </w:numPr>
        <w:tabs>
          <w:tab w:val="clear" w:pos="709"/>
        </w:tabs>
        <w:snapToGrid/>
        <w:rPr>
          <w:rFonts w:hint="eastAsia" w:ascii="宋体" w:hAnsi="宋体" w:eastAsia="宋体" w:cs="宋体"/>
          <w:b/>
          <w:bCs/>
          <w:color w:val="000000"/>
          <w:kern w:val="0"/>
          <w:sz w:val="32"/>
          <w:szCs w:val="32"/>
        </w:rPr>
      </w:pPr>
      <w:bookmarkStart w:id="161" w:name="_Toc459377899"/>
      <w:bookmarkStart w:id="162" w:name="_Toc480468113"/>
      <w:bookmarkStart w:id="163" w:name="_Hlk486599483"/>
      <w:bookmarkStart w:id="164" w:name="_Toc1007"/>
      <w:r>
        <w:rPr>
          <w:rFonts w:hint="eastAsia" w:ascii="宋体" w:hAnsi="宋体" w:eastAsia="宋体" w:cs="宋体"/>
          <w:b/>
          <w:bCs/>
          <w:color w:val="000000"/>
          <w:kern w:val="0"/>
          <w:sz w:val="32"/>
          <w:szCs w:val="32"/>
        </w:rPr>
        <w:t>二、服务</w:t>
      </w:r>
      <w:bookmarkEnd w:id="161"/>
      <w:bookmarkEnd w:id="162"/>
      <w:r>
        <w:rPr>
          <w:rFonts w:hint="eastAsia" w:ascii="宋体" w:hAnsi="宋体" w:eastAsia="宋体" w:cs="宋体"/>
          <w:b/>
          <w:bCs/>
          <w:color w:val="000000"/>
          <w:kern w:val="0"/>
          <w:sz w:val="32"/>
          <w:szCs w:val="32"/>
        </w:rPr>
        <w:t>内容及要求</w:t>
      </w:r>
      <w:bookmarkEnd w:id="163"/>
      <w:bookmarkEnd w:id="164"/>
      <w:bookmarkStart w:id="165" w:name="_GoBack"/>
      <w:bookmarkEnd w:id="165"/>
    </w:p>
    <w:p w14:paraId="5D2CCE12">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1.南山校区1号学生公寓项目，总投资额57689648.33元。</w:t>
      </w:r>
    </w:p>
    <w:p w14:paraId="4475CE66">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2.南山校区藏汉双语旅游、高原环境与生态人才培养项目，总投资额112345291.03元。</w:t>
      </w:r>
    </w:p>
    <w:p w14:paraId="308E19EC">
      <w:pPr>
        <w:spacing w:line="360" w:lineRule="auto"/>
        <w:ind w:firstLine="480" w:firstLineChars="200"/>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3.南山校区能源中心项目，总投资额13094866.32元</w:t>
      </w:r>
      <w:r>
        <w:rPr>
          <w:rFonts w:hint="eastAsia" w:ascii="宋体" w:hAnsi="宋体" w:eastAsia="宋体" w:cs="宋体"/>
          <w:color w:val="000000"/>
          <w:kern w:val="0"/>
          <w:sz w:val="24"/>
          <w:lang w:eastAsia="zh-CN"/>
        </w:rPr>
        <w:t>；</w:t>
      </w:r>
    </w:p>
    <w:p w14:paraId="6618D7CD">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合计：183129805.68元。</w:t>
      </w:r>
    </w:p>
    <w:p w14:paraId="7ABCFA01">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以上3个项目的财务竣工决算审核，评审结束后需提供正式的评审报告，需符合青海省财政厅政府投资项目评审要求。</w:t>
      </w:r>
    </w:p>
    <w:p w14:paraId="45AEC7EE">
      <w:pPr>
        <w:rPr>
          <w:rFonts w:hint="eastAsia" w:ascii="宋体" w:hAnsi="宋体" w:eastAsia="宋体" w:cs="宋体"/>
          <w:color w:val="000000"/>
        </w:rPr>
      </w:pPr>
    </w:p>
    <w:p w14:paraId="204AB519">
      <w:pPr>
        <w:tabs>
          <w:tab w:val="left" w:pos="6285"/>
        </w:tabs>
        <w:rPr>
          <w:rFonts w:hint="eastAsia" w:ascii="宋体" w:hAnsi="宋体" w:eastAsia="宋体" w:cs="宋体"/>
          <w:color w:val="000000"/>
        </w:rPr>
      </w:pPr>
      <w:r>
        <w:rPr>
          <w:rFonts w:hint="eastAsia" w:ascii="宋体" w:hAnsi="宋体" w:eastAsia="宋体" w:cs="宋体"/>
          <w:color w:val="000000"/>
        </w:rPr>
        <w:tab/>
      </w:r>
    </w:p>
    <w:sectPr>
      <w:headerReference r:id="rId3" w:type="default"/>
      <w:footerReference r:id="rId4" w:type="default"/>
      <w:pgSz w:w="11906" w:h="16838"/>
      <w:pgMar w:top="1440" w:right="1644" w:bottom="1440" w:left="1644" w:header="851" w:footer="992" w:gutter="0"/>
      <w:pgBorders w:offsetFrom="page">
        <w:top w:val="single" w:color="4472C4" w:sz="12" w:space="24"/>
        <w:left w:val="single" w:color="4472C4" w:sz="12" w:space="24"/>
        <w:bottom w:val="single" w:color="4472C4" w:sz="12" w:space="24"/>
        <w:right w:val="single" w:color="4472C4" w:sz="12" w:space="24"/>
      </w:pgBorders>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Microsoft YaHei UI">
    <w:altName w:val="宋体"/>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8B95">
    <w:pPr>
      <w:pStyle w:val="21"/>
      <w:jc w:val="center"/>
    </w:pPr>
    <w:r>
      <w:fldChar w:fldCharType="begin"/>
    </w:r>
    <w:r>
      <w:instrText xml:space="preserve">PAGE   \* MERGEFORMAT</w:instrText>
    </w:r>
    <w:r>
      <w:fldChar w:fldCharType="separate"/>
    </w:r>
    <w:r>
      <w:rPr>
        <w:lang w:val="zh-CN"/>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355F">
    <w:pPr>
      <w:pStyle w:val="22"/>
      <w:pBdr>
        <w:bottom w:val="single" w:color="auto" w:sz="6" w:space="0"/>
      </w:pBdr>
      <w:ind w:left="8817" w:hanging="8817" w:hangingChars="4879"/>
      <w:jc w:val="left"/>
      <w:rPr>
        <w:rFonts w:hint="eastAsia" w:ascii="楷体" w:hAnsi="楷体" w:eastAsia="楷体" w:cs="Times New Roman"/>
        <w:b/>
        <w:szCs w:val="21"/>
        <w:lang w:eastAsia="zh-CN"/>
      </w:rPr>
    </w:pPr>
    <w:bookmarkStart w:id="166" w:name="_Hlk68689183"/>
    <w:bookmarkStart w:id="167" w:name="_Hlk68689031"/>
    <w:r>
      <w:rPr>
        <w:rFonts w:hint="eastAsia" w:ascii="楷体" w:hAnsi="楷体" w:eastAsia="楷体"/>
        <w:b/>
        <w:szCs w:val="21"/>
        <w:lang w:eastAsia="zh-CN"/>
      </w:rPr>
      <w:t>青海民族大学2025年度在建工程竣工决算项目评审</w:t>
    </w:r>
    <w:r>
      <w:rPr>
        <w:rFonts w:hint="eastAsia" w:ascii="楷体" w:hAnsi="楷体" w:eastAsia="楷体"/>
        <w:b/>
        <w:szCs w:val="21"/>
        <w:lang w:val="en-US" w:eastAsia="zh-CN"/>
      </w:rPr>
      <w:t xml:space="preserve">                   </w:t>
    </w:r>
    <w:r>
      <w:rPr>
        <w:rFonts w:ascii="楷体" w:hAnsi="楷体" w:eastAsia="楷体"/>
        <w:b/>
        <w:szCs w:val="21"/>
      </w:rPr>
      <w:t xml:space="preserve"> </w:t>
    </w:r>
    <w:bookmarkEnd w:id="166"/>
    <w:r>
      <w:rPr>
        <w:rFonts w:ascii="楷体" w:hAnsi="楷体" w:eastAsia="楷体"/>
        <w:b/>
        <w:szCs w:val="21"/>
      </w:rPr>
      <w:t xml:space="preserve"> </w:t>
    </w:r>
    <w:bookmarkEnd w:id="167"/>
    <w:r>
      <w:rPr>
        <w:rFonts w:ascii="楷体" w:hAnsi="楷体" w:eastAsia="楷体"/>
        <w:b/>
        <w:szCs w:val="21"/>
      </w:rPr>
      <w:t xml:space="preserve"> </w:t>
    </w:r>
    <w:r>
      <w:rPr>
        <w:rFonts w:hint="eastAsia" w:ascii="楷体" w:hAnsi="楷体" w:eastAsia="楷体"/>
        <w:b/>
        <w:szCs w:val="21"/>
        <w:lang w:val="en-US" w:eastAsia="zh-CN"/>
      </w:rPr>
      <w:t xml:space="preserve">                  </w:t>
    </w:r>
    <w:r>
      <w:rPr>
        <w:rFonts w:hint="eastAsia" w:ascii="楷体" w:hAnsi="楷体" w:eastAsia="楷体" w:cs="Times New Roman"/>
        <w:b/>
        <w:szCs w:val="21"/>
        <w:lang w:eastAsia="zh-CN"/>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C669B"/>
    <w:multiLevelType w:val="multilevel"/>
    <w:tmpl w:val="005C669B"/>
    <w:lvl w:ilvl="0" w:tentative="0">
      <w:start w:val="1"/>
      <w:numFmt w:val="decimal"/>
      <w:lvlText w:val="（%1）"/>
      <w:lvlJc w:val="left"/>
      <w:pPr>
        <w:ind w:left="1041" w:hanging="420"/>
      </w:pPr>
      <w:rPr>
        <w:rFonts w:hint="default"/>
      </w:rPr>
    </w:lvl>
    <w:lvl w:ilvl="1" w:tentative="0">
      <w:start w:val="1"/>
      <w:numFmt w:val="lowerLetter"/>
      <w:lvlText w:val="%2)"/>
      <w:lvlJc w:val="left"/>
      <w:pPr>
        <w:ind w:left="1461" w:hanging="420"/>
      </w:pPr>
    </w:lvl>
    <w:lvl w:ilvl="2" w:tentative="0">
      <w:start w:val="1"/>
      <w:numFmt w:val="lowerRoman"/>
      <w:lvlText w:val="%3."/>
      <w:lvlJc w:val="right"/>
      <w:pPr>
        <w:ind w:left="1881" w:hanging="420"/>
      </w:pPr>
    </w:lvl>
    <w:lvl w:ilvl="3" w:tentative="0">
      <w:start w:val="1"/>
      <w:numFmt w:val="decimal"/>
      <w:lvlText w:val="%4."/>
      <w:lvlJc w:val="left"/>
      <w:pPr>
        <w:ind w:left="2301" w:hanging="420"/>
      </w:pPr>
    </w:lvl>
    <w:lvl w:ilvl="4" w:tentative="0">
      <w:start w:val="1"/>
      <w:numFmt w:val="lowerLetter"/>
      <w:lvlText w:val="%5)"/>
      <w:lvlJc w:val="left"/>
      <w:pPr>
        <w:ind w:left="2721" w:hanging="420"/>
      </w:pPr>
    </w:lvl>
    <w:lvl w:ilvl="5" w:tentative="0">
      <w:start w:val="1"/>
      <w:numFmt w:val="lowerRoman"/>
      <w:lvlText w:val="%6."/>
      <w:lvlJc w:val="right"/>
      <w:pPr>
        <w:ind w:left="3141" w:hanging="420"/>
      </w:pPr>
    </w:lvl>
    <w:lvl w:ilvl="6" w:tentative="0">
      <w:start w:val="1"/>
      <w:numFmt w:val="decimal"/>
      <w:lvlText w:val="%7."/>
      <w:lvlJc w:val="left"/>
      <w:pPr>
        <w:ind w:left="3561" w:hanging="420"/>
      </w:pPr>
    </w:lvl>
    <w:lvl w:ilvl="7" w:tentative="0">
      <w:start w:val="1"/>
      <w:numFmt w:val="lowerLetter"/>
      <w:lvlText w:val="%8)"/>
      <w:lvlJc w:val="left"/>
      <w:pPr>
        <w:ind w:left="3981" w:hanging="420"/>
      </w:pPr>
    </w:lvl>
    <w:lvl w:ilvl="8" w:tentative="0">
      <w:start w:val="1"/>
      <w:numFmt w:val="lowerRoman"/>
      <w:lvlText w:val="%9."/>
      <w:lvlJc w:val="right"/>
      <w:pPr>
        <w:ind w:left="4401" w:hanging="420"/>
      </w:pPr>
    </w:lvl>
  </w:abstractNum>
  <w:abstractNum w:abstractNumId="1">
    <w:nsid w:val="02400DDE"/>
    <w:multiLevelType w:val="multilevel"/>
    <w:tmpl w:val="02400DD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372158"/>
    <w:multiLevelType w:val="multilevel"/>
    <w:tmpl w:val="09372158"/>
    <w:lvl w:ilvl="0" w:tentative="0">
      <w:start w:val="1"/>
      <w:numFmt w:val="decimal"/>
      <w:lvlText w:val="%1."/>
      <w:lvlJc w:val="left"/>
      <w:pPr>
        <w:ind w:left="1041" w:hanging="420"/>
      </w:pPr>
    </w:lvl>
    <w:lvl w:ilvl="1" w:tentative="0">
      <w:start w:val="1"/>
      <w:numFmt w:val="lowerLetter"/>
      <w:lvlText w:val="%2)"/>
      <w:lvlJc w:val="left"/>
      <w:pPr>
        <w:ind w:left="1461" w:hanging="420"/>
      </w:pPr>
    </w:lvl>
    <w:lvl w:ilvl="2" w:tentative="0">
      <w:start w:val="1"/>
      <w:numFmt w:val="lowerRoman"/>
      <w:lvlText w:val="%3."/>
      <w:lvlJc w:val="right"/>
      <w:pPr>
        <w:ind w:left="1881" w:hanging="420"/>
      </w:pPr>
    </w:lvl>
    <w:lvl w:ilvl="3" w:tentative="0">
      <w:start w:val="1"/>
      <w:numFmt w:val="decimal"/>
      <w:lvlText w:val="%4."/>
      <w:lvlJc w:val="left"/>
      <w:pPr>
        <w:ind w:left="2301" w:hanging="420"/>
      </w:pPr>
    </w:lvl>
    <w:lvl w:ilvl="4" w:tentative="0">
      <w:start w:val="1"/>
      <w:numFmt w:val="lowerLetter"/>
      <w:lvlText w:val="%5)"/>
      <w:lvlJc w:val="left"/>
      <w:pPr>
        <w:ind w:left="2721" w:hanging="420"/>
      </w:pPr>
    </w:lvl>
    <w:lvl w:ilvl="5" w:tentative="0">
      <w:start w:val="1"/>
      <w:numFmt w:val="lowerRoman"/>
      <w:lvlText w:val="%6."/>
      <w:lvlJc w:val="right"/>
      <w:pPr>
        <w:ind w:left="3141" w:hanging="420"/>
      </w:pPr>
    </w:lvl>
    <w:lvl w:ilvl="6" w:tentative="0">
      <w:start w:val="1"/>
      <w:numFmt w:val="decimal"/>
      <w:lvlText w:val="%7."/>
      <w:lvlJc w:val="left"/>
      <w:pPr>
        <w:ind w:left="3561" w:hanging="420"/>
      </w:pPr>
    </w:lvl>
    <w:lvl w:ilvl="7" w:tentative="0">
      <w:start w:val="1"/>
      <w:numFmt w:val="lowerLetter"/>
      <w:lvlText w:val="%8)"/>
      <w:lvlJc w:val="left"/>
      <w:pPr>
        <w:ind w:left="3981" w:hanging="420"/>
      </w:pPr>
    </w:lvl>
    <w:lvl w:ilvl="8" w:tentative="0">
      <w:start w:val="1"/>
      <w:numFmt w:val="lowerRoman"/>
      <w:lvlText w:val="%9."/>
      <w:lvlJc w:val="right"/>
      <w:pPr>
        <w:ind w:left="4401" w:hanging="420"/>
      </w:pPr>
    </w:lvl>
  </w:abstractNum>
  <w:abstractNum w:abstractNumId="3">
    <w:nsid w:val="0B143627"/>
    <w:multiLevelType w:val="multilevel"/>
    <w:tmpl w:val="0B143627"/>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0B21349E"/>
    <w:multiLevelType w:val="multilevel"/>
    <w:tmpl w:val="0B21349E"/>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0FD92A73"/>
    <w:multiLevelType w:val="multilevel"/>
    <w:tmpl w:val="0FD92A73"/>
    <w:lvl w:ilvl="0" w:tentative="0">
      <w:start w:val="2"/>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6">
    <w:nsid w:val="18814C8C"/>
    <w:multiLevelType w:val="multilevel"/>
    <w:tmpl w:val="18814C8C"/>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1E920307"/>
    <w:multiLevelType w:val="multilevel"/>
    <w:tmpl w:val="1E920307"/>
    <w:lvl w:ilvl="0" w:tentative="0">
      <w:start w:val="21"/>
      <w:numFmt w:val="decimal"/>
      <w:lvlText w:val="%1"/>
      <w:lvlJc w:val="left"/>
      <w:pPr>
        <w:ind w:left="480" w:hanging="480"/>
      </w:pPr>
      <w:rPr>
        <w:rFonts w:hint="default"/>
        <w:b w:val="0"/>
        <w:sz w:val="24"/>
      </w:rPr>
    </w:lvl>
    <w:lvl w:ilvl="1" w:tentative="0">
      <w:start w:val="1"/>
      <w:numFmt w:val="decimal"/>
      <w:lvlText w:val="20.%2."/>
      <w:lvlJc w:val="left"/>
      <w:pPr>
        <w:ind w:left="861" w:hanging="720"/>
      </w:pPr>
      <w:rPr>
        <w:rFonts w:hint="eastAsia"/>
        <w:b w:val="0"/>
        <w:sz w:val="24"/>
      </w:rPr>
    </w:lvl>
    <w:lvl w:ilvl="2" w:tentative="0">
      <w:start w:val="1"/>
      <w:numFmt w:val="decimal"/>
      <w:lvlText w:val="%1.%2.%3"/>
      <w:lvlJc w:val="left"/>
      <w:pPr>
        <w:ind w:left="2040" w:hanging="1080"/>
      </w:pPr>
      <w:rPr>
        <w:rFonts w:hint="default"/>
        <w:b w:val="0"/>
        <w:sz w:val="24"/>
      </w:rPr>
    </w:lvl>
    <w:lvl w:ilvl="3" w:tentative="0">
      <w:start w:val="1"/>
      <w:numFmt w:val="decimal"/>
      <w:lvlText w:val="%1.%2.%3.%4"/>
      <w:lvlJc w:val="left"/>
      <w:pPr>
        <w:ind w:left="2880" w:hanging="1440"/>
      </w:pPr>
      <w:rPr>
        <w:rFonts w:hint="default"/>
        <w:b w:val="0"/>
        <w:sz w:val="24"/>
      </w:rPr>
    </w:lvl>
    <w:lvl w:ilvl="4" w:tentative="0">
      <w:start w:val="1"/>
      <w:numFmt w:val="decimal"/>
      <w:lvlText w:val="%1.%2.%3.%4.%5"/>
      <w:lvlJc w:val="left"/>
      <w:pPr>
        <w:ind w:left="3720" w:hanging="1800"/>
      </w:pPr>
      <w:rPr>
        <w:rFonts w:hint="default"/>
        <w:b w:val="0"/>
        <w:sz w:val="24"/>
      </w:rPr>
    </w:lvl>
    <w:lvl w:ilvl="5" w:tentative="0">
      <w:start w:val="1"/>
      <w:numFmt w:val="decimal"/>
      <w:lvlText w:val="%1.%2.%3.%4.%5.%6"/>
      <w:lvlJc w:val="left"/>
      <w:pPr>
        <w:ind w:left="4200" w:hanging="1800"/>
      </w:pPr>
      <w:rPr>
        <w:rFonts w:hint="default"/>
        <w:b w:val="0"/>
        <w:sz w:val="24"/>
      </w:rPr>
    </w:lvl>
    <w:lvl w:ilvl="6" w:tentative="0">
      <w:start w:val="1"/>
      <w:numFmt w:val="decimal"/>
      <w:lvlText w:val="%1.%2.%3.%4.%5.%6.%7"/>
      <w:lvlJc w:val="left"/>
      <w:pPr>
        <w:ind w:left="5040" w:hanging="2160"/>
      </w:pPr>
      <w:rPr>
        <w:rFonts w:hint="default"/>
        <w:b w:val="0"/>
        <w:sz w:val="24"/>
      </w:rPr>
    </w:lvl>
    <w:lvl w:ilvl="7" w:tentative="0">
      <w:start w:val="1"/>
      <w:numFmt w:val="decimal"/>
      <w:lvlText w:val="%1.%2.%3.%4.%5.%6.%7.%8"/>
      <w:lvlJc w:val="left"/>
      <w:pPr>
        <w:ind w:left="5880" w:hanging="2520"/>
      </w:pPr>
      <w:rPr>
        <w:rFonts w:hint="default"/>
        <w:b w:val="0"/>
        <w:sz w:val="24"/>
      </w:rPr>
    </w:lvl>
    <w:lvl w:ilvl="8" w:tentative="0">
      <w:start w:val="1"/>
      <w:numFmt w:val="decimal"/>
      <w:lvlText w:val="%1.%2.%3.%4.%5.%6.%7.%8.%9"/>
      <w:lvlJc w:val="left"/>
      <w:pPr>
        <w:ind w:left="6720" w:hanging="2880"/>
      </w:pPr>
      <w:rPr>
        <w:rFonts w:hint="default"/>
        <w:b w:val="0"/>
        <w:sz w:val="24"/>
      </w:rPr>
    </w:lvl>
  </w:abstractNum>
  <w:abstractNum w:abstractNumId="8">
    <w:nsid w:val="21BA05D9"/>
    <w:multiLevelType w:val="multilevel"/>
    <w:tmpl w:val="21BA05D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933C0A"/>
    <w:multiLevelType w:val="multilevel"/>
    <w:tmpl w:val="25933C0A"/>
    <w:lvl w:ilvl="0" w:tentative="0">
      <w:start w:val="1"/>
      <w:numFmt w:val="decimal"/>
      <w:lvlText w:val="（%1）"/>
      <w:lvlJc w:val="left"/>
      <w:pPr>
        <w:ind w:left="846"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2A583DFB"/>
    <w:multiLevelType w:val="multilevel"/>
    <w:tmpl w:val="2A583DFB"/>
    <w:lvl w:ilvl="0" w:tentative="0">
      <w:start w:val="1"/>
      <w:numFmt w:val="decimal"/>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1">
    <w:nsid w:val="2F200FD8"/>
    <w:multiLevelType w:val="multilevel"/>
    <w:tmpl w:val="2F200FD8"/>
    <w:lvl w:ilvl="0" w:tentative="0">
      <w:start w:val="11"/>
      <w:numFmt w:val="decimal"/>
      <w:lvlText w:val="%1"/>
      <w:lvlJc w:val="left"/>
      <w:pPr>
        <w:ind w:left="480" w:hanging="480"/>
      </w:pPr>
      <w:rPr>
        <w:rFonts w:hint="default"/>
      </w:rPr>
    </w:lvl>
    <w:lvl w:ilvl="1" w:tentative="0">
      <w:start w:val="1"/>
      <w:numFmt w:val="decimal"/>
      <w:lvlText w:val="%1.%2"/>
      <w:lvlJc w:val="left"/>
      <w:pPr>
        <w:ind w:left="621"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30EB525F"/>
    <w:multiLevelType w:val="multilevel"/>
    <w:tmpl w:val="30EB525F"/>
    <w:lvl w:ilvl="0" w:tentative="0">
      <w:start w:val="13"/>
      <w:numFmt w:val="decimal"/>
      <w:lvlText w:val="%1"/>
      <w:lvlJc w:val="left"/>
      <w:pPr>
        <w:ind w:left="480" w:hanging="480"/>
      </w:pPr>
      <w:rPr>
        <w:rFonts w:hint="default"/>
      </w:rPr>
    </w:lvl>
    <w:lvl w:ilvl="1" w:tentative="0">
      <w:start w:val="1"/>
      <w:numFmt w:val="decimal"/>
      <w:lvlText w:val="%1.%2"/>
      <w:lvlJc w:val="left"/>
      <w:pPr>
        <w:ind w:left="621"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3AA33F15"/>
    <w:multiLevelType w:val="multilevel"/>
    <w:tmpl w:val="3AA33F15"/>
    <w:lvl w:ilvl="0" w:tentative="0">
      <w:start w:val="1"/>
      <w:numFmt w:val="decimal"/>
      <w:lvlText w:val="%1、"/>
      <w:lvlJc w:val="left"/>
      <w:pPr>
        <w:ind w:left="360" w:hanging="360"/>
      </w:pPr>
      <w:rPr>
        <w:rFonts w:hint="default"/>
      </w:rPr>
    </w:lvl>
    <w:lvl w:ilvl="1" w:tentative="0">
      <w:start w:val="1"/>
      <w:numFmt w:val="lowerLetter"/>
      <w:lvlText w:val="%2)"/>
      <w:lvlJc w:val="left"/>
      <w:pPr>
        <w:ind w:left="414" w:hanging="420"/>
      </w:pPr>
    </w:lvl>
    <w:lvl w:ilvl="2" w:tentative="0">
      <w:start w:val="1"/>
      <w:numFmt w:val="lowerRoman"/>
      <w:lvlText w:val="%3."/>
      <w:lvlJc w:val="right"/>
      <w:pPr>
        <w:ind w:left="834" w:hanging="420"/>
      </w:pPr>
    </w:lvl>
    <w:lvl w:ilvl="3" w:tentative="0">
      <w:start w:val="1"/>
      <w:numFmt w:val="decimal"/>
      <w:lvlText w:val="%4."/>
      <w:lvlJc w:val="left"/>
      <w:pPr>
        <w:ind w:left="1254" w:hanging="420"/>
      </w:pPr>
    </w:lvl>
    <w:lvl w:ilvl="4" w:tentative="0">
      <w:start w:val="1"/>
      <w:numFmt w:val="lowerLetter"/>
      <w:lvlText w:val="%5)"/>
      <w:lvlJc w:val="left"/>
      <w:pPr>
        <w:ind w:left="1674" w:hanging="420"/>
      </w:pPr>
    </w:lvl>
    <w:lvl w:ilvl="5" w:tentative="0">
      <w:start w:val="1"/>
      <w:numFmt w:val="lowerRoman"/>
      <w:lvlText w:val="%6."/>
      <w:lvlJc w:val="right"/>
      <w:pPr>
        <w:ind w:left="2094" w:hanging="420"/>
      </w:pPr>
    </w:lvl>
    <w:lvl w:ilvl="6" w:tentative="0">
      <w:start w:val="1"/>
      <w:numFmt w:val="decimal"/>
      <w:lvlText w:val="%7."/>
      <w:lvlJc w:val="left"/>
      <w:pPr>
        <w:ind w:left="2514" w:hanging="420"/>
      </w:pPr>
    </w:lvl>
    <w:lvl w:ilvl="7" w:tentative="0">
      <w:start w:val="1"/>
      <w:numFmt w:val="lowerLetter"/>
      <w:lvlText w:val="%8)"/>
      <w:lvlJc w:val="left"/>
      <w:pPr>
        <w:ind w:left="2934" w:hanging="420"/>
      </w:pPr>
    </w:lvl>
    <w:lvl w:ilvl="8" w:tentative="0">
      <w:start w:val="1"/>
      <w:numFmt w:val="lowerRoman"/>
      <w:lvlText w:val="%9."/>
      <w:lvlJc w:val="right"/>
      <w:pPr>
        <w:ind w:left="3354" w:hanging="420"/>
      </w:pPr>
    </w:lvl>
  </w:abstractNum>
  <w:abstractNum w:abstractNumId="14">
    <w:nsid w:val="40512C37"/>
    <w:multiLevelType w:val="multilevel"/>
    <w:tmpl w:val="40512C37"/>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0CF13D4"/>
    <w:multiLevelType w:val="multilevel"/>
    <w:tmpl w:val="40CF13D4"/>
    <w:lvl w:ilvl="0" w:tentative="0">
      <w:start w:val="1"/>
      <w:numFmt w:val="decimal"/>
      <w:pStyle w:val="3"/>
      <w:lvlText w:val="%1."/>
      <w:lvlJc w:val="left"/>
      <w:pPr>
        <w:tabs>
          <w:tab w:val="left" w:pos="425"/>
        </w:tabs>
        <w:ind w:left="425" w:hanging="425"/>
      </w:pPr>
      <w:rPr>
        <w:rFonts w:hint="eastAsia"/>
      </w:rPr>
    </w:lvl>
    <w:lvl w:ilvl="1" w:tentative="0">
      <w:start w:val="1"/>
      <w:numFmt w:val="decimal"/>
      <w:pStyle w:val="4"/>
      <w:lvlText w:val="%1.%2."/>
      <w:lvlJc w:val="left"/>
      <w:pPr>
        <w:tabs>
          <w:tab w:val="left" w:pos="720"/>
        </w:tabs>
        <w:ind w:left="567" w:hanging="567"/>
      </w:pPr>
      <w:rPr>
        <w:rFonts w:hint="eastAsia"/>
      </w:rPr>
    </w:lvl>
    <w:lvl w:ilvl="2" w:tentative="0">
      <w:start w:val="1"/>
      <w:numFmt w:val="chineseCountingThousand"/>
      <w:pStyle w:val="6"/>
      <w:lvlText w:val="%3、"/>
      <w:lvlJc w:val="left"/>
      <w:pPr>
        <w:tabs>
          <w:tab w:val="left" w:pos="709"/>
        </w:tabs>
        <w:ind w:left="709" w:hanging="709"/>
      </w:pPr>
      <w:rPr>
        <w:rFonts w:hint="eastAsia"/>
        <w:b/>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433044D6"/>
    <w:multiLevelType w:val="multilevel"/>
    <w:tmpl w:val="433044D6"/>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7">
    <w:nsid w:val="46C71494"/>
    <w:multiLevelType w:val="multilevel"/>
    <w:tmpl w:val="46C71494"/>
    <w:lvl w:ilvl="0" w:tentative="0">
      <w:start w:val="1"/>
      <w:numFmt w:val="decimal"/>
      <w:lvlText w:val="%1)"/>
      <w:lvlJc w:val="left"/>
      <w:pPr>
        <w:ind w:left="1461" w:hanging="420"/>
      </w:pPr>
    </w:lvl>
    <w:lvl w:ilvl="1" w:tentative="0">
      <w:start w:val="1"/>
      <w:numFmt w:val="lowerLetter"/>
      <w:lvlText w:val="%2)"/>
      <w:lvlJc w:val="left"/>
      <w:pPr>
        <w:ind w:left="1881" w:hanging="420"/>
      </w:pPr>
    </w:lvl>
    <w:lvl w:ilvl="2" w:tentative="0">
      <w:start w:val="1"/>
      <w:numFmt w:val="lowerRoman"/>
      <w:lvlText w:val="%3."/>
      <w:lvlJc w:val="right"/>
      <w:pPr>
        <w:ind w:left="2301" w:hanging="420"/>
      </w:pPr>
    </w:lvl>
    <w:lvl w:ilvl="3" w:tentative="0">
      <w:start w:val="1"/>
      <w:numFmt w:val="decimal"/>
      <w:lvlText w:val="%4."/>
      <w:lvlJc w:val="left"/>
      <w:pPr>
        <w:ind w:left="2721" w:hanging="420"/>
      </w:pPr>
    </w:lvl>
    <w:lvl w:ilvl="4" w:tentative="0">
      <w:start w:val="1"/>
      <w:numFmt w:val="lowerLetter"/>
      <w:lvlText w:val="%5)"/>
      <w:lvlJc w:val="left"/>
      <w:pPr>
        <w:ind w:left="3141" w:hanging="420"/>
      </w:pPr>
    </w:lvl>
    <w:lvl w:ilvl="5" w:tentative="0">
      <w:start w:val="1"/>
      <w:numFmt w:val="lowerRoman"/>
      <w:lvlText w:val="%6."/>
      <w:lvlJc w:val="right"/>
      <w:pPr>
        <w:ind w:left="3561" w:hanging="420"/>
      </w:pPr>
    </w:lvl>
    <w:lvl w:ilvl="6" w:tentative="0">
      <w:start w:val="1"/>
      <w:numFmt w:val="decimal"/>
      <w:lvlText w:val="%7."/>
      <w:lvlJc w:val="left"/>
      <w:pPr>
        <w:ind w:left="3981" w:hanging="420"/>
      </w:pPr>
    </w:lvl>
    <w:lvl w:ilvl="7" w:tentative="0">
      <w:start w:val="1"/>
      <w:numFmt w:val="lowerLetter"/>
      <w:lvlText w:val="%8)"/>
      <w:lvlJc w:val="left"/>
      <w:pPr>
        <w:ind w:left="4401" w:hanging="420"/>
      </w:pPr>
    </w:lvl>
    <w:lvl w:ilvl="8" w:tentative="0">
      <w:start w:val="1"/>
      <w:numFmt w:val="lowerRoman"/>
      <w:lvlText w:val="%9."/>
      <w:lvlJc w:val="right"/>
      <w:pPr>
        <w:ind w:left="4821" w:hanging="420"/>
      </w:pPr>
    </w:lvl>
  </w:abstractNum>
  <w:abstractNum w:abstractNumId="18">
    <w:nsid w:val="4D4DA009"/>
    <w:multiLevelType w:val="singleLevel"/>
    <w:tmpl w:val="4D4DA009"/>
    <w:lvl w:ilvl="0" w:tentative="0">
      <w:start w:val="1"/>
      <w:numFmt w:val="decimal"/>
      <w:lvlText w:val="%1."/>
      <w:lvlJc w:val="left"/>
      <w:pPr>
        <w:tabs>
          <w:tab w:val="left" w:pos="312"/>
        </w:tabs>
      </w:pPr>
    </w:lvl>
  </w:abstractNum>
  <w:abstractNum w:abstractNumId="19">
    <w:nsid w:val="4EFA17D5"/>
    <w:multiLevelType w:val="multilevel"/>
    <w:tmpl w:val="4EFA17D5"/>
    <w:lvl w:ilvl="0" w:tentative="0">
      <w:start w:val="19"/>
      <w:numFmt w:val="decimal"/>
      <w:lvlText w:val="%1"/>
      <w:lvlJc w:val="left"/>
      <w:pPr>
        <w:ind w:left="480" w:hanging="480"/>
      </w:pPr>
      <w:rPr>
        <w:rFonts w:hint="default"/>
      </w:rPr>
    </w:lvl>
    <w:lvl w:ilvl="1" w:tentative="0">
      <w:start w:val="1"/>
      <w:numFmt w:val="decimal"/>
      <w:lvlText w:val="18.%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0">
    <w:nsid w:val="4FE725AC"/>
    <w:multiLevelType w:val="multilevel"/>
    <w:tmpl w:val="4FE725AC"/>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1">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22">
    <w:nsid w:val="56222FB0"/>
    <w:multiLevelType w:val="multilevel"/>
    <w:tmpl w:val="56222FB0"/>
    <w:lvl w:ilvl="0" w:tentative="0">
      <w:start w:val="14"/>
      <w:numFmt w:val="decimal"/>
      <w:lvlText w:val="%1"/>
      <w:lvlJc w:val="left"/>
      <w:pPr>
        <w:ind w:left="480" w:hanging="480"/>
      </w:pPr>
      <w:rPr>
        <w:rFonts w:hint="default"/>
      </w:rPr>
    </w:lvl>
    <w:lvl w:ilvl="1" w:tentative="0">
      <w:start w:val="1"/>
      <w:numFmt w:val="decimal"/>
      <w:lvlText w:val="%1.%2"/>
      <w:lvlJc w:val="left"/>
      <w:pPr>
        <w:ind w:left="621"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3">
    <w:nsid w:val="56997346"/>
    <w:multiLevelType w:val="multilevel"/>
    <w:tmpl w:val="56997346"/>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4">
    <w:nsid w:val="57693060"/>
    <w:multiLevelType w:val="multilevel"/>
    <w:tmpl w:val="57693060"/>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7912FC9"/>
    <w:multiLevelType w:val="multilevel"/>
    <w:tmpl w:val="57912FC9"/>
    <w:lvl w:ilvl="0" w:tentative="0">
      <w:start w:val="23"/>
      <w:numFmt w:val="decimal"/>
      <w:lvlText w:val="%1"/>
      <w:lvlJc w:val="left"/>
      <w:pPr>
        <w:ind w:left="465" w:hanging="465"/>
      </w:pPr>
      <w:rPr>
        <w:rFonts w:hint="default" w:ascii="Arial" w:hAnsi="Arial" w:cs="Arial"/>
      </w:rPr>
    </w:lvl>
    <w:lvl w:ilvl="1" w:tentative="0">
      <w:start w:val="1"/>
      <w:numFmt w:val="decimal"/>
      <w:lvlText w:val="22.%2."/>
      <w:lvlJc w:val="left"/>
      <w:pPr>
        <w:ind w:left="606" w:hanging="465"/>
      </w:pPr>
      <w:rPr>
        <w:rFonts w:hint="eastAsia"/>
      </w:rPr>
    </w:lvl>
    <w:lvl w:ilvl="2" w:tentative="0">
      <w:start w:val="1"/>
      <w:numFmt w:val="decimal"/>
      <w:lvlText w:val="%1.%2.%3"/>
      <w:lvlJc w:val="left"/>
      <w:pPr>
        <w:ind w:left="1680" w:hanging="720"/>
      </w:pPr>
      <w:rPr>
        <w:rFonts w:hint="default" w:ascii="Arial" w:hAnsi="Arial" w:cs="Arial"/>
      </w:rPr>
    </w:lvl>
    <w:lvl w:ilvl="3" w:tentative="0">
      <w:start w:val="1"/>
      <w:numFmt w:val="decimal"/>
      <w:lvlText w:val="%1.%2.%3.%4"/>
      <w:lvlJc w:val="left"/>
      <w:pPr>
        <w:ind w:left="2520" w:hanging="1080"/>
      </w:pPr>
      <w:rPr>
        <w:rFonts w:hint="default" w:ascii="Arial" w:hAnsi="Arial" w:cs="Arial"/>
      </w:rPr>
    </w:lvl>
    <w:lvl w:ilvl="4" w:tentative="0">
      <w:start w:val="1"/>
      <w:numFmt w:val="decimal"/>
      <w:lvlText w:val="%1.%2.%3.%4.%5"/>
      <w:lvlJc w:val="left"/>
      <w:pPr>
        <w:ind w:left="3000" w:hanging="1080"/>
      </w:pPr>
      <w:rPr>
        <w:rFonts w:hint="default" w:ascii="Arial" w:hAnsi="Arial" w:cs="Arial"/>
      </w:rPr>
    </w:lvl>
    <w:lvl w:ilvl="5" w:tentative="0">
      <w:start w:val="1"/>
      <w:numFmt w:val="decimal"/>
      <w:lvlText w:val="%1.%2.%3.%4.%5.%6"/>
      <w:lvlJc w:val="left"/>
      <w:pPr>
        <w:ind w:left="3840" w:hanging="1440"/>
      </w:pPr>
      <w:rPr>
        <w:rFonts w:hint="default" w:ascii="Arial" w:hAnsi="Arial" w:cs="Arial"/>
      </w:rPr>
    </w:lvl>
    <w:lvl w:ilvl="6" w:tentative="0">
      <w:start w:val="1"/>
      <w:numFmt w:val="decimal"/>
      <w:lvlText w:val="%1.%2.%3.%4.%5.%6.%7"/>
      <w:lvlJc w:val="left"/>
      <w:pPr>
        <w:ind w:left="4680" w:hanging="1800"/>
      </w:pPr>
      <w:rPr>
        <w:rFonts w:hint="default" w:ascii="Arial" w:hAnsi="Arial" w:cs="Arial"/>
      </w:rPr>
    </w:lvl>
    <w:lvl w:ilvl="7" w:tentative="0">
      <w:start w:val="1"/>
      <w:numFmt w:val="decimal"/>
      <w:lvlText w:val="%1.%2.%3.%4.%5.%6.%7.%8"/>
      <w:lvlJc w:val="left"/>
      <w:pPr>
        <w:ind w:left="5160" w:hanging="1800"/>
      </w:pPr>
      <w:rPr>
        <w:rFonts w:hint="default" w:ascii="Arial" w:hAnsi="Arial" w:cs="Arial"/>
      </w:rPr>
    </w:lvl>
    <w:lvl w:ilvl="8" w:tentative="0">
      <w:start w:val="1"/>
      <w:numFmt w:val="decimal"/>
      <w:lvlText w:val="%1.%2.%3.%4.%5.%6.%7.%8.%9"/>
      <w:lvlJc w:val="left"/>
      <w:pPr>
        <w:ind w:left="6000" w:hanging="2160"/>
      </w:pPr>
      <w:rPr>
        <w:rFonts w:hint="default" w:ascii="Arial" w:hAnsi="Arial" w:cs="Arial"/>
      </w:rPr>
    </w:lvl>
  </w:abstractNum>
  <w:abstractNum w:abstractNumId="26">
    <w:nsid w:val="599149B8"/>
    <w:multiLevelType w:val="multilevel"/>
    <w:tmpl w:val="599149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63AA4A1E"/>
    <w:multiLevelType w:val="multilevel"/>
    <w:tmpl w:val="63AA4A1E"/>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8">
    <w:nsid w:val="647E01AF"/>
    <w:multiLevelType w:val="multilevel"/>
    <w:tmpl w:val="647E01AF"/>
    <w:lvl w:ilvl="0" w:tentative="0">
      <w:start w:val="6"/>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29">
    <w:nsid w:val="6B626D06"/>
    <w:multiLevelType w:val="multilevel"/>
    <w:tmpl w:val="6B626D06"/>
    <w:lvl w:ilvl="0" w:tentative="0">
      <w:start w:val="17"/>
      <w:numFmt w:val="decimal"/>
      <w:lvlText w:val="%1"/>
      <w:lvlJc w:val="left"/>
      <w:pPr>
        <w:ind w:left="480" w:hanging="480"/>
      </w:pPr>
      <w:rPr>
        <w:rFonts w:hint="default"/>
      </w:rPr>
    </w:lvl>
    <w:lvl w:ilvl="1" w:tentative="0">
      <w:start w:val="1"/>
      <w:numFmt w:val="decimal"/>
      <w:lvlText w:val="16.%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0">
    <w:nsid w:val="6BC93FB5"/>
    <w:multiLevelType w:val="multilevel"/>
    <w:tmpl w:val="6BC93FB5"/>
    <w:lvl w:ilvl="0" w:tentative="0">
      <w:start w:val="8"/>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1">
    <w:nsid w:val="6C525B9F"/>
    <w:multiLevelType w:val="multilevel"/>
    <w:tmpl w:val="6C525B9F"/>
    <w:lvl w:ilvl="0" w:tentative="0">
      <w:start w:val="5"/>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2">
    <w:nsid w:val="6FBA724A"/>
    <w:multiLevelType w:val="multilevel"/>
    <w:tmpl w:val="6FBA724A"/>
    <w:lvl w:ilvl="0" w:tentative="0">
      <w:start w:val="22"/>
      <w:numFmt w:val="decimal"/>
      <w:lvlText w:val="%1"/>
      <w:lvlJc w:val="left"/>
      <w:pPr>
        <w:ind w:left="480" w:hanging="480"/>
      </w:pPr>
      <w:rPr>
        <w:rFonts w:hint="default"/>
      </w:rPr>
    </w:lvl>
    <w:lvl w:ilvl="1" w:tentative="0">
      <w:start w:val="1"/>
      <w:numFmt w:val="decimal"/>
      <w:lvlText w:val="21.%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3">
    <w:nsid w:val="719C3F02"/>
    <w:multiLevelType w:val="multilevel"/>
    <w:tmpl w:val="719C3F02"/>
    <w:lvl w:ilvl="0" w:tentative="0">
      <w:start w:val="7"/>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4">
    <w:nsid w:val="72C135E4"/>
    <w:multiLevelType w:val="multilevel"/>
    <w:tmpl w:val="72C135E4"/>
    <w:lvl w:ilvl="0" w:tentative="0">
      <w:start w:val="9"/>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5">
    <w:nsid w:val="75300036"/>
    <w:multiLevelType w:val="multilevel"/>
    <w:tmpl w:val="75300036"/>
    <w:lvl w:ilvl="0" w:tentative="0">
      <w:start w:val="4"/>
      <w:numFmt w:val="decimal"/>
      <w:lvlText w:val="%1"/>
      <w:lvlJc w:val="left"/>
      <w:pPr>
        <w:ind w:left="360" w:hanging="360"/>
      </w:pPr>
      <w:rPr>
        <w:rFonts w:hint="default"/>
      </w:rPr>
    </w:lvl>
    <w:lvl w:ilvl="1" w:tentative="0">
      <w:start w:val="1"/>
      <w:numFmt w:val="decimal"/>
      <w:lvlText w:val="%1.%2"/>
      <w:lvlJc w:val="left"/>
      <w:pPr>
        <w:ind w:left="501"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6">
    <w:nsid w:val="7A113608"/>
    <w:multiLevelType w:val="multilevel"/>
    <w:tmpl w:val="7A113608"/>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7AA846C6"/>
    <w:multiLevelType w:val="multilevel"/>
    <w:tmpl w:val="7AA846C6"/>
    <w:lvl w:ilvl="0" w:tentative="0">
      <w:start w:val="12"/>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8">
    <w:nsid w:val="7B216D2B"/>
    <w:multiLevelType w:val="multilevel"/>
    <w:tmpl w:val="7B216D2B"/>
    <w:lvl w:ilvl="0" w:tentative="0">
      <w:start w:val="20"/>
      <w:numFmt w:val="decimal"/>
      <w:lvlText w:val="%1"/>
      <w:lvlJc w:val="left"/>
      <w:pPr>
        <w:ind w:left="480" w:hanging="480"/>
      </w:pPr>
      <w:rPr>
        <w:rFonts w:hint="default"/>
      </w:rPr>
    </w:lvl>
    <w:lvl w:ilvl="1" w:tentative="0">
      <w:start w:val="1"/>
      <w:numFmt w:val="decimal"/>
      <w:lvlText w:val="19.%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39">
    <w:nsid w:val="7B9E3C32"/>
    <w:multiLevelType w:val="multilevel"/>
    <w:tmpl w:val="7B9E3C32"/>
    <w:lvl w:ilvl="0" w:tentative="0">
      <w:start w:val="18"/>
      <w:numFmt w:val="decimal"/>
      <w:lvlText w:val="%1"/>
      <w:lvlJc w:val="left"/>
      <w:pPr>
        <w:ind w:left="480" w:hanging="480"/>
      </w:pPr>
      <w:rPr>
        <w:rFonts w:hint="default"/>
      </w:rPr>
    </w:lvl>
    <w:lvl w:ilvl="1" w:tentative="0">
      <w:start w:val="1"/>
      <w:numFmt w:val="decimal"/>
      <w:lvlText w:val="17.%2."/>
      <w:lvlJc w:val="left"/>
      <w:pPr>
        <w:ind w:left="621" w:hanging="480"/>
      </w:pPr>
      <w:rPr>
        <w:rFonts w:hint="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40">
    <w:nsid w:val="7CA10DD4"/>
    <w:multiLevelType w:val="multilevel"/>
    <w:tmpl w:val="7CA10DD4"/>
    <w:lvl w:ilvl="0" w:tentative="0">
      <w:start w:val="1"/>
      <w:numFmt w:val="decimal"/>
      <w:lvlText w:val="（%1）"/>
      <w:lvlJc w:val="left"/>
      <w:pPr>
        <w:ind w:left="845" w:hanging="420"/>
      </w:pPr>
    </w:lvl>
    <w:lvl w:ilvl="1" w:tentative="0">
      <w:start w:val="1"/>
      <w:numFmt w:val="decimal"/>
      <w:lvlText w:val="%2."/>
      <w:lvlJc w:val="left"/>
      <w:pPr>
        <w:ind w:left="1130" w:hanging="420"/>
      </w:pPr>
      <w:rPr>
        <w:rFonts w:hint="eastAsia"/>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5"/>
  </w:num>
  <w:num w:numId="2">
    <w:abstractNumId w:val="18"/>
  </w:num>
  <w:num w:numId="3">
    <w:abstractNumId w:val="13"/>
  </w:num>
  <w:num w:numId="4">
    <w:abstractNumId w:val="21"/>
  </w:num>
  <w:num w:numId="5">
    <w:abstractNumId w:val="1"/>
  </w:num>
  <w:num w:numId="6">
    <w:abstractNumId w:val="5"/>
  </w:num>
  <w:num w:numId="7">
    <w:abstractNumId w:val="14"/>
  </w:num>
  <w:num w:numId="8">
    <w:abstractNumId w:val="10"/>
  </w:num>
  <w:num w:numId="9">
    <w:abstractNumId w:val="35"/>
  </w:num>
  <w:num w:numId="10">
    <w:abstractNumId w:val="4"/>
  </w:num>
  <w:num w:numId="11">
    <w:abstractNumId w:val="31"/>
  </w:num>
  <w:num w:numId="12">
    <w:abstractNumId w:val="6"/>
  </w:num>
  <w:num w:numId="13">
    <w:abstractNumId w:val="28"/>
  </w:num>
  <w:num w:numId="14">
    <w:abstractNumId w:val="33"/>
  </w:num>
  <w:num w:numId="15">
    <w:abstractNumId w:val="30"/>
  </w:num>
  <w:num w:numId="16">
    <w:abstractNumId w:val="34"/>
  </w:num>
  <w:num w:numId="17">
    <w:abstractNumId w:val="20"/>
  </w:num>
  <w:num w:numId="18">
    <w:abstractNumId w:val="11"/>
  </w:num>
  <w:num w:numId="19">
    <w:abstractNumId w:val="9"/>
  </w:num>
  <w:num w:numId="20">
    <w:abstractNumId w:val="37"/>
  </w:num>
  <w:num w:numId="21">
    <w:abstractNumId w:val="12"/>
  </w:num>
  <w:num w:numId="22">
    <w:abstractNumId w:val="40"/>
  </w:num>
  <w:num w:numId="23">
    <w:abstractNumId w:val="22"/>
  </w:num>
  <w:num w:numId="24">
    <w:abstractNumId w:val="26"/>
  </w:num>
  <w:num w:numId="25">
    <w:abstractNumId w:val="29"/>
  </w:num>
  <w:num w:numId="26">
    <w:abstractNumId w:val="36"/>
  </w:num>
  <w:num w:numId="27">
    <w:abstractNumId w:val="24"/>
  </w:num>
  <w:num w:numId="28">
    <w:abstractNumId w:val="39"/>
  </w:num>
  <w:num w:numId="29">
    <w:abstractNumId w:val="8"/>
  </w:num>
  <w:num w:numId="30">
    <w:abstractNumId w:val="27"/>
  </w:num>
  <w:num w:numId="31">
    <w:abstractNumId w:val="3"/>
  </w:num>
  <w:num w:numId="32">
    <w:abstractNumId w:val="16"/>
  </w:num>
  <w:num w:numId="33">
    <w:abstractNumId w:val="19"/>
  </w:num>
  <w:num w:numId="34">
    <w:abstractNumId w:val="38"/>
  </w:num>
  <w:num w:numId="35">
    <w:abstractNumId w:val="0"/>
  </w:num>
  <w:num w:numId="36">
    <w:abstractNumId w:val="7"/>
  </w:num>
  <w:num w:numId="37">
    <w:abstractNumId w:val="32"/>
  </w:num>
  <w:num w:numId="38">
    <w:abstractNumId w:val="25"/>
  </w:num>
  <w:num w:numId="39">
    <w:abstractNumId w:val="23"/>
  </w:num>
  <w:num w:numId="40">
    <w:abstractNumId w:val="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69"/>
    <w:rsid w:val="00001EF1"/>
    <w:rsid w:val="00002B7E"/>
    <w:rsid w:val="0000361F"/>
    <w:rsid w:val="000038F3"/>
    <w:rsid w:val="000044F5"/>
    <w:rsid w:val="0000523C"/>
    <w:rsid w:val="000067C2"/>
    <w:rsid w:val="0000729F"/>
    <w:rsid w:val="00010612"/>
    <w:rsid w:val="0001102F"/>
    <w:rsid w:val="00011203"/>
    <w:rsid w:val="00011600"/>
    <w:rsid w:val="00013E54"/>
    <w:rsid w:val="00014941"/>
    <w:rsid w:val="0001505A"/>
    <w:rsid w:val="00015785"/>
    <w:rsid w:val="0001758F"/>
    <w:rsid w:val="0002211A"/>
    <w:rsid w:val="0002411A"/>
    <w:rsid w:val="00025C53"/>
    <w:rsid w:val="00030F4D"/>
    <w:rsid w:val="00032242"/>
    <w:rsid w:val="00032E41"/>
    <w:rsid w:val="00032F62"/>
    <w:rsid w:val="00034E72"/>
    <w:rsid w:val="00035BEA"/>
    <w:rsid w:val="00036740"/>
    <w:rsid w:val="000371BF"/>
    <w:rsid w:val="00042652"/>
    <w:rsid w:val="00043379"/>
    <w:rsid w:val="000457A3"/>
    <w:rsid w:val="00046097"/>
    <w:rsid w:val="000508B0"/>
    <w:rsid w:val="00050F67"/>
    <w:rsid w:val="00050FD1"/>
    <w:rsid w:val="00051006"/>
    <w:rsid w:val="00051209"/>
    <w:rsid w:val="0005143F"/>
    <w:rsid w:val="00051784"/>
    <w:rsid w:val="00053C01"/>
    <w:rsid w:val="00053D3B"/>
    <w:rsid w:val="00053F9B"/>
    <w:rsid w:val="0005473E"/>
    <w:rsid w:val="00054FB1"/>
    <w:rsid w:val="000558CC"/>
    <w:rsid w:val="0005701A"/>
    <w:rsid w:val="00060656"/>
    <w:rsid w:val="000618D6"/>
    <w:rsid w:val="0006359A"/>
    <w:rsid w:val="00070777"/>
    <w:rsid w:val="000715AF"/>
    <w:rsid w:val="00071E6B"/>
    <w:rsid w:val="0007234D"/>
    <w:rsid w:val="0007507D"/>
    <w:rsid w:val="00075A61"/>
    <w:rsid w:val="0007617E"/>
    <w:rsid w:val="000806B7"/>
    <w:rsid w:val="00081E42"/>
    <w:rsid w:val="00083F97"/>
    <w:rsid w:val="00087281"/>
    <w:rsid w:val="00087777"/>
    <w:rsid w:val="000877C0"/>
    <w:rsid w:val="00090E3E"/>
    <w:rsid w:val="0009128E"/>
    <w:rsid w:val="00091938"/>
    <w:rsid w:val="0009236A"/>
    <w:rsid w:val="00093693"/>
    <w:rsid w:val="00095A45"/>
    <w:rsid w:val="00097060"/>
    <w:rsid w:val="000A036E"/>
    <w:rsid w:val="000A1633"/>
    <w:rsid w:val="000A169F"/>
    <w:rsid w:val="000A274B"/>
    <w:rsid w:val="000A4266"/>
    <w:rsid w:val="000A465E"/>
    <w:rsid w:val="000A4A29"/>
    <w:rsid w:val="000A592F"/>
    <w:rsid w:val="000A5E33"/>
    <w:rsid w:val="000A6C27"/>
    <w:rsid w:val="000A7AA9"/>
    <w:rsid w:val="000B0C19"/>
    <w:rsid w:val="000B16A6"/>
    <w:rsid w:val="000B3683"/>
    <w:rsid w:val="000B4D71"/>
    <w:rsid w:val="000C0323"/>
    <w:rsid w:val="000C40AC"/>
    <w:rsid w:val="000C43F0"/>
    <w:rsid w:val="000C60A4"/>
    <w:rsid w:val="000C700D"/>
    <w:rsid w:val="000D0C59"/>
    <w:rsid w:val="000D20F5"/>
    <w:rsid w:val="000D351A"/>
    <w:rsid w:val="000D394F"/>
    <w:rsid w:val="000D4865"/>
    <w:rsid w:val="000D7CD3"/>
    <w:rsid w:val="000E02A7"/>
    <w:rsid w:val="000E0E00"/>
    <w:rsid w:val="000E3C39"/>
    <w:rsid w:val="000E3D42"/>
    <w:rsid w:val="000E409B"/>
    <w:rsid w:val="000E59DC"/>
    <w:rsid w:val="000E791D"/>
    <w:rsid w:val="000F03C2"/>
    <w:rsid w:val="000F13C9"/>
    <w:rsid w:val="000F166F"/>
    <w:rsid w:val="000F276F"/>
    <w:rsid w:val="000F6540"/>
    <w:rsid w:val="001002CA"/>
    <w:rsid w:val="001003FB"/>
    <w:rsid w:val="00100BAD"/>
    <w:rsid w:val="00101C28"/>
    <w:rsid w:val="00103A39"/>
    <w:rsid w:val="00104CCA"/>
    <w:rsid w:val="00105678"/>
    <w:rsid w:val="001062E4"/>
    <w:rsid w:val="00107E60"/>
    <w:rsid w:val="001100C2"/>
    <w:rsid w:val="00110842"/>
    <w:rsid w:val="00110AF9"/>
    <w:rsid w:val="00110BE5"/>
    <w:rsid w:val="001128BE"/>
    <w:rsid w:val="00114C0A"/>
    <w:rsid w:val="00117E99"/>
    <w:rsid w:val="00120EB7"/>
    <w:rsid w:val="00121135"/>
    <w:rsid w:val="00123F0F"/>
    <w:rsid w:val="00124055"/>
    <w:rsid w:val="001244B8"/>
    <w:rsid w:val="00125A2E"/>
    <w:rsid w:val="0012666C"/>
    <w:rsid w:val="00130A6F"/>
    <w:rsid w:val="00133249"/>
    <w:rsid w:val="00133863"/>
    <w:rsid w:val="00133C48"/>
    <w:rsid w:val="00134A4A"/>
    <w:rsid w:val="0013508A"/>
    <w:rsid w:val="0013606C"/>
    <w:rsid w:val="00136BF2"/>
    <w:rsid w:val="00137099"/>
    <w:rsid w:val="00141058"/>
    <w:rsid w:val="00141320"/>
    <w:rsid w:val="0014227A"/>
    <w:rsid w:val="0014346E"/>
    <w:rsid w:val="0014680B"/>
    <w:rsid w:val="001469E6"/>
    <w:rsid w:val="00150B3E"/>
    <w:rsid w:val="00152D15"/>
    <w:rsid w:val="00153051"/>
    <w:rsid w:val="00153C36"/>
    <w:rsid w:val="00155B82"/>
    <w:rsid w:val="00155F3A"/>
    <w:rsid w:val="001605E4"/>
    <w:rsid w:val="00161293"/>
    <w:rsid w:val="00161442"/>
    <w:rsid w:val="00163370"/>
    <w:rsid w:val="00165992"/>
    <w:rsid w:val="001659BA"/>
    <w:rsid w:val="00165B2D"/>
    <w:rsid w:val="00166838"/>
    <w:rsid w:val="0016764E"/>
    <w:rsid w:val="00170482"/>
    <w:rsid w:val="0017094E"/>
    <w:rsid w:val="00172CFF"/>
    <w:rsid w:val="001738EF"/>
    <w:rsid w:val="00173E65"/>
    <w:rsid w:val="00174940"/>
    <w:rsid w:val="00174F7A"/>
    <w:rsid w:val="00175CDF"/>
    <w:rsid w:val="00176770"/>
    <w:rsid w:val="00177CBE"/>
    <w:rsid w:val="001801DD"/>
    <w:rsid w:val="00180A83"/>
    <w:rsid w:val="00180EE3"/>
    <w:rsid w:val="00181301"/>
    <w:rsid w:val="001825EE"/>
    <w:rsid w:val="00184ADA"/>
    <w:rsid w:val="00186E47"/>
    <w:rsid w:val="00190A1F"/>
    <w:rsid w:val="00190FBF"/>
    <w:rsid w:val="00191300"/>
    <w:rsid w:val="00192212"/>
    <w:rsid w:val="0019406F"/>
    <w:rsid w:val="001953D9"/>
    <w:rsid w:val="001957DC"/>
    <w:rsid w:val="00197188"/>
    <w:rsid w:val="00197375"/>
    <w:rsid w:val="00197EA9"/>
    <w:rsid w:val="00197FA0"/>
    <w:rsid w:val="001A080C"/>
    <w:rsid w:val="001A210F"/>
    <w:rsid w:val="001A2BC4"/>
    <w:rsid w:val="001A5C07"/>
    <w:rsid w:val="001A64E9"/>
    <w:rsid w:val="001A6879"/>
    <w:rsid w:val="001B0E21"/>
    <w:rsid w:val="001B254F"/>
    <w:rsid w:val="001B258F"/>
    <w:rsid w:val="001B3A0B"/>
    <w:rsid w:val="001B488C"/>
    <w:rsid w:val="001B4AE7"/>
    <w:rsid w:val="001B4C63"/>
    <w:rsid w:val="001B5736"/>
    <w:rsid w:val="001B6AEF"/>
    <w:rsid w:val="001B7402"/>
    <w:rsid w:val="001C1E19"/>
    <w:rsid w:val="001C279C"/>
    <w:rsid w:val="001C3362"/>
    <w:rsid w:val="001C4AFB"/>
    <w:rsid w:val="001C5860"/>
    <w:rsid w:val="001C6086"/>
    <w:rsid w:val="001C6D59"/>
    <w:rsid w:val="001C739F"/>
    <w:rsid w:val="001C7CA6"/>
    <w:rsid w:val="001D0BB0"/>
    <w:rsid w:val="001D6731"/>
    <w:rsid w:val="001D7DCB"/>
    <w:rsid w:val="001E08C0"/>
    <w:rsid w:val="001E1C73"/>
    <w:rsid w:val="001E324D"/>
    <w:rsid w:val="001E78D7"/>
    <w:rsid w:val="001F2B77"/>
    <w:rsid w:val="001F3783"/>
    <w:rsid w:val="001F37EE"/>
    <w:rsid w:val="001F6A1D"/>
    <w:rsid w:val="001F6CA1"/>
    <w:rsid w:val="001F6DFC"/>
    <w:rsid w:val="002002AB"/>
    <w:rsid w:val="002017B2"/>
    <w:rsid w:val="00201C83"/>
    <w:rsid w:val="00203FCE"/>
    <w:rsid w:val="0020503B"/>
    <w:rsid w:val="00210596"/>
    <w:rsid w:val="002114B6"/>
    <w:rsid w:val="002115CA"/>
    <w:rsid w:val="00212C8E"/>
    <w:rsid w:val="002136BF"/>
    <w:rsid w:val="002139E2"/>
    <w:rsid w:val="00220D11"/>
    <w:rsid w:val="002214B4"/>
    <w:rsid w:val="00221B90"/>
    <w:rsid w:val="00222036"/>
    <w:rsid w:val="00222C47"/>
    <w:rsid w:val="00223D00"/>
    <w:rsid w:val="00224136"/>
    <w:rsid w:val="002249FE"/>
    <w:rsid w:val="00226660"/>
    <w:rsid w:val="002277BF"/>
    <w:rsid w:val="00230498"/>
    <w:rsid w:val="002337F0"/>
    <w:rsid w:val="00233D2E"/>
    <w:rsid w:val="0023404A"/>
    <w:rsid w:val="00234494"/>
    <w:rsid w:val="0023487E"/>
    <w:rsid w:val="00234AC0"/>
    <w:rsid w:val="00235CAF"/>
    <w:rsid w:val="002371BC"/>
    <w:rsid w:val="002373C7"/>
    <w:rsid w:val="00240485"/>
    <w:rsid w:val="002411CA"/>
    <w:rsid w:val="00245DEE"/>
    <w:rsid w:val="00250802"/>
    <w:rsid w:val="00250E43"/>
    <w:rsid w:val="002519A9"/>
    <w:rsid w:val="0025211E"/>
    <w:rsid w:val="00252502"/>
    <w:rsid w:val="002554DC"/>
    <w:rsid w:val="002636F7"/>
    <w:rsid w:val="00263995"/>
    <w:rsid w:val="00263CBE"/>
    <w:rsid w:val="00263CC7"/>
    <w:rsid w:val="00264BB4"/>
    <w:rsid w:val="00264E70"/>
    <w:rsid w:val="0026520C"/>
    <w:rsid w:val="00265C78"/>
    <w:rsid w:val="002672CD"/>
    <w:rsid w:val="00270319"/>
    <w:rsid w:val="00270BA9"/>
    <w:rsid w:val="00273870"/>
    <w:rsid w:val="00274EB1"/>
    <w:rsid w:val="00275F38"/>
    <w:rsid w:val="002767CA"/>
    <w:rsid w:val="00277051"/>
    <w:rsid w:val="002812BE"/>
    <w:rsid w:val="002821EF"/>
    <w:rsid w:val="002833F3"/>
    <w:rsid w:val="002839E2"/>
    <w:rsid w:val="00283BB6"/>
    <w:rsid w:val="00283CBF"/>
    <w:rsid w:val="00283D92"/>
    <w:rsid w:val="002843FE"/>
    <w:rsid w:val="00284776"/>
    <w:rsid w:val="00285653"/>
    <w:rsid w:val="002863DA"/>
    <w:rsid w:val="00286468"/>
    <w:rsid w:val="00287744"/>
    <w:rsid w:val="00287FA6"/>
    <w:rsid w:val="0029056F"/>
    <w:rsid w:val="00291296"/>
    <w:rsid w:val="00292528"/>
    <w:rsid w:val="0029392B"/>
    <w:rsid w:val="00293AFC"/>
    <w:rsid w:val="002948C0"/>
    <w:rsid w:val="00295931"/>
    <w:rsid w:val="00295CCE"/>
    <w:rsid w:val="002A252B"/>
    <w:rsid w:val="002A28FA"/>
    <w:rsid w:val="002A4D1F"/>
    <w:rsid w:val="002A7EF9"/>
    <w:rsid w:val="002B0244"/>
    <w:rsid w:val="002B0774"/>
    <w:rsid w:val="002B0D5B"/>
    <w:rsid w:val="002B1DDC"/>
    <w:rsid w:val="002B3C13"/>
    <w:rsid w:val="002B40F9"/>
    <w:rsid w:val="002B4196"/>
    <w:rsid w:val="002B61BA"/>
    <w:rsid w:val="002B7029"/>
    <w:rsid w:val="002C0968"/>
    <w:rsid w:val="002C09CD"/>
    <w:rsid w:val="002C340C"/>
    <w:rsid w:val="002C54AF"/>
    <w:rsid w:val="002C55DB"/>
    <w:rsid w:val="002C59C7"/>
    <w:rsid w:val="002D0E64"/>
    <w:rsid w:val="002D1E61"/>
    <w:rsid w:val="002D2C64"/>
    <w:rsid w:val="002D2FF6"/>
    <w:rsid w:val="002D30D6"/>
    <w:rsid w:val="002D377A"/>
    <w:rsid w:val="002D3FF9"/>
    <w:rsid w:val="002D4C59"/>
    <w:rsid w:val="002D5143"/>
    <w:rsid w:val="002D56ED"/>
    <w:rsid w:val="002D7077"/>
    <w:rsid w:val="002D7096"/>
    <w:rsid w:val="002D732F"/>
    <w:rsid w:val="002E0528"/>
    <w:rsid w:val="002E4980"/>
    <w:rsid w:val="002E577C"/>
    <w:rsid w:val="002E5C15"/>
    <w:rsid w:val="002E5EC6"/>
    <w:rsid w:val="002E69B3"/>
    <w:rsid w:val="002E75C9"/>
    <w:rsid w:val="002F071E"/>
    <w:rsid w:val="002F091F"/>
    <w:rsid w:val="002F29A0"/>
    <w:rsid w:val="002F2ACB"/>
    <w:rsid w:val="002F4602"/>
    <w:rsid w:val="002F4AE4"/>
    <w:rsid w:val="002F611D"/>
    <w:rsid w:val="002F6490"/>
    <w:rsid w:val="00301408"/>
    <w:rsid w:val="00301577"/>
    <w:rsid w:val="003015BD"/>
    <w:rsid w:val="0030181F"/>
    <w:rsid w:val="00301B0B"/>
    <w:rsid w:val="003028D3"/>
    <w:rsid w:val="00302F31"/>
    <w:rsid w:val="00303313"/>
    <w:rsid w:val="003035D3"/>
    <w:rsid w:val="00305E4A"/>
    <w:rsid w:val="00306FE2"/>
    <w:rsid w:val="00307A3D"/>
    <w:rsid w:val="0031081F"/>
    <w:rsid w:val="00312947"/>
    <w:rsid w:val="0031377B"/>
    <w:rsid w:val="00314057"/>
    <w:rsid w:val="00314743"/>
    <w:rsid w:val="00314AA7"/>
    <w:rsid w:val="00315090"/>
    <w:rsid w:val="0031651E"/>
    <w:rsid w:val="00317608"/>
    <w:rsid w:val="00317CAF"/>
    <w:rsid w:val="00322581"/>
    <w:rsid w:val="003233E5"/>
    <w:rsid w:val="00323556"/>
    <w:rsid w:val="00323641"/>
    <w:rsid w:val="003236FB"/>
    <w:rsid w:val="00324298"/>
    <w:rsid w:val="00325907"/>
    <w:rsid w:val="00325A7B"/>
    <w:rsid w:val="003301F0"/>
    <w:rsid w:val="0033150D"/>
    <w:rsid w:val="00331ABE"/>
    <w:rsid w:val="00335454"/>
    <w:rsid w:val="0033549B"/>
    <w:rsid w:val="0033648C"/>
    <w:rsid w:val="00341772"/>
    <w:rsid w:val="0034236F"/>
    <w:rsid w:val="00343151"/>
    <w:rsid w:val="00343333"/>
    <w:rsid w:val="003433E2"/>
    <w:rsid w:val="003440F7"/>
    <w:rsid w:val="00344910"/>
    <w:rsid w:val="00345D16"/>
    <w:rsid w:val="0034606E"/>
    <w:rsid w:val="00347105"/>
    <w:rsid w:val="00347287"/>
    <w:rsid w:val="00347405"/>
    <w:rsid w:val="0034743D"/>
    <w:rsid w:val="00347AB7"/>
    <w:rsid w:val="00347C5C"/>
    <w:rsid w:val="0035056F"/>
    <w:rsid w:val="00352BDE"/>
    <w:rsid w:val="00354055"/>
    <w:rsid w:val="003560BD"/>
    <w:rsid w:val="00356255"/>
    <w:rsid w:val="00357C79"/>
    <w:rsid w:val="0036118E"/>
    <w:rsid w:val="00361505"/>
    <w:rsid w:val="00361A38"/>
    <w:rsid w:val="00363204"/>
    <w:rsid w:val="0036349F"/>
    <w:rsid w:val="00363694"/>
    <w:rsid w:val="00363F07"/>
    <w:rsid w:val="003643D7"/>
    <w:rsid w:val="00366E7C"/>
    <w:rsid w:val="00367039"/>
    <w:rsid w:val="00372C4D"/>
    <w:rsid w:val="00374189"/>
    <w:rsid w:val="00374995"/>
    <w:rsid w:val="00374F0F"/>
    <w:rsid w:val="003750B5"/>
    <w:rsid w:val="00377168"/>
    <w:rsid w:val="00383870"/>
    <w:rsid w:val="003846A4"/>
    <w:rsid w:val="00386F48"/>
    <w:rsid w:val="003871E6"/>
    <w:rsid w:val="00387436"/>
    <w:rsid w:val="00391559"/>
    <w:rsid w:val="0039389C"/>
    <w:rsid w:val="00393DC0"/>
    <w:rsid w:val="00395496"/>
    <w:rsid w:val="0039788F"/>
    <w:rsid w:val="003A0949"/>
    <w:rsid w:val="003A0AF6"/>
    <w:rsid w:val="003A11A4"/>
    <w:rsid w:val="003A2B4C"/>
    <w:rsid w:val="003A2CEB"/>
    <w:rsid w:val="003A353E"/>
    <w:rsid w:val="003A39C0"/>
    <w:rsid w:val="003A3F1B"/>
    <w:rsid w:val="003A4702"/>
    <w:rsid w:val="003A577B"/>
    <w:rsid w:val="003A7E68"/>
    <w:rsid w:val="003B1837"/>
    <w:rsid w:val="003B3DD4"/>
    <w:rsid w:val="003C0201"/>
    <w:rsid w:val="003C1F0E"/>
    <w:rsid w:val="003C2179"/>
    <w:rsid w:val="003C42E6"/>
    <w:rsid w:val="003C56A8"/>
    <w:rsid w:val="003C71F1"/>
    <w:rsid w:val="003C7CC1"/>
    <w:rsid w:val="003D0248"/>
    <w:rsid w:val="003D042F"/>
    <w:rsid w:val="003D0529"/>
    <w:rsid w:val="003D2BB6"/>
    <w:rsid w:val="003D322B"/>
    <w:rsid w:val="003D57EC"/>
    <w:rsid w:val="003D5817"/>
    <w:rsid w:val="003D6B4E"/>
    <w:rsid w:val="003E1052"/>
    <w:rsid w:val="003E15E2"/>
    <w:rsid w:val="003E295B"/>
    <w:rsid w:val="003E4FF9"/>
    <w:rsid w:val="003E536F"/>
    <w:rsid w:val="003E6802"/>
    <w:rsid w:val="003E72A4"/>
    <w:rsid w:val="003E790B"/>
    <w:rsid w:val="003F1486"/>
    <w:rsid w:val="003F158B"/>
    <w:rsid w:val="003F1EDC"/>
    <w:rsid w:val="003F6B9A"/>
    <w:rsid w:val="0040087A"/>
    <w:rsid w:val="00400C61"/>
    <w:rsid w:val="00400FFB"/>
    <w:rsid w:val="00404CD4"/>
    <w:rsid w:val="00404FD4"/>
    <w:rsid w:val="004050DB"/>
    <w:rsid w:val="004101F8"/>
    <w:rsid w:val="00410594"/>
    <w:rsid w:val="00410D5F"/>
    <w:rsid w:val="00411890"/>
    <w:rsid w:val="00412A90"/>
    <w:rsid w:val="00414CFF"/>
    <w:rsid w:val="00414D7F"/>
    <w:rsid w:val="00415A34"/>
    <w:rsid w:val="00415D87"/>
    <w:rsid w:val="00416782"/>
    <w:rsid w:val="00417878"/>
    <w:rsid w:val="00417C36"/>
    <w:rsid w:val="00420F06"/>
    <w:rsid w:val="00421066"/>
    <w:rsid w:val="00421469"/>
    <w:rsid w:val="0042285D"/>
    <w:rsid w:val="004245B7"/>
    <w:rsid w:val="004247FC"/>
    <w:rsid w:val="00424BA9"/>
    <w:rsid w:val="004251B7"/>
    <w:rsid w:val="00425EFE"/>
    <w:rsid w:val="004273F5"/>
    <w:rsid w:val="00433A07"/>
    <w:rsid w:val="00433DEF"/>
    <w:rsid w:val="00435A7E"/>
    <w:rsid w:val="00437A39"/>
    <w:rsid w:val="004404AF"/>
    <w:rsid w:val="00443800"/>
    <w:rsid w:val="00443869"/>
    <w:rsid w:val="004443A4"/>
    <w:rsid w:val="00446641"/>
    <w:rsid w:val="00446992"/>
    <w:rsid w:val="00447914"/>
    <w:rsid w:val="00451525"/>
    <w:rsid w:val="004516AD"/>
    <w:rsid w:val="00451913"/>
    <w:rsid w:val="00451C36"/>
    <w:rsid w:val="00451ED2"/>
    <w:rsid w:val="00452B6F"/>
    <w:rsid w:val="00453A3E"/>
    <w:rsid w:val="0045655B"/>
    <w:rsid w:val="00456C56"/>
    <w:rsid w:val="00461184"/>
    <w:rsid w:val="004631AB"/>
    <w:rsid w:val="0046364C"/>
    <w:rsid w:val="00463AAE"/>
    <w:rsid w:val="00464BD0"/>
    <w:rsid w:val="00464C20"/>
    <w:rsid w:val="00465D7D"/>
    <w:rsid w:val="00466044"/>
    <w:rsid w:val="004679EA"/>
    <w:rsid w:val="00470D73"/>
    <w:rsid w:val="004718DE"/>
    <w:rsid w:val="0047271F"/>
    <w:rsid w:val="00473DDA"/>
    <w:rsid w:val="00474784"/>
    <w:rsid w:val="00475FE2"/>
    <w:rsid w:val="00477B10"/>
    <w:rsid w:val="00477FBB"/>
    <w:rsid w:val="004802FC"/>
    <w:rsid w:val="00480EF6"/>
    <w:rsid w:val="00482330"/>
    <w:rsid w:val="00482CF8"/>
    <w:rsid w:val="00482F1A"/>
    <w:rsid w:val="00483D5F"/>
    <w:rsid w:val="004841FF"/>
    <w:rsid w:val="004844D1"/>
    <w:rsid w:val="004847BF"/>
    <w:rsid w:val="00484A13"/>
    <w:rsid w:val="00484C0D"/>
    <w:rsid w:val="00491A3F"/>
    <w:rsid w:val="004920F3"/>
    <w:rsid w:val="0049374B"/>
    <w:rsid w:val="004938FF"/>
    <w:rsid w:val="00493B35"/>
    <w:rsid w:val="0049591A"/>
    <w:rsid w:val="00496131"/>
    <w:rsid w:val="00497102"/>
    <w:rsid w:val="004A0164"/>
    <w:rsid w:val="004A12DF"/>
    <w:rsid w:val="004A1FCB"/>
    <w:rsid w:val="004A2070"/>
    <w:rsid w:val="004A28A9"/>
    <w:rsid w:val="004A2B78"/>
    <w:rsid w:val="004A2DA1"/>
    <w:rsid w:val="004A2FFB"/>
    <w:rsid w:val="004A3ED2"/>
    <w:rsid w:val="004A4982"/>
    <w:rsid w:val="004A71BE"/>
    <w:rsid w:val="004A732D"/>
    <w:rsid w:val="004A7C28"/>
    <w:rsid w:val="004B0832"/>
    <w:rsid w:val="004B1609"/>
    <w:rsid w:val="004B6399"/>
    <w:rsid w:val="004B7160"/>
    <w:rsid w:val="004C0CD5"/>
    <w:rsid w:val="004C1069"/>
    <w:rsid w:val="004C43DC"/>
    <w:rsid w:val="004C62A0"/>
    <w:rsid w:val="004D06D1"/>
    <w:rsid w:val="004D149E"/>
    <w:rsid w:val="004D169B"/>
    <w:rsid w:val="004D1ABE"/>
    <w:rsid w:val="004D249E"/>
    <w:rsid w:val="004D282F"/>
    <w:rsid w:val="004D34EF"/>
    <w:rsid w:val="004D39CF"/>
    <w:rsid w:val="004D3B8A"/>
    <w:rsid w:val="004D3BBF"/>
    <w:rsid w:val="004D4494"/>
    <w:rsid w:val="004D570F"/>
    <w:rsid w:val="004E0327"/>
    <w:rsid w:val="004E0E92"/>
    <w:rsid w:val="004E0FA5"/>
    <w:rsid w:val="004E1101"/>
    <w:rsid w:val="004E1657"/>
    <w:rsid w:val="004E1822"/>
    <w:rsid w:val="004E1853"/>
    <w:rsid w:val="004E1B54"/>
    <w:rsid w:val="004E1CB2"/>
    <w:rsid w:val="004E46F5"/>
    <w:rsid w:val="004E48D9"/>
    <w:rsid w:val="004E59D6"/>
    <w:rsid w:val="004E7C90"/>
    <w:rsid w:val="004E7CDC"/>
    <w:rsid w:val="004F22F8"/>
    <w:rsid w:val="004F2528"/>
    <w:rsid w:val="004F269E"/>
    <w:rsid w:val="004F26ED"/>
    <w:rsid w:val="004F2EB9"/>
    <w:rsid w:val="004F305B"/>
    <w:rsid w:val="004F4019"/>
    <w:rsid w:val="004F4F5A"/>
    <w:rsid w:val="004F6B24"/>
    <w:rsid w:val="004F7309"/>
    <w:rsid w:val="004F7919"/>
    <w:rsid w:val="005000DB"/>
    <w:rsid w:val="005004E1"/>
    <w:rsid w:val="00500775"/>
    <w:rsid w:val="00500876"/>
    <w:rsid w:val="00500AC0"/>
    <w:rsid w:val="00500E37"/>
    <w:rsid w:val="0050393F"/>
    <w:rsid w:val="005058D7"/>
    <w:rsid w:val="00511E57"/>
    <w:rsid w:val="0051425A"/>
    <w:rsid w:val="005146F9"/>
    <w:rsid w:val="0051535D"/>
    <w:rsid w:val="005168DD"/>
    <w:rsid w:val="00517C7C"/>
    <w:rsid w:val="00521B0F"/>
    <w:rsid w:val="00521E96"/>
    <w:rsid w:val="00524AA1"/>
    <w:rsid w:val="005259D2"/>
    <w:rsid w:val="0052678E"/>
    <w:rsid w:val="00530391"/>
    <w:rsid w:val="0053112E"/>
    <w:rsid w:val="005315A3"/>
    <w:rsid w:val="00531A76"/>
    <w:rsid w:val="0053635A"/>
    <w:rsid w:val="00536BCB"/>
    <w:rsid w:val="00542ED2"/>
    <w:rsid w:val="0054445F"/>
    <w:rsid w:val="005457B6"/>
    <w:rsid w:val="00546A71"/>
    <w:rsid w:val="00546DF0"/>
    <w:rsid w:val="00546EDF"/>
    <w:rsid w:val="005476BB"/>
    <w:rsid w:val="0055015E"/>
    <w:rsid w:val="00552880"/>
    <w:rsid w:val="00552A39"/>
    <w:rsid w:val="0055340C"/>
    <w:rsid w:val="005553DD"/>
    <w:rsid w:val="00555BB2"/>
    <w:rsid w:val="00555D33"/>
    <w:rsid w:val="00556ADC"/>
    <w:rsid w:val="00562FD5"/>
    <w:rsid w:val="00565410"/>
    <w:rsid w:val="00566230"/>
    <w:rsid w:val="00567A1A"/>
    <w:rsid w:val="00571B32"/>
    <w:rsid w:val="005720E7"/>
    <w:rsid w:val="00574758"/>
    <w:rsid w:val="00575614"/>
    <w:rsid w:val="005770CB"/>
    <w:rsid w:val="00577410"/>
    <w:rsid w:val="00582566"/>
    <w:rsid w:val="00583185"/>
    <w:rsid w:val="005846AB"/>
    <w:rsid w:val="00584830"/>
    <w:rsid w:val="0058516E"/>
    <w:rsid w:val="0058611F"/>
    <w:rsid w:val="0058630A"/>
    <w:rsid w:val="005864CE"/>
    <w:rsid w:val="00586FDC"/>
    <w:rsid w:val="005929EC"/>
    <w:rsid w:val="00592F25"/>
    <w:rsid w:val="00596FDC"/>
    <w:rsid w:val="005A004A"/>
    <w:rsid w:val="005A075B"/>
    <w:rsid w:val="005A17E0"/>
    <w:rsid w:val="005A2653"/>
    <w:rsid w:val="005A28FD"/>
    <w:rsid w:val="005A2C70"/>
    <w:rsid w:val="005A47D2"/>
    <w:rsid w:val="005A4B0F"/>
    <w:rsid w:val="005A4DCB"/>
    <w:rsid w:val="005A562E"/>
    <w:rsid w:val="005A64BC"/>
    <w:rsid w:val="005A6EEF"/>
    <w:rsid w:val="005B11B1"/>
    <w:rsid w:val="005B122B"/>
    <w:rsid w:val="005B1C26"/>
    <w:rsid w:val="005B2A68"/>
    <w:rsid w:val="005B2E8A"/>
    <w:rsid w:val="005B4108"/>
    <w:rsid w:val="005B5FB1"/>
    <w:rsid w:val="005B6EB0"/>
    <w:rsid w:val="005B71FE"/>
    <w:rsid w:val="005C066E"/>
    <w:rsid w:val="005C16B4"/>
    <w:rsid w:val="005C3AFA"/>
    <w:rsid w:val="005C47CB"/>
    <w:rsid w:val="005C4914"/>
    <w:rsid w:val="005C54F2"/>
    <w:rsid w:val="005C680B"/>
    <w:rsid w:val="005D0243"/>
    <w:rsid w:val="005D11DD"/>
    <w:rsid w:val="005D1623"/>
    <w:rsid w:val="005D1809"/>
    <w:rsid w:val="005D3039"/>
    <w:rsid w:val="005D3BCA"/>
    <w:rsid w:val="005D4D13"/>
    <w:rsid w:val="005D5C29"/>
    <w:rsid w:val="005D62D3"/>
    <w:rsid w:val="005D7465"/>
    <w:rsid w:val="005D7C89"/>
    <w:rsid w:val="005E06A7"/>
    <w:rsid w:val="005E10F4"/>
    <w:rsid w:val="005E234B"/>
    <w:rsid w:val="005E2B2B"/>
    <w:rsid w:val="005E36AA"/>
    <w:rsid w:val="005E5E6E"/>
    <w:rsid w:val="005E5F0E"/>
    <w:rsid w:val="005E5F7A"/>
    <w:rsid w:val="005E78CE"/>
    <w:rsid w:val="005F0603"/>
    <w:rsid w:val="005F1403"/>
    <w:rsid w:val="005F489F"/>
    <w:rsid w:val="005F4C05"/>
    <w:rsid w:val="005F50F4"/>
    <w:rsid w:val="005F5C48"/>
    <w:rsid w:val="005F60B2"/>
    <w:rsid w:val="005F6EB5"/>
    <w:rsid w:val="005F7412"/>
    <w:rsid w:val="005F76F1"/>
    <w:rsid w:val="00601374"/>
    <w:rsid w:val="00601778"/>
    <w:rsid w:val="00601782"/>
    <w:rsid w:val="00602557"/>
    <w:rsid w:val="00602BD4"/>
    <w:rsid w:val="00603ABA"/>
    <w:rsid w:val="00603E85"/>
    <w:rsid w:val="00603EE5"/>
    <w:rsid w:val="00605EBB"/>
    <w:rsid w:val="0060762F"/>
    <w:rsid w:val="0061086D"/>
    <w:rsid w:val="00615373"/>
    <w:rsid w:val="00616299"/>
    <w:rsid w:val="00617319"/>
    <w:rsid w:val="00617A22"/>
    <w:rsid w:val="006200E4"/>
    <w:rsid w:val="00621CA0"/>
    <w:rsid w:val="006230D8"/>
    <w:rsid w:val="00625167"/>
    <w:rsid w:val="00625B13"/>
    <w:rsid w:val="00625C34"/>
    <w:rsid w:val="00626D9A"/>
    <w:rsid w:val="0062791E"/>
    <w:rsid w:val="006328F5"/>
    <w:rsid w:val="00632B97"/>
    <w:rsid w:val="00633A3B"/>
    <w:rsid w:val="00633E80"/>
    <w:rsid w:val="00635500"/>
    <w:rsid w:val="0063618C"/>
    <w:rsid w:val="006377A5"/>
    <w:rsid w:val="00637B57"/>
    <w:rsid w:val="006402BB"/>
    <w:rsid w:val="00640796"/>
    <w:rsid w:val="00640EFD"/>
    <w:rsid w:val="00643B8B"/>
    <w:rsid w:val="00644349"/>
    <w:rsid w:val="0064468D"/>
    <w:rsid w:val="006447FB"/>
    <w:rsid w:val="00645E75"/>
    <w:rsid w:val="006466DD"/>
    <w:rsid w:val="0064751F"/>
    <w:rsid w:val="006505B2"/>
    <w:rsid w:val="00650632"/>
    <w:rsid w:val="006509E1"/>
    <w:rsid w:val="00650D8B"/>
    <w:rsid w:val="0065148E"/>
    <w:rsid w:val="006516FE"/>
    <w:rsid w:val="00651C89"/>
    <w:rsid w:val="00653CFF"/>
    <w:rsid w:val="006543A7"/>
    <w:rsid w:val="00654E30"/>
    <w:rsid w:val="00656667"/>
    <w:rsid w:val="00660727"/>
    <w:rsid w:val="00660D48"/>
    <w:rsid w:val="0066111D"/>
    <w:rsid w:val="006618D8"/>
    <w:rsid w:val="006629DD"/>
    <w:rsid w:val="00662A00"/>
    <w:rsid w:val="00663174"/>
    <w:rsid w:val="00664588"/>
    <w:rsid w:val="006655FB"/>
    <w:rsid w:val="00667584"/>
    <w:rsid w:val="006675CC"/>
    <w:rsid w:val="00670377"/>
    <w:rsid w:val="00671028"/>
    <w:rsid w:val="006710BE"/>
    <w:rsid w:val="00671CA8"/>
    <w:rsid w:val="00671F44"/>
    <w:rsid w:val="0067228E"/>
    <w:rsid w:val="006730A4"/>
    <w:rsid w:val="00674090"/>
    <w:rsid w:val="00675DE8"/>
    <w:rsid w:val="006769C7"/>
    <w:rsid w:val="00677678"/>
    <w:rsid w:val="00677739"/>
    <w:rsid w:val="00680F53"/>
    <w:rsid w:val="006814AA"/>
    <w:rsid w:val="00681C0F"/>
    <w:rsid w:val="006823C9"/>
    <w:rsid w:val="00682AAA"/>
    <w:rsid w:val="00684781"/>
    <w:rsid w:val="0068487D"/>
    <w:rsid w:val="00684B07"/>
    <w:rsid w:val="00685366"/>
    <w:rsid w:val="006856F1"/>
    <w:rsid w:val="00685DC3"/>
    <w:rsid w:val="0068641A"/>
    <w:rsid w:val="006923A3"/>
    <w:rsid w:val="00692C09"/>
    <w:rsid w:val="00696225"/>
    <w:rsid w:val="00696E4D"/>
    <w:rsid w:val="00696F3C"/>
    <w:rsid w:val="00697479"/>
    <w:rsid w:val="006A0C5C"/>
    <w:rsid w:val="006A13B0"/>
    <w:rsid w:val="006A13F2"/>
    <w:rsid w:val="006A26A0"/>
    <w:rsid w:val="006A4076"/>
    <w:rsid w:val="006A4486"/>
    <w:rsid w:val="006A645D"/>
    <w:rsid w:val="006A757E"/>
    <w:rsid w:val="006A77B8"/>
    <w:rsid w:val="006A7D4C"/>
    <w:rsid w:val="006B015A"/>
    <w:rsid w:val="006B068E"/>
    <w:rsid w:val="006B1E3B"/>
    <w:rsid w:val="006B23D0"/>
    <w:rsid w:val="006B504D"/>
    <w:rsid w:val="006B76D9"/>
    <w:rsid w:val="006B7A72"/>
    <w:rsid w:val="006C00C2"/>
    <w:rsid w:val="006C147B"/>
    <w:rsid w:val="006C2673"/>
    <w:rsid w:val="006C26D3"/>
    <w:rsid w:val="006C31C1"/>
    <w:rsid w:val="006C38CF"/>
    <w:rsid w:val="006C3EAD"/>
    <w:rsid w:val="006C4A06"/>
    <w:rsid w:val="006C6CBE"/>
    <w:rsid w:val="006C722E"/>
    <w:rsid w:val="006C76D2"/>
    <w:rsid w:val="006D0186"/>
    <w:rsid w:val="006D0531"/>
    <w:rsid w:val="006D08B1"/>
    <w:rsid w:val="006D5D7E"/>
    <w:rsid w:val="006D6195"/>
    <w:rsid w:val="006D7AF3"/>
    <w:rsid w:val="006E1299"/>
    <w:rsid w:val="006E17F0"/>
    <w:rsid w:val="006E1FC9"/>
    <w:rsid w:val="006E3235"/>
    <w:rsid w:val="006E3F95"/>
    <w:rsid w:val="006E46B1"/>
    <w:rsid w:val="006E5A00"/>
    <w:rsid w:val="006E747E"/>
    <w:rsid w:val="006E78EB"/>
    <w:rsid w:val="006E7A03"/>
    <w:rsid w:val="006F1D2D"/>
    <w:rsid w:val="006F2428"/>
    <w:rsid w:val="006F285E"/>
    <w:rsid w:val="006F2E54"/>
    <w:rsid w:val="006F42D4"/>
    <w:rsid w:val="006F51CD"/>
    <w:rsid w:val="006F65CE"/>
    <w:rsid w:val="006F6EE3"/>
    <w:rsid w:val="006F73D2"/>
    <w:rsid w:val="006F765C"/>
    <w:rsid w:val="00700069"/>
    <w:rsid w:val="007007CA"/>
    <w:rsid w:val="0070370A"/>
    <w:rsid w:val="00704D43"/>
    <w:rsid w:val="00704F3F"/>
    <w:rsid w:val="00706229"/>
    <w:rsid w:val="00706FB2"/>
    <w:rsid w:val="00710E05"/>
    <w:rsid w:val="00712492"/>
    <w:rsid w:val="00713B7F"/>
    <w:rsid w:val="007147AC"/>
    <w:rsid w:val="007147EF"/>
    <w:rsid w:val="00716D7D"/>
    <w:rsid w:val="00716F4D"/>
    <w:rsid w:val="00720638"/>
    <w:rsid w:val="00721ED0"/>
    <w:rsid w:val="0072303A"/>
    <w:rsid w:val="007252FB"/>
    <w:rsid w:val="00725686"/>
    <w:rsid w:val="00725C70"/>
    <w:rsid w:val="00725CB3"/>
    <w:rsid w:val="00726803"/>
    <w:rsid w:val="00727A19"/>
    <w:rsid w:val="0073101C"/>
    <w:rsid w:val="007323E5"/>
    <w:rsid w:val="0073790D"/>
    <w:rsid w:val="007379A2"/>
    <w:rsid w:val="0074048C"/>
    <w:rsid w:val="00741F64"/>
    <w:rsid w:val="007444D7"/>
    <w:rsid w:val="00744758"/>
    <w:rsid w:val="007448B4"/>
    <w:rsid w:val="007463A1"/>
    <w:rsid w:val="00746B0D"/>
    <w:rsid w:val="007471FB"/>
    <w:rsid w:val="00747D95"/>
    <w:rsid w:val="00750552"/>
    <w:rsid w:val="00750A17"/>
    <w:rsid w:val="0075218F"/>
    <w:rsid w:val="00752F16"/>
    <w:rsid w:val="0075345E"/>
    <w:rsid w:val="00753C1A"/>
    <w:rsid w:val="00755C16"/>
    <w:rsid w:val="00757391"/>
    <w:rsid w:val="00757975"/>
    <w:rsid w:val="00761F22"/>
    <w:rsid w:val="00761F8E"/>
    <w:rsid w:val="007639FE"/>
    <w:rsid w:val="00766562"/>
    <w:rsid w:val="007668D8"/>
    <w:rsid w:val="00766B7E"/>
    <w:rsid w:val="00767403"/>
    <w:rsid w:val="0076759D"/>
    <w:rsid w:val="007716E5"/>
    <w:rsid w:val="00771D7E"/>
    <w:rsid w:val="0077224C"/>
    <w:rsid w:val="00772BD1"/>
    <w:rsid w:val="00774E48"/>
    <w:rsid w:val="007753D3"/>
    <w:rsid w:val="00780799"/>
    <w:rsid w:val="00780C75"/>
    <w:rsid w:val="007829D9"/>
    <w:rsid w:val="00784E87"/>
    <w:rsid w:val="0078564B"/>
    <w:rsid w:val="007856E8"/>
    <w:rsid w:val="007857CA"/>
    <w:rsid w:val="00785AFB"/>
    <w:rsid w:val="00786473"/>
    <w:rsid w:val="00786583"/>
    <w:rsid w:val="00790229"/>
    <w:rsid w:val="00790933"/>
    <w:rsid w:val="00791B85"/>
    <w:rsid w:val="007937E7"/>
    <w:rsid w:val="00794B7B"/>
    <w:rsid w:val="00795308"/>
    <w:rsid w:val="00795635"/>
    <w:rsid w:val="00797BB7"/>
    <w:rsid w:val="007A04A0"/>
    <w:rsid w:val="007A13B6"/>
    <w:rsid w:val="007A1690"/>
    <w:rsid w:val="007A1AE0"/>
    <w:rsid w:val="007A35C3"/>
    <w:rsid w:val="007A45EC"/>
    <w:rsid w:val="007A487C"/>
    <w:rsid w:val="007A4F27"/>
    <w:rsid w:val="007A6A33"/>
    <w:rsid w:val="007A7AF1"/>
    <w:rsid w:val="007B0EBE"/>
    <w:rsid w:val="007B29A8"/>
    <w:rsid w:val="007B33D6"/>
    <w:rsid w:val="007B475E"/>
    <w:rsid w:val="007B4873"/>
    <w:rsid w:val="007B5559"/>
    <w:rsid w:val="007B663F"/>
    <w:rsid w:val="007B71CF"/>
    <w:rsid w:val="007B7939"/>
    <w:rsid w:val="007C1D0A"/>
    <w:rsid w:val="007C2716"/>
    <w:rsid w:val="007C2854"/>
    <w:rsid w:val="007C2AC0"/>
    <w:rsid w:val="007C3381"/>
    <w:rsid w:val="007C3C1D"/>
    <w:rsid w:val="007C4648"/>
    <w:rsid w:val="007C48B8"/>
    <w:rsid w:val="007C5EEB"/>
    <w:rsid w:val="007C79AC"/>
    <w:rsid w:val="007D10DC"/>
    <w:rsid w:val="007D41D4"/>
    <w:rsid w:val="007D440C"/>
    <w:rsid w:val="007D452A"/>
    <w:rsid w:val="007D5DE4"/>
    <w:rsid w:val="007E14CA"/>
    <w:rsid w:val="007E378F"/>
    <w:rsid w:val="007E3CEB"/>
    <w:rsid w:val="007E6A9F"/>
    <w:rsid w:val="007E6FBA"/>
    <w:rsid w:val="007E75C5"/>
    <w:rsid w:val="007F07E1"/>
    <w:rsid w:val="007F1082"/>
    <w:rsid w:val="007F2681"/>
    <w:rsid w:val="007F30D6"/>
    <w:rsid w:val="007F4BD5"/>
    <w:rsid w:val="007F5058"/>
    <w:rsid w:val="007F51DD"/>
    <w:rsid w:val="007F54A7"/>
    <w:rsid w:val="007F5950"/>
    <w:rsid w:val="007F77E1"/>
    <w:rsid w:val="00802677"/>
    <w:rsid w:val="008032AD"/>
    <w:rsid w:val="008056C7"/>
    <w:rsid w:val="00806330"/>
    <w:rsid w:val="008065BF"/>
    <w:rsid w:val="00807585"/>
    <w:rsid w:val="00807832"/>
    <w:rsid w:val="00812BFF"/>
    <w:rsid w:val="00814F4D"/>
    <w:rsid w:val="008152A0"/>
    <w:rsid w:val="00815822"/>
    <w:rsid w:val="00820A09"/>
    <w:rsid w:val="00821734"/>
    <w:rsid w:val="00825184"/>
    <w:rsid w:val="008251D4"/>
    <w:rsid w:val="00825455"/>
    <w:rsid w:val="0083019A"/>
    <w:rsid w:val="00834D38"/>
    <w:rsid w:val="00836013"/>
    <w:rsid w:val="008369A3"/>
    <w:rsid w:val="00841801"/>
    <w:rsid w:val="00842A2A"/>
    <w:rsid w:val="00843EE8"/>
    <w:rsid w:val="0084557F"/>
    <w:rsid w:val="0084590C"/>
    <w:rsid w:val="00846BD3"/>
    <w:rsid w:val="00854A54"/>
    <w:rsid w:val="008550A2"/>
    <w:rsid w:val="00855832"/>
    <w:rsid w:val="0085597E"/>
    <w:rsid w:val="00855FC7"/>
    <w:rsid w:val="00857D3A"/>
    <w:rsid w:val="00860FD5"/>
    <w:rsid w:val="0086215A"/>
    <w:rsid w:val="008639D3"/>
    <w:rsid w:val="00863D0C"/>
    <w:rsid w:val="00863F2A"/>
    <w:rsid w:val="0086625E"/>
    <w:rsid w:val="0087022A"/>
    <w:rsid w:val="00870287"/>
    <w:rsid w:val="00870825"/>
    <w:rsid w:val="0087096E"/>
    <w:rsid w:val="00870FA6"/>
    <w:rsid w:val="0087111C"/>
    <w:rsid w:val="0087280C"/>
    <w:rsid w:val="0087297F"/>
    <w:rsid w:val="00873425"/>
    <w:rsid w:val="00873C53"/>
    <w:rsid w:val="00874990"/>
    <w:rsid w:val="00877272"/>
    <w:rsid w:val="00877BF5"/>
    <w:rsid w:val="008807CE"/>
    <w:rsid w:val="008835CA"/>
    <w:rsid w:val="0088490B"/>
    <w:rsid w:val="00886994"/>
    <w:rsid w:val="00886E6F"/>
    <w:rsid w:val="00891D51"/>
    <w:rsid w:val="008932A8"/>
    <w:rsid w:val="00894B86"/>
    <w:rsid w:val="0089706B"/>
    <w:rsid w:val="008A110E"/>
    <w:rsid w:val="008A13FA"/>
    <w:rsid w:val="008A182C"/>
    <w:rsid w:val="008A38BC"/>
    <w:rsid w:val="008A4470"/>
    <w:rsid w:val="008A4525"/>
    <w:rsid w:val="008A5C32"/>
    <w:rsid w:val="008A7530"/>
    <w:rsid w:val="008A7E5E"/>
    <w:rsid w:val="008B03E9"/>
    <w:rsid w:val="008B1A30"/>
    <w:rsid w:val="008B3C1A"/>
    <w:rsid w:val="008B4FFC"/>
    <w:rsid w:val="008B54D7"/>
    <w:rsid w:val="008B56BD"/>
    <w:rsid w:val="008C17AB"/>
    <w:rsid w:val="008C3631"/>
    <w:rsid w:val="008C3EBF"/>
    <w:rsid w:val="008D0A2F"/>
    <w:rsid w:val="008D1CA3"/>
    <w:rsid w:val="008D267D"/>
    <w:rsid w:val="008D2A93"/>
    <w:rsid w:val="008D2FA8"/>
    <w:rsid w:val="008D34D9"/>
    <w:rsid w:val="008D378D"/>
    <w:rsid w:val="008D3B7C"/>
    <w:rsid w:val="008D4179"/>
    <w:rsid w:val="008D45AD"/>
    <w:rsid w:val="008D5F9D"/>
    <w:rsid w:val="008D6348"/>
    <w:rsid w:val="008D7673"/>
    <w:rsid w:val="008D7A9C"/>
    <w:rsid w:val="008E1C2C"/>
    <w:rsid w:val="008E291D"/>
    <w:rsid w:val="008E320E"/>
    <w:rsid w:val="008E4609"/>
    <w:rsid w:val="008E5310"/>
    <w:rsid w:val="008E5EFD"/>
    <w:rsid w:val="008E5FAD"/>
    <w:rsid w:val="008E649E"/>
    <w:rsid w:val="008E712E"/>
    <w:rsid w:val="008E7DE3"/>
    <w:rsid w:val="008F0093"/>
    <w:rsid w:val="008F0736"/>
    <w:rsid w:val="008F38EA"/>
    <w:rsid w:val="008F3DCD"/>
    <w:rsid w:val="008F6925"/>
    <w:rsid w:val="008F6B8E"/>
    <w:rsid w:val="008F6C6E"/>
    <w:rsid w:val="008F7420"/>
    <w:rsid w:val="008F7746"/>
    <w:rsid w:val="008F7DBC"/>
    <w:rsid w:val="00900ED5"/>
    <w:rsid w:val="009011EC"/>
    <w:rsid w:val="009019F4"/>
    <w:rsid w:val="00902316"/>
    <w:rsid w:val="0090541D"/>
    <w:rsid w:val="00905D90"/>
    <w:rsid w:val="0091008A"/>
    <w:rsid w:val="0091220C"/>
    <w:rsid w:val="0091235C"/>
    <w:rsid w:val="00912904"/>
    <w:rsid w:val="00913404"/>
    <w:rsid w:val="00913443"/>
    <w:rsid w:val="00913552"/>
    <w:rsid w:val="00913ECC"/>
    <w:rsid w:val="00915D0A"/>
    <w:rsid w:val="00915FF3"/>
    <w:rsid w:val="009166A7"/>
    <w:rsid w:val="00920242"/>
    <w:rsid w:val="00920B50"/>
    <w:rsid w:val="00921BBA"/>
    <w:rsid w:val="00922ADE"/>
    <w:rsid w:val="009233C7"/>
    <w:rsid w:val="00923BFF"/>
    <w:rsid w:val="00925D8A"/>
    <w:rsid w:val="009261BF"/>
    <w:rsid w:val="0092649D"/>
    <w:rsid w:val="00926F28"/>
    <w:rsid w:val="009301E4"/>
    <w:rsid w:val="00930D70"/>
    <w:rsid w:val="009324B6"/>
    <w:rsid w:val="00932A9D"/>
    <w:rsid w:val="0093317D"/>
    <w:rsid w:val="009340BC"/>
    <w:rsid w:val="00934E60"/>
    <w:rsid w:val="00936F12"/>
    <w:rsid w:val="0094161D"/>
    <w:rsid w:val="00941DC8"/>
    <w:rsid w:val="00945A21"/>
    <w:rsid w:val="00952B7C"/>
    <w:rsid w:val="009536BA"/>
    <w:rsid w:val="00953999"/>
    <w:rsid w:val="00954060"/>
    <w:rsid w:val="00954084"/>
    <w:rsid w:val="0095717A"/>
    <w:rsid w:val="00960A78"/>
    <w:rsid w:val="009614C3"/>
    <w:rsid w:val="00961D41"/>
    <w:rsid w:val="0096340F"/>
    <w:rsid w:val="0096443C"/>
    <w:rsid w:val="0096476D"/>
    <w:rsid w:val="00965EAD"/>
    <w:rsid w:val="00966061"/>
    <w:rsid w:val="00966D4C"/>
    <w:rsid w:val="00966D5F"/>
    <w:rsid w:val="009674BE"/>
    <w:rsid w:val="0097003C"/>
    <w:rsid w:val="009724CD"/>
    <w:rsid w:val="00973649"/>
    <w:rsid w:val="00974C6C"/>
    <w:rsid w:val="00976557"/>
    <w:rsid w:val="0097741C"/>
    <w:rsid w:val="00977562"/>
    <w:rsid w:val="009775E5"/>
    <w:rsid w:val="0097795F"/>
    <w:rsid w:val="009806BD"/>
    <w:rsid w:val="00980927"/>
    <w:rsid w:val="009828B4"/>
    <w:rsid w:val="00982F4D"/>
    <w:rsid w:val="00983D83"/>
    <w:rsid w:val="00985FB9"/>
    <w:rsid w:val="00986551"/>
    <w:rsid w:val="0099064A"/>
    <w:rsid w:val="00990809"/>
    <w:rsid w:val="00990CEB"/>
    <w:rsid w:val="00990D9E"/>
    <w:rsid w:val="00991F6C"/>
    <w:rsid w:val="0099261B"/>
    <w:rsid w:val="00993FD1"/>
    <w:rsid w:val="009947DB"/>
    <w:rsid w:val="00995000"/>
    <w:rsid w:val="00995A4B"/>
    <w:rsid w:val="00997BDE"/>
    <w:rsid w:val="00997CB6"/>
    <w:rsid w:val="009A0DA0"/>
    <w:rsid w:val="009A1268"/>
    <w:rsid w:val="009A17AA"/>
    <w:rsid w:val="009A2FE2"/>
    <w:rsid w:val="009A44CF"/>
    <w:rsid w:val="009A453E"/>
    <w:rsid w:val="009A697D"/>
    <w:rsid w:val="009A7D69"/>
    <w:rsid w:val="009B1437"/>
    <w:rsid w:val="009B3A09"/>
    <w:rsid w:val="009B3BEB"/>
    <w:rsid w:val="009B49E6"/>
    <w:rsid w:val="009B6178"/>
    <w:rsid w:val="009C290E"/>
    <w:rsid w:val="009C48AA"/>
    <w:rsid w:val="009C53F4"/>
    <w:rsid w:val="009D2E6C"/>
    <w:rsid w:val="009D5366"/>
    <w:rsid w:val="009D5B2F"/>
    <w:rsid w:val="009D6249"/>
    <w:rsid w:val="009D6594"/>
    <w:rsid w:val="009D7643"/>
    <w:rsid w:val="009E12C0"/>
    <w:rsid w:val="009E2214"/>
    <w:rsid w:val="009E3F6E"/>
    <w:rsid w:val="009E3F8B"/>
    <w:rsid w:val="009E4424"/>
    <w:rsid w:val="009E562F"/>
    <w:rsid w:val="009E5FC1"/>
    <w:rsid w:val="009E6666"/>
    <w:rsid w:val="009E782C"/>
    <w:rsid w:val="009F0213"/>
    <w:rsid w:val="009F0DD2"/>
    <w:rsid w:val="009F29D6"/>
    <w:rsid w:val="009F4184"/>
    <w:rsid w:val="009F61B2"/>
    <w:rsid w:val="00A00501"/>
    <w:rsid w:val="00A00AE9"/>
    <w:rsid w:val="00A015FD"/>
    <w:rsid w:val="00A01DBE"/>
    <w:rsid w:val="00A06208"/>
    <w:rsid w:val="00A07151"/>
    <w:rsid w:val="00A11006"/>
    <w:rsid w:val="00A124DF"/>
    <w:rsid w:val="00A140B8"/>
    <w:rsid w:val="00A16397"/>
    <w:rsid w:val="00A16C28"/>
    <w:rsid w:val="00A1769A"/>
    <w:rsid w:val="00A17C8F"/>
    <w:rsid w:val="00A17CA9"/>
    <w:rsid w:val="00A17F0C"/>
    <w:rsid w:val="00A206D7"/>
    <w:rsid w:val="00A21E8B"/>
    <w:rsid w:val="00A220A1"/>
    <w:rsid w:val="00A223C2"/>
    <w:rsid w:val="00A246EE"/>
    <w:rsid w:val="00A24EB6"/>
    <w:rsid w:val="00A251A1"/>
    <w:rsid w:val="00A2529C"/>
    <w:rsid w:val="00A25E47"/>
    <w:rsid w:val="00A27256"/>
    <w:rsid w:val="00A27724"/>
    <w:rsid w:val="00A30717"/>
    <w:rsid w:val="00A33072"/>
    <w:rsid w:val="00A3320E"/>
    <w:rsid w:val="00A3561B"/>
    <w:rsid w:val="00A37371"/>
    <w:rsid w:val="00A40343"/>
    <w:rsid w:val="00A4051A"/>
    <w:rsid w:val="00A40760"/>
    <w:rsid w:val="00A415F3"/>
    <w:rsid w:val="00A421B7"/>
    <w:rsid w:val="00A429DC"/>
    <w:rsid w:val="00A44B23"/>
    <w:rsid w:val="00A44FCA"/>
    <w:rsid w:val="00A4547C"/>
    <w:rsid w:val="00A45682"/>
    <w:rsid w:val="00A47E06"/>
    <w:rsid w:val="00A50B69"/>
    <w:rsid w:val="00A50D84"/>
    <w:rsid w:val="00A51DDE"/>
    <w:rsid w:val="00A52952"/>
    <w:rsid w:val="00A52B6D"/>
    <w:rsid w:val="00A5615C"/>
    <w:rsid w:val="00A60A98"/>
    <w:rsid w:val="00A619FF"/>
    <w:rsid w:val="00A6232B"/>
    <w:rsid w:val="00A62ECA"/>
    <w:rsid w:val="00A63CB1"/>
    <w:rsid w:val="00A65348"/>
    <w:rsid w:val="00A662CA"/>
    <w:rsid w:val="00A66CC6"/>
    <w:rsid w:val="00A70FD9"/>
    <w:rsid w:val="00A71155"/>
    <w:rsid w:val="00A71750"/>
    <w:rsid w:val="00A72130"/>
    <w:rsid w:val="00A73684"/>
    <w:rsid w:val="00A74B59"/>
    <w:rsid w:val="00A76C55"/>
    <w:rsid w:val="00A76F4A"/>
    <w:rsid w:val="00A773C2"/>
    <w:rsid w:val="00A77F07"/>
    <w:rsid w:val="00A81823"/>
    <w:rsid w:val="00A84D59"/>
    <w:rsid w:val="00A87860"/>
    <w:rsid w:val="00A91051"/>
    <w:rsid w:val="00A922A7"/>
    <w:rsid w:val="00A92651"/>
    <w:rsid w:val="00A92F76"/>
    <w:rsid w:val="00A93283"/>
    <w:rsid w:val="00A94898"/>
    <w:rsid w:val="00A94B00"/>
    <w:rsid w:val="00A94B27"/>
    <w:rsid w:val="00A95687"/>
    <w:rsid w:val="00A9668C"/>
    <w:rsid w:val="00A9680C"/>
    <w:rsid w:val="00A97031"/>
    <w:rsid w:val="00A97C2E"/>
    <w:rsid w:val="00A97E05"/>
    <w:rsid w:val="00AA1ABB"/>
    <w:rsid w:val="00AA1C23"/>
    <w:rsid w:val="00AA3801"/>
    <w:rsid w:val="00AA4C43"/>
    <w:rsid w:val="00AA64AF"/>
    <w:rsid w:val="00AA672B"/>
    <w:rsid w:val="00AA6CB9"/>
    <w:rsid w:val="00AA6E44"/>
    <w:rsid w:val="00AB2D6F"/>
    <w:rsid w:val="00AB3145"/>
    <w:rsid w:val="00AB4A16"/>
    <w:rsid w:val="00AB53D5"/>
    <w:rsid w:val="00AB5DBA"/>
    <w:rsid w:val="00AB6A77"/>
    <w:rsid w:val="00AB720B"/>
    <w:rsid w:val="00AC2A9C"/>
    <w:rsid w:val="00AC3302"/>
    <w:rsid w:val="00AC3876"/>
    <w:rsid w:val="00AC3B85"/>
    <w:rsid w:val="00AC3EFD"/>
    <w:rsid w:val="00AC6AD6"/>
    <w:rsid w:val="00AC6E70"/>
    <w:rsid w:val="00AD20C4"/>
    <w:rsid w:val="00AD3899"/>
    <w:rsid w:val="00AD3FC7"/>
    <w:rsid w:val="00AD60D9"/>
    <w:rsid w:val="00AD69C9"/>
    <w:rsid w:val="00AD7002"/>
    <w:rsid w:val="00AD72EB"/>
    <w:rsid w:val="00AE0201"/>
    <w:rsid w:val="00AE02A9"/>
    <w:rsid w:val="00AE0A5A"/>
    <w:rsid w:val="00AE104D"/>
    <w:rsid w:val="00AE161C"/>
    <w:rsid w:val="00AE26E6"/>
    <w:rsid w:val="00AE28B0"/>
    <w:rsid w:val="00AE62FB"/>
    <w:rsid w:val="00AE67E5"/>
    <w:rsid w:val="00AE6AD0"/>
    <w:rsid w:val="00AE75F1"/>
    <w:rsid w:val="00AF01EF"/>
    <w:rsid w:val="00AF22E0"/>
    <w:rsid w:val="00AF2438"/>
    <w:rsid w:val="00AF262F"/>
    <w:rsid w:val="00AF265F"/>
    <w:rsid w:val="00AF32E0"/>
    <w:rsid w:val="00AF3781"/>
    <w:rsid w:val="00B0014A"/>
    <w:rsid w:val="00B00AF0"/>
    <w:rsid w:val="00B03EDA"/>
    <w:rsid w:val="00B0422A"/>
    <w:rsid w:val="00B0488D"/>
    <w:rsid w:val="00B04E1D"/>
    <w:rsid w:val="00B12FAE"/>
    <w:rsid w:val="00B13683"/>
    <w:rsid w:val="00B13CBF"/>
    <w:rsid w:val="00B145BA"/>
    <w:rsid w:val="00B15648"/>
    <w:rsid w:val="00B16FE1"/>
    <w:rsid w:val="00B2088A"/>
    <w:rsid w:val="00B21CF8"/>
    <w:rsid w:val="00B2366B"/>
    <w:rsid w:val="00B23CFA"/>
    <w:rsid w:val="00B24A86"/>
    <w:rsid w:val="00B2652E"/>
    <w:rsid w:val="00B274E3"/>
    <w:rsid w:val="00B313CB"/>
    <w:rsid w:val="00B32099"/>
    <w:rsid w:val="00B32735"/>
    <w:rsid w:val="00B34D82"/>
    <w:rsid w:val="00B36263"/>
    <w:rsid w:val="00B36617"/>
    <w:rsid w:val="00B37B60"/>
    <w:rsid w:val="00B438A2"/>
    <w:rsid w:val="00B447C1"/>
    <w:rsid w:val="00B4529F"/>
    <w:rsid w:val="00B469A4"/>
    <w:rsid w:val="00B52597"/>
    <w:rsid w:val="00B53FB6"/>
    <w:rsid w:val="00B54AA4"/>
    <w:rsid w:val="00B560EC"/>
    <w:rsid w:val="00B5678D"/>
    <w:rsid w:val="00B57849"/>
    <w:rsid w:val="00B61E76"/>
    <w:rsid w:val="00B622A7"/>
    <w:rsid w:val="00B62BB9"/>
    <w:rsid w:val="00B62C60"/>
    <w:rsid w:val="00B63231"/>
    <w:rsid w:val="00B6326C"/>
    <w:rsid w:val="00B633DB"/>
    <w:rsid w:val="00B63588"/>
    <w:rsid w:val="00B6390A"/>
    <w:rsid w:val="00B64A3F"/>
    <w:rsid w:val="00B64A69"/>
    <w:rsid w:val="00B64AE3"/>
    <w:rsid w:val="00B65AF8"/>
    <w:rsid w:val="00B677B3"/>
    <w:rsid w:val="00B70B47"/>
    <w:rsid w:val="00B7155D"/>
    <w:rsid w:val="00B71B85"/>
    <w:rsid w:val="00B71C5F"/>
    <w:rsid w:val="00B729EF"/>
    <w:rsid w:val="00B72EEC"/>
    <w:rsid w:val="00B73BEF"/>
    <w:rsid w:val="00B752E8"/>
    <w:rsid w:val="00B80E7E"/>
    <w:rsid w:val="00B815B5"/>
    <w:rsid w:val="00B83CEA"/>
    <w:rsid w:val="00B85704"/>
    <w:rsid w:val="00B85B48"/>
    <w:rsid w:val="00B8715D"/>
    <w:rsid w:val="00B87BA7"/>
    <w:rsid w:val="00B93A40"/>
    <w:rsid w:val="00B94B9B"/>
    <w:rsid w:val="00B95315"/>
    <w:rsid w:val="00B953CD"/>
    <w:rsid w:val="00B955F6"/>
    <w:rsid w:val="00BA02C4"/>
    <w:rsid w:val="00BA06DE"/>
    <w:rsid w:val="00BA0BA5"/>
    <w:rsid w:val="00BA1603"/>
    <w:rsid w:val="00BA2610"/>
    <w:rsid w:val="00BA2A23"/>
    <w:rsid w:val="00BA2C35"/>
    <w:rsid w:val="00BA3392"/>
    <w:rsid w:val="00BA4059"/>
    <w:rsid w:val="00BA573A"/>
    <w:rsid w:val="00BA5D1B"/>
    <w:rsid w:val="00BA5D96"/>
    <w:rsid w:val="00BA662A"/>
    <w:rsid w:val="00BA6720"/>
    <w:rsid w:val="00BB03FC"/>
    <w:rsid w:val="00BB0C89"/>
    <w:rsid w:val="00BB1F27"/>
    <w:rsid w:val="00BB29A0"/>
    <w:rsid w:val="00BB7E4E"/>
    <w:rsid w:val="00BB7F5E"/>
    <w:rsid w:val="00BC0A8E"/>
    <w:rsid w:val="00BC1AEF"/>
    <w:rsid w:val="00BC21FF"/>
    <w:rsid w:val="00BC38C0"/>
    <w:rsid w:val="00BC3CCC"/>
    <w:rsid w:val="00BC429B"/>
    <w:rsid w:val="00BC4771"/>
    <w:rsid w:val="00BC63E9"/>
    <w:rsid w:val="00BC66EC"/>
    <w:rsid w:val="00BC6886"/>
    <w:rsid w:val="00BC6E60"/>
    <w:rsid w:val="00BD0B84"/>
    <w:rsid w:val="00BD2868"/>
    <w:rsid w:val="00BD3828"/>
    <w:rsid w:val="00BD3C3F"/>
    <w:rsid w:val="00BD4E36"/>
    <w:rsid w:val="00BD58FB"/>
    <w:rsid w:val="00BD5CE6"/>
    <w:rsid w:val="00BE0E79"/>
    <w:rsid w:val="00BE1549"/>
    <w:rsid w:val="00BE1689"/>
    <w:rsid w:val="00BE1E3D"/>
    <w:rsid w:val="00BE23C0"/>
    <w:rsid w:val="00BE2553"/>
    <w:rsid w:val="00BE6654"/>
    <w:rsid w:val="00BE7CEB"/>
    <w:rsid w:val="00BF1130"/>
    <w:rsid w:val="00BF237E"/>
    <w:rsid w:val="00BF252F"/>
    <w:rsid w:val="00BF2A80"/>
    <w:rsid w:val="00BF2DD6"/>
    <w:rsid w:val="00BF2FD3"/>
    <w:rsid w:val="00BF3A9B"/>
    <w:rsid w:val="00BF3C14"/>
    <w:rsid w:val="00BF5DB7"/>
    <w:rsid w:val="00C0036B"/>
    <w:rsid w:val="00C02CE0"/>
    <w:rsid w:val="00C035D4"/>
    <w:rsid w:val="00C05CEF"/>
    <w:rsid w:val="00C0668E"/>
    <w:rsid w:val="00C101F6"/>
    <w:rsid w:val="00C1315B"/>
    <w:rsid w:val="00C13DD4"/>
    <w:rsid w:val="00C13FD0"/>
    <w:rsid w:val="00C1445C"/>
    <w:rsid w:val="00C17655"/>
    <w:rsid w:val="00C2056C"/>
    <w:rsid w:val="00C2274B"/>
    <w:rsid w:val="00C230B3"/>
    <w:rsid w:val="00C2630F"/>
    <w:rsid w:val="00C26C49"/>
    <w:rsid w:val="00C26CCF"/>
    <w:rsid w:val="00C27CC6"/>
    <w:rsid w:val="00C27D5A"/>
    <w:rsid w:val="00C33549"/>
    <w:rsid w:val="00C33C1D"/>
    <w:rsid w:val="00C3482F"/>
    <w:rsid w:val="00C37DF1"/>
    <w:rsid w:val="00C43359"/>
    <w:rsid w:val="00C4487C"/>
    <w:rsid w:val="00C45893"/>
    <w:rsid w:val="00C45928"/>
    <w:rsid w:val="00C47460"/>
    <w:rsid w:val="00C52E70"/>
    <w:rsid w:val="00C54B33"/>
    <w:rsid w:val="00C54E41"/>
    <w:rsid w:val="00C56501"/>
    <w:rsid w:val="00C5780D"/>
    <w:rsid w:val="00C57BB8"/>
    <w:rsid w:val="00C57BDF"/>
    <w:rsid w:val="00C609E4"/>
    <w:rsid w:val="00C636D7"/>
    <w:rsid w:val="00C64D9E"/>
    <w:rsid w:val="00C654F3"/>
    <w:rsid w:val="00C66085"/>
    <w:rsid w:val="00C66F68"/>
    <w:rsid w:val="00C70F52"/>
    <w:rsid w:val="00C71DCD"/>
    <w:rsid w:val="00C720A9"/>
    <w:rsid w:val="00C75796"/>
    <w:rsid w:val="00C75C88"/>
    <w:rsid w:val="00C76992"/>
    <w:rsid w:val="00C7769A"/>
    <w:rsid w:val="00C77F95"/>
    <w:rsid w:val="00C80213"/>
    <w:rsid w:val="00C81676"/>
    <w:rsid w:val="00C84DC5"/>
    <w:rsid w:val="00C858AB"/>
    <w:rsid w:val="00C8633F"/>
    <w:rsid w:val="00C864FA"/>
    <w:rsid w:val="00C90C44"/>
    <w:rsid w:val="00C9234F"/>
    <w:rsid w:val="00C92C12"/>
    <w:rsid w:val="00C935A2"/>
    <w:rsid w:val="00C94144"/>
    <w:rsid w:val="00C9424C"/>
    <w:rsid w:val="00C94D63"/>
    <w:rsid w:val="00C95038"/>
    <w:rsid w:val="00C952E9"/>
    <w:rsid w:val="00C97242"/>
    <w:rsid w:val="00CA06A8"/>
    <w:rsid w:val="00CA1B1D"/>
    <w:rsid w:val="00CA30D0"/>
    <w:rsid w:val="00CA4273"/>
    <w:rsid w:val="00CA57EB"/>
    <w:rsid w:val="00CA5E08"/>
    <w:rsid w:val="00CA66A9"/>
    <w:rsid w:val="00CB015E"/>
    <w:rsid w:val="00CB1D10"/>
    <w:rsid w:val="00CB27A7"/>
    <w:rsid w:val="00CB289D"/>
    <w:rsid w:val="00CB434F"/>
    <w:rsid w:val="00CB49BC"/>
    <w:rsid w:val="00CB6C9A"/>
    <w:rsid w:val="00CB7288"/>
    <w:rsid w:val="00CC1141"/>
    <w:rsid w:val="00CC153D"/>
    <w:rsid w:val="00CC307B"/>
    <w:rsid w:val="00CC3F73"/>
    <w:rsid w:val="00CC3F83"/>
    <w:rsid w:val="00CC5012"/>
    <w:rsid w:val="00CC5B22"/>
    <w:rsid w:val="00CC6B05"/>
    <w:rsid w:val="00CC7B83"/>
    <w:rsid w:val="00CD01B4"/>
    <w:rsid w:val="00CD02A5"/>
    <w:rsid w:val="00CD1309"/>
    <w:rsid w:val="00CD1584"/>
    <w:rsid w:val="00CD2294"/>
    <w:rsid w:val="00CD58F0"/>
    <w:rsid w:val="00CE023F"/>
    <w:rsid w:val="00CE0D3A"/>
    <w:rsid w:val="00CE2496"/>
    <w:rsid w:val="00CE274E"/>
    <w:rsid w:val="00CE366D"/>
    <w:rsid w:val="00CE410A"/>
    <w:rsid w:val="00CE49A9"/>
    <w:rsid w:val="00CE6372"/>
    <w:rsid w:val="00CE6A41"/>
    <w:rsid w:val="00CE7DAA"/>
    <w:rsid w:val="00CF181E"/>
    <w:rsid w:val="00CF31F1"/>
    <w:rsid w:val="00CF348F"/>
    <w:rsid w:val="00CF36D7"/>
    <w:rsid w:val="00CF3D7B"/>
    <w:rsid w:val="00CF3F62"/>
    <w:rsid w:val="00CF5A48"/>
    <w:rsid w:val="00CF5D67"/>
    <w:rsid w:val="00D00C1C"/>
    <w:rsid w:val="00D01A2B"/>
    <w:rsid w:val="00D01B7D"/>
    <w:rsid w:val="00D02136"/>
    <w:rsid w:val="00D03064"/>
    <w:rsid w:val="00D04FAA"/>
    <w:rsid w:val="00D052C7"/>
    <w:rsid w:val="00D062AA"/>
    <w:rsid w:val="00D10AA0"/>
    <w:rsid w:val="00D12110"/>
    <w:rsid w:val="00D1288B"/>
    <w:rsid w:val="00D12AD0"/>
    <w:rsid w:val="00D15409"/>
    <w:rsid w:val="00D16B49"/>
    <w:rsid w:val="00D1796E"/>
    <w:rsid w:val="00D21155"/>
    <w:rsid w:val="00D2152B"/>
    <w:rsid w:val="00D21A0D"/>
    <w:rsid w:val="00D22568"/>
    <w:rsid w:val="00D22628"/>
    <w:rsid w:val="00D23E47"/>
    <w:rsid w:val="00D24C4A"/>
    <w:rsid w:val="00D24E43"/>
    <w:rsid w:val="00D25E80"/>
    <w:rsid w:val="00D30074"/>
    <w:rsid w:val="00D31711"/>
    <w:rsid w:val="00D3266C"/>
    <w:rsid w:val="00D34E96"/>
    <w:rsid w:val="00D352F6"/>
    <w:rsid w:val="00D35BB3"/>
    <w:rsid w:val="00D36FA1"/>
    <w:rsid w:val="00D42051"/>
    <w:rsid w:val="00D42D2B"/>
    <w:rsid w:val="00D43642"/>
    <w:rsid w:val="00D46659"/>
    <w:rsid w:val="00D468A7"/>
    <w:rsid w:val="00D469F5"/>
    <w:rsid w:val="00D473C0"/>
    <w:rsid w:val="00D52EF8"/>
    <w:rsid w:val="00D536A7"/>
    <w:rsid w:val="00D56943"/>
    <w:rsid w:val="00D60CAA"/>
    <w:rsid w:val="00D640C3"/>
    <w:rsid w:val="00D6426D"/>
    <w:rsid w:val="00D648D1"/>
    <w:rsid w:val="00D65AD1"/>
    <w:rsid w:val="00D67014"/>
    <w:rsid w:val="00D67303"/>
    <w:rsid w:val="00D67B05"/>
    <w:rsid w:val="00D67F6D"/>
    <w:rsid w:val="00D71830"/>
    <w:rsid w:val="00D7254F"/>
    <w:rsid w:val="00D729B2"/>
    <w:rsid w:val="00D7500D"/>
    <w:rsid w:val="00D76A8A"/>
    <w:rsid w:val="00D77C25"/>
    <w:rsid w:val="00D8116D"/>
    <w:rsid w:val="00D81A1B"/>
    <w:rsid w:val="00D82045"/>
    <w:rsid w:val="00D82229"/>
    <w:rsid w:val="00D8324F"/>
    <w:rsid w:val="00D8437A"/>
    <w:rsid w:val="00D87345"/>
    <w:rsid w:val="00D8798B"/>
    <w:rsid w:val="00D87E81"/>
    <w:rsid w:val="00D92354"/>
    <w:rsid w:val="00D92463"/>
    <w:rsid w:val="00D94C8C"/>
    <w:rsid w:val="00D952AA"/>
    <w:rsid w:val="00D95B75"/>
    <w:rsid w:val="00D97513"/>
    <w:rsid w:val="00D97C77"/>
    <w:rsid w:val="00DA06D2"/>
    <w:rsid w:val="00DA2B1A"/>
    <w:rsid w:val="00DA2FA3"/>
    <w:rsid w:val="00DA3478"/>
    <w:rsid w:val="00DA65FD"/>
    <w:rsid w:val="00DA6D65"/>
    <w:rsid w:val="00DA726B"/>
    <w:rsid w:val="00DB1B9F"/>
    <w:rsid w:val="00DB322E"/>
    <w:rsid w:val="00DB4283"/>
    <w:rsid w:val="00DB640C"/>
    <w:rsid w:val="00DB6C1F"/>
    <w:rsid w:val="00DC0B08"/>
    <w:rsid w:val="00DC132F"/>
    <w:rsid w:val="00DC3A0F"/>
    <w:rsid w:val="00DC5CF9"/>
    <w:rsid w:val="00DC7A94"/>
    <w:rsid w:val="00DC7EFB"/>
    <w:rsid w:val="00DD0076"/>
    <w:rsid w:val="00DD0AA1"/>
    <w:rsid w:val="00DD3AB7"/>
    <w:rsid w:val="00DD4E1F"/>
    <w:rsid w:val="00DD6968"/>
    <w:rsid w:val="00DD6FD6"/>
    <w:rsid w:val="00DE2173"/>
    <w:rsid w:val="00DE3FB4"/>
    <w:rsid w:val="00DE5B86"/>
    <w:rsid w:val="00DE6B2B"/>
    <w:rsid w:val="00DE6E2D"/>
    <w:rsid w:val="00DE7967"/>
    <w:rsid w:val="00DF2491"/>
    <w:rsid w:val="00DF3C7C"/>
    <w:rsid w:val="00DF56B6"/>
    <w:rsid w:val="00DF57FE"/>
    <w:rsid w:val="00DF6557"/>
    <w:rsid w:val="00E0032F"/>
    <w:rsid w:val="00E006E3"/>
    <w:rsid w:val="00E00D6F"/>
    <w:rsid w:val="00E0182B"/>
    <w:rsid w:val="00E02E1D"/>
    <w:rsid w:val="00E05254"/>
    <w:rsid w:val="00E066B7"/>
    <w:rsid w:val="00E127FA"/>
    <w:rsid w:val="00E137C3"/>
    <w:rsid w:val="00E138F2"/>
    <w:rsid w:val="00E13C8E"/>
    <w:rsid w:val="00E15A49"/>
    <w:rsid w:val="00E15EE0"/>
    <w:rsid w:val="00E16611"/>
    <w:rsid w:val="00E17187"/>
    <w:rsid w:val="00E17C59"/>
    <w:rsid w:val="00E22AB6"/>
    <w:rsid w:val="00E2394B"/>
    <w:rsid w:val="00E269AA"/>
    <w:rsid w:val="00E26A24"/>
    <w:rsid w:val="00E31773"/>
    <w:rsid w:val="00E31955"/>
    <w:rsid w:val="00E3207E"/>
    <w:rsid w:val="00E3235B"/>
    <w:rsid w:val="00E32F66"/>
    <w:rsid w:val="00E345A2"/>
    <w:rsid w:val="00E34A0A"/>
    <w:rsid w:val="00E363E0"/>
    <w:rsid w:val="00E40229"/>
    <w:rsid w:val="00E40574"/>
    <w:rsid w:val="00E4106A"/>
    <w:rsid w:val="00E42E3F"/>
    <w:rsid w:val="00E4485E"/>
    <w:rsid w:val="00E44FA2"/>
    <w:rsid w:val="00E46E87"/>
    <w:rsid w:val="00E51566"/>
    <w:rsid w:val="00E51E31"/>
    <w:rsid w:val="00E523AA"/>
    <w:rsid w:val="00E54143"/>
    <w:rsid w:val="00E54CEC"/>
    <w:rsid w:val="00E5519C"/>
    <w:rsid w:val="00E57732"/>
    <w:rsid w:val="00E62796"/>
    <w:rsid w:val="00E629B0"/>
    <w:rsid w:val="00E629C2"/>
    <w:rsid w:val="00E629DC"/>
    <w:rsid w:val="00E6339F"/>
    <w:rsid w:val="00E63D36"/>
    <w:rsid w:val="00E64D19"/>
    <w:rsid w:val="00E64F05"/>
    <w:rsid w:val="00E67179"/>
    <w:rsid w:val="00E6726E"/>
    <w:rsid w:val="00E739D3"/>
    <w:rsid w:val="00E74641"/>
    <w:rsid w:val="00E7754C"/>
    <w:rsid w:val="00E80A49"/>
    <w:rsid w:val="00E81469"/>
    <w:rsid w:val="00E85F02"/>
    <w:rsid w:val="00E863E4"/>
    <w:rsid w:val="00E8706E"/>
    <w:rsid w:val="00E874EE"/>
    <w:rsid w:val="00E87E80"/>
    <w:rsid w:val="00E9013F"/>
    <w:rsid w:val="00E90190"/>
    <w:rsid w:val="00E90266"/>
    <w:rsid w:val="00E9227B"/>
    <w:rsid w:val="00E94CFB"/>
    <w:rsid w:val="00E954F7"/>
    <w:rsid w:val="00E96018"/>
    <w:rsid w:val="00E96DDB"/>
    <w:rsid w:val="00E971E7"/>
    <w:rsid w:val="00EA2309"/>
    <w:rsid w:val="00EA3C0C"/>
    <w:rsid w:val="00EA44B5"/>
    <w:rsid w:val="00EA4FD4"/>
    <w:rsid w:val="00EA5966"/>
    <w:rsid w:val="00EA6C60"/>
    <w:rsid w:val="00EA7AE1"/>
    <w:rsid w:val="00EB01BE"/>
    <w:rsid w:val="00EB155B"/>
    <w:rsid w:val="00EB2ABE"/>
    <w:rsid w:val="00EB39DF"/>
    <w:rsid w:val="00EB608C"/>
    <w:rsid w:val="00EB6122"/>
    <w:rsid w:val="00EB7686"/>
    <w:rsid w:val="00EC1651"/>
    <w:rsid w:val="00EC20F1"/>
    <w:rsid w:val="00EC2C4D"/>
    <w:rsid w:val="00EC3783"/>
    <w:rsid w:val="00EC3F42"/>
    <w:rsid w:val="00EC3F72"/>
    <w:rsid w:val="00EC5FA5"/>
    <w:rsid w:val="00EC62D0"/>
    <w:rsid w:val="00EC642B"/>
    <w:rsid w:val="00EC6D67"/>
    <w:rsid w:val="00ED17D9"/>
    <w:rsid w:val="00ED1814"/>
    <w:rsid w:val="00ED3814"/>
    <w:rsid w:val="00ED3DFF"/>
    <w:rsid w:val="00ED59ED"/>
    <w:rsid w:val="00ED69EA"/>
    <w:rsid w:val="00EE23E1"/>
    <w:rsid w:val="00EE2639"/>
    <w:rsid w:val="00EE3696"/>
    <w:rsid w:val="00EE475B"/>
    <w:rsid w:val="00EE4DAC"/>
    <w:rsid w:val="00EE4EB8"/>
    <w:rsid w:val="00EE6099"/>
    <w:rsid w:val="00EE65FC"/>
    <w:rsid w:val="00EF03DF"/>
    <w:rsid w:val="00EF12B4"/>
    <w:rsid w:val="00EF31A2"/>
    <w:rsid w:val="00EF4599"/>
    <w:rsid w:val="00EF7276"/>
    <w:rsid w:val="00F0067F"/>
    <w:rsid w:val="00F01AE8"/>
    <w:rsid w:val="00F0283E"/>
    <w:rsid w:val="00F03584"/>
    <w:rsid w:val="00F0360C"/>
    <w:rsid w:val="00F03659"/>
    <w:rsid w:val="00F0453C"/>
    <w:rsid w:val="00F0472E"/>
    <w:rsid w:val="00F06FFE"/>
    <w:rsid w:val="00F0725E"/>
    <w:rsid w:val="00F101D1"/>
    <w:rsid w:val="00F11B3F"/>
    <w:rsid w:val="00F14435"/>
    <w:rsid w:val="00F14DDC"/>
    <w:rsid w:val="00F1566D"/>
    <w:rsid w:val="00F175E9"/>
    <w:rsid w:val="00F200D1"/>
    <w:rsid w:val="00F245F3"/>
    <w:rsid w:val="00F26D8E"/>
    <w:rsid w:val="00F31344"/>
    <w:rsid w:val="00F31529"/>
    <w:rsid w:val="00F32226"/>
    <w:rsid w:val="00F32AFB"/>
    <w:rsid w:val="00F349A4"/>
    <w:rsid w:val="00F40354"/>
    <w:rsid w:val="00F40436"/>
    <w:rsid w:val="00F40C07"/>
    <w:rsid w:val="00F41A6C"/>
    <w:rsid w:val="00F42051"/>
    <w:rsid w:val="00F42D03"/>
    <w:rsid w:val="00F4462C"/>
    <w:rsid w:val="00F44B2B"/>
    <w:rsid w:val="00F466A8"/>
    <w:rsid w:val="00F47051"/>
    <w:rsid w:val="00F502CB"/>
    <w:rsid w:val="00F5088A"/>
    <w:rsid w:val="00F51DB8"/>
    <w:rsid w:val="00F52B42"/>
    <w:rsid w:val="00F52C78"/>
    <w:rsid w:val="00F53A4F"/>
    <w:rsid w:val="00F545E6"/>
    <w:rsid w:val="00F54911"/>
    <w:rsid w:val="00F554D3"/>
    <w:rsid w:val="00F55625"/>
    <w:rsid w:val="00F56785"/>
    <w:rsid w:val="00F56E7C"/>
    <w:rsid w:val="00F57758"/>
    <w:rsid w:val="00F6085E"/>
    <w:rsid w:val="00F6135E"/>
    <w:rsid w:val="00F64027"/>
    <w:rsid w:val="00F6528A"/>
    <w:rsid w:val="00F67643"/>
    <w:rsid w:val="00F67930"/>
    <w:rsid w:val="00F7011A"/>
    <w:rsid w:val="00F70E40"/>
    <w:rsid w:val="00F71B36"/>
    <w:rsid w:val="00F736B7"/>
    <w:rsid w:val="00F75071"/>
    <w:rsid w:val="00F80467"/>
    <w:rsid w:val="00F82B29"/>
    <w:rsid w:val="00F83881"/>
    <w:rsid w:val="00F84AF3"/>
    <w:rsid w:val="00F8784A"/>
    <w:rsid w:val="00F904DE"/>
    <w:rsid w:val="00F9089C"/>
    <w:rsid w:val="00F909FE"/>
    <w:rsid w:val="00F90CA3"/>
    <w:rsid w:val="00F9166D"/>
    <w:rsid w:val="00F9169A"/>
    <w:rsid w:val="00F92111"/>
    <w:rsid w:val="00F96692"/>
    <w:rsid w:val="00F96B65"/>
    <w:rsid w:val="00F96FA5"/>
    <w:rsid w:val="00FA02A3"/>
    <w:rsid w:val="00FA62C5"/>
    <w:rsid w:val="00FA6A1D"/>
    <w:rsid w:val="00FA7272"/>
    <w:rsid w:val="00FA7BF7"/>
    <w:rsid w:val="00FA7E05"/>
    <w:rsid w:val="00FA7E2E"/>
    <w:rsid w:val="00FB108E"/>
    <w:rsid w:val="00FB1211"/>
    <w:rsid w:val="00FB1504"/>
    <w:rsid w:val="00FB21D2"/>
    <w:rsid w:val="00FB2423"/>
    <w:rsid w:val="00FB3BEB"/>
    <w:rsid w:val="00FB3DA9"/>
    <w:rsid w:val="00FB7B66"/>
    <w:rsid w:val="00FC0AB7"/>
    <w:rsid w:val="00FC1155"/>
    <w:rsid w:val="00FC1527"/>
    <w:rsid w:val="00FC296D"/>
    <w:rsid w:val="00FC31C0"/>
    <w:rsid w:val="00FC3B2E"/>
    <w:rsid w:val="00FC3EF9"/>
    <w:rsid w:val="00FC4E83"/>
    <w:rsid w:val="00FC5185"/>
    <w:rsid w:val="00FC53FC"/>
    <w:rsid w:val="00FC63E8"/>
    <w:rsid w:val="00FD0A4E"/>
    <w:rsid w:val="00FD3146"/>
    <w:rsid w:val="00FD44DB"/>
    <w:rsid w:val="00FD5632"/>
    <w:rsid w:val="00FD6386"/>
    <w:rsid w:val="00FD6BC2"/>
    <w:rsid w:val="00FD6E57"/>
    <w:rsid w:val="00FD6FC1"/>
    <w:rsid w:val="00FD7DA7"/>
    <w:rsid w:val="00FE097F"/>
    <w:rsid w:val="00FE33C8"/>
    <w:rsid w:val="00FE55BF"/>
    <w:rsid w:val="00FF0FAB"/>
    <w:rsid w:val="00FF28AF"/>
    <w:rsid w:val="00FF36A2"/>
    <w:rsid w:val="00FF36FD"/>
    <w:rsid w:val="00FF4A2A"/>
    <w:rsid w:val="00FF539B"/>
    <w:rsid w:val="00FF68DA"/>
    <w:rsid w:val="00FF7082"/>
    <w:rsid w:val="010600C7"/>
    <w:rsid w:val="012516DB"/>
    <w:rsid w:val="01A35A4C"/>
    <w:rsid w:val="01A44A13"/>
    <w:rsid w:val="02232379"/>
    <w:rsid w:val="022F35F5"/>
    <w:rsid w:val="02A170D1"/>
    <w:rsid w:val="02EB195B"/>
    <w:rsid w:val="0372489D"/>
    <w:rsid w:val="041D6970"/>
    <w:rsid w:val="045E5F50"/>
    <w:rsid w:val="04E45D16"/>
    <w:rsid w:val="05165B34"/>
    <w:rsid w:val="05A51487"/>
    <w:rsid w:val="05FE2455"/>
    <w:rsid w:val="0661114A"/>
    <w:rsid w:val="06C60941"/>
    <w:rsid w:val="093E159F"/>
    <w:rsid w:val="09D84006"/>
    <w:rsid w:val="0A4A10D6"/>
    <w:rsid w:val="0AA42F62"/>
    <w:rsid w:val="0B353D2E"/>
    <w:rsid w:val="0B50284F"/>
    <w:rsid w:val="0C59767E"/>
    <w:rsid w:val="0C927CB7"/>
    <w:rsid w:val="0D6F6E50"/>
    <w:rsid w:val="0EBE1CAE"/>
    <w:rsid w:val="10EF0B96"/>
    <w:rsid w:val="12387FFB"/>
    <w:rsid w:val="12841B93"/>
    <w:rsid w:val="12DF7F55"/>
    <w:rsid w:val="13606DBB"/>
    <w:rsid w:val="1360768B"/>
    <w:rsid w:val="145C3AF9"/>
    <w:rsid w:val="1469498E"/>
    <w:rsid w:val="14893727"/>
    <w:rsid w:val="151E50EC"/>
    <w:rsid w:val="15B928F4"/>
    <w:rsid w:val="15BC7626"/>
    <w:rsid w:val="16EB45C0"/>
    <w:rsid w:val="177A76CD"/>
    <w:rsid w:val="187A432A"/>
    <w:rsid w:val="195C18BD"/>
    <w:rsid w:val="1A0B1C03"/>
    <w:rsid w:val="1A8D2D60"/>
    <w:rsid w:val="1AE51725"/>
    <w:rsid w:val="1B3820D5"/>
    <w:rsid w:val="1BBA540F"/>
    <w:rsid w:val="1D5A31A3"/>
    <w:rsid w:val="1D745056"/>
    <w:rsid w:val="1E8541AF"/>
    <w:rsid w:val="1E860678"/>
    <w:rsid w:val="1ED80795"/>
    <w:rsid w:val="206C3EA7"/>
    <w:rsid w:val="21494595"/>
    <w:rsid w:val="219F5304"/>
    <w:rsid w:val="22374FF1"/>
    <w:rsid w:val="23401520"/>
    <w:rsid w:val="234606AA"/>
    <w:rsid w:val="24F956A6"/>
    <w:rsid w:val="257C15ED"/>
    <w:rsid w:val="259735ED"/>
    <w:rsid w:val="25A467A1"/>
    <w:rsid w:val="25C064C8"/>
    <w:rsid w:val="25C62DAD"/>
    <w:rsid w:val="2651100D"/>
    <w:rsid w:val="26C46CBA"/>
    <w:rsid w:val="27A01DF6"/>
    <w:rsid w:val="29140E93"/>
    <w:rsid w:val="29763170"/>
    <w:rsid w:val="29955769"/>
    <w:rsid w:val="2999753E"/>
    <w:rsid w:val="29E84FCA"/>
    <w:rsid w:val="2A0F541F"/>
    <w:rsid w:val="2A21157C"/>
    <w:rsid w:val="2B7C2BFF"/>
    <w:rsid w:val="2BEF7D63"/>
    <w:rsid w:val="2C087541"/>
    <w:rsid w:val="2C726454"/>
    <w:rsid w:val="2D0C4D58"/>
    <w:rsid w:val="2D4B6131"/>
    <w:rsid w:val="2D6A64F3"/>
    <w:rsid w:val="2DAE2509"/>
    <w:rsid w:val="2EB50EC8"/>
    <w:rsid w:val="2EB75318"/>
    <w:rsid w:val="30336489"/>
    <w:rsid w:val="30660FF2"/>
    <w:rsid w:val="313A4222"/>
    <w:rsid w:val="31811153"/>
    <w:rsid w:val="32FF17AB"/>
    <w:rsid w:val="335C233A"/>
    <w:rsid w:val="33A46A1F"/>
    <w:rsid w:val="344E5E15"/>
    <w:rsid w:val="354423CD"/>
    <w:rsid w:val="35F1454A"/>
    <w:rsid w:val="362E26F6"/>
    <w:rsid w:val="363E4EDB"/>
    <w:rsid w:val="36AA14D5"/>
    <w:rsid w:val="36B55800"/>
    <w:rsid w:val="36C22425"/>
    <w:rsid w:val="37BE697C"/>
    <w:rsid w:val="39B62142"/>
    <w:rsid w:val="39CD3F97"/>
    <w:rsid w:val="3AB325C6"/>
    <w:rsid w:val="3BB25507"/>
    <w:rsid w:val="3BDF168D"/>
    <w:rsid w:val="3F71550E"/>
    <w:rsid w:val="3FE15511"/>
    <w:rsid w:val="40332E9C"/>
    <w:rsid w:val="405F2ACC"/>
    <w:rsid w:val="407D7BA2"/>
    <w:rsid w:val="410464B8"/>
    <w:rsid w:val="41C27815"/>
    <w:rsid w:val="427F46AC"/>
    <w:rsid w:val="43520FE7"/>
    <w:rsid w:val="44680FCB"/>
    <w:rsid w:val="450D3754"/>
    <w:rsid w:val="4610760B"/>
    <w:rsid w:val="469C63DC"/>
    <w:rsid w:val="46E620D0"/>
    <w:rsid w:val="477521AC"/>
    <w:rsid w:val="488511CA"/>
    <w:rsid w:val="48C72A41"/>
    <w:rsid w:val="49E40F1C"/>
    <w:rsid w:val="4A672F35"/>
    <w:rsid w:val="4C1677C6"/>
    <w:rsid w:val="4C5B6226"/>
    <w:rsid w:val="4C7E7C3D"/>
    <w:rsid w:val="4CD24695"/>
    <w:rsid w:val="4CDA0154"/>
    <w:rsid w:val="4D4E2FB0"/>
    <w:rsid w:val="4DA95BB1"/>
    <w:rsid w:val="4DFE6ED7"/>
    <w:rsid w:val="4E0C066D"/>
    <w:rsid w:val="4EA30E8A"/>
    <w:rsid w:val="4FDE4134"/>
    <w:rsid w:val="50310C60"/>
    <w:rsid w:val="508F446D"/>
    <w:rsid w:val="50D40FB8"/>
    <w:rsid w:val="515E6A68"/>
    <w:rsid w:val="51865ECD"/>
    <w:rsid w:val="519204AC"/>
    <w:rsid w:val="51E6090C"/>
    <w:rsid w:val="52424765"/>
    <w:rsid w:val="528E2388"/>
    <w:rsid w:val="52C515A2"/>
    <w:rsid w:val="5328206F"/>
    <w:rsid w:val="533F76EA"/>
    <w:rsid w:val="536C1DC5"/>
    <w:rsid w:val="53A6295F"/>
    <w:rsid w:val="53C945FB"/>
    <w:rsid w:val="54333971"/>
    <w:rsid w:val="547D3E51"/>
    <w:rsid w:val="54A52E36"/>
    <w:rsid w:val="54A802C6"/>
    <w:rsid w:val="54EE16FB"/>
    <w:rsid w:val="552E14C2"/>
    <w:rsid w:val="55733CCA"/>
    <w:rsid w:val="55D64AC8"/>
    <w:rsid w:val="560C1CFA"/>
    <w:rsid w:val="560C1D4A"/>
    <w:rsid w:val="568F153A"/>
    <w:rsid w:val="57B04DCD"/>
    <w:rsid w:val="57FE6F0D"/>
    <w:rsid w:val="587F692A"/>
    <w:rsid w:val="5A3B477C"/>
    <w:rsid w:val="5AF429F4"/>
    <w:rsid w:val="5B382E1A"/>
    <w:rsid w:val="5C4A3ACC"/>
    <w:rsid w:val="5C4D3844"/>
    <w:rsid w:val="5C501648"/>
    <w:rsid w:val="5D151313"/>
    <w:rsid w:val="5D7971D9"/>
    <w:rsid w:val="5E8A0734"/>
    <w:rsid w:val="5F321D1D"/>
    <w:rsid w:val="5FA7688D"/>
    <w:rsid w:val="60402B52"/>
    <w:rsid w:val="60A7223F"/>
    <w:rsid w:val="613B2154"/>
    <w:rsid w:val="618A6458"/>
    <w:rsid w:val="62297CB3"/>
    <w:rsid w:val="62397FD4"/>
    <w:rsid w:val="63B932AF"/>
    <w:rsid w:val="642751A8"/>
    <w:rsid w:val="64D742DF"/>
    <w:rsid w:val="652C5776"/>
    <w:rsid w:val="65662DE3"/>
    <w:rsid w:val="65A13574"/>
    <w:rsid w:val="6615324D"/>
    <w:rsid w:val="663859DA"/>
    <w:rsid w:val="665151C5"/>
    <w:rsid w:val="66C96D00"/>
    <w:rsid w:val="67886B13"/>
    <w:rsid w:val="67C70996"/>
    <w:rsid w:val="67F15358"/>
    <w:rsid w:val="686F7801"/>
    <w:rsid w:val="68730532"/>
    <w:rsid w:val="69344D9B"/>
    <w:rsid w:val="69FC7226"/>
    <w:rsid w:val="6A535B87"/>
    <w:rsid w:val="6B826729"/>
    <w:rsid w:val="6D683D02"/>
    <w:rsid w:val="6DB44BB7"/>
    <w:rsid w:val="6E0B58D9"/>
    <w:rsid w:val="6E4E34E0"/>
    <w:rsid w:val="70160D5E"/>
    <w:rsid w:val="71536AB4"/>
    <w:rsid w:val="71B21B53"/>
    <w:rsid w:val="728C6382"/>
    <w:rsid w:val="73B40907"/>
    <w:rsid w:val="73D11BEA"/>
    <w:rsid w:val="742C71B1"/>
    <w:rsid w:val="74405CDD"/>
    <w:rsid w:val="74ED0618"/>
    <w:rsid w:val="766771EF"/>
    <w:rsid w:val="767A4AD7"/>
    <w:rsid w:val="77114290"/>
    <w:rsid w:val="78304FF0"/>
    <w:rsid w:val="786D57E4"/>
    <w:rsid w:val="788C2DA9"/>
    <w:rsid w:val="790228F5"/>
    <w:rsid w:val="799A7EFC"/>
    <w:rsid w:val="79A52AA6"/>
    <w:rsid w:val="79B73EE9"/>
    <w:rsid w:val="79C210AB"/>
    <w:rsid w:val="7A3918BB"/>
    <w:rsid w:val="7A3B15FD"/>
    <w:rsid w:val="7A924738"/>
    <w:rsid w:val="7ABC35C7"/>
    <w:rsid w:val="7AEE0E95"/>
    <w:rsid w:val="7AF211E2"/>
    <w:rsid w:val="7C7544C6"/>
    <w:rsid w:val="7CC240AA"/>
    <w:rsid w:val="7D6538AB"/>
    <w:rsid w:val="7E13611E"/>
    <w:rsid w:val="7FCC45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iPriority="99" w:semiHidden="0" w:name="Document Map"/>
    <w:lsdException w:qFormat="1" w:unhideWhenUsed="0" w:uiPriority="0" w:semiHidden="0" w:name="Plain Text"/>
    <w:lsdException w:uiPriority="99" w:name="E-mail Signature"/>
    <w:lsdException w:uiPriority="99" w:semiHidden="0" w:name="Normal (Web)"/>
    <w:lsdException w:uiPriority="99" w:semiHidden="0" w:name="HTML Acronym"/>
    <w:lsdException w:uiPriority="99" w:name="HTML Address"/>
    <w:lsdException w:uiPriority="99" w:semiHidden="0" w:name="HTML Cite"/>
    <w:lsdException w:uiPriority="99" w:semiHidden="0" w:name="HTML Code"/>
    <w:lsdException w:uiPriority="99" w:semiHidden="0" w:name="HTML Definition"/>
    <w:lsdException w:uiPriority="99" w:semiHidden="0" w:name="HTML Keyboard"/>
    <w:lsdException w:uiPriority="99" w:semiHidden="0" w:name="HTML Preformatted"/>
    <w:lsdException w:uiPriority="99" w:semiHidden="0" w:name="HTML Sample"/>
    <w:lsdException w:uiPriority="99" w:semiHidden="0" w:name="HTML Typewriter"/>
    <w:lsdException w:uiPriority="99" w:semiHidden="0" w:name="HTML Variable"/>
    <w:lsdException w:uiPriority="99" w:semiHidden="0"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102"/>
    <w:qFormat/>
    <w:uiPriority w:val="0"/>
    <w:pPr>
      <w:keepNext/>
      <w:keepLines/>
      <w:numPr>
        <w:ilvl w:val="0"/>
        <w:numId w:val="1"/>
      </w:numPr>
      <w:snapToGrid w:val="0"/>
      <w:spacing w:line="400" w:lineRule="atLeast"/>
      <w:outlineLvl w:val="0"/>
    </w:pPr>
    <w:rPr>
      <w:rFonts w:ascii="宋体" w:eastAsia="黑体"/>
      <w:kern w:val="28"/>
      <w:sz w:val="28"/>
      <w:szCs w:val="20"/>
    </w:rPr>
  </w:style>
  <w:style w:type="paragraph" w:styleId="4">
    <w:name w:val="heading 2"/>
    <w:basedOn w:val="1"/>
    <w:next w:val="5"/>
    <w:link w:val="52"/>
    <w:qFormat/>
    <w:uiPriority w:val="0"/>
    <w:pPr>
      <w:numPr>
        <w:ilvl w:val="1"/>
        <w:numId w:val="1"/>
      </w:numPr>
      <w:tabs>
        <w:tab w:val="left" w:pos="425"/>
      </w:tabs>
      <w:snapToGrid w:val="0"/>
      <w:spacing w:line="360" w:lineRule="auto"/>
      <w:outlineLvl w:val="1"/>
    </w:pPr>
    <w:rPr>
      <w:rFonts w:ascii="宋体"/>
      <w:sz w:val="28"/>
      <w:szCs w:val="20"/>
    </w:rPr>
  </w:style>
  <w:style w:type="paragraph" w:styleId="6">
    <w:name w:val="heading 3"/>
    <w:basedOn w:val="4"/>
    <w:next w:val="1"/>
    <w:link w:val="77"/>
    <w:qFormat/>
    <w:uiPriority w:val="0"/>
    <w:pPr>
      <w:numPr>
        <w:ilvl w:val="2"/>
        <w:numId w:val="1"/>
      </w:numPr>
      <w:tabs>
        <w:tab w:val="clear" w:pos="720"/>
      </w:tabs>
      <w:outlineLvl w:val="2"/>
    </w:pPr>
  </w:style>
  <w:style w:type="paragraph" w:styleId="7">
    <w:name w:val="heading 4"/>
    <w:basedOn w:val="1"/>
    <w:next w:val="1"/>
    <w:link w:val="86"/>
    <w:qFormat/>
    <w:uiPriority w:val="0"/>
    <w:pPr>
      <w:keepNext/>
      <w:keepLines/>
      <w:spacing w:before="280" w:after="290" w:line="376" w:lineRule="auto"/>
      <w:outlineLvl w:val="3"/>
    </w:pPr>
    <w:rPr>
      <w:rFonts w:ascii="Calibri Light" w:hAnsi="Calibri Light"/>
      <w:b/>
      <w:bCs/>
      <w:kern w:val="0"/>
      <w:sz w:val="28"/>
      <w:szCs w:val="28"/>
    </w:rPr>
  </w:style>
  <w:style w:type="paragraph" w:styleId="8">
    <w:name w:val="heading 5"/>
    <w:basedOn w:val="1"/>
    <w:next w:val="1"/>
    <w:link w:val="101"/>
    <w:qFormat/>
    <w:uiPriority w:val="0"/>
    <w:pPr>
      <w:keepNext/>
      <w:keepLines/>
      <w:spacing w:before="280" w:after="290" w:line="376" w:lineRule="auto"/>
      <w:outlineLvl w:val="4"/>
    </w:pPr>
    <w:rPr>
      <w:b/>
      <w:bCs/>
      <w:kern w:val="0"/>
      <w:sz w:val="28"/>
      <w:szCs w:val="28"/>
    </w:rPr>
  </w:style>
  <w:style w:type="paragraph" w:styleId="9">
    <w:name w:val="heading 6"/>
    <w:basedOn w:val="1"/>
    <w:next w:val="1"/>
    <w:link w:val="106"/>
    <w:qFormat/>
    <w:uiPriority w:val="0"/>
    <w:pPr>
      <w:keepNext/>
      <w:keepLines/>
      <w:spacing w:before="240" w:after="64" w:line="320" w:lineRule="auto"/>
      <w:outlineLvl w:val="5"/>
    </w:pPr>
    <w:rPr>
      <w:rFonts w:ascii="Calibri Light" w:hAnsi="Calibri Light"/>
      <w:b/>
      <w:bCs/>
      <w:kern w:val="0"/>
      <w:sz w:val="24"/>
    </w:rPr>
  </w:style>
  <w:style w:type="paragraph" w:styleId="10">
    <w:name w:val="heading 7"/>
    <w:basedOn w:val="1"/>
    <w:next w:val="1"/>
    <w:link w:val="69"/>
    <w:qFormat/>
    <w:uiPriority w:val="9"/>
    <w:pPr>
      <w:keepNext/>
      <w:keepLines/>
      <w:spacing w:before="240" w:after="64" w:line="320" w:lineRule="auto"/>
      <w:outlineLvl w:val="6"/>
    </w:pPr>
    <w:rPr>
      <w:b/>
      <w:bCs/>
      <w:sz w:val="24"/>
    </w:rPr>
  </w:style>
  <w:style w:type="character" w:default="1" w:styleId="36">
    <w:name w:val="Default Paragraph Font"/>
    <w:unhideWhenUsed/>
    <w:uiPriority w:val="1"/>
  </w:style>
  <w:style w:type="table" w:default="1" w:styleId="34">
    <w:name w:val="Normal Table"/>
    <w:unhideWhenUsed/>
    <w:uiPriority w:val="99"/>
    <w:tblPr>
      <w:tblStyle w:val="34"/>
      <w:tblCellMar>
        <w:top w:w="0" w:type="dxa"/>
        <w:left w:w="108" w:type="dxa"/>
        <w:bottom w:w="0" w:type="dxa"/>
        <w:right w:w="108" w:type="dxa"/>
      </w:tblCellMar>
    </w:tblPr>
  </w:style>
  <w:style w:type="paragraph" w:customStyle="1" w:styleId="2">
    <w:name w:val="正文（首行缩进2字符）"/>
    <w:basedOn w:val="1"/>
    <w:qFormat/>
    <w:uiPriority w:val="99"/>
    <w:pPr>
      <w:ind w:firstLine="480"/>
    </w:pPr>
    <w:rPr>
      <w:rFonts w:ascii="Times New Roman" w:hAnsi="Times New Roman" w:cs="Times New Roman"/>
    </w:rPr>
  </w:style>
  <w:style w:type="paragraph" w:styleId="5">
    <w:name w:val="Normal Indent"/>
    <w:basedOn w:val="1"/>
    <w:link w:val="61"/>
    <w:qFormat/>
    <w:uiPriority w:val="0"/>
    <w:pPr>
      <w:ind w:firstLine="420" w:firstLineChars="200"/>
    </w:pPr>
  </w:style>
  <w:style w:type="paragraph" w:styleId="11">
    <w:name w:val="Document Map"/>
    <w:basedOn w:val="1"/>
    <w:link w:val="92"/>
    <w:unhideWhenUsed/>
    <w:uiPriority w:val="99"/>
    <w:rPr>
      <w:rFonts w:ascii="Microsoft YaHei UI" w:eastAsia="Microsoft YaHei UI"/>
      <w:kern w:val="0"/>
      <w:sz w:val="18"/>
      <w:szCs w:val="18"/>
    </w:rPr>
  </w:style>
  <w:style w:type="paragraph" w:styleId="12">
    <w:name w:val="annotation text"/>
    <w:basedOn w:val="1"/>
    <w:link w:val="103"/>
    <w:qFormat/>
    <w:uiPriority w:val="0"/>
    <w:pPr>
      <w:jc w:val="left"/>
    </w:pPr>
    <w:rPr>
      <w:kern w:val="0"/>
      <w:sz w:val="20"/>
    </w:rPr>
  </w:style>
  <w:style w:type="paragraph" w:styleId="13">
    <w:name w:val="Body Text"/>
    <w:basedOn w:val="1"/>
    <w:link w:val="60"/>
    <w:uiPriority w:val="0"/>
    <w:pPr>
      <w:spacing w:after="120"/>
    </w:pPr>
    <w:rPr>
      <w:kern w:val="0"/>
      <w:sz w:val="20"/>
    </w:rPr>
  </w:style>
  <w:style w:type="paragraph" w:styleId="14">
    <w:name w:val="Body Text Indent"/>
    <w:basedOn w:val="1"/>
    <w:link w:val="97"/>
    <w:uiPriority w:val="0"/>
    <w:pPr>
      <w:tabs>
        <w:tab w:val="left" w:pos="2160"/>
      </w:tabs>
      <w:ind w:left="2159" w:leftChars="1028" w:firstLine="1"/>
    </w:pPr>
    <w:rPr>
      <w:rFonts w:ascii="宋体" w:hAnsi="宋体"/>
      <w:kern w:val="0"/>
      <w:sz w:val="20"/>
      <w:szCs w:val="21"/>
    </w:rPr>
  </w:style>
  <w:style w:type="paragraph" w:styleId="15">
    <w:name w:val="index 4"/>
    <w:basedOn w:val="1"/>
    <w:next w:val="1"/>
    <w:unhideWhenUsed/>
    <w:uiPriority w:val="99"/>
    <w:pPr>
      <w:ind w:left="600" w:leftChars="600"/>
    </w:pPr>
  </w:style>
  <w:style w:type="paragraph" w:styleId="16">
    <w:name w:val="toc 3"/>
    <w:basedOn w:val="1"/>
    <w:next w:val="1"/>
    <w:unhideWhenUsed/>
    <w:uiPriority w:val="39"/>
    <w:pPr>
      <w:widowControl/>
      <w:spacing w:after="100" w:line="259" w:lineRule="auto"/>
      <w:ind w:left="440"/>
      <w:jc w:val="left"/>
    </w:pPr>
    <w:rPr>
      <w:rFonts w:ascii="Calibri" w:hAnsi="Calibri"/>
      <w:kern w:val="0"/>
      <w:sz w:val="22"/>
      <w:szCs w:val="22"/>
    </w:rPr>
  </w:style>
  <w:style w:type="paragraph" w:styleId="17">
    <w:name w:val="Plain Text"/>
    <w:basedOn w:val="1"/>
    <w:link w:val="90"/>
    <w:qFormat/>
    <w:uiPriority w:val="0"/>
    <w:rPr>
      <w:rFonts w:ascii="宋体" w:hAnsi="Courier New"/>
      <w:kern w:val="0"/>
      <w:sz w:val="20"/>
      <w:szCs w:val="20"/>
    </w:rPr>
  </w:style>
  <w:style w:type="paragraph" w:styleId="18">
    <w:name w:val="Date"/>
    <w:basedOn w:val="1"/>
    <w:next w:val="1"/>
    <w:link w:val="54"/>
    <w:uiPriority w:val="0"/>
    <w:pPr>
      <w:ind w:left="100" w:leftChars="2500"/>
    </w:pPr>
    <w:rPr>
      <w:kern w:val="0"/>
      <w:sz w:val="20"/>
    </w:rPr>
  </w:style>
  <w:style w:type="paragraph" w:styleId="19">
    <w:name w:val="Body Text Indent 2"/>
    <w:basedOn w:val="1"/>
    <w:qFormat/>
    <w:uiPriority w:val="0"/>
    <w:pPr>
      <w:spacing w:after="120" w:line="480" w:lineRule="auto"/>
      <w:ind w:left="420" w:leftChars="200"/>
    </w:pPr>
  </w:style>
  <w:style w:type="paragraph" w:styleId="20">
    <w:name w:val="Balloon Text"/>
    <w:basedOn w:val="1"/>
    <w:link w:val="105"/>
    <w:qFormat/>
    <w:uiPriority w:val="0"/>
    <w:rPr>
      <w:kern w:val="0"/>
      <w:sz w:val="18"/>
      <w:szCs w:val="18"/>
    </w:rPr>
  </w:style>
  <w:style w:type="paragraph" w:styleId="21">
    <w:name w:val="footer"/>
    <w:basedOn w:val="1"/>
    <w:link w:val="94"/>
    <w:uiPriority w:val="99"/>
    <w:pPr>
      <w:tabs>
        <w:tab w:val="center" w:pos="4153"/>
        <w:tab w:val="right" w:pos="8306"/>
      </w:tabs>
      <w:snapToGrid w:val="0"/>
      <w:jc w:val="left"/>
    </w:pPr>
    <w:rPr>
      <w:kern w:val="0"/>
      <w:sz w:val="18"/>
      <w:szCs w:val="20"/>
    </w:rPr>
  </w:style>
  <w:style w:type="paragraph" w:styleId="22">
    <w:name w:val="header"/>
    <w:basedOn w:val="1"/>
    <w:link w:val="58"/>
    <w:uiPriority w:val="99"/>
    <w:pPr>
      <w:pBdr>
        <w:bottom w:val="single" w:color="auto" w:sz="6" w:space="1"/>
      </w:pBdr>
      <w:tabs>
        <w:tab w:val="center" w:pos="4153"/>
        <w:tab w:val="right" w:pos="8306"/>
      </w:tabs>
      <w:snapToGrid w:val="0"/>
      <w:jc w:val="center"/>
    </w:pPr>
    <w:rPr>
      <w:kern w:val="0"/>
      <w:sz w:val="18"/>
      <w:szCs w:val="20"/>
    </w:rPr>
  </w:style>
  <w:style w:type="paragraph" w:styleId="23">
    <w:name w:val="toc 1"/>
    <w:basedOn w:val="1"/>
    <w:next w:val="1"/>
    <w:uiPriority w:val="39"/>
    <w:pPr>
      <w:tabs>
        <w:tab w:val="right" w:leader="dot" w:pos="8296"/>
      </w:tabs>
      <w:jc w:val="left"/>
    </w:pPr>
  </w:style>
  <w:style w:type="paragraph" w:styleId="24">
    <w:name w:val="Subtitle"/>
    <w:basedOn w:val="1"/>
    <w:next w:val="1"/>
    <w:link w:val="99"/>
    <w:qFormat/>
    <w:uiPriority w:val="0"/>
    <w:pPr>
      <w:spacing w:before="240" w:after="60" w:line="312" w:lineRule="auto"/>
      <w:jc w:val="center"/>
      <w:outlineLvl w:val="1"/>
    </w:pPr>
    <w:rPr>
      <w:rFonts w:ascii="Calibri Light" w:hAnsi="Calibri Light"/>
      <w:b/>
      <w:bCs/>
      <w:kern w:val="28"/>
      <w:sz w:val="32"/>
      <w:szCs w:val="32"/>
    </w:rPr>
  </w:style>
  <w:style w:type="paragraph" w:styleId="25">
    <w:name w:val="Body Text Indent 3"/>
    <w:basedOn w:val="1"/>
    <w:link w:val="80"/>
    <w:uiPriority w:val="0"/>
    <w:pPr>
      <w:spacing w:after="120"/>
      <w:ind w:left="420" w:leftChars="200"/>
    </w:pPr>
    <w:rPr>
      <w:kern w:val="0"/>
      <w:sz w:val="16"/>
      <w:szCs w:val="16"/>
    </w:rPr>
  </w:style>
  <w:style w:type="paragraph" w:styleId="26">
    <w:name w:val="toc 2"/>
    <w:basedOn w:val="1"/>
    <w:next w:val="1"/>
    <w:unhideWhenUsed/>
    <w:uiPriority w:val="39"/>
    <w:pPr>
      <w:widowControl/>
      <w:spacing w:after="100" w:line="259" w:lineRule="auto"/>
      <w:ind w:left="220"/>
      <w:jc w:val="left"/>
    </w:pPr>
    <w:rPr>
      <w:rFonts w:ascii="Calibri" w:hAnsi="Calibri"/>
      <w:kern w:val="0"/>
      <w:sz w:val="22"/>
      <w:szCs w:val="22"/>
    </w:rPr>
  </w:style>
  <w:style w:type="paragraph" w:styleId="27">
    <w:name w:val="toc 9"/>
    <w:basedOn w:val="1"/>
    <w:next w:val="1"/>
    <w:uiPriority w:val="0"/>
    <w:pPr>
      <w:ind w:left="3360" w:leftChars="1600"/>
    </w:pPr>
  </w:style>
  <w:style w:type="paragraph" w:styleId="28">
    <w:name w:val="Body Text 2"/>
    <w:basedOn w:val="1"/>
    <w:link w:val="55"/>
    <w:unhideWhenUsed/>
    <w:uiPriority w:val="99"/>
    <w:pPr>
      <w:spacing w:after="120" w:line="480" w:lineRule="auto"/>
    </w:pPr>
  </w:style>
  <w:style w:type="paragraph" w:styleId="29">
    <w:name w:val="HTML Preformatted"/>
    <w:basedOn w:val="1"/>
    <w:link w:val="89"/>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0">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31">
    <w:name w:val="Title"/>
    <w:basedOn w:val="1"/>
    <w:next w:val="1"/>
    <w:link w:val="56"/>
    <w:qFormat/>
    <w:uiPriority w:val="0"/>
    <w:pPr>
      <w:spacing w:before="240" w:after="60"/>
      <w:jc w:val="center"/>
      <w:outlineLvl w:val="0"/>
    </w:pPr>
    <w:rPr>
      <w:rFonts w:ascii="Cambria" w:hAnsi="Cambria"/>
      <w:b/>
      <w:bCs/>
      <w:kern w:val="0"/>
      <w:sz w:val="36"/>
      <w:szCs w:val="32"/>
    </w:rPr>
  </w:style>
  <w:style w:type="paragraph" w:styleId="32">
    <w:name w:val="annotation subject"/>
    <w:basedOn w:val="12"/>
    <w:next w:val="12"/>
    <w:link w:val="74"/>
    <w:uiPriority w:val="99"/>
    <w:rPr>
      <w:b/>
      <w:bCs/>
    </w:rPr>
  </w:style>
  <w:style w:type="paragraph" w:styleId="33">
    <w:name w:val="Body Text First Indent"/>
    <w:basedOn w:val="13"/>
    <w:link w:val="84"/>
    <w:uiPriority w:val="0"/>
    <w:pPr>
      <w:ind w:firstLine="420" w:firstLineChars="100"/>
    </w:pPr>
  </w:style>
  <w:style w:type="table" w:styleId="35">
    <w:name w:val="Table Grid"/>
    <w:basedOn w:val="34"/>
    <w:qFormat/>
    <w:uiPriority w:val="0"/>
    <w:tblPr>
      <w:tblStyle w:val="3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style>
  <w:style w:type="character" w:styleId="38">
    <w:name w:val="page number"/>
    <w:uiPriority w:val="0"/>
  </w:style>
  <w:style w:type="character" w:styleId="39">
    <w:name w:val="FollowedHyperlink"/>
    <w:uiPriority w:val="99"/>
    <w:rPr>
      <w:color w:val="0000FF"/>
      <w:u w:val="single"/>
    </w:rPr>
  </w:style>
  <w:style w:type="character" w:styleId="40">
    <w:name w:val="Emphasis"/>
    <w:qFormat/>
    <w:uiPriority w:val="0"/>
    <w:rPr>
      <w:i/>
      <w:iCs/>
    </w:rPr>
  </w:style>
  <w:style w:type="character" w:styleId="41">
    <w:name w:val="HTML Definition"/>
    <w:basedOn w:val="36"/>
    <w:unhideWhenUsed/>
    <w:uiPriority w:val="99"/>
  </w:style>
  <w:style w:type="character" w:styleId="42">
    <w:name w:val="HTML Typewriter"/>
    <w:basedOn w:val="36"/>
    <w:unhideWhenUsed/>
    <w:uiPriority w:val="99"/>
    <w:rPr>
      <w:rFonts w:hint="default" w:ascii="monospace" w:hAnsi="monospace" w:eastAsia="monospace" w:cs="monospace"/>
      <w:sz w:val="20"/>
    </w:rPr>
  </w:style>
  <w:style w:type="character" w:styleId="43">
    <w:name w:val="HTML Acronym"/>
    <w:basedOn w:val="36"/>
    <w:unhideWhenUsed/>
    <w:uiPriority w:val="99"/>
  </w:style>
  <w:style w:type="character" w:styleId="44">
    <w:name w:val="HTML Variable"/>
    <w:basedOn w:val="36"/>
    <w:unhideWhenUsed/>
    <w:uiPriority w:val="99"/>
  </w:style>
  <w:style w:type="character" w:styleId="45">
    <w:name w:val="Hyperlink"/>
    <w:uiPriority w:val="99"/>
    <w:rPr>
      <w:color w:val="000099"/>
      <w:u w:val="none"/>
    </w:rPr>
  </w:style>
  <w:style w:type="character" w:styleId="46">
    <w:name w:val="HTML Code"/>
    <w:basedOn w:val="36"/>
    <w:unhideWhenUsed/>
    <w:uiPriority w:val="99"/>
    <w:rPr>
      <w:rFonts w:hint="default" w:ascii="monospace" w:hAnsi="monospace" w:eastAsia="monospace" w:cs="monospace"/>
      <w:sz w:val="20"/>
    </w:rPr>
  </w:style>
  <w:style w:type="character" w:styleId="47">
    <w:name w:val="annotation reference"/>
    <w:uiPriority w:val="0"/>
    <w:rPr>
      <w:sz w:val="21"/>
      <w:szCs w:val="21"/>
    </w:rPr>
  </w:style>
  <w:style w:type="character" w:styleId="48">
    <w:name w:val="HTML Cite"/>
    <w:basedOn w:val="36"/>
    <w:unhideWhenUsed/>
    <w:uiPriority w:val="99"/>
  </w:style>
  <w:style w:type="character" w:styleId="49">
    <w:name w:val="HTML Keyboard"/>
    <w:basedOn w:val="36"/>
    <w:unhideWhenUsed/>
    <w:uiPriority w:val="99"/>
    <w:rPr>
      <w:rFonts w:hint="default" w:ascii="monospace" w:hAnsi="monospace" w:eastAsia="monospace" w:cs="monospace"/>
      <w:sz w:val="20"/>
    </w:rPr>
  </w:style>
  <w:style w:type="character" w:styleId="50">
    <w:name w:val="HTML Sample"/>
    <w:basedOn w:val="36"/>
    <w:unhideWhenUsed/>
    <w:uiPriority w:val="99"/>
    <w:rPr>
      <w:rFonts w:ascii="monospace" w:hAnsi="monospace" w:eastAsia="monospace" w:cs="monospace"/>
    </w:rPr>
  </w:style>
  <w:style w:type="character" w:customStyle="1" w:styleId="51">
    <w:name w:val="Table Text Char"/>
    <w:uiPriority w:val="0"/>
    <w:rPr>
      <w:rFonts w:ascii="Arial" w:hAnsi="Arial" w:eastAsia="宋体"/>
      <w:sz w:val="18"/>
      <w:lang w:val="en-US" w:eastAsia="zh-CN" w:bidi="ar-SA"/>
    </w:rPr>
  </w:style>
  <w:style w:type="character" w:customStyle="1" w:styleId="52">
    <w:name w:val="标题 2 Char1"/>
    <w:link w:val="4"/>
    <w:uiPriority w:val="0"/>
    <w:rPr>
      <w:rFonts w:ascii="宋体"/>
      <w:kern w:val="2"/>
      <w:sz w:val="28"/>
    </w:rPr>
  </w:style>
  <w:style w:type="character" w:customStyle="1" w:styleId="53">
    <w:name w:val="layui-layer-tabnow"/>
    <w:basedOn w:val="36"/>
    <w:uiPriority w:val="0"/>
    <w:rPr>
      <w:bdr w:val="single" w:color="CCCCCC" w:sz="6" w:space="0"/>
      <w:shd w:val="clear" w:color="auto" w:fill="FFFFFF"/>
    </w:rPr>
  </w:style>
  <w:style w:type="character" w:customStyle="1" w:styleId="54">
    <w:name w:val="日期 Char"/>
    <w:link w:val="18"/>
    <w:uiPriority w:val="0"/>
    <w:rPr>
      <w:rFonts w:ascii="Times New Roman" w:hAnsi="Times New Roman" w:eastAsia="宋体" w:cs="Times New Roman"/>
      <w:szCs w:val="24"/>
    </w:rPr>
  </w:style>
  <w:style w:type="character" w:customStyle="1" w:styleId="55">
    <w:name w:val="正文文本 2 Char"/>
    <w:link w:val="28"/>
    <w:semiHidden/>
    <w:uiPriority w:val="99"/>
    <w:rPr>
      <w:kern w:val="2"/>
      <w:sz w:val="21"/>
      <w:szCs w:val="24"/>
    </w:rPr>
  </w:style>
  <w:style w:type="character" w:customStyle="1" w:styleId="56">
    <w:name w:val="标题 Char2"/>
    <w:link w:val="31"/>
    <w:uiPriority w:val="0"/>
    <w:rPr>
      <w:rFonts w:ascii="Cambria" w:hAnsi="Cambria"/>
      <w:b/>
      <w:bCs/>
      <w:sz w:val="36"/>
      <w:szCs w:val="32"/>
    </w:rPr>
  </w:style>
  <w:style w:type="character" w:customStyle="1" w:styleId="57">
    <w:name w:val="first-child"/>
    <w:basedOn w:val="36"/>
    <w:uiPriority w:val="0"/>
  </w:style>
  <w:style w:type="character" w:customStyle="1" w:styleId="58">
    <w:name w:val="页眉 Char1"/>
    <w:link w:val="22"/>
    <w:uiPriority w:val="99"/>
    <w:rPr>
      <w:rFonts w:ascii="Times New Roman" w:hAnsi="Times New Roman" w:eastAsia="宋体" w:cs="Times New Roman"/>
      <w:sz w:val="18"/>
      <w:szCs w:val="20"/>
    </w:rPr>
  </w:style>
  <w:style w:type="character" w:customStyle="1" w:styleId="59">
    <w:name w:val="样式 宋体 四号"/>
    <w:qFormat/>
    <w:uiPriority w:val="0"/>
    <w:rPr>
      <w:rFonts w:hint="eastAsia" w:ascii="宋体" w:hAnsi="宋体" w:eastAsia="仿宋_GB2312"/>
      <w:sz w:val="28"/>
    </w:rPr>
  </w:style>
  <w:style w:type="character" w:customStyle="1" w:styleId="60">
    <w:name w:val="正文文本 Char"/>
    <w:link w:val="13"/>
    <w:uiPriority w:val="0"/>
    <w:rPr>
      <w:rFonts w:ascii="Times New Roman" w:hAnsi="Times New Roman" w:eastAsia="宋体" w:cs="Times New Roman"/>
      <w:szCs w:val="24"/>
    </w:rPr>
  </w:style>
  <w:style w:type="character" w:customStyle="1" w:styleId="61">
    <w:name w:val="正文缩进 Char"/>
    <w:link w:val="5"/>
    <w:locked/>
    <w:uiPriority w:val="0"/>
    <w:rPr>
      <w:kern w:val="2"/>
      <w:sz w:val="21"/>
      <w:szCs w:val="24"/>
    </w:rPr>
  </w:style>
  <w:style w:type="character" w:customStyle="1" w:styleId="62">
    <w:name w:val="textcontents"/>
    <w:uiPriority w:val="0"/>
    <w:rPr>
      <w:rFonts w:cs="Times New Roman"/>
    </w:rPr>
  </w:style>
  <w:style w:type="character" w:customStyle="1" w:styleId="63">
    <w:name w:val="章标题 Char Char"/>
    <w:link w:val="64"/>
    <w:uiPriority w:val="0"/>
    <w:rPr>
      <w:rFonts w:ascii="黑体" w:eastAsia="黑体"/>
      <w:sz w:val="21"/>
      <w:lang w:val="en-US" w:eastAsia="zh-CN" w:bidi="ar-SA"/>
    </w:rPr>
  </w:style>
  <w:style w:type="paragraph" w:customStyle="1" w:styleId="64">
    <w:name w:val="章标题"/>
    <w:next w:val="65"/>
    <w:link w:val="63"/>
    <w:uiPriority w:val="0"/>
    <w:pPr>
      <w:tabs>
        <w:tab w:val="left" w:pos="720"/>
      </w:tabs>
      <w:spacing w:beforeLines="50" w:afterLines="50"/>
      <w:ind w:left="567" w:hanging="567"/>
      <w:jc w:val="both"/>
      <w:outlineLvl w:val="1"/>
    </w:pPr>
    <w:rPr>
      <w:rFonts w:ascii="黑体" w:eastAsia="黑体"/>
      <w:sz w:val="21"/>
      <w:lang w:val="en-US" w:eastAsia="zh-CN" w:bidi="ar-SA"/>
    </w:rPr>
  </w:style>
  <w:style w:type="paragraph" w:customStyle="1" w:styleId="65">
    <w:name w:val="段"/>
    <w:link w:val="75"/>
    <w:uiPriority w:val="0"/>
    <w:pPr>
      <w:autoSpaceDE w:val="0"/>
      <w:autoSpaceDN w:val="0"/>
      <w:ind w:firstLine="200" w:firstLineChars="200"/>
      <w:jc w:val="both"/>
    </w:pPr>
    <w:rPr>
      <w:rFonts w:ascii="宋体"/>
      <w:sz w:val="21"/>
      <w:lang w:val="en-US" w:eastAsia="zh-CN" w:bidi="ar-SA"/>
    </w:rPr>
  </w:style>
  <w:style w:type="character" w:customStyle="1" w:styleId="66">
    <w:name w:val="纯文本 Char"/>
    <w:aliases w:val="普通文字1 Char1,普通文字2 Char1,普通文字3 Char1,普通文字4 Char1,普通文字5 Char1,普通文字6 Char1,普通文字11 Char1,普通文字21 Char1,普通文字31 Char1,普通文字41 Char1,普通文字7 Char1,普通文字 Char Char1,孙普文字 Char1,普通文字 Char Char Char Char Char2,普通文字 Char Char Char Char Char Char Char Char2"/>
    <w:qFormat/>
    <w:uiPriority w:val="0"/>
    <w:rPr>
      <w:rFonts w:ascii="宋体" w:hAnsi="Courier New" w:eastAsia="宋体" w:cs="Courier New"/>
      <w:szCs w:val="21"/>
    </w:rPr>
  </w:style>
  <w:style w:type="character" w:customStyle="1" w:styleId="67">
    <w:name w:val="无间隔 Char"/>
    <w:link w:val="68"/>
    <w:qFormat/>
    <w:uiPriority w:val="1"/>
    <w:rPr>
      <w:kern w:val="2"/>
      <w:sz w:val="21"/>
      <w:szCs w:val="24"/>
      <w:lang w:val="en-US" w:eastAsia="zh-CN" w:bidi="ar-SA"/>
    </w:rPr>
  </w:style>
  <w:style w:type="paragraph" w:customStyle="1" w:styleId="68">
    <w:name w:val="_Style 32"/>
    <w:link w:val="67"/>
    <w:qFormat/>
    <w:uiPriority w:val="1"/>
    <w:pPr>
      <w:widowControl w:val="0"/>
      <w:jc w:val="both"/>
    </w:pPr>
    <w:rPr>
      <w:kern w:val="2"/>
      <w:sz w:val="21"/>
      <w:szCs w:val="24"/>
      <w:lang w:val="en-US" w:eastAsia="zh-CN" w:bidi="ar-SA"/>
    </w:rPr>
  </w:style>
  <w:style w:type="character" w:customStyle="1" w:styleId="69">
    <w:name w:val="标题 7 Char"/>
    <w:link w:val="10"/>
    <w:semiHidden/>
    <w:uiPriority w:val="9"/>
    <w:rPr>
      <w:rFonts w:ascii="Times New Roman" w:hAnsi="Times New Roman"/>
      <w:b/>
      <w:bCs/>
      <w:kern w:val="2"/>
      <w:sz w:val="24"/>
      <w:szCs w:val="24"/>
    </w:rPr>
  </w:style>
  <w:style w:type="character" w:customStyle="1" w:styleId="70">
    <w:name w:val="页眉 Char"/>
    <w:qFormat/>
    <w:uiPriority w:val="99"/>
    <w:rPr>
      <w:lang w:eastAsia="zh-CN"/>
    </w:rPr>
  </w:style>
  <w:style w:type="character" w:customStyle="1" w:styleId="71">
    <w:name w:val="一级条标题 Char Char"/>
    <w:link w:val="72"/>
    <w:uiPriority w:val="0"/>
    <w:rPr>
      <w:rFonts w:ascii="黑体" w:eastAsia="黑体"/>
      <w:sz w:val="21"/>
    </w:rPr>
  </w:style>
  <w:style w:type="paragraph" w:customStyle="1" w:styleId="72">
    <w:name w:val="一级条标题"/>
    <w:basedOn w:val="64"/>
    <w:next w:val="65"/>
    <w:link w:val="71"/>
    <w:uiPriority w:val="0"/>
    <w:pPr>
      <w:spacing w:beforeLines="0" w:afterLines="0"/>
      <w:ind w:left="567" w:hanging="567"/>
      <w:outlineLvl w:val="2"/>
    </w:pPr>
  </w:style>
  <w:style w:type="character" w:customStyle="1" w:styleId="73">
    <w:name w:val="标题 Char"/>
    <w:uiPriority w:val="0"/>
    <w:rPr>
      <w:rFonts w:ascii="Cambria" w:hAnsi="Cambria"/>
      <w:b/>
      <w:bCs/>
      <w:kern w:val="2"/>
      <w:sz w:val="36"/>
      <w:szCs w:val="32"/>
    </w:rPr>
  </w:style>
  <w:style w:type="character" w:customStyle="1" w:styleId="74">
    <w:name w:val="批注主题 Char1"/>
    <w:link w:val="32"/>
    <w:uiPriority w:val="99"/>
    <w:rPr>
      <w:rFonts w:ascii="Times New Roman" w:hAnsi="Times New Roman" w:eastAsia="宋体" w:cs="Times New Roman"/>
      <w:b/>
      <w:bCs/>
      <w:szCs w:val="24"/>
    </w:rPr>
  </w:style>
  <w:style w:type="character" w:customStyle="1" w:styleId="75">
    <w:name w:val="段 Char Char"/>
    <w:link w:val="65"/>
    <w:uiPriority w:val="0"/>
    <w:rPr>
      <w:rFonts w:ascii="宋体"/>
      <w:sz w:val="21"/>
      <w:lang w:val="en-US" w:eastAsia="zh-CN" w:bidi="ar-SA"/>
    </w:rPr>
  </w:style>
  <w:style w:type="character" w:customStyle="1" w:styleId="76">
    <w:name w:val="bookmark-item"/>
    <w:basedOn w:val="36"/>
    <w:uiPriority w:val="0"/>
  </w:style>
  <w:style w:type="character" w:customStyle="1" w:styleId="77">
    <w:name w:val="标题 3 Char"/>
    <w:link w:val="6"/>
    <w:uiPriority w:val="0"/>
    <w:rPr>
      <w:rFonts w:ascii="宋体"/>
      <w:kern w:val="2"/>
      <w:sz w:val="28"/>
    </w:rPr>
  </w:style>
  <w:style w:type="character" w:customStyle="1" w:styleId="78">
    <w:name w:val="标题 2 Char"/>
    <w:uiPriority w:val="0"/>
    <w:rPr>
      <w:rFonts w:ascii="Cambria" w:hAnsi="Cambria" w:eastAsia="宋体"/>
      <w:b/>
      <w:bCs/>
      <w:sz w:val="32"/>
      <w:szCs w:val="32"/>
    </w:rPr>
  </w:style>
  <w:style w:type="character" w:customStyle="1" w:styleId="79">
    <w:name w:val="标题 Char1"/>
    <w:uiPriority w:val="0"/>
    <w:rPr>
      <w:rFonts w:ascii="Calibri Light" w:hAnsi="Calibri Light" w:eastAsia="宋体" w:cs="Times New Roman"/>
      <w:b/>
      <w:bCs/>
      <w:sz w:val="32"/>
      <w:szCs w:val="32"/>
    </w:rPr>
  </w:style>
  <w:style w:type="character" w:customStyle="1" w:styleId="80">
    <w:name w:val="正文文本缩进 3 Char"/>
    <w:link w:val="25"/>
    <w:uiPriority w:val="0"/>
    <w:rPr>
      <w:rFonts w:ascii="Times New Roman" w:hAnsi="Times New Roman" w:eastAsia="宋体" w:cs="Times New Roman"/>
      <w:sz w:val="16"/>
      <w:szCs w:val="16"/>
    </w:rPr>
  </w:style>
  <w:style w:type="character" w:customStyle="1" w:styleId="81">
    <w:name w:val="三级条标题 Char Char"/>
    <w:link w:val="82"/>
    <w:uiPriority w:val="0"/>
    <w:rPr>
      <w:rFonts w:ascii="黑体" w:eastAsia="黑体"/>
      <w:sz w:val="21"/>
    </w:rPr>
  </w:style>
  <w:style w:type="paragraph" w:customStyle="1" w:styleId="82">
    <w:name w:val="三级条标题"/>
    <w:basedOn w:val="83"/>
    <w:next w:val="65"/>
    <w:link w:val="81"/>
    <w:uiPriority w:val="0"/>
    <w:pPr>
      <w:tabs>
        <w:tab w:val="left" w:pos="720"/>
        <w:tab w:val="left" w:pos="992"/>
      </w:tabs>
      <w:ind w:left="992" w:hanging="992"/>
      <w:outlineLvl w:val="4"/>
    </w:pPr>
  </w:style>
  <w:style w:type="paragraph" w:customStyle="1" w:styleId="83">
    <w:name w:val="二级条标题"/>
    <w:basedOn w:val="72"/>
    <w:next w:val="65"/>
    <w:link w:val="93"/>
    <w:uiPriority w:val="0"/>
    <w:pPr>
      <w:ind w:left="567" w:hanging="567"/>
      <w:outlineLvl w:val="3"/>
    </w:pPr>
  </w:style>
  <w:style w:type="character" w:customStyle="1" w:styleId="84">
    <w:name w:val="正文首行缩进 Char"/>
    <w:link w:val="33"/>
    <w:uiPriority w:val="0"/>
    <w:rPr>
      <w:rFonts w:ascii="Times New Roman" w:hAnsi="Times New Roman" w:eastAsia="宋体" w:cs="Times New Roman"/>
      <w:szCs w:val="24"/>
    </w:rPr>
  </w:style>
  <w:style w:type="character" w:customStyle="1" w:styleId="85">
    <w:name w:val="批注文字 Char"/>
    <w:qFormat/>
    <w:uiPriority w:val="0"/>
    <w:rPr>
      <w:rFonts w:ascii="Times New Roman" w:hAnsi="Times New Roman" w:eastAsia="宋体" w:cs="Times New Roman"/>
      <w:szCs w:val="24"/>
    </w:rPr>
  </w:style>
  <w:style w:type="character" w:customStyle="1" w:styleId="86">
    <w:name w:val="标题 4 Char"/>
    <w:link w:val="7"/>
    <w:uiPriority w:val="0"/>
    <w:rPr>
      <w:rFonts w:ascii="Calibri Light" w:hAnsi="Calibri Light" w:eastAsia="宋体" w:cs="Times New Roman"/>
      <w:b/>
      <w:bCs/>
      <w:sz w:val="28"/>
      <w:szCs w:val="28"/>
    </w:rPr>
  </w:style>
  <w:style w:type="character" w:customStyle="1" w:styleId="87">
    <w:name w:val="标题4 Char Char"/>
    <w:link w:val="88"/>
    <w:uiPriority w:val="0"/>
    <w:rPr>
      <w:rFonts w:ascii="Arial" w:hAnsi="Arial"/>
      <w:b/>
      <w:bCs/>
      <w:sz w:val="24"/>
      <w:szCs w:val="32"/>
    </w:rPr>
  </w:style>
  <w:style w:type="paragraph" w:customStyle="1" w:styleId="88">
    <w:name w:val="标题4"/>
    <w:basedOn w:val="4"/>
    <w:next w:val="15"/>
    <w:link w:val="87"/>
    <w:uiPriority w:val="0"/>
    <w:pPr>
      <w:numPr>
        <w:ilvl w:val="0"/>
        <w:numId w:val="0"/>
      </w:numPr>
      <w:tabs>
        <w:tab w:val="clear" w:pos="425"/>
        <w:tab w:val="clear" w:pos="720"/>
      </w:tabs>
      <w:snapToGrid/>
      <w:spacing w:before="260" w:after="260" w:line="413" w:lineRule="auto"/>
    </w:pPr>
    <w:rPr>
      <w:rFonts w:ascii="Arial" w:hAnsi="Arial"/>
      <w:b/>
      <w:bCs/>
      <w:kern w:val="0"/>
      <w:sz w:val="24"/>
      <w:szCs w:val="32"/>
    </w:rPr>
  </w:style>
  <w:style w:type="character" w:customStyle="1" w:styleId="89">
    <w:name w:val="HTML 预设格式 Char"/>
    <w:link w:val="29"/>
    <w:uiPriority w:val="99"/>
    <w:rPr>
      <w:rFonts w:ascii="宋体" w:hAnsi="宋体" w:cs="宋体"/>
      <w:sz w:val="24"/>
      <w:szCs w:val="24"/>
    </w:rPr>
  </w:style>
  <w:style w:type="character" w:customStyle="1" w:styleId="90">
    <w:name w:val="纯文本 Char2"/>
    <w:link w:val="17"/>
    <w:qFormat/>
    <w:uiPriority w:val="0"/>
    <w:rPr>
      <w:rFonts w:ascii="宋体" w:hAnsi="Courier New" w:eastAsia="宋体" w:cs="Times New Roman"/>
      <w:szCs w:val="20"/>
    </w:rPr>
  </w:style>
  <w:style w:type="character" w:customStyle="1" w:styleId="91">
    <w:name w:val="Table Text Char Char Char"/>
    <w:uiPriority w:val="0"/>
    <w:rPr>
      <w:rFonts w:ascii="Arial" w:hAnsi="Arial" w:eastAsia="宋体" w:cs="Arial"/>
      <w:sz w:val="18"/>
      <w:szCs w:val="18"/>
      <w:lang w:val="en-US" w:eastAsia="zh-CN" w:bidi="ar-SA"/>
    </w:rPr>
  </w:style>
  <w:style w:type="character" w:customStyle="1" w:styleId="92">
    <w:name w:val="文档结构图 Char"/>
    <w:link w:val="11"/>
    <w:semiHidden/>
    <w:uiPriority w:val="99"/>
    <w:rPr>
      <w:rFonts w:ascii="Microsoft YaHei UI" w:hAnsi="Times New Roman" w:eastAsia="Microsoft YaHei UI" w:cs="Times New Roman"/>
      <w:sz w:val="18"/>
      <w:szCs w:val="18"/>
    </w:rPr>
  </w:style>
  <w:style w:type="character" w:customStyle="1" w:styleId="93">
    <w:name w:val="二级条标题 Char Char"/>
    <w:link w:val="83"/>
    <w:uiPriority w:val="0"/>
    <w:rPr>
      <w:rFonts w:ascii="黑体" w:eastAsia="黑体"/>
      <w:sz w:val="21"/>
    </w:rPr>
  </w:style>
  <w:style w:type="character" w:customStyle="1" w:styleId="94">
    <w:name w:val="页脚 Char"/>
    <w:link w:val="21"/>
    <w:uiPriority w:val="99"/>
    <w:rPr>
      <w:rFonts w:ascii="Times New Roman" w:hAnsi="Times New Roman" w:eastAsia="宋体" w:cs="Times New Roman"/>
      <w:sz w:val="18"/>
      <w:szCs w:val="20"/>
    </w:rPr>
  </w:style>
  <w:style w:type="character" w:customStyle="1" w:styleId="95">
    <w:name w:val="无间隔 Char1"/>
    <w:link w:val="96"/>
    <w:qFormat/>
    <w:uiPriority w:val="1"/>
    <w:rPr>
      <w:kern w:val="2"/>
      <w:sz w:val="21"/>
      <w:szCs w:val="24"/>
      <w:lang w:val="en-US" w:eastAsia="zh-CN" w:bidi="ar-SA"/>
    </w:rPr>
  </w:style>
  <w:style w:type="paragraph" w:styleId="96">
    <w:name w:val="No Spacing"/>
    <w:link w:val="95"/>
    <w:qFormat/>
    <w:uiPriority w:val="1"/>
    <w:pPr>
      <w:widowControl w:val="0"/>
      <w:jc w:val="both"/>
    </w:pPr>
    <w:rPr>
      <w:kern w:val="2"/>
      <w:sz w:val="21"/>
      <w:szCs w:val="24"/>
      <w:lang w:val="en-US" w:eastAsia="zh-CN" w:bidi="ar-SA"/>
    </w:rPr>
  </w:style>
  <w:style w:type="character" w:customStyle="1" w:styleId="97">
    <w:name w:val="正文文本缩进 Char"/>
    <w:link w:val="14"/>
    <w:uiPriority w:val="0"/>
    <w:rPr>
      <w:rFonts w:ascii="宋体" w:hAnsi="宋体" w:eastAsia="宋体" w:cs="Times New Roman"/>
      <w:szCs w:val="21"/>
    </w:rPr>
  </w:style>
  <w:style w:type="character" w:customStyle="1" w:styleId="98">
    <w:name w:val="纯文本 Char1"/>
    <w:aliases w:val="纯文本 Char Char,普通文字1 Char,普通文字2 Char,普通文字3 Char,普通文字4 Char,普通文字5 Char,普通文字6 Char,普通文字11 Char,普通文字21 Char,普通文字31 Char,普通文字41 Char,普通文字7 Char,普通文字 Char Char Char Char Char Char Char Char1,表格内容 Char"/>
    <w:qFormat/>
    <w:uiPriority w:val="0"/>
    <w:rPr>
      <w:rFonts w:ascii="宋体" w:hAnsi="Courier New" w:eastAsia="宋体" w:cs="Courier New"/>
      <w:sz w:val="21"/>
      <w:szCs w:val="21"/>
    </w:rPr>
  </w:style>
  <w:style w:type="character" w:customStyle="1" w:styleId="99">
    <w:name w:val="副标题 Char"/>
    <w:link w:val="24"/>
    <w:uiPriority w:val="0"/>
    <w:rPr>
      <w:rFonts w:ascii="Calibri Light" w:hAnsi="Calibri Light" w:eastAsia="宋体" w:cs="Times New Roman"/>
      <w:b/>
      <w:bCs/>
      <w:kern w:val="28"/>
      <w:sz w:val="32"/>
      <w:szCs w:val="32"/>
    </w:rPr>
  </w:style>
  <w:style w:type="character" w:customStyle="1" w:styleId="100">
    <w:name w:val="纯文本 字符"/>
    <w:qFormat/>
    <w:uiPriority w:val="0"/>
    <w:rPr>
      <w:rFonts w:ascii="宋体" w:hAnsi="Courier New" w:eastAsia="宋体"/>
    </w:rPr>
  </w:style>
  <w:style w:type="character" w:customStyle="1" w:styleId="101">
    <w:name w:val="标题 5 Char"/>
    <w:link w:val="8"/>
    <w:uiPriority w:val="0"/>
    <w:rPr>
      <w:rFonts w:ascii="Times New Roman" w:hAnsi="Times New Roman" w:eastAsia="宋体" w:cs="Times New Roman"/>
      <w:b/>
      <w:bCs/>
      <w:sz w:val="28"/>
      <w:szCs w:val="28"/>
    </w:rPr>
  </w:style>
  <w:style w:type="character" w:customStyle="1" w:styleId="102">
    <w:name w:val="标题 1 Char"/>
    <w:link w:val="3"/>
    <w:uiPriority w:val="0"/>
    <w:rPr>
      <w:rFonts w:ascii="宋体" w:eastAsia="黑体"/>
      <w:kern w:val="28"/>
      <w:sz w:val="28"/>
    </w:rPr>
  </w:style>
  <w:style w:type="character" w:customStyle="1" w:styleId="103">
    <w:name w:val="批注文字 Char1"/>
    <w:link w:val="12"/>
    <w:uiPriority w:val="0"/>
    <w:rPr>
      <w:rFonts w:ascii="Times New Roman" w:hAnsi="Times New Roman" w:eastAsia="宋体" w:cs="Times New Roman"/>
      <w:szCs w:val="24"/>
    </w:rPr>
  </w:style>
  <w:style w:type="character" w:customStyle="1" w:styleId="104">
    <w:name w:val="批注主题 Char"/>
    <w:semiHidden/>
    <w:uiPriority w:val="99"/>
    <w:rPr>
      <w:rFonts w:ascii="Times New Roman" w:hAnsi="Times New Roman" w:eastAsia="宋体" w:cs="Times New Roman"/>
      <w:b/>
      <w:bCs/>
      <w:szCs w:val="24"/>
    </w:rPr>
  </w:style>
  <w:style w:type="character" w:customStyle="1" w:styleId="105">
    <w:name w:val="批注框文本 Char"/>
    <w:link w:val="20"/>
    <w:qFormat/>
    <w:uiPriority w:val="0"/>
    <w:rPr>
      <w:rFonts w:ascii="Times New Roman" w:hAnsi="Times New Roman" w:eastAsia="宋体" w:cs="Times New Roman"/>
      <w:sz w:val="18"/>
      <w:szCs w:val="18"/>
    </w:rPr>
  </w:style>
  <w:style w:type="character" w:customStyle="1" w:styleId="106">
    <w:name w:val="标题 6 Char"/>
    <w:link w:val="9"/>
    <w:uiPriority w:val="0"/>
    <w:rPr>
      <w:rFonts w:ascii="Calibri Light" w:hAnsi="Calibri Light" w:eastAsia="宋体" w:cs="Times New Roman"/>
      <w:b/>
      <w:bCs/>
      <w:sz w:val="24"/>
      <w:szCs w:val="24"/>
    </w:rPr>
  </w:style>
  <w:style w:type="character" w:customStyle="1" w:styleId="107">
    <w:name w:val="tabg"/>
    <w:uiPriority w:val="0"/>
    <w:rPr>
      <w:rFonts w:ascii="微软雅黑" w:hAnsi="微软雅黑" w:eastAsia="微软雅黑" w:cs="微软雅黑"/>
      <w:color w:val="FFFFFF"/>
      <w:sz w:val="27"/>
      <w:szCs w:val="27"/>
    </w:rPr>
  </w:style>
  <w:style w:type="paragraph" w:customStyle="1" w:styleId="108">
    <w:name w:val="_Style 3"/>
    <w:qFormat/>
    <w:uiPriority w:val="1"/>
    <w:pPr>
      <w:widowControl w:val="0"/>
      <w:jc w:val="both"/>
    </w:pPr>
    <w:rPr>
      <w:kern w:val="2"/>
      <w:sz w:val="21"/>
      <w:szCs w:val="24"/>
      <w:lang w:val="en-US" w:eastAsia="zh-CN" w:bidi="ar-SA"/>
    </w:rPr>
  </w:style>
  <w:style w:type="paragraph" w:customStyle="1" w:styleId="109">
    <w:name w:val="_Style 40"/>
    <w:basedOn w:val="3"/>
    <w:next w:val="1"/>
    <w:qFormat/>
    <w:uiPriority w:val="39"/>
    <w:pPr>
      <w:widowControl/>
      <w:numPr>
        <w:ilvl w:val="0"/>
        <w:numId w:val="0"/>
      </w:numPr>
      <w:snapToGrid/>
      <w:spacing w:before="240" w:line="259" w:lineRule="auto"/>
      <w:jc w:val="left"/>
      <w:outlineLvl w:val="9"/>
    </w:pPr>
    <w:rPr>
      <w:rFonts w:ascii="Calibri Light" w:hAnsi="Calibri Light" w:eastAsia="宋体"/>
      <w:color w:val="2E74B5"/>
      <w:kern w:val="0"/>
      <w:sz w:val="32"/>
      <w:szCs w:val="32"/>
    </w:rPr>
  </w:style>
  <w:style w:type="paragraph" w:customStyle="1" w:styleId="110">
    <w:name w:val="xl5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11">
    <w:name w:val="p16"/>
    <w:basedOn w:val="1"/>
    <w:qFormat/>
    <w:uiPriority w:val="0"/>
    <w:pPr>
      <w:widowControl/>
    </w:pPr>
    <w:rPr>
      <w:rFonts w:ascii="宋体" w:hAnsi="宋体" w:cs="宋体"/>
      <w:kern w:val="0"/>
      <w:szCs w:val="21"/>
    </w:rPr>
  </w:style>
  <w:style w:type="paragraph" w:customStyle="1" w:styleId="112">
    <w:name w:val="2"/>
    <w:qFormat/>
    <w:uiPriority w:val="1"/>
    <w:pPr>
      <w:widowControl w:val="0"/>
      <w:jc w:val="both"/>
    </w:pPr>
    <w:rPr>
      <w:kern w:val="2"/>
      <w:sz w:val="21"/>
      <w:szCs w:val="24"/>
      <w:lang w:val="en-US" w:eastAsia="zh-CN" w:bidi="ar-SA"/>
    </w:rPr>
  </w:style>
  <w:style w:type="paragraph" w:customStyle="1" w:styleId="113">
    <w:name w:val="表内文字  居左"/>
    <w:basedOn w:val="1"/>
    <w:uiPriority w:val="0"/>
    <w:pPr>
      <w:jc w:val="left"/>
    </w:pPr>
    <w:rPr>
      <w:snapToGrid w:val="0"/>
      <w:szCs w:val="20"/>
    </w:rPr>
  </w:style>
  <w:style w:type="paragraph" w:customStyle="1" w:styleId="114">
    <w:name w:val="正文_0_0"/>
    <w:qFormat/>
    <w:uiPriority w:val="0"/>
    <w:pPr>
      <w:widowControl w:val="0"/>
      <w:spacing w:line="360" w:lineRule="auto"/>
      <w:jc w:val="both"/>
    </w:pPr>
    <w:rPr>
      <w:kern w:val="2"/>
      <w:sz w:val="21"/>
      <w:szCs w:val="24"/>
      <w:lang w:val="en-US" w:eastAsia="zh-CN" w:bidi="ar-SA"/>
    </w:rPr>
  </w:style>
  <w:style w:type="paragraph" w:customStyle="1" w:styleId="115">
    <w:name w:val="列出段落11"/>
    <w:basedOn w:val="1"/>
    <w:qFormat/>
    <w:uiPriority w:val="0"/>
    <w:pPr>
      <w:ind w:firstLine="420" w:firstLineChars="200"/>
    </w:pPr>
  </w:style>
  <w:style w:type="paragraph" w:customStyle="1" w:styleId="116">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117">
    <w:name w:val=" Char Char26"/>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 Char"/>
    <w:basedOn w:val="1"/>
    <w:uiPriority w:val="0"/>
    <w:pPr>
      <w:widowControl/>
      <w:spacing w:after="160" w:line="240" w:lineRule="exact"/>
      <w:jc w:val="left"/>
    </w:pPr>
    <w:rPr>
      <w:rFonts w:ascii="Arial" w:hAnsi="Arial" w:eastAsia="Times New Roman" w:cs="Verdana"/>
      <w:b/>
      <w:kern w:val="0"/>
      <w:sz w:val="24"/>
      <w:lang w:eastAsia="en-US"/>
    </w:rPr>
  </w:style>
  <w:style w:type="paragraph" w:styleId="119">
    <w:name w:val="List Paragraph"/>
    <w:basedOn w:val="1"/>
    <w:qFormat/>
    <w:uiPriority w:val="99"/>
    <w:pPr>
      <w:ind w:firstLine="420" w:firstLineChars="200"/>
    </w:pPr>
  </w:style>
  <w:style w:type="paragraph" w:customStyle="1" w:styleId="120">
    <w:name w:val="Table Text Char Char"/>
    <w:uiPriority w:val="0"/>
    <w:pPr>
      <w:snapToGrid w:val="0"/>
      <w:spacing w:before="80" w:after="80"/>
    </w:pPr>
    <w:rPr>
      <w:rFonts w:ascii="Arial" w:hAnsi="Arial" w:cs="Arial"/>
      <w:sz w:val="18"/>
      <w:szCs w:val="18"/>
      <w:lang w:val="en-US" w:eastAsia="zh-CN" w:bidi="ar-SA"/>
    </w:rPr>
  </w:style>
  <w:style w:type="paragraph" w:customStyle="1" w:styleId="121">
    <w:name w:val="_Style 1"/>
    <w:qFormat/>
    <w:uiPriority w:val="1"/>
    <w:pPr>
      <w:widowControl w:val="0"/>
      <w:jc w:val="both"/>
    </w:pPr>
    <w:rPr>
      <w:kern w:val="2"/>
      <w:sz w:val="21"/>
      <w:szCs w:val="24"/>
      <w:lang w:val="en-US" w:eastAsia="zh-CN" w:bidi="ar-SA"/>
    </w:rPr>
  </w:style>
  <w:style w:type="paragraph" w:customStyle="1" w:styleId="122">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23">
    <w:name w:val="列出段落111"/>
    <w:basedOn w:val="1"/>
    <w:qFormat/>
    <w:uiPriority w:val="0"/>
    <w:pPr>
      <w:ind w:firstLine="420" w:firstLineChars="200"/>
    </w:pPr>
    <w:rPr>
      <w:rFonts w:ascii="Calibri" w:hAnsi="Calibri"/>
      <w:sz w:val="28"/>
    </w:rPr>
  </w:style>
  <w:style w:type="paragraph" w:customStyle="1" w:styleId="124">
    <w:name w:val="样式 小四 段前: 5 磅 段后: 5 磅 首行缩进:  2 字符"/>
    <w:basedOn w:val="1"/>
    <w:uiPriority w:val="0"/>
    <w:pPr>
      <w:spacing w:line="360" w:lineRule="auto"/>
    </w:pPr>
    <w:rPr>
      <w:rFonts w:ascii="宋体" w:hAnsi="宋体"/>
      <w:szCs w:val="21"/>
    </w:rPr>
  </w:style>
  <w:style w:type="paragraph" w:customStyle="1" w:styleId="125">
    <w:name w:val="xl52"/>
    <w:basedOn w:val="1"/>
    <w:uiPriority w:val="0"/>
    <w:pPr>
      <w:widowControl/>
      <w:spacing w:before="100" w:beforeAutospacing="1" w:after="100" w:afterAutospacing="1"/>
      <w:jc w:val="center"/>
      <w:textAlignment w:val="top"/>
    </w:pPr>
    <w:rPr>
      <w:kern w:val="0"/>
      <w:sz w:val="20"/>
      <w:szCs w:val="20"/>
    </w:rPr>
  </w:style>
  <w:style w:type="paragraph" w:customStyle="1" w:styleId="126">
    <w:name w:val="_Style 29"/>
    <w:basedOn w:val="1"/>
    <w:qFormat/>
    <w:uiPriority w:val="34"/>
    <w:pPr>
      <w:ind w:firstLine="420" w:firstLineChars="200"/>
    </w:pPr>
  </w:style>
  <w:style w:type="paragraph" w:customStyle="1" w:styleId="127">
    <w:name w:val="Default"/>
    <w:qFormat/>
    <w:uiPriority w:val="0"/>
    <w:pPr>
      <w:widowControl w:val="0"/>
      <w:autoSpaceDE w:val="0"/>
      <w:autoSpaceDN w:val="0"/>
      <w:adjustRightInd w:val="0"/>
    </w:pPr>
    <w:rPr>
      <w:rFonts w:ascii="微软雅黑" w:cs="微软雅黑"/>
      <w:color w:val="000000"/>
      <w:sz w:val="24"/>
      <w:szCs w:val="24"/>
      <w:lang w:val="en-US" w:eastAsia="zh-CN" w:bidi="ar-SA"/>
    </w:rPr>
  </w:style>
  <w:style w:type="paragraph" w:customStyle="1" w:styleId="128">
    <w:name w:val="正文_0"/>
    <w:qFormat/>
    <w:uiPriority w:val="0"/>
    <w:pPr>
      <w:widowControl w:val="0"/>
      <w:spacing w:line="360" w:lineRule="auto"/>
      <w:jc w:val="both"/>
    </w:pPr>
    <w:rPr>
      <w:kern w:val="2"/>
      <w:sz w:val="21"/>
      <w:szCs w:val="24"/>
      <w:lang w:val="en-US" w:eastAsia="zh-CN" w:bidi="ar-SA"/>
    </w:rPr>
  </w:style>
  <w:style w:type="paragraph" w:customStyle="1" w:styleId="129">
    <w:name w:val="正文图标题"/>
    <w:next w:val="65"/>
    <w:uiPriority w:val="0"/>
    <w:pPr>
      <w:ind w:left="360" w:hanging="360"/>
      <w:jc w:val="center"/>
    </w:pPr>
    <w:rPr>
      <w:rFonts w:ascii="黑体" w:eastAsia="黑体"/>
      <w:sz w:val="21"/>
      <w:lang w:val="en-US" w:eastAsia="zh-CN" w:bidi="ar-SA"/>
    </w:rPr>
  </w:style>
  <w:style w:type="paragraph" w:customStyle="1" w:styleId="130">
    <w:name w:val="_Style 2"/>
    <w:basedOn w:val="1"/>
    <w:qFormat/>
    <w:uiPriority w:val="0"/>
    <w:pPr>
      <w:widowControl/>
      <w:ind w:firstLine="420" w:firstLineChars="200"/>
      <w:jc w:val="left"/>
    </w:pPr>
    <w:rPr>
      <w:rFonts w:ascii="Calibri" w:hAnsi="Calibri"/>
      <w:sz w:val="24"/>
    </w:rPr>
  </w:style>
  <w:style w:type="paragraph" w:customStyle="1" w:styleId="131">
    <w:name w:val="正文表标题"/>
    <w:next w:val="65"/>
    <w:uiPriority w:val="0"/>
    <w:pPr>
      <w:ind w:left="360" w:hanging="360"/>
      <w:jc w:val="center"/>
    </w:pPr>
    <w:rPr>
      <w:rFonts w:ascii="黑体" w:eastAsia="黑体"/>
      <w:sz w:val="21"/>
      <w:lang w:val="en-US" w:eastAsia="zh-CN" w:bidi="ar-SA"/>
    </w:rPr>
  </w:style>
  <w:style w:type="paragraph" w:customStyle="1" w:styleId="132">
    <w:name w:val="Char1"/>
    <w:basedOn w:val="11"/>
    <w:uiPriority w:val="0"/>
    <w:pPr>
      <w:shd w:val="clear" w:color="auto" w:fill="000080"/>
    </w:pPr>
    <w:rPr>
      <w:rFonts w:ascii="Times New Roman" w:eastAsia="宋体"/>
      <w:sz w:val="21"/>
      <w:szCs w:val="20"/>
      <w:shd w:val="clear" w:color="auto" w:fill="000080"/>
    </w:rPr>
  </w:style>
  <w:style w:type="paragraph" w:customStyle="1" w:styleId="133">
    <w:name w:val="列出段落1"/>
    <w:basedOn w:val="1"/>
    <w:qFormat/>
    <w:uiPriority w:val="34"/>
    <w:pPr>
      <w:ind w:firstLine="420" w:firstLineChars="200"/>
    </w:pPr>
    <w:rPr>
      <w:rFonts w:ascii="Calibri" w:hAnsi="Calibri" w:cs="黑体"/>
      <w:szCs w:val="22"/>
    </w:rPr>
  </w:style>
  <w:style w:type="paragraph" w:customStyle="1" w:styleId="134">
    <w:name w:val="Table Text"/>
    <w:basedOn w:val="1"/>
    <w:uiPriority w:val="0"/>
    <w:pPr>
      <w:widowControl/>
      <w:tabs>
        <w:tab w:val="decimal" w:pos="0"/>
      </w:tabs>
      <w:autoSpaceDE w:val="0"/>
      <w:autoSpaceDN w:val="0"/>
      <w:adjustRightInd w:val="0"/>
      <w:spacing w:before="80" w:after="80"/>
    </w:pPr>
    <w:rPr>
      <w:rFonts w:ascii="Arial" w:hAnsi="Arial"/>
      <w:kern w:val="0"/>
      <w:sz w:val="18"/>
      <w:szCs w:val="20"/>
    </w:rPr>
  </w:style>
  <w:style w:type="paragraph" w:customStyle="1" w:styleId="135">
    <w:name w:val="样式1"/>
    <w:basedOn w:val="1"/>
    <w:uiPriority w:val="0"/>
    <w:rPr>
      <w:rFonts w:eastAsia="仿宋_GB2312"/>
      <w:kern w:val="0"/>
      <w:sz w:val="32"/>
      <w:szCs w:val="20"/>
    </w:rPr>
  </w:style>
  <w:style w:type="paragraph" w:customStyle="1" w:styleId="136">
    <w:name w:val="目次、标准名称标题"/>
    <w:basedOn w:val="1"/>
    <w:next w:val="65"/>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7">
    <w:name w:val="_Style 0"/>
    <w:qFormat/>
    <w:uiPriority w:val="1"/>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3919</Words>
  <Characters>4373</Characters>
  <Lines>264</Lines>
  <Paragraphs>74</Paragraphs>
  <TotalTime>103</TotalTime>
  <ScaleCrop>false</ScaleCrop>
  <LinksUpToDate>false</LinksUpToDate>
  <CharactersWithSpaces>4679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2021-05-19T08:59:00Z</dcterms:created>
  <dc:creator>李青</dc:creator>
  <cp:lastModifiedBy>玉簪轻绾融于发</cp:lastModifiedBy>
  <cp:lastPrinted>2017-06-30T02:55:00Z</cp:lastPrinted>
  <dcterms:modified xsi:type="dcterms:W3CDTF">2025-09-26T07:46:54Z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6F2C457591BC422286D4617D74F74B34_13</vt:lpwstr>
  </property>
</Properties>
</file>