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2B2CB">
      <w:pPr>
        <w:adjustRightInd w:val="0"/>
        <w:spacing w:line="360" w:lineRule="auto"/>
        <w:jc w:val="center"/>
        <w:textAlignment w:val="baseline"/>
        <w:rPr>
          <w:rFonts w:hint="eastAsia" w:ascii="宋体" w:hAnsi="宋体" w:eastAsia="宋体" w:cs="宋体"/>
          <w:b/>
          <w:color w:val="000000"/>
          <w:sz w:val="48"/>
          <w:szCs w:val="48"/>
        </w:rPr>
      </w:pPr>
      <w:r>
        <w:rPr>
          <w:rFonts w:hint="eastAsia" w:ascii="宋体" w:hAnsi="宋体" w:eastAsia="宋体" w:cs="宋体"/>
          <w:b/>
          <w:color w:val="000000"/>
          <w:sz w:val="48"/>
          <w:szCs w:val="48"/>
        </w:rPr>
        <w:t xml:space="preserve"> </w:t>
      </w:r>
    </w:p>
    <w:p w14:paraId="7CD36EB4">
      <w:pPr>
        <w:adjustRightInd w:val="0"/>
        <w:spacing w:line="360" w:lineRule="auto"/>
        <w:jc w:val="center"/>
        <w:textAlignment w:val="baseline"/>
        <w:rPr>
          <w:rFonts w:hint="eastAsia" w:ascii="宋体" w:hAnsi="宋体" w:eastAsia="宋体" w:cs="宋体"/>
          <w:b/>
          <w:color w:val="000000"/>
          <w:sz w:val="48"/>
          <w:szCs w:val="48"/>
        </w:rPr>
      </w:pPr>
    </w:p>
    <w:p w14:paraId="2287B2D1">
      <w:pPr>
        <w:adjustRightInd w:val="0"/>
        <w:spacing w:line="360" w:lineRule="auto"/>
        <w:jc w:val="center"/>
        <w:textAlignment w:val="baseline"/>
        <w:rPr>
          <w:rFonts w:hint="eastAsia" w:ascii="宋体" w:hAnsi="宋体" w:eastAsia="宋体" w:cs="宋体"/>
          <w:color w:val="000000"/>
          <w:sz w:val="32"/>
        </w:rPr>
      </w:pPr>
    </w:p>
    <w:p w14:paraId="7C5E707E">
      <w:pPr>
        <w:pStyle w:val="30"/>
        <w:spacing w:before="0" w:after="0" w:line="360" w:lineRule="auto"/>
        <w:rPr>
          <w:rFonts w:hint="eastAsia" w:ascii="宋体" w:hAnsi="宋体" w:eastAsia="宋体" w:cs="宋体"/>
          <w:color w:val="000000"/>
          <w:sz w:val="96"/>
        </w:rPr>
      </w:pPr>
      <w:bookmarkStart w:id="0" w:name="_Toc449568588"/>
      <w:r>
        <w:rPr>
          <w:rFonts w:hint="eastAsia" w:ascii="宋体" w:hAnsi="宋体" w:eastAsia="宋体" w:cs="宋体"/>
          <w:color w:val="000000"/>
          <w:sz w:val="96"/>
        </w:rPr>
        <w:t>竞争性磋商文件</w:t>
      </w:r>
      <w:bookmarkEnd w:id="0"/>
    </w:p>
    <w:p w14:paraId="37072D15">
      <w:pPr>
        <w:adjustRightInd w:val="0"/>
        <w:spacing w:line="360" w:lineRule="auto"/>
        <w:jc w:val="center"/>
        <w:textAlignment w:val="baseline"/>
        <w:rPr>
          <w:rFonts w:hint="eastAsia" w:ascii="宋体" w:hAnsi="宋体" w:eastAsia="宋体" w:cs="宋体"/>
          <w:color w:val="000000"/>
          <w:sz w:val="36"/>
          <w:szCs w:val="36"/>
        </w:rPr>
      </w:pPr>
    </w:p>
    <w:p w14:paraId="72C5D2E0">
      <w:pPr>
        <w:adjustRightInd w:val="0"/>
        <w:spacing w:line="360" w:lineRule="auto"/>
        <w:jc w:val="center"/>
        <w:textAlignment w:val="baseline"/>
        <w:rPr>
          <w:rFonts w:hint="eastAsia" w:ascii="宋体" w:hAnsi="宋体" w:eastAsia="宋体" w:cs="宋体"/>
          <w:color w:val="000000"/>
          <w:sz w:val="36"/>
          <w:szCs w:val="36"/>
        </w:rPr>
      </w:pPr>
    </w:p>
    <w:p w14:paraId="1AC84282">
      <w:pPr>
        <w:adjustRightInd w:val="0"/>
        <w:spacing w:line="360" w:lineRule="auto"/>
        <w:jc w:val="center"/>
        <w:textAlignment w:val="baseline"/>
        <w:rPr>
          <w:rFonts w:hint="eastAsia" w:ascii="宋体" w:hAnsi="宋体" w:eastAsia="宋体" w:cs="宋体"/>
          <w:color w:val="000000"/>
          <w:sz w:val="36"/>
          <w:szCs w:val="36"/>
        </w:rPr>
      </w:pPr>
    </w:p>
    <w:p w14:paraId="126393AC">
      <w:pPr>
        <w:adjustRightInd w:val="0"/>
        <w:spacing w:line="360" w:lineRule="auto"/>
        <w:jc w:val="center"/>
        <w:textAlignment w:val="baseline"/>
        <w:rPr>
          <w:rFonts w:hint="eastAsia" w:ascii="宋体" w:hAnsi="宋体" w:eastAsia="宋体" w:cs="宋体"/>
          <w:color w:val="000000"/>
          <w:sz w:val="36"/>
          <w:szCs w:val="36"/>
        </w:rPr>
      </w:pPr>
    </w:p>
    <w:p w14:paraId="2E22D72F">
      <w:pPr>
        <w:spacing w:line="480" w:lineRule="auto"/>
        <w:ind w:left="2537" w:leftChars="137" w:hanging="2249" w:hangingChars="700"/>
        <w:rPr>
          <w:rFonts w:hint="eastAsia" w:ascii="宋体" w:hAnsi="宋体" w:eastAsia="宋体" w:cs="宋体"/>
          <w:b/>
          <w:color w:val="000000"/>
          <w:kern w:val="0"/>
          <w:sz w:val="32"/>
          <w:szCs w:val="32"/>
          <w:lang w:eastAsia="zh-CN"/>
        </w:rPr>
      </w:pPr>
      <w:r>
        <w:rPr>
          <w:rFonts w:hint="eastAsia" w:ascii="宋体" w:hAnsi="宋体" w:eastAsia="宋体" w:cs="宋体"/>
          <w:b/>
          <w:color w:val="000000"/>
          <w:kern w:val="0"/>
          <w:sz w:val="32"/>
          <w:szCs w:val="32"/>
        </w:rPr>
        <w:t>采购项目名称：</w:t>
      </w:r>
      <w:r>
        <w:rPr>
          <w:rFonts w:hint="eastAsia" w:ascii="宋体" w:hAnsi="宋体" w:cs="宋体"/>
          <w:b/>
          <w:color w:val="000000"/>
          <w:kern w:val="0"/>
          <w:sz w:val="32"/>
          <w:szCs w:val="32"/>
          <w:lang w:eastAsia="zh-CN"/>
        </w:rPr>
        <w:t>校园应用与网络运维服务--财务数字化建设</w:t>
      </w:r>
    </w:p>
    <w:p w14:paraId="664A3602">
      <w:pPr>
        <w:widowControl/>
        <w:adjustRightInd w:val="0"/>
        <w:snapToGrid w:val="0"/>
        <w:spacing w:line="480" w:lineRule="auto"/>
        <w:ind w:firstLine="321" w:firstLineChars="100"/>
        <w:jc w:val="left"/>
        <w:textAlignment w:val="baseline"/>
        <w:rPr>
          <w:rFonts w:hint="eastAsia" w:ascii="宋体" w:hAnsi="宋体" w:cs="宋体"/>
          <w:b/>
          <w:color w:val="000000"/>
          <w:kern w:val="0"/>
          <w:sz w:val="32"/>
          <w:szCs w:val="32"/>
          <w:lang w:eastAsia="zh-CN"/>
        </w:rPr>
      </w:pPr>
      <w:r>
        <w:rPr>
          <w:rFonts w:hint="eastAsia" w:ascii="宋体" w:hAnsi="宋体" w:eastAsia="宋体" w:cs="宋体"/>
          <w:b/>
          <w:color w:val="000000"/>
          <w:kern w:val="0"/>
          <w:sz w:val="32"/>
          <w:szCs w:val="32"/>
        </w:rPr>
        <w:t>采购项目编号：</w:t>
      </w:r>
      <w:r>
        <w:rPr>
          <w:rFonts w:hint="eastAsia" w:ascii="宋体" w:hAnsi="宋体" w:cs="宋体"/>
          <w:b/>
          <w:color w:val="000000"/>
          <w:kern w:val="0"/>
          <w:sz w:val="32"/>
          <w:szCs w:val="32"/>
          <w:lang w:eastAsia="zh-CN"/>
        </w:rPr>
        <w:t>青海海际竞磋（服务）2025-131</w:t>
      </w:r>
    </w:p>
    <w:p w14:paraId="1053DBA7">
      <w:pPr>
        <w:widowControl/>
        <w:adjustRightInd w:val="0"/>
        <w:snapToGrid w:val="0"/>
        <w:spacing w:line="480" w:lineRule="auto"/>
        <w:ind w:firstLine="321" w:firstLineChars="100"/>
        <w:jc w:val="left"/>
        <w:textAlignment w:val="baseline"/>
        <w:rPr>
          <w:rFonts w:hint="eastAsia" w:ascii="宋体" w:hAnsi="宋体" w:eastAsia="宋体" w:cs="宋体"/>
          <w:b/>
          <w:color w:val="000000"/>
          <w:kern w:val="0"/>
          <w:sz w:val="32"/>
          <w:szCs w:val="32"/>
          <w:lang w:eastAsia="zh-CN"/>
        </w:rPr>
      </w:pPr>
      <w:r>
        <w:rPr>
          <w:rFonts w:hint="eastAsia" w:ascii="宋体" w:hAnsi="宋体" w:eastAsia="宋体" w:cs="宋体"/>
          <w:b/>
          <w:bCs/>
          <w:color w:val="000000"/>
          <w:sz w:val="32"/>
          <w:szCs w:val="32"/>
        </w:rPr>
        <w:t>采 购 单 位</w:t>
      </w:r>
      <w:r>
        <w:rPr>
          <w:rFonts w:hint="eastAsia" w:ascii="宋体" w:hAnsi="宋体" w:eastAsia="宋体" w:cs="宋体"/>
          <w:color w:val="000000"/>
          <w:sz w:val="32"/>
          <w:szCs w:val="32"/>
        </w:rPr>
        <w:t>：</w:t>
      </w:r>
      <w:r>
        <w:rPr>
          <w:rFonts w:hint="eastAsia" w:ascii="宋体" w:hAnsi="宋体" w:eastAsia="宋体" w:cs="宋体"/>
          <w:b/>
          <w:color w:val="000000"/>
          <w:kern w:val="0"/>
          <w:sz w:val="32"/>
          <w:szCs w:val="32"/>
          <w:lang w:eastAsia="zh-CN"/>
        </w:rPr>
        <w:t>青海民族大学</w:t>
      </w:r>
    </w:p>
    <w:p w14:paraId="44D89B0F">
      <w:pPr>
        <w:widowControl/>
        <w:adjustRightInd w:val="0"/>
        <w:snapToGrid w:val="0"/>
        <w:spacing w:line="480" w:lineRule="auto"/>
        <w:ind w:firstLine="321" w:firstLineChars="100"/>
        <w:jc w:val="left"/>
        <w:textAlignment w:val="baseline"/>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rPr>
        <w:t>采购代理机构：</w:t>
      </w:r>
      <w:r>
        <w:rPr>
          <w:rFonts w:hint="eastAsia" w:ascii="宋体" w:hAnsi="宋体" w:cs="宋体"/>
          <w:b/>
          <w:bCs/>
          <w:color w:val="000000"/>
          <w:sz w:val="32"/>
          <w:szCs w:val="32"/>
          <w:lang w:eastAsia="zh-CN"/>
        </w:rPr>
        <w:t>青海海际项目咨询管理有限公司</w:t>
      </w:r>
    </w:p>
    <w:p w14:paraId="0CE3644C">
      <w:pPr>
        <w:widowControl/>
        <w:adjustRightInd w:val="0"/>
        <w:snapToGrid w:val="0"/>
        <w:spacing w:line="360" w:lineRule="auto"/>
        <w:ind w:left="2681" w:leftChars="194" w:hanging="2274" w:hangingChars="708"/>
        <w:jc w:val="left"/>
        <w:textAlignment w:val="baseline"/>
        <w:rPr>
          <w:rFonts w:hint="eastAsia" w:ascii="宋体" w:hAnsi="宋体" w:eastAsia="宋体" w:cs="宋体"/>
          <w:b/>
          <w:bCs/>
          <w:color w:val="000000"/>
          <w:sz w:val="32"/>
          <w:szCs w:val="32"/>
        </w:rPr>
      </w:pPr>
    </w:p>
    <w:p w14:paraId="37CABCDE">
      <w:pPr>
        <w:adjustRightInd w:val="0"/>
        <w:spacing w:line="360" w:lineRule="auto"/>
        <w:jc w:val="center"/>
        <w:textAlignment w:val="baseline"/>
        <w:rPr>
          <w:rFonts w:hint="eastAsia" w:ascii="宋体" w:hAnsi="宋体" w:eastAsia="宋体" w:cs="宋体"/>
          <w:b/>
          <w:bCs/>
          <w:color w:val="000000"/>
          <w:sz w:val="32"/>
          <w:szCs w:val="32"/>
          <w:lang w:eastAsia="zh-CN"/>
        </w:rPr>
      </w:pPr>
      <w:bookmarkStart w:id="1" w:name="OLE_LINK1"/>
      <w:r>
        <w:rPr>
          <w:rFonts w:hint="eastAsia" w:ascii="宋体" w:hAnsi="宋体" w:eastAsia="宋体" w:cs="宋体"/>
          <w:b/>
          <w:bCs/>
          <w:color w:val="000000"/>
          <w:sz w:val="32"/>
          <w:szCs w:val="32"/>
          <w:lang w:eastAsia="zh-CN"/>
        </w:rPr>
        <w:t>2025年</w:t>
      </w:r>
      <w:r>
        <w:rPr>
          <w:rFonts w:hint="eastAsia" w:ascii="宋体" w:hAnsi="宋体" w:cs="宋体"/>
          <w:b/>
          <w:bCs/>
          <w:color w:val="000000"/>
          <w:sz w:val="32"/>
          <w:szCs w:val="32"/>
          <w:lang w:val="en-US" w:eastAsia="zh-CN"/>
        </w:rPr>
        <w:t>10</w:t>
      </w:r>
      <w:r>
        <w:rPr>
          <w:rFonts w:hint="eastAsia" w:ascii="宋体" w:hAnsi="宋体" w:eastAsia="宋体" w:cs="宋体"/>
          <w:b/>
          <w:bCs/>
          <w:color w:val="000000"/>
          <w:sz w:val="32"/>
          <w:szCs w:val="32"/>
          <w:lang w:eastAsia="zh-CN"/>
        </w:rPr>
        <w:t>月</w:t>
      </w:r>
    </w:p>
    <w:bookmarkEnd w:id="1"/>
    <w:p w14:paraId="5B1ECB52">
      <w:pPr>
        <w:spacing w:line="276" w:lineRule="auto"/>
        <w:jc w:val="center"/>
        <w:rPr>
          <w:rFonts w:hint="eastAsia" w:ascii="宋体" w:hAnsi="宋体" w:eastAsia="宋体" w:cs="宋体"/>
          <w:color w:val="000000"/>
          <w:sz w:val="28"/>
        </w:rPr>
      </w:pPr>
      <w:r>
        <w:rPr>
          <w:rFonts w:hint="eastAsia" w:ascii="宋体" w:hAnsi="宋体" w:eastAsia="宋体" w:cs="宋体"/>
          <w:b/>
          <w:color w:val="000000"/>
          <w:sz w:val="48"/>
          <w:szCs w:val="48"/>
        </w:rPr>
        <w:br w:type="page"/>
      </w:r>
      <w:r>
        <w:rPr>
          <w:rFonts w:hint="eastAsia" w:ascii="宋体" w:hAnsi="宋体" w:eastAsia="宋体" w:cs="宋体"/>
          <w:color w:val="000000"/>
          <w:sz w:val="52"/>
          <w:szCs w:val="48"/>
        </w:rPr>
        <w:t>目 录</w:t>
      </w:r>
    </w:p>
    <w:p w14:paraId="2EF7A6A0">
      <w:pPr>
        <w:pStyle w:val="22"/>
        <w:tabs>
          <w:tab w:val="right" w:leader="dot" w:pos="8618"/>
          <w:tab w:val="clear" w:pos="8296"/>
        </w:tabs>
      </w:pPr>
      <w:r>
        <w:rPr>
          <w:rFonts w:hint="eastAsia" w:ascii="宋体" w:hAnsi="宋体" w:eastAsia="宋体" w:cs="宋体"/>
          <w:color w:val="000000"/>
          <w:sz w:val="32"/>
        </w:rPr>
        <w:fldChar w:fldCharType="begin"/>
      </w:r>
      <w:r>
        <w:rPr>
          <w:rFonts w:hint="eastAsia" w:ascii="宋体" w:hAnsi="宋体" w:eastAsia="宋体" w:cs="宋体"/>
          <w:color w:val="000000"/>
          <w:sz w:val="32"/>
        </w:rPr>
        <w:instrText xml:space="preserve"> TOC \h \z \t "标题 1,1,标题 2,1,标题 3,1,标题 4,1,标题 5,1,标题 6,1,标题 7,1,副标题,1" </w:instrText>
      </w:r>
      <w:r>
        <w:rPr>
          <w:rFonts w:hint="eastAsia" w:ascii="宋体" w:hAnsi="宋体" w:eastAsia="宋体" w:cs="宋体"/>
          <w:color w:val="000000"/>
          <w:sz w:val="32"/>
        </w:rPr>
        <w:fldChar w:fldCharType="separate"/>
      </w:r>
      <w:r>
        <w:rPr>
          <w:rFonts w:hint="eastAsia" w:ascii="宋体" w:hAnsi="宋体" w:eastAsia="宋体" w:cs="宋体"/>
          <w:color w:val="000000"/>
        </w:rPr>
        <w:fldChar w:fldCharType="begin"/>
      </w:r>
      <w:r>
        <w:rPr>
          <w:rFonts w:hint="eastAsia" w:ascii="宋体" w:hAnsi="宋体" w:eastAsia="宋体" w:cs="宋体"/>
        </w:rPr>
        <w:instrText xml:space="preserve"> HYPERLINK \l _Toc32058 </w:instrText>
      </w:r>
      <w:r>
        <w:rPr>
          <w:rFonts w:hint="eastAsia" w:ascii="宋体" w:hAnsi="宋体" w:eastAsia="宋体" w:cs="宋体"/>
        </w:rPr>
        <w:fldChar w:fldCharType="separate"/>
      </w:r>
      <w:r>
        <w:rPr>
          <w:rFonts w:hint="eastAsia" w:ascii="宋体" w:hAnsi="宋体" w:eastAsia="宋体" w:cs="宋体"/>
        </w:rPr>
        <w:t>第一部分  磋商邀请</w:t>
      </w:r>
      <w:r>
        <w:tab/>
      </w:r>
      <w:r>
        <w:fldChar w:fldCharType="begin"/>
      </w:r>
      <w:r>
        <w:instrText xml:space="preserve"> PAGEREF _Toc32058 \h </w:instrText>
      </w:r>
      <w:r>
        <w:fldChar w:fldCharType="separate"/>
      </w:r>
      <w:r>
        <w:t>4</w:t>
      </w:r>
      <w:r>
        <w:fldChar w:fldCharType="end"/>
      </w:r>
      <w:r>
        <w:rPr>
          <w:rFonts w:hint="eastAsia" w:ascii="宋体" w:hAnsi="宋体" w:eastAsia="宋体" w:cs="宋体"/>
          <w:color w:val="000000"/>
        </w:rPr>
        <w:fldChar w:fldCharType="end"/>
      </w:r>
    </w:p>
    <w:p w14:paraId="35CA44A4">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_Toc31808 </w:instrText>
      </w:r>
      <w:r>
        <w:rPr>
          <w:rFonts w:hint="eastAsia" w:ascii="宋体" w:hAnsi="宋体" w:eastAsia="宋体" w:cs="宋体"/>
          <w:bCs/>
        </w:rPr>
        <w:fldChar w:fldCharType="separate"/>
      </w:r>
      <w:r>
        <w:rPr>
          <w:rFonts w:hint="eastAsia" w:ascii="宋体" w:hAnsi="宋体" w:eastAsia="宋体" w:cs="宋体"/>
        </w:rPr>
        <w:t>第二部分  磋商供应商须知前附表</w:t>
      </w:r>
      <w:r>
        <w:tab/>
      </w:r>
      <w:r>
        <w:fldChar w:fldCharType="begin"/>
      </w:r>
      <w:r>
        <w:instrText xml:space="preserve"> PAGEREF _Toc31808 \h </w:instrText>
      </w:r>
      <w:r>
        <w:fldChar w:fldCharType="separate"/>
      </w:r>
      <w:r>
        <w:t>7</w:t>
      </w:r>
      <w:r>
        <w:fldChar w:fldCharType="end"/>
      </w:r>
      <w:r>
        <w:rPr>
          <w:rFonts w:hint="eastAsia" w:ascii="宋体" w:hAnsi="宋体" w:eastAsia="宋体" w:cs="宋体"/>
          <w:bCs/>
          <w:color w:val="000000"/>
        </w:rPr>
        <w:fldChar w:fldCharType="end"/>
      </w:r>
    </w:p>
    <w:p w14:paraId="3F3F4034">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_Toc18270 </w:instrText>
      </w:r>
      <w:r>
        <w:rPr>
          <w:rFonts w:hint="eastAsia" w:ascii="宋体" w:hAnsi="宋体" w:eastAsia="宋体" w:cs="宋体"/>
          <w:bCs/>
        </w:rPr>
        <w:fldChar w:fldCharType="separate"/>
      </w:r>
      <w:r>
        <w:rPr>
          <w:rFonts w:hint="eastAsia" w:ascii="宋体" w:hAnsi="宋体" w:eastAsia="宋体" w:cs="宋体"/>
        </w:rPr>
        <w:t>第三部分  磋商供应商须知</w:t>
      </w:r>
      <w:r>
        <w:tab/>
      </w:r>
      <w:r>
        <w:fldChar w:fldCharType="begin"/>
      </w:r>
      <w:r>
        <w:instrText xml:space="preserve"> PAGEREF _Toc18270 \h </w:instrText>
      </w:r>
      <w:r>
        <w:fldChar w:fldCharType="separate"/>
      </w:r>
      <w:r>
        <w:t>11</w:t>
      </w:r>
      <w:r>
        <w:fldChar w:fldCharType="end"/>
      </w:r>
      <w:r>
        <w:rPr>
          <w:rFonts w:hint="eastAsia" w:ascii="宋体" w:hAnsi="宋体" w:eastAsia="宋体" w:cs="宋体"/>
          <w:bCs/>
          <w:color w:val="000000"/>
        </w:rPr>
        <w:fldChar w:fldCharType="end"/>
      </w:r>
    </w:p>
    <w:p w14:paraId="4F784BAA">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_Toc5151 </w:instrText>
      </w:r>
      <w:r>
        <w:rPr>
          <w:rFonts w:hint="eastAsia" w:ascii="宋体" w:hAnsi="宋体" w:eastAsia="宋体" w:cs="宋体"/>
          <w:bCs/>
        </w:rPr>
        <w:fldChar w:fldCharType="separate"/>
      </w:r>
      <w:r>
        <w:rPr>
          <w:rFonts w:hint="eastAsia" w:ascii="宋体" w:hAnsi="宋体" w:eastAsia="宋体" w:cs="宋体"/>
          <w:szCs w:val="32"/>
        </w:rPr>
        <w:t>一、 说明</w:t>
      </w:r>
      <w:r>
        <w:tab/>
      </w:r>
      <w:r>
        <w:fldChar w:fldCharType="begin"/>
      </w:r>
      <w:r>
        <w:instrText xml:space="preserve"> PAGEREF _Toc5151 \h </w:instrText>
      </w:r>
      <w:r>
        <w:fldChar w:fldCharType="separate"/>
      </w:r>
      <w:r>
        <w:t>11</w:t>
      </w:r>
      <w:r>
        <w:fldChar w:fldCharType="end"/>
      </w:r>
      <w:r>
        <w:rPr>
          <w:rFonts w:hint="eastAsia" w:ascii="宋体" w:hAnsi="宋体" w:eastAsia="宋体" w:cs="宋体"/>
          <w:bCs/>
          <w:color w:val="000000"/>
        </w:rPr>
        <w:fldChar w:fldCharType="end"/>
      </w:r>
    </w:p>
    <w:p w14:paraId="3D92BC7F">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_Toc20351 </w:instrText>
      </w:r>
      <w:r>
        <w:rPr>
          <w:rFonts w:hint="eastAsia" w:ascii="宋体" w:hAnsi="宋体" w:eastAsia="宋体" w:cs="宋体"/>
          <w:bCs/>
        </w:rPr>
        <w:fldChar w:fldCharType="separate"/>
      </w:r>
      <w:r>
        <w:rPr>
          <w:rFonts w:hint="default" w:ascii="宋体" w:hAnsi="宋体" w:eastAsia="宋体" w:cs="宋体"/>
        </w:rPr>
        <w:t xml:space="preserve">1、 </w:t>
      </w:r>
      <w:r>
        <w:rPr>
          <w:rFonts w:hint="eastAsia" w:ascii="宋体" w:hAnsi="宋体" w:eastAsia="宋体" w:cs="宋体"/>
        </w:rPr>
        <w:t>磋商内容及要求</w:t>
      </w:r>
      <w:r>
        <w:tab/>
      </w:r>
      <w:r>
        <w:fldChar w:fldCharType="begin"/>
      </w:r>
      <w:r>
        <w:instrText xml:space="preserve"> PAGEREF _Toc20351 \h </w:instrText>
      </w:r>
      <w:r>
        <w:fldChar w:fldCharType="separate"/>
      </w:r>
      <w:r>
        <w:t>11</w:t>
      </w:r>
      <w:r>
        <w:fldChar w:fldCharType="end"/>
      </w:r>
      <w:r>
        <w:rPr>
          <w:rFonts w:hint="eastAsia" w:ascii="宋体" w:hAnsi="宋体" w:eastAsia="宋体" w:cs="宋体"/>
          <w:bCs/>
          <w:color w:val="000000"/>
        </w:rPr>
        <w:fldChar w:fldCharType="end"/>
      </w:r>
    </w:p>
    <w:p w14:paraId="1CF3E933">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_Toc29867 </w:instrText>
      </w:r>
      <w:r>
        <w:rPr>
          <w:rFonts w:hint="eastAsia" w:ascii="宋体" w:hAnsi="宋体" w:eastAsia="宋体" w:cs="宋体"/>
          <w:bCs/>
        </w:rPr>
        <w:fldChar w:fldCharType="separate"/>
      </w:r>
      <w:r>
        <w:rPr>
          <w:rFonts w:hint="default" w:ascii="宋体" w:hAnsi="宋体" w:eastAsia="宋体" w:cs="宋体"/>
        </w:rPr>
        <w:t xml:space="preserve">2、 </w:t>
      </w:r>
      <w:r>
        <w:rPr>
          <w:rFonts w:hint="eastAsia" w:ascii="宋体" w:hAnsi="宋体" w:eastAsia="宋体" w:cs="宋体"/>
        </w:rPr>
        <w:t>采购方式、合格的磋商供应商</w:t>
      </w:r>
      <w:r>
        <w:tab/>
      </w:r>
      <w:r>
        <w:fldChar w:fldCharType="begin"/>
      </w:r>
      <w:r>
        <w:instrText xml:space="preserve"> PAGEREF _Toc29867 \h </w:instrText>
      </w:r>
      <w:r>
        <w:fldChar w:fldCharType="separate"/>
      </w:r>
      <w:r>
        <w:t>11</w:t>
      </w:r>
      <w:r>
        <w:fldChar w:fldCharType="end"/>
      </w:r>
      <w:r>
        <w:rPr>
          <w:rFonts w:hint="eastAsia" w:ascii="宋体" w:hAnsi="宋体" w:eastAsia="宋体" w:cs="宋体"/>
          <w:bCs/>
          <w:color w:val="000000"/>
        </w:rPr>
        <w:fldChar w:fldCharType="end"/>
      </w:r>
    </w:p>
    <w:p w14:paraId="49A7A768">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_Toc2737 </w:instrText>
      </w:r>
      <w:r>
        <w:rPr>
          <w:rFonts w:hint="eastAsia" w:ascii="宋体" w:hAnsi="宋体" w:eastAsia="宋体" w:cs="宋体"/>
          <w:bCs/>
        </w:rPr>
        <w:fldChar w:fldCharType="separate"/>
      </w:r>
      <w:r>
        <w:rPr>
          <w:rFonts w:hint="default" w:ascii="宋体" w:hAnsi="宋体" w:eastAsia="宋体" w:cs="宋体"/>
        </w:rPr>
        <w:t xml:space="preserve">3、 </w:t>
      </w:r>
      <w:r>
        <w:rPr>
          <w:rFonts w:hint="eastAsia" w:ascii="宋体" w:hAnsi="宋体" w:eastAsia="宋体" w:cs="宋体"/>
        </w:rPr>
        <w:t>磋商费用</w:t>
      </w:r>
      <w:r>
        <w:tab/>
      </w:r>
      <w:r>
        <w:fldChar w:fldCharType="begin"/>
      </w:r>
      <w:r>
        <w:instrText xml:space="preserve"> PAGEREF _Toc2737 \h </w:instrText>
      </w:r>
      <w:r>
        <w:fldChar w:fldCharType="separate"/>
      </w:r>
      <w:r>
        <w:t>11</w:t>
      </w:r>
      <w:r>
        <w:fldChar w:fldCharType="end"/>
      </w:r>
      <w:r>
        <w:rPr>
          <w:rFonts w:hint="eastAsia" w:ascii="宋体" w:hAnsi="宋体" w:eastAsia="宋体" w:cs="宋体"/>
          <w:bCs/>
          <w:color w:val="000000"/>
        </w:rPr>
        <w:fldChar w:fldCharType="end"/>
      </w:r>
    </w:p>
    <w:p w14:paraId="2B13B455">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_Toc21933 </w:instrText>
      </w:r>
      <w:r>
        <w:rPr>
          <w:rFonts w:hint="eastAsia" w:ascii="宋体" w:hAnsi="宋体" w:eastAsia="宋体" w:cs="宋体"/>
          <w:bCs/>
        </w:rPr>
        <w:fldChar w:fldCharType="separate"/>
      </w:r>
      <w:r>
        <w:rPr>
          <w:rFonts w:hint="eastAsia" w:ascii="宋体" w:hAnsi="宋体" w:eastAsia="宋体" w:cs="宋体"/>
          <w:szCs w:val="32"/>
        </w:rPr>
        <w:t>二、 磋商文件说明</w:t>
      </w:r>
      <w:r>
        <w:tab/>
      </w:r>
      <w:r>
        <w:fldChar w:fldCharType="begin"/>
      </w:r>
      <w:r>
        <w:instrText xml:space="preserve"> PAGEREF _Toc21933 \h </w:instrText>
      </w:r>
      <w:r>
        <w:fldChar w:fldCharType="separate"/>
      </w:r>
      <w:r>
        <w:t>11</w:t>
      </w:r>
      <w:r>
        <w:fldChar w:fldCharType="end"/>
      </w:r>
      <w:r>
        <w:rPr>
          <w:rFonts w:hint="eastAsia" w:ascii="宋体" w:hAnsi="宋体" w:eastAsia="宋体" w:cs="宋体"/>
          <w:bCs/>
          <w:color w:val="000000"/>
        </w:rPr>
        <w:fldChar w:fldCharType="end"/>
      </w:r>
    </w:p>
    <w:p w14:paraId="5AE0A521">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_Toc13441 </w:instrText>
      </w:r>
      <w:r>
        <w:rPr>
          <w:rFonts w:hint="eastAsia" w:ascii="宋体" w:hAnsi="宋体" w:eastAsia="宋体" w:cs="宋体"/>
          <w:bCs/>
        </w:rPr>
        <w:fldChar w:fldCharType="separate"/>
      </w:r>
      <w:r>
        <w:rPr>
          <w:rFonts w:hint="default" w:ascii="宋体" w:hAnsi="宋体" w:eastAsia="宋体" w:cs="宋体"/>
        </w:rPr>
        <w:t xml:space="preserve">4、 </w:t>
      </w:r>
      <w:r>
        <w:rPr>
          <w:rFonts w:hint="eastAsia" w:ascii="宋体" w:hAnsi="宋体" w:eastAsia="宋体" w:cs="宋体"/>
        </w:rPr>
        <w:t>磋商文件的构成</w:t>
      </w:r>
      <w:r>
        <w:tab/>
      </w:r>
      <w:r>
        <w:fldChar w:fldCharType="begin"/>
      </w:r>
      <w:r>
        <w:instrText xml:space="preserve"> PAGEREF _Toc13441 \h </w:instrText>
      </w:r>
      <w:r>
        <w:fldChar w:fldCharType="separate"/>
      </w:r>
      <w:r>
        <w:t>12</w:t>
      </w:r>
      <w:r>
        <w:fldChar w:fldCharType="end"/>
      </w:r>
      <w:r>
        <w:rPr>
          <w:rFonts w:hint="eastAsia" w:ascii="宋体" w:hAnsi="宋体" w:eastAsia="宋体" w:cs="宋体"/>
          <w:bCs/>
          <w:color w:val="000000"/>
        </w:rPr>
        <w:fldChar w:fldCharType="end"/>
      </w:r>
    </w:p>
    <w:p w14:paraId="79B5B85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_Toc25562 </w:instrText>
      </w:r>
      <w:r>
        <w:rPr>
          <w:rFonts w:hint="eastAsia" w:ascii="宋体" w:hAnsi="宋体" w:eastAsia="宋体" w:cs="宋体"/>
          <w:bCs/>
        </w:rPr>
        <w:fldChar w:fldCharType="separate"/>
      </w:r>
      <w:r>
        <w:rPr>
          <w:rFonts w:hint="default" w:ascii="宋体" w:hAnsi="宋体" w:eastAsia="宋体" w:cs="宋体"/>
        </w:rPr>
        <w:t xml:space="preserve">5、 </w:t>
      </w:r>
      <w:r>
        <w:rPr>
          <w:rFonts w:hint="eastAsia" w:ascii="宋体" w:hAnsi="宋体" w:eastAsia="宋体" w:cs="宋体"/>
        </w:rPr>
        <w:t>磋商文件、磋商活动和成交结果的质疑</w:t>
      </w:r>
      <w:r>
        <w:tab/>
      </w:r>
      <w:r>
        <w:fldChar w:fldCharType="begin"/>
      </w:r>
      <w:r>
        <w:instrText xml:space="preserve"> PAGEREF _Toc25562 \h </w:instrText>
      </w:r>
      <w:r>
        <w:fldChar w:fldCharType="separate"/>
      </w:r>
      <w:r>
        <w:t>12</w:t>
      </w:r>
      <w:r>
        <w:fldChar w:fldCharType="end"/>
      </w:r>
      <w:r>
        <w:rPr>
          <w:rFonts w:hint="eastAsia" w:ascii="宋体" w:hAnsi="宋体" w:eastAsia="宋体" w:cs="宋体"/>
          <w:bCs/>
          <w:color w:val="000000"/>
        </w:rPr>
        <w:fldChar w:fldCharType="end"/>
      </w:r>
    </w:p>
    <w:p w14:paraId="5D169BFA">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_Toc4288 </w:instrText>
      </w:r>
      <w:r>
        <w:rPr>
          <w:rFonts w:hint="eastAsia" w:ascii="宋体" w:hAnsi="宋体" w:eastAsia="宋体" w:cs="宋体"/>
          <w:bCs/>
        </w:rPr>
        <w:fldChar w:fldCharType="separate"/>
      </w:r>
      <w:r>
        <w:rPr>
          <w:rFonts w:hint="default" w:ascii="宋体" w:hAnsi="宋体" w:eastAsia="宋体" w:cs="宋体"/>
        </w:rPr>
        <w:t xml:space="preserve">6、 </w:t>
      </w:r>
      <w:r>
        <w:rPr>
          <w:rFonts w:hint="eastAsia" w:ascii="宋体" w:hAnsi="宋体" w:eastAsia="宋体" w:cs="宋体"/>
        </w:rPr>
        <w:t>磋商文件的修改</w:t>
      </w:r>
      <w:r>
        <w:tab/>
      </w:r>
      <w:r>
        <w:fldChar w:fldCharType="begin"/>
      </w:r>
      <w:r>
        <w:instrText xml:space="preserve"> PAGEREF _Toc4288 \h </w:instrText>
      </w:r>
      <w:r>
        <w:fldChar w:fldCharType="separate"/>
      </w:r>
      <w:r>
        <w:t>13</w:t>
      </w:r>
      <w:r>
        <w:fldChar w:fldCharType="end"/>
      </w:r>
      <w:r>
        <w:rPr>
          <w:rFonts w:hint="eastAsia" w:ascii="宋体" w:hAnsi="宋体" w:eastAsia="宋体" w:cs="宋体"/>
          <w:bCs/>
          <w:color w:val="000000"/>
        </w:rPr>
        <w:fldChar w:fldCharType="end"/>
      </w:r>
    </w:p>
    <w:p w14:paraId="0A2D0343">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_Toc15851 </w:instrText>
      </w:r>
      <w:r>
        <w:rPr>
          <w:rFonts w:hint="eastAsia" w:ascii="宋体" w:hAnsi="宋体" w:eastAsia="宋体" w:cs="宋体"/>
          <w:bCs/>
        </w:rPr>
        <w:fldChar w:fldCharType="separate"/>
      </w:r>
      <w:r>
        <w:rPr>
          <w:rFonts w:hint="eastAsia" w:ascii="宋体" w:hAnsi="宋体" w:eastAsia="宋体" w:cs="宋体"/>
          <w:szCs w:val="32"/>
        </w:rPr>
        <w:t>三、 磋商响应文件的编写</w:t>
      </w:r>
      <w:r>
        <w:tab/>
      </w:r>
      <w:r>
        <w:fldChar w:fldCharType="begin"/>
      </w:r>
      <w:r>
        <w:instrText xml:space="preserve"> PAGEREF _Toc15851 \h </w:instrText>
      </w:r>
      <w:r>
        <w:fldChar w:fldCharType="separate"/>
      </w:r>
      <w:r>
        <w:t>13</w:t>
      </w:r>
      <w:r>
        <w:fldChar w:fldCharType="end"/>
      </w:r>
      <w:r>
        <w:rPr>
          <w:rFonts w:hint="eastAsia" w:ascii="宋体" w:hAnsi="宋体" w:eastAsia="宋体" w:cs="宋体"/>
          <w:bCs/>
          <w:color w:val="000000"/>
        </w:rPr>
        <w:fldChar w:fldCharType="end"/>
      </w:r>
    </w:p>
    <w:p w14:paraId="3CF9D0FC">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_Toc11462 </w:instrText>
      </w:r>
      <w:r>
        <w:rPr>
          <w:rFonts w:hint="eastAsia" w:ascii="宋体" w:hAnsi="宋体" w:eastAsia="宋体" w:cs="宋体"/>
          <w:bCs/>
        </w:rPr>
        <w:fldChar w:fldCharType="separate"/>
      </w:r>
      <w:r>
        <w:rPr>
          <w:rFonts w:hint="default" w:ascii="宋体" w:hAnsi="宋体" w:eastAsia="宋体" w:cs="宋体"/>
        </w:rPr>
        <w:t xml:space="preserve">7、 </w:t>
      </w:r>
      <w:r>
        <w:rPr>
          <w:rFonts w:hint="eastAsia" w:ascii="宋体" w:hAnsi="宋体" w:eastAsia="宋体" w:cs="宋体"/>
        </w:rPr>
        <w:t>磋商响应文件的语言及度量衡单位</w:t>
      </w:r>
      <w:r>
        <w:tab/>
      </w:r>
      <w:r>
        <w:fldChar w:fldCharType="begin"/>
      </w:r>
      <w:r>
        <w:instrText xml:space="preserve"> PAGEREF _Toc11462 \h </w:instrText>
      </w:r>
      <w:r>
        <w:fldChar w:fldCharType="separate"/>
      </w:r>
      <w:r>
        <w:t>13</w:t>
      </w:r>
      <w:r>
        <w:fldChar w:fldCharType="end"/>
      </w:r>
      <w:r>
        <w:rPr>
          <w:rFonts w:hint="eastAsia" w:ascii="宋体" w:hAnsi="宋体" w:eastAsia="宋体" w:cs="宋体"/>
          <w:bCs/>
          <w:color w:val="000000"/>
        </w:rPr>
        <w:fldChar w:fldCharType="end"/>
      </w:r>
    </w:p>
    <w:p w14:paraId="4B5521D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_Toc1872 </w:instrText>
      </w:r>
      <w:r>
        <w:rPr>
          <w:rFonts w:hint="eastAsia" w:ascii="宋体" w:hAnsi="宋体" w:eastAsia="宋体" w:cs="宋体"/>
          <w:bCs/>
        </w:rPr>
        <w:fldChar w:fldCharType="separate"/>
      </w:r>
      <w:r>
        <w:rPr>
          <w:rFonts w:hint="default" w:ascii="宋体" w:hAnsi="宋体" w:eastAsia="宋体" w:cs="宋体"/>
        </w:rPr>
        <w:t xml:space="preserve">8、 </w:t>
      </w:r>
      <w:r>
        <w:rPr>
          <w:rFonts w:hint="eastAsia" w:ascii="宋体" w:hAnsi="宋体" w:eastAsia="宋体" w:cs="宋体"/>
        </w:rPr>
        <w:t>磋商报价及币种</w:t>
      </w:r>
      <w:r>
        <w:tab/>
      </w:r>
      <w:r>
        <w:fldChar w:fldCharType="begin"/>
      </w:r>
      <w:r>
        <w:instrText xml:space="preserve"> PAGEREF _Toc1872 \h </w:instrText>
      </w:r>
      <w:r>
        <w:fldChar w:fldCharType="separate"/>
      </w:r>
      <w:r>
        <w:t>13</w:t>
      </w:r>
      <w:r>
        <w:fldChar w:fldCharType="end"/>
      </w:r>
      <w:r>
        <w:rPr>
          <w:rFonts w:hint="eastAsia" w:ascii="宋体" w:hAnsi="宋体" w:eastAsia="宋体" w:cs="宋体"/>
          <w:bCs/>
          <w:color w:val="000000"/>
        </w:rPr>
        <w:fldChar w:fldCharType="end"/>
      </w:r>
    </w:p>
    <w:p w14:paraId="35E2D314">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_Toc9172 </w:instrText>
      </w:r>
      <w:r>
        <w:rPr>
          <w:rFonts w:hint="eastAsia" w:ascii="宋体" w:hAnsi="宋体" w:eastAsia="宋体" w:cs="宋体"/>
          <w:bCs/>
        </w:rPr>
        <w:fldChar w:fldCharType="separate"/>
      </w:r>
      <w:r>
        <w:rPr>
          <w:rFonts w:hint="default" w:ascii="宋体" w:hAnsi="宋体" w:eastAsia="宋体" w:cs="宋体"/>
        </w:rPr>
        <w:t xml:space="preserve">9、 </w:t>
      </w:r>
      <w:r>
        <w:rPr>
          <w:rFonts w:hint="eastAsia" w:ascii="宋体" w:hAnsi="宋体" w:eastAsia="宋体" w:cs="宋体"/>
        </w:rPr>
        <w:t>磋商保证金</w:t>
      </w:r>
      <w:r>
        <w:tab/>
      </w:r>
      <w:r>
        <w:fldChar w:fldCharType="begin"/>
      </w:r>
      <w:r>
        <w:instrText xml:space="preserve"> PAGEREF _Toc9172 \h </w:instrText>
      </w:r>
      <w:r>
        <w:fldChar w:fldCharType="separate"/>
      </w:r>
      <w:r>
        <w:t>14</w:t>
      </w:r>
      <w:r>
        <w:fldChar w:fldCharType="end"/>
      </w:r>
      <w:r>
        <w:rPr>
          <w:rFonts w:hint="eastAsia" w:ascii="宋体" w:hAnsi="宋体" w:eastAsia="宋体" w:cs="宋体"/>
          <w:bCs/>
          <w:color w:val="000000"/>
        </w:rPr>
        <w:fldChar w:fldCharType="end"/>
      </w:r>
    </w:p>
    <w:p w14:paraId="5CF5B247">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_Toc9615 </w:instrText>
      </w:r>
      <w:r>
        <w:rPr>
          <w:rFonts w:hint="eastAsia" w:ascii="宋体" w:hAnsi="宋体" w:eastAsia="宋体" w:cs="宋体"/>
          <w:bCs/>
        </w:rPr>
        <w:fldChar w:fldCharType="separate"/>
      </w:r>
      <w:r>
        <w:rPr>
          <w:rFonts w:hint="default" w:ascii="宋体" w:hAnsi="宋体" w:eastAsia="宋体" w:cs="宋体"/>
        </w:rPr>
        <w:t xml:space="preserve">10、 </w:t>
      </w:r>
      <w:r>
        <w:rPr>
          <w:rFonts w:hint="eastAsia" w:ascii="宋体" w:hAnsi="宋体" w:eastAsia="宋体" w:cs="宋体"/>
        </w:rPr>
        <w:t>磋商有效期</w:t>
      </w:r>
      <w:r>
        <w:tab/>
      </w:r>
      <w:r>
        <w:fldChar w:fldCharType="begin"/>
      </w:r>
      <w:r>
        <w:instrText xml:space="preserve"> PAGEREF _Toc9615 \h </w:instrText>
      </w:r>
      <w:r>
        <w:fldChar w:fldCharType="separate"/>
      </w:r>
      <w:r>
        <w:t>15</w:t>
      </w:r>
      <w:r>
        <w:fldChar w:fldCharType="end"/>
      </w:r>
      <w:r>
        <w:rPr>
          <w:rFonts w:hint="eastAsia" w:ascii="宋体" w:hAnsi="宋体" w:eastAsia="宋体" w:cs="宋体"/>
          <w:bCs/>
          <w:color w:val="000000"/>
        </w:rPr>
        <w:fldChar w:fldCharType="end"/>
      </w:r>
    </w:p>
    <w:p w14:paraId="7BA1EB4C">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_Toc18298 </w:instrText>
      </w:r>
      <w:r>
        <w:rPr>
          <w:rFonts w:hint="eastAsia" w:ascii="宋体" w:hAnsi="宋体" w:eastAsia="宋体" w:cs="宋体"/>
          <w:bCs/>
        </w:rPr>
        <w:fldChar w:fldCharType="separate"/>
      </w:r>
      <w:r>
        <w:rPr>
          <w:rFonts w:hint="default" w:ascii="宋体" w:hAnsi="宋体" w:eastAsia="宋体" w:cs="宋体"/>
        </w:rPr>
        <w:t xml:space="preserve">11、 </w:t>
      </w:r>
      <w:r>
        <w:rPr>
          <w:rFonts w:hint="eastAsia" w:ascii="宋体" w:hAnsi="宋体" w:eastAsia="宋体" w:cs="宋体"/>
        </w:rPr>
        <w:t>磋商响应文件的构成</w:t>
      </w:r>
      <w:r>
        <w:tab/>
      </w:r>
      <w:r>
        <w:fldChar w:fldCharType="begin"/>
      </w:r>
      <w:r>
        <w:instrText xml:space="preserve"> PAGEREF _Toc18298 \h </w:instrText>
      </w:r>
      <w:r>
        <w:fldChar w:fldCharType="separate"/>
      </w:r>
      <w:r>
        <w:t>15</w:t>
      </w:r>
      <w:r>
        <w:fldChar w:fldCharType="end"/>
      </w:r>
      <w:r>
        <w:rPr>
          <w:rFonts w:hint="eastAsia" w:ascii="宋体" w:hAnsi="宋体" w:eastAsia="宋体" w:cs="宋体"/>
          <w:bCs/>
          <w:color w:val="000000"/>
        </w:rPr>
        <w:fldChar w:fldCharType="end"/>
      </w:r>
    </w:p>
    <w:p w14:paraId="7814DE51">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_Toc9619 </w:instrText>
      </w:r>
      <w:r>
        <w:rPr>
          <w:rFonts w:hint="eastAsia" w:ascii="宋体" w:hAnsi="宋体" w:eastAsia="宋体" w:cs="宋体"/>
          <w:bCs/>
        </w:rPr>
        <w:fldChar w:fldCharType="separate"/>
      </w:r>
      <w:r>
        <w:rPr>
          <w:rFonts w:hint="default" w:ascii="宋体" w:hAnsi="宋体" w:eastAsia="宋体" w:cs="宋体"/>
        </w:rPr>
        <w:t xml:space="preserve">12、 </w:t>
      </w:r>
      <w:r>
        <w:rPr>
          <w:rFonts w:hint="eastAsia" w:ascii="宋体" w:hAnsi="宋体" w:eastAsia="宋体" w:cs="宋体"/>
        </w:rPr>
        <w:t>磋商响应文件的编制要求</w:t>
      </w:r>
      <w:r>
        <w:tab/>
      </w:r>
      <w:r>
        <w:fldChar w:fldCharType="begin"/>
      </w:r>
      <w:r>
        <w:instrText xml:space="preserve"> PAGEREF _Toc9619 \h </w:instrText>
      </w:r>
      <w:r>
        <w:fldChar w:fldCharType="separate"/>
      </w:r>
      <w:r>
        <w:t>15</w:t>
      </w:r>
      <w:r>
        <w:fldChar w:fldCharType="end"/>
      </w:r>
      <w:r>
        <w:rPr>
          <w:rFonts w:hint="eastAsia" w:ascii="宋体" w:hAnsi="宋体" w:eastAsia="宋体" w:cs="宋体"/>
          <w:bCs/>
          <w:color w:val="000000"/>
        </w:rPr>
        <w:fldChar w:fldCharType="end"/>
      </w:r>
    </w:p>
    <w:p w14:paraId="015E3F58">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_Toc21545 </w:instrText>
      </w:r>
      <w:r>
        <w:rPr>
          <w:rFonts w:hint="eastAsia" w:ascii="宋体" w:hAnsi="宋体" w:eastAsia="宋体" w:cs="宋体"/>
          <w:bCs/>
        </w:rPr>
        <w:fldChar w:fldCharType="separate"/>
      </w:r>
      <w:r>
        <w:rPr>
          <w:rFonts w:hint="eastAsia" w:ascii="宋体" w:hAnsi="宋体" w:eastAsia="宋体" w:cs="宋体"/>
        </w:rPr>
        <w:t>四、 磋商响应文件的递交</w:t>
      </w:r>
      <w:r>
        <w:tab/>
      </w:r>
      <w:r>
        <w:fldChar w:fldCharType="begin"/>
      </w:r>
      <w:r>
        <w:instrText xml:space="preserve"> PAGEREF _Toc21545 \h </w:instrText>
      </w:r>
      <w:r>
        <w:fldChar w:fldCharType="separate"/>
      </w:r>
      <w:r>
        <w:t>16</w:t>
      </w:r>
      <w:r>
        <w:fldChar w:fldCharType="end"/>
      </w:r>
      <w:r>
        <w:rPr>
          <w:rFonts w:hint="eastAsia" w:ascii="宋体" w:hAnsi="宋体" w:eastAsia="宋体" w:cs="宋体"/>
          <w:bCs/>
          <w:color w:val="000000"/>
        </w:rPr>
        <w:fldChar w:fldCharType="end"/>
      </w:r>
    </w:p>
    <w:p w14:paraId="06DB995A">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_Toc28789 </w:instrText>
      </w:r>
      <w:r>
        <w:rPr>
          <w:rFonts w:hint="eastAsia" w:ascii="宋体" w:hAnsi="宋体" w:eastAsia="宋体" w:cs="宋体"/>
          <w:bCs/>
        </w:rPr>
        <w:fldChar w:fldCharType="separate"/>
      </w:r>
      <w:r>
        <w:rPr>
          <w:rFonts w:hint="default" w:ascii="宋体" w:hAnsi="宋体" w:eastAsia="宋体" w:cs="宋体"/>
        </w:rPr>
        <w:t xml:space="preserve">13、 </w:t>
      </w:r>
      <w:r>
        <w:rPr>
          <w:rFonts w:hint="eastAsia" w:ascii="宋体" w:hAnsi="宋体" w:eastAsia="宋体" w:cs="宋体"/>
        </w:rPr>
        <w:t>磋商响应文件的密封和标记</w:t>
      </w:r>
      <w:r>
        <w:tab/>
      </w:r>
      <w:r>
        <w:fldChar w:fldCharType="begin"/>
      </w:r>
      <w:r>
        <w:instrText xml:space="preserve"> PAGEREF _Toc28789 \h </w:instrText>
      </w:r>
      <w:r>
        <w:fldChar w:fldCharType="separate"/>
      </w:r>
      <w:r>
        <w:t>16</w:t>
      </w:r>
      <w:r>
        <w:fldChar w:fldCharType="end"/>
      </w:r>
      <w:r>
        <w:rPr>
          <w:rFonts w:hint="eastAsia" w:ascii="宋体" w:hAnsi="宋体" w:eastAsia="宋体" w:cs="宋体"/>
          <w:bCs/>
          <w:color w:val="000000"/>
        </w:rPr>
        <w:fldChar w:fldCharType="end"/>
      </w:r>
    </w:p>
    <w:p w14:paraId="0A21E7F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_Toc23386 </w:instrText>
      </w:r>
      <w:r>
        <w:rPr>
          <w:rFonts w:hint="eastAsia" w:ascii="宋体" w:hAnsi="宋体" w:eastAsia="宋体" w:cs="宋体"/>
          <w:bCs/>
        </w:rPr>
        <w:fldChar w:fldCharType="separate"/>
      </w:r>
      <w:r>
        <w:rPr>
          <w:rFonts w:hint="default" w:ascii="宋体" w:hAnsi="宋体" w:eastAsia="宋体" w:cs="宋体"/>
        </w:rPr>
        <w:t xml:space="preserve">14、 </w:t>
      </w:r>
      <w:r>
        <w:rPr>
          <w:rFonts w:hint="eastAsia" w:ascii="宋体" w:hAnsi="宋体" w:eastAsia="宋体" w:cs="宋体"/>
        </w:rPr>
        <w:t>递交磋商响应文件的地点、截止时间</w:t>
      </w:r>
      <w:r>
        <w:tab/>
      </w:r>
      <w:r>
        <w:fldChar w:fldCharType="begin"/>
      </w:r>
      <w:r>
        <w:instrText xml:space="preserve"> PAGEREF _Toc23386 \h </w:instrText>
      </w:r>
      <w:r>
        <w:fldChar w:fldCharType="separate"/>
      </w:r>
      <w:r>
        <w:t>17</w:t>
      </w:r>
      <w:r>
        <w:fldChar w:fldCharType="end"/>
      </w:r>
      <w:r>
        <w:rPr>
          <w:rFonts w:hint="eastAsia" w:ascii="宋体" w:hAnsi="宋体" w:eastAsia="宋体" w:cs="宋体"/>
          <w:bCs/>
          <w:color w:val="000000"/>
        </w:rPr>
        <w:fldChar w:fldCharType="end"/>
      </w:r>
    </w:p>
    <w:p w14:paraId="67FC594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_Toc29571 </w:instrText>
      </w:r>
      <w:r>
        <w:rPr>
          <w:rFonts w:hint="eastAsia" w:ascii="宋体" w:hAnsi="宋体" w:eastAsia="宋体" w:cs="宋体"/>
          <w:bCs/>
        </w:rPr>
        <w:fldChar w:fldCharType="separate"/>
      </w:r>
      <w:r>
        <w:rPr>
          <w:rFonts w:hint="default" w:ascii="宋体" w:hAnsi="宋体" w:eastAsia="宋体" w:cs="宋体"/>
        </w:rPr>
        <w:t xml:space="preserve">15、 </w:t>
      </w:r>
      <w:r>
        <w:rPr>
          <w:rFonts w:hint="eastAsia" w:ascii="宋体" w:hAnsi="宋体" w:eastAsia="宋体" w:cs="宋体"/>
        </w:rPr>
        <w:t>磋商响应文件的撤回和修改</w:t>
      </w:r>
      <w:r>
        <w:tab/>
      </w:r>
      <w:r>
        <w:fldChar w:fldCharType="begin"/>
      </w:r>
      <w:r>
        <w:instrText xml:space="preserve"> PAGEREF _Toc29571 \h </w:instrText>
      </w:r>
      <w:r>
        <w:fldChar w:fldCharType="separate"/>
      </w:r>
      <w:r>
        <w:t>17</w:t>
      </w:r>
      <w:r>
        <w:fldChar w:fldCharType="end"/>
      </w:r>
      <w:r>
        <w:rPr>
          <w:rFonts w:hint="eastAsia" w:ascii="宋体" w:hAnsi="宋体" w:eastAsia="宋体" w:cs="宋体"/>
          <w:bCs/>
          <w:color w:val="000000"/>
        </w:rPr>
        <w:fldChar w:fldCharType="end"/>
      </w:r>
    </w:p>
    <w:p w14:paraId="00C84679">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_Toc6130 </w:instrText>
      </w:r>
      <w:r>
        <w:rPr>
          <w:rFonts w:hint="eastAsia" w:ascii="宋体" w:hAnsi="宋体" w:eastAsia="宋体" w:cs="宋体"/>
          <w:bCs/>
        </w:rPr>
        <w:fldChar w:fldCharType="separate"/>
      </w:r>
      <w:r>
        <w:rPr>
          <w:rFonts w:hint="eastAsia" w:ascii="宋体" w:hAnsi="宋体" w:eastAsia="宋体" w:cs="宋体"/>
        </w:rPr>
        <w:t>五、 磋商过程</w:t>
      </w:r>
      <w:r>
        <w:tab/>
      </w:r>
      <w:r>
        <w:fldChar w:fldCharType="begin"/>
      </w:r>
      <w:r>
        <w:instrText xml:space="preserve"> PAGEREF _Toc6130 \h </w:instrText>
      </w:r>
      <w:r>
        <w:fldChar w:fldCharType="separate"/>
      </w:r>
      <w:r>
        <w:t>17</w:t>
      </w:r>
      <w:r>
        <w:fldChar w:fldCharType="end"/>
      </w:r>
      <w:r>
        <w:rPr>
          <w:rFonts w:hint="eastAsia" w:ascii="宋体" w:hAnsi="宋体" w:eastAsia="宋体" w:cs="宋体"/>
          <w:bCs/>
          <w:color w:val="000000"/>
        </w:rPr>
        <w:fldChar w:fldCharType="end"/>
      </w:r>
    </w:p>
    <w:p w14:paraId="26C20598">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_Toc15763 </w:instrText>
      </w:r>
      <w:r>
        <w:rPr>
          <w:rFonts w:hint="eastAsia" w:ascii="宋体" w:hAnsi="宋体" w:eastAsia="宋体" w:cs="宋体"/>
          <w:bCs/>
        </w:rPr>
        <w:fldChar w:fldCharType="separate"/>
      </w:r>
      <w:r>
        <w:rPr>
          <w:rFonts w:hint="eastAsia" w:ascii="宋体" w:hAnsi="宋体" w:eastAsia="宋体" w:cs="宋体"/>
        </w:rPr>
        <w:t>六、 资格审查程序</w:t>
      </w:r>
      <w:r>
        <w:tab/>
      </w:r>
      <w:r>
        <w:fldChar w:fldCharType="begin"/>
      </w:r>
      <w:r>
        <w:instrText xml:space="preserve"> PAGEREF _Toc15763 \h </w:instrText>
      </w:r>
      <w:r>
        <w:fldChar w:fldCharType="separate"/>
      </w:r>
      <w:r>
        <w:t>17</w:t>
      </w:r>
      <w:r>
        <w:fldChar w:fldCharType="end"/>
      </w:r>
      <w:r>
        <w:rPr>
          <w:rFonts w:hint="eastAsia" w:ascii="宋体" w:hAnsi="宋体" w:eastAsia="宋体" w:cs="宋体"/>
          <w:bCs/>
          <w:color w:val="000000"/>
        </w:rPr>
        <w:fldChar w:fldCharType="end"/>
      </w:r>
    </w:p>
    <w:p w14:paraId="24A89F05">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_Toc18128 </w:instrText>
      </w:r>
      <w:r>
        <w:rPr>
          <w:rFonts w:hint="eastAsia" w:ascii="宋体" w:hAnsi="宋体" w:eastAsia="宋体" w:cs="宋体"/>
          <w:bCs/>
        </w:rPr>
        <w:fldChar w:fldCharType="separate"/>
      </w:r>
      <w:r>
        <w:rPr>
          <w:rFonts w:hint="eastAsia" w:ascii="宋体" w:hAnsi="宋体" w:eastAsia="宋体" w:cs="宋体"/>
        </w:rPr>
        <w:t>七、 评审程序及方法</w:t>
      </w:r>
      <w:r>
        <w:tab/>
      </w:r>
      <w:r>
        <w:fldChar w:fldCharType="begin"/>
      </w:r>
      <w:r>
        <w:instrText xml:space="preserve"> PAGEREF _Toc18128 \h </w:instrText>
      </w:r>
      <w:r>
        <w:fldChar w:fldCharType="separate"/>
      </w:r>
      <w:r>
        <w:t>18</w:t>
      </w:r>
      <w:r>
        <w:fldChar w:fldCharType="end"/>
      </w:r>
      <w:r>
        <w:rPr>
          <w:rFonts w:hint="eastAsia" w:ascii="宋体" w:hAnsi="宋体" w:eastAsia="宋体" w:cs="宋体"/>
          <w:bCs/>
          <w:color w:val="000000"/>
        </w:rPr>
        <w:fldChar w:fldCharType="end"/>
      </w:r>
    </w:p>
    <w:p w14:paraId="26BF717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_Toc25577 </w:instrText>
      </w:r>
      <w:r>
        <w:rPr>
          <w:rFonts w:hint="eastAsia" w:ascii="宋体" w:hAnsi="宋体" w:eastAsia="宋体" w:cs="宋体"/>
          <w:bCs/>
        </w:rPr>
        <w:fldChar w:fldCharType="separate"/>
      </w:r>
      <w:r>
        <w:rPr>
          <w:rFonts w:hint="default" w:ascii="宋体" w:hAnsi="宋体" w:eastAsia="宋体" w:cs="宋体"/>
        </w:rPr>
        <w:t xml:space="preserve">16、 </w:t>
      </w:r>
      <w:r>
        <w:rPr>
          <w:rFonts w:hint="eastAsia" w:ascii="宋体" w:hAnsi="宋体" w:eastAsia="宋体" w:cs="宋体"/>
        </w:rPr>
        <w:t>评标委员会</w:t>
      </w:r>
      <w:r>
        <w:tab/>
      </w:r>
      <w:r>
        <w:fldChar w:fldCharType="begin"/>
      </w:r>
      <w:r>
        <w:instrText xml:space="preserve"> PAGEREF _Toc25577 \h </w:instrText>
      </w:r>
      <w:r>
        <w:fldChar w:fldCharType="separate"/>
      </w:r>
      <w:r>
        <w:t>18</w:t>
      </w:r>
      <w:r>
        <w:fldChar w:fldCharType="end"/>
      </w:r>
      <w:r>
        <w:rPr>
          <w:rFonts w:hint="eastAsia" w:ascii="宋体" w:hAnsi="宋体" w:eastAsia="宋体" w:cs="宋体"/>
          <w:bCs/>
          <w:color w:val="000000"/>
        </w:rPr>
        <w:fldChar w:fldCharType="end"/>
      </w:r>
    </w:p>
    <w:p w14:paraId="5000212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_Toc11422 </w:instrText>
      </w:r>
      <w:r>
        <w:rPr>
          <w:rFonts w:hint="eastAsia" w:ascii="宋体" w:hAnsi="宋体" w:eastAsia="宋体" w:cs="宋体"/>
          <w:bCs/>
        </w:rPr>
        <w:fldChar w:fldCharType="separate"/>
      </w:r>
      <w:r>
        <w:rPr>
          <w:rFonts w:hint="default" w:ascii="宋体" w:hAnsi="宋体" w:eastAsia="宋体" w:cs="宋体"/>
        </w:rPr>
        <w:t xml:space="preserve">17、 </w:t>
      </w:r>
      <w:r>
        <w:rPr>
          <w:rFonts w:hint="eastAsia" w:ascii="宋体" w:hAnsi="宋体" w:eastAsia="宋体" w:cs="宋体"/>
        </w:rPr>
        <w:t>磋商程序</w:t>
      </w:r>
      <w:r>
        <w:tab/>
      </w:r>
      <w:r>
        <w:fldChar w:fldCharType="begin"/>
      </w:r>
      <w:r>
        <w:instrText xml:space="preserve"> PAGEREF _Toc11422 \h </w:instrText>
      </w:r>
      <w:r>
        <w:fldChar w:fldCharType="separate"/>
      </w:r>
      <w:r>
        <w:t>19</w:t>
      </w:r>
      <w:r>
        <w:fldChar w:fldCharType="end"/>
      </w:r>
      <w:r>
        <w:rPr>
          <w:rFonts w:hint="eastAsia" w:ascii="宋体" w:hAnsi="宋体" w:eastAsia="宋体" w:cs="宋体"/>
          <w:bCs/>
          <w:color w:val="000000"/>
        </w:rPr>
        <w:fldChar w:fldCharType="end"/>
      </w:r>
    </w:p>
    <w:p w14:paraId="6D978AA6">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_Toc21295 </w:instrText>
      </w:r>
      <w:r>
        <w:rPr>
          <w:rFonts w:hint="eastAsia" w:ascii="宋体" w:hAnsi="宋体" w:eastAsia="宋体" w:cs="宋体"/>
          <w:bCs/>
        </w:rPr>
        <w:fldChar w:fldCharType="separate"/>
      </w:r>
      <w:r>
        <w:rPr>
          <w:rFonts w:hint="default" w:ascii="宋体" w:hAnsi="宋体" w:eastAsia="宋体" w:cs="宋体"/>
        </w:rPr>
        <w:t xml:space="preserve">18、 </w:t>
      </w:r>
      <w:r>
        <w:rPr>
          <w:rFonts w:hint="eastAsia" w:ascii="宋体" w:hAnsi="宋体" w:eastAsia="宋体" w:cs="宋体"/>
        </w:rPr>
        <w:t>评审办法</w:t>
      </w:r>
      <w:r>
        <w:tab/>
      </w:r>
      <w:r>
        <w:fldChar w:fldCharType="begin"/>
      </w:r>
      <w:r>
        <w:instrText xml:space="preserve"> PAGEREF _Toc21295 \h </w:instrText>
      </w:r>
      <w:r>
        <w:fldChar w:fldCharType="separate"/>
      </w:r>
      <w:r>
        <w:t>21</w:t>
      </w:r>
      <w:r>
        <w:fldChar w:fldCharType="end"/>
      </w:r>
      <w:r>
        <w:rPr>
          <w:rFonts w:hint="eastAsia" w:ascii="宋体" w:hAnsi="宋体" w:eastAsia="宋体" w:cs="宋体"/>
          <w:bCs/>
          <w:color w:val="000000"/>
        </w:rPr>
        <w:fldChar w:fldCharType="end"/>
      </w:r>
    </w:p>
    <w:p w14:paraId="101AB9A7">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_Toc31583 </w:instrText>
      </w:r>
      <w:r>
        <w:rPr>
          <w:rFonts w:hint="eastAsia" w:ascii="宋体" w:hAnsi="宋体" w:eastAsia="宋体" w:cs="宋体"/>
          <w:bCs/>
        </w:rPr>
        <w:fldChar w:fldCharType="separate"/>
      </w:r>
      <w:r>
        <w:rPr>
          <w:rFonts w:hint="eastAsia" w:ascii="宋体" w:hAnsi="宋体" w:eastAsia="宋体" w:cs="宋体"/>
        </w:rPr>
        <w:t xml:space="preserve">八、 </w:t>
      </w:r>
      <w:r>
        <w:rPr>
          <w:rFonts w:hint="eastAsia" w:ascii="宋体" w:hAnsi="宋体" w:eastAsia="宋体" w:cs="宋体"/>
          <w:szCs w:val="24"/>
        </w:rPr>
        <w:t>定标</w:t>
      </w:r>
      <w:r>
        <w:tab/>
      </w:r>
      <w:r>
        <w:fldChar w:fldCharType="begin"/>
      </w:r>
      <w:r>
        <w:instrText xml:space="preserve"> PAGEREF _Toc31583 \h </w:instrText>
      </w:r>
      <w:r>
        <w:fldChar w:fldCharType="separate"/>
      </w:r>
      <w:r>
        <w:t>23</w:t>
      </w:r>
      <w:r>
        <w:fldChar w:fldCharType="end"/>
      </w:r>
      <w:r>
        <w:rPr>
          <w:rFonts w:hint="eastAsia" w:ascii="宋体" w:hAnsi="宋体" w:eastAsia="宋体" w:cs="宋体"/>
          <w:bCs/>
          <w:color w:val="000000"/>
        </w:rPr>
        <w:fldChar w:fldCharType="end"/>
      </w:r>
    </w:p>
    <w:p w14:paraId="2E99DF4C">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_Toc5459 </w:instrText>
      </w:r>
      <w:r>
        <w:rPr>
          <w:rFonts w:hint="eastAsia" w:ascii="宋体" w:hAnsi="宋体" w:eastAsia="宋体" w:cs="宋体"/>
          <w:bCs/>
        </w:rPr>
        <w:fldChar w:fldCharType="separate"/>
      </w:r>
      <w:r>
        <w:rPr>
          <w:rFonts w:hint="default" w:ascii="宋体" w:hAnsi="宋体" w:eastAsia="宋体" w:cs="宋体"/>
        </w:rPr>
        <w:t xml:space="preserve">19、 </w:t>
      </w:r>
      <w:r>
        <w:rPr>
          <w:rFonts w:hint="eastAsia" w:ascii="宋体" w:hAnsi="宋体" w:eastAsia="宋体" w:cs="宋体"/>
        </w:rPr>
        <w:t>推荐并确定成交磋商供应商</w:t>
      </w:r>
      <w:r>
        <w:tab/>
      </w:r>
      <w:r>
        <w:fldChar w:fldCharType="begin"/>
      </w:r>
      <w:r>
        <w:instrText xml:space="preserve"> PAGEREF _Toc5459 \h </w:instrText>
      </w:r>
      <w:r>
        <w:fldChar w:fldCharType="separate"/>
      </w:r>
      <w:r>
        <w:t>23</w:t>
      </w:r>
      <w:r>
        <w:fldChar w:fldCharType="end"/>
      </w:r>
      <w:r>
        <w:rPr>
          <w:rFonts w:hint="eastAsia" w:ascii="宋体" w:hAnsi="宋体" w:eastAsia="宋体" w:cs="宋体"/>
          <w:bCs/>
          <w:color w:val="000000"/>
        </w:rPr>
        <w:fldChar w:fldCharType="end"/>
      </w:r>
    </w:p>
    <w:p w14:paraId="00E60A56">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_Toc7514 </w:instrText>
      </w:r>
      <w:r>
        <w:rPr>
          <w:rFonts w:hint="eastAsia" w:ascii="宋体" w:hAnsi="宋体" w:eastAsia="宋体" w:cs="宋体"/>
          <w:bCs/>
        </w:rPr>
        <w:fldChar w:fldCharType="separate"/>
      </w:r>
      <w:r>
        <w:rPr>
          <w:rFonts w:hint="default" w:ascii="宋体" w:hAnsi="宋体" w:eastAsia="宋体" w:cs="宋体"/>
        </w:rPr>
        <w:t xml:space="preserve">20、 </w:t>
      </w:r>
      <w:r>
        <w:rPr>
          <w:rFonts w:hint="eastAsia" w:ascii="宋体" w:hAnsi="宋体" w:eastAsia="宋体" w:cs="宋体"/>
        </w:rPr>
        <w:t>成交通知</w:t>
      </w:r>
      <w:r>
        <w:tab/>
      </w:r>
      <w:r>
        <w:fldChar w:fldCharType="begin"/>
      </w:r>
      <w:r>
        <w:instrText xml:space="preserve"> PAGEREF _Toc7514 \h </w:instrText>
      </w:r>
      <w:r>
        <w:fldChar w:fldCharType="separate"/>
      </w:r>
      <w:r>
        <w:t>24</w:t>
      </w:r>
      <w:r>
        <w:fldChar w:fldCharType="end"/>
      </w:r>
      <w:r>
        <w:rPr>
          <w:rFonts w:hint="eastAsia" w:ascii="宋体" w:hAnsi="宋体" w:eastAsia="宋体" w:cs="宋体"/>
          <w:bCs/>
          <w:color w:val="000000"/>
        </w:rPr>
        <w:fldChar w:fldCharType="end"/>
      </w:r>
    </w:p>
    <w:p w14:paraId="59D7567A">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_Toc6991 </w:instrText>
      </w:r>
      <w:r>
        <w:rPr>
          <w:rFonts w:hint="eastAsia" w:ascii="宋体" w:hAnsi="宋体" w:eastAsia="宋体" w:cs="宋体"/>
          <w:bCs/>
        </w:rPr>
        <w:fldChar w:fldCharType="separate"/>
      </w:r>
      <w:r>
        <w:rPr>
          <w:rFonts w:hint="eastAsia" w:ascii="宋体" w:hAnsi="宋体" w:eastAsia="宋体" w:cs="宋体"/>
        </w:rPr>
        <w:t>九、 授予合同</w:t>
      </w:r>
      <w:r>
        <w:tab/>
      </w:r>
      <w:r>
        <w:fldChar w:fldCharType="begin"/>
      </w:r>
      <w:r>
        <w:instrText xml:space="preserve"> PAGEREF _Toc6991 \h </w:instrText>
      </w:r>
      <w:r>
        <w:fldChar w:fldCharType="separate"/>
      </w:r>
      <w:r>
        <w:t>24</w:t>
      </w:r>
      <w:r>
        <w:fldChar w:fldCharType="end"/>
      </w:r>
      <w:r>
        <w:rPr>
          <w:rFonts w:hint="eastAsia" w:ascii="宋体" w:hAnsi="宋体" w:eastAsia="宋体" w:cs="宋体"/>
          <w:bCs/>
          <w:color w:val="000000"/>
        </w:rPr>
        <w:fldChar w:fldCharType="end"/>
      </w:r>
    </w:p>
    <w:p w14:paraId="1C645269">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_Toc22594 </w:instrText>
      </w:r>
      <w:r>
        <w:rPr>
          <w:rFonts w:hint="eastAsia" w:ascii="宋体" w:hAnsi="宋体" w:eastAsia="宋体" w:cs="宋体"/>
          <w:bCs/>
        </w:rPr>
        <w:fldChar w:fldCharType="separate"/>
      </w:r>
      <w:r>
        <w:rPr>
          <w:rFonts w:hint="default" w:ascii="宋体" w:hAnsi="宋体" w:eastAsia="宋体" w:cs="宋体"/>
        </w:rPr>
        <w:t xml:space="preserve">21、 </w:t>
      </w:r>
      <w:r>
        <w:rPr>
          <w:rFonts w:hint="eastAsia" w:ascii="宋体" w:hAnsi="宋体" w:eastAsia="宋体" w:cs="宋体"/>
        </w:rPr>
        <w:t>签订合同</w:t>
      </w:r>
      <w:r>
        <w:tab/>
      </w:r>
      <w:r>
        <w:fldChar w:fldCharType="begin"/>
      </w:r>
      <w:r>
        <w:instrText xml:space="preserve"> PAGEREF _Toc22594 \h </w:instrText>
      </w:r>
      <w:r>
        <w:fldChar w:fldCharType="separate"/>
      </w:r>
      <w:r>
        <w:t>24</w:t>
      </w:r>
      <w:r>
        <w:fldChar w:fldCharType="end"/>
      </w:r>
      <w:r>
        <w:rPr>
          <w:rFonts w:hint="eastAsia" w:ascii="宋体" w:hAnsi="宋体" w:eastAsia="宋体" w:cs="宋体"/>
          <w:bCs/>
          <w:color w:val="000000"/>
        </w:rPr>
        <w:fldChar w:fldCharType="end"/>
      </w:r>
    </w:p>
    <w:p w14:paraId="01A3F377">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_Toc21024 </w:instrText>
      </w:r>
      <w:r>
        <w:rPr>
          <w:rFonts w:hint="eastAsia" w:ascii="宋体" w:hAnsi="宋体" w:eastAsia="宋体" w:cs="宋体"/>
          <w:bCs/>
        </w:rPr>
        <w:fldChar w:fldCharType="separate"/>
      </w:r>
      <w:r>
        <w:rPr>
          <w:rFonts w:hint="eastAsia" w:ascii="宋体" w:hAnsi="宋体" w:eastAsia="宋体" w:cs="宋体"/>
        </w:rPr>
        <w:t>十、 废标条款</w:t>
      </w:r>
      <w:r>
        <w:tab/>
      </w:r>
      <w:r>
        <w:fldChar w:fldCharType="begin"/>
      </w:r>
      <w:r>
        <w:instrText xml:space="preserve"> PAGEREF _Toc21024 \h </w:instrText>
      </w:r>
      <w:r>
        <w:fldChar w:fldCharType="separate"/>
      </w:r>
      <w:r>
        <w:t>25</w:t>
      </w:r>
      <w:r>
        <w:fldChar w:fldCharType="end"/>
      </w:r>
      <w:r>
        <w:rPr>
          <w:rFonts w:hint="eastAsia" w:ascii="宋体" w:hAnsi="宋体" w:eastAsia="宋体" w:cs="宋体"/>
          <w:bCs/>
          <w:color w:val="000000"/>
        </w:rPr>
        <w:fldChar w:fldCharType="end"/>
      </w:r>
    </w:p>
    <w:p w14:paraId="24126629">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_Toc4823 </w:instrText>
      </w:r>
      <w:r>
        <w:rPr>
          <w:rFonts w:hint="eastAsia" w:ascii="宋体" w:hAnsi="宋体" w:eastAsia="宋体" w:cs="宋体"/>
          <w:bCs/>
        </w:rPr>
        <w:fldChar w:fldCharType="separate"/>
      </w:r>
      <w:r>
        <w:rPr>
          <w:rFonts w:hint="default" w:ascii="宋体" w:hAnsi="宋体" w:eastAsia="宋体" w:cs="宋体"/>
        </w:rPr>
        <w:t xml:space="preserve">22、 </w:t>
      </w:r>
      <w:r>
        <w:rPr>
          <w:rFonts w:hint="eastAsia" w:ascii="宋体" w:hAnsi="宋体" w:eastAsia="宋体" w:cs="宋体"/>
        </w:rPr>
        <w:t>废标情形</w:t>
      </w:r>
      <w:r>
        <w:tab/>
      </w:r>
      <w:r>
        <w:fldChar w:fldCharType="begin"/>
      </w:r>
      <w:r>
        <w:instrText xml:space="preserve"> PAGEREF _Toc4823 \h </w:instrText>
      </w:r>
      <w:r>
        <w:fldChar w:fldCharType="separate"/>
      </w:r>
      <w:r>
        <w:t>25</w:t>
      </w:r>
      <w:r>
        <w:fldChar w:fldCharType="end"/>
      </w:r>
      <w:r>
        <w:rPr>
          <w:rFonts w:hint="eastAsia" w:ascii="宋体" w:hAnsi="宋体" w:eastAsia="宋体" w:cs="宋体"/>
          <w:bCs/>
          <w:color w:val="000000"/>
        </w:rPr>
        <w:fldChar w:fldCharType="end"/>
      </w:r>
    </w:p>
    <w:p w14:paraId="24780815">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_Toc17522 </w:instrText>
      </w:r>
      <w:r>
        <w:rPr>
          <w:rFonts w:hint="eastAsia" w:ascii="宋体" w:hAnsi="宋体" w:eastAsia="宋体" w:cs="宋体"/>
          <w:bCs/>
        </w:rPr>
        <w:fldChar w:fldCharType="separate"/>
      </w:r>
      <w:r>
        <w:rPr>
          <w:rFonts w:hint="eastAsia" w:ascii="宋体" w:hAnsi="宋体" w:eastAsia="宋体" w:cs="宋体"/>
        </w:rPr>
        <w:t>十一、 其他</w:t>
      </w:r>
      <w:r>
        <w:tab/>
      </w:r>
      <w:r>
        <w:fldChar w:fldCharType="begin"/>
      </w:r>
      <w:r>
        <w:instrText xml:space="preserve"> PAGEREF _Toc17522 \h </w:instrText>
      </w:r>
      <w:r>
        <w:fldChar w:fldCharType="separate"/>
      </w:r>
      <w:r>
        <w:t>25</w:t>
      </w:r>
      <w:r>
        <w:fldChar w:fldCharType="end"/>
      </w:r>
      <w:r>
        <w:rPr>
          <w:rFonts w:hint="eastAsia" w:ascii="宋体" w:hAnsi="宋体" w:eastAsia="宋体" w:cs="宋体"/>
          <w:bCs/>
          <w:color w:val="000000"/>
        </w:rPr>
        <w:fldChar w:fldCharType="end"/>
      </w:r>
    </w:p>
    <w:p w14:paraId="1603D843">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_Toc6224 </w:instrText>
      </w:r>
      <w:r>
        <w:rPr>
          <w:rFonts w:hint="eastAsia" w:ascii="宋体" w:hAnsi="宋体" w:eastAsia="宋体" w:cs="宋体"/>
          <w:bCs/>
        </w:rPr>
        <w:fldChar w:fldCharType="separate"/>
      </w:r>
      <w:r>
        <w:rPr>
          <w:rFonts w:hint="default" w:ascii="宋体" w:hAnsi="宋体" w:eastAsia="宋体" w:cs="宋体"/>
        </w:rPr>
        <w:t xml:space="preserve">23、 </w:t>
      </w:r>
      <w:r>
        <w:rPr>
          <w:rFonts w:hint="eastAsia" w:ascii="宋体" w:hAnsi="宋体" w:eastAsia="宋体" w:cs="宋体"/>
        </w:rPr>
        <w:t>串标情形</w:t>
      </w:r>
      <w:r>
        <w:tab/>
      </w:r>
      <w:r>
        <w:fldChar w:fldCharType="begin"/>
      </w:r>
      <w:r>
        <w:instrText xml:space="preserve"> PAGEREF _Toc6224 \h </w:instrText>
      </w:r>
      <w:r>
        <w:fldChar w:fldCharType="separate"/>
      </w:r>
      <w:r>
        <w:t>25</w:t>
      </w:r>
      <w:r>
        <w:fldChar w:fldCharType="end"/>
      </w:r>
      <w:r>
        <w:rPr>
          <w:rFonts w:hint="eastAsia" w:ascii="宋体" w:hAnsi="宋体" w:eastAsia="宋体" w:cs="宋体"/>
          <w:bCs/>
          <w:color w:val="000000"/>
        </w:rPr>
        <w:fldChar w:fldCharType="end"/>
      </w:r>
    </w:p>
    <w:p w14:paraId="2D5DBE96">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_Toc22231 </w:instrText>
      </w:r>
      <w:r>
        <w:rPr>
          <w:rFonts w:hint="eastAsia" w:ascii="宋体" w:hAnsi="宋体" w:eastAsia="宋体" w:cs="宋体"/>
          <w:bCs/>
        </w:rPr>
        <w:fldChar w:fldCharType="separate"/>
      </w:r>
      <w:r>
        <w:rPr>
          <w:rFonts w:hint="eastAsia" w:ascii="宋体" w:hAnsi="宋体" w:eastAsia="宋体" w:cs="宋体"/>
        </w:rPr>
        <w:t>第四部分 青海省采购合同文本</w:t>
      </w:r>
      <w:r>
        <w:rPr>
          <w:rFonts w:hint="eastAsia" w:ascii="宋体" w:hAnsi="宋体" w:eastAsia="宋体" w:cs="宋体"/>
          <w:lang w:val="en-US" w:eastAsia="zh-CN"/>
        </w:rPr>
        <w:t>范本</w:t>
      </w:r>
      <w:r>
        <w:tab/>
      </w:r>
      <w:r>
        <w:fldChar w:fldCharType="begin"/>
      </w:r>
      <w:r>
        <w:instrText xml:space="preserve"> PAGEREF _Toc22231 \h </w:instrText>
      </w:r>
      <w:r>
        <w:fldChar w:fldCharType="separate"/>
      </w:r>
      <w:r>
        <w:t>27</w:t>
      </w:r>
      <w:r>
        <w:fldChar w:fldCharType="end"/>
      </w:r>
      <w:r>
        <w:rPr>
          <w:rFonts w:hint="eastAsia" w:ascii="宋体" w:hAnsi="宋体" w:eastAsia="宋体" w:cs="宋体"/>
          <w:bCs/>
          <w:color w:val="000000"/>
        </w:rPr>
        <w:fldChar w:fldCharType="end"/>
      </w:r>
    </w:p>
    <w:p w14:paraId="252625D0">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_Toc20557 </w:instrText>
      </w:r>
      <w:r>
        <w:rPr>
          <w:rFonts w:hint="eastAsia" w:ascii="宋体" w:hAnsi="宋体" w:eastAsia="宋体" w:cs="宋体"/>
          <w:bCs/>
        </w:rPr>
        <w:fldChar w:fldCharType="separate"/>
      </w:r>
      <w:r>
        <w:rPr>
          <w:rFonts w:hint="eastAsia" w:ascii="宋体" w:hAnsi="宋体" w:eastAsia="宋体" w:cs="宋体"/>
        </w:rPr>
        <w:t>第五部分  磋商响应文件格式</w:t>
      </w:r>
      <w:r>
        <w:tab/>
      </w:r>
      <w:r>
        <w:fldChar w:fldCharType="begin"/>
      </w:r>
      <w:r>
        <w:instrText xml:space="preserve"> PAGEREF _Toc20557 \h </w:instrText>
      </w:r>
      <w:r>
        <w:fldChar w:fldCharType="separate"/>
      </w:r>
      <w:r>
        <w:t>40</w:t>
      </w:r>
      <w:r>
        <w:fldChar w:fldCharType="end"/>
      </w:r>
      <w:r>
        <w:rPr>
          <w:rFonts w:hint="eastAsia" w:ascii="宋体" w:hAnsi="宋体" w:eastAsia="宋体" w:cs="宋体"/>
          <w:bCs/>
          <w:color w:val="000000"/>
        </w:rPr>
        <w:fldChar w:fldCharType="end"/>
      </w:r>
    </w:p>
    <w:p w14:paraId="57B05B56">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_Toc23165 </w:instrText>
      </w:r>
      <w:r>
        <w:rPr>
          <w:rFonts w:hint="eastAsia" w:ascii="宋体" w:hAnsi="宋体" w:eastAsia="宋体" w:cs="宋体"/>
          <w:bCs/>
        </w:rPr>
        <w:fldChar w:fldCharType="separate"/>
      </w:r>
      <w:r>
        <w:rPr>
          <w:rFonts w:hint="eastAsia" w:ascii="宋体" w:hAnsi="宋体" w:eastAsia="宋体" w:cs="宋体"/>
          <w:lang w:val="zh-CN"/>
        </w:rPr>
        <w:t>磋商响应文件封面</w:t>
      </w:r>
      <w:r>
        <w:tab/>
      </w:r>
      <w:r>
        <w:fldChar w:fldCharType="begin"/>
      </w:r>
      <w:r>
        <w:instrText xml:space="preserve"> PAGEREF _Toc23165 \h </w:instrText>
      </w:r>
      <w:r>
        <w:fldChar w:fldCharType="separate"/>
      </w:r>
      <w:r>
        <w:t>41</w:t>
      </w:r>
      <w:r>
        <w:fldChar w:fldCharType="end"/>
      </w:r>
      <w:r>
        <w:rPr>
          <w:rFonts w:hint="eastAsia" w:ascii="宋体" w:hAnsi="宋体" w:eastAsia="宋体" w:cs="宋体"/>
          <w:bCs/>
          <w:color w:val="000000"/>
        </w:rPr>
        <w:fldChar w:fldCharType="end"/>
      </w:r>
    </w:p>
    <w:p w14:paraId="29E1DB83">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_Toc22307 </w:instrText>
      </w:r>
      <w:r>
        <w:rPr>
          <w:rFonts w:hint="eastAsia" w:ascii="宋体" w:hAnsi="宋体" w:eastAsia="宋体" w:cs="宋体"/>
          <w:bCs/>
        </w:rPr>
        <w:fldChar w:fldCharType="separate"/>
      </w:r>
      <w:r>
        <w:rPr>
          <w:rFonts w:hint="eastAsia" w:ascii="宋体" w:hAnsi="宋体" w:eastAsia="宋体" w:cs="宋体"/>
          <w:lang w:val="zh-CN"/>
        </w:rPr>
        <w:t>磋商响应文件目录</w:t>
      </w:r>
      <w:r>
        <w:tab/>
      </w:r>
      <w:r>
        <w:fldChar w:fldCharType="begin"/>
      </w:r>
      <w:r>
        <w:instrText xml:space="preserve"> PAGEREF _Toc22307 \h </w:instrText>
      </w:r>
      <w:r>
        <w:fldChar w:fldCharType="separate"/>
      </w:r>
      <w:r>
        <w:t>42</w:t>
      </w:r>
      <w:r>
        <w:fldChar w:fldCharType="end"/>
      </w:r>
      <w:r>
        <w:rPr>
          <w:rFonts w:hint="eastAsia" w:ascii="宋体" w:hAnsi="宋体" w:eastAsia="宋体" w:cs="宋体"/>
          <w:bCs/>
          <w:color w:val="000000"/>
        </w:rPr>
        <w:fldChar w:fldCharType="end"/>
      </w:r>
    </w:p>
    <w:p w14:paraId="3419DDD9">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_Toc21181 </w:instrText>
      </w:r>
      <w:r>
        <w:rPr>
          <w:rFonts w:hint="eastAsia" w:ascii="宋体" w:hAnsi="宋体" w:eastAsia="宋体" w:cs="宋体"/>
          <w:bCs/>
        </w:rPr>
        <w:fldChar w:fldCharType="separate"/>
      </w:r>
      <w:r>
        <w:rPr>
          <w:rFonts w:hint="eastAsia" w:ascii="宋体" w:hAnsi="宋体" w:eastAsia="宋体" w:cs="宋体"/>
          <w:lang w:val="zh-CN"/>
        </w:rPr>
        <w:t>格式1、磋商函</w:t>
      </w:r>
      <w:r>
        <w:tab/>
      </w:r>
      <w:r>
        <w:fldChar w:fldCharType="begin"/>
      </w:r>
      <w:r>
        <w:instrText xml:space="preserve"> PAGEREF _Toc21181 \h </w:instrText>
      </w:r>
      <w:r>
        <w:fldChar w:fldCharType="separate"/>
      </w:r>
      <w:r>
        <w:t>43</w:t>
      </w:r>
      <w:r>
        <w:fldChar w:fldCharType="end"/>
      </w:r>
      <w:r>
        <w:rPr>
          <w:rFonts w:hint="eastAsia" w:ascii="宋体" w:hAnsi="宋体" w:eastAsia="宋体" w:cs="宋体"/>
          <w:bCs/>
          <w:color w:val="000000"/>
        </w:rPr>
        <w:fldChar w:fldCharType="end"/>
      </w:r>
    </w:p>
    <w:p w14:paraId="56586777">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_Toc448 </w:instrText>
      </w:r>
      <w:r>
        <w:rPr>
          <w:rFonts w:hint="eastAsia" w:ascii="宋体" w:hAnsi="宋体" w:eastAsia="宋体" w:cs="宋体"/>
          <w:bCs/>
        </w:rPr>
        <w:fldChar w:fldCharType="separate"/>
      </w:r>
      <w:r>
        <w:rPr>
          <w:rFonts w:hint="eastAsia" w:ascii="宋体" w:hAnsi="宋体" w:eastAsia="宋体" w:cs="宋体"/>
          <w:lang w:val="zh-CN"/>
        </w:rPr>
        <w:t>格式2、法定代表人证明书</w:t>
      </w:r>
      <w:r>
        <w:tab/>
      </w:r>
      <w:r>
        <w:fldChar w:fldCharType="begin"/>
      </w:r>
      <w:r>
        <w:instrText xml:space="preserve"> PAGEREF _Toc448 \h </w:instrText>
      </w:r>
      <w:r>
        <w:fldChar w:fldCharType="separate"/>
      </w:r>
      <w:r>
        <w:t>44</w:t>
      </w:r>
      <w:r>
        <w:fldChar w:fldCharType="end"/>
      </w:r>
      <w:r>
        <w:rPr>
          <w:rFonts w:hint="eastAsia" w:ascii="宋体" w:hAnsi="宋体" w:eastAsia="宋体" w:cs="宋体"/>
          <w:bCs/>
          <w:color w:val="000000"/>
        </w:rPr>
        <w:fldChar w:fldCharType="end"/>
      </w:r>
    </w:p>
    <w:p w14:paraId="07E98F22">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_Toc27640 </w:instrText>
      </w:r>
      <w:r>
        <w:rPr>
          <w:rFonts w:hint="eastAsia" w:ascii="宋体" w:hAnsi="宋体" w:eastAsia="宋体" w:cs="宋体"/>
          <w:bCs/>
        </w:rPr>
        <w:fldChar w:fldCharType="separate"/>
      </w:r>
      <w:r>
        <w:rPr>
          <w:rFonts w:hint="eastAsia" w:ascii="宋体" w:hAnsi="宋体" w:eastAsia="宋体" w:cs="宋体"/>
          <w:lang w:val="zh-CN"/>
        </w:rPr>
        <w:t>格式3、法定代表人授权书</w:t>
      </w:r>
      <w:r>
        <w:tab/>
      </w:r>
      <w:r>
        <w:fldChar w:fldCharType="begin"/>
      </w:r>
      <w:r>
        <w:instrText xml:space="preserve"> PAGEREF _Toc27640 \h </w:instrText>
      </w:r>
      <w:r>
        <w:fldChar w:fldCharType="separate"/>
      </w:r>
      <w:r>
        <w:t>45</w:t>
      </w:r>
      <w:r>
        <w:fldChar w:fldCharType="end"/>
      </w:r>
      <w:r>
        <w:rPr>
          <w:rFonts w:hint="eastAsia" w:ascii="宋体" w:hAnsi="宋体" w:eastAsia="宋体" w:cs="宋体"/>
          <w:bCs/>
          <w:color w:val="000000"/>
        </w:rPr>
        <w:fldChar w:fldCharType="end"/>
      </w:r>
    </w:p>
    <w:p w14:paraId="60B55CD9">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_Toc29049 </w:instrText>
      </w:r>
      <w:r>
        <w:rPr>
          <w:rFonts w:hint="eastAsia" w:ascii="宋体" w:hAnsi="宋体" w:eastAsia="宋体" w:cs="宋体"/>
          <w:bCs/>
        </w:rPr>
        <w:fldChar w:fldCharType="separate"/>
      </w:r>
      <w:r>
        <w:rPr>
          <w:rFonts w:hint="eastAsia" w:ascii="宋体" w:hAnsi="宋体" w:eastAsia="宋体" w:cs="宋体"/>
          <w:lang w:val="zh-CN"/>
        </w:rPr>
        <w:t>格式</w:t>
      </w:r>
      <w:r>
        <w:rPr>
          <w:rFonts w:hint="eastAsia" w:hAnsi="宋体" w:eastAsia="宋体" w:cs="宋体"/>
          <w:lang w:val="en-US" w:eastAsia="zh-CN"/>
        </w:rPr>
        <w:t>4</w:t>
      </w:r>
      <w:r>
        <w:rPr>
          <w:rFonts w:hint="eastAsia" w:ascii="宋体" w:hAnsi="宋体" w:eastAsia="宋体" w:cs="宋体"/>
          <w:lang w:val="zh-CN"/>
        </w:rPr>
        <w:t>、磋商供应商承诺书</w:t>
      </w:r>
      <w:r>
        <w:tab/>
      </w:r>
      <w:r>
        <w:fldChar w:fldCharType="begin"/>
      </w:r>
      <w:r>
        <w:instrText xml:space="preserve"> PAGEREF _Toc29049 \h </w:instrText>
      </w:r>
      <w:r>
        <w:fldChar w:fldCharType="separate"/>
      </w:r>
      <w:r>
        <w:t>46</w:t>
      </w:r>
      <w:r>
        <w:fldChar w:fldCharType="end"/>
      </w:r>
      <w:r>
        <w:rPr>
          <w:rFonts w:hint="eastAsia" w:ascii="宋体" w:hAnsi="宋体" w:eastAsia="宋体" w:cs="宋体"/>
          <w:bCs/>
          <w:color w:val="000000"/>
        </w:rPr>
        <w:fldChar w:fldCharType="end"/>
      </w:r>
    </w:p>
    <w:p w14:paraId="4A747241">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_Toc22182 </w:instrText>
      </w:r>
      <w:r>
        <w:rPr>
          <w:rFonts w:hint="eastAsia" w:ascii="宋体" w:hAnsi="宋体" w:eastAsia="宋体" w:cs="宋体"/>
          <w:bCs/>
        </w:rPr>
        <w:fldChar w:fldCharType="separate"/>
      </w:r>
      <w:r>
        <w:rPr>
          <w:rFonts w:hint="eastAsia" w:ascii="宋体" w:hAnsi="宋体" w:eastAsia="宋体" w:cs="宋体"/>
          <w:lang w:val="zh-CN"/>
        </w:rPr>
        <w:t>格式</w:t>
      </w:r>
      <w:r>
        <w:rPr>
          <w:rFonts w:hint="eastAsia" w:hAnsi="宋体" w:eastAsia="宋体" w:cs="宋体"/>
          <w:lang w:val="en-US" w:eastAsia="zh-CN"/>
        </w:rPr>
        <w:t>5</w:t>
      </w:r>
      <w:r>
        <w:rPr>
          <w:rFonts w:hint="eastAsia" w:ascii="宋体" w:hAnsi="宋体" w:eastAsia="宋体" w:cs="宋体"/>
          <w:lang w:val="zh-CN"/>
        </w:rPr>
        <w:t>、供应商诚信承诺书</w:t>
      </w:r>
      <w:r>
        <w:tab/>
      </w:r>
      <w:r>
        <w:fldChar w:fldCharType="begin"/>
      </w:r>
      <w:r>
        <w:instrText xml:space="preserve"> PAGEREF _Toc22182 \h </w:instrText>
      </w:r>
      <w:r>
        <w:fldChar w:fldCharType="separate"/>
      </w:r>
      <w:r>
        <w:t>47</w:t>
      </w:r>
      <w:r>
        <w:fldChar w:fldCharType="end"/>
      </w:r>
      <w:r>
        <w:rPr>
          <w:rFonts w:hint="eastAsia" w:ascii="宋体" w:hAnsi="宋体" w:eastAsia="宋体" w:cs="宋体"/>
          <w:bCs/>
          <w:color w:val="000000"/>
        </w:rPr>
        <w:fldChar w:fldCharType="end"/>
      </w:r>
    </w:p>
    <w:p w14:paraId="5C367A6B">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_Toc16258 </w:instrText>
      </w:r>
      <w:r>
        <w:rPr>
          <w:rFonts w:hint="eastAsia" w:ascii="宋体" w:hAnsi="宋体" w:eastAsia="宋体" w:cs="宋体"/>
          <w:bCs/>
        </w:rPr>
        <w:fldChar w:fldCharType="separate"/>
      </w:r>
      <w:r>
        <w:rPr>
          <w:rFonts w:hint="eastAsia" w:ascii="宋体" w:hAnsi="宋体" w:eastAsia="宋体" w:cs="宋体"/>
          <w:lang w:val="zh-CN"/>
        </w:rPr>
        <w:t>格式</w:t>
      </w:r>
      <w:r>
        <w:rPr>
          <w:rFonts w:hint="eastAsia" w:hAnsi="宋体" w:eastAsia="宋体" w:cs="宋体"/>
          <w:lang w:val="en-US" w:eastAsia="zh-CN"/>
        </w:rPr>
        <w:t>6</w:t>
      </w:r>
      <w:r>
        <w:rPr>
          <w:rFonts w:hint="eastAsia" w:ascii="宋体" w:hAnsi="宋体" w:eastAsia="宋体" w:cs="宋体"/>
          <w:lang w:val="zh-CN"/>
        </w:rPr>
        <w:t>、资格证明材料</w:t>
      </w:r>
      <w:r>
        <w:tab/>
      </w:r>
      <w:r>
        <w:fldChar w:fldCharType="begin"/>
      </w:r>
      <w:r>
        <w:instrText xml:space="preserve"> PAGEREF _Toc16258 \h </w:instrText>
      </w:r>
      <w:r>
        <w:fldChar w:fldCharType="separate"/>
      </w:r>
      <w:r>
        <w:t>48</w:t>
      </w:r>
      <w:r>
        <w:fldChar w:fldCharType="end"/>
      </w:r>
      <w:r>
        <w:rPr>
          <w:rFonts w:hint="eastAsia" w:ascii="宋体" w:hAnsi="宋体" w:eastAsia="宋体" w:cs="宋体"/>
          <w:bCs/>
          <w:color w:val="000000"/>
        </w:rPr>
        <w:fldChar w:fldCharType="end"/>
      </w:r>
    </w:p>
    <w:p w14:paraId="1DBCF45E">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_Toc3962 </w:instrText>
      </w:r>
      <w:r>
        <w:rPr>
          <w:rFonts w:hint="eastAsia" w:ascii="宋体" w:hAnsi="宋体" w:eastAsia="宋体" w:cs="宋体"/>
          <w:bCs/>
        </w:rPr>
        <w:fldChar w:fldCharType="separate"/>
      </w:r>
      <w:r>
        <w:rPr>
          <w:rFonts w:hint="eastAsia" w:ascii="宋体" w:hAnsi="宋体" w:eastAsia="宋体" w:cs="宋体"/>
          <w:lang w:val="zh-CN"/>
        </w:rPr>
        <w:t>格式</w:t>
      </w:r>
      <w:r>
        <w:rPr>
          <w:rFonts w:hint="eastAsia" w:hAnsi="宋体" w:eastAsia="宋体" w:cs="宋体"/>
          <w:lang w:val="en-US" w:eastAsia="zh-CN"/>
        </w:rPr>
        <w:t>7</w:t>
      </w:r>
      <w:r>
        <w:rPr>
          <w:rFonts w:hint="eastAsia" w:ascii="宋体" w:hAnsi="宋体" w:eastAsia="宋体" w:cs="宋体"/>
          <w:lang w:val="zh-CN"/>
        </w:rPr>
        <w:t>、财务状况、缴纳税收和社会保障资金证明</w:t>
      </w:r>
      <w:r>
        <w:tab/>
      </w:r>
      <w:r>
        <w:fldChar w:fldCharType="begin"/>
      </w:r>
      <w:r>
        <w:instrText xml:space="preserve"> PAGEREF _Toc3962 \h </w:instrText>
      </w:r>
      <w:r>
        <w:fldChar w:fldCharType="separate"/>
      </w:r>
      <w:r>
        <w:t>49</w:t>
      </w:r>
      <w:r>
        <w:fldChar w:fldCharType="end"/>
      </w:r>
      <w:r>
        <w:rPr>
          <w:rFonts w:hint="eastAsia" w:ascii="宋体" w:hAnsi="宋体" w:eastAsia="宋体" w:cs="宋体"/>
          <w:bCs/>
          <w:color w:val="000000"/>
        </w:rPr>
        <w:fldChar w:fldCharType="end"/>
      </w:r>
    </w:p>
    <w:p w14:paraId="3BA7603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_Toc17626 </w:instrText>
      </w:r>
      <w:r>
        <w:rPr>
          <w:rFonts w:hint="eastAsia" w:ascii="宋体" w:hAnsi="宋体" w:eastAsia="宋体" w:cs="宋体"/>
          <w:bCs/>
        </w:rPr>
        <w:fldChar w:fldCharType="separate"/>
      </w:r>
      <w:r>
        <w:rPr>
          <w:rFonts w:hint="eastAsia" w:ascii="宋体" w:hAnsi="宋体" w:eastAsia="宋体" w:cs="宋体"/>
          <w:lang w:val="zh-CN"/>
        </w:rPr>
        <w:t>格式</w:t>
      </w:r>
      <w:r>
        <w:rPr>
          <w:rFonts w:hint="eastAsia" w:hAnsi="宋体" w:eastAsia="宋体" w:cs="宋体"/>
          <w:lang w:val="en-US" w:eastAsia="zh-CN"/>
        </w:rPr>
        <w:t>8</w:t>
      </w:r>
      <w:r>
        <w:rPr>
          <w:rFonts w:hint="eastAsia" w:ascii="宋体" w:hAnsi="宋体" w:eastAsia="宋体" w:cs="宋体"/>
          <w:lang w:val="zh-CN"/>
        </w:rPr>
        <w:t>、具备履行合同所必须的设备和专业技术能力证明</w:t>
      </w:r>
      <w:r>
        <w:tab/>
      </w:r>
      <w:r>
        <w:fldChar w:fldCharType="begin"/>
      </w:r>
      <w:r>
        <w:instrText xml:space="preserve"> PAGEREF _Toc17626 \h </w:instrText>
      </w:r>
      <w:r>
        <w:fldChar w:fldCharType="separate"/>
      </w:r>
      <w:r>
        <w:t>50</w:t>
      </w:r>
      <w:r>
        <w:fldChar w:fldCharType="end"/>
      </w:r>
      <w:r>
        <w:rPr>
          <w:rFonts w:hint="eastAsia" w:ascii="宋体" w:hAnsi="宋体" w:eastAsia="宋体" w:cs="宋体"/>
          <w:bCs/>
          <w:color w:val="000000"/>
        </w:rPr>
        <w:fldChar w:fldCharType="end"/>
      </w:r>
    </w:p>
    <w:p w14:paraId="62A70FB9">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_Toc9739 </w:instrText>
      </w:r>
      <w:r>
        <w:rPr>
          <w:rFonts w:hint="eastAsia" w:ascii="宋体" w:hAnsi="宋体" w:eastAsia="宋体" w:cs="宋体"/>
          <w:bCs/>
        </w:rPr>
        <w:fldChar w:fldCharType="separate"/>
      </w:r>
      <w:r>
        <w:rPr>
          <w:rFonts w:hint="eastAsia" w:ascii="宋体" w:hAnsi="宋体" w:eastAsia="宋体" w:cs="宋体"/>
          <w:bCs/>
          <w:szCs w:val="28"/>
        </w:rPr>
        <w:t>格式</w:t>
      </w:r>
      <w:r>
        <w:rPr>
          <w:rFonts w:hint="eastAsia" w:hAnsi="宋体" w:eastAsia="宋体" w:cs="宋体"/>
          <w:bCs/>
          <w:szCs w:val="28"/>
          <w:lang w:val="en-US" w:eastAsia="zh-CN"/>
        </w:rPr>
        <w:t>9</w:t>
      </w:r>
      <w:r>
        <w:rPr>
          <w:rFonts w:hint="eastAsia" w:ascii="宋体" w:hAnsi="宋体" w:eastAsia="宋体" w:cs="宋体"/>
          <w:bCs/>
          <w:szCs w:val="28"/>
        </w:rPr>
        <w:t>、无重大违法记录声明</w:t>
      </w:r>
      <w:r>
        <w:tab/>
      </w:r>
      <w:r>
        <w:fldChar w:fldCharType="begin"/>
      </w:r>
      <w:r>
        <w:instrText xml:space="preserve"> PAGEREF _Toc9739 \h </w:instrText>
      </w:r>
      <w:r>
        <w:fldChar w:fldCharType="separate"/>
      </w:r>
      <w:r>
        <w:t>51</w:t>
      </w:r>
      <w:r>
        <w:fldChar w:fldCharType="end"/>
      </w:r>
      <w:r>
        <w:rPr>
          <w:rFonts w:hint="eastAsia" w:ascii="宋体" w:hAnsi="宋体" w:eastAsia="宋体" w:cs="宋体"/>
          <w:bCs/>
          <w:color w:val="000000"/>
        </w:rPr>
        <w:fldChar w:fldCharType="end"/>
      </w:r>
    </w:p>
    <w:p w14:paraId="7364371A">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_Toc27385 </w:instrText>
      </w:r>
      <w:r>
        <w:rPr>
          <w:rFonts w:hint="eastAsia" w:ascii="宋体" w:hAnsi="宋体" w:eastAsia="宋体" w:cs="宋体"/>
          <w:bCs/>
        </w:rPr>
        <w:fldChar w:fldCharType="separate"/>
      </w:r>
      <w:r>
        <w:rPr>
          <w:rFonts w:hint="eastAsia" w:ascii="宋体" w:hAnsi="宋体" w:eastAsia="宋体" w:cs="宋体"/>
          <w:bCs/>
          <w:szCs w:val="28"/>
        </w:rPr>
        <w:t>格式1</w:t>
      </w:r>
      <w:r>
        <w:rPr>
          <w:rFonts w:hint="eastAsia" w:hAnsi="宋体" w:eastAsia="宋体" w:cs="宋体"/>
          <w:bCs/>
          <w:szCs w:val="28"/>
          <w:lang w:val="en-US" w:eastAsia="zh-CN"/>
        </w:rPr>
        <w:t>0</w:t>
      </w:r>
      <w:r>
        <w:rPr>
          <w:rFonts w:hint="eastAsia" w:ascii="宋体" w:hAnsi="宋体" w:eastAsia="宋体" w:cs="宋体"/>
          <w:bCs/>
          <w:szCs w:val="28"/>
        </w:rPr>
        <w:t>、磋商保证金证明</w:t>
      </w:r>
      <w:r>
        <w:tab/>
      </w:r>
      <w:r>
        <w:fldChar w:fldCharType="begin"/>
      </w:r>
      <w:r>
        <w:instrText xml:space="preserve"> PAGEREF _Toc27385 \h </w:instrText>
      </w:r>
      <w:r>
        <w:fldChar w:fldCharType="separate"/>
      </w:r>
      <w:r>
        <w:t>52</w:t>
      </w:r>
      <w:r>
        <w:fldChar w:fldCharType="end"/>
      </w:r>
      <w:r>
        <w:rPr>
          <w:rFonts w:hint="eastAsia" w:ascii="宋体" w:hAnsi="宋体" w:eastAsia="宋体" w:cs="宋体"/>
          <w:bCs/>
          <w:color w:val="000000"/>
        </w:rPr>
        <w:fldChar w:fldCharType="end"/>
      </w:r>
    </w:p>
    <w:p w14:paraId="40500B0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_Toc23906 </w:instrText>
      </w:r>
      <w:r>
        <w:rPr>
          <w:rFonts w:hint="eastAsia" w:ascii="宋体" w:hAnsi="宋体" w:eastAsia="宋体" w:cs="宋体"/>
          <w:bCs/>
        </w:rPr>
        <w:fldChar w:fldCharType="separate"/>
      </w:r>
      <w:r>
        <w:rPr>
          <w:rFonts w:hint="eastAsia" w:ascii="宋体" w:hAnsi="宋体" w:eastAsia="宋体" w:cs="宋体"/>
          <w:lang w:val="zh-CN"/>
        </w:rPr>
        <w:t>格式1</w:t>
      </w:r>
      <w:r>
        <w:rPr>
          <w:rFonts w:hint="eastAsia" w:hAnsi="宋体" w:eastAsia="宋体" w:cs="宋体"/>
          <w:lang w:val="en-US" w:eastAsia="zh-CN"/>
        </w:rPr>
        <w:t>1</w:t>
      </w:r>
      <w:r>
        <w:rPr>
          <w:rFonts w:hint="eastAsia" w:ascii="宋体" w:hAnsi="宋体" w:eastAsia="宋体" w:cs="宋体"/>
          <w:lang w:val="zh-CN"/>
        </w:rPr>
        <w:t>、</w:t>
      </w:r>
      <w:r>
        <w:rPr>
          <w:rFonts w:hint="eastAsia" w:ascii="宋体" w:hAnsi="宋体" w:eastAsia="宋体" w:cs="宋体"/>
          <w:szCs w:val="32"/>
        </w:rPr>
        <w:t>竞争性磋商首次报价表</w:t>
      </w:r>
      <w:r>
        <w:tab/>
      </w:r>
      <w:r>
        <w:fldChar w:fldCharType="begin"/>
      </w:r>
      <w:r>
        <w:instrText xml:space="preserve"> PAGEREF _Toc23906 \h </w:instrText>
      </w:r>
      <w:r>
        <w:fldChar w:fldCharType="separate"/>
      </w:r>
      <w:r>
        <w:t>53</w:t>
      </w:r>
      <w:r>
        <w:fldChar w:fldCharType="end"/>
      </w:r>
      <w:r>
        <w:rPr>
          <w:rFonts w:hint="eastAsia" w:ascii="宋体" w:hAnsi="宋体" w:eastAsia="宋体" w:cs="宋体"/>
          <w:bCs/>
          <w:color w:val="000000"/>
        </w:rPr>
        <w:fldChar w:fldCharType="end"/>
      </w:r>
    </w:p>
    <w:p w14:paraId="267BE066">
      <w:pPr>
        <w:pStyle w:val="22"/>
        <w:tabs>
          <w:tab w:val="right" w:leader="dot" w:pos="8618"/>
          <w:tab w:val="clear" w:pos="8296"/>
        </w:tabs>
        <w:rPr>
          <w:rFonts w:hint="eastAsia" w:ascii="宋体" w:hAnsi="宋体" w:eastAsia="宋体" w:cs="宋体"/>
          <w:bCs/>
          <w:color w:val="000000"/>
        </w:rPr>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_Toc4732 </w:instrText>
      </w:r>
      <w:r>
        <w:rPr>
          <w:rFonts w:hint="eastAsia" w:ascii="宋体" w:hAnsi="宋体" w:eastAsia="宋体" w:cs="宋体"/>
          <w:bCs/>
        </w:rPr>
        <w:fldChar w:fldCharType="separate"/>
      </w:r>
      <w:r>
        <w:rPr>
          <w:rFonts w:hint="eastAsia" w:ascii="宋体" w:hAnsi="宋体" w:eastAsia="宋体" w:cs="宋体"/>
          <w:lang w:val="zh-CN"/>
        </w:rPr>
        <w:t>格式1</w:t>
      </w:r>
      <w:r>
        <w:rPr>
          <w:rFonts w:hint="eastAsia" w:hAnsi="宋体" w:eastAsia="宋体" w:cs="宋体"/>
          <w:lang w:val="en-US" w:eastAsia="zh-CN"/>
        </w:rPr>
        <w:t>2</w:t>
      </w:r>
      <w:r>
        <w:rPr>
          <w:rFonts w:hint="eastAsia" w:ascii="宋体" w:hAnsi="宋体" w:eastAsia="宋体" w:cs="宋体"/>
          <w:lang w:val="zh-CN"/>
        </w:rPr>
        <w:t>、磋商服务相关资料</w:t>
      </w:r>
      <w:r>
        <w:tab/>
      </w:r>
      <w:r>
        <w:fldChar w:fldCharType="begin"/>
      </w:r>
      <w:r>
        <w:instrText xml:space="preserve"> PAGEREF _Toc4732 \h </w:instrText>
      </w:r>
      <w:r>
        <w:fldChar w:fldCharType="separate"/>
      </w:r>
      <w:r>
        <w:t>54</w:t>
      </w:r>
      <w:r>
        <w:fldChar w:fldCharType="end"/>
      </w:r>
      <w:r>
        <w:rPr>
          <w:rFonts w:hint="eastAsia" w:ascii="宋体" w:hAnsi="宋体" w:eastAsia="宋体" w:cs="宋体"/>
          <w:bCs/>
          <w:color w:val="000000"/>
        </w:rPr>
        <w:fldChar w:fldCharType="end"/>
      </w:r>
    </w:p>
    <w:p w14:paraId="6C430FF0">
      <w:r>
        <w:rPr>
          <w:rFonts w:hint="eastAsia" w:ascii="宋体" w:hAnsi="宋体" w:eastAsia="宋体" w:cs="宋体"/>
          <w:lang w:val="zh-CN"/>
        </w:rPr>
        <w:t>格式1</w:t>
      </w:r>
      <w:r>
        <w:rPr>
          <w:rFonts w:hint="eastAsia" w:hAnsi="宋体" w:eastAsia="宋体" w:cs="宋体"/>
          <w:lang w:val="en-US" w:eastAsia="zh-CN"/>
        </w:rPr>
        <w:t>3</w:t>
      </w:r>
      <w:r>
        <w:rPr>
          <w:rFonts w:hint="eastAsia" w:ascii="宋体" w:hAnsi="宋体" w:eastAsia="宋体" w:cs="宋体"/>
          <w:lang w:val="zh-CN"/>
        </w:rPr>
        <w:t>、</w:t>
      </w:r>
      <w:r>
        <w:rPr>
          <w:rFonts w:hint="eastAsia" w:ascii="宋体" w:hAnsi="宋体" w:eastAsia="宋体" w:cs="宋体"/>
          <w:lang w:val="en-US" w:eastAsia="zh-CN"/>
        </w:rPr>
        <w:t>服务应答表</w:t>
      </w:r>
      <w:r>
        <w:tab/>
      </w:r>
      <w:r>
        <w:rPr>
          <w:rFonts w:hint="eastAsia"/>
          <w:lang w:val="en-US" w:eastAsia="zh-CN"/>
        </w:rPr>
        <w:t xml:space="preserve">                                                         </w:t>
      </w:r>
      <w:r>
        <w:tab/>
      </w:r>
      <w:r>
        <w:fldChar w:fldCharType="begin"/>
      </w:r>
      <w:r>
        <w:instrText xml:space="preserve"> PAGEREF _Toc4732 \h </w:instrText>
      </w:r>
      <w:r>
        <w:fldChar w:fldCharType="separate"/>
      </w:r>
      <w:r>
        <w:t>5</w:t>
      </w:r>
      <w:r>
        <w:rPr>
          <w:rFonts w:hint="eastAsia"/>
          <w:lang w:val="en-US" w:eastAsia="zh-CN"/>
        </w:rPr>
        <w:t>5</w:t>
      </w:r>
      <w:r>
        <w:fldChar w:fldCharType="end"/>
      </w:r>
    </w:p>
    <w:p w14:paraId="1E7F3E20">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_Toc7773 </w:instrText>
      </w:r>
      <w:r>
        <w:rPr>
          <w:rFonts w:hint="eastAsia" w:ascii="宋体" w:hAnsi="宋体" w:eastAsia="宋体" w:cs="宋体"/>
          <w:bCs/>
        </w:rPr>
        <w:fldChar w:fldCharType="separate"/>
      </w:r>
      <w:r>
        <w:rPr>
          <w:rFonts w:hint="eastAsia" w:ascii="宋体" w:hAnsi="宋体" w:eastAsia="宋体" w:cs="宋体"/>
        </w:rPr>
        <w:t>格式1</w:t>
      </w:r>
      <w:r>
        <w:rPr>
          <w:rFonts w:hint="eastAsia" w:ascii="宋体" w:hAnsi="宋体" w:cs="宋体"/>
          <w:lang w:val="en-US" w:eastAsia="zh-CN"/>
        </w:rPr>
        <w:t>4</w:t>
      </w:r>
      <w:r>
        <w:rPr>
          <w:rFonts w:hint="eastAsia" w:ascii="宋体" w:hAnsi="宋体" w:eastAsia="宋体" w:cs="宋体"/>
        </w:rPr>
        <w:t>、磋商供应商的类似业绩证明材料</w:t>
      </w:r>
      <w:r>
        <w:tab/>
      </w:r>
      <w:r>
        <w:fldChar w:fldCharType="begin"/>
      </w:r>
      <w:r>
        <w:instrText xml:space="preserve"> PAGEREF _Toc7773 \h </w:instrText>
      </w:r>
      <w:r>
        <w:fldChar w:fldCharType="separate"/>
      </w:r>
      <w:r>
        <w:t>56</w:t>
      </w:r>
      <w:r>
        <w:fldChar w:fldCharType="end"/>
      </w:r>
      <w:r>
        <w:rPr>
          <w:rFonts w:hint="eastAsia" w:ascii="宋体" w:hAnsi="宋体" w:eastAsia="宋体" w:cs="宋体"/>
          <w:bCs/>
          <w:color w:val="000000"/>
        </w:rPr>
        <w:fldChar w:fldCharType="end"/>
      </w:r>
    </w:p>
    <w:p w14:paraId="0A1D8CC8">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_Toc18594 </w:instrText>
      </w:r>
      <w:r>
        <w:rPr>
          <w:rFonts w:hint="eastAsia" w:ascii="宋体" w:hAnsi="宋体" w:eastAsia="宋体" w:cs="宋体"/>
          <w:bCs/>
        </w:rPr>
        <w:fldChar w:fldCharType="separate"/>
      </w:r>
      <w:r>
        <w:rPr>
          <w:rFonts w:hint="eastAsia" w:ascii="宋体" w:hAnsi="宋体" w:eastAsia="宋体" w:cs="宋体"/>
          <w:lang w:val="zh-CN"/>
        </w:rPr>
        <w:t>格式1</w:t>
      </w:r>
      <w:r>
        <w:rPr>
          <w:rFonts w:hint="eastAsia" w:hAnsi="宋体" w:cs="宋体"/>
          <w:lang w:val="en-US" w:eastAsia="zh-CN"/>
        </w:rPr>
        <w:t>5</w:t>
      </w:r>
      <w:r>
        <w:rPr>
          <w:rFonts w:hint="eastAsia" w:ascii="宋体" w:hAnsi="宋体" w:eastAsia="宋体" w:cs="宋体"/>
          <w:lang w:val="zh-CN"/>
        </w:rPr>
        <w:t>、享受政府采购政策优惠的证明资料</w:t>
      </w:r>
      <w:r>
        <w:tab/>
      </w:r>
      <w:r>
        <w:fldChar w:fldCharType="begin"/>
      </w:r>
      <w:r>
        <w:instrText xml:space="preserve"> PAGEREF _Toc18594 \h </w:instrText>
      </w:r>
      <w:r>
        <w:fldChar w:fldCharType="separate"/>
      </w:r>
      <w:r>
        <w:t>57</w:t>
      </w:r>
      <w:r>
        <w:fldChar w:fldCharType="end"/>
      </w:r>
      <w:r>
        <w:rPr>
          <w:rFonts w:hint="eastAsia" w:ascii="宋体" w:hAnsi="宋体" w:eastAsia="宋体" w:cs="宋体"/>
          <w:bCs/>
          <w:color w:val="000000"/>
        </w:rPr>
        <w:fldChar w:fldCharType="end"/>
      </w:r>
    </w:p>
    <w:p w14:paraId="6CBDF23B">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_Toc12744 </w:instrText>
      </w:r>
      <w:r>
        <w:rPr>
          <w:rFonts w:hint="eastAsia" w:ascii="宋体" w:hAnsi="宋体" w:eastAsia="宋体" w:cs="宋体"/>
          <w:bCs/>
        </w:rPr>
        <w:fldChar w:fldCharType="separate"/>
      </w:r>
      <w:r>
        <w:rPr>
          <w:rFonts w:hint="eastAsia" w:ascii="宋体" w:hAnsi="宋体" w:eastAsia="宋体" w:cs="宋体"/>
          <w:lang w:val="zh-CN"/>
        </w:rPr>
        <w:t>格式1</w:t>
      </w:r>
      <w:r>
        <w:rPr>
          <w:rFonts w:hint="eastAsia" w:hAnsi="宋体" w:cs="宋体"/>
          <w:lang w:val="en-US" w:eastAsia="zh-CN"/>
        </w:rPr>
        <w:t>6</w:t>
      </w:r>
      <w:r>
        <w:rPr>
          <w:rFonts w:hint="eastAsia" w:ascii="宋体" w:hAnsi="宋体" w:eastAsia="宋体" w:cs="宋体"/>
          <w:lang w:val="zh-CN"/>
        </w:rPr>
        <w:t>、磋商供应商认为在其他方面有必要说明的事项</w:t>
      </w:r>
      <w:r>
        <w:tab/>
      </w:r>
      <w:r>
        <w:fldChar w:fldCharType="begin"/>
      </w:r>
      <w:r>
        <w:instrText xml:space="preserve"> PAGEREF _Toc12744 \h </w:instrText>
      </w:r>
      <w:r>
        <w:fldChar w:fldCharType="separate"/>
      </w:r>
      <w:r>
        <w:t>60</w:t>
      </w:r>
      <w:r>
        <w:fldChar w:fldCharType="end"/>
      </w:r>
      <w:r>
        <w:rPr>
          <w:rFonts w:hint="eastAsia" w:ascii="宋体" w:hAnsi="宋体" w:eastAsia="宋体" w:cs="宋体"/>
          <w:bCs/>
          <w:color w:val="000000"/>
        </w:rPr>
        <w:fldChar w:fldCharType="end"/>
      </w:r>
    </w:p>
    <w:p w14:paraId="67A86984">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_Toc2403 </w:instrText>
      </w:r>
      <w:r>
        <w:rPr>
          <w:rFonts w:hint="eastAsia" w:ascii="宋体" w:hAnsi="宋体" w:eastAsia="宋体" w:cs="宋体"/>
          <w:bCs/>
        </w:rPr>
        <w:fldChar w:fldCharType="separate"/>
      </w:r>
      <w:r>
        <w:rPr>
          <w:rFonts w:hint="eastAsia" w:ascii="宋体" w:hAnsi="宋体" w:eastAsia="宋体" w:cs="宋体"/>
          <w:lang w:val="zh-CN"/>
        </w:rPr>
        <w:t>格式1</w:t>
      </w:r>
      <w:r>
        <w:rPr>
          <w:rFonts w:hint="eastAsia" w:hAnsi="宋体" w:cs="宋体"/>
          <w:lang w:val="en-US" w:eastAsia="zh-CN"/>
        </w:rPr>
        <w:t>7</w:t>
      </w:r>
      <w:r>
        <w:rPr>
          <w:rFonts w:hint="eastAsia" w:ascii="宋体" w:hAnsi="宋体" w:eastAsia="宋体" w:cs="宋体"/>
          <w:lang w:val="zh-CN"/>
        </w:rPr>
        <w:t>、磋商最终报价表</w:t>
      </w:r>
      <w:r>
        <w:rPr>
          <w:rFonts w:hint="eastAsia" w:ascii="宋体" w:hAnsi="宋体" w:eastAsia="宋体" w:cs="宋体"/>
          <w:szCs w:val="36"/>
        </w:rPr>
        <w:t>（单独提交）</w:t>
      </w:r>
      <w:r>
        <w:tab/>
      </w:r>
      <w:r>
        <w:fldChar w:fldCharType="begin"/>
      </w:r>
      <w:r>
        <w:instrText xml:space="preserve"> PAGEREF _Toc2403 \h </w:instrText>
      </w:r>
      <w:r>
        <w:fldChar w:fldCharType="separate"/>
      </w:r>
      <w:r>
        <w:t>61</w:t>
      </w:r>
      <w:r>
        <w:fldChar w:fldCharType="end"/>
      </w:r>
      <w:r>
        <w:rPr>
          <w:rFonts w:hint="eastAsia" w:ascii="宋体" w:hAnsi="宋体" w:eastAsia="宋体" w:cs="宋体"/>
          <w:bCs/>
          <w:color w:val="000000"/>
        </w:rPr>
        <w:fldChar w:fldCharType="end"/>
      </w:r>
    </w:p>
    <w:p w14:paraId="2611040D">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_Toc10393 </w:instrText>
      </w:r>
      <w:r>
        <w:rPr>
          <w:rFonts w:hint="eastAsia" w:ascii="宋体" w:hAnsi="宋体" w:eastAsia="宋体" w:cs="宋体"/>
          <w:bCs/>
        </w:rPr>
        <w:fldChar w:fldCharType="separate"/>
      </w:r>
      <w:r>
        <w:rPr>
          <w:rFonts w:hint="eastAsia" w:ascii="宋体" w:hAnsi="宋体" w:eastAsia="宋体" w:cs="宋体"/>
        </w:rPr>
        <w:t>第六部分  采购项目要求及内容</w:t>
      </w:r>
      <w:r>
        <w:tab/>
      </w:r>
      <w:r>
        <w:fldChar w:fldCharType="begin"/>
      </w:r>
      <w:r>
        <w:instrText xml:space="preserve"> PAGEREF _Toc10393 \h </w:instrText>
      </w:r>
      <w:r>
        <w:fldChar w:fldCharType="separate"/>
      </w:r>
      <w:r>
        <w:t>62</w:t>
      </w:r>
      <w:r>
        <w:fldChar w:fldCharType="end"/>
      </w:r>
      <w:r>
        <w:rPr>
          <w:rFonts w:hint="eastAsia" w:ascii="宋体" w:hAnsi="宋体" w:eastAsia="宋体" w:cs="宋体"/>
          <w:bCs/>
          <w:color w:val="000000"/>
        </w:rPr>
        <w:fldChar w:fldCharType="end"/>
      </w:r>
    </w:p>
    <w:p w14:paraId="7AE5725E">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_Toc31574 </w:instrText>
      </w:r>
      <w:r>
        <w:rPr>
          <w:rFonts w:hint="eastAsia" w:ascii="宋体" w:hAnsi="宋体" w:eastAsia="宋体" w:cs="宋体"/>
          <w:bCs/>
        </w:rPr>
        <w:fldChar w:fldCharType="separate"/>
      </w:r>
      <w:r>
        <w:rPr>
          <w:rFonts w:hint="eastAsia" w:ascii="宋体" w:hAnsi="宋体" w:eastAsia="宋体" w:cs="宋体"/>
          <w:bCs/>
          <w:kern w:val="0"/>
          <w:szCs w:val="32"/>
        </w:rPr>
        <w:t>一、磋商要求</w:t>
      </w:r>
      <w:r>
        <w:tab/>
      </w:r>
      <w:r>
        <w:fldChar w:fldCharType="begin"/>
      </w:r>
      <w:r>
        <w:instrText xml:space="preserve"> PAGEREF _Toc31574 \h </w:instrText>
      </w:r>
      <w:r>
        <w:fldChar w:fldCharType="separate"/>
      </w:r>
      <w:r>
        <w:t>62</w:t>
      </w:r>
      <w:r>
        <w:fldChar w:fldCharType="end"/>
      </w:r>
      <w:r>
        <w:rPr>
          <w:rFonts w:hint="eastAsia" w:ascii="宋体" w:hAnsi="宋体" w:eastAsia="宋体" w:cs="宋体"/>
          <w:bCs/>
          <w:color w:val="000000"/>
        </w:rPr>
        <w:fldChar w:fldCharType="end"/>
      </w:r>
    </w:p>
    <w:p w14:paraId="2C6F8458">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_Toc19124 </w:instrText>
      </w:r>
      <w:r>
        <w:rPr>
          <w:rFonts w:hint="eastAsia" w:ascii="宋体" w:hAnsi="宋体" w:eastAsia="宋体" w:cs="宋体"/>
          <w:bCs/>
        </w:rPr>
        <w:fldChar w:fldCharType="separate"/>
      </w:r>
      <w:r>
        <w:rPr>
          <w:rFonts w:hint="eastAsia" w:ascii="宋体" w:hAnsi="宋体" w:eastAsia="宋体" w:cs="宋体"/>
        </w:rPr>
        <w:t>1.磋商说明</w:t>
      </w:r>
      <w:r>
        <w:tab/>
      </w:r>
      <w:r>
        <w:fldChar w:fldCharType="begin"/>
      </w:r>
      <w:r>
        <w:instrText xml:space="preserve"> PAGEREF _Toc19124 \h </w:instrText>
      </w:r>
      <w:r>
        <w:fldChar w:fldCharType="separate"/>
      </w:r>
      <w:r>
        <w:t>62</w:t>
      </w:r>
      <w:r>
        <w:fldChar w:fldCharType="end"/>
      </w:r>
      <w:r>
        <w:rPr>
          <w:rFonts w:hint="eastAsia" w:ascii="宋体" w:hAnsi="宋体" w:eastAsia="宋体" w:cs="宋体"/>
          <w:bCs/>
          <w:color w:val="000000"/>
        </w:rPr>
        <w:fldChar w:fldCharType="end"/>
      </w:r>
    </w:p>
    <w:p w14:paraId="1BD58A6F">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_Toc15308 </w:instrText>
      </w:r>
      <w:r>
        <w:rPr>
          <w:rFonts w:hint="eastAsia" w:ascii="宋体" w:hAnsi="宋体" w:eastAsia="宋体" w:cs="宋体"/>
          <w:bCs/>
        </w:rPr>
        <w:fldChar w:fldCharType="separate"/>
      </w:r>
      <w:r>
        <w:rPr>
          <w:rFonts w:hint="eastAsia" w:ascii="宋体" w:hAnsi="宋体" w:eastAsia="宋体" w:cs="宋体"/>
        </w:rPr>
        <w:t>2.报价说明</w:t>
      </w:r>
      <w:r>
        <w:tab/>
      </w:r>
      <w:r>
        <w:fldChar w:fldCharType="begin"/>
      </w:r>
      <w:r>
        <w:instrText xml:space="preserve"> PAGEREF _Toc15308 \h </w:instrText>
      </w:r>
      <w:r>
        <w:fldChar w:fldCharType="separate"/>
      </w:r>
      <w:r>
        <w:t>62</w:t>
      </w:r>
      <w:r>
        <w:fldChar w:fldCharType="end"/>
      </w:r>
      <w:r>
        <w:rPr>
          <w:rFonts w:hint="eastAsia" w:ascii="宋体" w:hAnsi="宋体" w:eastAsia="宋体" w:cs="宋体"/>
          <w:bCs/>
          <w:color w:val="000000"/>
        </w:rPr>
        <w:fldChar w:fldCharType="end"/>
      </w:r>
    </w:p>
    <w:p w14:paraId="22DB41C1">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_Toc26909 </w:instrText>
      </w:r>
      <w:r>
        <w:rPr>
          <w:rFonts w:hint="eastAsia" w:ascii="宋体" w:hAnsi="宋体" w:eastAsia="宋体" w:cs="宋体"/>
          <w:bCs/>
        </w:rPr>
        <w:fldChar w:fldCharType="separate"/>
      </w:r>
      <w:r>
        <w:rPr>
          <w:rFonts w:hint="eastAsia" w:ascii="宋体" w:hAnsi="宋体" w:eastAsia="宋体" w:cs="宋体"/>
        </w:rPr>
        <w:t>3.商务要求</w:t>
      </w:r>
      <w:r>
        <w:tab/>
      </w:r>
      <w:r>
        <w:fldChar w:fldCharType="begin"/>
      </w:r>
      <w:r>
        <w:instrText xml:space="preserve"> PAGEREF _Toc26909 \h </w:instrText>
      </w:r>
      <w:r>
        <w:fldChar w:fldCharType="separate"/>
      </w:r>
      <w:r>
        <w:t>62</w:t>
      </w:r>
      <w:r>
        <w:fldChar w:fldCharType="end"/>
      </w:r>
      <w:r>
        <w:rPr>
          <w:rFonts w:hint="eastAsia" w:ascii="宋体" w:hAnsi="宋体" w:eastAsia="宋体" w:cs="宋体"/>
          <w:bCs/>
          <w:color w:val="000000"/>
        </w:rPr>
        <w:fldChar w:fldCharType="end"/>
      </w:r>
    </w:p>
    <w:p w14:paraId="7BF0EE51">
      <w:pPr>
        <w:pStyle w:val="22"/>
        <w:tabs>
          <w:tab w:val="right" w:leader="dot" w:pos="8618"/>
          <w:tab w:val="clear" w:pos="8296"/>
        </w:tabs>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_Toc17612 </w:instrText>
      </w:r>
      <w:r>
        <w:rPr>
          <w:rFonts w:hint="eastAsia" w:ascii="宋体" w:hAnsi="宋体" w:eastAsia="宋体" w:cs="宋体"/>
          <w:bCs/>
        </w:rPr>
        <w:fldChar w:fldCharType="separate"/>
      </w:r>
      <w:r>
        <w:rPr>
          <w:rFonts w:hint="eastAsia" w:ascii="宋体" w:hAnsi="宋体" w:eastAsia="宋体" w:cs="宋体"/>
          <w:bCs/>
          <w:kern w:val="0"/>
          <w:szCs w:val="32"/>
        </w:rPr>
        <w:t>二、服务内容及要求</w:t>
      </w:r>
      <w:r>
        <w:tab/>
      </w:r>
      <w:r>
        <w:fldChar w:fldCharType="begin"/>
      </w:r>
      <w:r>
        <w:instrText xml:space="preserve"> PAGEREF _Toc17612 \h </w:instrText>
      </w:r>
      <w:r>
        <w:fldChar w:fldCharType="separate"/>
      </w:r>
      <w:r>
        <w:t>62</w:t>
      </w:r>
      <w:r>
        <w:fldChar w:fldCharType="end"/>
      </w:r>
      <w:r>
        <w:rPr>
          <w:rFonts w:hint="eastAsia" w:ascii="宋体" w:hAnsi="宋体" w:eastAsia="宋体" w:cs="宋体"/>
          <w:bCs/>
          <w:color w:val="000000"/>
        </w:rPr>
        <w:fldChar w:fldCharType="end"/>
      </w:r>
    </w:p>
    <w:p w14:paraId="2D589B3A">
      <w:pPr>
        <w:pStyle w:val="22"/>
        <w:spacing w:line="276" w:lineRule="auto"/>
        <w:jc w:val="center"/>
        <w:rPr>
          <w:rFonts w:hint="eastAsia" w:ascii="宋体" w:hAnsi="宋体" w:eastAsia="宋体" w:cs="宋体"/>
          <w:bCs/>
          <w:color w:val="000000"/>
          <w:sz w:val="24"/>
        </w:rPr>
      </w:pPr>
      <w:r>
        <w:rPr>
          <w:rFonts w:hint="eastAsia" w:ascii="宋体" w:hAnsi="宋体" w:eastAsia="宋体" w:cs="宋体"/>
          <w:bCs/>
          <w:color w:val="000000"/>
        </w:rPr>
        <w:fldChar w:fldCharType="end"/>
      </w:r>
    </w:p>
    <w:p w14:paraId="2A08B96D">
      <w:pPr>
        <w:pStyle w:val="23"/>
        <w:spacing w:before="0" w:after="0" w:line="360" w:lineRule="auto"/>
        <w:rPr>
          <w:rFonts w:hint="eastAsia" w:ascii="宋体" w:hAnsi="宋体" w:eastAsia="宋体" w:cs="宋体"/>
          <w:color w:val="000000"/>
          <w:sz w:val="48"/>
        </w:rPr>
      </w:pPr>
      <w:bookmarkStart w:id="2" w:name="_Toc444715732"/>
      <w:r>
        <w:rPr>
          <w:rFonts w:hint="eastAsia" w:ascii="宋体" w:hAnsi="宋体" w:eastAsia="宋体" w:cs="宋体"/>
          <w:color w:val="000000"/>
          <w:sz w:val="48"/>
        </w:rPr>
        <w:br w:type="page"/>
      </w:r>
      <w:bookmarkStart w:id="3" w:name="_Toc32058"/>
      <w:r>
        <w:rPr>
          <w:rFonts w:hint="eastAsia" w:ascii="宋体" w:hAnsi="宋体" w:eastAsia="宋体" w:cs="宋体"/>
          <w:color w:val="000000"/>
          <w:sz w:val="48"/>
        </w:rPr>
        <w:t>第一部分  磋商邀请</w:t>
      </w:r>
      <w:bookmarkEnd w:id="2"/>
      <w:bookmarkEnd w:id="3"/>
    </w:p>
    <w:p w14:paraId="353682AF">
      <w:pPr>
        <w:spacing w:line="360" w:lineRule="auto"/>
        <w:ind w:firstLine="600" w:firstLineChars="250"/>
        <w:rPr>
          <w:rFonts w:hint="eastAsia" w:ascii="宋体" w:hAnsi="宋体" w:eastAsia="宋体" w:cs="宋体"/>
          <w:color w:val="000000"/>
          <w:sz w:val="24"/>
          <w:lang w:val="zh-CN"/>
        </w:rPr>
      </w:pPr>
      <w:r>
        <w:rPr>
          <w:rFonts w:hint="eastAsia" w:ascii="宋体" w:hAnsi="宋体" w:cs="宋体"/>
          <w:color w:val="000000"/>
          <w:sz w:val="24"/>
          <w:lang w:val="zh-CN"/>
        </w:rPr>
        <w:t>青海海际项目咨询管理有限公司</w:t>
      </w:r>
      <w:r>
        <w:rPr>
          <w:rFonts w:hint="eastAsia" w:ascii="宋体" w:hAnsi="宋体" w:eastAsia="宋体" w:cs="宋体"/>
          <w:color w:val="000000"/>
          <w:sz w:val="24"/>
          <w:lang w:val="zh-CN"/>
        </w:rPr>
        <w:t>（以下均简称“采购代理机构”）受</w:t>
      </w:r>
      <w:r>
        <w:rPr>
          <w:rFonts w:hint="eastAsia" w:ascii="宋体" w:hAnsi="宋体" w:eastAsia="宋体" w:cs="宋体"/>
          <w:color w:val="000000"/>
          <w:sz w:val="24"/>
          <w:lang w:eastAsia="zh-CN"/>
        </w:rPr>
        <w:t>青海民族大学</w:t>
      </w:r>
      <w:r>
        <w:rPr>
          <w:rFonts w:hint="eastAsia" w:ascii="宋体" w:hAnsi="宋体" w:eastAsia="宋体" w:cs="宋体"/>
          <w:color w:val="000000"/>
          <w:sz w:val="24"/>
          <w:lang w:val="zh-CN"/>
        </w:rPr>
        <w:t>（以下均简称“采购单位”）委托</w:t>
      </w:r>
      <w:r>
        <w:rPr>
          <w:rFonts w:hint="eastAsia" w:ascii="宋体" w:hAnsi="宋体" w:eastAsia="宋体" w:cs="宋体"/>
          <w:color w:val="000000"/>
          <w:sz w:val="24"/>
        </w:rPr>
        <w:t>，拟对</w:t>
      </w:r>
      <w:r>
        <w:rPr>
          <w:rFonts w:hint="eastAsia" w:ascii="宋体" w:hAnsi="宋体" w:cs="宋体"/>
          <w:color w:val="000000"/>
          <w:kern w:val="0"/>
          <w:sz w:val="24"/>
          <w:lang w:eastAsia="zh-CN"/>
        </w:rPr>
        <w:t>校园应用与网络运维服务--财务数字化建设</w:t>
      </w:r>
      <w:r>
        <w:rPr>
          <w:rFonts w:hint="eastAsia" w:ascii="宋体" w:hAnsi="宋体" w:eastAsia="宋体" w:cs="宋体"/>
          <w:color w:val="000000"/>
          <w:sz w:val="24"/>
        </w:rPr>
        <w:t>（采购项目编号：</w:t>
      </w:r>
      <w:r>
        <w:rPr>
          <w:rFonts w:hint="eastAsia" w:ascii="宋体" w:hAnsi="宋体" w:cs="宋体"/>
          <w:color w:val="000000"/>
          <w:sz w:val="24"/>
          <w:lang w:eastAsia="zh-CN"/>
        </w:rPr>
        <w:t>青海海际竞磋（服务）2025-131</w:t>
      </w:r>
      <w:r>
        <w:rPr>
          <w:rFonts w:hint="eastAsia" w:ascii="宋体" w:hAnsi="宋体" w:eastAsia="宋体" w:cs="宋体"/>
          <w:color w:val="000000"/>
          <w:sz w:val="24"/>
        </w:rPr>
        <w:t>）进行国内竞争性磋商采购，现予以公告，欢迎潜在的磋商供应商参加本次采购活动</w:t>
      </w:r>
      <w:r>
        <w:rPr>
          <w:rFonts w:hint="eastAsia" w:ascii="宋体" w:hAnsi="宋体" w:eastAsia="宋体" w:cs="宋体"/>
          <w:color w:val="000000"/>
          <w:sz w:val="24"/>
          <w:lang w:val="zh-CN"/>
        </w:rPr>
        <w:t>。</w:t>
      </w:r>
    </w:p>
    <w:tbl>
      <w:tblPr>
        <w:tblStyle w:val="33"/>
        <w:tblW w:w="9669"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2369"/>
        <w:gridCol w:w="7300"/>
      </w:tblGrid>
      <w:tr w14:paraId="54FAD6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A119265">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采购项目编号</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64F161E6">
            <w:pPr>
              <w:pStyle w:val="68"/>
              <w:spacing w:line="360" w:lineRule="auto"/>
              <w:rPr>
                <w:rFonts w:hint="eastAsia" w:ascii="宋体" w:hAnsi="宋体" w:eastAsia="宋体" w:cs="宋体"/>
                <w:bCs/>
                <w:color w:val="000000"/>
                <w:sz w:val="24"/>
                <w:lang w:eastAsia="zh-CN"/>
              </w:rPr>
            </w:pPr>
            <w:r>
              <w:rPr>
                <w:rFonts w:hint="eastAsia" w:ascii="宋体" w:hAnsi="宋体" w:cs="宋体"/>
                <w:color w:val="000000"/>
                <w:sz w:val="24"/>
                <w:lang w:eastAsia="zh-CN"/>
              </w:rPr>
              <w:t>青海海际竞磋（服务）2025-131</w:t>
            </w:r>
          </w:p>
        </w:tc>
      </w:tr>
      <w:tr w14:paraId="417DE9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15917C7">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采购项目名称</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2907B72">
            <w:pPr>
              <w:spacing w:line="360" w:lineRule="auto"/>
              <w:rPr>
                <w:rFonts w:hint="eastAsia" w:ascii="宋体" w:hAnsi="宋体" w:eastAsia="宋体" w:cs="宋体"/>
                <w:color w:val="000000"/>
                <w:lang w:eastAsia="zh-CN"/>
              </w:rPr>
            </w:pPr>
            <w:r>
              <w:rPr>
                <w:rFonts w:hint="eastAsia" w:ascii="宋体" w:hAnsi="宋体" w:cs="宋体"/>
                <w:color w:val="000000"/>
                <w:kern w:val="0"/>
                <w:sz w:val="24"/>
                <w:lang w:eastAsia="zh-CN"/>
              </w:rPr>
              <w:t>校园应用与网络运维服务--财务数字化建设</w:t>
            </w:r>
          </w:p>
        </w:tc>
      </w:tr>
      <w:tr w14:paraId="3D1BEEE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99"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601DE1A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采购方式</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3536967D">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竞争性磋商</w:t>
            </w:r>
          </w:p>
        </w:tc>
      </w:tr>
      <w:tr w14:paraId="7E1562A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7F69F951">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采购预算控制额度</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4611DF27">
            <w:pPr>
              <w:pStyle w:val="68"/>
              <w:spacing w:line="360" w:lineRule="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人民币</w:t>
            </w:r>
            <w:r>
              <w:rPr>
                <w:rFonts w:hint="eastAsia" w:ascii="宋体" w:hAnsi="宋体" w:cs="宋体"/>
                <w:color w:val="000000"/>
                <w:kern w:val="0"/>
                <w:sz w:val="24"/>
                <w:lang w:val="en-US" w:eastAsia="zh-CN"/>
              </w:rPr>
              <w:t>50</w:t>
            </w:r>
            <w:r>
              <w:rPr>
                <w:rFonts w:hint="eastAsia" w:ascii="宋体" w:hAnsi="宋体" w:eastAsia="宋体" w:cs="宋体"/>
                <w:color w:val="000000"/>
                <w:kern w:val="0"/>
                <w:sz w:val="24"/>
                <w:lang w:eastAsia="zh-CN"/>
              </w:rPr>
              <w:t>万</w:t>
            </w:r>
            <w:r>
              <w:rPr>
                <w:rFonts w:hint="eastAsia" w:ascii="宋体" w:hAnsi="宋体" w:eastAsia="宋体" w:cs="宋体"/>
                <w:color w:val="000000"/>
                <w:kern w:val="0"/>
                <w:sz w:val="24"/>
                <w:lang w:val="en-US" w:eastAsia="zh-CN"/>
              </w:rPr>
              <w:t>元</w:t>
            </w:r>
          </w:p>
        </w:tc>
      </w:tr>
      <w:tr w14:paraId="2458AF8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F02BE6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项目分包个数</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55E08AE">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无</w:t>
            </w:r>
          </w:p>
        </w:tc>
      </w:tr>
      <w:tr w14:paraId="110811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46" w:hRule="atLeast"/>
          <w:jc w:val="center"/>
        </w:trPr>
        <w:tc>
          <w:tcPr>
            <w:tcW w:w="2369" w:type="dxa"/>
            <w:tcBorders>
              <w:top w:val="outset" w:color="000000" w:sz="6" w:space="0"/>
              <w:left w:val="outset" w:color="000000" w:sz="6" w:space="0"/>
              <w:right w:val="outset" w:color="000000" w:sz="6" w:space="0"/>
            </w:tcBorders>
            <w:noWrap w:val="0"/>
            <w:vAlign w:val="center"/>
          </w:tcPr>
          <w:p w14:paraId="239D8FD2">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项目要求</w:t>
            </w:r>
          </w:p>
        </w:tc>
        <w:tc>
          <w:tcPr>
            <w:tcW w:w="7300" w:type="dxa"/>
            <w:tcBorders>
              <w:top w:val="outset" w:color="000000" w:sz="6" w:space="0"/>
              <w:left w:val="outset" w:color="000000" w:sz="6" w:space="0"/>
              <w:right w:val="outset" w:color="000000" w:sz="6" w:space="0"/>
            </w:tcBorders>
            <w:noWrap w:val="0"/>
            <w:vAlign w:val="center"/>
          </w:tcPr>
          <w:p w14:paraId="0BE365D8">
            <w:pPr>
              <w:pStyle w:val="68"/>
              <w:spacing w:line="360" w:lineRule="auto"/>
              <w:rPr>
                <w:rFonts w:hint="eastAsia" w:ascii="宋体" w:hAnsi="宋体" w:eastAsia="宋体" w:cs="宋体"/>
                <w:color w:val="000000"/>
                <w:kern w:val="0"/>
                <w:sz w:val="24"/>
              </w:rPr>
            </w:pPr>
            <w:r>
              <w:rPr>
                <w:rFonts w:hint="eastAsia" w:ascii="宋体" w:hAnsi="宋体" w:cs="宋体"/>
                <w:color w:val="000000"/>
                <w:kern w:val="0"/>
                <w:sz w:val="24"/>
                <w:lang w:eastAsia="zh-CN"/>
              </w:rPr>
              <w:t>校园应用与网络运维服务--财务数字化建设；</w:t>
            </w:r>
            <w:r>
              <w:rPr>
                <w:rFonts w:hint="eastAsia" w:ascii="宋体" w:hAnsi="宋体" w:eastAsia="宋体" w:cs="宋体"/>
                <w:color w:val="000000"/>
                <w:kern w:val="0"/>
                <w:sz w:val="24"/>
              </w:rPr>
              <w:t>具体内容详见《磋商文件》</w:t>
            </w:r>
          </w:p>
        </w:tc>
      </w:tr>
      <w:tr w14:paraId="4F57997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3D0FA9D1">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磋商供应商</w:t>
            </w:r>
            <w:r>
              <w:rPr>
                <w:rFonts w:hint="eastAsia" w:ascii="宋体" w:hAnsi="宋体" w:eastAsia="宋体" w:cs="宋体"/>
                <w:color w:val="000000"/>
                <w:kern w:val="0"/>
                <w:sz w:val="24"/>
              </w:rPr>
              <w:t>资格条件</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55A2F39D">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 xml:space="preserve">1. </w:t>
            </w:r>
            <w:r>
              <w:rPr>
                <w:rFonts w:hint="eastAsia" w:ascii="宋体" w:hAnsi="宋体" w:eastAsia="宋体" w:cs="宋体"/>
                <w:i w:val="0"/>
                <w:iCs w:val="0"/>
                <w:caps w:val="0"/>
                <w:color w:val="auto"/>
                <w:spacing w:val="0"/>
                <w:sz w:val="24"/>
                <w:szCs w:val="24"/>
                <w:highlight w:val="none"/>
                <w:lang w:val="en-US" w:eastAsia="zh-CN"/>
              </w:rPr>
              <w:t>投标供应商应提供下列材料：</w:t>
            </w:r>
          </w:p>
          <w:p w14:paraId="5B965A2D">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1）供应商的营业执照等证明文件，自然人的身份证明。</w:t>
            </w:r>
          </w:p>
          <w:p w14:paraId="647D444E">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2）财务状况报告，依法缴纳税收和社会保障资金的相关材料。</w:t>
            </w:r>
          </w:p>
          <w:p w14:paraId="337D97D6">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3）具备履行合同所必需的设备和专业技术能力的证明材料。</w:t>
            </w:r>
          </w:p>
          <w:p w14:paraId="3E3C3264">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4）参加</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活动前3年内在经营活动中没有重大违法记录的书面声明。</w:t>
            </w:r>
          </w:p>
          <w:p w14:paraId="6EA0C684">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5）具备法律、行政法规规定的其他条件的证明材料。</w:t>
            </w:r>
          </w:p>
          <w:p w14:paraId="6374A964">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2.经信用中国（www.creditchina.gov.cn）、中国</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网（www.ccgp.gov.cn）等渠道查询后，列入失信被执行人、重大税收违法案件当事人名单、</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严重违法失信行为记录名单的，取消投标资格；（提供“信用中国、中国</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网”网站无任何不良记录的查询截图，时间为投标截止时间前</w:t>
            </w:r>
            <w:r>
              <w:rPr>
                <w:rFonts w:hint="eastAsia"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val="en-US" w:eastAsia="zh-CN"/>
              </w:rPr>
              <w:t xml:space="preserve">0天内） </w:t>
            </w:r>
            <w:r>
              <w:rPr>
                <w:rFonts w:hint="eastAsia" w:ascii="宋体" w:hAnsi="宋体" w:eastAsia="宋体" w:cs="宋体"/>
                <w:i w:val="0"/>
                <w:iCs w:val="0"/>
                <w:caps w:val="0"/>
                <w:color w:val="auto"/>
                <w:spacing w:val="0"/>
                <w:sz w:val="24"/>
                <w:szCs w:val="24"/>
                <w:highlight w:val="none"/>
              </w:rPr>
              <w:t> </w:t>
            </w:r>
          </w:p>
          <w:p w14:paraId="55D58B82">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3.单位负责人为同一人或者存在直接控股、管理关系的不同投标人，不得参加同一合同项下的</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活动。否则，取消投标资格；</w:t>
            </w:r>
          </w:p>
          <w:p w14:paraId="1E9A8470">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4.为本采购项目提供整体设计、规范编制或者项目管理、监理、检测等服务的</w:t>
            </w:r>
            <w:r>
              <w:rPr>
                <w:rFonts w:hint="eastAsia" w:cs="宋体"/>
                <w:i w:val="0"/>
                <w:iCs w:val="0"/>
                <w:caps w:val="0"/>
                <w:color w:val="auto"/>
                <w:spacing w:val="0"/>
                <w:sz w:val="24"/>
                <w:szCs w:val="24"/>
                <w:highlight w:val="none"/>
                <w:lang w:val="en-US" w:eastAsia="zh-CN"/>
              </w:rPr>
              <w:t>供</w:t>
            </w:r>
            <w:r>
              <w:rPr>
                <w:rFonts w:hint="eastAsia" w:ascii="宋体" w:hAnsi="宋体" w:eastAsia="宋体" w:cs="宋体"/>
                <w:i w:val="0"/>
                <w:iCs w:val="0"/>
                <w:caps w:val="0"/>
                <w:color w:val="auto"/>
                <w:spacing w:val="0"/>
                <w:sz w:val="24"/>
                <w:szCs w:val="24"/>
                <w:highlight w:val="none"/>
                <w:lang w:val="en-US" w:eastAsia="zh-CN"/>
              </w:rPr>
              <w:t xml:space="preserve">应商，不得再参加该采购项目的其他采购活动； </w:t>
            </w:r>
          </w:p>
          <w:p w14:paraId="56B4FBBA">
            <w:pPr>
              <w:pStyle w:val="2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本项目不接受供应商以联合体方式进行投标。</w:t>
            </w:r>
          </w:p>
          <w:p w14:paraId="3902E853">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default" w:ascii="宋体" w:hAnsi="宋体" w:eastAsia="宋体"/>
                <w:color w:val="000000"/>
                <w:sz w:val="24"/>
                <w:lang w:val="en-US" w:eastAsia="zh-CN"/>
              </w:rPr>
            </w:pP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.落实</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政策需满足的</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资格要求：本项目专门面向中小企业采购。</w:t>
            </w:r>
          </w:p>
        </w:tc>
      </w:tr>
      <w:tr w14:paraId="1415F3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3FB5BD56">
            <w:pPr>
              <w:pStyle w:val="68"/>
              <w:spacing w:line="360" w:lineRule="auto"/>
              <w:jc w:val="left"/>
              <w:rPr>
                <w:rFonts w:hint="eastAsia" w:ascii="宋体" w:hAnsi="宋体" w:eastAsia="宋体" w:cs="宋体"/>
                <w:color w:val="000000"/>
                <w:sz w:val="24"/>
                <w:lang w:val="zh-CN"/>
              </w:rPr>
            </w:pPr>
            <w:r>
              <w:rPr>
                <w:rFonts w:hint="eastAsia" w:ascii="宋体" w:hAnsi="宋体" w:eastAsia="宋体" w:cs="宋体"/>
                <w:color w:val="000000"/>
                <w:sz w:val="24"/>
                <w:lang w:val="zh-CN"/>
              </w:rPr>
              <w:t>公告发布时间</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5495DAC">
            <w:pPr>
              <w:pStyle w:val="112"/>
              <w:rPr>
                <w:rFonts w:hint="eastAsia" w:ascii="宋体" w:hAnsi="宋体" w:eastAsia="宋体" w:cs="宋体"/>
                <w:color w:val="000000"/>
                <w:sz w:val="24"/>
                <w:lang w:val="zh-CN"/>
              </w:rPr>
            </w:pPr>
            <w:r>
              <w:rPr>
                <w:rFonts w:hint="eastAsia" w:ascii="宋体" w:hAnsi="宋体" w:eastAsia="宋体" w:cs="宋体"/>
                <w:color w:val="000000"/>
                <w:sz w:val="24"/>
                <w:lang w:val="zh-CN"/>
              </w:rPr>
              <w:t>2025年</w:t>
            </w:r>
            <w:r>
              <w:rPr>
                <w:rFonts w:hint="eastAsia" w:ascii="宋体" w:hAnsi="宋体" w:cs="宋体"/>
                <w:color w:val="000000"/>
                <w:sz w:val="24"/>
                <w:lang w:val="en-US" w:eastAsia="zh-CN"/>
              </w:rPr>
              <w:t>10</w:t>
            </w:r>
            <w:r>
              <w:rPr>
                <w:rFonts w:hint="eastAsia" w:ascii="宋体" w:hAnsi="宋体" w:eastAsia="宋体" w:cs="宋体"/>
                <w:color w:val="000000"/>
                <w:sz w:val="24"/>
                <w:lang w:val="zh-CN"/>
              </w:rPr>
              <w:t>月</w:t>
            </w:r>
            <w:r>
              <w:rPr>
                <w:rFonts w:hint="eastAsia" w:ascii="宋体" w:hAnsi="宋体" w:cs="宋体"/>
                <w:color w:val="000000"/>
                <w:sz w:val="24"/>
                <w:lang w:val="en-US" w:eastAsia="zh-CN"/>
              </w:rPr>
              <w:t>10</w:t>
            </w:r>
            <w:r>
              <w:rPr>
                <w:rFonts w:hint="eastAsia" w:ascii="宋体" w:hAnsi="宋体" w:eastAsia="宋体" w:cs="宋体"/>
                <w:color w:val="000000"/>
                <w:sz w:val="24"/>
                <w:lang w:val="zh-CN"/>
              </w:rPr>
              <w:t>日</w:t>
            </w:r>
          </w:p>
        </w:tc>
      </w:tr>
      <w:tr w14:paraId="289199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cantSplit/>
          <w:trHeight w:val="617"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top"/>
          </w:tcPr>
          <w:p w14:paraId="7C759363">
            <w:pPr>
              <w:pStyle w:val="68"/>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磋商文件发售起止时间</w:t>
            </w:r>
          </w:p>
        </w:tc>
        <w:tc>
          <w:tcPr>
            <w:tcW w:w="7300" w:type="dxa"/>
            <w:tcBorders>
              <w:top w:val="outset" w:color="000000" w:sz="6" w:space="0"/>
              <w:left w:val="outset" w:color="000000" w:sz="6" w:space="0"/>
              <w:bottom w:val="outset" w:color="000000" w:sz="6" w:space="0"/>
              <w:right w:val="outset" w:color="000000" w:sz="6" w:space="0"/>
            </w:tcBorders>
            <w:noWrap w:val="0"/>
            <w:vAlign w:val="top"/>
          </w:tcPr>
          <w:p w14:paraId="712537BE">
            <w:pPr>
              <w:pStyle w:val="112"/>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自202</w:t>
            </w:r>
            <w:r>
              <w:rPr>
                <w:rFonts w:hint="eastAsia" w:ascii="宋体" w:hAnsi="宋体" w:cs="宋体"/>
                <w:color w:val="000000"/>
                <w:sz w:val="24"/>
                <w:lang w:val="en-US" w:eastAsia="zh-CN"/>
              </w:rPr>
              <w:t>5</w:t>
            </w:r>
            <w:r>
              <w:rPr>
                <w:rFonts w:hint="eastAsia" w:ascii="宋体" w:hAnsi="宋体" w:eastAsia="宋体" w:cs="宋体"/>
                <w:color w:val="000000"/>
                <w:sz w:val="24"/>
                <w:lang w:val="zh-CN"/>
              </w:rPr>
              <w:t>年</w:t>
            </w:r>
            <w:r>
              <w:rPr>
                <w:rFonts w:hint="eastAsia" w:ascii="宋体" w:hAnsi="宋体" w:cs="宋体"/>
                <w:color w:val="000000"/>
                <w:sz w:val="24"/>
                <w:lang w:val="en-US" w:eastAsia="zh-CN"/>
              </w:rPr>
              <w:t>10</w:t>
            </w:r>
            <w:r>
              <w:rPr>
                <w:rFonts w:hint="eastAsia" w:ascii="宋体" w:hAnsi="宋体" w:eastAsia="宋体" w:cs="宋体"/>
                <w:color w:val="000000"/>
                <w:sz w:val="24"/>
                <w:lang w:val="zh-CN"/>
              </w:rPr>
              <w:t>月</w:t>
            </w:r>
            <w:r>
              <w:rPr>
                <w:rFonts w:hint="eastAsia" w:ascii="宋体" w:hAnsi="宋体" w:cs="宋体"/>
                <w:color w:val="000000"/>
                <w:sz w:val="24"/>
                <w:lang w:val="en-US" w:eastAsia="zh-CN"/>
              </w:rPr>
              <w:t>11</w:t>
            </w:r>
            <w:r>
              <w:rPr>
                <w:rFonts w:hint="eastAsia" w:ascii="宋体" w:hAnsi="宋体" w:eastAsia="宋体" w:cs="宋体"/>
                <w:color w:val="000000"/>
                <w:sz w:val="24"/>
                <w:lang w:val="zh-CN"/>
              </w:rPr>
              <w:t>日至202</w:t>
            </w:r>
            <w:r>
              <w:rPr>
                <w:rFonts w:hint="eastAsia" w:ascii="宋体" w:hAnsi="宋体" w:cs="宋体"/>
                <w:color w:val="000000"/>
                <w:sz w:val="24"/>
                <w:lang w:val="en-US" w:eastAsia="zh-CN"/>
              </w:rPr>
              <w:t>5</w:t>
            </w:r>
            <w:r>
              <w:rPr>
                <w:rFonts w:hint="eastAsia" w:ascii="宋体" w:hAnsi="宋体" w:eastAsia="宋体" w:cs="宋体"/>
                <w:color w:val="000000"/>
                <w:sz w:val="24"/>
                <w:lang w:val="zh-CN"/>
              </w:rPr>
              <w:t>年</w:t>
            </w:r>
            <w:r>
              <w:rPr>
                <w:rFonts w:hint="eastAsia" w:ascii="宋体" w:hAnsi="宋体" w:cs="宋体"/>
                <w:color w:val="000000"/>
                <w:sz w:val="24"/>
                <w:lang w:val="en-US" w:eastAsia="zh-CN"/>
              </w:rPr>
              <w:t>10</w:t>
            </w:r>
            <w:r>
              <w:rPr>
                <w:rFonts w:hint="eastAsia" w:ascii="宋体" w:hAnsi="宋体" w:eastAsia="宋体" w:cs="宋体"/>
                <w:color w:val="000000"/>
                <w:sz w:val="24"/>
                <w:lang w:val="zh-CN"/>
              </w:rPr>
              <w:t>月</w:t>
            </w:r>
            <w:r>
              <w:rPr>
                <w:rFonts w:hint="eastAsia" w:ascii="宋体" w:hAnsi="宋体" w:cs="宋体"/>
                <w:color w:val="000000"/>
                <w:sz w:val="24"/>
                <w:lang w:val="en-US" w:eastAsia="zh-CN"/>
              </w:rPr>
              <w:t>16</w:t>
            </w:r>
            <w:r>
              <w:rPr>
                <w:rFonts w:hint="eastAsia" w:ascii="宋体" w:hAnsi="宋体" w:eastAsia="宋体" w:cs="宋体"/>
                <w:color w:val="000000"/>
                <w:sz w:val="24"/>
                <w:lang w:val="zh-CN"/>
              </w:rPr>
              <w:t>日（上午9:00-12:00，下午14:</w:t>
            </w:r>
            <w:r>
              <w:rPr>
                <w:rFonts w:hint="eastAsia" w:ascii="宋体" w:hAnsi="宋体" w:cs="宋体"/>
                <w:color w:val="000000"/>
                <w:sz w:val="24"/>
                <w:lang w:val="en-US" w:eastAsia="zh-CN"/>
              </w:rPr>
              <w:t>3</w:t>
            </w:r>
            <w:r>
              <w:rPr>
                <w:rFonts w:hint="eastAsia" w:ascii="宋体" w:hAnsi="宋体" w:eastAsia="宋体" w:cs="宋体"/>
                <w:color w:val="000000"/>
                <w:sz w:val="24"/>
                <w:lang w:val="zh-CN"/>
              </w:rPr>
              <w:t>0-17:30休息日、节假日除外）。</w:t>
            </w:r>
          </w:p>
        </w:tc>
      </w:tr>
      <w:tr w14:paraId="5F827C7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36FB17BD">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磋商文件发售方式</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6912A288">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现场获取或网上获取</w:t>
            </w:r>
          </w:p>
        </w:tc>
      </w:tr>
      <w:tr w14:paraId="36E063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F8CD5D6">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磋商文件售价</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A6E1BB5">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500元整</w:t>
            </w:r>
            <w:r>
              <w:rPr>
                <w:rFonts w:hint="eastAsia" w:ascii="宋体" w:hAnsi="宋体" w:eastAsia="宋体" w:cs="宋体"/>
                <w:color w:val="000000"/>
                <w:kern w:val="0"/>
                <w:sz w:val="24"/>
                <w:lang w:val="zh-CN"/>
              </w:rPr>
              <w:t>（磋商文件售后不退,磋商资格不能转让）</w:t>
            </w:r>
          </w:p>
        </w:tc>
      </w:tr>
      <w:tr w14:paraId="1811E4F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4C8E127B">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磋商文件发售地点</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65708CE">
            <w:pPr>
              <w:pStyle w:val="68"/>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青海海际项目咨询管理有限公司（</w:t>
            </w:r>
            <w:r>
              <w:rPr>
                <w:rFonts w:hint="eastAsia" w:ascii="宋体" w:hAnsi="宋体" w:eastAsia="宋体" w:cs="宋体"/>
                <w:color w:val="000000"/>
                <w:kern w:val="0"/>
                <w:sz w:val="24"/>
                <w:lang w:val="zh-CN" w:eastAsia="zh-CN"/>
              </w:rPr>
              <w:t>青海省西宁市城西区海湖新区五四西路91号卢浮公馆双子座B座17楼</w:t>
            </w:r>
            <w:r>
              <w:rPr>
                <w:rFonts w:hint="eastAsia" w:ascii="宋体" w:hAnsi="宋体" w:eastAsia="宋体" w:cs="宋体"/>
                <w:color w:val="000000"/>
                <w:kern w:val="0"/>
                <w:sz w:val="24"/>
                <w:lang w:eastAsia="zh-CN"/>
              </w:rPr>
              <w:t>）</w:t>
            </w:r>
          </w:p>
        </w:tc>
      </w:tr>
      <w:tr w14:paraId="5D1A6C0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2A64A5D6">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购买磋商文件时应提供材料</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9E48AD4">
            <w:pPr>
              <w:pStyle w:val="96"/>
              <w:numPr>
                <w:ilvl w:val="0"/>
                <w:numId w:val="2"/>
              </w:num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磋商供应商的营业执照（副本）复印件、组织机构代码证（副本）</w:t>
            </w:r>
          </w:p>
          <w:p w14:paraId="0AA30727">
            <w:pPr>
              <w:pStyle w:val="96"/>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复印件、税务登记证（副本）复印件或三证合一营业执照（副本）复印件、法人授权委托书（原件）及法人身份证复印件、被授权人身份证复印件。以上资料除原件外均需加盖公章（采购代理机构对以上资料留存备案）。</w:t>
            </w:r>
          </w:p>
          <w:p w14:paraId="5339B6F1">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2、网上获取标书的磋商供应商应将以上材料扫描后发至我公司联系邮箱(</w:t>
            </w:r>
            <w:r>
              <w:rPr>
                <w:rFonts w:hint="eastAsia" w:ascii="宋体" w:hAnsi="宋体" w:cs="仿宋"/>
                <w:highlight w:val="none"/>
              </w:rPr>
              <w:t>hjxmzxgl@163.com</w:t>
            </w:r>
            <w:r>
              <w:rPr>
                <w:rFonts w:hint="eastAsia" w:ascii="宋体" w:hAnsi="宋体" w:eastAsia="宋体" w:cs="宋体"/>
                <w:color w:val="000000"/>
                <w:kern w:val="0"/>
                <w:sz w:val="24"/>
              </w:rPr>
              <w:t>)，在邮件中标明项目名称、项目编号、联系人及联系方式，并与我公司工作人员进行联系确认</w:t>
            </w:r>
            <w:r>
              <w:rPr>
                <w:rFonts w:hint="eastAsia" w:ascii="宋体" w:hAnsi="宋体" w:cs="宋体"/>
                <w:color w:val="000000"/>
                <w:kern w:val="0"/>
                <w:sz w:val="24"/>
                <w:lang w:val="en-US" w:eastAsia="zh-CN"/>
              </w:rPr>
              <w:t>(0971-4327809)</w:t>
            </w:r>
            <w:r>
              <w:rPr>
                <w:rFonts w:hint="eastAsia" w:ascii="宋体" w:hAnsi="宋体" w:eastAsia="宋体" w:cs="宋体"/>
                <w:color w:val="000000"/>
                <w:kern w:val="0"/>
                <w:sz w:val="24"/>
              </w:rPr>
              <w:t>。</w:t>
            </w:r>
          </w:p>
        </w:tc>
      </w:tr>
      <w:tr w14:paraId="261F536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426691CC">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磋商截止时间</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19BC152">
            <w:pPr>
              <w:pStyle w:val="112"/>
              <w:spacing w:line="276" w:lineRule="auto"/>
              <w:rPr>
                <w:rFonts w:hint="eastAsia" w:ascii="宋体" w:hAnsi="宋体" w:eastAsia="宋体" w:cs="宋体"/>
                <w:color w:val="000000"/>
                <w:kern w:val="0"/>
                <w:sz w:val="24"/>
                <w:lang w:eastAsia="zh-CN"/>
              </w:rPr>
            </w:pPr>
            <w:bookmarkStart w:id="152" w:name="_GoBack"/>
            <w:bookmarkEnd w:id="152"/>
            <w:r>
              <w:rPr>
                <w:rFonts w:hint="eastAsia" w:ascii="宋体" w:hAnsi="宋体" w:cs="宋体"/>
                <w:color w:val="000000"/>
                <w:kern w:val="0"/>
                <w:sz w:val="24"/>
                <w:lang w:eastAsia="zh-CN"/>
              </w:rPr>
              <w:t>2025年10月21日上午09:30（北京时间）</w:t>
            </w:r>
          </w:p>
        </w:tc>
      </w:tr>
      <w:tr w14:paraId="2BE56FF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E5C124E">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磋商时间</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95CE47C">
            <w:pPr>
              <w:pStyle w:val="112"/>
              <w:spacing w:line="276" w:lineRule="auto"/>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2025年10月21日上午09:30（北京时间）</w:t>
            </w:r>
          </w:p>
        </w:tc>
      </w:tr>
      <w:tr w14:paraId="6629B0F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74A7FC1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磋商及磋商地点</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BE94A4E">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青海海际项目咨询管理有限公司</w:t>
            </w:r>
            <w:r>
              <w:rPr>
                <w:rFonts w:hint="eastAsia" w:ascii="宋体" w:hAnsi="宋体" w:eastAsia="宋体" w:cs="宋体"/>
                <w:color w:val="000000"/>
                <w:kern w:val="0"/>
                <w:sz w:val="24"/>
                <w:lang w:val="en-US" w:eastAsia="zh-CN"/>
              </w:rPr>
              <w:t>开标厅</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zh-CN" w:eastAsia="zh-CN"/>
              </w:rPr>
              <w:t>青海省西宁市城西区海湖新区五四西路91号卢浮公馆双子座B座17楼</w:t>
            </w:r>
            <w:r>
              <w:rPr>
                <w:rFonts w:hint="eastAsia" w:ascii="宋体" w:hAnsi="宋体" w:eastAsia="宋体" w:cs="宋体"/>
                <w:color w:val="000000"/>
                <w:kern w:val="0"/>
                <w:sz w:val="24"/>
                <w:lang w:eastAsia="zh-CN"/>
              </w:rPr>
              <w:t>）</w:t>
            </w:r>
          </w:p>
        </w:tc>
      </w:tr>
      <w:tr w14:paraId="1B97A31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CFB0FFF">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采购单位及联系人电话</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A9AC0DA">
            <w:pPr>
              <w:pStyle w:val="96"/>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采购人：</w:t>
            </w:r>
            <w:bookmarkStart w:id="4" w:name="OLE_LINK15"/>
            <w:bookmarkStart w:id="5" w:name="_Hlk68689167"/>
            <w:r>
              <w:rPr>
                <w:rFonts w:hint="eastAsia" w:ascii="宋体" w:hAnsi="宋体" w:eastAsia="宋体" w:cs="宋体"/>
                <w:color w:val="000000"/>
                <w:kern w:val="0"/>
                <w:sz w:val="24"/>
                <w:lang w:eastAsia="zh-CN"/>
              </w:rPr>
              <w:t>青海民族大学</w:t>
            </w:r>
            <w:bookmarkEnd w:id="4"/>
          </w:p>
          <w:bookmarkEnd w:id="5"/>
          <w:p w14:paraId="006A2874">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联 系 人：</w:t>
            </w:r>
            <w:bookmarkStart w:id="6" w:name="OLE_LINK26"/>
            <w:r>
              <w:rPr>
                <w:rFonts w:hint="eastAsia" w:ascii="宋体" w:hAnsi="宋体" w:eastAsia="宋体" w:cs="Times New Roman"/>
                <w:color w:val="000000"/>
                <w:kern w:val="0"/>
                <w:sz w:val="24"/>
                <w:lang w:val="en-US" w:eastAsia="zh-CN"/>
              </w:rPr>
              <w:t>李先生</w:t>
            </w:r>
            <w:bookmarkEnd w:id="6"/>
          </w:p>
          <w:p w14:paraId="2B653DDD">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ascii="宋体" w:hAnsi="宋体" w:cs="宋体"/>
                <w:color w:val="000000"/>
                <w:kern w:val="0"/>
                <w:sz w:val="24"/>
              </w:rPr>
              <w:t>0971-8802687</w:t>
            </w:r>
          </w:p>
          <w:p w14:paraId="62099D15">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联系地址：</w:t>
            </w:r>
            <w:bookmarkStart w:id="7" w:name="OLE_LINK27"/>
            <w:r>
              <w:rPr>
                <w:rFonts w:hint="eastAsia" w:ascii="宋体" w:hAnsi="宋体" w:cs="宋体"/>
                <w:kern w:val="0"/>
                <w:sz w:val="24"/>
              </w:rPr>
              <w:t>青海省西宁市城东区八一中路3号</w:t>
            </w:r>
            <w:bookmarkEnd w:id="7"/>
          </w:p>
        </w:tc>
      </w:tr>
      <w:tr w14:paraId="642E29B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17"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219FA4CB">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采购代理机构及联系人电话</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D32A263">
            <w:pPr>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采购代理机构：</w:t>
            </w:r>
            <w:r>
              <w:rPr>
                <w:rFonts w:hint="eastAsia" w:ascii="宋体" w:hAnsi="宋体" w:cs="宋体"/>
                <w:color w:val="000000"/>
                <w:kern w:val="0"/>
                <w:sz w:val="24"/>
                <w:lang w:eastAsia="zh-CN"/>
              </w:rPr>
              <w:t>青海海际项目咨询管理有限公司</w:t>
            </w:r>
          </w:p>
          <w:p w14:paraId="678890DB">
            <w:pPr>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联   系   人：</w:t>
            </w:r>
            <w:r>
              <w:rPr>
                <w:rFonts w:hint="eastAsia" w:ascii="宋体" w:hAnsi="宋体" w:cs="宋体"/>
                <w:color w:val="000000"/>
                <w:kern w:val="0"/>
                <w:sz w:val="24"/>
                <w:lang w:val="en-US" w:eastAsia="zh-CN"/>
              </w:rPr>
              <w:t>胡先生</w:t>
            </w:r>
          </w:p>
          <w:p w14:paraId="511411BD">
            <w:pPr>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联 系  电 话：</w:t>
            </w:r>
            <w:r>
              <w:rPr>
                <w:rFonts w:hint="eastAsia" w:ascii="宋体" w:hAnsi="宋体" w:cs="宋体"/>
                <w:color w:val="000000"/>
                <w:kern w:val="0"/>
                <w:sz w:val="24"/>
                <w:lang w:eastAsia="zh-CN"/>
              </w:rPr>
              <w:t>0971-4327809</w:t>
            </w:r>
          </w:p>
          <w:p w14:paraId="38CA715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邮        箱：</w:t>
            </w:r>
            <w:r>
              <w:rPr>
                <w:rFonts w:hint="eastAsia" w:ascii="宋体" w:hAnsi="宋体" w:cs="仿宋"/>
                <w:highlight w:val="none"/>
              </w:rPr>
              <w:t>hjxmzxgl@163.com</w:t>
            </w:r>
          </w:p>
          <w:p w14:paraId="03DF0F5C">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 系  地 址：</w:t>
            </w:r>
            <w:r>
              <w:rPr>
                <w:rFonts w:hint="eastAsia" w:ascii="宋体" w:hAnsi="宋体" w:eastAsia="宋体" w:cs="宋体"/>
                <w:color w:val="000000"/>
                <w:kern w:val="0"/>
                <w:sz w:val="24"/>
                <w:lang w:val="zh-CN"/>
              </w:rPr>
              <w:t>青海省西宁市城西区海湖新区五四西路91号卢浮公馆双子座B座17楼</w:t>
            </w:r>
          </w:p>
        </w:tc>
      </w:tr>
      <w:tr w14:paraId="2EF939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79F6EBDC">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w:t>
            </w:r>
          </w:p>
          <w:p w14:paraId="6DD8953F">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开户银行</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00E96BEE">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cs="宋体"/>
                <w:color w:val="000000"/>
                <w:kern w:val="0"/>
                <w:sz w:val="24"/>
                <w:lang w:val="zh-CN"/>
              </w:rPr>
              <w:t>中信银行股份有限公司西宁海湖新区支行</w:t>
            </w:r>
          </w:p>
        </w:tc>
      </w:tr>
      <w:tr w14:paraId="3EDBD3B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2C5339D8">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收款人</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0AB50F11">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cs="宋体"/>
                <w:color w:val="000000"/>
                <w:kern w:val="0"/>
                <w:sz w:val="24"/>
                <w:lang w:val="zh-CN"/>
              </w:rPr>
              <w:t>青海海际项目咨询管理有限公司</w:t>
            </w:r>
          </w:p>
        </w:tc>
      </w:tr>
      <w:tr w14:paraId="72BC540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1A14A0FC">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银行账号</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1C34C2F">
            <w:pPr>
              <w:autoSpaceDE w:val="0"/>
              <w:autoSpaceDN w:val="0"/>
              <w:spacing w:line="360" w:lineRule="auto"/>
              <w:jc w:val="left"/>
              <w:rPr>
                <w:rFonts w:hint="eastAsia" w:ascii="宋体" w:hAnsi="宋体" w:eastAsia="宋体" w:cs="宋体"/>
                <w:color w:val="000000"/>
                <w:kern w:val="0"/>
                <w:sz w:val="24"/>
                <w:lang w:val="zh-CN"/>
              </w:rPr>
            </w:pPr>
            <w:bookmarkStart w:id="8" w:name="OLE_LINK19"/>
            <w:r>
              <w:rPr>
                <w:rFonts w:hint="eastAsia" w:ascii="宋体" w:hAnsi="宋体" w:cs="宋体"/>
                <w:color w:val="000000"/>
                <w:kern w:val="0"/>
                <w:sz w:val="24"/>
                <w:lang w:val="zh-CN"/>
              </w:rPr>
              <w:t>8112801013700034824</w:t>
            </w:r>
            <w:r>
              <w:rPr>
                <w:rFonts w:hint="eastAsia" w:ascii="宋体" w:hAnsi="宋体" w:eastAsia="宋体" w:cs="宋体"/>
                <w:color w:val="000000"/>
                <w:kern w:val="0"/>
                <w:sz w:val="24"/>
                <w:lang w:val="zh-CN"/>
              </w:rPr>
              <w:t>（开户行号：</w:t>
            </w:r>
            <w:r>
              <w:rPr>
                <w:rFonts w:hint="eastAsia" w:ascii="宋体" w:hAnsi="宋体" w:cs="宋体"/>
                <w:color w:val="000000"/>
                <w:kern w:val="0"/>
                <w:sz w:val="24"/>
                <w:lang w:val="zh-CN"/>
              </w:rPr>
              <w:t>302851059087</w:t>
            </w:r>
            <w:r>
              <w:rPr>
                <w:rFonts w:hint="eastAsia" w:ascii="宋体" w:hAnsi="宋体" w:eastAsia="宋体" w:cs="宋体"/>
                <w:color w:val="000000"/>
                <w:kern w:val="0"/>
                <w:sz w:val="24"/>
                <w:lang w:val="zh-CN"/>
              </w:rPr>
              <w:t>）</w:t>
            </w:r>
            <w:bookmarkEnd w:id="8"/>
          </w:p>
        </w:tc>
      </w:tr>
      <w:tr w14:paraId="11D9E8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49C7345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其他事项</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5EB763E">
            <w:pPr>
              <w:autoSpaceDE w:val="0"/>
              <w:autoSpaceDN w:val="0"/>
              <w:spacing w:line="360" w:lineRule="auto"/>
              <w:jc w:val="left"/>
              <w:rPr>
                <w:rFonts w:hint="eastAsia" w:ascii="宋体" w:hAnsi="宋体" w:eastAsia="宋体" w:cs="宋体"/>
                <w:color w:val="000000"/>
                <w:sz w:val="24"/>
                <w:lang w:eastAsia="zh-CN"/>
              </w:rPr>
            </w:pPr>
            <w:r>
              <w:rPr>
                <w:rFonts w:hint="eastAsia" w:ascii="宋体" w:hAnsi="宋体" w:cs="宋体"/>
                <w:color w:val="000000"/>
                <w:sz w:val="24"/>
                <w:lang w:eastAsia="zh-CN"/>
              </w:rPr>
              <w:t>本项目招标公告在《青海省招标投标网》、《青海项目信息网》、《中国采购与招标网》同时发布。</w:t>
            </w:r>
          </w:p>
        </w:tc>
      </w:tr>
      <w:tr w14:paraId="0E80C0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69" w:type="dxa"/>
            <w:tcBorders>
              <w:top w:val="outset" w:color="000000" w:sz="6" w:space="0"/>
              <w:left w:val="outset" w:color="000000" w:sz="6" w:space="0"/>
              <w:bottom w:val="outset" w:color="000000" w:sz="6" w:space="0"/>
              <w:right w:val="outset" w:color="000000" w:sz="6" w:space="0"/>
            </w:tcBorders>
            <w:noWrap w:val="0"/>
            <w:vAlign w:val="top"/>
          </w:tcPr>
          <w:p w14:paraId="38E7E131">
            <w:pPr>
              <w:autoSpaceDE w:val="0"/>
              <w:autoSpaceDN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监督电话</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D2B7827">
            <w:pPr>
              <w:autoSpaceDE w:val="0"/>
              <w:autoSpaceDN w:val="0"/>
              <w:spacing w:line="360" w:lineRule="auto"/>
              <w:jc w:val="left"/>
              <w:rPr>
                <w:rFonts w:hint="eastAsia" w:ascii="宋体" w:hAnsi="宋体" w:eastAsia="宋体" w:cs="宋体"/>
                <w:color w:val="000000"/>
                <w:sz w:val="24"/>
              </w:rPr>
            </w:pPr>
            <w:r>
              <w:rPr>
                <w:rFonts w:hint="eastAsia" w:ascii="宋体" w:hAnsi="宋体" w:cs="宋体"/>
                <w:sz w:val="24"/>
              </w:rPr>
              <w:t>监督单位：</w:t>
            </w:r>
            <w:bookmarkStart w:id="9" w:name="OLE_LINK14"/>
            <w:bookmarkStart w:id="10" w:name="OLE_LINK25"/>
            <w:r>
              <w:rPr>
                <w:rFonts w:hint="eastAsia" w:ascii="宋体" w:hAnsi="宋体" w:cs="宋体"/>
                <w:sz w:val="24"/>
              </w:rPr>
              <w:t>青海民族大学校纪委</w:t>
            </w:r>
            <w:bookmarkEnd w:id="9"/>
            <w:bookmarkEnd w:id="10"/>
            <w:r>
              <w:rPr>
                <w:rFonts w:hint="eastAsia" w:ascii="宋体" w:hAnsi="宋体" w:cs="宋体"/>
                <w:sz w:val="24"/>
                <w:lang w:val="en-US" w:eastAsia="zh-CN"/>
              </w:rPr>
              <w:t xml:space="preserve">     </w:t>
            </w:r>
            <w:r>
              <w:rPr>
                <w:rFonts w:hint="eastAsia" w:ascii="宋体" w:hAnsi="宋体" w:cs="宋体"/>
                <w:sz w:val="24"/>
              </w:rPr>
              <w:t>联系电话：</w:t>
            </w:r>
            <w:r>
              <w:rPr>
                <w:rFonts w:ascii="宋体" w:hAnsi="宋体" w:cs="宋体"/>
                <w:sz w:val="24"/>
              </w:rPr>
              <w:t>0971-8804617 </w:t>
            </w:r>
          </w:p>
        </w:tc>
      </w:tr>
    </w:tbl>
    <w:p w14:paraId="0337DC96">
      <w:pPr>
        <w:adjustRightInd w:val="0"/>
        <w:spacing w:line="360" w:lineRule="auto"/>
        <w:jc w:val="right"/>
        <w:textAlignment w:val="baseline"/>
        <w:rPr>
          <w:rFonts w:hint="eastAsia" w:ascii="宋体" w:hAnsi="宋体" w:eastAsia="宋体" w:cs="宋体"/>
          <w:color w:val="000000"/>
          <w:sz w:val="24"/>
          <w:lang w:eastAsia="zh-CN"/>
        </w:rPr>
      </w:pPr>
      <w:r>
        <w:rPr>
          <w:rFonts w:hint="eastAsia" w:ascii="宋体" w:hAnsi="宋体" w:cs="宋体"/>
          <w:color w:val="000000"/>
          <w:sz w:val="24"/>
          <w:lang w:eastAsia="zh-CN"/>
        </w:rPr>
        <w:t>青海海际项目咨询管理有限公司</w:t>
      </w:r>
    </w:p>
    <w:p w14:paraId="51CB51F7">
      <w:pPr>
        <w:adjustRightInd w:val="0"/>
        <w:spacing w:line="360" w:lineRule="auto"/>
        <w:jc w:val="righ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lang w:eastAsia="zh-CN"/>
        </w:rPr>
        <w:t>2025年</w:t>
      </w:r>
      <w:r>
        <w:rPr>
          <w:rFonts w:hint="eastAsia" w:ascii="宋体" w:hAnsi="宋体" w:cs="宋体"/>
          <w:color w:val="000000"/>
          <w:sz w:val="24"/>
          <w:lang w:val="en-US" w:eastAsia="zh-CN"/>
        </w:rPr>
        <w:t>10</w:t>
      </w:r>
      <w:r>
        <w:rPr>
          <w:rFonts w:hint="eastAsia" w:ascii="宋体" w:hAnsi="宋体" w:eastAsia="宋体" w:cs="宋体"/>
          <w:color w:val="000000"/>
          <w:sz w:val="24"/>
          <w:lang w:eastAsia="zh-CN"/>
        </w:rPr>
        <w:t>月</w:t>
      </w:r>
      <w:r>
        <w:rPr>
          <w:rFonts w:hint="eastAsia" w:ascii="宋体" w:hAnsi="宋体" w:cs="宋体"/>
          <w:color w:val="000000"/>
          <w:sz w:val="24"/>
          <w:lang w:val="en-US" w:eastAsia="zh-CN"/>
        </w:rPr>
        <w:t>10</w:t>
      </w:r>
      <w:r>
        <w:rPr>
          <w:rFonts w:hint="eastAsia" w:ascii="宋体" w:hAnsi="宋体" w:eastAsia="宋体" w:cs="宋体"/>
          <w:color w:val="000000"/>
          <w:sz w:val="24"/>
          <w:lang w:eastAsia="zh-CN"/>
        </w:rPr>
        <w:t>日</w:t>
      </w:r>
    </w:p>
    <w:p w14:paraId="3B231D1E">
      <w:pPr>
        <w:pStyle w:val="23"/>
        <w:spacing w:before="0" w:after="0" w:line="360" w:lineRule="auto"/>
        <w:rPr>
          <w:rFonts w:hint="eastAsia" w:ascii="宋体" w:hAnsi="宋体" w:eastAsia="宋体" w:cs="宋体"/>
          <w:color w:val="000000"/>
          <w:lang w:val="zh-CN"/>
        </w:rPr>
      </w:pPr>
      <w:bookmarkStart w:id="11" w:name="_Toc444715733"/>
      <w:r>
        <w:rPr>
          <w:rFonts w:hint="eastAsia" w:ascii="宋体" w:hAnsi="宋体" w:eastAsia="宋体" w:cs="宋体"/>
          <w:color w:val="000000"/>
          <w:sz w:val="48"/>
        </w:rPr>
        <w:br w:type="page"/>
      </w:r>
      <w:bookmarkStart w:id="12" w:name="_Toc31808"/>
      <w:r>
        <w:rPr>
          <w:rFonts w:hint="eastAsia" w:ascii="宋体" w:hAnsi="宋体" w:eastAsia="宋体" w:cs="宋体"/>
          <w:color w:val="000000"/>
          <w:sz w:val="48"/>
        </w:rPr>
        <w:t>第二部分  磋商供应商须知前附表</w:t>
      </w:r>
      <w:bookmarkEnd w:id="11"/>
      <w:bookmarkEnd w:id="12"/>
    </w:p>
    <w:tbl>
      <w:tblPr>
        <w:tblStyle w:val="33"/>
        <w:tblW w:w="10433" w:type="dxa"/>
        <w:jc w:val="center"/>
        <w:shd w:val="clear" w:color="auto" w:fill="auto"/>
        <w:tblLayout w:type="fixed"/>
        <w:tblCellMar>
          <w:top w:w="0" w:type="dxa"/>
          <w:left w:w="57" w:type="dxa"/>
          <w:bottom w:w="0" w:type="dxa"/>
          <w:right w:w="57" w:type="dxa"/>
        </w:tblCellMar>
      </w:tblPr>
      <w:tblGrid>
        <w:gridCol w:w="653"/>
        <w:gridCol w:w="2523"/>
        <w:gridCol w:w="7257"/>
      </w:tblGrid>
      <w:tr w14:paraId="04A50500">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5091FF">
            <w:pPr>
              <w:autoSpaceDE w:val="0"/>
              <w:autoSpaceDN w:val="0"/>
              <w:spacing w:line="360" w:lineRule="auto"/>
              <w:jc w:val="center"/>
              <w:rPr>
                <w:rFonts w:hint="eastAsia" w:ascii="宋体" w:hAnsi="宋体" w:eastAsia="宋体" w:cs="宋体"/>
                <w:color w:val="000000"/>
                <w:kern w:val="0"/>
                <w:sz w:val="24"/>
                <w:highlight w:val="none"/>
                <w:lang w:val="zh-CN"/>
              </w:rPr>
            </w:pPr>
            <w:r>
              <w:rPr>
                <w:rFonts w:hint="eastAsia" w:ascii="宋体" w:hAnsi="宋体" w:eastAsia="宋体" w:cs="宋体"/>
                <w:bCs/>
                <w:color w:val="000000"/>
                <w:kern w:val="0"/>
                <w:sz w:val="24"/>
                <w:highlight w:val="none"/>
                <w:lang w:val="zh-CN"/>
              </w:rPr>
              <w:t>序号</w:t>
            </w:r>
          </w:p>
        </w:tc>
        <w:tc>
          <w:tcPr>
            <w:tcW w:w="9780"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425338">
            <w:pPr>
              <w:autoSpaceDE w:val="0"/>
              <w:autoSpaceDN w:val="0"/>
              <w:spacing w:line="360" w:lineRule="auto"/>
              <w:jc w:val="center"/>
              <w:rPr>
                <w:rFonts w:hint="eastAsia" w:ascii="宋体" w:hAnsi="宋体" w:eastAsia="宋体" w:cs="宋体"/>
                <w:color w:val="000000"/>
                <w:kern w:val="0"/>
                <w:sz w:val="24"/>
                <w:highlight w:val="none"/>
                <w:lang w:val="zh-CN"/>
              </w:rPr>
            </w:pPr>
            <w:r>
              <w:rPr>
                <w:rFonts w:hint="eastAsia" w:ascii="宋体" w:hAnsi="宋体" w:eastAsia="宋体" w:cs="宋体"/>
                <w:bCs/>
                <w:color w:val="000000"/>
                <w:kern w:val="0"/>
                <w:sz w:val="24"/>
                <w:highlight w:val="none"/>
                <w:lang w:val="zh-CN"/>
              </w:rPr>
              <w:t>内容</w:t>
            </w:r>
          </w:p>
        </w:tc>
      </w:tr>
      <w:tr w14:paraId="04607B38">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522BA9">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B3A019">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采购项目名称</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1D8C43C9">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cs="宋体"/>
                <w:bCs/>
                <w:color w:val="000000"/>
                <w:kern w:val="0"/>
                <w:sz w:val="24"/>
                <w:highlight w:val="none"/>
                <w:lang w:val="zh-CN"/>
              </w:rPr>
              <w:t>校园应用与网络运维服务--财务数字化建设</w:t>
            </w:r>
          </w:p>
        </w:tc>
      </w:tr>
      <w:tr w14:paraId="79136F3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8B684A">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511A31">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采购项目编号</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36B1AA02">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cs="宋体"/>
                <w:color w:val="000000"/>
                <w:kern w:val="0"/>
                <w:sz w:val="24"/>
                <w:highlight w:val="none"/>
                <w:lang w:val="zh-CN"/>
              </w:rPr>
              <w:t>青海海际竞磋（服务）2025-131</w:t>
            </w:r>
          </w:p>
        </w:tc>
      </w:tr>
      <w:tr w14:paraId="1DFDA35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DD1069">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D7C864">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采购单位</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69632FB9">
            <w:pPr>
              <w:autoSpaceDE w:val="0"/>
              <w:autoSpaceDN w:val="0"/>
              <w:spacing w:line="360" w:lineRule="auto"/>
              <w:jc w:val="lef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eastAsia="zh-CN"/>
              </w:rPr>
              <w:t>青海民族大学</w:t>
            </w:r>
          </w:p>
        </w:tc>
      </w:tr>
      <w:tr w14:paraId="7103D39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FBEDF8">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F8E308A">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采购代理机构</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19F84F28">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cs="宋体"/>
                <w:color w:val="000000"/>
                <w:kern w:val="0"/>
                <w:sz w:val="24"/>
                <w:highlight w:val="none"/>
                <w:lang w:val="zh-CN"/>
              </w:rPr>
              <w:t>青海海际项目咨询管理有限公司</w:t>
            </w:r>
          </w:p>
        </w:tc>
      </w:tr>
      <w:tr w14:paraId="627454FA">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1ED36D">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F0C94">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采购方式</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133544A5">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竞争性磋商</w:t>
            </w:r>
          </w:p>
        </w:tc>
      </w:tr>
      <w:tr w14:paraId="3CD9959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3A8B7C">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380D6C">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评分办法</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B2050FF">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综合评分法</w:t>
            </w:r>
          </w:p>
        </w:tc>
      </w:tr>
      <w:tr w14:paraId="7AF501D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39F456">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4CBC03">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采购预算控制额度</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51D2D6">
            <w:pPr>
              <w:spacing w:line="360" w:lineRule="auto"/>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eastAsia="zh-CN"/>
              </w:rPr>
              <w:t>人民币</w:t>
            </w:r>
            <w:r>
              <w:rPr>
                <w:rFonts w:hint="eastAsia" w:ascii="宋体" w:hAnsi="宋体" w:cs="宋体"/>
                <w:color w:val="000000"/>
                <w:kern w:val="0"/>
                <w:sz w:val="24"/>
                <w:highlight w:val="none"/>
                <w:lang w:eastAsia="zh-CN"/>
              </w:rPr>
              <w:t>50</w:t>
            </w:r>
            <w:r>
              <w:rPr>
                <w:rFonts w:hint="eastAsia" w:ascii="宋体" w:hAnsi="宋体" w:eastAsia="宋体" w:cs="宋体"/>
                <w:color w:val="000000"/>
                <w:kern w:val="0"/>
                <w:sz w:val="24"/>
                <w:highlight w:val="none"/>
                <w:lang w:eastAsia="zh-CN"/>
              </w:rPr>
              <w:t>万</w:t>
            </w:r>
            <w:r>
              <w:rPr>
                <w:rFonts w:hint="eastAsia" w:ascii="宋体" w:hAnsi="宋体" w:eastAsia="宋体" w:cs="宋体"/>
                <w:color w:val="000000"/>
                <w:kern w:val="0"/>
                <w:sz w:val="24"/>
                <w:highlight w:val="none"/>
                <w:lang w:val="en-US" w:eastAsia="zh-CN"/>
              </w:rPr>
              <w:t>元</w:t>
            </w:r>
          </w:p>
        </w:tc>
      </w:tr>
      <w:tr w14:paraId="30B1A50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831BB9">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C45BE4">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项目分包个数</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8C48ED">
            <w:pPr>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无</w:t>
            </w:r>
          </w:p>
        </w:tc>
      </w:tr>
      <w:tr w14:paraId="79D958A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DE5956">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54E1A6">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采购要求</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3EB6425">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详见磋商文件“第六部分 采购项目要求及内容”</w:t>
            </w:r>
          </w:p>
        </w:tc>
      </w:tr>
      <w:tr w14:paraId="546C0AA6">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68264C">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25AABC">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color w:val="000000"/>
                <w:sz w:val="24"/>
                <w:highlight w:val="none"/>
              </w:rPr>
              <w:t>磋商供应商</w:t>
            </w:r>
            <w:r>
              <w:rPr>
                <w:rFonts w:hint="eastAsia" w:ascii="宋体" w:hAnsi="宋体" w:eastAsia="宋体" w:cs="宋体"/>
                <w:bCs/>
                <w:color w:val="000000"/>
                <w:kern w:val="0"/>
                <w:sz w:val="24"/>
                <w:highlight w:val="none"/>
                <w:lang w:val="zh-CN"/>
              </w:rPr>
              <w:t>资格条件</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4AC3B4F4">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 xml:space="preserve">1. </w:t>
            </w:r>
            <w:r>
              <w:rPr>
                <w:rFonts w:hint="eastAsia" w:ascii="宋体" w:hAnsi="宋体" w:eastAsia="宋体" w:cs="宋体"/>
                <w:i w:val="0"/>
                <w:iCs w:val="0"/>
                <w:caps w:val="0"/>
                <w:color w:val="auto"/>
                <w:spacing w:val="0"/>
                <w:sz w:val="24"/>
                <w:szCs w:val="24"/>
                <w:highlight w:val="none"/>
                <w:lang w:val="en-US" w:eastAsia="zh-CN"/>
              </w:rPr>
              <w:t>投标供应商应提供下列材料：</w:t>
            </w:r>
          </w:p>
          <w:p w14:paraId="4AB983DC">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1）供应商的营业执照等证明文件，自然人的身份证明。</w:t>
            </w:r>
          </w:p>
          <w:p w14:paraId="118BE412">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2）财务状况报告，依法缴纳税收和社会保障资金的相关材料。</w:t>
            </w:r>
          </w:p>
          <w:p w14:paraId="04AC7FAD">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3）具备履行合同所必需的设备和专业技术能力的证明材料。</w:t>
            </w:r>
          </w:p>
          <w:p w14:paraId="6271DA3B">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4）参加</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活动前3年内在经营活动中没有重大违法记录的书面声明。</w:t>
            </w:r>
          </w:p>
          <w:p w14:paraId="087AD273">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5）具备法律、行政法规规定的其他条件的证明材料。</w:t>
            </w:r>
          </w:p>
          <w:p w14:paraId="4193C8B9">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2.经信用中国（www.creditchina.gov.cn）、中国</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网（www.ccgp.gov.cn）等渠道查询后，列入失信被执行人、重大税收违法案件当事人名单、</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严重违法失信行为记录名单的，取消投标资格；（提供“信用中国、中国</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网”网站无任何不良记录的查询截图，时间为投标截止时间前</w:t>
            </w:r>
            <w:r>
              <w:rPr>
                <w:rFonts w:hint="eastAsia"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val="en-US" w:eastAsia="zh-CN"/>
              </w:rPr>
              <w:t xml:space="preserve">0天内） </w:t>
            </w:r>
            <w:r>
              <w:rPr>
                <w:rFonts w:hint="eastAsia" w:ascii="宋体" w:hAnsi="宋体" w:eastAsia="宋体" w:cs="宋体"/>
                <w:i w:val="0"/>
                <w:iCs w:val="0"/>
                <w:caps w:val="0"/>
                <w:color w:val="auto"/>
                <w:spacing w:val="0"/>
                <w:sz w:val="24"/>
                <w:szCs w:val="24"/>
                <w:highlight w:val="none"/>
              </w:rPr>
              <w:t> </w:t>
            </w:r>
          </w:p>
          <w:p w14:paraId="1CB10D90">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3.单位负责人为同一人或者存在直接控股、管理关系的不同投标人，不得参加同一合同项下的</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活动。否则，取消投标资格；</w:t>
            </w:r>
          </w:p>
          <w:p w14:paraId="5787F198">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4.为本采购项目提供整体设计、规范编制或者项目管理、监理、检测等服务的</w:t>
            </w:r>
            <w:r>
              <w:rPr>
                <w:rFonts w:hint="eastAsia" w:cs="宋体"/>
                <w:i w:val="0"/>
                <w:iCs w:val="0"/>
                <w:caps w:val="0"/>
                <w:color w:val="auto"/>
                <w:spacing w:val="0"/>
                <w:sz w:val="24"/>
                <w:szCs w:val="24"/>
                <w:highlight w:val="none"/>
                <w:lang w:val="en-US" w:eastAsia="zh-CN"/>
              </w:rPr>
              <w:t>供</w:t>
            </w:r>
            <w:r>
              <w:rPr>
                <w:rFonts w:hint="eastAsia" w:ascii="宋体" w:hAnsi="宋体" w:eastAsia="宋体" w:cs="宋体"/>
                <w:i w:val="0"/>
                <w:iCs w:val="0"/>
                <w:caps w:val="0"/>
                <w:color w:val="auto"/>
                <w:spacing w:val="0"/>
                <w:sz w:val="24"/>
                <w:szCs w:val="24"/>
                <w:highlight w:val="none"/>
                <w:lang w:val="en-US" w:eastAsia="zh-CN"/>
              </w:rPr>
              <w:t xml:space="preserve">应商，不得再参加该采购项目的其他采购活动； </w:t>
            </w:r>
          </w:p>
          <w:p w14:paraId="709A108D">
            <w:pPr>
              <w:pStyle w:val="2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本项目不接受供应商以联合体方式进行投标。</w:t>
            </w:r>
          </w:p>
          <w:p w14:paraId="506BFB36">
            <w:pPr>
              <w:pStyle w:val="68"/>
              <w:spacing w:line="360" w:lineRule="auto"/>
              <w:rPr>
                <w:rFonts w:hint="eastAsia"/>
                <w:highlight w:val="none"/>
                <w:lang w:val="zh-CN" w:eastAsia="zh-CN"/>
              </w:rPr>
            </w:pP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.落实</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政策需满足的资格要求：本项目专门面向中小企业采购。</w:t>
            </w:r>
          </w:p>
        </w:tc>
      </w:tr>
      <w:tr w14:paraId="0689AAAB">
        <w:tblPrEx>
          <w:shd w:val="clear" w:color="auto" w:fill="auto"/>
          <w:tblCellMar>
            <w:top w:w="0" w:type="dxa"/>
            <w:left w:w="57" w:type="dxa"/>
            <w:bottom w:w="0" w:type="dxa"/>
            <w:right w:w="57" w:type="dxa"/>
          </w:tblCellMar>
        </w:tblPrEx>
        <w:trPr>
          <w:trHeight w:val="552" w:hRule="atLeast"/>
          <w:jc w:val="center"/>
        </w:trPr>
        <w:tc>
          <w:tcPr>
            <w:tcW w:w="653" w:type="dxa"/>
            <w:tcBorders>
              <w:top w:val="single" w:color="000000" w:sz="6" w:space="0"/>
              <w:left w:val="single" w:color="000000" w:sz="6" w:space="0"/>
              <w:right w:val="single" w:color="000000" w:sz="6" w:space="0"/>
            </w:tcBorders>
            <w:shd w:val="clear" w:color="auto" w:fill="auto"/>
            <w:noWrap w:val="0"/>
            <w:vAlign w:val="center"/>
          </w:tcPr>
          <w:p w14:paraId="36C44302">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right w:val="single" w:color="000000" w:sz="6" w:space="0"/>
            </w:tcBorders>
            <w:shd w:val="clear" w:color="auto" w:fill="auto"/>
            <w:noWrap w:val="0"/>
            <w:vAlign w:val="center"/>
          </w:tcPr>
          <w:p w14:paraId="7643F527">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磋商保证金</w:t>
            </w:r>
          </w:p>
        </w:tc>
        <w:tc>
          <w:tcPr>
            <w:tcW w:w="7257" w:type="dxa"/>
            <w:tcBorders>
              <w:top w:val="single" w:color="000000" w:sz="6" w:space="0"/>
              <w:left w:val="single" w:color="000000" w:sz="6" w:space="0"/>
              <w:right w:val="single" w:color="000000" w:sz="6" w:space="0"/>
            </w:tcBorders>
            <w:shd w:val="clear" w:color="auto" w:fill="auto"/>
            <w:noWrap w:val="0"/>
            <w:vAlign w:val="top"/>
          </w:tcPr>
          <w:p w14:paraId="28E15E6A">
            <w:pPr>
              <w:pStyle w:val="68"/>
              <w:spacing w:line="360" w:lineRule="auto"/>
              <w:rPr>
                <w:rFonts w:hint="eastAsia" w:ascii="宋体" w:hAnsi="宋体" w:eastAsia="宋体" w:cs="宋体"/>
                <w:bCs/>
                <w:color w:val="000000"/>
                <w:kern w:val="0"/>
                <w:sz w:val="24"/>
                <w:highlight w:val="none"/>
                <w:lang w:val="zh-CN"/>
              </w:rPr>
            </w:pPr>
            <w:bookmarkStart w:id="13" w:name="_Toc421873478"/>
            <w:bookmarkStart w:id="14" w:name="_Toc435176391"/>
            <w:bookmarkStart w:id="15" w:name="_Toc435175539"/>
            <w:bookmarkStart w:id="16" w:name="_Toc444762753"/>
            <w:r>
              <w:rPr>
                <w:rFonts w:hint="eastAsia" w:ascii="宋体" w:hAnsi="宋体" w:eastAsia="宋体" w:cs="宋体"/>
                <w:bCs/>
                <w:color w:val="000000"/>
                <w:kern w:val="0"/>
                <w:sz w:val="24"/>
                <w:highlight w:val="none"/>
                <w:lang w:val="zh-CN"/>
              </w:rPr>
              <w:t>各磋商供应商须在磋商响应文件递交截止时间前，缴纳磋商保证金（磋商保证金应当从其基本账户汇出</w:t>
            </w:r>
            <w:bookmarkEnd w:id="13"/>
            <w:r>
              <w:rPr>
                <w:rFonts w:hint="eastAsia" w:ascii="宋体" w:hAnsi="宋体" w:eastAsia="宋体" w:cs="宋体"/>
                <w:bCs/>
                <w:color w:val="000000"/>
                <w:kern w:val="0"/>
                <w:sz w:val="24"/>
                <w:highlight w:val="none"/>
                <w:lang w:val="zh-CN"/>
              </w:rPr>
              <w:t>，磋商响应文件中须附企业基本账户开户许可证并加盖磋商企业公章）</w:t>
            </w:r>
            <w:bookmarkEnd w:id="14"/>
            <w:bookmarkEnd w:id="15"/>
            <w:bookmarkEnd w:id="16"/>
          </w:p>
          <w:p w14:paraId="77EE92AD">
            <w:pPr>
              <w:pStyle w:val="68"/>
              <w:spacing w:line="360" w:lineRule="auto"/>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磋商保证金金额：</w:t>
            </w:r>
            <w:r>
              <w:rPr>
                <w:rFonts w:hint="eastAsia" w:ascii="宋体" w:hAnsi="宋体" w:eastAsia="宋体" w:cs="宋体"/>
                <w:color w:val="000000"/>
                <w:kern w:val="0"/>
                <w:sz w:val="24"/>
                <w:highlight w:val="none"/>
              </w:rPr>
              <w:t>人民币</w:t>
            </w:r>
            <w:r>
              <w:rPr>
                <w:rFonts w:hint="eastAsia" w:ascii="宋体" w:hAnsi="宋体" w:cs="宋体"/>
                <w:color w:val="000000"/>
                <w:kern w:val="0"/>
                <w:sz w:val="24"/>
                <w:highlight w:val="none"/>
                <w:lang w:val="en-US" w:eastAsia="zh-CN"/>
              </w:rPr>
              <w:t>10000</w:t>
            </w:r>
            <w:r>
              <w:rPr>
                <w:rFonts w:hint="eastAsia" w:ascii="宋体" w:hAnsi="宋体" w:eastAsia="宋体" w:cs="宋体"/>
                <w:color w:val="000000"/>
                <w:kern w:val="0"/>
                <w:sz w:val="24"/>
                <w:highlight w:val="none"/>
                <w:lang w:val="en-US" w:eastAsia="zh-CN"/>
              </w:rPr>
              <w:t>.00元（大写：</w:t>
            </w:r>
            <w:r>
              <w:rPr>
                <w:rFonts w:hint="eastAsia" w:ascii="宋体" w:hAnsi="宋体" w:cs="宋体"/>
                <w:color w:val="000000"/>
                <w:kern w:val="0"/>
                <w:sz w:val="24"/>
                <w:highlight w:val="none"/>
                <w:lang w:val="en-US" w:eastAsia="zh-CN"/>
              </w:rPr>
              <w:t>壹万元整</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lang w:val="zh-CN"/>
              </w:rPr>
              <w:t>；</w:t>
            </w:r>
          </w:p>
          <w:p w14:paraId="689004DF">
            <w:pPr>
              <w:pStyle w:val="68"/>
              <w:spacing w:line="360" w:lineRule="auto"/>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收款单位：</w:t>
            </w:r>
            <w:r>
              <w:rPr>
                <w:rFonts w:hint="eastAsia" w:ascii="宋体" w:hAnsi="宋体" w:cs="宋体"/>
                <w:bCs/>
                <w:color w:val="000000"/>
                <w:kern w:val="0"/>
                <w:sz w:val="24"/>
                <w:highlight w:val="none"/>
                <w:lang w:val="zh-CN"/>
              </w:rPr>
              <w:t>青海海际项目咨询管理有限公司</w:t>
            </w:r>
          </w:p>
          <w:p w14:paraId="52E8FBE1">
            <w:pPr>
              <w:pStyle w:val="68"/>
              <w:spacing w:line="360" w:lineRule="auto"/>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开 户 行：</w:t>
            </w:r>
            <w:r>
              <w:rPr>
                <w:rFonts w:hint="eastAsia" w:ascii="宋体" w:hAnsi="宋体" w:cs="宋体"/>
                <w:bCs/>
                <w:color w:val="000000"/>
                <w:kern w:val="0"/>
                <w:sz w:val="24"/>
                <w:highlight w:val="none"/>
                <w:lang w:val="zh-CN"/>
              </w:rPr>
              <w:t>中信银行股份有限公司西宁海湖新区支行</w:t>
            </w:r>
          </w:p>
          <w:p w14:paraId="6DD6ACCF">
            <w:pPr>
              <w:pStyle w:val="68"/>
              <w:spacing w:line="360" w:lineRule="auto"/>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银行账号：</w:t>
            </w:r>
            <w:r>
              <w:rPr>
                <w:rFonts w:hint="eastAsia" w:ascii="宋体" w:hAnsi="宋体" w:cs="宋体"/>
                <w:bCs/>
                <w:color w:val="000000"/>
                <w:kern w:val="0"/>
                <w:sz w:val="24"/>
                <w:highlight w:val="none"/>
                <w:lang w:val="zh-CN"/>
              </w:rPr>
              <w:t>8112801013700034824</w:t>
            </w:r>
            <w:r>
              <w:rPr>
                <w:rFonts w:hint="eastAsia" w:ascii="宋体" w:hAnsi="宋体" w:eastAsia="宋体" w:cs="宋体"/>
                <w:color w:val="000000"/>
                <w:kern w:val="0"/>
                <w:sz w:val="24"/>
                <w:highlight w:val="none"/>
                <w:lang w:val="zh-CN"/>
              </w:rPr>
              <w:t>（开户行号：</w:t>
            </w:r>
            <w:r>
              <w:rPr>
                <w:rFonts w:hint="eastAsia" w:ascii="宋体" w:hAnsi="宋体" w:cs="宋体"/>
                <w:color w:val="000000"/>
                <w:kern w:val="0"/>
                <w:sz w:val="24"/>
                <w:highlight w:val="none"/>
                <w:lang w:val="zh-CN"/>
              </w:rPr>
              <w:t>302851059087</w:t>
            </w:r>
            <w:r>
              <w:rPr>
                <w:rFonts w:hint="eastAsia" w:ascii="宋体" w:hAnsi="宋体" w:eastAsia="宋体" w:cs="宋体"/>
                <w:color w:val="000000"/>
                <w:kern w:val="0"/>
                <w:sz w:val="24"/>
                <w:highlight w:val="none"/>
                <w:lang w:val="zh-CN"/>
              </w:rPr>
              <w:t>）</w:t>
            </w:r>
          </w:p>
          <w:p w14:paraId="164C266D">
            <w:pPr>
              <w:pStyle w:val="68"/>
              <w:spacing w:line="360" w:lineRule="auto"/>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缴纳时间：磋商供应商在磋商截止期前，以银行到账时间为准。</w:t>
            </w:r>
          </w:p>
          <w:p w14:paraId="23FC7027">
            <w:pPr>
              <w:pStyle w:val="68"/>
              <w:spacing w:line="360" w:lineRule="auto"/>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（1）不接受个人名义或现金形式递交的磋商保证金，磋商供应商应单独提交磋商保证金，磋商保证金须从企业基本账户中支付，磋商文件中须附企业开户许可证；</w:t>
            </w:r>
          </w:p>
          <w:p w14:paraId="479F46D9">
            <w:pPr>
              <w:pStyle w:val="68"/>
              <w:spacing w:line="360" w:lineRule="auto"/>
              <w:rPr>
                <w:rFonts w:hint="eastAsia" w:ascii="宋体" w:hAnsi="宋体" w:eastAsia="宋体" w:cs="宋体"/>
                <w:color w:val="000000"/>
                <w:kern w:val="0"/>
                <w:highlight w:val="none"/>
                <w:lang w:val="zh-CN"/>
              </w:rPr>
            </w:pPr>
            <w:r>
              <w:rPr>
                <w:rFonts w:hint="eastAsia" w:ascii="宋体" w:hAnsi="宋体" w:eastAsia="宋体" w:cs="宋体"/>
                <w:bCs/>
                <w:color w:val="000000"/>
                <w:kern w:val="0"/>
                <w:sz w:val="24"/>
                <w:highlight w:val="none"/>
                <w:lang w:val="zh-CN"/>
              </w:rPr>
              <w:t>（2）磋商保证金有效期与磋商有效期一致。</w:t>
            </w:r>
          </w:p>
        </w:tc>
      </w:tr>
      <w:tr w14:paraId="223B67C6">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9302F5">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422D96">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color w:val="000000"/>
                <w:kern w:val="0"/>
                <w:sz w:val="24"/>
                <w:highlight w:val="none"/>
              </w:rPr>
              <w:t>磋商</w:t>
            </w:r>
            <w:r>
              <w:rPr>
                <w:rFonts w:hint="eastAsia" w:ascii="宋体" w:hAnsi="宋体" w:eastAsia="宋体" w:cs="宋体"/>
                <w:bCs/>
                <w:color w:val="000000"/>
                <w:kern w:val="0"/>
                <w:sz w:val="24"/>
                <w:highlight w:val="none"/>
                <w:lang w:val="zh-CN"/>
              </w:rPr>
              <w:t>保证金缴纳方式</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0012F0FA">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rPr>
              <w:t>磋商</w:t>
            </w:r>
            <w:r>
              <w:rPr>
                <w:rFonts w:hint="eastAsia" w:ascii="宋体" w:hAnsi="宋体" w:eastAsia="宋体" w:cs="宋体"/>
                <w:color w:val="000000"/>
                <w:kern w:val="0"/>
                <w:sz w:val="24"/>
                <w:highlight w:val="none"/>
                <w:lang w:val="zh-CN"/>
              </w:rPr>
              <w:t>保证金应当以电汇、支票、汇票、本票或者金融机构、担保机构出具的保函等非现金形式提交。通过银行转账的，必须由磋商供应商从其基本账户（需提供开户许可证）汇（转）入本须知附表中第11条指定的账户。</w:t>
            </w:r>
          </w:p>
          <w:p w14:paraId="534A307F">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磋商供应商未按照磋商文件要求提交</w:t>
            </w:r>
            <w:r>
              <w:rPr>
                <w:rFonts w:hint="eastAsia" w:ascii="宋体" w:hAnsi="宋体" w:eastAsia="宋体" w:cs="宋体"/>
                <w:color w:val="000000"/>
                <w:kern w:val="0"/>
                <w:sz w:val="24"/>
                <w:highlight w:val="none"/>
              </w:rPr>
              <w:t>磋商</w:t>
            </w:r>
            <w:r>
              <w:rPr>
                <w:rFonts w:hint="eastAsia" w:ascii="宋体" w:hAnsi="宋体" w:eastAsia="宋体" w:cs="宋体"/>
                <w:color w:val="000000"/>
                <w:kern w:val="0"/>
                <w:sz w:val="24"/>
                <w:highlight w:val="none"/>
                <w:lang w:val="zh-CN"/>
              </w:rPr>
              <w:t>保证金的，磋商无效。</w:t>
            </w:r>
          </w:p>
        </w:tc>
      </w:tr>
      <w:tr w14:paraId="21F042B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7C08FF">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316E29C">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color w:val="000000"/>
                <w:kern w:val="0"/>
                <w:sz w:val="24"/>
                <w:highlight w:val="none"/>
              </w:rPr>
              <w:t>磋商</w:t>
            </w:r>
            <w:r>
              <w:rPr>
                <w:rFonts w:hint="eastAsia" w:ascii="宋体" w:hAnsi="宋体" w:eastAsia="宋体" w:cs="宋体"/>
                <w:bCs/>
                <w:color w:val="000000"/>
                <w:kern w:val="0"/>
                <w:sz w:val="24"/>
                <w:highlight w:val="none"/>
                <w:lang w:val="zh-CN"/>
              </w:rPr>
              <w:t>保证金退还</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7E7379CF">
            <w:pPr>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未成交磋商供应商的</w:t>
            </w:r>
            <w:r>
              <w:rPr>
                <w:rFonts w:hint="eastAsia" w:ascii="宋体" w:hAnsi="宋体" w:eastAsia="宋体" w:cs="宋体"/>
                <w:color w:val="000000"/>
                <w:kern w:val="0"/>
                <w:sz w:val="24"/>
                <w:highlight w:val="none"/>
              </w:rPr>
              <w:t>磋商</w:t>
            </w:r>
            <w:r>
              <w:rPr>
                <w:rFonts w:hint="eastAsia" w:ascii="宋体" w:hAnsi="宋体" w:eastAsia="宋体" w:cs="宋体"/>
                <w:color w:val="000000"/>
                <w:kern w:val="0"/>
                <w:sz w:val="24"/>
                <w:highlight w:val="none"/>
                <w:lang w:val="zh-CN"/>
              </w:rPr>
              <w:t>保证金自成交通知书发出之日起5个工作日内退还（不退现金）；成交磋商供应商的磋商保证金，自采购合同签订之日起5个工作日内退还（不退现金）。</w:t>
            </w:r>
          </w:p>
        </w:tc>
      </w:tr>
      <w:tr w14:paraId="7319494B">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94321B">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98A5CF">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磋商文件编制要求</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117FD963">
            <w:pPr>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1、</w:t>
            </w:r>
            <w:r>
              <w:rPr>
                <w:rFonts w:hint="eastAsia" w:ascii="宋体" w:hAnsi="宋体" w:eastAsia="宋体" w:cs="宋体"/>
                <w:color w:val="000000"/>
                <w:sz w:val="24"/>
                <w:highlight w:val="none"/>
                <w:lang w:val="zh-CN"/>
              </w:rPr>
              <w:t>磋商供应商应按照磋商文件所提供的磋商响应文件格式，分别填写磋商文件第五部分的内容，应分别注明所提供服务的名称、数量和价格等内容；磋商文件要求签字、盖章的地方必须由磋商供应商的法定代表人或委托代理人按要求签字、盖章。</w:t>
            </w:r>
          </w:p>
          <w:p w14:paraId="4CE83E78">
            <w:pPr>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2、磋商供应商应按磋商文件要求准备磋商响应文件（</w:t>
            </w: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zh-CN"/>
              </w:rPr>
              <w:t>份正本、</w:t>
            </w: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zh-CN"/>
              </w:rPr>
              <w:t>份副本和相应的电子文档1份，用于单独提交的“竞争性磋商首次报价表”1份以及用于退还磋商保证金单独提交“磋商保证金证明”1份）。每份磋商响应文件都必须清楚地标明“正本”或“副本”等字样。若发生正本和副本不符，以正本磋商响应文件为准。磋商响应文件统一使用A4幅面的纸张印制，必须胶装成册并编码，不得采用</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lang w:val="zh-CN"/>
              </w:rPr>
              <w:t>活页夹等可随时拆换的方式装订。</w:t>
            </w:r>
          </w:p>
          <w:p w14:paraId="2949D4BC">
            <w:pPr>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3、磋商响应文件的正本和副本均需打印或用不褪色、不变质的墨水书写并由磋商供应商的委托代理人逐页加盖公章。磋商响应文件副本可采用正本的复印件，若不满足以上条件，按无效磋商处理。</w:t>
            </w:r>
          </w:p>
          <w:p w14:paraId="781D6244">
            <w:pPr>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4、电子文档采用可读的U盘编制，须写明采购项目名称、供应商名称及磋商日期，电子文档为纸质版磋商响应文件正本的扫描件，需采用不可修改文档格式，电子文档与纸质版磋商响应文件正本内容必须完全一致，包括盖章和签字，并与书面磋商响应文件一并提交，否则，视为无效磋商。</w:t>
            </w:r>
          </w:p>
        </w:tc>
      </w:tr>
      <w:tr w14:paraId="22ACFCDF">
        <w:tblPrEx>
          <w:shd w:val="clear" w:color="auto" w:fill="auto"/>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2FAD85">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AC209B">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磋商文件的密封</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772D2ADF">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磋商响应文件的正本与副本须分别密封，加贴密封条，并在密封包装的封口处加盖磋商单位公章（未按要求密封的磋商响应文件将不予接收）；磋商响应文件的封套上应标记“正本”或“副本”字样，封套上应写明：</w:t>
            </w:r>
          </w:p>
          <w:p w14:paraId="4F1C8442">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采购项目名称：                正（副）本</w:t>
            </w:r>
          </w:p>
          <w:p w14:paraId="7185B597">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采购项目编号：</w:t>
            </w:r>
          </w:p>
          <w:p w14:paraId="1696872C">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磋商供应商名称：          （加盖单位公章）</w:t>
            </w:r>
          </w:p>
          <w:p w14:paraId="3EFB229B">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法定代表人：              （签字）</w:t>
            </w:r>
          </w:p>
          <w:p w14:paraId="461439E1">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rPr>
              <w:t>于</w:t>
            </w:r>
            <w:r>
              <w:rPr>
                <w:rFonts w:hint="eastAsia" w:ascii="宋体" w:hAnsi="宋体" w:cs="宋体"/>
                <w:color w:val="000000"/>
                <w:kern w:val="0"/>
                <w:sz w:val="24"/>
                <w:highlight w:val="none"/>
                <w:lang w:eastAsia="zh-CN"/>
              </w:rPr>
              <w:t>2025年10月21日上午09:30（北京时间）</w:t>
            </w:r>
            <w:r>
              <w:rPr>
                <w:rFonts w:hint="eastAsia" w:ascii="宋体" w:hAnsi="宋体" w:eastAsia="宋体" w:cs="宋体"/>
                <w:color w:val="000000"/>
                <w:kern w:val="0"/>
                <w:sz w:val="24"/>
                <w:highlight w:val="none"/>
                <w:lang w:val="zh-CN"/>
              </w:rPr>
              <w:t>前不准启封</w:t>
            </w:r>
          </w:p>
        </w:tc>
      </w:tr>
      <w:tr w14:paraId="56600E6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1FF26C5">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F6F55C">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递交磋商文件方式</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820113">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 xml:space="preserve">现场递交，不接受邮寄磋商。 </w:t>
            </w:r>
          </w:p>
        </w:tc>
      </w:tr>
      <w:tr w14:paraId="3FDAA4F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7E140E">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171F96">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color w:val="000000"/>
                <w:kern w:val="0"/>
                <w:sz w:val="24"/>
                <w:highlight w:val="none"/>
              </w:rPr>
              <w:t>磋商</w:t>
            </w:r>
            <w:r>
              <w:rPr>
                <w:rFonts w:hint="eastAsia" w:ascii="宋体" w:hAnsi="宋体" w:eastAsia="宋体" w:cs="宋体"/>
                <w:bCs/>
                <w:color w:val="000000"/>
                <w:kern w:val="0"/>
                <w:sz w:val="24"/>
                <w:highlight w:val="none"/>
                <w:lang w:val="zh-CN"/>
              </w:rPr>
              <w:t>截止时间</w:t>
            </w:r>
          </w:p>
        </w:tc>
        <w:tc>
          <w:tcPr>
            <w:tcW w:w="725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4D0809E">
            <w:pPr>
              <w:pStyle w:val="68"/>
              <w:spacing w:line="360" w:lineRule="auto"/>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2025年10月21日上午09:30（北京时间）</w:t>
            </w:r>
          </w:p>
        </w:tc>
      </w:tr>
      <w:tr w14:paraId="14D328C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280CB7">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3AF359">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磋商时间</w:t>
            </w:r>
          </w:p>
        </w:tc>
        <w:tc>
          <w:tcPr>
            <w:tcW w:w="725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FDBA473">
            <w:pPr>
              <w:pStyle w:val="68"/>
              <w:spacing w:line="360" w:lineRule="auto"/>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2025年10月21日上午09:30（北京时间）</w:t>
            </w:r>
          </w:p>
        </w:tc>
      </w:tr>
      <w:tr w14:paraId="2510394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60FEC1">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892FEF3">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磋商及磋商地点</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10291A7">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cs="宋体"/>
                <w:color w:val="000000"/>
                <w:kern w:val="0"/>
                <w:sz w:val="24"/>
                <w:highlight w:val="none"/>
                <w:lang w:eastAsia="zh-CN"/>
              </w:rPr>
              <w:t>青海海际项目咨询管理有限公司开标厅（青海省西宁市城西区海湖新区五四西路91号卢浮公馆双子座B座17楼）</w:t>
            </w:r>
          </w:p>
        </w:tc>
      </w:tr>
      <w:tr w14:paraId="0B7C868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C9F079">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BB8A93">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答疑澄清方式</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7334F1E">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采用现场答疑。磋商供应商须提供准确的联系方式（手机和固定电话），应在规定的时间内到达评审现场进行答疑澄清，如在规定的时间内联系无果或未按时到达的，视同放弃答疑。</w:t>
            </w:r>
          </w:p>
        </w:tc>
      </w:tr>
      <w:tr w14:paraId="227B4FB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38842F">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F99672">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代理服务费收取</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7B5C6CFE">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招标代理服务费：</w:t>
            </w:r>
          </w:p>
          <w:p w14:paraId="6C2CD317">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收取对象：成交磋商供应商</w:t>
            </w:r>
          </w:p>
          <w:p w14:paraId="2A688B66">
            <w:pPr>
              <w:autoSpaceDE w:val="0"/>
              <w:autoSpaceDN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收取金额：</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000元（大写：</w:t>
            </w:r>
            <w:r>
              <w:rPr>
                <w:rFonts w:hint="eastAsia" w:ascii="宋体" w:hAnsi="宋体" w:eastAsia="宋体" w:cs="宋体"/>
                <w:color w:val="000000"/>
                <w:kern w:val="0"/>
                <w:sz w:val="24"/>
                <w:highlight w:val="none"/>
                <w:lang w:val="en-US" w:eastAsia="zh-CN"/>
              </w:rPr>
              <w:t>伍</w:t>
            </w:r>
            <w:r>
              <w:rPr>
                <w:rFonts w:hint="eastAsia" w:ascii="宋体" w:hAnsi="宋体" w:eastAsia="宋体" w:cs="宋体"/>
                <w:color w:val="000000"/>
                <w:kern w:val="0"/>
                <w:sz w:val="24"/>
                <w:highlight w:val="none"/>
              </w:rPr>
              <w:t>仟元整）</w:t>
            </w:r>
          </w:p>
          <w:p w14:paraId="6140DF55">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代理服务费的支付形式：电汇、支票。</w:t>
            </w:r>
          </w:p>
          <w:p w14:paraId="6A3368A8">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账户名：</w:t>
            </w:r>
            <w:r>
              <w:rPr>
                <w:rFonts w:hint="eastAsia" w:ascii="宋体" w:hAnsi="宋体" w:cs="宋体"/>
                <w:color w:val="000000"/>
                <w:kern w:val="0"/>
                <w:sz w:val="24"/>
                <w:highlight w:val="none"/>
                <w:lang w:val="zh-CN"/>
              </w:rPr>
              <w:t>青海海际项目咨询管理有限公司</w:t>
            </w:r>
          </w:p>
          <w:p w14:paraId="5B99ABB6">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开户行号：</w:t>
            </w:r>
            <w:r>
              <w:rPr>
                <w:rFonts w:hint="eastAsia" w:ascii="宋体" w:hAnsi="宋体" w:cs="宋体"/>
                <w:color w:val="000000"/>
                <w:kern w:val="0"/>
                <w:sz w:val="24"/>
                <w:highlight w:val="none"/>
                <w:lang w:val="zh-CN"/>
              </w:rPr>
              <w:t>302851059087</w:t>
            </w:r>
          </w:p>
          <w:p w14:paraId="1EF05763">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账  号：</w:t>
            </w:r>
            <w:r>
              <w:rPr>
                <w:rFonts w:hint="eastAsia" w:ascii="宋体" w:hAnsi="宋体" w:cs="宋体"/>
                <w:color w:val="000000"/>
                <w:kern w:val="0"/>
                <w:sz w:val="24"/>
                <w:highlight w:val="none"/>
                <w:lang w:val="zh-CN"/>
              </w:rPr>
              <w:t>8112801013700034824</w:t>
            </w:r>
          </w:p>
          <w:p w14:paraId="33F1AE21">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开户行：</w:t>
            </w:r>
            <w:r>
              <w:rPr>
                <w:rFonts w:hint="eastAsia" w:ascii="宋体" w:hAnsi="宋体" w:cs="宋体"/>
                <w:color w:val="000000"/>
                <w:kern w:val="0"/>
                <w:sz w:val="24"/>
                <w:highlight w:val="none"/>
                <w:lang w:val="zh-CN"/>
              </w:rPr>
              <w:t>中信银行股份有限公司西宁海湖新区支行</w:t>
            </w:r>
          </w:p>
          <w:p w14:paraId="56021012">
            <w:pPr>
              <w:autoSpaceDE w:val="0"/>
              <w:autoSpaceDN w:val="0"/>
              <w:spacing w:line="360" w:lineRule="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代理服务费以人民币支付。</w:t>
            </w:r>
          </w:p>
          <w:p w14:paraId="508AED66">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代理服务费不在磋商报价中单列。</w:t>
            </w:r>
          </w:p>
        </w:tc>
      </w:tr>
      <w:tr w14:paraId="484C50D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AA955">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3147C3">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合同签订有效期</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315543BB">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自成交通知书发出之日起</w:t>
            </w:r>
            <w:r>
              <w:rPr>
                <w:rFonts w:hint="eastAsia" w:ascii="宋体" w:hAnsi="宋体" w:eastAsia="宋体" w:cs="宋体"/>
                <w:color w:val="000000"/>
                <w:kern w:val="0"/>
                <w:sz w:val="24"/>
                <w:highlight w:val="none"/>
              </w:rPr>
              <w:t>30</w:t>
            </w:r>
            <w:r>
              <w:rPr>
                <w:rFonts w:hint="eastAsia" w:ascii="宋体" w:hAnsi="宋体" w:eastAsia="宋体" w:cs="宋体"/>
                <w:color w:val="000000"/>
                <w:kern w:val="0"/>
                <w:sz w:val="24"/>
                <w:highlight w:val="none"/>
                <w:lang w:val="zh-CN"/>
              </w:rPr>
              <w:t>日内与采购单位签订服务合同</w:t>
            </w:r>
          </w:p>
        </w:tc>
      </w:tr>
      <w:tr w14:paraId="65A4E73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BB1CBB0">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0B3C72">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采购合同备案</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9A0A87">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采购合同全数返回采购代理机构签证，盖章。</w:t>
            </w:r>
          </w:p>
          <w:p w14:paraId="4D100E2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采购代理机构留存叁份原件备案。</w:t>
            </w:r>
          </w:p>
          <w:p w14:paraId="7BF2E43A">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合同返回地址：青海海际项目咨询管理有限公司（</w:t>
            </w:r>
            <w:r>
              <w:rPr>
                <w:rFonts w:hint="eastAsia" w:ascii="宋体" w:hAnsi="宋体" w:eastAsia="宋体" w:cs="宋体"/>
                <w:color w:val="000000"/>
                <w:sz w:val="24"/>
                <w:highlight w:val="none"/>
                <w:lang w:val="zh-CN"/>
              </w:rPr>
              <w:t>青海省西宁市城西区海湖新区五四西路91号卢浮公馆双子座B座17楼</w:t>
            </w:r>
            <w:r>
              <w:rPr>
                <w:rFonts w:hint="eastAsia" w:ascii="宋体" w:hAnsi="宋体" w:eastAsia="宋体" w:cs="宋体"/>
                <w:color w:val="000000"/>
                <w:sz w:val="24"/>
                <w:highlight w:val="none"/>
              </w:rPr>
              <w:t>）</w:t>
            </w:r>
          </w:p>
        </w:tc>
      </w:tr>
      <w:tr w14:paraId="02BE057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0185C8F">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BE74E3">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磋商有效期</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0CD5FAA0">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本次磋商有效期为磋商之日起60日历日</w:t>
            </w:r>
          </w:p>
        </w:tc>
      </w:tr>
      <w:tr w14:paraId="557A2BF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F11A03">
            <w:pPr>
              <w:numPr>
                <w:ilvl w:val="0"/>
                <w:numId w:val="3"/>
              </w:numPr>
              <w:autoSpaceDE w:val="0"/>
              <w:autoSpaceDN w:val="0"/>
              <w:spacing w:line="360" w:lineRule="auto"/>
              <w:jc w:val="center"/>
              <w:rPr>
                <w:rFonts w:hint="eastAsia" w:ascii="宋体" w:hAnsi="宋体" w:eastAsia="宋体" w:cs="宋体"/>
                <w:bCs/>
                <w:color w:val="000000"/>
                <w:kern w:val="0"/>
                <w:sz w:val="24"/>
                <w:highlight w:val="none"/>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8A3FBB">
            <w:pPr>
              <w:autoSpaceDE w:val="0"/>
              <w:autoSpaceDN w:val="0"/>
              <w:spacing w:line="360" w:lineRule="auto"/>
              <w:jc w:val="left"/>
              <w:rPr>
                <w:rFonts w:hint="eastAsia" w:ascii="宋体" w:hAnsi="宋体" w:eastAsia="宋体" w:cs="宋体"/>
                <w:bCs/>
                <w:color w:val="000000"/>
                <w:kern w:val="0"/>
                <w:sz w:val="24"/>
                <w:highlight w:val="none"/>
                <w:lang w:val="zh-CN"/>
              </w:rPr>
            </w:pPr>
            <w:r>
              <w:rPr>
                <w:rFonts w:hint="eastAsia" w:ascii="宋体" w:hAnsi="宋体" w:eastAsia="宋体" w:cs="宋体"/>
                <w:bCs/>
                <w:color w:val="000000"/>
                <w:kern w:val="0"/>
                <w:sz w:val="24"/>
                <w:highlight w:val="none"/>
                <w:lang w:val="zh-CN"/>
              </w:rPr>
              <w:t>其他要求</w:t>
            </w:r>
          </w:p>
        </w:tc>
        <w:tc>
          <w:tcPr>
            <w:tcW w:w="7257"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62E115A">
            <w:pPr>
              <w:autoSpaceDE w:val="0"/>
              <w:autoSpaceDN w:val="0"/>
              <w:spacing w:line="360" w:lineRule="auto"/>
              <w:jc w:val="left"/>
              <w:rPr>
                <w:rFonts w:hint="eastAsia" w:ascii="宋体" w:hAnsi="宋体" w:eastAsia="宋体" w:cs="宋体"/>
                <w:color w:val="000000"/>
                <w:kern w:val="0"/>
                <w:sz w:val="24"/>
                <w:highlight w:val="none"/>
                <w:lang w:val="zh-CN"/>
              </w:rPr>
            </w:pPr>
            <w:r>
              <w:rPr>
                <w:rFonts w:hint="eastAsia" w:ascii="宋体" w:hAnsi="宋体" w:cs="宋体"/>
                <w:color w:val="000000"/>
                <w:sz w:val="24"/>
                <w:highlight w:val="none"/>
                <w:lang w:eastAsia="zh-CN"/>
              </w:rPr>
              <w:t>本项目招标公告在《青海省招标投标网》、《青海项目信息网》、《中国采购与招标网》同时发布。</w:t>
            </w:r>
          </w:p>
        </w:tc>
      </w:tr>
    </w:tbl>
    <w:p w14:paraId="77DDA9E9">
      <w:pPr>
        <w:pStyle w:val="13"/>
        <w:rPr>
          <w:rFonts w:hint="eastAsia" w:ascii="宋体" w:hAnsi="宋体" w:eastAsia="宋体" w:cs="宋体"/>
          <w:color w:val="000000"/>
        </w:rPr>
      </w:pPr>
      <w:bookmarkStart w:id="17" w:name="_Toc444715734"/>
    </w:p>
    <w:p w14:paraId="69FE3BA5">
      <w:pPr>
        <w:pStyle w:val="23"/>
        <w:spacing w:before="0" w:after="0" w:line="360" w:lineRule="auto"/>
        <w:rPr>
          <w:rFonts w:hint="eastAsia" w:ascii="宋体" w:hAnsi="宋体" w:eastAsia="宋体" w:cs="宋体"/>
          <w:color w:val="000000"/>
          <w:lang w:val="zh-CN"/>
        </w:rPr>
      </w:pPr>
      <w:r>
        <w:rPr>
          <w:rFonts w:hint="eastAsia" w:ascii="宋体" w:hAnsi="宋体" w:eastAsia="宋体" w:cs="宋体"/>
          <w:color w:val="000000"/>
          <w:sz w:val="48"/>
        </w:rPr>
        <w:br w:type="page"/>
      </w:r>
      <w:bookmarkStart w:id="18" w:name="_Toc18270"/>
      <w:r>
        <w:rPr>
          <w:rFonts w:hint="eastAsia" w:ascii="宋体" w:hAnsi="宋体" w:eastAsia="宋体" w:cs="宋体"/>
          <w:color w:val="000000"/>
          <w:sz w:val="48"/>
        </w:rPr>
        <w:t>第三部分  磋商供应商须知</w:t>
      </w:r>
      <w:bookmarkEnd w:id="17"/>
      <w:bookmarkEnd w:id="18"/>
    </w:p>
    <w:p w14:paraId="53F30A7E">
      <w:pPr>
        <w:pStyle w:val="5"/>
        <w:rPr>
          <w:rFonts w:hint="eastAsia" w:ascii="宋体" w:hAnsi="宋体" w:eastAsia="宋体" w:cs="宋体"/>
          <w:b/>
          <w:color w:val="000000"/>
          <w:sz w:val="32"/>
          <w:szCs w:val="32"/>
        </w:rPr>
      </w:pPr>
      <w:bookmarkStart w:id="19" w:name="_Toc5151"/>
      <w:r>
        <w:rPr>
          <w:rFonts w:hint="eastAsia" w:ascii="宋体" w:hAnsi="宋体" w:eastAsia="宋体" w:cs="宋体"/>
          <w:b/>
          <w:color w:val="000000"/>
          <w:sz w:val="32"/>
          <w:szCs w:val="32"/>
        </w:rPr>
        <w:t>说明</w:t>
      </w:r>
      <w:bookmarkEnd w:id="19"/>
    </w:p>
    <w:p w14:paraId="7E165B5E">
      <w:pPr>
        <w:pStyle w:val="6"/>
        <w:numPr>
          <w:ilvl w:val="0"/>
          <w:numId w:val="4"/>
        </w:numPr>
        <w:spacing w:before="0" w:after="0" w:line="360" w:lineRule="auto"/>
        <w:rPr>
          <w:rFonts w:hint="eastAsia" w:ascii="宋体" w:hAnsi="宋体" w:eastAsia="宋体" w:cs="宋体"/>
          <w:b w:val="0"/>
          <w:color w:val="000000"/>
        </w:rPr>
      </w:pPr>
      <w:bookmarkStart w:id="20" w:name="_Toc20351"/>
      <w:bookmarkStart w:id="21" w:name="_Toc459377860"/>
      <w:bookmarkStart w:id="22" w:name="_Toc488691479"/>
      <w:bookmarkStart w:id="23" w:name="_Toc446427794"/>
      <w:bookmarkStart w:id="24" w:name="_Toc495570969"/>
      <w:r>
        <w:rPr>
          <w:rFonts w:hint="eastAsia" w:ascii="宋体" w:hAnsi="宋体" w:eastAsia="宋体" w:cs="宋体"/>
          <w:b w:val="0"/>
          <w:color w:val="000000"/>
        </w:rPr>
        <w:t>磋商内容及要求</w:t>
      </w:r>
      <w:bookmarkEnd w:id="20"/>
      <w:bookmarkEnd w:id="21"/>
      <w:bookmarkEnd w:id="22"/>
      <w:bookmarkEnd w:id="23"/>
      <w:bookmarkEnd w:id="24"/>
    </w:p>
    <w:p w14:paraId="4AC95B11">
      <w:pPr>
        <w:pStyle w:val="13"/>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本次采购依据采购单位的采购计划，仅适用于本竞争性磋商文件（以下简称“磋商文件”）中所叙述的项目。</w:t>
      </w:r>
    </w:p>
    <w:p w14:paraId="7FB8D646">
      <w:pPr>
        <w:pStyle w:val="6"/>
        <w:numPr>
          <w:ilvl w:val="0"/>
          <w:numId w:val="4"/>
        </w:numPr>
        <w:spacing w:before="0" w:after="0" w:line="360" w:lineRule="auto"/>
        <w:rPr>
          <w:rFonts w:hint="eastAsia" w:ascii="宋体" w:hAnsi="宋体" w:eastAsia="宋体" w:cs="宋体"/>
          <w:b w:val="0"/>
          <w:color w:val="000000"/>
        </w:rPr>
      </w:pPr>
      <w:bookmarkStart w:id="25" w:name="_Toc29867"/>
      <w:bookmarkStart w:id="26" w:name="_Toc488673614"/>
      <w:r>
        <w:rPr>
          <w:rFonts w:hint="eastAsia" w:ascii="宋体" w:hAnsi="宋体" w:eastAsia="宋体" w:cs="宋体"/>
          <w:b w:val="0"/>
          <w:color w:val="000000"/>
        </w:rPr>
        <w:t>采购方式、合格的磋商供应商</w:t>
      </w:r>
      <w:bookmarkEnd w:id="25"/>
      <w:bookmarkEnd w:id="26"/>
    </w:p>
    <w:p w14:paraId="77F75F9F">
      <w:pPr>
        <w:pStyle w:val="13"/>
        <w:numPr>
          <w:ilvl w:val="1"/>
          <w:numId w:val="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本次磋商采取竞争性磋商方式；</w:t>
      </w:r>
    </w:p>
    <w:p w14:paraId="11FC4D3E">
      <w:pPr>
        <w:pStyle w:val="13"/>
        <w:numPr>
          <w:ilvl w:val="1"/>
          <w:numId w:val="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合格的磋商供应商：</w:t>
      </w:r>
    </w:p>
    <w:p w14:paraId="598F7BDA">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bookmarkStart w:id="27" w:name="_Toc488673615"/>
      <w:r>
        <w:rPr>
          <w:rFonts w:hint="eastAsia" w:cs="宋体"/>
          <w:i w:val="0"/>
          <w:iCs w:val="0"/>
          <w:caps w:val="0"/>
          <w:color w:val="auto"/>
          <w:spacing w:val="0"/>
          <w:sz w:val="24"/>
          <w:szCs w:val="24"/>
          <w:highlight w:val="none"/>
          <w:lang w:val="en-US" w:eastAsia="zh-CN"/>
        </w:rPr>
        <w:t xml:space="preserve">1. </w:t>
      </w:r>
      <w:r>
        <w:rPr>
          <w:rFonts w:hint="eastAsia" w:ascii="宋体" w:hAnsi="宋体" w:eastAsia="宋体" w:cs="宋体"/>
          <w:i w:val="0"/>
          <w:iCs w:val="0"/>
          <w:caps w:val="0"/>
          <w:color w:val="auto"/>
          <w:spacing w:val="0"/>
          <w:sz w:val="24"/>
          <w:szCs w:val="24"/>
          <w:highlight w:val="none"/>
          <w:lang w:val="en-US" w:eastAsia="zh-CN"/>
        </w:rPr>
        <w:t>投标供应商应提供下列材料：</w:t>
      </w:r>
    </w:p>
    <w:p w14:paraId="3062D504">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1）供应商的营业执照等证明文件，自然人的身份证明。</w:t>
      </w:r>
    </w:p>
    <w:p w14:paraId="0749B1E6">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2）财务状况报告，依法缴纳税收和社会保障资金的相关材料。</w:t>
      </w:r>
    </w:p>
    <w:p w14:paraId="1D64CB52">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3）具备履行合同所必需的设备和专业技术能力的证明材料。</w:t>
      </w:r>
    </w:p>
    <w:p w14:paraId="77C28A20">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4）参加</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活动前3年内在经营活动中没有重大违法记录的书面声明。</w:t>
      </w:r>
    </w:p>
    <w:p w14:paraId="00CA44ED">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2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5）具备法律、行政法规规定的其他条件的证明材料。</w:t>
      </w:r>
    </w:p>
    <w:p w14:paraId="1CA62E66">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2.经信用中国（www.creditchina.gov.cn）、中国</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网（www.ccgp.gov.cn）等渠道查询后，列入失信被执行人、重大税收违法案件当事人名单、</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严重违法失信行为记录名单的，取消投标资格；（提供“信用中国、中国</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网”网站无任何不良记录的查询截图，时间为投标截止时间前</w:t>
      </w:r>
      <w:r>
        <w:rPr>
          <w:rFonts w:hint="eastAsia"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val="en-US" w:eastAsia="zh-CN"/>
        </w:rPr>
        <w:t xml:space="preserve">0天内） </w:t>
      </w:r>
      <w:r>
        <w:rPr>
          <w:rFonts w:hint="eastAsia" w:ascii="宋体" w:hAnsi="宋体" w:eastAsia="宋体" w:cs="宋体"/>
          <w:i w:val="0"/>
          <w:iCs w:val="0"/>
          <w:caps w:val="0"/>
          <w:color w:val="auto"/>
          <w:spacing w:val="0"/>
          <w:sz w:val="24"/>
          <w:szCs w:val="24"/>
          <w:highlight w:val="none"/>
        </w:rPr>
        <w:t> </w:t>
      </w:r>
    </w:p>
    <w:p w14:paraId="78F544C1">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3.单位负责人为同一人或者存在直接控股、管理关系的不同投标人，不得参加同一合同项下的</w:t>
      </w:r>
      <w:r>
        <w:rPr>
          <w:rFonts w:hint="eastAsia"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en-US" w:eastAsia="zh-CN"/>
        </w:rPr>
        <w:t>活动。否则，取消投标资格；</w:t>
      </w:r>
    </w:p>
    <w:p w14:paraId="276C760E">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4.为本采购项目提供整体设计、规范编制或者项目管理、监理、检测等服务的</w:t>
      </w:r>
      <w:r>
        <w:rPr>
          <w:rFonts w:hint="eastAsia" w:cs="宋体"/>
          <w:i w:val="0"/>
          <w:iCs w:val="0"/>
          <w:caps w:val="0"/>
          <w:color w:val="auto"/>
          <w:spacing w:val="0"/>
          <w:sz w:val="24"/>
          <w:szCs w:val="24"/>
          <w:highlight w:val="none"/>
          <w:lang w:val="en-US" w:eastAsia="zh-CN"/>
        </w:rPr>
        <w:t>供</w:t>
      </w:r>
      <w:r>
        <w:rPr>
          <w:rFonts w:hint="eastAsia" w:ascii="宋体" w:hAnsi="宋体" w:eastAsia="宋体" w:cs="宋体"/>
          <w:i w:val="0"/>
          <w:iCs w:val="0"/>
          <w:caps w:val="0"/>
          <w:color w:val="auto"/>
          <w:spacing w:val="0"/>
          <w:sz w:val="24"/>
          <w:szCs w:val="24"/>
          <w:highlight w:val="none"/>
          <w:lang w:val="en-US" w:eastAsia="zh-CN"/>
        </w:rPr>
        <w:t xml:space="preserve">应商，不得再参加该采购项目的其他采购活动； </w:t>
      </w:r>
    </w:p>
    <w:p w14:paraId="704DFB45">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5.本项目不接受供应商以联合体方式进行投标。</w:t>
      </w:r>
    </w:p>
    <w:p w14:paraId="7C2ED14E">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b w:val="0"/>
          <w:color w:val="000000"/>
        </w:rPr>
      </w:pPr>
      <w:r>
        <w:rPr>
          <w:rFonts w:hint="eastAsia" w:ascii="宋体" w:hAnsi="宋体" w:eastAsia="宋体" w:cs="宋体"/>
          <w:i w:val="0"/>
          <w:iCs w:val="0"/>
          <w:caps w:val="0"/>
          <w:color w:val="auto"/>
          <w:spacing w:val="0"/>
          <w:sz w:val="24"/>
          <w:szCs w:val="24"/>
          <w:highlight w:val="none"/>
          <w:lang w:val="en-US" w:eastAsia="zh-CN"/>
        </w:rPr>
        <w:t>6.落实采购政策需满足的资格要求：本项目专门面向中小企业采购。</w:t>
      </w:r>
    </w:p>
    <w:p w14:paraId="3F90AB6C">
      <w:pPr>
        <w:pStyle w:val="6"/>
        <w:numPr>
          <w:ilvl w:val="0"/>
          <w:numId w:val="4"/>
        </w:numPr>
        <w:spacing w:before="0" w:after="0" w:line="360" w:lineRule="auto"/>
        <w:rPr>
          <w:rFonts w:hint="eastAsia" w:ascii="宋体" w:hAnsi="宋体" w:eastAsia="宋体" w:cs="宋体"/>
          <w:b w:val="0"/>
          <w:color w:val="000000"/>
        </w:rPr>
      </w:pPr>
      <w:bookmarkStart w:id="28" w:name="_Toc2737"/>
      <w:r>
        <w:rPr>
          <w:rFonts w:hint="eastAsia" w:ascii="宋体" w:hAnsi="宋体" w:eastAsia="宋体" w:cs="宋体"/>
          <w:b w:val="0"/>
          <w:color w:val="000000"/>
        </w:rPr>
        <w:t>磋商费用</w:t>
      </w:r>
      <w:bookmarkEnd w:id="27"/>
      <w:bookmarkEnd w:id="28"/>
    </w:p>
    <w:p w14:paraId="34DC02E7">
      <w:pPr>
        <w:pStyle w:val="13"/>
        <w:spacing w:line="360" w:lineRule="auto"/>
        <w:ind w:firstLine="480" w:firstLineChars="200"/>
        <w:rPr>
          <w:rFonts w:hint="eastAsia" w:ascii="宋体" w:hAnsi="宋体" w:eastAsia="宋体" w:cs="宋体"/>
          <w:b/>
          <w:color w:val="000000"/>
          <w:sz w:val="24"/>
          <w:szCs w:val="28"/>
        </w:rPr>
      </w:pPr>
      <w:r>
        <w:rPr>
          <w:rFonts w:hint="eastAsia" w:ascii="宋体" w:hAnsi="宋体" w:eastAsia="宋体" w:cs="宋体"/>
          <w:color w:val="000000"/>
          <w:sz w:val="24"/>
          <w:szCs w:val="28"/>
        </w:rPr>
        <w:t>磋商供应商应自愿承担与参加本次磋商有关的费用。采购代理机构对磋商供应商发生的费用不承担任何责任。</w:t>
      </w:r>
    </w:p>
    <w:p w14:paraId="2EBBE6AD">
      <w:pPr>
        <w:pStyle w:val="5"/>
        <w:rPr>
          <w:rFonts w:hint="eastAsia" w:ascii="宋体" w:hAnsi="宋体" w:eastAsia="宋体" w:cs="宋体"/>
          <w:b/>
          <w:color w:val="000000"/>
          <w:sz w:val="32"/>
          <w:szCs w:val="32"/>
        </w:rPr>
      </w:pPr>
      <w:bookmarkStart w:id="29" w:name="_Toc21933"/>
      <w:r>
        <w:rPr>
          <w:rFonts w:hint="eastAsia" w:ascii="宋体" w:hAnsi="宋体" w:eastAsia="宋体" w:cs="宋体"/>
          <w:b/>
          <w:color w:val="000000"/>
          <w:sz w:val="32"/>
          <w:szCs w:val="32"/>
        </w:rPr>
        <w:t>磋商文件说明</w:t>
      </w:r>
      <w:bookmarkEnd w:id="29"/>
    </w:p>
    <w:p w14:paraId="6F29A383">
      <w:pPr>
        <w:pStyle w:val="6"/>
        <w:numPr>
          <w:ilvl w:val="0"/>
          <w:numId w:val="4"/>
        </w:numPr>
        <w:spacing w:before="0" w:after="0" w:line="360" w:lineRule="auto"/>
        <w:rPr>
          <w:rFonts w:hint="eastAsia" w:ascii="宋体" w:hAnsi="宋体" w:eastAsia="宋体" w:cs="宋体"/>
          <w:b w:val="0"/>
          <w:color w:val="000000"/>
        </w:rPr>
      </w:pPr>
      <w:bookmarkStart w:id="30" w:name="_Toc488673617"/>
      <w:bookmarkStart w:id="31" w:name="_Toc13441"/>
      <w:r>
        <w:rPr>
          <w:rFonts w:hint="eastAsia" w:ascii="宋体" w:hAnsi="宋体" w:eastAsia="宋体" w:cs="宋体"/>
          <w:b w:val="0"/>
          <w:color w:val="000000"/>
        </w:rPr>
        <w:t>磋商文件的</w:t>
      </w:r>
      <w:bookmarkEnd w:id="30"/>
      <w:r>
        <w:rPr>
          <w:rFonts w:hint="eastAsia" w:ascii="宋体" w:hAnsi="宋体" w:eastAsia="宋体" w:cs="宋体"/>
          <w:b w:val="0"/>
          <w:color w:val="000000"/>
        </w:rPr>
        <w:t>构成</w:t>
      </w:r>
      <w:bookmarkEnd w:id="31"/>
    </w:p>
    <w:p w14:paraId="23899CB9">
      <w:pPr>
        <w:pStyle w:val="13"/>
        <w:numPr>
          <w:ilvl w:val="1"/>
          <w:numId w:val="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磋商文件包括：</w:t>
      </w:r>
    </w:p>
    <w:p w14:paraId="30A889E4">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磋商邀请；</w:t>
      </w:r>
    </w:p>
    <w:p w14:paraId="67FA8F47">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磋商供应商须知前附表；</w:t>
      </w:r>
    </w:p>
    <w:p w14:paraId="5C46FFFF">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磋商供应商须知；</w:t>
      </w:r>
    </w:p>
    <w:p w14:paraId="3CFE3E6E">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青海省采购合同文本；</w:t>
      </w:r>
    </w:p>
    <w:p w14:paraId="179F92AA">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磋商响应文件格式；</w:t>
      </w:r>
    </w:p>
    <w:p w14:paraId="6F9B465F">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采购项目服务要求；</w:t>
      </w:r>
    </w:p>
    <w:p w14:paraId="2467BB31">
      <w:pPr>
        <w:pStyle w:val="13"/>
        <w:numPr>
          <w:ilvl w:val="0"/>
          <w:numId w:val="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采购过程中发生的澄清、变更和补充文件；</w:t>
      </w:r>
    </w:p>
    <w:p w14:paraId="3F7289DE">
      <w:pPr>
        <w:pStyle w:val="13"/>
        <w:numPr>
          <w:ilvl w:val="1"/>
          <w:numId w:val="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认真阅读磋商文件中列示的事项、格式、条款和要求等内容。如果磋商供应商未按磋商文件要求提交全部资料，或者对磋商文件未作出实质性响应的，根据相关法规要求，此类磋商将被拒绝（视为无效磋商）。</w:t>
      </w:r>
    </w:p>
    <w:p w14:paraId="6F50B8D4">
      <w:pPr>
        <w:pStyle w:val="6"/>
        <w:numPr>
          <w:ilvl w:val="0"/>
          <w:numId w:val="4"/>
        </w:numPr>
        <w:spacing w:before="0" w:after="0" w:line="360" w:lineRule="auto"/>
        <w:rPr>
          <w:rFonts w:hint="eastAsia" w:ascii="宋体" w:hAnsi="宋体" w:eastAsia="宋体" w:cs="宋体"/>
          <w:b w:val="0"/>
          <w:color w:val="000000"/>
        </w:rPr>
      </w:pPr>
      <w:bookmarkStart w:id="32" w:name="_Toc488673618"/>
      <w:bookmarkStart w:id="33" w:name="_Toc25562"/>
      <w:r>
        <w:rPr>
          <w:rFonts w:hint="eastAsia" w:ascii="宋体" w:hAnsi="宋体" w:eastAsia="宋体" w:cs="宋体"/>
          <w:b w:val="0"/>
          <w:color w:val="000000"/>
        </w:rPr>
        <w:t>磋商文件、磋商活动和成交结果的质疑</w:t>
      </w:r>
      <w:bookmarkEnd w:id="32"/>
      <w:bookmarkEnd w:id="33"/>
    </w:p>
    <w:p w14:paraId="6195FAAE">
      <w:pPr>
        <w:pStyle w:val="13"/>
        <w:numPr>
          <w:ilvl w:val="1"/>
          <w:numId w:val="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认为磋商文件、采购过程和成交结果使自己的权益受到损害的，可以在知道或者应知其权益受到损害之日起7个工作日内以书面形式（如信件、传真等）向采购人或者采购代理机构提出质疑，不接受匿名质疑。潜在供应商已依法获取其可质疑的磋商文件的，可以对该文件提出质疑，对磋商文件提出质疑的，应当在获取磋商文件或者磋商文件公告期限届满之日起7个工作日内提出。供应商须在法定质疑期内一次性提出针对同一采购程序环节的质疑。采购人或采购代理机构在收到书面质疑函后7个工作日内作出答复。</w:t>
      </w:r>
    </w:p>
    <w:p w14:paraId="09661CB4">
      <w:pPr>
        <w:pStyle w:val="13"/>
        <w:numPr>
          <w:ilvl w:val="1"/>
          <w:numId w:val="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参与采购活动的磋商供应商对评审过程或者结果提出质疑的，采购人或采购代理机构可以组织原评审委员会协助处理质疑事项，并依据评审委员会出具的意见进行答复。质疑事项处理完成后，采购人或采购代理机构应按照规定填写《青海省政府采购磋商供应商质疑处理情况表》，并在15日内报同级采购监督管理部门备案。</w:t>
      </w:r>
    </w:p>
    <w:p w14:paraId="040649AD">
      <w:pPr>
        <w:pStyle w:val="13"/>
        <w:numPr>
          <w:ilvl w:val="1"/>
          <w:numId w:val="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质疑时效期间的计算</w:t>
      </w:r>
    </w:p>
    <w:p w14:paraId="24B44DEB">
      <w:pPr>
        <w:pStyle w:val="13"/>
        <w:numPr>
          <w:ilvl w:val="0"/>
          <w:numId w:val="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对可以质疑的磋商文件提出质疑的，为收到磋商文件之日或磋商文件公告期限届满之日；</w:t>
      </w:r>
    </w:p>
    <w:p w14:paraId="46407300">
      <w:pPr>
        <w:pStyle w:val="13"/>
        <w:numPr>
          <w:ilvl w:val="0"/>
          <w:numId w:val="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对磋商过程提出质疑的，为磋商程序各环节结束之日；</w:t>
      </w:r>
    </w:p>
    <w:p w14:paraId="2D3FDA01">
      <w:pPr>
        <w:pStyle w:val="13"/>
        <w:numPr>
          <w:ilvl w:val="0"/>
          <w:numId w:val="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对成交结果提出质疑的，为成交公告期限届满之日。</w:t>
      </w:r>
    </w:p>
    <w:p w14:paraId="2218E1B9">
      <w:pPr>
        <w:pStyle w:val="6"/>
        <w:numPr>
          <w:ilvl w:val="0"/>
          <w:numId w:val="4"/>
        </w:numPr>
        <w:spacing w:before="0" w:after="0" w:line="360" w:lineRule="auto"/>
        <w:rPr>
          <w:rFonts w:hint="eastAsia" w:ascii="宋体" w:hAnsi="宋体" w:eastAsia="宋体" w:cs="宋体"/>
          <w:b w:val="0"/>
          <w:color w:val="000000"/>
        </w:rPr>
      </w:pPr>
      <w:bookmarkStart w:id="34" w:name="_Toc4288"/>
      <w:bookmarkStart w:id="35" w:name="_Toc488673619"/>
      <w:r>
        <w:rPr>
          <w:rFonts w:hint="eastAsia" w:ascii="宋体" w:hAnsi="宋体" w:eastAsia="宋体" w:cs="宋体"/>
          <w:b w:val="0"/>
          <w:color w:val="000000"/>
        </w:rPr>
        <w:t>磋商文件的修改</w:t>
      </w:r>
      <w:bookmarkEnd w:id="34"/>
      <w:bookmarkEnd w:id="35"/>
    </w:p>
    <w:p w14:paraId="3B88FF47">
      <w:pPr>
        <w:pStyle w:val="13"/>
        <w:numPr>
          <w:ilvl w:val="1"/>
          <w:numId w:val="10"/>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在磋商截止期前，采购单位或采购代理机构可对磋商文件进行必要的修改或者澄清；</w:t>
      </w:r>
    </w:p>
    <w:p w14:paraId="55920DD1">
      <w:pPr>
        <w:pStyle w:val="13"/>
        <w:numPr>
          <w:ilvl w:val="1"/>
          <w:numId w:val="10"/>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采购代理机构对已发出的磋商文件进行必要的澄清或者修改的，澄清或者修改的内容可能影响磋商响应文件编制的，在磋商文件要求提交磋商响应文件截止时间5日前，在青海项目信息网、</w:t>
      </w:r>
      <w:r>
        <w:rPr>
          <w:rFonts w:hint="eastAsia" w:hAnsi="宋体" w:eastAsia="宋体" w:cs="宋体"/>
          <w:color w:val="000000"/>
          <w:sz w:val="24"/>
          <w:lang w:eastAsia="zh-CN"/>
        </w:rPr>
        <w:t>青海省电子招投标公共服务平台</w:t>
      </w:r>
      <w:r>
        <w:rPr>
          <w:rFonts w:hint="eastAsia" w:ascii="宋体" w:hAnsi="宋体" w:eastAsia="宋体" w:cs="宋体"/>
          <w:color w:val="000000"/>
          <w:sz w:val="24"/>
          <w:szCs w:val="28"/>
        </w:rPr>
        <w:t>等媒体上发布公告。不足5日的，顺延提交磋商响应文件的截止时间。该澄清或者修改的内容为磋商文件的组成部分；</w:t>
      </w:r>
    </w:p>
    <w:p w14:paraId="67B79448">
      <w:pPr>
        <w:pStyle w:val="13"/>
        <w:numPr>
          <w:ilvl w:val="1"/>
          <w:numId w:val="10"/>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在磋商截止时间前，采购单位或采购代理机构可以视采购具体情况，延长磋商截止时间和磋商时间，并在磋商文件要求提交磋商响应文件的截止时间3日前，将变更时间以书面形式通知所有购买了磋商文件的潜在磋商供应商，同时在发布本次磋商公告的网站发布变更公告。</w:t>
      </w:r>
    </w:p>
    <w:p w14:paraId="5E521BF3">
      <w:pPr>
        <w:pStyle w:val="5"/>
        <w:rPr>
          <w:rFonts w:hint="eastAsia" w:ascii="宋体" w:hAnsi="宋体" w:eastAsia="宋体" w:cs="宋体"/>
          <w:b/>
          <w:color w:val="000000"/>
          <w:sz w:val="32"/>
          <w:szCs w:val="32"/>
        </w:rPr>
      </w:pPr>
      <w:bookmarkStart w:id="36" w:name="_Toc15851"/>
      <w:r>
        <w:rPr>
          <w:rFonts w:hint="eastAsia" w:ascii="宋体" w:hAnsi="宋体" w:eastAsia="宋体" w:cs="宋体"/>
          <w:b/>
          <w:color w:val="000000"/>
          <w:sz w:val="32"/>
          <w:szCs w:val="32"/>
        </w:rPr>
        <w:t>磋商响应文件的编写</w:t>
      </w:r>
      <w:bookmarkEnd w:id="36"/>
    </w:p>
    <w:p w14:paraId="5A7169C3">
      <w:pPr>
        <w:pStyle w:val="6"/>
        <w:numPr>
          <w:ilvl w:val="0"/>
          <w:numId w:val="4"/>
        </w:numPr>
        <w:spacing w:before="0" w:after="0" w:line="360" w:lineRule="auto"/>
        <w:rPr>
          <w:rFonts w:hint="eastAsia" w:ascii="宋体" w:hAnsi="宋体" w:eastAsia="宋体" w:cs="宋体"/>
          <w:b w:val="0"/>
          <w:color w:val="000000"/>
        </w:rPr>
      </w:pPr>
      <w:bookmarkStart w:id="37" w:name="_Toc488673621"/>
      <w:bookmarkStart w:id="38" w:name="_Toc11462"/>
      <w:r>
        <w:rPr>
          <w:rFonts w:hint="eastAsia" w:ascii="宋体" w:hAnsi="宋体" w:eastAsia="宋体" w:cs="宋体"/>
          <w:b w:val="0"/>
          <w:color w:val="000000"/>
        </w:rPr>
        <w:t>磋商响应文件的语言及度量衡单位</w:t>
      </w:r>
      <w:bookmarkEnd w:id="37"/>
      <w:bookmarkEnd w:id="38"/>
    </w:p>
    <w:p w14:paraId="3FAB7FE9">
      <w:pPr>
        <w:pStyle w:val="13"/>
        <w:numPr>
          <w:ilvl w:val="1"/>
          <w:numId w:val="1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磋商供应商提交的磋商响应文件以及磋商供应商与采购代理机构就此磋商发生的所有来往函电均应使用简体中文；</w:t>
      </w:r>
    </w:p>
    <w:p w14:paraId="7B84D01C">
      <w:pPr>
        <w:pStyle w:val="13"/>
        <w:numPr>
          <w:ilvl w:val="1"/>
          <w:numId w:val="1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除磋商文件中另有规定外，磋商文件所使用的度量衡单位，均须采用国家法定计量单位；</w:t>
      </w:r>
    </w:p>
    <w:p w14:paraId="271BD453">
      <w:pPr>
        <w:pStyle w:val="13"/>
        <w:numPr>
          <w:ilvl w:val="1"/>
          <w:numId w:val="1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附有外文资料的须翻译成中文，并加盖磋商供应商公章，如果翻译的中文资料与外文资料出现差异与矛盾时，以中文为准，其准确性由磋商供应商负责。</w:t>
      </w:r>
    </w:p>
    <w:p w14:paraId="4650BE9C">
      <w:pPr>
        <w:pStyle w:val="6"/>
        <w:numPr>
          <w:ilvl w:val="0"/>
          <w:numId w:val="4"/>
        </w:numPr>
        <w:spacing w:before="0" w:after="0" w:line="360" w:lineRule="auto"/>
        <w:rPr>
          <w:rFonts w:hint="eastAsia" w:ascii="宋体" w:hAnsi="宋体" w:eastAsia="宋体" w:cs="宋体"/>
          <w:b w:val="0"/>
          <w:color w:val="000000"/>
        </w:rPr>
      </w:pPr>
      <w:bookmarkStart w:id="39" w:name="_Toc488673622"/>
      <w:bookmarkStart w:id="40" w:name="_Toc1872"/>
      <w:r>
        <w:rPr>
          <w:rFonts w:hint="eastAsia" w:ascii="宋体" w:hAnsi="宋体" w:eastAsia="宋体" w:cs="宋体"/>
          <w:b w:val="0"/>
          <w:color w:val="000000"/>
        </w:rPr>
        <w:t>磋商报价及币种</w:t>
      </w:r>
      <w:bookmarkEnd w:id="39"/>
      <w:bookmarkEnd w:id="40"/>
    </w:p>
    <w:p w14:paraId="1D320E3B">
      <w:pPr>
        <w:pStyle w:val="13"/>
        <w:numPr>
          <w:ilvl w:val="1"/>
          <w:numId w:val="1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报价为磋商总价。磋商报价必须包括：完成本服务内容可能发生的各项费用，如人员工资、交通、设备、利润、税收、招标代理费以及所有有关的管理成本和其他不可预见费等全部费用。（说明：具体内容应根据项目特点实事求是的填写）</w:t>
      </w:r>
    </w:p>
    <w:p w14:paraId="6E0C229C">
      <w:pPr>
        <w:pStyle w:val="13"/>
        <w:numPr>
          <w:ilvl w:val="1"/>
          <w:numId w:val="1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磋商报价应注明有效期，有效期应与磋商有效期一致；</w:t>
      </w:r>
    </w:p>
    <w:p w14:paraId="4A380077">
      <w:pPr>
        <w:pStyle w:val="13"/>
        <w:numPr>
          <w:ilvl w:val="1"/>
          <w:numId w:val="1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磋商供应商应根据磋商文件规定的格式完整填写所有内容，并保证所提供的全部资料真实可靠，自愿承担相应责任；</w:t>
      </w:r>
    </w:p>
    <w:p w14:paraId="4D0DF9D6">
      <w:pPr>
        <w:pStyle w:val="13"/>
        <w:numPr>
          <w:ilvl w:val="1"/>
          <w:numId w:val="1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磋商报价为闭口价，即成交后在合同有效期内价格不变；</w:t>
      </w:r>
    </w:p>
    <w:p w14:paraId="335A6BFC">
      <w:pPr>
        <w:pStyle w:val="13"/>
        <w:numPr>
          <w:ilvl w:val="1"/>
          <w:numId w:val="1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磋商币种为人民币。</w:t>
      </w:r>
    </w:p>
    <w:p w14:paraId="14582D78">
      <w:pPr>
        <w:pStyle w:val="6"/>
        <w:numPr>
          <w:ilvl w:val="0"/>
          <w:numId w:val="4"/>
        </w:numPr>
        <w:spacing w:before="0" w:after="0" w:line="360" w:lineRule="auto"/>
        <w:rPr>
          <w:rFonts w:hint="eastAsia" w:ascii="宋体" w:hAnsi="宋体" w:eastAsia="宋体" w:cs="宋体"/>
          <w:b w:val="0"/>
          <w:color w:val="000000"/>
        </w:rPr>
      </w:pPr>
      <w:bookmarkStart w:id="41" w:name="_Toc488673623"/>
      <w:bookmarkStart w:id="42" w:name="_Toc9172"/>
      <w:r>
        <w:rPr>
          <w:rFonts w:hint="eastAsia" w:ascii="宋体" w:hAnsi="宋体" w:eastAsia="宋体" w:cs="宋体"/>
          <w:b w:val="0"/>
          <w:color w:val="000000"/>
        </w:rPr>
        <w:t>磋商保证金</w:t>
      </w:r>
      <w:bookmarkEnd w:id="41"/>
      <w:bookmarkEnd w:id="42"/>
    </w:p>
    <w:p w14:paraId="4A31DE68">
      <w:pPr>
        <w:pStyle w:val="13"/>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磋商供应商应将磋商保证金缴纳证明作为磋商文件的内容一并提供。缴纳的磋商保证金用于因磋商供应商的行为使本次磋商活动受到损失的抵项；</w:t>
      </w:r>
    </w:p>
    <w:p w14:paraId="67783C61">
      <w:pPr>
        <w:pStyle w:val="13"/>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磋商供应商须在磋商截止期前按以下要求交纳磋商保证金：</w:t>
      </w:r>
    </w:p>
    <w:p w14:paraId="3F1E53AA">
      <w:pPr>
        <w:widowControl/>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磋商</w:t>
      </w:r>
      <w:r>
        <w:rPr>
          <w:rFonts w:hint="eastAsia" w:ascii="宋体" w:hAnsi="宋体" w:eastAsia="宋体" w:cs="宋体"/>
          <w:color w:val="000000"/>
          <w:sz w:val="24"/>
        </w:rPr>
        <w:t>保证金的金额（人民币）</w:t>
      </w:r>
      <w:bookmarkStart w:id="43" w:name="_Toc421873480"/>
      <w:r>
        <w:rPr>
          <w:rFonts w:hint="eastAsia" w:ascii="宋体" w:hAnsi="宋体" w:eastAsia="宋体" w:cs="宋体"/>
          <w:color w:val="000000"/>
          <w:sz w:val="24"/>
        </w:rPr>
        <w:t>：</w:t>
      </w:r>
      <w:bookmarkEnd w:id="43"/>
      <w:bookmarkStart w:id="44" w:name="_Toc421873483"/>
      <w:r>
        <w:rPr>
          <w:rFonts w:hint="eastAsia" w:ascii="宋体" w:hAnsi="宋体" w:eastAsia="宋体" w:cs="宋体"/>
          <w:color w:val="000000"/>
          <w:kern w:val="0"/>
          <w:sz w:val="24"/>
        </w:rPr>
        <w:t>人民币</w:t>
      </w:r>
      <w:r>
        <w:rPr>
          <w:rFonts w:hint="eastAsia" w:ascii="宋体" w:hAnsi="宋体" w:cs="宋体"/>
          <w:color w:val="000000"/>
          <w:kern w:val="0"/>
          <w:sz w:val="24"/>
          <w:lang w:val="en-US" w:eastAsia="zh-CN"/>
        </w:rPr>
        <w:t>10000</w:t>
      </w:r>
      <w:r>
        <w:rPr>
          <w:rFonts w:hint="eastAsia" w:ascii="宋体" w:hAnsi="宋体" w:eastAsia="宋体" w:cs="宋体"/>
          <w:color w:val="000000"/>
          <w:kern w:val="0"/>
          <w:sz w:val="24"/>
          <w:lang w:val="en-US" w:eastAsia="zh-CN"/>
        </w:rPr>
        <w:t>.00元整（大写：</w:t>
      </w:r>
      <w:r>
        <w:rPr>
          <w:rFonts w:hint="eastAsia" w:ascii="宋体" w:hAnsi="宋体" w:cs="宋体"/>
          <w:color w:val="000000"/>
          <w:kern w:val="0"/>
          <w:sz w:val="24"/>
          <w:lang w:val="en-US" w:eastAsia="zh-CN"/>
        </w:rPr>
        <w:t>壹万元整</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lang w:val="zh-CN"/>
        </w:rPr>
        <w:t>；</w:t>
      </w:r>
    </w:p>
    <w:p w14:paraId="2E57ABFE">
      <w:pPr>
        <w:widowControl/>
        <w:adjustRightInd w:val="0"/>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磋商供应商可以采用现金支票、银行汇票、银行保函等非现金形式交纳磋商保证金（注明此次项目磋商文件编号，例：</w:t>
      </w:r>
      <w:r>
        <w:rPr>
          <w:rFonts w:hint="eastAsia" w:ascii="宋体" w:hAnsi="宋体" w:cs="宋体"/>
          <w:color w:val="000000"/>
          <w:kern w:val="0"/>
          <w:sz w:val="24"/>
          <w:lang w:eastAsia="zh-CN"/>
        </w:rPr>
        <w:t>青海海际竞磋（服务）2025-131</w:t>
      </w:r>
      <w:r>
        <w:rPr>
          <w:rFonts w:hint="eastAsia" w:ascii="宋体" w:hAnsi="宋体" w:eastAsia="宋体" w:cs="宋体"/>
          <w:color w:val="000000"/>
          <w:kern w:val="0"/>
          <w:sz w:val="24"/>
        </w:rPr>
        <w:t>）；提交账号如下：</w:t>
      </w:r>
      <w:bookmarkEnd w:id="44"/>
    </w:p>
    <w:p w14:paraId="73A8DE2B">
      <w:pPr>
        <w:widowControl/>
        <w:adjustRightInd w:val="0"/>
        <w:snapToGrid w:val="0"/>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开户行：</w:t>
      </w:r>
      <w:r>
        <w:rPr>
          <w:rFonts w:hint="eastAsia" w:ascii="宋体" w:hAnsi="宋体" w:cs="宋体"/>
          <w:color w:val="000000"/>
          <w:kern w:val="0"/>
          <w:sz w:val="24"/>
          <w:lang w:eastAsia="zh-CN"/>
        </w:rPr>
        <w:t>中信银行股份有限公司西宁海湖新区支行</w:t>
      </w:r>
    </w:p>
    <w:p w14:paraId="0B6F18F9">
      <w:pPr>
        <w:widowControl/>
        <w:adjustRightInd w:val="0"/>
        <w:snapToGrid w:val="0"/>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账户名：</w:t>
      </w:r>
      <w:r>
        <w:rPr>
          <w:rFonts w:hint="eastAsia" w:ascii="宋体" w:hAnsi="宋体" w:cs="宋体"/>
          <w:color w:val="000000"/>
          <w:kern w:val="0"/>
          <w:sz w:val="24"/>
          <w:lang w:eastAsia="zh-CN"/>
        </w:rPr>
        <w:t>青海海际项目咨询管理有限公司</w:t>
      </w:r>
    </w:p>
    <w:p w14:paraId="717F6C7F">
      <w:pPr>
        <w:widowControl/>
        <w:adjustRightInd w:val="0"/>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账  号：</w:t>
      </w:r>
      <w:r>
        <w:rPr>
          <w:rFonts w:hint="eastAsia" w:ascii="宋体" w:hAnsi="宋体" w:cs="宋体"/>
          <w:color w:val="000000"/>
          <w:kern w:val="0"/>
          <w:sz w:val="24"/>
          <w:lang w:eastAsia="zh-CN"/>
        </w:rPr>
        <w:t>8112801013700034824</w:t>
      </w:r>
      <w:r>
        <w:rPr>
          <w:rFonts w:hint="eastAsia" w:ascii="宋体" w:hAnsi="宋体" w:eastAsia="宋体" w:cs="宋体"/>
          <w:color w:val="000000"/>
          <w:kern w:val="0"/>
          <w:sz w:val="24"/>
        </w:rPr>
        <w:t>（开户行号：</w:t>
      </w:r>
      <w:r>
        <w:rPr>
          <w:rFonts w:hint="eastAsia" w:ascii="宋体" w:hAnsi="宋体" w:cs="宋体"/>
          <w:color w:val="000000"/>
          <w:kern w:val="0"/>
          <w:sz w:val="24"/>
          <w:lang w:eastAsia="zh-CN"/>
        </w:rPr>
        <w:t>302851059087</w:t>
      </w:r>
      <w:r>
        <w:rPr>
          <w:rFonts w:hint="eastAsia" w:ascii="宋体" w:hAnsi="宋体" w:eastAsia="宋体" w:cs="宋体"/>
          <w:color w:val="000000"/>
          <w:kern w:val="0"/>
          <w:sz w:val="24"/>
        </w:rPr>
        <w:t>）</w:t>
      </w:r>
    </w:p>
    <w:p w14:paraId="6113A045">
      <w:pPr>
        <w:pStyle w:val="13"/>
        <w:spacing w:line="360" w:lineRule="auto"/>
        <w:ind w:left="141" w:leftChars="67" w:firstLine="354" w:firstLineChars="147"/>
        <w:rPr>
          <w:rFonts w:hint="eastAsia" w:ascii="宋体" w:hAnsi="宋体" w:eastAsia="宋体" w:cs="宋体"/>
          <w:b/>
          <w:color w:val="000000"/>
          <w:sz w:val="24"/>
          <w:szCs w:val="24"/>
        </w:rPr>
      </w:pPr>
      <w:r>
        <w:rPr>
          <w:rFonts w:hint="eastAsia" w:ascii="宋体" w:hAnsi="宋体" w:eastAsia="宋体" w:cs="宋体"/>
          <w:b/>
          <w:bCs/>
          <w:color w:val="000000"/>
          <w:sz w:val="24"/>
          <w:lang w:val="zh-CN"/>
        </w:rPr>
        <w:t>磋商供应商在磋商截止期前，以银行到账时间为准。</w:t>
      </w:r>
    </w:p>
    <w:p w14:paraId="4CD7BCEE">
      <w:pPr>
        <w:pStyle w:val="13"/>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磋商保证金应当以电汇、支票、汇票、本票或者金融机构、担保机构出具的保函等非现金形式提交，通过银行转账的，必须从磋商供应商基本账户直接汇（转）入采购代理机构指定账户；</w:t>
      </w:r>
    </w:p>
    <w:p w14:paraId="418DD59C">
      <w:pPr>
        <w:pStyle w:val="13"/>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未按磋商文件要求在规定时间前交纳规定数额磋商保证金的磋商将被拒绝；</w:t>
      </w:r>
    </w:p>
    <w:p w14:paraId="3688C4E7">
      <w:pPr>
        <w:pStyle w:val="13"/>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未成交磋商供应商的磋商保证金自成交通知书发出之日起5个工作日内全额无息退还（不退现金）；成交磋商供应商的磋商保证金，自采购合同签订之日起5个工作日内全额无息退还（不退现金）；</w:t>
      </w:r>
    </w:p>
    <w:p w14:paraId="3F508522">
      <w:pPr>
        <w:pStyle w:val="13"/>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下列任何情况发生时，磋商保证金将不予退还：</w:t>
      </w:r>
    </w:p>
    <w:p w14:paraId="3964DD79">
      <w:pPr>
        <w:pStyle w:val="13"/>
        <w:numPr>
          <w:ilvl w:val="0"/>
          <w:numId w:val="1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磋商供应商在递交磋商响应文件的截止时间前未到达现场并且没有以书面形式如信函、传真等告知采购代理机构要撤其磋商的；</w:t>
      </w:r>
    </w:p>
    <w:p w14:paraId="764CC1CF">
      <w:pPr>
        <w:pStyle w:val="13"/>
        <w:numPr>
          <w:ilvl w:val="0"/>
          <w:numId w:val="1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成交磋商供应商在规定期限内未能按规定签订合同或未按规定缴纳成交服务费；</w:t>
      </w:r>
    </w:p>
    <w:p w14:paraId="41BD4D0A">
      <w:pPr>
        <w:pStyle w:val="13"/>
        <w:numPr>
          <w:ilvl w:val="0"/>
          <w:numId w:val="1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提供虚假材料谋取成交的；</w:t>
      </w:r>
    </w:p>
    <w:p w14:paraId="1FF3D124">
      <w:pPr>
        <w:pStyle w:val="13"/>
        <w:numPr>
          <w:ilvl w:val="0"/>
          <w:numId w:val="1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将成交项目转让给他人，或者在磋商响应文件中未说明，将成交项目分包给他人的；</w:t>
      </w:r>
    </w:p>
    <w:p w14:paraId="2175BCD6">
      <w:pPr>
        <w:pStyle w:val="13"/>
        <w:numPr>
          <w:ilvl w:val="0"/>
          <w:numId w:val="1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拒绝履行合同义务的；</w:t>
      </w:r>
    </w:p>
    <w:p w14:paraId="33E13B53">
      <w:pPr>
        <w:pStyle w:val="13"/>
        <w:numPr>
          <w:ilvl w:val="0"/>
          <w:numId w:val="1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法律、法规规定的其他情形。</w:t>
      </w:r>
    </w:p>
    <w:p w14:paraId="13193E8C">
      <w:pPr>
        <w:pStyle w:val="6"/>
        <w:numPr>
          <w:ilvl w:val="0"/>
          <w:numId w:val="4"/>
        </w:numPr>
        <w:spacing w:before="0" w:after="0" w:line="360" w:lineRule="auto"/>
        <w:rPr>
          <w:rFonts w:hint="eastAsia" w:ascii="宋体" w:hAnsi="宋体" w:eastAsia="宋体" w:cs="宋体"/>
          <w:b w:val="0"/>
          <w:color w:val="000000"/>
        </w:rPr>
      </w:pPr>
      <w:bookmarkStart w:id="45" w:name="_Toc488673624"/>
      <w:bookmarkStart w:id="46" w:name="_Toc9615"/>
      <w:r>
        <w:rPr>
          <w:rFonts w:hint="eastAsia" w:ascii="宋体" w:hAnsi="宋体" w:eastAsia="宋体" w:cs="宋体"/>
          <w:b w:val="0"/>
          <w:color w:val="000000"/>
        </w:rPr>
        <w:t>磋商有效期</w:t>
      </w:r>
      <w:bookmarkEnd w:id="45"/>
      <w:bookmarkEnd w:id="46"/>
    </w:p>
    <w:p w14:paraId="0AA52489">
      <w:pPr>
        <w:pStyle w:val="13"/>
        <w:spacing w:line="360" w:lineRule="auto"/>
        <w:ind w:firstLine="480" w:firstLineChars="200"/>
        <w:rPr>
          <w:rFonts w:hint="eastAsia" w:ascii="宋体" w:hAnsi="宋体" w:eastAsia="宋体" w:cs="宋体"/>
          <w:b/>
          <w:color w:val="000000"/>
          <w:sz w:val="24"/>
          <w:szCs w:val="28"/>
        </w:rPr>
      </w:pPr>
      <w:r>
        <w:rPr>
          <w:rFonts w:hint="eastAsia" w:ascii="宋体" w:hAnsi="宋体" w:eastAsia="宋体" w:cs="宋体"/>
          <w:color w:val="000000"/>
          <w:sz w:val="24"/>
          <w:szCs w:val="24"/>
        </w:rPr>
        <w:t>本次磋商有效期为自磋商之日起60日历日。</w:t>
      </w:r>
    </w:p>
    <w:p w14:paraId="4FCFF47F">
      <w:pPr>
        <w:pStyle w:val="6"/>
        <w:numPr>
          <w:ilvl w:val="0"/>
          <w:numId w:val="4"/>
        </w:numPr>
        <w:spacing w:before="0" w:after="0" w:line="360" w:lineRule="auto"/>
        <w:rPr>
          <w:rFonts w:hint="eastAsia" w:ascii="宋体" w:hAnsi="宋体" w:eastAsia="宋体" w:cs="宋体"/>
          <w:b w:val="0"/>
          <w:color w:val="000000"/>
        </w:rPr>
      </w:pPr>
      <w:bookmarkStart w:id="47" w:name="_Toc488673625"/>
      <w:bookmarkStart w:id="48" w:name="_Toc18298"/>
      <w:r>
        <w:rPr>
          <w:rFonts w:hint="eastAsia" w:ascii="宋体" w:hAnsi="宋体" w:eastAsia="宋体" w:cs="宋体"/>
          <w:b w:val="0"/>
          <w:color w:val="000000"/>
        </w:rPr>
        <w:t>磋商响应文件的构成</w:t>
      </w:r>
      <w:bookmarkEnd w:id="47"/>
      <w:bookmarkEnd w:id="48"/>
    </w:p>
    <w:p w14:paraId="6189714D">
      <w:pPr>
        <w:pStyle w:val="13"/>
        <w:spacing w:line="360" w:lineRule="auto"/>
        <w:ind w:left="621"/>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磋商供应商应提交相关证明材料，作为其参加磋商和成交后有能力履行合同的证明。编写的磋商响应文件须包括以下内容（格式见磋商文件“第五部分  磋商响应文件格式”）：</w:t>
      </w:r>
    </w:p>
    <w:p w14:paraId="481E4018">
      <w:pPr>
        <w:pStyle w:val="13"/>
        <w:numPr>
          <w:ilvl w:val="1"/>
          <w:numId w:val="1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w:t>
      </w:r>
    </w:p>
    <w:p w14:paraId="7F9CF065">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磋商函；</w:t>
      </w:r>
    </w:p>
    <w:p w14:paraId="3EA647A2">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法定代表人证明书；</w:t>
      </w:r>
    </w:p>
    <w:p w14:paraId="367CB7AD">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法定代表人授权书</w:t>
      </w:r>
      <w:r>
        <w:rPr>
          <w:rFonts w:hint="eastAsia" w:hAnsi="宋体" w:eastAsia="宋体" w:cs="宋体"/>
          <w:color w:val="000000"/>
          <w:sz w:val="24"/>
          <w:szCs w:val="24"/>
          <w:lang w:eastAsia="zh-CN"/>
        </w:rPr>
        <w:t>；</w:t>
      </w:r>
    </w:p>
    <w:p w14:paraId="025361E1">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磋商供应商承诺书；</w:t>
      </w:r>
    </w:p>
    <w:p w14:paraId="22D66A92">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供应商诚信承诺书；</w:t>
      </w:r>
    </w:p>
    <w:p w14:paraId="05C38782">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资格证明材料；</w:t>
      </w:r>
    </w:p>
    <w:p w14:paraId="0B36C0A0">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财务状况、缴纳税收和社会保障资金证明；</w:t>
      </w:r>
    </w:p>
    <w:p w14:paraId="52518E2C">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具备履行合同所必须的设备和专业技术能力证明；</w:t>
      </w:r>
    </w:p>
    <w:p w14:paraId="6398BF94">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无重大违法记录声明；</w:t>
      </w:r>
    </w:p>
    <w:p w14:paraId="1E567DFD">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磋商保证金证明；</w:t>
      </w:r>
    </w:p>
    <w:p w14:paraId="007D2DA3">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竞争性磋商首次报价表；</w:t>
      </w:r>
    </w:p>
    <w:p w14:paraId="635F77D8">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磋商服务相关资料；</w:t>
      </w:r>
    </w:p>
    <w:p w14:paraId="3868BC7D">
      <w:pPr>
        <w:pStyle w:val="13"/>
        <w:numPr>
          <w:ilvl w:val="0"/>
          <w:numId w:val="16"/>
        </w:numPr>
        <w:spacing w:line="360" w:lineRule="auto"/>
        <w:rPr>
          <w:rFonts w:hint="eastAsia" w:ascii="宋体" w:hAnsi="宋体" w:eastAsia="宋体" w:cs="宋体"/>
          <w:color w:val="000000"/>
          <w:sz w:val="24"/>
          <w:szCs w:val="24"/>
        </w:rPr>
      </w:pPr>
      <w:r>
        <w:rPr>
          <w:rFonts w:hint="eastAsia" w:hAnsi="宋体" w:cs="宋体"/>
          <w:color w:val="000000"/>
          <w:sz w:val="24"/>
          <w:szCs w:val="24"/>
          <w:lang w:val="en-US" w:eastAsia="zh-CN"/>
        </w:rPr>
        <w:t>服务应答表</w:t>
      </w:r>
    </w:p>
    <w:p w14:paraId="5865541B">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磋商供应商的类似业绩证明材料；</w:t>
      </w:r>
    </w:p>
    <w:p w14:paraId="5F696C01">
      <w:pPr>
        <w:pStyle w:val="13"/>
        <w:numPr>
          <w:ilvl w:val="0"/>
          <w:numId w:val="16"/>
        </w:num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zh-CN"/>
        </w:rPr>
        <w:t>享受政府采购政策优惠的证明资料</w:t>
      </w:r>
      <w:r>
        <w:rPr>
          <w:rFonts w:hint="eastAsia" w:ascii="宋体" w:hAnsi="宋体" w:eastAsia="宋体" w:cs="宋体"/>
          <w:bCs/>
          <w:color w:val="000000"/>
          <w:sz w:val="24"/>
          <w:szCs w:val="24"/>
        </w:rPr>
        <w:t>；</w:t>
      </w:r>
    </w:p>
    <w:p w14:paraId="69165072">
      <w:pPr>
        <w:pStyle w:val="13"/>
        <w:numPr>
          <w:ilvl w:val="0"/>
          <w:numId w:val="1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磋商供应商认为在其他方面有必要说明的事项；</w:t>
      </w:r>
    </w:p>
    <w:p w14:paraId="4F139BF2">
      <w:pPr>
        <w:pStyle w:val="13"/>
        <w:spacing w:line="360" w:lineRule="auto"/>
        <w:ind w:left="845"/>
        <w:rPr>
          <w:rFonts w:hint="eastAsia" w:ascii="宋体" w:hAnsi="宋体" w:eastAsia="宋体" w:cs="宋体"/>
          <w:color w:val="000000"/>
          <w:sz w:val="24"/>
          <w:szCs w:val="24"/>
        </w:rPr>
      </w:pPr>
      <w:r>
        <w:rPr>
          <w:rFonts w:hint="eastAsia" w:ascii="宋体" w:hAnsi="宋体" w:eastAsia="宋体" w:cs="宋体"/>
          <w:color w:val="000000"/>
          <w:sz w:val="24"/>
          <w:szCs w:val="24"/>
        </w:rPr>
        <w:t>注：磋商供应商须按上述内容、顺序和格式编制磋商响应文件，并按要求编制目录、页码，并保证所提供的全部资料真实可信，自愿承担相应责任。</w:t>
      </w:r>
    </w:p>
    <w:p w14:paraId="45E44EEF">
      <w:pPr>
        <w:pStyle w:val="6"/>
        <w:numPr>
          <w:ilvl w:val="0"/>
          <w:numId w:val="4"/>
        </w:numPr>
        <w:spacing w:before="0" w:after="0" w:line="360" w:lineRule="auto"/>
        <w:rPr>
          <w:rFonts w:hint="eastAsia" w:ascii="宋体" w:hAnsi="宋体" w:eastAsia="宋体" w:cs="宋体"/>
          <w:b w:val="0"/>
          <w:color w:val="000000"/>
        </w:rPr>
      </w:pPr>
      <w:bookmarkStart w:id="49" w:name="_Toc9619"/>
      <w:bookmarkStart w:id="50" w:name="_Toc488673626"/>
      <w:r>
        <w:rPr>
          <w:rFonts w:hint="eastAsia" w:ascii="宋体" w:hAnsi="宋体" w:eastAsia="宋体" w:cs="宋体"/>
          <w:b w:val="0"/>
          <w:color w:val="000000"/>
        </w:rPr>
        <w:t>磋商响应文件的编制要求</w:t>
      </w:r>
      <w:bookmarkEnd w:id="49"/>
      <w:bookmarkEnd w:id="50"/>
    </w:p>
    <w:p w14:paraId="4D4D2640">
      <w:pPr>
        <w:pStyle w:val="13"/>
        <w:numPr>
          <w:ilvl w:val="1"/>
          <w:numId w:val="17"/>
        </w:numPr>
        <w:spacing w:line="360" w:lineRule="auto"/>
        <w:ind w:left="960"/>
        <w:rPr>
          <w:rFonts w:hint="eastAsia" w:ascii="宋体" w:hAnsi="宋体" w:eastAsia="宋体" w:cs="宋体"/>
          <w:color w:val="000000"/>
          <w:sz w:val="24"/>
          <w:szCs w:val="28"/>
        </w:rPr>
      </w:pPr>
      <w:r>
        <w:rPr>
          <w:rFonts w:hint="eastAsia" w:ascii="宋体" w:hAnsi="宋体" w:eastAsia="宋体" w:cs="宋体"/>
          <w:color w:val="000000"/>
          <w:sz w:val="24"/>
          <w:lang w:val="zh-CN"/>
        </w:rPr>
        <w:t>磋商供应商应按照磋商文件所提供的磋商响应文件格式，分别填写磋商文件第五部分的内容，应分别注明所提供服务的名称、数量和价格等内容；磋商文件要求签字、盖章的地方必须由磋商供应商的法定代表人或委托代理人按要求签字、盖章。</w:t>
      </w:r>
    </w:p>
    <w:p w14:paraId="7BA1FF12">
      <w:pPr>
        <w:pStyle w:val="13"/>
        <w:numPr>
          <w:ilvl w:val="1"/>
          <w:numId w:val="17"/>
        </w:numPr>
        <w:spacing w:line="360" w:lineRule="auto"/>
        <w:ind w:left="960"/>
        <w:rPr>
          <w:rFonts w:hint="eastAsia" w:ascii="宋体" w:hAnsi="宋体" w:eastAsia="宋体" w:cs="宋体"/>
          <w:color w:val="000000"/>
          <w:sz w:val="24"/>
          <w:lang w:val="zh-CN"/>
        </w:rPr>
      </w:pPr>
      <w:r>
        <w:rPr>
          <w:rFonts w:hint="eastAsia" w:ascii="宋体" w:hAnsi="宋体" w:eastAsia="宋体" w:cs="宋体"/>
          <w:color w:val="000000"/>
          <w:sz w:val="24"/>
          <w:lang w:val="zh-CN"/>
        </w:rPr>
        <w:t>磋商供应商应按磋商文件要求准备磋商响应文件（</w:t>
      </w:r>
      <w:r>
        <w:rPr>
          <w:rFonts w:hint="eastAsia" w:ascii="宋体" w:hAnsi="宋体" w:eastAsia="宋体" w:cs="宋体"/>
          <w:color w:val="000000"/>
          <w:sz w:val="24"/>
        </w:rPr>
        <w:t>1</w:t>
      </w:r>
      <w:r>
        <w:rPr>
          <w:rFonts w:hint="eastAsia" w:ascii="宋体" w:hAnsi="宋体" w:eastAsia="宋体" w:cs="宋体"/>
          <w:color w:val="000000"/>
          <w:sz w:val="24"/>
          <w:lang w:val="zh-CN"/>
        </w:rPr>
        <w:t>份正本、</w:t>
      </w:r>
      <w:r>
        <w:rPr>
          <w:rFonts w:hint="eastAsia" w:ascii="宋体" w:hAnsi="宋体" w:eastAsia="宋体" w:cs="宋体"/>
          <w:color w:val="000000"/>
          <w:sz w:val="24"/>
        </w:rPr>
        <w:t>2</w:t>
      </w:r>
      <w:r>
        <w:rPr>
          <w:rFonts w:hint="eastAsia" w:ascii="宋体" w:hAnsi="宋体" w:eastAsia="宋体" w:cs="宋体"/>
          <w:color w:val="000000"/>
          <w:sz w:val="24"/>
          <w:lang w:val="zh-CN"/>
        </w:rPr>
        <w:t>份副本和相应的电子文档1份，用于单独提交的“竞争性磋商首次报价表”1份以及用于退还磋商保证金单独提交“磋商保证金证明”1份）。每份磋商响应文件都必须清楚地标明“正本”或“副本”等字样。若发生正本和副本不符，以正本磋商响应文件为准。磋商响应文件统一使用A4幅面的纸张印制，必须胶装成册并编码，不得采用活页夹等可随时拆换的方式装订。</w:t>
      </w:r>
    </w:p>
    <w:p w14:paraId="42E72100">
      <w:pPr>
        <w:pStyle w:val="13"/>
        <w:numPr>
          <w:ilvl w:val="1"/>
          <w:numId w:val="17"/>
        </w:numPr>
        <w:spacing w:line="360" w:lineRule="auto"/>
        <w:ind w:left="960"/>
        <w:rPr>
          <w:rFonts w:hint="eastAsia" w:ascii="宋体" w:hAnsi="宋体" w:eastAsia="宋体" w:cs="宋体"/>
          <w:color w:val="000000"/>
          <w:sz w:val="24"/>
          <w:szCs w:val="28"/>
        </w:rPr>
      </w:pPr>
      <w:r>
        <w:rPr>
          <w:rFonts w:hint="eastAsia" w:ascii="宋体" w:hAnsi="宋体" w:eastAsia="宋体" w:cs="宋体"/>
          <w:color w:val="000000"/>
          <w:sz w:val="24"/>
          <w:lang w:val="zh-CN"/>
        </w:rPr>
        <w:t>磋商响应文件的正本和副本均需打印或用不褪色、不变质的墨水书写并由磋商供应商的委托代理人逐页加盖公章。磋商响应文件副本可采用正本的复印件，若不满足以上条件，按无效磋商处理。</w:t>
      </w:r>
    </w:p>
    <w:p w14:paraId="449A2285">
      <w:pPr>
        <w:pStyle w:val="13"/>
        <w:numPr>
          <w:ilvl w:val="1"/>
          <w:numId w:val="17"/>
        </w:numPr>
        <w:spacing w:line="360" w:lineRule="auto"/>
        <w:ind w:left="960"/>
        <w:rPr>
          <w:rFonts w:hint="eastAsia" w:ascii="宋体" w:hAnsi="宋体" w:eastAsia="宋体" w:cs="宋体"/>
          <w:color w:val="000000"/>
          <w:sz w:val="24"/>
          <w:lang w:val="zh-CN"/>
        </w:rPr>
      </w:pPr>
      <w:r>
        <w:rPr>
          <w:rFonts w:hint="eastAsia" w:ascii="宋体" w:hAnsi="宋体" w:eastAsia="宋体" w:cs="宋体"/>
          <w:color w:val="000000"/>
          <w:sz w:val="24"/>
          <w:lang w:val="zh-CN"/>
        </w:rPr>
        <w:t>电子文档采用可读的U盘编制，须写明采购项目名称、供应商名称及磋商日期，电子文档为纸质版磋商响应文件正本的扫描件，需采用不可修改文档格式，电子文档与纸质版磋商响应文件正本内容必须完全一致，包括盖章和签字，并与书面磋商响应文件一并提交，否则，视为无效磋商。</w:t>
      </w:r>
    </w:p>
    <w:p w14:paraId="44DF89C6">
      <w:pPr>
        <w:pStyle w:val="13"/>
        <w:numPr>
          <w:ilvl w:val="1"/>
          <w:numId w:val="17"/>
        </w:numPr>
        <w:spacing w:line="360" w:lineRule="auto"/>
        <w:ind w:left="960"/>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磋商响应文件中不得行间插字、涂改或增删，如有修改错漏处，须由磋商供应商法人或其委托代理人签字或盖个人印鉴。</w:t>
      </w:r>
    </w:p>
    <w:p w14:paraId="07267558">
      <w:pPr>
        <w:pStyle w:val="5"/>
        <w:rPr>
          <w:rFonts w:hint="eastAsia" w:ascii="宋体" w:hAnsi="宋体" w:eastAsia="宋体" w:cs="宋体"/>
          <w:b/>
          <w:color w:val="000000"/>
        </w:rPr>
      </w:pPr>
      <w:bookmarkStart w:id="51" w:name="_Toc21545"/>
      <w:r>
        <w:rPr>
          <w:rFonts w:hint="eastAsia" w:ascii="宋体" w:hAnsi="宋体" w:eastAsia="宋体" w:cs="宋体"/>
          <w:b/>
          <w:color w:val="000000"/>
        </w:rPr>
        <w:t>磋商响应文件的递交</w:t>
      </w:r>
      <w:bookmarkEnd w:id="51"/>
    </w:p>
    <w:p w14:paraId="2D34DA05">
      <w:pPr>
        <w:pStyle w:val="6"/>
        <w:numPr>
          <w:ilvl w:val="0"/>
          <w:numId w:val="4"/>
        </w:numPr>
        <w:spacing w:before="0" w:after="0" w:line="360" w:lineRule="auto"/>
        <w:rPr>
          <w:rFonts w:hint="eastAsia" w:ascii="宋体" w:hAnsi="宋体" w:eastAsia="宋体" w:cs="宋体"/>
          <w:b w:val="0"/>
          <w:color w:val="000000"/>
        </w:rPr>
      </w:pPr>
      <w:bookmarkStart w:id="52" w:name="_Toc488673628"/>
      <w:bookmarkStart w:id="53" w:name="_Toc28789"/>
      <w:r>
        <w:rPr>
          <w:rFonts w:hint="eastAsia" w:ascii="宋体" w:hAnsi="宋体" w:eastAsia="宋体" w:cs="宋体"/>
          <w:b w:val="0"/>
          <w:color w:val="000000"/>
        </w:rPr>
        <w:t>磋商响应文件的密封和标记</w:t>
      </w:r>
      <w:bookmarkEnd w:id="52"/>
      <w:bookmarkEnd w:id="53"/>
    </w:p>
    <w:p w14:paraId="570FA066">
      <w:pPr>
        <w:pStyle w:val="13"/>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正本、所有副本和磋商响应文件要求单独提交的竞争性磋商首次报价表、电子文档，磋商保证金证明，应分别封装于不同的密封袋内，密封袋上应分别标上“正本”、“副本”、“竞争性磋商首次报价表”、“磋商保证金证明”、“电子文档”字样，并注明磋商供应商名称、采购项目编号、采购项目名称及分包号（如有分包）；</w:t>
      </w:r>
    </w:p>
    <w:p w14:paraId="2D764409">
      <w:pPr>
        <w:pStyle w:val="13"/>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为方便我司退还磋商保证金，磋商供应商应将“磋商保证金证明”单独密封，并在信封上标明“磋商保证金证明”字样；</w:t>
      </w:r>
    </w:p>
    <w:p w14:paraId="474CFE0D">
      <w:pPr>
        <w:pStyle w:val="13"/>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密封后的磋商响应文件均应：</w:t>
      </w:r>
    </w:p>
    <w:p w14:paraId="21C44EFF">
      <w:pPr>
        <w:pStyle w:val="13"/>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按“磋商供应商须知前附表”注明的时间、地址送达；</w:t>
      </w:r>
    </w:p>
    <w:p w14:paraId="25D49E72">
      <w:pPr>
        <w:pStyle w:val="13"/>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磋商响应文件密封袋用“于</w:t>
      </w:r>
      <w:r>
        <w:rPr>
          <w:rFonts w:hint="eastAsia" w:hAnsi="宋体" w:cs="宋体"/>
          <w:color w:val="000000"/>
          <w:sz w:val="24"/>
          <w:lang w:eastAsia="zh-CN"/>
        </w:rPr>
        <w:t>2025年10月21日上午09:30（北京时间）</w:t>
      </w:r>
      <w:r>
        <w:rPr>
          <w:rFonts w:hint="eastAsia" w:ascii="宋体" w:hAnsi="宋体" w:eastAsia="宋体" w:cs="宋体"/>
          <w:color w:val="000000"/>
          <w:sz w:val="24"/>
          <w:szCs w:val="28"/>
        </w:rPr>
        <w:t>前不准开启”的标签密封。</w:t>
      </w:r>
    </w:p>
    <w:p w14:paraId="0632E2DF">
      <w:pPr>
        <w:pStyle w:val="13"/>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如果磋商供应商未按第13.1-13.4条要求将磋商响应文件密封或在密封袋上加写标记，采购代理机构对误投或过早启封概不负责。由此造成提前启封的磋商响应文件，采购代理机构予以拒绝，并退回磋商供应商；</w:t>
      </w:r>
    </w:p>
    <w:p w14:paraId="00C8879A">
      <w:pPr>
        <w:pStyle w:val="13"/>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磋商供应商以电报、电话、传真形式磋商的，采购代理机构概不接受。</w:t>
      </w:r>
    </w:p>
    <w:p w14:paraId="3D395600">
      <w:pPr>
        <w:pStyle w:val="6"/>
        <w:numPr>
          <w:ilvl w:val="0"/>
          <w:numId w:val="4"/>
        </w:numPr>
        <w:spacing w:before="0" w:after="0" w:line="360" w:lineRule="auto"/>
        <w:rPr>
          <w:rFonts w:hint="eastAsia" w:ascii="宋体" w:hAnsi="宋体" w:eastAsia="宋体" w:cs="宋体"/>
          <w:b w:val="0"/>
          <w:color w:val="000000"/>
        </w:rPr>
      </w:pPr>
      <w:bookmarkStart w:id="54" w:name="_Toc23386"/>
      <w:bookmarkStart w:id="55" w:name="_Toc488673629"/>
      <w:r>
        <w:rPr>
          <w:rFonts w:hint="eastAsia" w:ascii="宋体" w:hAnsi="宋体" w:eastAsia="宋体" w:cs="宋体"/>
          <w:b w:val="0"/>
          <w:color w:val="000000"/>
        </w:rPr>
        <w:t>递交磋商响应文件的地点、截止时间</w:t>
      </w:r>
      <w:bookmarkEnd w:id="54"/>
      <w:bookmarkEnd w:id="55"/>
    </w:p>
    <w:p w14:paraId="77F1ED49">
      <w:pPr>
        <w:pStyle w:val="13"/>
        <w:numPr>
          <w:ilvl w:val="1"/>
          <w:numId w:val="20"/>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所有磋商响应文件都必须按磋商文件规定的磋商截止时间之前送达磋商地点；</w:t>
      </w:r>
    </w:p>
    <w:p w14:paraId="7BD33314">
      <w:pPr>
        <w:pStyle w:val="13"/>
        <w:numPr>
          <w:ilvl w:val="1"/>
          <w:numId w:val="20"/>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采购代理机构将拒绝接收在磋商截止时间之后送达的磋商响应文件；</w:t>
      </w:r>
    </w:p>
    <w:p w14:paraId="3ADC7E17">
      <w:pPr>
        <w:pStyle w:val="6"/>
        <w:numPr>
          <w:ilvl w:val="0"/>
          <w:numId w:val="4"/>
        </w:numPr>
        <w:spacing w:before="0" w:after="0" w:line="360" w:lineRule="auto"/>
        <w:rPr>
          <w:rFonts w:hint="eastAsia" w:ascii="宋体" w:hAnsi="宋体" w:eastAsia="宋体" w:cs="宋体"/>
          <w:b w:val="0"/>
          <w:color w:val="000000"/>
        </w:rPr>
      </w:pPr>
      <w:bookmarkStart w:id="56" w:name="_Toc29571"/>
      <w:bookmarkStart w:id="57" w:name="_Toc488673630"/>
      <w:r>
        <w:rPr>
          <w:rFonts w:hint="eastAsia" w:ascii="宋体" w:hAnsi="宋体" w:eastAsia="宋体" w:cs="宋体"/>
          <w:b w:val="0"/>
          <w:color w:val="000000"/>
        </w:rPr>
        <w:t>磋商响应文件的撤回和修改</w:t>
      </w:r>
      <w:bookmarkEnd w:id="56"/>
      <w:bookmarkEnd w:id="57"/>
    </w:p>
    <w:p w14:paraId="09B68413">
      <w:pPr>
        <w:pStyle w:val="13"/>
        <w:spacing w:line="360" w:lineRule="auto"/>
        <w:ind w:firstLine="240" w:firstLineChars="100"/>
        <w:rPr>
          <w:rFonts w:hint="eastAsia" w:ascii="宋体" w:hAnsi="宋体" w:eastAsia="宋体" w:cs="宋体"/>
          <w:color w:val="000000"/>
          <w:sz w:val="24"/>
          <w:szCs w:val="28"/>
        </w:rPr>
      </w:pPr>
      <w:r>
        <w:rPr>
          <w:rFonts w:hint="eastAsia" w:ascii="宋体" w:hAnsi="宋体" w:eastAsia="宋体" w:cs="宋体"/>
          <w:color w:val="000000"/>
          <w:sz w:val="24"/>
          <w:szCs w:val="28"/>
        </w:rPr>
        <w:t>15.1 允许磋商供应商在磋商截止期前撤回其磋商响应文件（须以书面形式通知采购代理机构），磋商截止期后不得撤回其磋商响应文件。否则，其磋商保证金将不予退还，上缴同级财政部门。</w:t>
      </w:r>
    </w:p>
    <w:p w14:paraId="4AA46CCF">
      <w:pPr>
        <w:widowControl/>
        <w:spacing w:line="360" w:lineRule="auto"/>
        <w:ind w:firstLine="240" w:firstLine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15.2 无论成交与否，磋商供应商递交的一切磋商材料均不予退还。</w:t>
      </w:r>
    </w:p>
    <w:p w14:paraId="22AB164B">
      <w:pPr>
        <w:pStyle w:val="5"/>
        <w:rPr>
          <w:rFonts w:hint="eastAsia" w:ascii="宋体" w:hAnsi="宋体" w:eastAsia="宋体" w:cs="宋体"/>
          <w:b/>
          <w:color w:val="000000"/>
        </w:rPr>
      </w:pPr>
      <w:bookmarkStart w:id="58" w:name="_Toc6130"/>
      <w:r>
        <w:rPr>
          <w:rFonts w:hint="eastAsia" w:ascii="宋体" w:hAnsi="宋体" w:eastAsia="宋体" w:cs="宋体"/>
          <w:b/>
          <w:color w:val="000000"/>
        </w:rPr>
        <w:t>磋商过程</w:t>
      </w:r>
      <w:bookmarkEnd w:id="58"/>
    </w:p>
    <w:p w14:paraId="1D4543CC">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1、采购代理机构按本磋商文件中确定的时间和地点组织本项目的磋商活动。供应商应由其委托代理人参加。</w:t>
      </w:r>
    </w:p>
    <w:p w14:paraId="2BB67630">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2、磋商时，对不同文字文本响应文件的解释发生异议的，以中文文本为准。</w:t>
      </w:r>
    </w:p>
    <w:p w14:paraId="55277DE0">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3、磋商工作由采购代理机构组织，采购单位、采购监管、纪检监察等有关方面代表可根据采购项目的具体情况列席。</w:t>
      </w:r>
    </w:p>
    <w:p w14:paraId="2D10AE6B">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4、磋商过程有专人记录，并存档备查。</w:t>
      </w:r>
    </w:p>
    <w:p w14:paraId="14B82672">
      <w:pPr>
        <w:pStyle w:val="5"/>
        <w:rPr>
          <w:rFonts w:hint="eastAsia" w:ascii="宋体" w:hAnsi="宋体" w:eastAsia="宋体" w:cs="宋体"/>
          <w:b/>
          <w:color w:val="000000"/>
        </w:rPr>
      </w:pPr>
      <w:bookmarkStart w:id="59" w:name="_Toc500355579"/>
      <w:bookmarkStart w:id="60" w:name="_Toc15763"/>
      <w:r>
        <w:rPr>
          <w:rFonts w:hint="eastAsia" w:ascii="宋体" w:hAnsi="宋体" w:eastAsia="宋体" w:cs="宋体"/>
          <w:b/>
          <w:color w:val="000000"/>
        </w:rPr>
        <w:t>资格审查程序</w:t>
      </w:r>
      <w:bookmarkEnd w:id="59"/>
      <w:bookmarkEnd w:id="60"/>
    </w:p>
    <w:p w14:paraId="5D2C95DF">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1、资格审查时，磋商供应商存在下列情况之一的，按无效磋商处理：</w:t>
      </w:r>
    </w:p>
    <w:p w14:paraId="402F9235">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sz w:val="24"/>
          <w:shd w:val="clear" w:color="auto" w:fill="FFFFFF"/>
        </w:rPr>
        <w:t>不具备</w:t>
      </w:r>
      <w:r>
        <w:rPr>
          <w:rFonts w:hint="eastAsia" w:ascii="宋体" w:hAnsi="宋体" w:eastAsia="宋体" w:cs="宋体"/>
          <w:color w:val="000000"/>
          <w:kern w:val="0"/>
          <w:sz w:val="24"/>
          <w:lang w:val="zh-CN"/>
        </w:rPr>
        <w:t>第2.2款“合格的磋商供应商”</w:t>
      </w:r>
      <w:r>
        <w:rPr>
          <w:rFonts w:hint="eastAsia" w:ascii="宋体" w:hAnsi="宋体" w:eastAsia="宋体" w:cs="宋体"/>
          <w:color w:val="000000"/>
          <w:sz w:val="24"/>
          <w:shd w:val="clear" w:color="auto" w:fill="FFFFFF"/>
        </w:rPr>
        <w:t>规定的资格要求的；</w:t>
      </w:r>
    </w:p>
    <w:p w14:paraId="65026E71">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rPr>
        <w:t>未按磋商文件要求交纳或未足额交纳磋商保证金的；</w:t>
      </w:r>
    </w:p>
    <w:p w14:paraId="3E7E3C80">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rPr>
        <w:t>未按第11.1</w:t>
      </w:r>
      <w:r>
        <w:rPr>
          <w:rFonts w:hint="eastAsia" w:ascii="宋体" w:hAnsi="宋体" w:eastAsia="宋体" w:cs="宋体"/>
          <w:color w:val="000000"/>
          <w:kern w:val="0"/>
          <w:sz w:val="24"/>
          <w:lang w:val="zh-CN"/>
        </w:rPr>
        <w:t>款</w:t>
      </w:r>
      <w:r>
        <w:rPr>
          <w:rFonts w:hint="eastAsia" w:ascii="宋体" w:hAnsi="宋体" w:eastAsia="宋体" w:cs="宋体"/>
          <w:color w:val="000000"/>
          <w:kern w:val="0"/>
          <w:sz w:val="24"/>
        </w:rPr>
        <w:t>（1）-（1</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）要求提供相关资料的；</w:t>
      </w:r>
    </w:p>
    <w:p w14:paraId="2AC335B0">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rPr>
        <w:t>资格性审查文件未按磋商文件规定和要求签字、盖章的；</w:t>
      </w:r>
    </w:p>
    <w:p w14:paraId="46B77BD5">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sz w:val="24"/>
          <w:shd w:val="clear" w:color="auto" w:fill="FFFFFF"/>
        </w:rPr>
        <w:t>报价超过</w:t>
      </w:r>
      <w:r>
        <w:rPr>
          <w:rFonts w:hint="eastAsia" w:ascii="宋体" w:hAnsi="宋体" w:eastAsia="宋体" w:cs="宋体"/>
          <w:color w:val="000000"/>
          <w:kern w:val="0"/>
          <w:sz w:val="24"/>
        </w:rPr>
        <w:t>磋商</w:t>
      </w:r>
      <w:r>
        <w:rPr>
          <w:rFonts w:hint="eastAsia" w:ascii="宋体" w:hAnsi="宋体" w:eastAsia="宋体" w:cs="宋体"/>
          <w:color w:val="000000"/>
          <w:sz w:val="24"/>
          <w:shd w:val="clear" w:color="auto" w:fill="FFFFFF"/>
        </w:rPr>
        <w:t>文件中规定的预算金额或者最高限价的；</w:t>
      </w:r>
    </w:p>
    <w:p w14:paraId="6848A1C0">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lang w:val="zh-CN"/>
        </w:rPr>
        <w:t>磋商有效期不能满足</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文件要求的；</w:t>
      </w:r>
    </w:p>
    <w:p w14:paraId="3BBACEFB">
      <w:pPr>
        <w:pStyle w:val="119"/>
        <w:numPr>
          <w:ilvl w:val="0"/>
          <w:numId w:val="21"/>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sz w:val="24"/>
        </w:rPr>
        <w:t>未提供电子文档或电子文档与纸质磋商响应文件正本不一致的</w:t>
      </w:r>
      <w:r>
        <w:rPr>
          <w:rFonts w:hint="eastAsia" w:ascii="宋体" w:hAnsi="宋体" w:eastAsia="宋体" w:cs="宋体"/>
          <w:color w:val="000000"/>
          <w:kern w:val="0"/>
          <w:sz w:val="24"/>
          <w:lang w:val="zh-CN"/>
        </w:rPr>
        <w:t>。</w:t>
      </w:r>
    </w:p>
    <w:p w14:paraId="2E359F24">
      <w:pPr>
        <w:pStyle w:val="5"/>
        <w:rPr>
          <w:rFonts w:hint="eastAsia" w:ascii="宋体" w:hAnsi="宋体" w:eastAsia="宋体" w:cs="宋体"/>
          <w:b/>
          <w:color w:val="000000"/>
        </w:rPr>
      </w:pPr>
      <w:bookmarkStart w:id="61" w:name="_Toc18128"/>
      <w:r>
        <w:rPr>
          <w:rFonts w:hint="eastAsia" w:ascii="宋体" w:hAnsi="宋体" w:eastAsia="宋体" w:cs="宋体"/>
          <w:b/>
          <w:color w:val="000000"/>
        </w:rPr>
        <w:t>评审程序及方法</w:t>
      </w:r>
      <w:bookmarkEnd w:id="61"/>
    </w:p>
    <w:p w14:paraId="0560C02E">
      <w:pPr>
        <w:pStyle w:val="6"/>
        <w:numPr>
          <w:ilvl w:val="0"/>
          <w:numId w:val="4"/>
        </w:numPr>
        <w:spacing w:before="0" w:after="0" w:line="360" w:lineRule="auto"/>
        <w:rPr>
          <w:rFonts w:hint="eastAsia" w:ascii="宋体" w:hAnsi="宋体" w:eastAsia="宋体" w:cs="宋体"/>
          <w:b w:val="0"/>
          <w:color w:val="000000"/>
        </w:rPr>
      </w:pPr>
      <w:bookmarkStart w:id="62" w:name="_Toc25577"/>
      <w:bookmarkStart w:id="63" w:name="_Toc488673633"/>
      <w:r>
        <w:rPr>
          <w:rFonts w:hint="eastAsia" w:ascii="宋体" w:hAnsi="宋体" w:eastAsia="宋体" w:cs="宋体"/>
          <w:b w:val="0"/>
          <w:color w:val="000000"/>
        </w:rPr>
        <w:t>评标委员会</w:t>
      </w:r>
      <w:bookmarkEnd w:id="62"/>
      <w:bookmarkEnd w:id="63"/>
    </w:p>
    <w:p w14:paraId="18247E88">
      <w:pPr>
        <w:pStyle w:val="13"/>
        <w:numPr>
          <w:ilvl w:val="1"/>
          <w:numId w:val="2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146673DB">
      <w:pPr>
        <w:autoSpaceDE w:val="0"/>
        <w:autoSpaceDN w:val="0"/>
        <w:spacing w:line="360" w:lineRule="auto"/>
        <w:ind w:left="481" w:leftChars="229" w:firstLine="600" w:firstLineChars="250"/>
        <w:rPr>
          <w:rFonts w:hint="eastAsia" w:ascii="宋体" w:hAnsi="宋体" w:eastAsia="宋体" w:cs="宋体"/>
          <w:color w:val="000000"/>
          <w:kern w:val="0"/>
          <w:sz w:val="24"/>
        </w:rPr>
      </w:pPr>
      <w:r>
        <w:rPr>
          <w:rFonts w:hint="eastAsia" w:ascii="宋体" w:hAnsi="宋体" w:eastAsia="宋体" w:cs="宋体"/>
          <w:color w:val="000000"/>
          <w:kern w:val="0"/>
          <w:sz w:val="24"/>
        </w:rPr>
        <w:t>评审专家对本单位的采购项目只能作为采购人代表参与评标。采购代理机构工作人员不得参加由本机构代理的采购项目的评标。</w:t>
      </w:r>
    </w:p>
    <w:p w14:paraId="5CADD623">
      <w:pPr>
        <w:pStyle w:val="13"/>
        <w:spacing w:line="360" w:lineRule="auto"/>
        <w:ind w:left="481" w:leftChars="229"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评标委员会成员名单在评标结果公告前应当保密。</w:t>
      </w:r>
    </w:p>
    <w:p w14:paraId="4E590D5B">
      <w:pPr>
        <w:pStyle w:val="13"/>
        <w:numPr>
          <w:ilvl w:val="1"/>
          <w:numId w:val="2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人或采购代理机构应当从省级以上财政部门设立的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49B74F57">
      <w:pPr>
        <w:pStyle w:val="13"/>
        <w:numPr>
          <w:ilvl w:val="1"/>
          <w:numId w:val="2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磋商响应文件和开标、评标资料，依法重新组建评标委员会进行评标。原评标委员会所作出的评标意见无效。</w:t>
      </w:r>
    </w:p>
    <w:p w14:paraId="72803520">
      <w:pPr>
        <w:pStyle w:val="13"/>
        <w:spacing w:line="360" w:lineRule="auto"/>
        <w:ind w:left="622" w:leftChars="296"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采购人或采购代理机构</w:t>
      </w:r>
      <w:r>
        <w:rPr>
          <w:rFonts w:hint="eastAsia" w:ascii="宋体" w:hAnsi="宋体" w:eastAsia="宋体" w:cs="宋体"/>
          <w:color w:val="000000"/>
          <w:sz w:val="24"/>
          <w:szCs w:val="24"/>
        </w:rPr>
        <w:t>应当将变更、重新组建评标委员会的情况予以记录，并随磋商文件一并存档。</w:t>
      </w:r>
    </w:p>
    <w:p w14:paraId="365A78E4">
      <w:pPr>
        <w:pStyle w:val="13"/>
        <w:numPr>
          <w:ilvl w:val="1"/>
          <w:numId w:val="2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采购人、采购代理机构应当采取必要措施，保证评标在严格保密的情况下进行。除采购人代表、评标现场组织人员外，采购人的其他工作人员以及与评标工作无关的人员不得进入评标现场。</w:t>
      </w:r>
    </w:p>
    <w:p w14:paraId="230FDAE4">
      <w:pPr>
        <w:pStyle w:val="13"/>
        <w:spacing w:line="360" w:lineRule="auto"/>
        <w:ind w:left="62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有关人员对评标情况以及在评标过程中获悉的国家秘密、商业秘密负有保密责任。</w:t>
      </w:r>
    </w:p>
    <w:p w14:paraId="67844352">
      <w:pPr>
        <w:pStyle w:val="13"/>
        <w:numPr>
          <w:ilvl w:val="1"/>
          <w:numId w:val="2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磋商由采购代理机构负责组织，具体磋商事务由依法组建的磋商小组负责，并独立履行下列职责：</w:t>
      </w:r>
    </w:p>
    <w:p w14:paraId="3534749A">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核对评审专家身份和采购人代表授权函，对评审专家在采购活动中的职责履行情况予以记录，并及时将有关违法违规行为向财政部门报告；</w:t>
      </w:r>
    </w:p>
    <w:p w14:paraId="3C7AFD48">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宣布评标纪律；</w:t>
      </w:r>
    </w:p>
    <w:p w14:paraId="67FB16F6">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公布磋商供应商名单，告知评审专家应当回避的情形；</w:t>
      </w:r>
    </w:p>
    <w:p w14:paraId="037162E1">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组织评标委员会推选评标组长，采购人代表不得担任组长；</w:t>
      </w:r>
    </w:p>
    <w:p w14:paraId="2B3C3970">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在评标期间采取必要的通讯管理措施，保证评标活动不受外界干扰；</w:t>
      </w:r>
    </w:p>
    <w:p w14:paraId="789E3B66">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根据评标委员会的要求介绍采购相关政策法规、磋商文件；</w:t>
      </w:r>
    </w:p>
    <w:p w14:paraId="1DBB6569">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维护评标秩序，监督评标委员会依照磋商文件规定的评标程序、方法和标准进行独立评审，及时制止和纠正采购人代表、评审专家的倾向性言论或者违法违规行为；</w:t>
      </w:r>
    </w:p>
    <w:p w14:paraId="0AE717C8">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核对评标结果，有19.3规定情形的，要求评标委员会复核或者书面说明理由，评标委员会拒绝的，应予记录并向本级财政部门报告；</w:t>
      </w:r>
    </w:p>
    <w:p w14:paraId="22E87460">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评审工作完成后，按照规定由采购人向评审专家支付劳务报酬和异地评审差旅费，不得向评审专家以外的其他人员支付评审劳务报酬；</w:t>
      </w:r>
    </w:p>
    <w:p w14:paraId="7FA87BCE">
      <w:pPr>
        <w:numPr>
          <w:ilvl w:val="0"/>
          <w:numId w:val="23"/>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处理与评标有关的其他事项。</w:t>
      </w:r>
    </w:p>
    <w:p w14:paraId="53D97019">
      <w:pPr>
        <w:pStyle w:val="13"/>
        <w:spacing w:line="360" w:lineRule="auto"/>
        <w:ind w:left="480"/>
        <w:rPr>
          <w:rFonts w:hint="eastAsia" w:ascii="宋体" w:hAnsi="宋体" w:eastAsia="宋体" w:cs="宋体"/>
          <w:color w:val="000000"/>
          <w:sz w:val="24"/>
          <w:szCs w:val="24"/>
        </w:rPr>
      </w:pPr>
      <w:r>
        <w:rPr>
          <w:rFonts w:hint="eastAsia" w:ascii="宋体" w:hAnsi="宋体" w:eastAsia="宋体" w:cs="宋体"/>
          <w:color w:val="000000"/>
          <w:sz w:val="24"/>
          <w:szCs w:val="24"/>
          <w:lang w:val="zh-CN"/>
        </w:rPr>
        <w:t>采购人可以在评标前说明项目背景和采购需求，说明内容不得含有歧视性、倾向性意见，不得超出磋商文件所述范围。说明应当提交书面材料，并随磋商文件一并存档。</w:t>
      </w:r>
    </w:p>
    <w:p w14:paraId="3EEFAC95">
      <w:pPr>
        <w:pStyle w:val="13"/>
        <w:numPr>
          <w:ilvl w:val="1"/>
          <w:numId w:val="2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磋商小组应遵守并履行下列义务</w:t>
      </w:r>
      <w:r>
        <w:rPr>
          <w:rFonts w:hint="eastAsia" w:ascii="宋体" w:hAnsi="宋体" w:eastAsia="宋体" w:cs="宋体"/>
          <w:color w:val="000000"/>
          <w:sz w:val="24"/>
          <w:szCs w:val="28"/>
        </w:rPr>
        <w:t>：</w:t>
      </w:r>
    </w:p>
    <w:p w14:paraId="68203A5C">
      <w:pPr>
        <w:numPr>
          <w:ilvl w:val="0"/>
          <w:numId w:val="24"/>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审查、评价磋商响应文件是否符合磋商文件的商务、技术等实质性要求；</w:t>
      </w:r>
    </w:p>
    <w:p w14:paraId="717A7080">
      <w:pPr>
        <w:numPr>
          <w:ilvl w:val="0"/>
          <w:numId w:val="24"/>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要求磋商供应商对磋商响应文件有关事项作出澄清或者说明；</w:t>
      </w:r>
    </w:p>
    <w:p w14:paraId="43A475E3">
      <w:pPr>
        <w:numPr>
          <w:ilvl w:val="0"/>
          <w:numId w:val="24"/>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对磋商响应文件进行比较和评价；</w:t>
      </w:r>
    </w:p>
    <w:p w14:paraId="0642AA36">
      <w:pPr>
        <w:numPr>
          <w:ilvl w:val="0"/>
          <w:numId w:val="24"/>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确定成交候选人名单，以及根据采购人委托直接确定成交人；</w:t>
      </w:r>
    </w:p>
    <w:p w14:paraId="05B1F0DB">
      <w:pPr>
        <w:numPr>
          <w:ilvl w:val="0"/>
          <w:numId w:val="24"/>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向采购人、采购代理机构或者有关部门报告评标中发现的违法行为。</w:t>
      </w:r>
    </w:p>
    <w:p w14:paraId="3F0629EB">
      <w:pPr>
        <w:pStyle w:val="13"/>
        <w:numPr>
          <w:ilvl w:val="1"/>
          <w:numId w:val="22"/>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评审工作在有关部门的监督下依法开展，任何单位和个人不得非法干预、影响评审工作和评审结果。</w:t>
      </w:r>
    </w:p>
    <w:p w14:paraId="65C16B05">
      <w:pPr>
        <w:pStyle w:val="6"/>
        <w:numPr>
          <w:ilvl w:val="0"/>
          <w:numId w:val="4"/>
        </w:numPr>
        <w:spacing w:before="0" w:after="0" w:line="360" w:lineRule="auto"/>
        <w:rPr>
          <w:rFonts w:hint="eastAsia" w:ascii="宋体" w:hAnsi="宋体" w:eastAsia="宋体" w:cs="宋体"/>
          <w:b w:val="0"/>
          <w:color w:val="000000"/>
        </w:rPr>
      </w:pPr>
      <w:bookmarkStart w:id="64" w:name="_Toc488673634"/>
      <w:bookmarkStart w:id="65" w:name="_Toc11422"/>
      <w:r>
        <w:rPr>
          <w:rFonts w:hint="eastAsia" w:ascii="宋体" w:hAnsi="宋体" w:eastAsia="宋体" w:cs="宋体"/>
          <w:b w:val="0"/>
          <w:color w:val="000000"/>
        </w:rPr>
        <w:t>磋商程序</w:t>
      </w:r>
      <w:bookmarkEnd w:id="64"/>
      <w:bookmarkEnd w:id="65"/>
    </w:p>
    <w:p w14:paraId="28ACD502">
      <w:pPr>
        <w:pStyle w:val="13"/>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评标委员会应当对符合资格的磋商供应商的磋商响应文件进行符合性审查，以确定其是否满足磋商文件的实质性要求。</w:t>
      </w:r>
    </w:p>
    <w:p w14:paraId="0F351551">
      <w:pPr>
        <w:numPr>
          <w:ilvl w:val="0"/>
          <w:numId w:val="26"/>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本次综合评分的主要因素是：磋商报价、履约能力、技术水平评分标准。</w:t>
      </w:r>
    </w:p>
    <w:p w14:paraId="1B525039">
      <w:pPr>
        <w:numPr>
          <w:ilvl w:val="0"/>
          <w:numId w:val="26"/>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供应商为小型、微型企业，且提供本企业生产的货物或者提供其他小型、微型企业生产的货物，价格按相关规定给予10%-20%的价格折扣，用扣除后的价格参与评审。本项所称货物不包括使用大型企业注册商标的货物；</w:t>
      </w:r>
    </w:p>
    <w:p w14:paraId="53869464">
      <w:pPr>
        <w:numPr>
          <w:ilvl w:val="0"/>
          <w:numId w:val="26"/>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监狱企业、残疾人福利性单位视同小型、微型企业，享受评审中价格扣除等促进中小企业发展的政府采购政策；</w:t>
      </w:r>
    </w:p>
    <w:p w14:paraId="2CB5DB9C">
      <w:pPr>
        <w:numPr>
          <w:ilvl w:val="0"/>
          <w:numId w:val="26"/>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供应商同时符合小型、微型企业及监狱企业、残疾人福利性单位要求的，评审时只有一种类型享受价格评审优惠政策；</w:t>
      </w:r>
    </w:p>
    <w:p w14:paraId="2FE50AB5">
      <w:pPr>
        <w:numPr>
          <w:ilvl w:val="0"/>
          <w:numId w:val="26"/>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投标文件符合本章前款规定的，供应商应提供相关证明资料，且所提供资料必须真实可信。如有虚假，将依法承担相应责任；</w:t>
      </w:r>
    </w:p>
    <w:p w14:paraId="5A63F5EF">
      <w:pPr>
        <w:numPr>
          <w:ilvl w:val="0"/>
          <w:numId w:val="26"/>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除磋商价格因素外，评标委员会应依据磋商文件规定的评审方法和评审标准对其他因素进行客观评审；</w:t>
      </w:r>
    </w:p>
    <w:p w14:paraId="5FCA8D8B">
      <w:pPr>
        <w:pStyle w:val="13"/>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磋商响应文件中含义不明确、同类问题表述不一致或者有明显文字和计算错误的内容，评标委员会应当以书面形式要求磋商供应商作出必要的澄清、说明或者补正。</w:t>
      </w:r>
    </w:p>
    <w:p w14:paraId="31ADCB55">
      <w:pPr>
        <w:pStyle w:val="13"/>
        <w:spacing w:line="360" w:lineRule="auto"/>
        <w:ind w:left="621"/>
        <w:rPr>
          <w:rFonts w:hint="eastAsia" w:ascii="宋体" w:hAnsi="宋体" w:eastAsia="宋体" w:cs="宋体"/>
          <w:color w:val="000000"/>
          <w:sz w:val="24"/>
          <w:szCs w:val="24"/>
        </w:rPr>
      </w:pPr>
      <w:r>
        <w:rPr>
          <w:rFonts w:hint="eastAsia" w:ascii="宋体" w:hAnsi="宋体" w:eastAsia="宋体" w:cs="宋体"/>
          <w:color w:val="000000"/>
          <w:sz w:val="24"/>
          <w:szCs w:val="24"/>
          <w:lang w:val="zh-CN"/>
        </w:rPr>
        <w:t>磋商供应商的澄清、说明或者补正应当采用书面形式，并加盖公章，或者由法定代表人或其授权的代表签字。磋商供应商的澄清、说明或者补正不得超出磋商响应文件的范围或者改变磋商响应文件的实质性内容。</w:t>
      </w:r>
    </w:p>
    <w:p w14:paraId="1EC58FF9">
      <w:pPr>
        <w:pStyle w:val="13"/>
        <w:numPr>
          <w:ilvl w:val="0"/>
          <w:numId w:val="2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磋商供应商存在下列情况之一的，按无效磋商处理</w:t>
      </w:r>
      <w:r>
        <w:rPr>
          <w:rFonts w:hint="eastAsia" w:ascii="宋体" w:hAnsi="宋体" w:eastAsia="宋体" w:cs="宋体"/>
          <w:color w:val="000000"/>
          <w:lang w:val="zh-CN"/>
        </w:rPr>
        <w:t>:</w:t>
      </w:r>
    </w:p>
    <w:p w14:paraId="6861B1F4">
      <w:pPr>
        <w:pStyle w:val="13"/>
        <w:numPr>
          <w:ilvl w:val="0"/>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符合性审查磋商响应文件未按磋商文件要求签署、盖章的；</w:t>
      </w:r>
    </w:p>
    <w:p w14:paraId="721D85A2">
      <w:pPr>
        <w:pStyle w:val="13"/>
        <w:numPr>
          <w:ilvl w:val="0"/>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报价超过磋商文件中规定的预算金额或者最高限价的；</w:t>
      </w:r>
    </w:p>
    <w:p w14:paraId="7706FC07">
      <w:pPr>
        <w:pStyle w:val="13"/>
        <w:numPr>
          <w:ilvl w:val="0"/>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服务期、磋商有效期不能满足磋商文件要求的；</w:t>
      </w:r>
    </w:p>
    <w:p w14:paraId="7E0F4910">
      <w:pPr>
        <w:pStyle w:val="13"/>
        <w:numPr>
          <w:ilvl w:val="0"/>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磋商响应文件中含有采购单位不能接受的条件的；</w:t>
      </w:r>
    </w:p>
    <w:p w14:paraId="36814F71">
      <w:pPr>
        <w:pStyle w:val="13"/>
        <w:numPr>
          <w:ilvl w:val="0"/>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存在串通磋商行为；</w:t>
      </w:r>
    </w:p>
    <w:p w14:paraId="1B3FDA50">
      <w:pPr>
        <w:pStyle w:val="13"/>
        <w:numPr>
          <w:ilvl w:val="0"/>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法律、法规和磋商文件规定的其他无效情形。</w:t>
      </w:r>
    </w:p>
    <w:p w14:paraId="0606587C">
      <w:pPr>
        <w:pStyle w:val="13"/>
        <w:numPr>
          <w:ilvl w:val="0"/>
          <w:numId w:val="2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磋商响应文件报价出现前后不一致的，按照下列规定修正：</w:t>
      </w:r>
    </w:p>
    <w:p w14:paraId="2ED46505">
      <w:pPr>
        <w:pStyle w:val="13"/>
        <w:numPr>
          <w:ilvl w:val="0"/>
          <w:numId w:val="2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大写金额和小写金额不一致的，以大写金额为准；</w:t>
      </w:r>
    </w:p>
    <w:p w14:paraId="145E9A03">
      <w:pPr>
        <w:pStyle w:val="13"/>
        <w:numPr>
          <w:ilvl w:val="0"/>
          <w:numId w:val="2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单价金额小数点或者百分比有明显错位的，以竞争性磋商首次报价表的总价为准，并修改单价；</w:t>
      </w:r>
    </w:p>
    <w:p w14:paraId="1DBD7980">
      <w:pPr>
        <w:pStyle w:val="13"/>
        <w:numPr>
          <w:ilvl w:val="0"/>
          <w:numId w:val="2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总价金额与按单价汇总金额不一致的，以单价金额计算结果为准。</w:t>
      </w:r>
    </w:p>
    <w:p w14:paraId="0C9A44DF">
      <w:pPr>
        <w:pStyle w:val="13"/>
        <w:spacing w:line="360" w:lineRule="auto"/>
        <w:ind w:left="1129"/>
        <w:rPr>
          <w:rFonts w:hint="eastAsia" w:ascii="宋体" w:hAnsi="宋体" w:eastAsia="宋体" w:cs="宋体"/>
          <w:color w:val="000000"/>
          <w:sz w:val="24"/>
          <w:szCs w:val="24"/>
        </w:rPr>
      </w:pPr>
      <w:r>
        <w:rPr>
          <w:rFonts w:hint="eastAsia" w:ascii="宋体" w:hAnsi="宋体" w:eastAsia="宋体" w:cs="宋体"/>
          <w:color w:val="000000"/>
          <w:sz w:val="24"/>
          <w:szCs w:val="24"/>
        </w:rPr>
        <w:t>同时出现两种以上不一致的，按照前款规定的顺序修正。修正后的报价按17.2第二款的规定经磋商供应商确认后产生约束力，磋商供应商不确认的，其磋商无效。</w:t>
      </w:r>
    </w:p>
    <w:p w14:paraId="38342634">
      <w:pPr>
        <w:pStyle w:val="13"/>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在评审过程中，</w:t>
      </w:r>
      <w:r>
        <w:rPr>
          <w:rFonts w:hint="eastAsia" w:ascii="宋体" w:hAnsi="宋体" w:eastAsia="宋体" w:cs="宋体"/>
          <w:color w:val="000000"/>
          <w:sz w:val="24"/>
          <w:szCs w:val="24"/>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4303B602">
      <w:pPr>
        <w:pStyle w:val="13"/>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评标委员会应当按照磋商文件中规定的评标方法和标准，对符合性审查合格的磋商响应文件进行商务和技术评估，综合比较与评价。</w:t>
      </w:r>
    </w:p>
    <w:p w14:paraId="510F5C17">
      <w:pPr>
        <w:pStyle w:val="13"/>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委员会认为磋商供应商的报价明显低于其他通过符合性审查磋商供应商的报价，有可能影响服务或者不能诚信履约的，应当要求其在评标现场合理的时间内提供书面说明，必要时提交相关证明材料；磋商供应商不能证明其报价合理性的，评标委员会应当将其作为无效磋商处理。</w:t>
      </w:r>
    </w:p>
    <w:p w14:paraId="4B1DD2ED">
      <w:pPr>
        <w:pStyle w:val="6"/>
        <w:numPr>
          <w:ilvl w:val="0"/>
          <w:numId w:val="4"/>
        </w:numPr>
        <w:spacing w:before="0" w:after="0" w:line="360" w:lineRule="auto"/>
        <w:rPr>
          <w:rFonts w:hint="eastAsia" w:ascii="宋体" w:hAnsi="宋体" w:eastAsia="宋体" w:cs="宋体"/>
          <w:b w:val="0"/>
          <w:color w:val="000000"/>
        </w:rPr>
      </w:pPr>
      <w:bookmarkStart w:id="66" w:name="_Toc21295"/>
      <w:bookmarkStart w:id="67" w:name="_Toc488673635"/>
      <w:r>
        <w:rPr>
          <w:rFonts w:hint="eastAsia" w:ascii="宋体" w:hAnsi="宋体" w:eastAsia="宋体" w:cs="宋体"/>
          <w:b w:val="0"/>
          <w:color w:val="000000"/>
        </w:rPr>
        <w:t>评审办法</w:t>
      </w:r>
      <w:bookmarkEnd w:id="66"/>
      <w:bookmarkEnd w:id="67"/>
    </w:p>
    <w:p w14:paraId="0F111DB8">
      <w:pPr>
        <w:pStyle w:val="13"/>
        <w:numPr>
          <w:ilvl w:val="1"/>
          <w:numId w:val="30"/>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依照《中华人民共和国政府采购法》、《中华人民共和国政府采购法实施条例》、财政部《政府采购货物和服务招投标管理办法》、《政府采购竞争性磋商采购方式管理暂行办法》、财政部《关于加强政府采购货物和服务项目价格评审管理的通知》的规定，结合该项目的特点制定本评审办法。本次评审采用综合评分法，满分为100分。</w:t>
      </w:r>
    </w:p>
    <w:p w14:paraId="5CBF400B">
      <w:pPr>
        <w:pStyle w:val="13"/>
        <w:numPr>
          <w:ilvl w:val="1"/>
          <w:numId w:val="30"/>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本次评审方法采用综合评分法</w:t>
      </w:r>
      <w:r>
        <w:rPr>
          <w:rFonts w:hint="eastAsia" w:ascii="宋体" w:hAnsi="宋体" w:eastAsia="宋体" w:cs="宋体"/>
          <w:color w:val="000000"/>
          <w:sz w:val="24"/>
          <w:szCs w:val="24"/>
        </w:rPr>
        <w:t>。</w:t>
      </w:r>
    </w:p>
    <w:p w14:paraId="2EFC5D28">
      <w:pPr>
        <w:pStyle w:val="13"/>
        <w:numPr>
          <w:ilvl w:val="1"/>
          <w:numId w:val="30"/>
        </w:numPr>
        <w:spacing w:line="360" w:lineRule="auto"/>
        <w:jc w:val="left"/>
        <w:rPr>
          <w:rFonts w:hint="eastAsia" w:ascii="宋体" w:hAnsi="宋体" w:eastAsia="宋体" w:cs="宋体"/>
          <w:color w:val="000000"/>
          <w:sz w:val="24"/>
        </w:rPr>
      </w:pPr>
      <w:r>
        <w:rPr>
          <w:rFonts w:hint="eastAsia" w:ascii="宋体" w:hAnsi="宋体" w:eastAsia="宋体" w:cs="宋体"/>
          <w:color w:val="000000"/>
          <w:sz w:val="24"/>
          <w:szCs w:val="24"/>
        </w:rPr>
        <w:t>评审标准和分值分配：</w:t>
      </w:r>
    </w:p>
    <w:p w14:paraId="604ADAB6">
      <w:pPr>
        <w:pStyle w:val="13"/>
        <w:spacing w:line="360" w:lineRule="auto"/>
        <w:ind w:left="141"/>
        <w:jc w:val="left"/>
        <w:rPr>
          <w:rFonts w:hint="eastAsia" w:ascii="宋体" w:hAnsi="宋体" w:eastAsia="宋体" w:cs="宋体"/>
          <w:b/>
          <w:color w:val="000000"/>
          <w:sz w:val="24"/>
        </w:rPr>
      </w:pPr>
      <w:r>
        <w:rPr>
          <w:rFonts w:hint="eastAsia" w:ascii="宋体" w:hAnsi="宋体" w:eastAsia="宋体" w:cs="宋体"/>
          <w:b/>
          <w:color w:val="000000"/>
          <w:sz w:val="24"/>
        </w:rPr>
        <w:t>具体项目及评分细则：</w:t>
      </w:r>
    </w:p>
    <w:tbl>
      <w:tblPr>
        <w:tblStyle w:val="33"/>
        <w:tblpPr w:leftFromText="180" w:rightFromText="180" w:vertAnchor="text" w:horzAnchor="page" w:tblpX="1187" w:tblpY="515"/>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988"/>
        <w:gridCol w:w="825"/>
        <w:gridCol w:w="6544"/>
      </w:tblGrid>
      <w:tr w14:paraId="314A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2" w:type="dxa"/>
            <w:vAlign w:val="center"/>
          </w:tcPr>
          <w:p w14:paraId="5330C228">
            <w:pPr>
              <w:keepNext w:val="0"/>
              <w:keepLines w:val="0"/>
              <w:pageBreakBefore w:val="0"/>
              <w:widowControl w:val="0"/>
              <w:kinsoku/>
              <w:wordWrap/>
              <w:overflowPunct/>
              <w:topLinePunct w:val="0"/>
              <w:autoSpaceDE/>
              <w:autoSpaceDN/>
              <w:bidi w:val="0"/>
              <w:adjustRightInd/>
              <w:snapToGrid/>
              <w:spacing w:line="288" w:lineRule="auto"/>
              <w:ind w:firstLine="200" w:firstLineChars="83"/>
              <w:textAlignment w:val="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988" w:type="dxa"/>
            <w:vAlign w:val="center"/>
          </w:tcPr>
          <w:p w14:paraId="5E511C7B">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w:t>
            </w:r>
          </w:p>
        </w:tc>
        <w:tc>
          <w:tcPr>
            <w:tcW w:w="825" w:type="dxa"/>
            <w:vAlign w:val="center"/>
          </w:tcPr>
          <w:p w14:paraId="7F6CD3E4">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544" w:type="dxa"/>
            <w:vAlign w:val="center"/>
          </w:tcPr>
          <w:p w14:paraId="2E5DCF08">
            <w:pPr>
              <w:keepNext w:val="0"/>
              <w:keepLines w:val="0"/>
              <w:pageBreakBefore w:val="0"/>
              <w:widowControl w:val="0"/>
              <w:kinsoku/>
              <w:wordWrap/>
              <w:overflowPunct/>
              <w:topLinePunct w:val="0"/>
              <w:autoSpaceDE/>
              <w:autoSpaceDN/>
              <w:bidi w:val="0"/>
              <w:adjustRightInd/>
              <w:snapToGrid/>
              <w:spacing w:line="288" w:lineRule="auto"/>
              <w:ind w:firstLine="2530" w:firstLineChars="1050"/>
              <w:textAlignment w:val="auto"/>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311D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2" w:type="dxa"/>
            <w:vAlign w:val="center"/>
          </w:tcPr>
          <w:p w14:paraId="28749872">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磋商报价</w:t>
            </w:r>
          </w:p>
          <w:p w14:paraId="1894551D">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cs="宋体"/>
                <w:sz w:val="24"/>
                <w:szCs w:val="24"/>
                <w:lang w:val="en-US" w:eastAsia="zh-CN"/>
              </w:rPr>
              <w:t>%</w:t>
            </w:r>
            <w:r>
              <w:rPr>
                <w:rFonts w:hint="eastAsia" w:ascii="宋体" w:hAnsi="宋体" w:eastAsia="宋体" w:cs="宋体"/>
                <w:sz w:val="24"/>
                <w:szCs w:val="24"/>
              </w:rPr>
              <w:t>）</w:t>
            </w:r>
          </w:p>
        </w:tc>
        <w:tc>
          <w:tcPr>
            <w:tcW w:w="988" w:type="dxa"/>
            <w:vAlign w:val="center"/>
          </w:tcPr>
          <w:p w14:paraId="20C5BB34">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报价分</w:t>
            </w:r>
          </w:p>
        </w:tc>
        <w:tc>
          <w:tcPr>
            <w:tcW w:w="825" w:type="dxa"/>
            <w:vAlign w:val="center"/>
          </w:tcPr>
          <w:p w14:paraId="0105AC08">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6544" w:type="dxa"/>
            <w:vAlign w:val="center"/>
          </w:tcPr>
          <w:p w14:paraId="753E0408">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磋商基准</w:t>
            </w:r>
            <w:r>
              <w:rPr>
                <w:rFonts w:hint="eastAsia" w:ascii="宋体" w:hAnsi="宋体" w:eastAsia="宋体" w:cs="宋体"/>
                <w:sz w:val="24"/>
                <w:szCs w:val="24"/>
                <w:lang w:val="en-US" w:eastAsia="zh-CN"/>
              </w:rPr>
              <w:t>价</w:t>
            </w:r>
            <w:r>
              <w:rPr>
                <w:rFonts w:hint="eastAsia" w:ascii="宋体" w:hAnsi="宋体" w:eastAsia="宋体" w:cs="宋体"/>
                <w:sz w:val="24"/>
                <w:szCs w:val="24"/>
              </w:rPr>
              <w:t>=满足磋商文件要求且最后磋商报价最低的供应商的价格为磋商基准价。</w:t>
            </w:r>
          </w:p>
          <w:p w14:paraId="587F6947">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磋商报价得分=（磋商基准价/最后磋商报价）×价格权值（10 %）×100（四舍五入后保留小数点后两位）。</w:t>
            </w:r>
          </w:p>
        </w:tc>
      </w:tr>
      <w:tr w14:paraId="5154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1262" w:type="dxa"/>
            <w:vMerge w:val="restart"/>
            <w:vAlign w:val="center"/>
          </w:tcPr>
          <w:p w14:paraId="63C5150B">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商务评价</w:t>
            </w:r>
          </w:p>
          <w:p w14:paraId="52E3F6E3">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14%</w:t>
            </w:r>
            <w:r>
              <w:rPr>
                <w:rFonts w:hint="eastAsia" w:ascii="宋体" w:hAnsi="宋体" w:eastAsia="宋体" w:cs="宋体"/>
                <w:sz w:val="24"/>
                <w:szCs w:val="24"/>
              </w:rPr>
              <w:t>）</w:t>
            </w:r>
          </w:p>
        </w:tc>
        <w:tc>
          <w:tcPr>
            <w:tcW w:w="988" w:type="dxa"/>
            <w:vAlign w:val="center"/>
          </w:tcPr>
          <w:p w14:paraId="76D63947">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类似</w:t>
            </w:r>
          </w:p>
          <w:p w14:paraId="067E1227">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业绩</w:t>
            </w:r>
          </w:p>
        </w:tc>
        <w:tc>
          <w:tcPr>
            <w:tcW w:w="825" w:type="dxa"/>
            <w:vAlign w:val="center"/>
          </w:tcPr>
          <w:p w14:paraId="55904404">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r>
              <w:rPr>
                <w:rFonts w:hint="eastAsia" w:ascii="宋体" w:hAnsi="宋体" w:cs="宋体"/>
                <w:kern w:val="2"/>
                <w:sz w:val="24"/>
                <w:szCs w:val="24"/>
                <w:lang w:val="en-US" w:eastAsia="zh-CN"/>
              </w:rPr>
              <w:t>10</w:t>
            </w:r>
            <w:r>
              <w:rPr>
                <w:rFonts w:hint="eastAsia" w:ascii="宋体" w:hAnsi="宋体" w:eastAsia="宋体" w:cs="宋体"/>
                <w:kern w:val="2"/>
                <w:sz w:val="24"/>
                <w:szCs w:val="24"/>
              </w:rPr>
              <w:t>分</w:t>
            </w:r>
          </w:p>
        </w:tc>
        <w:tc>
          <w:tcPr>
            <w:tcW w:w="6544" w:type="dxa"/>
            <w:vAlign w:val="center"/>
          </w:tcPr>
          <w:p w14:paraId="17448214">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自2022年1月1日至今供应商具有类似项目业绩，每提供1个业绩得2分，最高得10分，不提供不得分（须提供合同首页、标的及金额所在页、签字盖章页的扫描件（或复印）并加盖供应商公章）。</w:t>
            </w:r>
          </w:p>
          <w:p w14:paraId="43E8C619">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类似项目是指与采购项目的服务内容、服务要求相同或相近似的项目</w:t>
            </w:r>
          </w:p>
        </w:tc>
      </w:tr>
      <w:tr w14:paraId="2E56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262" w:type="dxa"/>
            <w:vMerge w:val="continue"/>
            <w:vAlign w:val="center"/>
          </w:tcPr>
          <w:p w14:paraId="77910371">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rPr>
            </w:pPr>
          </w:p>
        </w:tc>
        <w:tc>
          <w:tcPr>
            <w:tcW w:w="988" w:type="dxa"/>
            <w:vAlign w:val="center"/>
          </w:tcPr>
          <w:p w14:paraId="2175F9C8">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0000FF"/>
                <w:kern w:val="2"/>
                <w:sz w:val="24"/>
                <w:szCs w:val="24"/>
              </w:rPr>
            </w:pPr>
            <w:r>
              <w:rPr>
                <w:rFonts w:hint="eastAsia" w:ascii="宋体" w:hAnsi="宋体" w:eastAsia="宋体" w:cs="宋体"/>
                <w:kern w:val="0"/>
                <w:sz w:val="24"/>
                <w:szCs w:val="24"/>
                <w:lang w:val="en-US" w:eastAsia="zh-CN" w:bidi="ar-SA"/>
              </w:rPr>
              <w:t>拟投入项目人员</w:t>
            </w:r>
          </w:p>
        </w:tc>
        <w:tc>
          <w:tcPr>
            <w:tcW w:w="825" w:type="dxa"/>
            <w:vAlign w:val="center"/>
          </w:tcPr>
          <w:p w14:paraId="1F58726C">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color w:val="0000FF"/>
                <w:kern w:val="2"/>
                <w:sz w:val="24"/>
                <w:szCs w:val="24"/>
                <w:lang w:val="en-US" w:eastAsia="zh-CN"/>
              </w:rPr>
            </w:pPr>
            <w:r>
              <w:rPr>
                <w:rFonts w:hint="eastAsia" w:ascii="宋体" w:hAnsi="宋体" w:eastAsia="宋体" w:cs="宋体"/>
                <w:kern w:val="0"/>
                <w:sz w:val="24"/>
                <w:szCs w:val="24"/>
                <w:lang w:val="en-US" w:eastAsia="zh-CN" w:bidi="ar-SA"/>
              </w:rPr>
              <w:t>4分</w:t>
            </w:r>
          </w:p>
        </w:tc>
        <w:tc>
          <w:tcPr>
            <w:tcW w:w="6544" w:type="dxa"/>
            <w:vAlign w:val="center"/>
          </w:tcPr>
          <w:p w14:paraId="0E0FA6D4">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color w:val="0000FF"/>
                <w:sz w:val="24"/>
                <w:szCs w:val="24"/>
                <w:lang w:val="en-US" w:eastAsia="zh-CN"/>
              </w:rPr>
            </w:pPr>
            <w:r>
              <w:rPr>
                <w:rFonts w:hint="eastAsia" w:ascii="宋体" w:hAnsi="宋体" w:eastAsia="宋体" w:cs="宋体"/>
                <w:kern w:val="0"/>
                <w:sz w:val="24"/>
                <w:szCs w:val="24"/>
                <w:lang w:val="en-US" w:eastAsia="zh-CN" w:bidi="ar-SA"/>
              </w:rPr>
              <w:t>供应商针对本项目制需提供的人员包括：项目负责人、驻场人员、技术人员、培训人员，每提供一人的1分，满分4分。（以上人员须提供劳动合同及近半年内任意一个月的社保证明材料）</w:t>
            </w:r>
          </w:p>
        </w:tc>
      </w:tr>
      <w:tr w14:paraId="29A1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gridSpan w:val="2"/>
            <w:vAlign w:val="center"/>
          </w:tcPr>
          <w:p w14:paraId="013519FD">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sz w:val="24"/>
                <w:szCs w:val="24"/>
                <w:lang w:val="en-US" w:eastAsia="zh-CN"/>
              </w:rPr>
              <w:t xml:space="preserve">技术服务响应 </w:t>
            </w:r>
            <w:r>
              <w:rPr>
                <w:rFonts w:hint="eastAsia" w:ascii="宋体" w:hAnsi="宋体" w:cs="宋体"/>
                <w:sz w:val="24"/>
                <w:szCs w:val="24"/>
                <w:lang w:val="en-US" w:eastAsia="zh-CN"/>
              </w:rPr>
              <w:t>（26%）</w:t>
            </w:r>
          </w:p>
        </w:tc>
        <w:tc>
          <w:tcPr>
            <w:tcW w:w="825" w:type="dxa"/>
            <w:vAlign w:val="center"/>
          </w:tcPr>
          <w:p w14:paraId="157B3F5B">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26分</w:t>
            </w:r>
          </w:p>
        </w:tc>
        <w:tc>
          <w:tcPr>
            <w:tcW w:w="6544" w:type="dxa"/>
            <w:vAlign w:val="center"/>
          </w:tcPr>
          <w:p w14:paraId="40C0EB59">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供应商的技术服务响应完全满足招标文件技术服务要求的，得基准分</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分；技术服务响应每有一项不满足技术服务要求为负偏离时，在基准分基础上扣</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分，直至扣完为止。</w:t>
            </w:r>
          </w:p>
        </w:tc>
      </w:tr>
      <w:tr w14:paraId="5F8A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62" w:type="dxa"/>
            <w:vAlign w:val="center"/>
          </w:tcPr>
          <w:p w14:paraId="10CB0A86">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技术评价（</w:t>
            </w:r>
            <w:r>
              <w:rPr>
                <w:rFonts w:hint="eastAsia" w:ascii="宋体" w:hAnsi="宋体" w:cs="宋体"/>
                <w:sz w:val="24"/>
                <w:szCs w:val="24"/>
                <w:lang w:val="en-US" w:eastAsia="zh-CN"/>
              </w:rPr>
              <w:t>41%</w:t>
            </w:r>
            <w:r>
              <w:rPr>
                <w:rFonts w:hint="eastAsia" w:ascii="宋体" w:hAnsi="宋体" w:eastAsia="宋体" w:cs="宋体"/>
                <w:sz w:val="24"/>
                <w:szCs w:val="24"/>
                <w:lang w:val="en-US" w:eastAsia="zh-CN"/>
              </w:rPr>
              <w:t>）</w:t>
            </w:r>
          </w:p>
        </w:tc>
        <w:tc>
          <w:tcPr>
            <w:tcW w:w="988" w:type="dxa"/>
            <w:vAlign w:val="center"/>
          </w:tcPr>
          <w:p w14:paraId="1857662C">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w:t>
            </w:r>
          </w:p>
          <w:p w14:paraId="4B147A57">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实施 </w:t>
            </w:r>
          </w:p>
          <w:p w14:paraId="5A846B3F">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方案</w:t>
            </w:r>
          </w:p>
          <w:p w14:paraId="4455FB1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lang w:val="en-US" w:eastAsia="zh-CN"/>
              </w:rPr>
            </w:pPr>
          </w:p>
        </w:tc>
        <w:tc>
          <w:tcPr>
            <w:tcW w:w="825" w:type="dxa"/>
            <w:vAlign w:val="center"/>
          </w:tcPr>
          <w:p w14:paraId="50ADE8E7">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41</w:t>
            </w:r>
            <w:r>
              <w:rPr>
                <w:rFonts w:hint="eastAsia" w:ascii="宋体" w:hAnsi="宋体" w:eastAsia="宋体" w:cs="宋体"/>
                <w:sz w:val="24"/>
                <w:szCs w:val="24"/>
                <w:lang w:val="en-US" w:eastAsia="zh-CN"/>
              </w:rPr>
              <w:t>分</w:t>
            </w:r>
          </w:p>
        </w:tc>
        <w:tc>
          <w:tcPr>
            <w:tcW w:w="6544" w:type="dxa"/>
            <w:vAlign w:val="center"/>
          </w:tcPr>
          <w:p w14:paraId="0F21E3CE">
            <w:pPr>
              <w:pStyle w:val="14"/>
              <w:keepNext w:val="0"/>
              <w:keepLines w:val="0"/>
              <w:pageBreakBefore w:val="0"/>
              <w:numPr>
                <w:ilvl w:val="0"/>
                <w:numId w:val="31"/>
              </w:numPr>
              <w:kinsoku/>
              <w:wordWrap/>
              <w:overflowPunct/>
              <w:topLinePunct w:val="0"/>
              <w:autoSpaceDE/>
              <w:autoSpaceDN/>
              <w:bidi w:val="0"/>
              <w:spacing w:line="288" w:lineRule="auto"/>
              <w:ind w:left="0" w:leftChars="0" w:firstLine="0" w:firstLineChars="0"/>
              <w:textAlignment w:val="auto"/>
              <w:rPr>
                <w:rFonts w:ascii="宋体" w:hAnsi="宋体" w:eastAsia="宋体" w:cs="宋体"/>
                <w:b/>
                <w:bCs/>
                <w:sz w:val="24"/>
                <w:szCs w:val="24"/>
              </w:rPr>
            </w:pPr>
            <w:r>
              <w:rPr>
                <w:rFonts w:ascii="宋体" w:hAnsi="宋体" w:eastAsia="宋体" w:cs="宋体"/>
                <w:b/>
                <w:bCs/>
                <w:sz w:val="24"/>
                <w:szCs w:val="24"/>
              </w:rPr>
              <w:t>服务方案（</w:t>
            </w:r>
            <w:r>
              <w:rPr>
                <w:rFonts w:hint="eastAsia" w:ascii="宋体" w:hAnsi="宋体" w:eastAsia="宋体" w:cs="宋体"/>
                <w:b/>
                <w:bCs/>
                <w:sz w:val="24"/>
                <w:szCs w:val="24"/>
                <w:lang w:val="en-US" w:eastAsia="zh-CN"/>
              </w:rPr>
              <w:t>1</w:t>
            </w:r>
            <w:r>
              <w:rPr>
                <w:rFonts w:hint="eastAsia" w:cs="宋体"/>
                <w:b/>
                <w:bCs/>
                <w:sz w:val="24"/>
                <w:szCs w:val="24"/>
                <w:lang w:val="en-US" w:eastAsia="zh-CN"/>
              </w:rPr>
              <w:t>6</w:t>
            </w:r>
            <w:r>
              <w:rPr>
                <w:rFonts w:ascii="宋体" w:hAnsi="宋体" w:eastAsia="宋体" w:cs="宋体"/>
                <w:b/>
                <w:bCs/>
                <w:sz w:val="24"/>
                <w:szCs w:val="24"/>
              </w:rPr>
              <w:t>分）：</w:t>
            </w:r>
          </w:p>
          <w:p w14:paraId="07198860">
            <w:pPr>
              <w:pStyle w:val="14"/>
              <w:keepNext w:val="0"/>
              <w:keepLines w:val="0"/>
              <w:pageBreakBefore w:val="0"/>
              <w:numPr>
                <w:ilvl w:val="0"/>
                <w:numId w:val="0"/>
              </w:numPr>
              <w:kinsoku/>
              <w:wordWrap/>
              <w:overflowPunct/>
              <w:topLinePunct w:val="0"/>
              <w:autoSpaceDE/>
              <w:autoSpaceDN/>
              <w:bidi w:val="0"/>
              <w:spacing w:line="288"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根据本项目</w:t>
            </w:r>
            <w:r>
              <w:rPr>
                <w:rFonts w:hint="eastAsia" w:ascii="宋体" w:hAnsi="宋体" w:eastAsia="宋体" w:cs="宋体"/>
                <w:sz w:val="24"/>
                <w:szCs w:val="24"/>
              </w:rPr>
              <w:t>整体运维需求的理解提供针对本项目的项目需求分析方案</w:t>
            </w:r>
            <w:r>
              <w:rPr>
                <w:rFonts w:ascii="宋体" w:hAnsi="宋体" w:eastAsia="宋体" w:cs="宋体"/>
                <w:sz w:val="24"/>
                <w:szCs w:val="24"/>
              </w:rPr>
              <w:t>。其内容包括：</w:t>
            </w:r>
          </w:p>
          <w:p w14:paraId="4C5B397A">
            <w:pPr>
              <w:pStyle w:val="14"/>
              <w:keepNext w:val="0"/>
              <w:keepLines w:val="0"/>
              <w:pageBreakBefore w:val="0"/>
              <w:numPr>
                <w:ilvl w:val="0"/>
                <w:numId w:val="0"/>
              </w:numPr>
              <w:kinsoku/>
              <w:wordWrap/>
              <w:overflowPunct/>
              <w:topLinePunct w:val="0"/>
              <w:autoSpaceDE/>
              <w:autoSpaceDN/>
              <w:bidi w:val="0"/>
              <w:spacing w:line="288" w:lineRule="auto"/>
              <w:textAlignment w:val="auto"/>
              <w:rPr>
                <w:rFonts w:hint="eastAsia" w:cs="宋体"/>
                <w:b w:val="0"/>
                <w:bCs w:val="0"/>
                <w:sz w:val="24"/>
                <w:szCs w:val="24"/>
                <w:lang w:eastAsia="zh-CN"/>
              </w:rPr>
            </w:pPr>
            <w:r>
              <w:rPr>
                <w:rFonts w:hint="eastAsia" w:cs="宋体"/>
                <w:b w:val="0"/>
                <w:bCs w:val="0"/>
                <w:sz w:val="24"/>
                <w:szCs w:val="24"/>
                <w:lang w:val="en-US" w:eastAsia="zh-CN"/>
              </w:rPr>
              <w:t>1）</w:t>
            </w:r>
            <w:r>
              <w:rPr>
                <w:rFonts w:hint="eastAsia" w:ascii="宋体" w:hAnsi="宋体" w:eastAsia="宋体" w:cs="宋体"/>
                <w:b w:val="0"/>
                <w:bCs w:val="0"/>
                <w:sz w:val="24"/>
                <w:szCs w:val="24"/>
              </w:rPr>
              <w:t>财务智能稽核系统</w:t>
            </w:r>
            <w:r>
              <w:rPr>
                <w:rFonts w:hint="eastAsia" w:cs="宋体"/>
                <w:b w:val="0"/>
                <w:bCs w:val="0"/>
                <w:sz w:val="24"/>
                <w:szCs w:val="24"/>
                <w:lang w:eastAsia="zh-CN"/>
              </w:rPr>
              <w:t>：</w:t>
            </w:r>
          </w:p>
          <w:p w14:paraId="44422C9E">
            <w:pPr>
              <w:pStyle w:val="14"/>
              <w:keepNext w:val="0"/>
              <w:keepLines w:val="0"/>
              <w:pageBreakBefore w:val="0"/>
              <w:numPr>
                <w:ilvl w:val="0"/>
                <w:numId w:val="0"/>
              </w:numPr>
              <w:kinsoku/>
              <w:wordWrap/>
              <w:overflowPunct/>
              <w:topLinePunct w:val="0"/>
              <w:autoSpaceDE/>
              <w:autoSpaceDN/>
              <w:bidi w:val="0"/>
              <w:spacing w:line="288"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①</w:t>
            </w:r>
            <w:r>
              <w:rPr>
                <w:rFonts w:hint="eastAsia" w:ascii="宋体" w:hAnsi="宋体" w:eastAsia="宋体" w:cs="宋体"/>
                <w:sz w:val="24"/>
                <w:szCs w:val="24"/>
              </w:rPr>
              <w:t>对接需求</w:t>
            </w:r>
            <w:r>
              <w:rPr>
                <w:rFonts w:hint="eastAsia" w:cs="宋体"/>
                <w:sz w:val="24"/>
                <w:szCs w:val="24"/>
                <w:lang w:eastAsia="zh-CN"/>
              </w:rPr>
              <w:t>、</w:t>
            </w:r>
            <w:r>
              <w:rPr>
                <w:rFonts w:hint="eastAsia" w:ascii="宋体" w:hAnsi="宋体" w:eastAsia="宋体" w:cs="宋体"/>
                <w:sz w:val="24"/>
                <w:szCs w:val="24"/>
              </w:rPr>
              <w:t>基础数据</w:t>
            </w:r>
            <w:r>
              <w:rPr>
                <w:rFonts w:hint="eastAsia" w:cs="宋体"/>
                <w:sz w:val="24"/>
                <w:szCs w:val="24"/>
                <w:lang w:eastAsia="zh-CN"/>
              </w:rPr>
              <w:t>、规则模型分配设置、稽核统计</w:t>
            </w:r>
            <w:r>
              <w:rPr>
                <w:rFonts w:ascii="宋体" w:hAnsi="宋体" w:eastAsia="宋体" w:cs="宋体"/>
                <w:sz w:val="24"/>
                <w:szCs w:val="24"/>
              </w:rPr>
              <w:t xml:space="preserve">；②服务流程；③对项目的需求、重难点分析；④安全保障措施；上述4项内容供应商每完全响应一项得 </w:t>
            </w:r>
            <w:r>
              <w:rPr>
                <w:rFonts w:hint="eastAsia" w:cs="宋体"/>
                <w:sz w:val="24"/>
                <w:szCs w:val="24"/>
                <w:lang w:val="en-US" w:eastAsia="zh-CN"/>
              </w:rPr>
              <w:t>2</w:t>
            </w:r>
            <w:r>
              <w:rPr>
                <w:rFonts w:ascii="宋体" w:hAnsi="宋体" w:eastAsia="宋体" w:cs="宋体"/>
                <w:sz w:val="24"/>
                <w:szCs w:val="24"/>
              </w:rPr>
              <w:t xml:space="preserve">分，满分 </w:t>
            </w:r>
            <w:r>
              <w:rPr>
                <w:rFonts w:hint="eastAsia" w:cs="宋体"/>
                <w:sz w:val="24"/>
                <w:szCs w:val="24"/>
                <w:lang w:val="en-US" w:eastAsia="zh-CN"/>
              </w:rPr>
              <w:t>8</w:t>
            </w:r>
            <w:r>
              <w:rPr>
                <w:rFonts w:ascii="宋体" w:hAnsi="宋体" w:eastAsia="宋体" w:cs="宋体"/>
                <w:sz w:val="24"/>
                <w:szCs w:val="24"/>
              </w:rPr>
              <w:t>分；未响应或未提供不得分；方案中存在缺陷或不足的，每有一处扣</w:t>
            </w:r>
            <w:r>
              <w:rPr>
                <w:rFonts w:hint="eastAsia" w:ascii="宋体" w:hAnsi="宋体" w:eastAsia="宋体" w:cs="宋体"/>
                <w:sz w:val="24"/>
                <w:szCs w:val="24"/>
                <w:lang w:val="en-US" w:eastAsia="zh-CN"/>
              </w:rPr>
              <w:t>1</w:t>
            </w:r>
            <w:r>
              <w:rPr>
                <w:rFonts w:ascii="宋体" w:hAnsi="宋体" w:eastAsia="宋体" w:cs="宋体"/>
                <w:sz w:val="24"/>
                <w:szCs w:val="24"/>
              </w:rPr>
              <w:t xml:space="preserve"> 分，扣完为止。</w:t>
            </w:r>
          </w:p>
          <w:p w14:paraId="05814F94">
            <w:pPr>
              <w:pStyle w:val="14"/>
              <w:keepNext w:val="0"/>
              <w:keepLines w:val="0"/>
              <w:pageBreakBefore w:val="0"/>
              <w:numPr>
                <w:ilvl w:val="0"/>
                <w:numId w:val="0"/>
              </w:numPr>
              <w:kinsoku/>
              <w:wordWrap/>
              <w:overflowPunct/>
              <w:topLinePunct w:val="0"/>
              <w:autoSpaceDE/>
              <w:autoSpaceDN/>
              <w:bidi w:val="0"/>
              <w:spacing w:line="288"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2）统一支付平台系统：</w:t>
            </w:r>
          </w:p>
          <w:p w14:paraId="17EEF987">
            <w:pPr>
              <w:pStyle w:val="14"/>
              <w:keepNext w:val="0"/>
              <w:keepLines w:val="0"/>
              <w:pageBreakBefore w:val="0"/>
              <w:numPr>
                <w:ilvl w:val="0"/>
                <w:numId w:val="0"/>
              </w:numPr>
              <w:kinsoku/>
              <w:wordWrap/>
              <w:overflowPunct/>
              <w:topLinePunct w:val="0"/>
              <w:autoSpaceDE/>
              <w:autoSpaceDN/>
              <w:bidi w:val="0"/>
              <w:spacing w:line="288" w:lineRule="auto"/>
              <w:ind w:firstLine="480" w:firstLineChars="200"/>
              <w:textAlignment w:val="auto"/>
              <w:rPr>
                <w:rFonts w:hint="eastAsia" w:ascii="宋体" w:hAnsi="宋体" w:eastAsia="宋体" w:cs="宋体"/>
                <w:b/>
                <w:bCs/>
                <w:sz w:val="24"/>
                <w:szCs w:val="24"/>
                <w:lang w:val="en-US" w:eastAsia="zh-CN"/>
              </w:rPr>
            </w:pPr>
            <w:r>
              <w:rPr>
                <w:rFonts w:ascii="宋体" w:hAnsi="宋体" w:eastAsia="宋体" w:cs="宋体"/>
                <w:sz w:val="24"/>
                <w:szCs w:val="24"/>
              </w:rPr>
              <w:t>①</w:t>
            </w:r>
            <w:r>
              <w:rPr>
                <w:rFonts w:hint="eastAsia" w:ascii="宋体" w:hAnsi="宋体" w:eastAsia="宋体" w:cs="宋体"/>
                <w:sz w:val="24"/>
                <w:szCs w:val="24"/>
              </w:rPr>
              <w:t>网上交费功能</w:t>
            </w:r>
            <w:r>
              <w:rPr>
                <w:rFonts w:hint="eastAsia" w:ascii="宋体" w:hAnsi="宋体" w:eastAsia="宋体" w:cs="宋体"/>
                <w:sz w:val="24"/>
                <w:szCs w:val="24"/>
                <w:lang w:eastAsia="zh-CN"/>
              </w:rPr>
              <w:t>、收费后台管理、</w:t>
            </w:r>
            <w:r>
              <w:rPr>
                <w:rFonts w:hint="eastAsia" w:ascii="宋体" w:hAnsi="宋体" w:eastAsia="宋体" w:cs="宋体"/>
                <w:sz w:val="24"/>
                <w:szCs w:val="24"/>
              </w:rPr>
              <w:t>业务系统对接</w:t>
            </w:r>
            <w:r>
              <w:rPr>
                <w:rFonts w:hint="eastAsia" w:ascii="宋体" w:hAnsi="宋体" w:eastAsia="宋体" w:cs="宋体"/>
                <w:sz w:val="24"/>
                <w:szCs w:val="24"/>
                <w:lang w:eastAsia="zh-CN"/>
              </w:rPr>
              <w:t>、</w:t>
            </w:r>
            <w:r>
              <w:rPr>
                <w:rFonts w:hint="eastAsia" w:ascii="宋体" w:hAnsi="宋体" w:eastAsia="宋体" w:cs="宋体"/>
                <w:sz w:val="24"/>
                <w:szCs w:val="24"/>
              </w:rPr>
              <w:t>对账功能</w:t>
            </w:r>
            <w:r>
              <w:rPr>
                <w:rFonts w:ascii="宋体" w:hAnsi="宋体" w:eastAsia="宋体" w:cs="宋体"/>
                <w:sz w:val="24"/>
                <w:szCs w:val="24"/>
              </w:rPr>
              <w:t xml:space="preserve">；②服务流程；③对项目的需求、重难点分析；④安全保障措施；上述4项内容供应商每完全响应一项得 </w:t>
            </w:r>
            <w:r>
              <w:rPr>
                <w:rFonts w:hint="eastAsia" w:cs="宋体"/>
                <w:sz w:val="24"/>
                <w:szCs w:val="24"/>
                <w:lang w:val="en-US" w:eastAsia="zh-CN"/>
              </w:rPr>
              <w:t>2</w:t>
            </w:r>
            <w:r>
              <w:rPr>
                <w:rFonts w:ascii="宋体" w:hAnsi="宋体" w:eastAsia="宋体" w:cs="宋体"/>
                <w:sz w:val="24"/>
                <w:szCs w:val="24"/>
              </w:rPr>
              <w:t xml:space="preserve">分，满分 </w:t>
            </w:r>
            <w:r>
              <w:rPr>
                <w:rFonts w:hint="eastAsia" w:cs="宋体"/>
                <w:sz w:val="24"/>
                <w:szCs w:val="24"/>
                <w:lang w:val="en-US" w:eastAsia="zh-CN"/>
              </w:rPr>
              <w:t>8</w:t>
            </w:r>
            <w:r>
              <w:rPr>
                <w:rFonts w:ascii="宋体" w:hAnsi="宋体" w:eastAsia="宋体" w:cs="宋体"/>
                <w:sz w:val="24"/>
                <w:szCs w:val="24"/>
              </w:rPr>
              <w:t>分；未响应或未提供不得分；方案中存在缺陷或不足的，每有一处扣</w:t>
            </w:r>
            <w:r>
              <w:rPr>
                <w:rFonts w:hint="eastAsia" w:ascii="宋体" w:hAnsi="宋体" w:eastAsia="宋体" w:cs="宋体"/>
                <w:sz w:val="24"/>
                <w:szCs w:val="24"/>
                <w:lang w:val="en-US" w:eastAsia="zh-CN"/>
              </w:rPr>
              <w:t>1</w:t>
            </w:r>
            <w:r>
              <w:rPr>
                <w:rFonts w:ascii="宋体" w:hAnsi="宋体" w:eastAsia="宋体" w:cs="宋体"/>
                <w:sz w:val="24"/>
                <w:szCs w:val="24"/>
              </w:rPr>
              <w:t xml:space="preserve"> 分，扣完为止。</w:t>
            </w:r>
          </w:p>
          <w:p w14:paraId="19024DFD">
            <w:pPr>
              <w:pStyle w:val="14"/>
              <w:keepNext w:val="0"/>
              <w:keepLines w:val="0"/>
              <w:pageBreakBefore w:val="0"/>
              <w:numPr>
                <w:ilvl w:val="0"/>
                <w:numId w:val="31"/>
              </w:numPr>
              <w:kinsoku/>
              <w:wordWrap/>
              <w:overflowPunct/>
              <w:topLinePunct w:val="0"/>
              <w:autoSpaceDE/>
              <w:autoSpaceDN/>
              <w:bidi w:val="0"/>
              <w:spacing w:line="288" w:lineRule="auto"/>
              <w:ind w:left="0" w:leftChars="0" w:firstLine="0" w:firstLineChars="0"/>
              <w:textAlignment w:val="auto"/>
              <w:rPr>
                <w:rFonts w:hint="eastAsia"/>
                <w:lang w:val="en-US" w:eastAsia="zh-CN"/>
              </w:rPr>
            </w:pPr>
            <w:r>
              <w:rPr>
                <w:rFonts w:ascii="宋体" w:hAnsi="宋体" w:eastAsia="宋体" w:cs="宋体"/>
                <w:b/>
                <w:bCs/>
                <w:sz w:val="24"/>
                <w:szCs w:val="24"/>
              </w:rPr>
              <w:t>运维方案（</w:t>
            </w:r>
            <w:r>
              <w:rPr>
                <w:rFonts w:hint="eastAsia" w:ascii="宋体" w:hAnsi="宋体" w:eastAsia="宋体" w:cs="宋体"/>
                <w:b/>
                <w:bCs/>
                <w:sz w:val="24"/>
                <w:szCs w:val="24"/>
                <w:lang w:val="en-US" w:eastAsia="zh-CN"/>
              </w:rPr>
              <w:t>15</w:t>
            </w:r>
            <w:r>
              <w:rPr>
                <w:rFonts w:ascii="宋体" w:hAnsi="宋体" w:eastAsia="宋体" w:cs="宋体"/>
                <w:b/>
                <w:bCs/>
                <w:sz w:val="24"/>
                <w:szCs w:val="24"/>
              </w:rPr>
              <w:t>分）</w:t>
            </w:r>
            <w:r>
              <w:rPr>
                <w:rFonts w:ascii="宋体" w:hAnsi="宋体" w:eastAsia="宋体" w:cs="宋体"/>
                <w:sz w:val="24"/>
                <w:szCs w:val="24"/>
              </w:rPr>
              <w:t>：</w:t>
            </w:r>
          </w:p>
          <w:p w14:paraId="09F70DB3">
            <w:pPr>
              <w:pStyle w:val="14"/>
              <w:keepNext w:val="0"/>
              <w:keepLines w:val="0"/>
              <w:pageBreakBefore w:val="0"/>
              <w:numPr>
                <w:ilvl w:val="0"/>
                <w:numId w:val="0"/>
              </w:numPr>
              <w:kinsoku/>
              <w:wordWrap/>
              <w:overflowPunct/>
              <w:topLinePunct w:val="0"/>
              <w:autoSpaceDE/>
              <w:autoSpaceDN/>
              <w:bidi w:val="0"/>
              <w:spacing w:line="288" w:lineRule="auto"/>
              <w:ind w:leftChars="0" w:firstLine="480" w:firstLineChars="200"/>
              <w:textAlignment w:val="auto"/>
              <w:rPr>
                <w:rFonts w:hint="eastAsia"/>
                <w:lang w:val="en-US" w:eastAsia="zh-CN"/>
              </w:rPr>
            </w:pPr>
            <w:r>
              <w:rPr>
                <w:rFonts w:ascii="宋体" w:hAnsi="宋体" w:eastAsia="宋体" w:cs="宋体"/>
                <w:sz w:val="24"/>
                <w:szCs w:val="24"/>
              </w:rPr>
              <w:t xml:space="preserve">供应商针对本项目需求，提供符合项目实际需求的运维方案。具体包括：①日常运维制度；②人员保障措施；③故障处理方案；④系统更新升级计划；上述4 项内容供应商每完全响应一项得 </w:t>
            </w:r>
            <w:r>
              <w:rPr>
                <w:rFonts w:hint="eastAsia" w:ascii="宋体" w:hAnsi="宋体" w:eastAsia="宋体" w:cs="宋体"/>
                <w:sz w:val="24"/>
                <w:szCs w:val="24"/>
                <w:lang w:val="en-US" w:eastAsia="zh-CN"/>
              </w:rPr>
              <w:t>3</w:t>
            </w:r>
            <w:r>
              <w:rPr>
                <w:rFonts w:ascii="宋体" w:hAnsi="宋体" w:eastAsia="宋体" w:cs="宋体"/>
                <w:sz w:val="24"/>
                <w:szCs w:val="24"/>
              </w:rPr>
              <w:t xml:space="preserve"> 分，满分</w:t>
            </w:r>
            <w:r>
              <w:rPr>
                <w:rFonts w:hint="eastAsia" w:ascii="宋体" w:hAnsi="宋体" w:eastAsia="宋体" w:cs="宋体"/>
                <w:sz w:val="24"/>
                <w:szCs w:val="24"/>
                <w:lang w:val="en-US" w:eastAsia="zh-CN"/>
              </w:rPr>
              <w:t>15</w:t>
            </w:r>
            <w:r>
              <w:rPr>
                <w:rFonts w:ascii="宋体" w:hAnsi="宋体" w:eastAsia="宋体" w:cs="宋体"/>
                <w:sz w:val="24"/>
                <w:szCs w:val="24"/>
              </w:rPr>
              <w:t xml:space="preserve"> 分；未响应或未提供不得分；方案中存在缺陷或不足的，每有一处扣 </w:t>
            </w:r>
            <w:r>
              <w:rPr>
                <w:rFonts w:hint="eastAsia" w:ascii="宋体" w:hAnsi="宋体" w:eastAsia="宋体" w:cs="宋体"/>
                <w:sz w:val="24"/>
                <w:szCs w:val="24"/>
                <w:lang w:val="en-US" w:eastAsia="zh-CN"/>
              </w:rPr>
              <w:t>1</w:t>
            </w:r>
            <w:r>
              <w:rPr>
                <w:rFonts w:ascii="宋体" w:hAnsi="宋体" w:eastAsia="宋体" w:cs="宋体"/>
                <w:sz w:val="24"/>
                <w:szCs w:val="24"/>
              </w:rPr>
              <w:t>分，扣完为止。</w:t>
            </w:r>
          </w:p>
          <w:p w14:paraId="11D897B3">
            <w:pPr>
              <w:pStyle w:val="14"/>
              <w:keepNext w:val="0"/>
              <w:keepLines w:val="0"/>
              <w:pageBreakBefore w:val="0"/>
              <w:numPr>
                <w:ilvl w:val="0"/>
                <w:numId w:val="31"/>
              </w:numPr>
              <w:kinsoku/>
              <w:wordWrap/>
              <w:overflowPunct/>
              <w:topLinePunct w:val="0"/>
              <w:autoSpaceDE/>
              <w:autoSpaceDN/>
              <w:bidi w:val="0"/>
              <w:spacing w:line="288" w:lineRule="auto"/>
              <w:ind w:left="0" w:leftChars="0" w:firstLine="0" w:firstLineChars="0"/>
              <w:textAlignment w:val="auto"/>
              <w:rPr>
                <w:rFonts w:hint="eastAsia" w:ascii="宋体" w:hAnsi="宋体" w:eastAsia="宋体" w:cs="宋体"/>
                <w:sz w:val="24"/>
                <w:szCs w:val="24"/>
                <w:lang w:val="en-US" w:eastAsia="zh-CN"/>
              </w:rPr>
            </w:pPr>
            <w:r>
              <w:rPr>
                <w:rFonts w:ascii="宋体" w:hAnsi="宋体" w:eastAsia="宋体" w:cs="宋体"/>
                <w:b/>
                <w:bCs/>
                <w:sz w:val="24"/>
                <w:szCs w:val="24"/>
              </w:rPr>
              <w:t>服务质量措施（</w:t>
            </w:r>
            <w:r>
              <w:rPr>
                <w:rFonts w:hint="eastAsia" w:ascii="宋体" w:hAnsi="宋体" w:eastAsia="宋体" w:cs="宋体"/>
                <w:b/>
                <w:bCs/>
                <w:sz w:val="24"/>
                <w:szCs w:val="24"/>
                <w:lang w:val="en-US" w:eastAsia="zh-CN"/>
              </w:rPr>
              <w:t>1</w:t>
            </w:r>
            <w:r>
              <w:rPr>
                <w:rFonts w:hint="eastAsia" w:cs="宋体"/>
                <w:b/>
                <w:bCs/>
                <w:sz w:val="24"/>
                <w:szCs w:val="24"/>
                <w:lang w:val="en-US" w:eastAsia="zh-CN"/>
              </w:rPr>
              <w:t>0</w:t>
            </w:r>
            <w:r>
              <w:rPr>
                <w:rFonts w:ascii="宋体" w:hAnsi="宋体" w:eastAsia="宋体" w:cs="宋体"/>
                <w:b/>
                <w:bCs/>
                <w:sz w:val="24"/>
                <w:szCs w:val="24"/>
              </w:rPr>
              <w:t xml:space="preserve"> 分）</w:t>
            </w:r>
            <w:r>
              <w:rPr>
                <w:rFonts w:ascii="宋体" w:hAnsi="宋体" w:eastAsia="宋体" w:cs="宋体"/>
                <w:sz w:val="24"/>
                <w:szCs w:val="24"/>
              </w:rPr>
              <w:t>：</w:t>
            </w:r>
          </w:p>
          <w:p w14:paraId="46B7A31C">
            <w:pPr>
              <w:pStyle w:val="14"/>
              <w:keepNext w:val="0"/>
              <w:keepLines w:val="0"/>
              <w:pageBreakBefore w:val="0"/>
              <w:numPr>
                <w:ilvl w:val="0"/>
                <w:numId w:val="0"/>
              </w:numPr>
              <w:kinsoku/>
              <w:wordWrap/>
              <w:overflowPunct/>
              <w:topLinePunct w:val="0"/>
              <w:autoSpaceDE/>
              <w:autoSpaceDN/>
              <w:bidi w:val="0"/>
              <w:spacing w:line="288" w:lineRule="auto"/>
              <w:ind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供应商针对本项目需求，提供详细、清晰、科学、合理的服务质量措施。包括：①日常系统监控；②性能优化和调整；③安全管理与防护；④数据备份与恢复；⑤保密措施；上述 5 项内容供应商每完全响应一项得</w:t>
            </w:r>
            <w:r>
              <w:rPr>
                <w:rFonts w:hint="eastAsia" w:cs="宋体"/>
                <w:sz w:val="24"/>
                <w:szCs w:val="24"/>
                <w:lang w:val="en-US" w:eastAsia="zh-CN"/>
              </w:rPr>
              <w:t>2</w:t>
            </w:r>
            <w:r>
              <w:rPr>
                <w:rFonts w:ascii="宋体" w:hAnsi="宋体" w:eastAsia="宋体" w:cs="宋体"/>
                <w:sz w:val="24"/>
                <w:szCs w:val="24"/>
              </w:rPr>
              <w:t>分，满分</w:t>
            </w:r>
            <w:r>
              <w:rPr>
                <w:rFonts w:hint="eastAsia" w:cs="宋体"/>
                <w:sz w:val="24"/>
                <w:szCs w:val="24"/>
                <w:lang w:val="en-US" w:eastAsia="zh-CN"/>
              </w:rPr>
              <w:t>10</w:t>
            </w:r>
            <w:r>
              <w:rPr>
                <w:rFonts w:ascii="宋体" w:hAnsi="宋体" w:eastAsia="宋体" w:cs="宋体"/>
                <w:sz w:val="24"/>
                <w:szCs w:val="24"/>
              </w:rPr>
              <w:t>分；未响应或未提供不得分；措施中存在缺陷或不足的，每有一处扣</w:t>
            </w:r>
            <w:r>
              <w:rPr>
                <w:rFonts w:hint="eastAsia" w:ascii="宋体" w:hAnsi="宋体" w:eastAsia="宋体" w:cs="宋体"/>
                <w:sz w:val="24"/>
                <w:szCs w:val="24"/>
                <w:lang w:val="en-US" w:eastAsia="zh-CN"/>
              </w:rPr>
              <w:t>1</w:t>
            </w:r>
            <w:r>
              <w:rPr>
                <w:rFonts w:ascii="宋体" w:hAnsi="宋体" w:eastAsia="宋体" w:cs="宋体"/>
                <w:sz w:val="24"/>
                <w:szCs w:val="24"/>
              </w:rPr>
              <w:t xml:space="preserve"> 分，扣完为止。</w:t>
            </w:r>
          </w:p>
        </w:tc>
      </w:tr>
      <w:tr w14:paraId="01E5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gridSpan w:val="2"/>
            <w:vAlign w:val="center"/>
          </w:tcPr>
          <w:p w14:paraId="01BFCBDC">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ascii="宋体" w:hAnsi="宋体" w:eastAsia="宋体" w:cs="宋体"/>
                <w:sz w:val="24"/>
                <w:szCs w:val="24"/>
              </w:rPr>
            </w:pPr>
            <w:r>
              <w:rPr>
                <w:rFonts w:ascii="宋体" w:hAnsi="宋体" w:eastAsia="宋体" w:cs="宋体"/>
                <w:sz w:val="24"/>
                <w:szCs w:val="24"/>
              </w:rPr>
              <w:t>售后服务计划、</w:t>
            </w:r>
          </w:p>
          <w:p w14:paraId="0042AC55">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kern w:val="2"/>
                <w:sz w:val="24"/>
                <w:szCs w:val="24"/>
                <w:lang w:val="en-US" w:eastAsia="zh-CN"/>
              </w:rPr>
            </w:pPr>
            <w:r>
              <w:rPr>
                <w:rFonts w:ascii="宋体" w:hAnsi="宋体" w:eastAsia="宋体" w:cs="宋体"/>
                <w:sz w:val="24"/>
                <w:szCs w:val="24"/>
              </w:rPr>
              <w:t>措 施</w:t>
            </w:r>
            <w:r>
              <w:rPr>
                <w:rFonts w:hint="eastAsia" w:ascii="宋体" w:hAnsi="宋体" w:cs="宋体"/>
                <w:sz w:val="24"/>
                <w:szCs w:val="24"/>
                <w:lang w:val="en-US" w:eastAsia="zh-CN"/>
              </w:rPr>
              <w:t>（</w:t>
            </w:r>
            <w:r>
              <w:rPr>
                <w:rFonts w:ascii="宋体" w:hAnsi="宋体" w:eastAsia="宋体" w:cs="宋体"/>
                <w:sz w:val="24"/>
                <w:szCs w:val="24"/>
              </w:rPr>
              <w:t xml:space="preserve"> </w:t>
            </w:r>
            <w:r>
              <w:rPr>
                <w:rFonts w:hint="eastAsia" w:ascii="宋体" w:hAnsi="宋体" w:cs="宋体"/>
                <w:sz w:val="24"/>
                <w:szCs w:val="24"/>
                <w:lang w:val="en-US" w:eastAsia="zh-CN"/>
              </w:rPr>
              <w:t>9%）</w:t>
            </w:r>
          </w:p>
        </w:tc>
        <w:tc>
          <w:tcPr>
            <w:tcW w:w="825" w:type="dxa"/>
            <w:vAlign w:val="center"/>
          </w:tcPr>
          <w:p w14:paraId="72F5630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9分</w:t>
            </w:r>
          </w:p>
          <w:p w14:paraId="7BEB328B">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cs="宋体"/>
                <w:kern w:val="2"/>
                <w:sz w:val="24"/>
                <w:szCs w:val="24"/>
                <w:lang w:val="en-US" w:eastAsia="zh-CN"/>
              </w:rPr>
            </w:pPr>
          </w:p>
        </w:tc>
        <w:tc>
          <w:tcPr>
            <w:tcW w:w="6544" w:type="dxa"/>
            <w:vAlign w:val="center"/>
          </w:tcPr>
          <w:p w14:paraId="61B0CBEA">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要求供应商针对本项目特点制定详细的售后服务计划、措施，包括：①系统操作讲解培训方案；②应急情况处置响应方案；③售后服务相关承诺；上述 3 项内容供应商每完全响应一项得3 分，满分9分；未响应或未提供不得分；措施中存在缺陷或不足的，每有一处扣1分，扣完为止。</w:t>
            </w:r>
          </w:p>
        </w:tc>
      </w:tr>
      <w:tr w14:paraId="5D37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9" w:type="dxa"/>
            <w:gridSpan w:val="4"/>
            <w:vAlign w:val="center"/>
          </w:tcPr>
          <w:p w14:paraId="6E550225">
            <w:pPr>
              <w:pStyle w:val="14"/>
              <w:keepNext w:val="0"/>
              <w:keepLines w:val="0"/>
              <w:pageBreakBefore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sz w:val="24"/>
                <w:szCs w:val="24"/>
                <w:lang w:val="en-US" w:eastAsia="zh-CN"/>
              </w:rPr>
            </w:pPr>
            <w:r>
              <w:rPr>
                <w:rFonts w:ascii="宋体" w:hAnsi="宋体" w:eastAsia="宋体" w:cs="宋体"/>
                <w:sz w:val="24"/>
                <w:szCs w:val="24"/>
              </w:rPr>
              <w:t>注：缺陷、不足是指存在项目名称错误、地点区域错误、内容与本项目需求无关、方案内容矛盾或表述前后不一致、仅有框架或标题、适用的标准（方法）错误、不利于项目实施、不可能实现、明显复制其他项目内容等情况的任意一种情形。</w:t>
            </w:r>
          </w:p>
        </w:tc>
      </w:tr>
    </w:tbl>
    <w:p w14:paraId="3C21EEB5">
      <w:pPr>
        <w:pStyle w:val="13"/>
        <w:spacing w:line="360" w:lineRule="auto"/>
        <w:ind w:left="141"/>
        <w:jc w:val="left"/>
        <w:rPr>
          <w:rFonts w:hint="eastAsia" w:ascii="宋体" w:hAnsi="宋体" w:eastAsia="宋体" w:cs="宋体"/>
          <w:b/>
          <w:color w:val="000000"/>
          <w:sz w:val="24"/>
        </w:rPr>
      </w:pPr>
    </w:p>
    <w:p w14:paraId="39CF1E2C">
      <w:pPr>
        <w:pStyle w:val="5"/>
        <w:rPr>
          <w:rFonts w:hint="eastAsia" w:ascii="宋体" w:hAnsi="宋体" w:eastAsia="宋体" w:cs="宋体"/>
          <w:b/>
          <w:color w:val="000000"/>
        </w:rPr>
      </w:pPr>
      <w:bookmarkStart w:id="68" w:name="_Toc31583"/>
      <w:r>
        <w:rPr>
          <w:rFonts w:hint="eastAsia" w:ascii="宋体" w:hAnsi="宋体" w:eastAsia="宋体" w:cs="宋体"/>
          <w:b/>
          <w:color w:val="000000"/>
          <w:sz w:val="24"/>
          <w:szCs w:val="24"/>
        </w:rPr>
        <w:t>定标</w:t>
      </w:r>
      <w:bookmarkEnd w:id="68"/>
    </w:p>
    <w:p w14:paraId="78402473">
      <w:pPr>
        <w:pStyle w:val="6"/>
        <w:numPr>
          <w:ilvl w:val="0"/>
          <w:numId w:val="4"/>
        </w:numPr>
        <w:spacing w:before="0" w:after="0" w:line="360" w:lineRule="auto"/>
        <w:rPr>
          <w:rFonts w:hint="eastAsia" w:ascii="宋体" w:hAnsi="宋体" w:eastAsia="宋体" w:cs="宋体"/>
          <w:b w:val="0"/>
          <w:color w:val="000000"/>
        </w:rPr>
      </w:pPr>
      <w:bookmarkStart w:id="69" w:name="_Toc5459"/>
      <w:bookmarkStart w:id="70" w:name="_Toc488673637"/>
      <w:r>
        <w:rPr>
          <w:rFonts w:hint="eastAsia" w:ascii="宋体" w:hAnsi="宋体" w:eastAsia="宋体" w:cs="宋体"/>
          <w:b w:val="0"/>
          <w:color w:val="000000"/>
        </w:rPr>
        <w:t>推荐并确定成交磋商供应商</w:t>
      </w:r>
      <w:bookmarkEnd w:id="69"/>
      <w:bookmarkEnd w:id="70"/>
    </w:p>
    <w:p w14:paraId="6A036B71">
      <w:pPr>
        <w:pStyle w:val="13"/>
        <w:numPr>
          <w:ilvl w:val="1"/>
          <w:numId w:val="32"/>
        </w:numPr>
        <w:spacing w:line="360" w:lineRule="auto"/>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采用综合评分法的，</w:t>
      </w:r>
      <w:r>
        <w:rPr>
          <w:rFonts w:hint="eastAsia" w:ascii="宋体" w:hAnsi="宋体" w:eastAsia="宋体" w:cs="宋体"/>
          <w:color w:val="000000"/>
          <w:sz w:val="24"/>
          <w:szCs w:val="24"/>
          <w:shd w:val="clear" w:color="auto" w:fill="FFFFFF"/>
        </w:rPr>
        <w:t>评标结果按评审后得分由高到低顺序排列。得分相同的，按磋商报价由低到高顺序排列。得分且磋商报价相同的并列。磋商响应文件满足磋商文件全部实质性要求，且按照评审因素的量化指标评审得分最高的磋商供应商为排名第一的成交候选人。</w:t>
      </w:r>
    </w:p>
    <w:p w14:paraId="58040995">
      <w:pPr>
        <w:pStyle w:val="13"/>
        <w:numPr>
          <w:ilvl w:val="1"/>
          <w:numId w:val="32"/>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成交磋商供应商因不可抗力或自身原因不能履行合同时，采购单位可以按照评审报告推荐的预成交候选磋商供应商名单排序，确定下一候选磋商供应商为成交磋商供应商，也可重新开展采购活动。</w:t>
      </w:r>
    </w:p>
    <w:p w14:paraId="0EDA975E">
      <w:pPr>
        <w:pStyle w:val="13"/>
        <w:numPr>
          <w:ilvl w:val="1"/>
          <w:numId w:val="32"/>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评标结果汇总完成后，除下列情形外，任何人不得修改评标结果：</w:t>
      </w:r>
    </w:p>
    <w:p w14:paraId="61E3DFE6">
      <w:pPr>
        <w:pStyle w:val="13"/>
        <w:numPr>
          <w:ilvl w:val="0"/>
          <w:numId w:val="33"/>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分值汇总计算错误的；</w:t>
      </w:r>
    </w:p>
    <w:p w14:paraId="04E3FAD4">
      <w:pPr>
        <w:pStyle w:val="13"/>
        <w:numPr>
          <w:ilvl w:val="0"/>
          <w:numId w:val="33"/>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分项评分超出评分标准范围的；</w:t>
      </w:r>
    </w:p>
    <w:p w14:paraId="0AC26808">
      <w:pPr>
        <w:pStyle w:val="13"/>
        <w:numPr>
          <w:ilvl w:val="0"/>
          <w:numId w:val="33"/>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评标委员会成员对客观评审因素评分不一致的；</w:t>
      </w:r>
    </w:p>
    <w:p w14:paraId="7EB9BBD6">
      <w:pPr>
        <w:pStyle w:val="13"/>
        <w:numPr>
          <w:ilvl w:val="0"/>
          <w:numId w:val="33"/>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经评标委员会认定评分畸高、畸低的。</w:t>
      </w:r>
    </w:p>
    <w:p w14:paraId="68180A41">
      <w:pPr>
        <w:autoSpaceDE w:val="0"/>
        <w:autoSpaceDN w:val="0"/>
        <w:spacing w:line="360" w:lineRule="auto"/>
        <w:ind w:firstLine="720" w:firstLineChars="3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CDB1B69">
      <w:pPr>
        <w:pStyle w:val="13"/>
        <w:spacing w:line="360" w:lineRule="auto"/>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磋商供应商对以上情形提出质疑的，采购人或者采购代理机构可以组织原评标委员会进行重新评审，重新评审改变评标结果的，应当书面报告本级财政部门。</w:t>
      </w:r>
    </w:p>
    <w:p w14:paraId="3EEC1317">
      <w:pPr>
        <w:pStyle w:val="6"/>
        <w:numPr>
          <w:ilvl w:val="0"/>
          <w:numId w:val="4"/>
        </w:numPr>
        <w:spacing w:before="0" w:after="0" w:line="360" w:lineRule="auto"/>
        <w:rPr>
          <w:rFonts w:hint="eastAsia" w:ascii="宋体" w:hAnsi="宋体" w:eastAsia="宋体" w:cs="宋体"/>
          <w:b w:val="0"/>
          <w:color w:val="000000"/>
        </w:rPr>
      </w:pPr>
      <w:bookmarkStart w:id="71" w:name="_Toc7514"/>
      <w:bookmarkStart w:id="72" w:name="_Toc488673638"/>
      <w:r>
        <w:rPr>
          <w:rFonts w:hint="eastAsia" w:ascii="宋体" w:hAnsi="宋体" w:eastAsia="宋体" w:cs="宋体"/>
          <w:b w:val="0"/>
          <w:color w:val="000000"/>
        </w:rPr>
        <w:t>成交通知</w:t>
      </w:r>
      <w:bookmarkEnd w:id="71"/>
      <w:bookmarkEnd w:id="72"/>
    </w:p>
    <w:p w14:paraId="1FA9C17A">
      <w:pPr>
        <w:pStyle w:val="13"/>
        <w:numPr>
          <w:ilvl w:val="1"/>
          <w:numId w:val="34"/>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采购代理机构应当在评标结束后2个工作日内将评标报告送采购人。采购人应当自收到评标报告之日起5个工作日内，在评标报告确定的成交候选人名单中按顺序确定成交人。成交候选人并列的，由采购人或者采购人委托评标委员会按照磋商文件规定的方式确定成交人；磋商文件未规定的，采取随机抽取的方式确定。</w:t>
      </w:r>
    </w:p>
    <w:p w14:paraId="7F1B2046">
      <w:pPr>
        <w:pStyle w:val="13"/>
        <w:numPr>
          <w:ilvl w:val="1"/>
          <w:numId w:val="34"/>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采购人在收到评标报告5个工作日内未按评标报告推荐的成交候选人顺序确定成交人，又不能说明合法理由的，视同按评标报告推荐的顺序确定排名第一的成交候选人为成交人。</w:t>
      </w:r>
    </w:p>
    <w:p w14:paraId="138391FD">
      <w:pPr>
        <w:pStyle w:val="13"/>
        <w:numPr>
          <w:ilvl w:val="1"/>
          <w:numId w:val="34"/>
        </w:numPr>
        <w:spacing w:line="360" w:lineRule="auto"/>
        <w:jc w:val="left"/>
        <w:rPr>
          <w:rFonts w:hint="eastAsia" w:ascii="宋体" w:hAnsi="宋体" w:eastAsia="宋体" w:cs="宋体"/>
          <w:b/>
          <w:bCs/>
          <w:color w:val="000000"/>
          <w:sz w:val="32"/>
        </w:rPr>
      </w:pPr>
      <w:r>
        <w:rPr>
          <w:rFonts w:hint="eastAsia" w:ascii="宋体" w:hAnsi="宋体" w:eastAsia="宋体" w:cs="宋体"/>
          <w:color w:val="000000"/>
          <w:sz w:val="24"/>
          <w:szCs w:val="28"/>
        </w:rPr>
        <w:t>采购代理机构自成交磋商供应商确定之日起2个工作日内发出《成交通知书》，并在青海项目信息网、</w:t>
      </w:r>
      <w:r>
        <w:rPr>
          <w:rFonts w:hint="eastAsia" w:hAnsi="宋体" w:eastAsia="宋体" w:cs="宋体"/>
          <w:color w:val="000000"/>
          <w:sz w:val="24"/>
          <w:lang w:eastAsia="zh-CN"/>
        </w:rPr>
        <w:t>青海省电子招投标公共服务平台</w:t>
      </w:r>
      <w:r>
        <w:rPr>
          <w:rFonts w:hint="eastAsia" w:ascii="宋体" w:hAnsi="宋体" w:eastAsia="宋体" w:cs="宋体"/>
          <w:color w:val="000000"/>
          <w:sz w:val="24"/>
          <w:szCs w:val="28"/>
        </w:rPr>
        <w:t>等媒体上公告成交结果。</w:t>
      </w:r>
    </w:p>
    <w:p w14:paraId="71551F62">
      <w:pPr>
        <w:pStyle w:val="13"/>
        <w:numPr>
          <w:ilvl w:val="1"/>
          <w:numId w:val="34"/>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成交结果公告内容应当包括采购人及其委托的采购代理机构的名称、地址、联系方式，项目名称和项目编号，成交人名称、地址和成交金额，主要成交标的的名称、数量、单价、服务要求，成交公告期限以及评审专家名单。</w:t>
      </w:r>
    </w:p>
    <w:p w14:paraId="5F251514">
      <w:pPr>
        <w:pStyle w:val="13"/>
        <w:numPr>
          <w:ilvl w:val="1"/>
          <w:numId w:val="34"/>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成交公告期限为1个工作日。</w:t>
      </w:r>
    </w:p>
    <w:p w14:paraId="345E2529">
      <w:pPr>
        <w:pStyle w:val="13"/>
        <w:numPr>
          <w:ilvl w:val="1"/>
          <w:numId w:val="34"/>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在公告成交结果的同时，</w:t>
      </w:r>
      <w:r>
        <w:rPr>
          <w:rFonts w:hint="eastAsia" w:ascii="宋体" w:hAnsi="宋体" w:eastAsia="宋体" w:cs="宋体"/>
          <w:color w:val="000000"/>
          <w:sz w:val="24"/>
          <w:szCs w:val="24"/>
          <w:shd w:val="clear" w:color="auto" w:fill="FFFFFF"/>
        </w:rPr>
        <w:t>采购人或者采购代理机构</w:t>
      </w:r>
      <w:r>
        <w:rPr>
          <w:rFonts w:hint="eastAsia" w:ascii="宋体" w:hAnsi="宋体" w:eastAsia="宋体" w:cs="宋体"/>
          <w:color w:val="000000"/>
          <w:sz w:val="24"/>
          <w:szCs w:val="24"/>
        </w:rPr>
        <w:t>应当向成交人发出成交通知书；采用综合评分法评审的，还应当告知未成交人本人的评审得分与排序。</w:t>
      </w:r>
    </w:p>
    <w:p w14:paraId="7250A8DD">
      <w:pPr>
        <w:pStyle w:val="13"/>
        <w:numPr>
          <w:ilvl w:val="1"/>
          <w:numId w:val="34"/>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成交通知书发出后，采购人不得违法改变成交结果，成交人无正当理由不得放弃成交。</w:t>
      </w:r>
    </w:p>
    <w:p w14:paraId="5F7B90CA">
      <w:pPr>
        <w:pStyle w:val="13"/>
        <w:numPr>
          <w:ilvl w:val="1"/>
          <w:numId w:val="34"/>
        </w:numPr>
        <w:spacing w:line="360" w:lineRule="auto"/>
        <w:jc w:val="left"/>
        <w:rPr>
          <w:rFonts w:hint="eastAsia" w:ascii="宋体" w:hAnsi="宋体" w:eastAsia="宋体" w:cs="宋体"/>
          <w:b/>
          <w:bCs/>
          <w:color w:val="000000"/>
          <w:sz w:val="32"/>
        </w:rPr>
      </w:pPr>
      <w:r>
        <w:rPr>
          <w:rFonts w:hint="eastAsia" w:ascii="宋体" w:hAnsi="宋体" w:eastAsia="宋体" w:cs="宋体"/>
          <w:color w:val="000000"/>
          <w:sz w:val="24"/>
          <w:szCs w:val="28"/>
        </w:rPr>
        <w:t>《成交通知书》对采购单位和成交磋商供应商具有同等效力，《成交通知书》发出后，采购单位改变成交结果的，或者成交磋商供应商无正当理由放弃成交项目的，依法承担法律责任。</w:t>
      </w:r>
    </w:p>
    <w:p w14:paraId="540BE6D0">
      <w:pPr>
        <w:pStyle w:val="5"/>
        <w:rPr>
          <w:rFonts w:hint="eastAsia" w:ascii="宋体" w:hAnsi="宋体" w:eastAsia="宋体" w:cs="宋体"/>
          <w:b/>
          <w:color w:val="000000"/>
        </w:rPr>
      </w:pPr>
      <w:bookmarkStart w:id="73" w:name="_Toc6991"/>
      <w:r>
        <w:rPr>
          <w:rFonts w:hint="eastAsia" w:ascii="宋体" w:hAnsi="宋体" w:eastAsia="宋体" w:cs="宋体"/>
          <w:b/>
          <w:color w:val="000000"/>
        </w:rPr>
        <w:t>授予合同</w:t>
      </w:r>
      <w:bookmarkEnd w:id="73"/>
    </w:p>
    <w:p w14:paraId="0FFF3BA4">
      <w:pPr>
        <w:pStyle w:val="6"/>
        <w:numPr>
          <w:ilvl w:val="0"/>
          <w:numId w:val="4"/>
        </w:numPr>
        <w:spacing w:before="0" w:after="0" w:line="360" w:lineRule="auto"/>
        <w:rPr>
          <w:rFonts w:hint="eastAsia" w:ascii="宋体" w:hAnsi="宋体" w:eastAsia="宋体" w:cs="宋体"/>
          <w:b w:val="0"/>
          <w:color w:val="000000"/>
        </w:rPr>
      </w:pPr>
      <w:bookmarkStart w:id="74" w:name="_Toc488673640"/>
      <w:bookmarkStart w:id="75" w:name="_Toc22594"/>
      <w:r>
        <w:rPr>
          <w:rFonts w:hint="eastAsia" w:ascii="宋体" w:hAnsi="宋体" w:eastAsia="宋体" w:cs="宋体"/>
          <w:b w:val="0"/>
          <w:color w:val="000000"/>
        </w:rPr>
        <w:t>签订合同</w:t>
      </w:r>
      <w:bookmarkEnd w:id="74"/>
      <w:bookmarkEnd w:id="75"/>
    </w:p>
    <w:p w14:paraId="09609E51">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采购单位与成交磋商供应商双方应当自《成交通知书》发出之日起30日内，签订采购合同，送采购代理机构审核并备案；</w:t>
      </w:r>
    </w:p>
    <w:p w14:paraId="21CF1580">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成交磋商供应商在法定期限内无正当理由拒签合同的，按违约处理。同时，采购代理机构和采购单位可依评标排序重新确定成交磋商供应商，并协调双方签订采购合同，或重新组织采购活动；</w:t>
      </w:r>
    </w:p>
    <w:p w14:paraId="7A45D428">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采购单位不得向成交供应商提出任何不合理的要求作为订立合同的条件，采购单位和成交供应商不得私下订立背离合同实质性内容的协议；</w:t>
      </w:r>
    </w:p>
    <w:p w14:paraId="265C2AC6">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磋商文件、成交磋商供应商的磋商响应文件、《成交通知书》及其澄清、说明文件、承诺等，均为签订采购合同的依据，作为采购合同的组成部分；</w:t>
      </w:r>
    </w:p>
    <w:p w14:paraId="16C226F6">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采购人与成交人应当根据合同的约定依法履行合同义务。采购合同的履行、违约责任和解决争议的方法等适用《中华人民共和国民法典》。</w:t>
      </w:r>
    </w:p>
    <w:p w14:paraId="2066A95D">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采购人应当及时对采购项目进行验收。采购人可以邀请参加本项目的其他磋商供应商或者第三方机构参与验收。参与验收的磋商供应商或者第三方机构的意见作为验收书的参考资料一并存档。</w:t>
      </w:r>
    </w:p>
    <w:p w14:paraId="0AA8AE4F">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采购人应当加强对成交人的履约管理，并按照采购合同约定，及时向成交人支付采购资金。对于成交人违反采购合同约定的行为，采购人应当及时处理，依法追究其违约责任。</w:t>
      </w:r>
    </w:p>
    <w:p w14:paraId="54CD0715">
      <w:pPr>
        <w:pStyle w:val="13"/>
        <w:numPr>
          <w:ilvl w:val="1"/>
          <w:numId w:val="35"/>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采购人、采购代理机构应当建立真实完整的招标采购档案，妥善保存每项采购活动的磋商文件。</w:t>
      </w:r>
    </w:p>
    <w:p w14:paraId="63020805">
      <w:pPr>
        <w:pStyle w:val="5"/>
        <w:rPr>
          <w:rFonts w:hint="eastAsia" w:ascii="宋体" w:hAnsi="宋体" w:eastAsia="宋体" w:cs="宋体"/>
          <w:b/>
          <w:color w:val="000000"/>
        </w:rPr>
      </w:pPr>
      <w:bookmarkStart w:id="76" w:name="_Toc21024"/>
      <w:r>
        <w:rPr>
          <w:rFonts w:hint="eastAsia" w:ascii="宋体" w:hAnsi="宋体" w:eastAsia="宋体" w:cs="宋体"/>
          <w:b/>
          <w:color w:val="000000"/>
        </w:rPr>
        <w:t>废标条款</w:t>
      </w:r>
      <w:bookmarkEnd w:id="76"/>
    </w:p>
    <w:p w14:paraId="640703BF">
      <w:pPr>
        <w:pStyle w:val="6"/>
        <w:numPr>
          <w:ilvl w:val="0"/>
          <w:numId w:val="4"/>
        </w:numPr>
        <w:spacing w:before="0" w:after="0" w:line="360" w:lineRule="auto"/>
        <w:rPr>
          <w:rFonts w:hint="eastAsia" w:ascii="宋体" w:hAnsi="宋体" w:eastAsia="宋体" w:cs="宋体"/>
          <w:b w:val="0"/>
          <w:color w:val="000000"/>
        </w:rPr>
      </w:pPr>
      <w:bookmarkStart w:id="77" w:name="_Toc4823"/>
      <w:bookmarkStart w:id="78" w:name="_Toc488673642"/>
      <w:r>
        <w:rPr>
          <w:rFonts w:hint="eastAsia" w:ascii="宋体" w:hAnsi="宋体" w:eastAsia="宋体" w:cs="宋体"/>
          <w:b w:val="0"/>
          <w:color w:val="000000"/>
        </w:rPr>
        <w:t>废标情形</w:t>
      </w:r>
      <w:bookmarkEnd w:id="77"/>
      <w:bookmarkEnd w:id="78"/>
    </w:p>
    <w:p w14:paraId="44BAF45F">
      <w:pPr>
        <w:pStyle w:val="13"/>
        <w:numPr>
          <w:ilvl w:val="1"/>
          <w:numId w:val="36"/>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4"/>
        </w:rPr>
        <w:t>在磋商采购中，出现下列情形之一的，应予废标：</w:t>
      </w:r>
    </w:p>
    <w:p w14:paraId="530F3A7F">
      <w:pPr>
        <w:pStyle w:val="13"/>
        <w:numPr>
          <w:ilvl w:val="0"/>
          <w:numId w:val="3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出现影响采购活动正常推进的违法、违规行为的；</w:t>
      </w:r>
    </w:p>
    <w:p w14:paraId="1D0EFA15">
      <w:pPr>
        <w:pStyle w:val="13"/>
        <w:numPr>
          <w:ilvl w:val="0"/>
          <w:numId w:val="3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磋商供应商的报价均超出采购预算额度，采购单位不能支付的；</w:t>
      </w:r>
    </w:p>
    <w:p w14:paraId="4E994751">
      <w:pPr>
        <w:pStyle w:val="13"/>
        <w:numPr>
          <w:ilvl w:val="0"/>
          <w:numId w:val="3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因重大变故，采购任务取消的。</w:t>
      </w:r>
    </w:p>
    <w:p w14:paraId="698CA6AF">
      <w:pPr>
        <w:pStyle w:val="13"/>
        <w:numPr>
          <w:ilvl w:val="1"/>
          <w:numId w:val="36"/>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废标后，由采购代理机构发布废标公告。</w:t>
      </w:r>
    </w:p>
    <w:p w14:paraId="378F4F99">
      <w:pPr>
        <w:pStyle w:val="5"/>
        <w:rPr>
          <w:rFonts w:hint="eastAsia" w:ascii="宋体" w:hAnsi="宋体" w:eastAsia="宋体" w:cs="宋体"/>
          <w:b/>
          <w:color w:val="000000"/>
        </w:rPr>
      </w:pPr>
      <w:bookmarkStart w:id="79" w:name="_Toc17522"/>
      <w:r>
        <w:rPr>
          <w:rFonts w:hint="eastAsia" w:ascii="宋体" w:hAnsi="宋体" w:eastAsia="宋体" w:cs="宋体"/>
          <w:b/>
          <w:color w:val="000000"/>
        </w:rPr>
        <w:t>其他</w:t>
      </w:r>
      <w:bookmarkEnd w:id="79"/>
    </w:p>
    <w:p w14:paraId="4FAAAFFA">
      <w:pPr>
        <w:pStyle w:val="6"/>
        <w:numPr>
          <w:ilvl w:val="0"/>
          <w:numId w:val="4"/>
        </w:numPr>
        <w:spacing w:before="0" w:after="0" w:line="360" w:lineRule="auto"/>
        <w:rPr>
          <w:rFonts w:hint="eastAsia" w:ascii="宋体" w:hAnsi="宋体" w:eastAsia="宋体" w:cs="宋体"/>
          <w:b w:val="0"/>
          <w:color w:val="000000"/>
        </w:rPr>
      </w:pPr>
      <w:bookmarkStart w:id="80" w:name="_Toc6224"/>
      <w:bookmarkStart w:id="81" w:name="_Toc488673644"/>
      <w:r>
        <w:rPr>
          <w:rFonts w:hint="eastAsia" w:ascii="宋体" w:hAnsi="宋体" w:eastAsia="宋体" w:cs="宋体"/>
          <w:b w:val="0"/>
          <w:color w:val="000000"/>
        </w:rPr>
        <w:t>串标情形</w:t>
      </w:r>
      <w:bookmarkEnd w:id="80"/>
      <w:bookmarkEnd w:id="81"/>
    </w:p>
    <w:p w14:paraId="76100C5A">
      <w:pPr>
        <w:pStyle w:val="13"/>
        <w:numPr>
          <w:ilvl w:val="0"/>
          <w:numId w:val="38"/>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磋商供应商应当遵循公平竞争的原则，不得恶意串通，不得妨碍其他磋商供应商的竞争行为，不得损害采购人或者其他磋商供应商的合法权益</w:t>
      </w:r>
      <w:r>
        <w:rPr>
          <w:rFonts w:hint="eastAsia" w:ascii="宋体" w:hAnsi="宋体" w:eastAsia="宋体" w:cs="宋体"/>
          <w:color w:val="000000"/>
        </w:rPr>
        <w:t>。</w:t>
      </w:r>
    </w:p>
    <w:p w14:paraId="37A3A3FF">
      <w:pPr>
        <w:pStyle w:val="13"/>
        <w:spacing w:line="360" w:lineRule="auto"/>
        <w:ind w:left="1042" w:leftChars="496" w:firstLine="480" w:firstLineChars="200"/>
        <w:jc w:val="left"/>
        <w:rPr>
          <w:rFonts w:hint="eastAsia" w:ascii="宋体" w:hAnsi="宋体" w:eastAsia="宋体" w:cs="宋体"/>
          <w:color w:val="000000"/>
        </w:rPr>
      </w:pPr>
      <w:r>
        <w:rPr>
          <w:rFonts w:hint="eastAsia" w:ascii="宋体" w:hAnsi="宋体" w:eastAsia="宋体" w:cs="宋体"/>
          <w:color w:val="000000"/>
          <w:sz w:val="24"/>
          <w:szCs w:val="28"/>
        </w:rPr>
        <w:t>在评标过程中发现磋商供应商有上述情形的，评标委员会应当认定其磋商无效，并书面报告本级财政部门</w:t>
      </w:r>
      <w:r>
        <w:rPr>
          <w:rFonts w:hint="eastAsia" w:ascii="宋体" w:hAnsi="宋体" w:eastAsia="宋体" w:cs="宋体"/>
          <w:color w:val="000000"/>
        </w:rPr>
        <w:t>。</w:t>
      </w:r>
    </w:p>
    <w:p w14:paraId="5CB33EB6">
      <w:pPr>
        <w:pStyle w:val="13"/>
        <w:numPr>
          <w:ilvl w:val="0"/>
          <w:numId w:val="38"/>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有下列情形之一的，视为磋商供应商串通磋商，其磋商无效：</w:t>
      </w:r>
    </w:p>
    <w:p w14:paraId="7DA0D26D">
      <w:pPr>
        <w:pStyle w:val="13"/>
        <w:numPr>
          <w:ilvl w:val="0"/>
          <w:numId w:val="39"/>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不同磋商供应商的磋商响应文件由同一单位或者个人编制；</w:t>
      </w:r>
    </w:p>
    <w:p w14:paraId="08AE0714">
      <w:pPr>
        <w:pStyle w:val="13"/>
        <w:numPr>
          <w:ilvl w:val="0"/>
          <w:numId w:val="39"/>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不同磋商供应商委托同一单位或者个人办理磋商事宜；</w:t>
      </w:r>
    </w:p>
    <w:p w14:paraId="0D79A854">
      <w:pPr>
        <w:pStyle w:val="13"/>
        <w:numPr>
          <w:ilvl w:val="0"/>
          <w:numId w:val="39"/>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不同磋商供应商的磋商响应文件载明的项目管理成员或者联系人员为同一人；</w:t>
      </w:r>
    </w:p>
    <w:p w14:paraId="06C7F4B1">
      <w:pPr>
        <w:pStyle w:val="13"/>
        <w:numPr>
          <w:ilvl w:val="0"/>
          <w:numId w:val="39"/>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不同磋商供应商的磋商响应文件异常一致或者磋商报价呈规律性差异；</w:t>
      </w:r>
    </w:p>
    <w:p w14:paraId="0B2E26AF">
      <w:pPr>
        <w:pStyle w:val="13"/>
        <w:numPr>
          <w:ilvl w:val="0"/>
          <w:numId w:val="39"/>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不同磋商供应商的磋商响应文件相互混装；</w:t>
      </w:r>
    </w:p>
    <w:p w14:paraId="0DE7814E">
      <w:pPr>
        <w:pStyle w:val="13"/>
        <w:numPr>
          <w:ilvl w:val="0"/>
          <w:numId w:val="39"/>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不同磋商供应商的磋商保证金从同一单位或者个人的账户转出。</w:t>
      </w:r>
    </w:p>
    <w:p w14:paraId="20A7A4CD">
      <w:pPr>
        <w:pStyle w:val="13"/>
        <w:spacing w:line="360" w:lineRule="auto"/>
        <w:ind w:firstLine="960" w:firstLineChars="400"/>
        <w:jc w:val="left"/>
        <w:rPr>
          <w:rFonts w:hint="eastAsia" w:ascii="宋体" w:hAnsi="宋体" w:eastAsia="宋体" w:cs="宋体"/>
          <w:color w:val="000000"/>
          <w:sz w:val="24"/>
          <w:szCs w:val="28"/>
        </w:rPr>
      </w:pPr>
      <w:r>
        <w:rPr>
          <w:rFonts w:hint="eastAsia" w:ascii="宋体" w:hAnsi="宋体" w:eastAsia="宋体" w:cs="宋体"/>
          <w:color w:val="000000"/>
          <w:sz w:val="24"/>
          <w:szCs w:val="28"/>
        </w:rPr>
        <w:t>算。</w:t>
      </w:r>
    </w:p>
    <w:p w14:paraId="7CEA7CE3">
      <w:pPr>
        <w:pStyle w:val="13"/>
        <w:numPr>
          <w:ilvl w:val="0"/>
          <w:numId w:val="38"/>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其他未尽事宜，按照《中华人民共和国政府采购法》、《中华人民共和国民法典》、《中华人民共和国政府采购法实施条例》、《政府采购竞争性磋商采购方式管理暂行办法》等法律法规的有关条款执行。</w:t>
      </w:r>
    </w:p>
    <w:p w14:paraId="44C13FB2">
      <w:pPr>
        <w:pStyle w:val="23"/>
        <w:spacing w:before="0" w:after="0" w:line="360" w:lineRule="auto"/>
        <w:rPr>
          <w:rFonts w:hint="eastAsia" w:ascii="宋体" w:hAnsi="宋体" w:eastAsia="宋体" w:cs="宋体"/>
          <w:color w:val="000000"/>
          <w:sz w:val="48"/>
          <w:lang w:eastAsia="zh-CN"/>
        </w:rPr>
      </w:pPr>
      <w:r>
        <w:rPr>
          <w:rFonts w:hint="eastAsia" w:ascii="宋体" w:hAnsi="宋体" w:eastAsia="宋体" w:cs="宋体"/>
          <w:color w:val="000000"/>
          <w:sz w:val="48"/>
        </w:rPr>
        <w:br w:type="page"/>
      </w:r>
      <w:bookmarkStart w:id="82" w:name="_Toc22231"/>
      <w:r>
        <w:rPr>
          <w:rFonts w:hint="eastAsia" w:ascii="宋体" w:hAnsi="宋体" w:eastAsia="宋体" w:cs="宋体"/>
          <w:color w:val="000000"/>
          <w:sz w:val="48"/>
        </w:rPr>
        <w:t>第四部分 青海省采购合同文本</w:t>
      </w:r>
      <w:r>
        <w:rPr>
          <w:rFonts w:hint="eastAsia" w:ascii="宋体" w:hAnsi="宋体" w:eastAsia="宋体" w:cs="宋体"/>
          <w:color w:val="000000"/>
          <w:sz w:val="48"/>
          <w:lang w:val="en-US" w:eastAsia="zh-CN"/>
        </w:rPr>
        <w:t>范本</w:t>
      </w:r>
      <w:bookmarkEnd w:id="82"/>
    </w:p>
    <w:p w14:paraId="3600BBFB">
      <w:pPr>
        <w:spacing w:line="360" w:lineRule="auto"/>
        <w:jc w:val="center"/>
        <w:rPr>
          <w:rFonts w:hint="eastAsia" w:ascii="宋体" w:hAnsi="宋体" w:eastAsia="宋体" w:cs="宋体"/>
          <w:b/>
          <w:color w:val="000000"/>
          <w:spacing w:val="120"/>
          <w:sz w:val="56"/>
          <w:szCs w:val="72"/>
        </w:rPr>
      </w:pPr>
    </w:p>
    <w:p w14:paraId="0198DA47">
      <w:pPr>
        <w:spacing w:line="360" w:lineRule="auto"/>
        <w:jc w:val="center"/>
        <w:rPr>
          <w:rFonts w:hint="eastAsia" w:ascii="宋体" w:hAnsi="宋体" w:eastAsia="宋体" w:cs="宋体"/>
          <w:b/>
          <w:color w:val="000000"/>
          <w:spacing w:val="120"/>
          <w:sz w:val="56"/>
          <w:szCs w:val="72"/>
        </w:rPr>
      </w:pPr>
    </w:p>
    <w:p w14:paraId="0E2C2BB2">
      <w:pPr>
        <w:spacing w:line="360" w:lineRule="auto"/>
        <w:jc w:val="center"/>
        <w:rPr>
          <w:rFonts w:hint="eastAsia" w:ascii="宋体" w:hAnsi="宋体" w:eastAsia="宋体" w:cs="宋体"/>
          <w:b/>
          <w:color w:val="000000"/>
          <w:spacing w:val="120"/>
          <w:sz w:val="56"/>
          <w:szCs w:val="72"/>
        </w:rPr>
      </w:pPr>
    </w:p>
    <w:p w14:paraId="1E401CFA">
      <w:pPr>
        <w:spacing w:line="360" w:lineRule="auto"/>
        <w:jc w:val="center"/>
        <w:rPr>
          <w:rFonts w:hint="eastAsia" w:ascii="宋体" w:hAnsi="宋体" w:eastAsia="宋体" w:cs="宋体"/>
          <w:b/>
          <w:bCs/>
          <w:color w:val="000000"/>
          <w:sz w:val="72"/>
          <w:szCs w:val="50"/>
          <w:lang w:val="zh-CN"/>
        </w:rPr>
      </w:pPr>
      <w:r>
        <w:rPr>
          <w:rFonts w:hint="eastAsia" w:ascii="宋体" w:hAnsi="宋体" w:eastAsia="宋体" w:cs="宋体"/>
          <w:b/>
          <w:bCs/>
          <w:color w:val="000000"/>
          <w:sz w:val="72"/>
          <w:szCs w:val="50"/>
          <w:lang w:val="zh-CN"/>
        </w:rPr>
        <w:t>青海省采购合同书</w:t>
      </w:r>
    </w:p>
    <w:p w14:paraId="2D6ED70F">
      <w:pPr>
        <w:spacing w:line="360" w:lineRule="auto"/>
        <w:jc w:val="center"/>
        <w:rPr>
          <w:rFonts w:hint="eastAsia" w:ascii="宋体" w:hAnsi="宋体" w:eastAsia="宋体" w:cs="宋体"/>
          <w:b/>
          <w:color w:val="000000"/>
          <w:sz w:val="32"/>
          <w:szCs w:val="36"/>
          <w:lang w:eastAsia="zh-CN"/>
        </w:rPr>
      </w:pPr>
      <w:r>
        <w:rPr>
          <w:rFonts w:hint="eastAsia" w:ascii="宋体" w:hAnsi="宋体" w:eastAsia="宋体" w:cs="宋体"/>
          <w:b/>
          <w:color w:val="000000"/>
          <w:sz w:val="32"/>
          <w:szCs w:val="36"/>
          <w:lang w:eastAsia="zh-CN"/>
        </w:rPr>
        <w:t>（</w:t>
      </w:r>
      <w:r>
        <w:rPr>
          <w:rFonts w:hint="eastAsia" w:ascii="宋体" w:hAnsi="宋体" w:eastAsia="宋体" w:cs="宋体"/>
          <w:b/>
          <w:color w:val="000000"/>
          <w:sz w:val="32"/>
          <w:szCs w:val="36"/>
          <w:lang w:val="en-US" w:eastAsia="zh-CN"/>
        </w:rPr>
        <w:t>合同以最终签订为准</w:t>
      </w:r>
      <w:r>
        <w:rPr>
          <w:rFonts w:hint="eastAsia" w:ascii="宋体" w:hAnsi="宋体" w:eastAsia="宋体" w:cs="宋体"/>
          <w:b/>
          <w:color w:val="000000"/>
          <w:sz w:val="32"/>
          <w:szCs w:val="36"/>
          <w:lang w:eastAsia="zh-CN"/>
        </w:rPr>
        <w:t>）</w:t>
      </w:r>
    </w:p>
    <w:p w14:paraId="70DD52C2">
      <w:pPr>
        <w:spacing w:line="360" w:lineRule="auto"/>
        <w:rPr>
          <w:rFonts w:hint="eastAsia" w:ascii="宋体" w:hAnsi="宋体" w:eastAsia="宋体" w:cs="宋体"/>
          <w:b/>
          <w:color w:val="000000"/>
          <w:sz w:val="24"/>
          <w:szCs w:val="28"/>
        </w:rPr>
      </w:pPr>
    </w:p>
    <w:p w14:paraId="3FF2D91E">
      <w:pPr>
        <w:pStyle w:val="50"/>
        <w:rPr>
          <w:rFonts w:hint="eastAsia" w:ascii="宋体" w:hAnsi="宋体" w:eastAsia="宋体" w:cs="宋体"/>
          <w:b/>
          <w:color w:val="000000"/>
          <w:sz w:val="24"/>
          <w:szCs w:val="28"/>
        </w:rPr>
      </w:pPr>
    </w:p>
    <w:p w14:paraId="31CAA550">
      <w:pPr>
        <w:pStyle w:val="50"/>
        <w:rPr>
          <w:rFonts w:hint="eastAsia" w:ascii="宋体" w:hAnsi="宋体" w:eastAsia="宋体" w:cs="宋体"/>
          <w:b/>
          <w:color w:val="000000"/>
          <w:sz w:val="24"/>
          <w:szCs w:val="28"/>
        </w:rPr>
      </w:pPr>
    </w:p>
    <w:p w14:paraId="1E8FBE6E">
      <w:pPr>
        <w:pStyle w:val="50"/>
        <w:rPr>
          <w:rFonts w:hint="eastAsia" w:ascii="宋体" w:hAnsi="宋体" w:eastAsia="宋体" w:cs="宋体"/>
          <w:b/>
          <w:color w:val="000000"/>
          <w:sz w:val="24"/>
          <w:szCs w:val="28"/>
        </w:rPr>
      </w:pPr>
    </w:p>
    <w:p w14:paraId="5BC7BE1E">
      <w:pPr>
        <w:pStyle w:val="50"/>
        <w:rPr>
          <w:rFonts w:hint="eastAsia" w:ascii="宋体" w:hAnsi="宋体" w:eastAsia="宋体" w:cs="宋体"/>
          <w:b/>
          <w:color w:val="000000"/>
          <w:sz w:val="24"/>
          <w:szCs w:val="28"/>
        </w:rPr>
      </w:pPr>
    </w:p>
    <w:p w14:paraId="1907D097">
      <w:pPr>
        <w:pStyle w:val="50"/>
        <w:rPr>
          <w:rFonts w:hint="eastAsia" w:ascii="宋体" w:hAnsi="宋体" w:eastAsia="宋体" w:cs="宋体"/>
          <w:b/>
          <w:color w:val="000000"/>
          <w:sz w:val="24"/>
          <w:szCs w:val="28"/>
        </w:rPr>
      </w:pPr>
    </w:p>
    <w:p w14:paraId="7A708158">
      <w:pPr>
        <w:pStyle w:val="50"/>
        <w:rPr>
          <w:rFonts w:hint="eastAsia" w:ascii="宋体" w:hAnsi="宋体" w:eastAsia="宋体" w:cs="宋体"/>
          <w:b/>
          <w:color w:val="000000"/>
          <w:sz w:val="24"/>
          <w:szCs w:val="28"/>
        </w:rPr>
      </w:pPr>
    </w:p>
    <w:p w14:paraId="6287EF54">
      <w:pPr>
        <w:spacing w:line="360" w:lineRule="auto"/>
        <w:ind w:left="2317" w:leftChars="300" w:hanging="1687" w:hangingChars="700"/>
        <w:rPr>
          <w:rFonts w:hint="eastAsia" w:ascii="宋体" w:hAnsi="宋体" w:eastAsia="宋体" w:cs="宋体"/>
          <w:b/>
          <w:color w:val="000000"/>
          <w:kern w:val="0"/>
          <w:sz w:val="32"/>
          <w:szCs w:val="32"/>
          <w:u w:val="single"/>
        </w:rPr>
      </w:pPr>
      <w:r>
        <w:rPr>
          <w:rFonts w:hint="eastAsia" w:ascii="宋体" w:hAnsi="宋体" w:eastAsia="宋体" w:cs="宋体"/>
          <w:b/>
          <w:color w:val="000000"/>
          <w:sz w:val="24"/>
          <w:szCs w:val="28"/>
        </w:rPr>
        <w:t>采购项目名称：</w:t>
      </w:r>
      <w:r>
        <w:rPr>
          <w:rFonts w:hint="eastAsia" w:ascii="宋体" w:hAnsi="宋体" w:cs="宋体"/>
          <w:b/>
          <w:color w:val="000000"/>
          <w:sz w:val="24"/>
          <w:szCs w:val="28"/>
          <w:lang w:val="en-US" w:eastAsia="zh-CN"/>
        </w:rPr>
        <w:t xml:space="preserve"> </w:t>
      </w:r>
      <w:r>
        <w:rPr>
          <w:rFonts w:hint="eastAsia" w:ascii="宋体" w:hAnsi="宋体" w:cs="宋体"/>
          <w:b/>
          <w:color w:val="000000"/>
          <w:sz w:val="24"/>
          <w:szCs w:val="28"/>
          <w:u w:val="single"/>
          <w:lang w:eastAsia="zh-CN"/>
        </w:rPr>
        <w:t>校园应用与网络运维服务--财务数字化建设</w:t>
      </w:r>
      <w:r>
        <w:rPr>
          <w:rFonts w:hint="eastAsia" w:ascii="宋体" w:hAnsi="宋体" w:cs="宋体"/>
          <w:b/>
          <w:color w:val="000000"/>
          <w:sz w:val="24"/>
          <w:szCs w:val="28"/>
          <w:u w:val="single"/>
          <w:lang w:val="en-US" w:eastAsia="zh-CN"/>
        </w:rPr>
        <w:t xml:space="preserve">       </w:t>
      </w:r>
      <w:r>
        <w:rPr>
          <w:rFonts w:hint="eastAsia" w:ascii="宋体" w:hAnsi="宋体" w:eastAsia="宋体" w:cs="宋体"/>
          <w:b/>
          <w:color w:val="000000"/>
          <w:sz w:val="24"/>
          <w:szCs w:val="28"/>
          <w:u w:val="single"/>
        </w:rPr>
        <w:t xml:space="preserve"> </w:t>
      </w:r>
    </w:p>
    <w:p w14:paraId="4BFB7FC6">
      <w:pPr>
        <w:spacing w:line="360" w:lineRule="auto"/>
        <w:ind w:left="2317" w:leftChars="300" w:hanging="1687" w:hangingChars="7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采购项目编号：</w:t>
      </w:r>
      <w:r>
        <w:rPr>
          <w:rFonts w:hint="eastAsia" w:ascii="宋体" w:hAnsi="宋体" w:cs="宋体"/>
          <w:b/>
          <w:color w:val="000000"/>
          <w:sz w:val="24"/>
          <w:szCs w:val="28"/>
          <w:u w:val="single"/>
          <w:lang w:eastAsia="zh-CN"/>
        </w:rPr>
        <w:t>青海海际竞磋（服务）2025-131</w:t>
      </w:r>
      <w:r>
        <w:rPr>
          <w:rFonts w:hint="eastAsia" w:ascii="宋体" w:hAnsi="宋体" w:eastAsia="宋体" w:cs="宋体"/>
          <w:b/>
          <w:color w:val="000000"/>
          <w:sz w:val="24"/>
          <w:szCs w:val="28"/>
          <w:u w:val="single"/>
        </w:rPr>
        <w:t xml:space="preserve">            </w:t>
      </w:r>
      <w:r>
        <w:rPr>
          <w:rFonts w:hint="eastAsia" w:ascii="宋体" w:hAnsi="宋体" w:cs="宋体"/>
          <w:b/>
          <w:color w:val="000000"/>
          <w:sz w:val="24"/>
          <w:szCs w:val="28"/>
          <w:u w:val="single"/>
          <w:lang w:val="en-US" w:eastAsia="zh-CN"/>
        </w:rPr>
        <w:t xml:space="preserve">    </w:t>
      </w:r>
      <w:r>
        <w:rPr>
          <w:rFonts w:hint="eastAsia" w:ascii="宋体" w:hAnsi="宋体" w:eastAsia="宋体" w:cs="宋体"/>
          <w:b/>
          <w:color w:val="000000"/>
          <w:sz w:val="24"/>
          <w:szCs w:val="28"/>
          <w:u w:val="single"/>
        </w:rPr>
        <w:t xml:space="preserve">   </w:t>
      </w:r>
    </w:p>
    <w:p w14:paraId="289EDC79">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采购合同编号：</w:t>
      </w:r>
      <w:r>
        <w:rPr>
          <w:rFonts w:hint="eastAsia" w:ascii="宋体" w:hAnsi="宋体" w:eastAsia="宋体" w:cs="宋体"/>
          <w:b/>
          <w:color w:val="000000"/>
          <w:sz w:val="24"/>
          <w:szCs w:val="28"/>
          <w:u w:val="single"/>
        </w:rPr>
        <w:t>QH</w:t>
      </w:r>
      <w:r>
        <w:rPr>
          <w:rFonts w:hint="eastAsia" w:ascii="宋体" w:hAnsi="宋体" w:cs="宋体"/>
          <w:b/>
          <w:color w:val="000000"/>
          <w:sz w:val="24"/>
          <w:szCs w:val="28"/>
          <w:u w:val="single"/>
          <w:lang w:val="en-US" w:eastAsia="zh-CN"/>
        </w:rPr>
        <w:t>HJ</w:t>
      </w:r>
      <w:r>
        <w:rPr>
          <w:rFonts w:hint="eastAsia" w:ascii="宋体" w:hAnsi="宋体" w:eastAsia="宋体" w:cs="宋体"/>
          <w:b/>
          <w:color w:val="000000"/>
          <w:sz w:val="24"/>
          <w:szCs w:val="28"/>
          <w:u w:val="single"/>
        </w:rPr>
        <w:t>-202</w:t>
      </w:r>
      <w:r>
        <w:rPr>
          <w:rFonts w:hint="eastAsia" w:ascii="宋体" w:hAnsi="宋体" w:eastAsia="宋体" w:cs="宋体"/>
          <w:b/>
          <w:color w:val="000000"/>
          <w:sz w:val="24"/>
          <w:szCs w:val="28"/>
          <w:u w:val="single"/>
          <w:lang w:val="en-US" w:eastAsia="zh-CN"/>
        </w:rPr>
        <w:t>5</w:t>
      </w:r>
      <w:r>
        <w:rPr>
          <w:rFonts w:hint="eastAsia" w:ascii="宋体" w:hAnsi="宋体" w:eastAsia="宋体" w:cs="宋体"/>
          <w:b/>
          <w:color w:val="000000"/>
          <w:sz w:val="24"/>
          <w:szCs w:val="28"/>
          <w:u w:val="single"/>
        </w:rPr>
        <w:t>-</w:t>
      </w:r>
      <w:r>
        <w:rPr>
          <w:rFonts w:hint="eastAsia" w:ascii="宋体" w:hAnsi="宋体" w:cs="宋体"/>
          <w:b/>
          <w:color w:val="000000"/>
          <w:sz w:val="24"/>
          <w:szCs w:val="28"/>
          <w:u w:val="single"/>
          <w:lang w:val="en-US" w:eastAsia="zh-CN"/>
        </w:rPr>
        <w:t>131</w:t>
      </w:r>
      <w:r>
        <w:rPr>
          <w:rFonts w:hint="eastAsia" w:ascii="宋体" w:hAnsi="宋体" w:eastAsia="宋体" w:cs="宋体"/>
          <w:b/>
          <w:color w:val="000000"/>
          <w:sz w:val="24"/>
          <w:szCs w:val="28"/>
          <w:u w:val="single"/>
        </w:rPr>
        <w:t xml:space="preserve">                         </w:t>
      </w:r>
      <w:r>
        <w:rPr>
          <w:rFonts w:hint="eastAsia" w:ascii="宋体" w:hAnsi="宋体" w:cs="宋体"/>
          <w:b/>
          <w:color w:val="000000"/>
          <w:sz w:val="24"/>
          <w:szCs w:val="28"/>
          <w:u w:val="single"/>
          <w:lang w:val="en-US" w:eastAsia="zh-CN"/>
        </w:rPr>
        <w:t xml:space="preserve">  </w:t>
      </w:r>
      <w:r>
        <w:rPr>
          <w:rFonts w:hint="eastAsia" w:ascii="宋体" w:hAnsi="宋体" w:eastAsia="宋体" w:cs="宋体"/>
          <w:b/>
          <w:color w:val="000000"/>
          <w:sz w:val="24"/>
          <w:szCs w:val="28"/>
          <w:u w:val="single"/>
        </w:rPr>
        <w:t xml:space="preserve">      </w:t>
      </w:r>
    </w:p>
    <w:p w14:paraId="5AF8D5CB">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合同金额（人民币）：</w:t>
      </w:r>
      <w:r>
        <w:rPr>
          <w:rFonts w:hint="eastAsia" w:ascii="宋体" w:hAnsi="宋体" w:eastAsia="宋体" w:cs="宋体"/>
          <w:b/>
          <w:color w:val="000000"/>
          <w:sz w:val="24"/>
          <w:szCs w:val="28"/>
          <w:u w:val="single"/>
        </w:rPr>
        <w:t xml:space="preserve">                                        </w:t>
      </w:r>
    </w:p>
    <w:p w14:paraId="16983BA4">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采购单位（甲方）：</w:t>
      </w:r>
      <w:r>
        <w:rPr>
          <w:rFonts w:hint="eastAsia" w:ascii="宋体" w:hAnsi="宋体" w:eastAsia="宋体" w:cs="宋体"/>
          <w:b/>
          <w:color w:val="000000"/>
          <w:sz w:val="24"/>
          <w:szCs w:val="28"/>
          <w:u w:val="single"/>
          <w:lang w:eastAsia="zh-CN"/>
        </w:rPr>
        <w:t>青海民族大学</w:t>
      </w:r>
      <w:r>
        <w:rPr>
          <w:rFonts w:hint="eastAsia" w:ascii="宋体" w:hAnsi="宋体" w:eastAsia="宋体" w:cs="宋体"/>
          <w:b/>
          <w:color w:val="000000"/>
          <w:sz w:val="24"/>
          <w:szCs w:val="28"/>
          <w:u w:val="single"/>
        </w:rPr>
        <w:t xml:space="preserve">（盖章 )                      </w:t>
      </w:r>
    </w:p>
    <w:p w14:paraId="715BCD32">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成交磋商供应商（乙方）：</w:t>
      </w:r>
      <w:r>
        <w:rPr>
          <w:rFonts w:hint="eastAsia" w:ascii="宋体" w:hAnsi="宋体" w:eastAsia="宋体" w:cs="宋体"/>
          <w:b/>
          <w:color w:val="000000"/>
          <w:sz w:val="24"/>
          <w:szCs w:val="28"/>
          <w:u w:val="single"/>
        </w:rPr>
        <w:t xml:space="preserve">                         （盖章）   </w:t>
      </w:r>
    </w:p>
    <w:p w14:paraId="10464CB5">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采购日期：</w:t>
      </w:r>
      <w:r>
        <w:rPr>
          <w:rFonts w:hint="eastAsia" w:ascii="宋体" w:hAnsi="宋体" w:eastAsia="宋体" w:cs="宋体"/>
          <w:b/>
          <w:color w:val="000000"/>
          <w:sz w:val="24"/>
          <w:szCs w:val="28"/>
          <w:u w:val="single"/>
        </w:rPr>
        <w:t xml:space="preserve">                                             </w:t>
      </w:r>
      <w:r>
        <w:rPr>
          <w:rFonts w:hint="eastAsia" w:ascii="宋体" w:hAnsi="宋体" w:cs="宋体"/>
          <w:b/>
          <w:color w:val="000000"/>
          <w:sz w:val="24"/>
          <w:szCs w:val="28"/>
          <w:u w:val="single"/>
          <w:lang w:val="en-US" w:eastAsia="zh-CN"/>
        </w:rPr>
        <w:t xml:space="preserve"> </w:t>
      </w:r>
      <w:r>
        <w:rPr>
          <w:rFonts w:hint="eastAsia" w:ascii="宋体" w:hAnsi="宋体" w:eastAsia="宋体" w:cs="宋体"/>
          <w:b/>
          <w:color w:val="000000"/>
          <w:sz w:val="24"/>
          <w:szCs w:val="28"/>
          <w:u w:val="single"/>
        </w:rPr>
        <w:t xml:space="preserve">    </w:t>
      </w:r>
    </w:p>
    <w:p w14:paraId="273993D0">
      <w:pPr>
        <w:autoSpaceDE w:val="0"/>
        <w:autoSpaceDN w:val="0"/>
        <w:adjustRightInd w:val="0"/>
        <w:spacing w:before="13" w:line="280" w:lineRule="exact"/>
        <w:jc w:val="left"/>
        <w:rPr>
          <w:rFonts w:hint="eastAsia" w:ascii="宋体" w:hAnsi="宋体" w:eastAsia="宋体" w:cs="宋体"/>
          <w:color w:val="000000"/>
          <w:kern w:val="0"/>
          <w:sz w:val="28"/>
          <w:szCs w:val="28"/>
        </w:rPr>
      </w:pPr>
    </w:p>
    <w:p w14:paraId="07877B34">
      <w:pPr>
        <w:spacing w:line="360" w:lineRule="auto"/>
        <w:rPr>
          <w:rFonts w:hint="eastAsia" w:ascii="宋体" w:hAnsi="宋体" w:eastAsia="宋体" w:cs="宋体"/>
          <w:b/>
          <w:bCs/>
          <w:color w:val="000000"/>
          <w:sz w:val="28"/>
          <w:szCs w:val="32"/>
          <w:lang w:val="zh-CN"/>
        </w:rPr>
      </w:pPr>
      <w:r>
        <w:rPr>
          <w:rFonts w:hint="eastAsia" w:ascii="宋体" w:hAnsi="宋体" w:eastAsia="宋体" w:cs="宋体"/>
          <w:color w:val="000000"/>
          <w:kern w:val="0"/>
          <w:sz w:val="24"/>
        </w:rPr>
        <w:br w:type="page"/>
      </w:r>
      <w:r>
        <w:rPr>
          <w:rFonts w:hint="eastAsia" w:ascii="宋体" w:hAnsi="宋体" w:eastAsia="宋体" w:cs="宋体"/>
          <w:b/>
          <w:bCs/>
          <w:color w:val="000000"/>
          <w:sz w:val="28"/>
          <w:szCs w:val="32"/>
          <w:lang w:val="zh-CN"/>
        </w:rPr>
        <w:t>采购单位（以下简称甲方）：</w:t>
      </w:r>
    </w:p>
    <w:p w14:paraId="3841ABB9">
      <w:pPr>
        <w:autoSpaceDE w:val="0"/>
        <w:autoSpaceDN w:val="0"/>
        <w:spacing w:line="360" w:lineRule="auto"/>
        <w:rPr>
          <w:rFonts w:hint="eastAsia" w:ascii="宋体" w:hAnsi="宋体" w:eastAsia="宋体" w:cs="宋体"/>
          <w:b/>
          <w:bCs/>
          <w:color w:val="000000"/>
          <w:sz w:val="28"/>
          <w:szCs w:val="32"/>
          <w:lang w:val="zh-CN"/>
        </w:rPr>
      </w:pPr>
      <w:r>
        <w:rPr>
          <w:rFonts w:hint="eastAsia" w:ascii="宋体" w:hAnsi="宋体" w:eastAsia="宋体" w:cs="宋体"/>
          <w:b/>
          <w:bCs/>
          <w:color w:val="000000"/>
          <w:sz w:val="28"/>
          <w:szCs w:val="32"/>
          <w:lang w:val="zh-CN"/>
        </w:rPr>
        <w:t>供应商（以下简称乙方）：</w:t>
      </w:r>
    </w:p>
    <w:p w14:paraId="457A755B">
      <w:pPr>
        <w:autoSpaceDE w:val="0"/>
        <w:autoSpaceDN w:val="0"/>
        <w:spacing w:line="360" w:lineRule="auto"/>
        <w:ind w:firstLine="480" w:firstLineChars="200"/>
        <w:rPr>
          <w:rFonts w:hint="eastAsia" w:ascii="宋体" w:hAnsi="宋体" w:eastAsia="宋体" w:cs="宋体"/>
          <w:b/>
          <w:bCs/>
          <w:color w:val="000000"/>
          <w:sz w:val="32"/>
          <w:szCs w:val="32"/>
          <w:lang w:val="zh-CN"/>
        </w:rPr>
      </w:pPr>
      <w:r>
        <w:rPr>
          <w:rFonts w:hint="eastAsia" w:ascii="宋体" w:hAnsi="宋体" w:eastAsia="宋体" w:cs="宋体"/>
          <w:color w:val="000000"/>
          <w:sz w:val="24"/>
          <w:lang w:val="zh-CN"/>
        </w:rPr>
        <w:t>甲、乙双方根据</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采购项目</w:t>
      </w:r>
      <w:r>
        <w:rPr>
          <w:rFonts w:hint="eastAsia" w:ascii="宋体" w:hAnsi="宋体" w:eastAsia="宋体" w:cs="宋体"/>
          <w:color w:val="000000"/>
          <w:sz w:val="24"/>
          <w:u w:val="single"/>
          <w:lang w:val="zh-CN"/>
        </w:rPr>
        <w:t>( 采购项目编号</w:t>
      </w:r>
      <w:r>
        <w:rPr>
          <w:rFonts w:hint="eastAsia" w:ascii="宋体" w:hAnsi="宋体" w:cs="宋体"/>
          <w:color w:val="000000"/>
          <w:sz w:val="24"/>
          <w:u w:val="single"/>
          <w:lang w:val="zh-CN"/>
        </w:rPr>
        <w:t>：</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的磋商文件要求和采购代理机构出具的《成交通知书》，并经双方协商一致，签订本合同协议书。</w:t>
      </w:r>
    </w:p>
    <w:p w14:paraId="42AD272E">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一、签订本采购合同的依据</w:t>
      </w:r>
    </w:p>
    <w:p w14:paraId="66ADA7E5">
      <w:pPr>
        <w:autoSpaceDE w:val="0"/>
        <w:autoSpaceDN w:val="0"/>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本采购合同所附下列文件是构成本采购合同不可分割的部分：</w:t>
      </w:r>
    </w:p>
    <w:p w14:paraId="2CE31656">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1．磋商文件；</w:t>
      </w:r>
    </w:p>
    <w:p w14:paraId="2140A1A4">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2．磋商文件的更正、变更公告；</w:t>
      </w:r>
    </w:p>
    <w:p w14:paraId="6E015F37">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3．成交供应商提交的磋商报价文件；</w:t>
      </w:r>
    </w:p>
    <w:p w14:paraId="0870CE1F">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4．磋商文件中规定的采购合同通用条款；</w:t>
      </w:r>
    </w:p>
    <w:p w14:paraId="6B37C6AB">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5．成交通知书。</w:t>
      </w:r>
    </w:p>
    <w:p w14:paraId="1F06C3C8">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b/>
          <w:color w:val="000000"/>
          <w:sz w:val="24"/>
          <w:lang w:val="zh-CN"/>
        </w:rPr>
        <w:t>二、合同标的及金额</w:t>
      </w:r>
      <w:r>
        <w:rPr>
          <w:rFonts w:hint="eastAsia" w:ascii="宋体" w:hAnsi="宋体" w:eastAsia="宋体" w:cs="宋体"/>
          <w:color w:val="000000"/>
          <w:sz w:val="24"/>
          <w:lang w:val="zh-CN"/>
        </w:rPr>
        <w:t xml:space="preserve">                                         单位：元</w:t>
      </w:r>
    </w:p>
    <w:tbl>
      <w:tblPr>
        <w:tblStyle w:val="33"/>
        <w:tblW w:w="5000" w:type="pct"/>
        <w:jc w:val="center"/>
        <w:tblLayout w:type="autofit"/>
        <w:tblCellMar>
          <w:top w:w="0" w:type="dxa"/>
          <w:left w:w="108" w:type="dxa"/>
          <w:bottom w:w="0" w:type="dxa"/>
          <w:right w:w="108" w:type="dxa"/>
        </w:tblCellMar>
      </w:tblPr>
      <w:tblGrid>
        <w:gridCol w:w="1115"/>
        <w:gridCol w:w="3147"/>
        <w:gridCol w:w="1348"/>
        <w:gridCol w:w="1019"/>
        <w:gridCol w:w="1145"/>
        <w:gridCol w:w="1060"/>
      </w:tblGrid>
      <w:tr w14:paraId="6ABD02B9">
        <w:tblPrEx>
          <w:tblCellMar>
            <w:top w:w="0" w:type="dxa"/>
            <w:left w:w="108" w:type="dxa"/>
            <w:bottom w:w="0" w:type="dxa"/>
            <w:right w:w="108" w:type="dxa"/>
          </w:tblCellMar>
        </w:tblPrEx>
        <w:trPr>
          <w:cantSplit/>
          <w:trHeight w:val="282"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3E632BE7">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编号</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5446F7D2">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服务内容</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0C25D1C4">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服务数量</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718B16C0">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单价</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BAF15CF">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总价</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0D5C5CC5">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备注</w:t>
            </w:r>
          </w:p>
        </w:tc>
      </w:tr>
      <w:tr w14:paraId="734B724E">
        <w:tblPrEx>
          <w:tblCellMar>
            <w:top w:w="0" w:type="dxa"/>
            <w:left w:w="108" w:type="dxa"/>
            <w:bottom w:w="0" w:type="dxa"/>
            <w:right w:w="108" w:type="dxa"/>
          </w:tblCellMar>
        </w:tblPrEx>
        <w:trPr>
          <w:cantSplit/>
          <w:trHeight w:val="332"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63F9E758">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1</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2B46F562">
            <w:pPr>
              <w:autoSpaceDE w:val="0"/>
              <w:autoSpaceDN w:val="0"/>
              <w:spacing w:line="360" w:lineRule="auto"/>
              <w:jc w:val="center"/>
              <w:rPr>
                <w:rFonts w:hint="eastAsia" w:ascii="宋体" w:hAnsi="宋体" w:eastAsia="宋体" w:cs="宋体"/>
                <w:color w:val="000000"/>
                <w:sz w:val="24"/>
                <w:lang w:val="zh-CN"/>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540C370">
            <w:pPr>
              <w:autoSpaceDE w:val="0"/>
              <w:autoSpaceDN w:val="0"/>
              <w:spacing w:line="360" w:lineRule="auto"/>
              <w:jc w:val="center"/>
              <w:rPr>
                <w:rFonts w:hint="eastAsia" w:ascii="宋体" w:hAnsi="宋体" w:eastAsia="宋体" w:cs="宋体"/>
                <w:color w:val="000000"/>
                <w:sz w:val="24"/>
                <w:lang w:val="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1A8C757">
            <w:pPr>
              <w:autoSpaceDE w:val="0"/>
              <w:autoSpaceDN w:val="0"/>
              <w:spacing w:line="360" w:lineRule="auto"/>
              <w:jc w:val="center"/>
              <w:rPr>
                <w:rFonts w:hint="eastAsia" w:ascii="宋体" w:hAnsi="宋体" w:eastAsia="宋体" w:cs="宋体"/>
                <w:color w:val="000000"/>
                <w:sz w:val="24"/>
                <w:lang w:val="zh-CN"/>
              </w:rPr>
            </w:pPr>
          </w:p>
        </w:tc>
        <w:tc>
          <w:tcPr>
            <w:tcW w:w="648" w:type="pct"/>
            <w:tcBorders>
              <w:top w:val="single" w:color="auto" w:sz="4" w:space="0"/>
              <w:left w:val="single" w:color="auto" w:sz="4" w:space="0"/>
              <w:bottom w:val="single" w:color="auto" w:sz="4" w:space="0"/>
              <w:right w:val="single" w:color="auto" w:sz="4" w:space="0"/>
            </w:tcBorders>
            <w:noWrap w:val="0"/>
            <w:vAlign w:val="center"/>
          </w:tcPr>
          <w:p w14:paraId="5DAC6A03">
            <w:pPr>
              <w:autoSpaceDE w:val="0"/>
              <w:autoSpaceDN w:val="0"/>
              <w:spacing w:line="360" w:lineRule="auto"/>
              <w:jc w:val="center"/>
              <w:rPr>
                <w:rFonts w:hint="eastAsia" w:ascii="宋体" w:hAnsi="宋体" w:eastAsia="宋体" w:cs="宋体"/>
                <w:color w:val="000000"/>
                <w:sz w:val="24"/>
                <w:lang w:val="zh-CN"/>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70042A72">
            <w:pPr>
              <w:autoSpaceDE w:val="0"/>
              <w:autoSpaceDN w:val="0"/>
              <w:spacing w:line="360" w:lineRule="auto"/>
              <w:jc w:val="center"/>
              <w:rPr>
                <w:rFonts w:hint="eastAsia" w:ascii="宋体" w:hAnsi="宋体" w:eastAsia="宋体" w:cs="宋体"/>
                <w:color w:val="000000"/>
                <w:sz w:val="24"/>
                <w:lang w:val="zh-CN"/>
              </w:rPr>
            </w:pPr>
          </w:p>
        </w:tc>
      </w:tr>
      <w:tr w14:paraId="070FA997">
        <w:tblPrEx>
          <w:tblCellMar>
            <w:top w:w="0" w:type="dxa"/>
            <w:left w:w="108" w:type="dxa"/>
            <w:bottom w:w="0" w:type="dxa"/>
            <w:right w:w="108" w:type="dxa"/>
          </w:tblCellMar>
        </w:tblPrEx>
        <w:trPr>
          <w:cantSplit/>
          <w:trHeight w:val="410"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6C1F1802">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2</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4B77EB93">
            <w:pPr>
              <w:autoSpaceDE w:val="0"/>
              <w:autoSpaceDN w:val="0"/>
              <w:spacing w:line="360" w:lineRule="auto"/>
              <w:jc w:val="center"/>
              <w:rPr>
                <w:rFonts w:hint="eastAsia" w:ascii="宋体" w:hAnsi="宋体" w:eastAsia="宋体" w:cs="宋体"/>
                <w:color w:val="000000"/>
                <w:sz w:val="24"/>
                <w:lang w:val="zh-CN"/>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41A930F5">
            <w:pPr>
              <w:autoSpaceDE w:val="0"/>
              <w:autoSpaceDN w:val="0"/>
              <w:spacing w:line="360" w:lineRule="auto"/>
              <w:jc w:val="center"/>
              <w:rPr>
                <w:rFonts w:hint="eastAsia" w:ascii="宋体" w:hAnsi="宋体" w:eastAsia="宋体" w:cs="宋体"/>
                <w:color w:val="000000"/>
                <w:sz w:val="24"/>
                <w:lang w:val="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C064CE5">
            <w:pPr>
              <w:autoSpaceDE w:val="0"/>
              <w:autoSpaceDN w:val="0"/>
              <w:spacing w:line="360" w:lineRule="auto"/>
              <w:jc w:val="center"/>
              <w:rPr>
                <w:rFonts w:hint="eastAsia" w:ascii="宋体" w:hAnsi="宋体" w:eastAsia="宋体" w:cs="宋体"/>
                <w:color w:val="000000"/>
                <w:sz w:val="24"/>
                <w:lang w:val="zh-CN"/>
              </w:rPr>
            </w:pPr>
          </w:p>
        </w:tc>
        <w:tc>
          <w:tcPr>
            <w:tcW w:w="648" w:type="pct"/>
            <w:tcBorders>
              <w:top w:val="single" w:color="auto" w:sz="4" w:space="0"/>
              <w:left w:val="single" w:color="auto" w:sz="4" w:space="0"/>
              <w:bottom w:val="single" w:color="auto" w:sz="4" w:space="0"/>
              <w:right w:val="single" w:color="auto" w:sz="4" w:space="0"/>
            </w:tcBorders>
            <w:noWrap w:val="0"/>
            <w:vAlign w:val="center"/>
          </w:tcPr>
          <w:p w14:paraId="73733BA7">
            <w:pPr>
              <w:autoSpaceDE w:val="0"/>
              <w:autoSpaceDN w:val="0"/>
              <w:spacing w:line="360" w:lineRule="auto"/>
              <w:jc w:val="center"/>
              <w:rPr>
                <w:rFonts w:hint="eastAsia" w:ascii="宋体" w:hAnsi="宋体" w:eastAsia="宋体" w:cs="宋体"/>
                <w:color w:val="000000"/>
                <w:sz w:val="24"/>
                <w:lang w:val="zh-CN"/>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08F213AF">
            <w:pPr>
              <w:autoSpaceDE w:val="0"/>
              <w:autoSpaceDN w:val="0"/>
              <w:spacing w:line="360" w:lineRule="auto"/>
              <w:jc w:val="center"/>
              <w:rPr>
                <w:rFonts w:hint="eastAsia" w:ascii="宋体" w:hAnsi="宋体" w:eastAsia="宋体" w:cs="宋体"/>
                <w:color w:val="000000"/>
                <w:sz w:val="24"/>
                <w:lang w:val="zh-CN"/>
              </w:rPr>
            </w:pPr>
          </w:p>
        </w:tc>
      </w:tr>
      <w:tr w14:paraId="5FAD8EF9">
        <w:tblPrEx>
          <w:tblCellMar>
            <w:top w:w="0" w:type="dxa"/>
            <w:left w:w="108" w:type="dxa"/>
            <w:bottom w:w="0" w:type="dxa"/>
            <w:right w:w="108" w:type="dxa"/>
          </w:tblCellMar>
        </w:tblPrEx>
        <w:trPr>
          <w:cantSplit/>
          <w:trHeight w:val="360"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18740C24">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26D35A34">
            <w:pPr>
              <w:autoSpaceDE w:val="0"/>
              <w:autoSpaceDN w:val="0"/>
              <w:spacing w:line="360" w:lineRule="auto"/>
              <w:jc w:val="center"/>
              <w:rPr>
                <w:rFonts w:hint="eastAsia" w:ascii="宋体" w:hAnsi="宋体" w:eastAsia="宋体" w:cs="宋体"/>
                <w:color w:val="000000"/>
                <w:sz w:val="24"/>
                <w:lang w:val="zh-CN"/>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3811DCE">
            <w:pPr>
              <w:autoSpaceDE w:val="0"/>
              <w:autoSpaceDN w:val="0"/>
              <w:spacing w:line="360" w:lineRule="auto"/>
              <w:jc w:val="center"/>
              <w:rPr>
                <w:rFonts w:hint="eastAsia" w:ascii="宋体" w:hAnsi="宋体" w:eastAsia="宋体" w:cs="宋体"/>
                <w:color w:val="000000"/>
                <w:sz w:val="24"/>
                <w:lang w:val="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9F485CE">
            <w:pPr>
              <w:autoSpaceDE w:val="0"/>
              <w:autoSpaceDN w:val="0"/>
              <w:spacing w:line="360" w:lineRule="auto"/>
              <w:jc w:val="center"/>
              <w:rPr>
                <w:rFonts w:hint="eastAsia" w:ascii="宋体" w:hAnsi="宋体" w:eastAsia="宋体" w:cs="宋体"/>
                <w:color w:val="000000"/>
                <w:sz w:val="24"/>
                <w:lang w:val="zh-CN"/>
              </w:rPr>
            </w:pPr>
          </w:p>
        </w:tc>
        <w:tc>
          <w:tcPr>
            <w:tcW w:w="648" w:type="pct"/>
            <w:tcBorders>
              <w:top w:val="single" w:color="auto" w:sz="4" w:space="0"/>
              <w:left w:val="single" w:color="auto" w:sz="4" w:space="0"/>
              <w:bottom w:val="single" w:color="auto" w:sz="4" w:space="0"/>
              <w:right w:val="single" w:color="auto" w:sz="4" w:space="0"/>
            </w:tcBorders>
            <w:noWrap w:val="0"/>
            <w:vAlign w:val="center"/>
          </w:tcPr>
          <w:p w14:paraId="19512883">
            <w:pPr>
              <w:autoSpaceDE w:val="0"/>
              <w:autoSpaceDN w:val="0"/>
              <w:spacing w:line="360" w:lineRule="auto"/>
              <w:jc w:val="center"/>
              <w:rPr>
                <w:rFonts w:hint="eastAsia" w:ascii="宋体" w:hAnsi="宋体" w:eastAsia="宋体" w:cs="宋体"/>
                <w:color w:val="000000"/>
                <w:sz w:val="24"/>
                <w:lang w:val="zh-CN"/>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567DF496">
            <w:pPr>
              <w:autoSpaceDE w:val="0"/>
              <w:autoSpaceDN w:val="0"/>
              <w:spacing w:line="360" w:lineRule="auto"/>
              <w:jc w:val="center"/>
              <w:rPr>
                <w:rFonts w:hint="eastAsia" w:ascii="宋体" w:hAnsi="宋体" w:eastAsia="宋体" w:cs="宋体"/>
                <w:color w:val="000000"/>
                <w:sz w:val="24"/>
                <w:lang w:val="zh-CN"/>
              </w:rPr>
            </w:pPr>
          </w:p>
        </w:tc>
      </w:tr>
    </w:tbl>
    <w:p w14:paraId="5FE8B475">
      <w:pPr>
        <w:autoSpaceDE w:val="0"/>
        <w:autoSpaceDN w:val="0"/>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根据上述采购合同文件要求，本次采购合同的总金额为人民币</w:t>
      </w:r>
      <w:r>
        <w:rPr>
          <w:rFonts w:hint="eastAsia" w:ascii="宋体" w:hAnsi="宋体" w:eastAsia="宋体" w:cs="宋体"/>
          <w:color w:val="000000"/>
          <w:sz w:val="24"/>
          <w:u w:val="single"/>
          <w:lang w:val="zh-CN"/>
        </w:rPr>
        <w:t xml:space="preserve">        元</w:t>
      </w:r>
      <w:r>
        <w:rPr>
          <w:rFonts w:hint="eastAsia" w:ascii="宋体" w:hAnsi="宋体" w:eastAsia="宋体" w:cs="宋体"/>
          <w:color w:val="000000"/>
          <w:sz w:val="24"/>
          <w:lang w:val="zh-CN"/>
        </w:rPr>
        <w:t>（大写）。</w:t>
      </w:r>
    </w:p>
    <w:p w14:paraId="3F8932FD">
      <w:pPr>
        <w:autoSpaceDE w:val="0"/>
        <w:autoSpaceDN w:val="0"/>
        <w:spacing w:line="360" w:lineRule="auto"/>
        <w:ind w:firstLine="480" w:firstLineChars="200"/>
        <w:rPr>
          <w:rFonts w:hint="eastAsia" w:ascii="宋体" w:hAnsi="宋体" w:eastAsia="宋体" w:cs="宋体"/>
          <w:color w:val="000000"/>
          <w:sz w:val="24"/>
          <w:lang w:val="zh-CN" w:eastAsia="zh-CN"/>
        </w:rPr>
      </w:pPr>
      <w:r>
        <w:rPr>
          <w:rFonts w:hint="eastAsia" w:ascii="宋体" w:hAnsi="宋体" w:eastAsia="宋体" w:cs="宋体"/>
          <w:color w:val="000000"/>
          <w:sz w:val="24"/>
          <w:lang w:val="zh-CN"/>
        </w:rPr>
        <w:t>本合同以人民币进行结算，合同总价包括：</w:t>
      </w:r>
      <w:r>
        <w:rPr>
          <w:rFonts w:hint="eastAsia" w:ascii="宋体" w:hAnsi="宋体" w:cs="宋体"/>
          <w:color w:val="000000"/>
          <w:sz w:val="24"/>
          <w:lang w:eastAsia="zh-CN"/>
        </w:rPr>
        <w:t>人员工资、差旅费、设备仪器、交通、培训费，维护费、保险、利润、税金、招标代理费以及所有有关的管理成本和其他不可预见费等全部费用。</w:t>
      </w:r>
    </w:p>
    <w:p w14:paraId="625F1633">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三、交付时间、地点和要求</w:t>
      </w:r>
    </w:p>
    <w:p w14:paraId="2D7C5C51">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zh-CN" w:eastAsia="zh-CN"/>
        </w:rPr>
        <w:t>服务期：</w:t>
      </w:r>
      <w:r>
        <w:rPr>
          <w:rFonts w:hint="eastAsia" w:ascii="宋体" w:hAnsi="宋体" w:eastAsia="宋体" w:cs="宋体"/>
          <w:color w:val="000000"/>
          <w:sz w:val="24"/>
          <w:lang w:val="en-US" w:eastAsia="zh-CN"/>
        </w:rPr>
        <w:t>180个日历日</w:t>
      </w:r>
      <w:r>
        <w:rPr>
          <w:rFonts w:hint="eastAsia" w:ascii="宋体" w:hAnsi="宋体" w:eastAsia="宋体" w:cs="宋体"/>
          <w:color w:val="000000"/>
          <w:sz w:val="24"/>
          <w:lang w:val="zh-CN"/>
        </w:rPr>
        <w:t>；</w:t>
      </w:r>
    </w:p>
    <w:p w14:paraId="332395C8">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zh-CN"/>
        </w:rPr>
        <w:t>服务地点：</w:t>
      </w:r>
      <w:r>
        <w:rPr>
          <w:rFonts w:hint="eastAsia" w:ascii="宋体" w:hAnsi="宋体" w:eastAsia="宋体" w:cs="宋体"/>
          <w:color w:val="000000"/>
          <w:sz w:val="24"/>
          <w:lang w:val="zh-CN" w:eastAsia="zh-CN"/>
        </w:rPr>
        <w:t>青海民族大学</w:t>
      </w:r>
      <w:r>
        <w:rPr>
          <w:rFonts w:hint="eastAsia" w:ascii="宋体" w:hAnsi="宋体" w:eastAsia="宋体" w:cs="宋体"/>
          <w:color w:val="000000"/>
          <w:sz w:val="24"/>
          <w:lang w:val="zh-CN"/>
        </w:rPr>
        <w:t>；</w:t>
      </w:r>
    </w:p>
    <w:p w14:paraId="4C68FB6D">
      <w:pPr>
        <w:autoSpaceDE w:val="0"/>
        <w:autoSpaceDN w:val="0"/>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质保期：验收通过后3年内免费保障正常运行</w:t>
      </w:r>
      <w:r>
        <w:rPr>
          <w:rFonts w:hint="eastAsia" w:ascii="宋体" w:hAnsi="宋体" w:eastAsia="宋体" w:cs="宋体"/>
          <w:color w:val="000000"/>
          <w:sz w:val="24"/>
          <w:lang w:val="zh-CN"/>
        </w:rPr>
        <w:t>；</w:t>
      </w:r>
    </w:p>
    <w:p w14:paraId="4DACD832">
      <w:pPr>
        <w:autoSpaceDE w:val="0"/>
        <w:autoSpaceDN w:val="0"/>
        <w:spacing w:line="360" w:lineRule="auto"/>
        <w:rPr>
          <w:rFonts w:hint="eastAsia" w:ascii="宋体" w:hAnsi="宋体" w:eastAsia="宋体" w:cs="宋体"/>
          <w:color w:val="000000"/>
          <w:sz w:val="24"/>
        </w:rPr>
      </w:pPr>
      <w:r>
        <w:rPr>
          <w:rFonts w:hint="eastAsia" w:ascii="宋体" w:hAnsi="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000000"/>
          <w:sz w:val="24"/>
          <w:lang w:val="zh-CN"/>
        </w:rPr>
        <w:t>乙方提供不符合报价文件和本合同规定的服务，甲方有权拒绝接受；</w:t>
      </w:r>
    </w:p>
    <w:p w14:paraId="3DCD92BF">
      <w:pPr>
        <w:autoSpaceDE w:val="0"/>
        <w:autoSpaceDN w:val="0"/>
        <w:spacing w:line="360" w:lineRule="auto"/>
        <w:rPr>
          <w:rFonts w:hint="eastAsia" w:ascii="宋体" w:hAnsi="宋体" w:eastAsia="宋体" w:cs="宋体"/>
          <w:color w:val="000000"/>
          <w:sz w:val="24"/>
        </w:rPr>
      </w:pPr>
      <w:r>
        <w:rPr>
          <w:rFonts w:hint="eastAsia" w:ascii="宋体" w:hAnsi="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zh-CN"/>
        </w:rPr>
        <w:t>乙方应将提供服务的清单资料等交付给甲方，如有缺失应及时补齐，否则视为逾期</w:t>
      </w:r>
      <w:r>
        <w:rPr>
          <w:rFonts w:hint="eastAsia" w:ascii="宋体" w:hAnsi="宋体" w:eastAsia="宋体" w:cs="宋体"/>
          <w:color w:val="000000"/>
          <w:sz w:val="24"/>
          <w:lang w:val="en-US" w:eastAsia="zh-CN"/>
        </w:rPr>
        <w:t>服务</w:t>
      </w:r>
      <w:r>
        <w:rPr>
          <w:rFonts w:hint="eastAsia" w:ascii="宋体" w:hAnsi="宋体" w:eastAsia="宋体" w:cs="宋体"/>
          <w:color w:val="000000"/>
          <w:sz w:val="24"/>
          <w:lang w:val="zh-CN"/>
        </w:rPr>
        <w:t>；</w:t>
      </w:r>
    </w:p>
    <w:p w14:paraId="16068D8D">
      <w:pPr>
        <w:autoSpaceDE w:val="0"/>
        <w:autoSpaceDN w:val="0"/>
        <w:spacing w:line="360" w:lineRule="auto"/>
        <w:rPr>
          <w:rFonts w:hint="eastAsia" w:ascii="宋体" w:hAnsi="宋体" w:eastAsia="宋体" w:cs="宋体"/>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w:t>
      </w:r>
      <w:r>
        <w:rPr>
          <w:rFonts w:hint="eastAsia" w:ascii="宋体" w:hAnsi="宋体" w:eastAsia="宋体" w:cs="宋体"/>
          <w:color w:val="000000"/>
          <w:sz w:val="24"/>
          <w:lang w:val="zh-CN"/>
        </w:rPr>
        <w:t>乙方向甲方提供服务相关完税销售发票。</w:t>
      </w:r>
    </w:p>
    <w:p w14:paraId="4CD8BF61">
      <w:pPr>
        <w:autoSpaceDE w:val="0"/>
        <w:autoSpaceDN w:val="0"/>
        <w:spacing w:line="360" w:lineRule="auto"/>
        <w:rPr>
          <w:rFonts w:hint="default" w:eastAsia="宋体"/>
          <w:color w:val="0000FF"/>
          <w:lang w:val="en-US" w:eastAsia="zh-CN"/>
        </w:rPr>
      </w:pPr>
      <w:r>
        <w:rPr>
          <w:rFonts w:hint="eastAsia" w:ascii="宋体" w:hAnsi="宋体" w:eastAsia="宋体" w:cs="宋体"/>
          <w:b/>
          <w:color w:val="000000"/>
          <w:sz w:val="24"/>
          <w:lang w:val="zh-CN"/>
        </w:rPr>
        <w:t>四、付款方式</w:t>
      </w:r>
      <w:r>
        <w:rPr>
          <w:rFonts w:hint="eastAsia" w:ascii="宋体" w:hAnsi="宋体" w:cs="宋体"/>
          <w:b/>
          <w:color w:val="0000FF"/>
          <w:sz w:val="24"/>
          <w:lang w:val="zh-CN"/>
        </w:rPr>
        <w:t>（</w:t>
      </w:r>
      <w:r>
        <w:rPr>
          <w:rFonts w:hint="eastAsia" w:ascii="宋体" w:hAnsi="宋体" w:cs="宋体"/>
          <w:b/>
          <w:color w:val="0000FF"/>
          <w:sz w:val="24"/>
          <w:lang w:val="en-US" w:eastAsia="zh-CN"/>
        </w:rPr>
        <w:t>具体以签订为准）</w:t>
      </w:r>
    </w:p>
    <w:p w14:paraId="596F0E83">
      <w:pPr>
        <w:autoSpaceDE w:val="0"/>
        <w:autoSpaceDN w:val="0"/>
        <w:spacing w:line="360" w:lineRule="auto"/>
        <w:ind w:firstLine="480" w:firstLineChars="200"/>
        <w:rPr>
          <w:rFonts w:hint="eastAsia" w:ascii="宋体" w:hAnsi="宋体" w:eastAsia="宋体" w:cs="宋体"/>
          <w:color w:val="000000"/>
          <w:sz w:val="24"/>
          <w:lang w:val="zh-CN" w:eastAsia="zh-CN"/>
        </w:rPr>
      </w:pPr>
      <w:r>
        <w:rPr>
          <w:rFonts w:hint="eastAsia" w:ascii="宋体" w:hAnsi="宋体" w:eastAsia="宋体" w:cs="宋体"/>
          <w:color w:val="000000"/>
          <w:sz w:val="24"/>
          <w:lang w:val="zh-CN" w:eastAsia="zh-CN"/>
        </w:rPr>
        <w:t>甲方向乙方在合同签订后</w:t>
      </w:r>
      <w:r>
        <w:rPr>
          <w:rFonts w:hint="eastAsia" w:ascii="宋体" w:hAnsi="宋体" w:eastAsia="宋体" w:cs="宋体"/>
          <w:color w:val="000000"/>
          <w:sz w:val="24"/>
          <w:u w:val="single"/>
          <w:lang w:val="zh-CN"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zh-CN" w:eastAsia="zh-CN"/>
        </w:rPr>
        <w:t>个工作日内支付合同总价款的</w:t>
      </w:r>
      <w:r>
        <w:rPr>
          <w:rFonts w:hint="eastAsia" w:ascii="宋体" w:hAnsi="宋体" w:eastAsia="宋体" w:cs="宋体"/>
          <w:color w:val="000000"/>
          <w:sz w:val="24"/>
          <w:u w:val="single"/>
          <w:lang w:val="zh-CN"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lang w:val="zh-CN" w:eastAsia="zh-CN"/>
        </w:rPr>
        <w:t xml:space="preserve"> </w:t>
      </w:r>
      <w:r>
        <w:rPr>
          <w:rFonts w:hint="eastAsia" w:ascii="宋体" w:hAnsi="宋体" w:eastAsia="宋体" w:cs="宋体"/>
          <w:color w:val="000000"/>
          <w:sz w:val="24"/>
          <w:lang w:val="zh-CN" w:eastAsia="zh-CN"/>
        </w:rPr>
        <w:t>作为预付款（预付款比例原则上不低于合同金额的30%），即人民币（大写）：</w:t>
      </w:r>
      <w:r>
        <w:rPr>
          <w:rFonts w:hint="eastAsia" w:ascii="宋体" w:hAnsi="宋体" w:eastAsia="宋体" w:cs="宋体"/>
          <w:color w:val="000000"/>
          <w:sz w:val="24"/>
          <w:u w:val="single"/>
          <w:lang w:val="zh-CN"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lang w:val="zh-CN" w:eastAsia="zh-CN"/>
        </w:rPr>
        <w:t xml:space="preserve">   </w:t>
      </w:r>
      <w:r>
        <w:rPr>
          <w:rFonts w:hint="eastAsia" w:ascii="宋体" w:hAnsi="宋体" w:eastAsia="宋体" w:cs="宋体"/>
          <w:color w:val="000000"/>
          <w:sz w:val="24"/>
          <w:lang w:val="zh-CN" w:eastAsia="zh-CN"/>
        </w:rPr>
        <w:t>元。乙方所提供的货物（服务）由甲方验收，验收合格后按合同金额向乙方支付剩余款项。（具体付款方式、付款比例等事项在签订合同时由甲、乙双方自行约定）</w:t>
      </w:r>
      <w:r>
        <w:rPr>
          <w:rFonts w:hint="eastAsia" w:ascii="宋体" w:hAnsi="宋体" w:cs="宋体"/>
          <w:color w:val="000000"/>
          <w:sz w:val="24"/>
          <w:lang w:val="zh-CN" w:eastAsia="zh-CN"/>
        </w:rPr>
        <w:t>。</w:t>
      </w:r>
      <w:r>
        <w:rPr>
          <w:rFonts w:hint="eastAsia" w:ascii="宋体" w:hAnsi="宋体" w:eastAsia="宋体" w:cs="宋体"/>
          <w:color w:val="000000"/>
          <w:sz w:val="24"/>
          <w:lang w:val="zh-CN" w:eastAsia="zh-CN"/>
        </w:rPr>
        <w:t xml:space="preserve">  </w:t>
      </w:r>
    </w:p>
    <w:p w14:paraId="7330B670">
      <w:pPr>
        <w:autoSpaceDE w:val="0"/>
        <w:autoSpaceDN w:val="0"/>
        <w:spacing w:line="360" w:lineRule="auto"/>
        <w:ind w:firstLine="480" w:firstLineChars="200"/>
        <w:rPr>
          <w:rFonts w:hint="eastAsia" w:ascii="宋体" w:hAnsi="宋体" w:eastAsia="宋体" w:cs="宋体"/>
          <w:color w:val="000000"/>
          <w:sz w:val="24"/>
          <w:lang w:val="zh-CN" w:eastAsia="zh-CN"/>
        </w:rPr>
      </w:pPr>
      <w:r>
        <w:rPr>
          <w:rFonts w:hint="eastAsia" w:ascii="宋体" w:hAnsi="宋体" w:eastAsia="宋体" w:cs="宋体"/>
          <w:color w:val="000000"/>
          <w:sz w:val="24"/>
          <w:lang w:val="zh-CN" w:eastAsia="zh-CN"/>
        </w:rPr>
        <w:t>履约保证金由甲、乙双方自行约定（若收取履约保证金的，需约定提交履约保证金形式、退还的方式、时间、条件和不与退还的情形，明确逾期退还履约保证金的违约责任，具体数额由甲、乙双方商定，但不得超出采购合同总金额的10%）。</w:t>
      </w:r>
    </w:p>
    <w:p w14:paraId="1782A99F">
      <w:pPr>
        <w:autoSpaceDE w:val="0"/>
        <w:autoSpaceDN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zh-CN"/>
        </w:rPr>
        <w:t>五、合同的变更、终止与转让</w:t>
      </w:r>
    </w:p>
    <w:p w14:paraId="5804FC5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除《中华人民共和国政府采购法》第</w:t>
      </w:r>
      <w:r>
        <w:rPr>
          <w:rFonts w:hint="eastAsia" w:ascii="宋体" w:hAnsi="宋体" w:eastAsia="宋体" w:cs="宋体"/>
          <w:color w:val="000000"/>
          <w:sz w:val="24"/>
          <w:highlight w:val="none"/>
        </w:rPr>
        <w:t>50</w:t>
      </w:r>
      <w:r>
        <w:rPr>
          <w:rFonts w:hint="eastAsia" w:ascii="宋体" w:hAnsi="宋体" w:eastAsia="宋体" w:cs="宋体"/>
          <w:color w:val="000000"/>
          <w:sz w:val="24"/>
          <w:highlight w:val="none"/>
          <w:lang w:val="zh-CN"/>
        </w:rPr>
        <w:t>条规定的情形外，本合同一经签订，甲</w:t>
      </w:r>
      <w:r>
        <w:rPr>
          <w:rFonts w:hint="eastAsia" w:ascii="宋体" w:hAnsi="宋体" w:eastAsia="宋体" w:cs="宋体"/>
          <w:color w:val="000000"/>
          <w:sz w:val="24"/>
          <w:lang w:val="zh-CN"/>
        </w:rPr>
        <w:t>乙双方不得擅自变更、中止或终止；</w:t>
      </w:r>
    </w:p>
    <w:p w14:paraId="14BA81C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乙方不得擅自转让其应履行的合同义务。</w:t>
      </w:r>
    </w:p>
    <w:p w14:paraId="05AE8033">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六、违约责任</w:t>
      </w:r>
    </w:p>
    <w:p w14:paraId="6CBAE16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乙方所提供的服务规格、技术标准、材料等质量不合格的，应及时更换；更换不及时的，按逾期处罚；因质量问题甲方不同意接收的，质保金全额扣除，并由乙方赔偿由此引起的甲方的一切经济损失；</w:t>
      </w:r>
    </w:p>
    <w:p w14:paraId="0C7127C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乙方提供的服务如侵犯了第三方权益而引发纠纷或诉讼的，均由乙方负责交涉并承担全部责任；</w:t>
      </w:r>
    </w:p>
    <w:p w14:paraId="2E696DE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甲方无故延期接受服务和乙方逾期服务的，每天应向对方偿付未交服务的服务款</w:t>
      </w:r>
      <w:r>
        <w:rPr>
          <w:rFonts w:hint="eastAsia" w:ascii="宋体" w:hAnsi="宋体" w:eastAsia="宋体" w:cs="宋体"/>
          <w:color w:val="000000"/>
          <w:sz w:val="24"/>
        </w:rPr>
        <w:t>3</w:t>
      </w:r>
      <w:r>
        <w:rPr>
          <w:rFonts w:hint="eastAsia" w:ascii="宋体" w:hAnsi="宋体" w:eastAsia="宋体" w:cs="宋体"/>
          <w:color w:val="000000"/>
          <w:sz w:val="24"/>
          <w:lang w:val="zh-CN"/>
        </w:rPr>
        <w:t>‰的违约金，但违约金累计不得超过违约服务款的</w:t>
      </w:r>
      <w:r>
        <w:rPr>
          <w:rFonts w:hint="eastAsia" w:ascii="宋体" w:hAnsi="宋体" w:eastAsia="宋体" w:cs="宋体"/>
          <w:color w:val="000000"/>
          <w:sz w:val="24"/>
        </w:rPr>
        <w:t>5%</w:t>
      </w:r>
      <w:r>
        <w:rPr>
          <w:rFonts w:hint="eastAsia" w:ascii="宋体" w:hAnsi="宋体" w:eastAsia="宋体" w:cs="宋体"/>
          <w:color w:val="000000"/>
          <w:sz w:val="24"/>
          <w:lang w:val="zh-CN"/>
        </w:rPr>
        <w:t>，超过</w:t>
      </w:r>
      <w:r>
        <w:rPr>
          <w:rFonts w:hint="eastAsia" w:ascii="宋体" w:hAnsi="宋体" w:eastAsia="宋体" w:cs="宋体"/>
          <w:color w:val="000000"/>
          <w:sz w:val="24"/>
          <w:u w:val="single"/>
        </w:rPr>
        <w:t xml:space="preserve"> 15 </w:t>
      </w:r>
      <w:r>
        <w:rPr>
          <w:rFonts w:hint="eastAsia" w:ascii="宋体" w:hAnsi="宋体" w:eastAsia="宋体" w:cs="宋体"/>
          <w:color w:val="000000"/>
          <w:sz w:val="24"/>
          <w:lang w:val="zh-CN"/>
        </w:rPr>
        <w:t>天对方有权解除合同，违约方承担因此给对方造成的经济损失；</w:t>
      </w:r>
    </w:p>
    <w:p w14:paraId="3782133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乙方未按本合同和报价文件中规定的服务承诺提供售后服务的，乙方应按本合同合计金额的</w:t>
      </w:r>
      <w:r>
        <w:rPr>
          <w:rFonts w:hint="eastAsia" w:ascii="宋体" w:hAnsi="宋体" w:eastAsia="宋体" w:cs="宋体"/>
          <w:color w:val="000000"/>
          <w:sz w:val="24"/>
        </w:rPr>
        <w:t>5%</w:t>
      </w:r>
      <w:r>
        <w:rPr>
          <w:rFonts w:hint="eastAsia" w:ascii="宋体" w:hAnsi="宋体" w:eastAsia="宋体" w:cs="宋体"/>
          <w:color w:val="000000"/>
          <w:sz w:val="24"/>
          <w:lang w:val="zh-CN"/>
        </w:rPr>
        <w:t>向甲方支付违约金；</w:t>
      </w:r>
    </w:p>
    <w:p w14:paraId="3FBC1FDB">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5．</w:t>
      </w:r>
      <w:r>
        <w:rPr>
          <w:rFonts w:hint="eastAsia" w:ascii="宋体" w:hAnsi="宋体" w:eastAsia="宋体" w:cs="宋体"/>
          <w:color w:val="000000"/>
          <w:sz w:val="24"/>
          <w:lang w:val="zh-CN"/>
        </w:rPr>
        <w:t>乙方提供的服务在质量保证期内，因设计、工艺或材料的缺陷和其它质量原因造成的问题，由乙方负责，费用从质量保证金中扣除，不足另补；</w:t>
      </w:r>
    </w:p>
    <w:p w14:paraId="75932C1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6.其它违约行为按违约服务款额</w:t>
      </w:r>
      <w:r>
        <w:rPr>
          <w:rFonts w:hint="eastAsia" w:ascii="宋体" w:hAnsi="宋体" w:eastAsia="宋体" w:cs="宋体"/>
          <w:color w:val="000000"/>
          <w:sz w:val="24"/>
        </w:rPr>
        <w:t>5%</w:t>
      </w:r>
      <w:r>
        <w:rPr>
          <w:rFonts w:hint="eastAsia" w:ascii="宋体" w:hAnsi="宋体" w:eastAsia="宋体" w:cs="宋体"/>
          <w:color w:val="000000"/>
          <w:sz w:val="24"/>
          <w:lang w:val="zh-CN"/>
        </w:rPr>
        <w:t>收取违约金并赔偿经济损失。</w:t>
      </w:r>
    </w:p>
    <w:p w14:paraId="22CCAF5D">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七、不可抗力</w:t>
      </w:r>
    </w:p>
    <w:p w14:paraId="5BA3190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不可抗力使合同的某些内容有变更必要的，双方应通过协商在</w:t>
      </w:r>
      <w:r>
        <w:rPr>
          <w:rFonts w:hint="eastAsia" w:ascii="宋体" w:hAnsi="宋体" w:eastAsia="宋体" w:cs="宋体"/>
          <w:color w:val="000000"/>
          <w:sz w:val="24"/>
          <w:u w:val="single"/>
        </w:rPr>
        <w:t xml:space="preserve"> 15 </w:t>
      </w:r>
      <w:r>
        <w:rPr>
          <w:rFonts w:hint="eastAsia" w:ascii="宋体" w:hAnsi="宋体" w:eastAsia="宋体" w:cs="宋体"/>
          <w:color w:val="000000"/>
          <w:sz w:val="24"/>
          <w:lang w:val="zh-CN"/>
        </w:rPr>
        <w:t>天内达成进一步履行合同的协议，因不可抗力致使合同不能履行的，合同终止；</w:t>
      </w:r>
    </w:p>
    <w:p w14:paraId="4CD2091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除法律、法规规定的不可抗力情形外，双方约定出现</w:t>
      </w:r>
      <w:r>
        <w:rPr>
          <w:rFonts w:hint="eastAsia" w:ascii="宋体" w:hAnsi="宋体" w:eastAsia="宋体" w:cs="宋体"/>
          <w:color w:val="000000"/>
          <w:sz w:val="24"/>
          <w:u w:val="single"/>
        </w:rPr>
        <w:t xml:space="preserve"> 自然灾害 </w:t>
      </w:r>
      <w:r>
        <w:rPr>
          <w:rFonts w:hint="eastAsia" w:ascii="宋体" w:hAnsi="宋体" w:eastAsia="宋体" w:cs="宋体"/>
          <w:color w:val="000000"/>
          <w:sz w:val="24"/>
          <w:lang w:val="zh-CN"/>
        </w:rPr>
        <w:t>情况亦视为不可抗力。</w:t>
      </w:r>
    </w:p>
    <w:p w14:paraId="623DF06E">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八、知识产权</w:t>
      </w:r>
    </w:p>
    <w:p w14:paraId="272CB0BB">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九、其他约定</w:t>
      </w:r>
    </w:p>
    <w:p w14:paraId="35BB9752">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十、合同争议解决</w:t>
      </w:r>
    </w:p>
    <w:p w14:paraId="6D7C840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因服务质量问题发生争议的，应邀请国家认可的机构进行鉴定。服务符合标准的，鉴定费由甲方承担；服务不符合标准的，鉴定费由乙方承担；</w:t>
      </w:r>
    </w:p>
    <w:p w14:paraId="00E74F6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因履行本合同引起的或与本合同有关的争议，甲乙双方应首先通过友好协商解决，如果协商不能解决，可向</w:t>
      </w:r>
      <w:r>
        <w:rPr>
          <w:rFonts w:hint="eastAsia" w:ascii="宋体" w:hAnsi="宋体" w:eastAsia="宋体" w:cs="宋体"/>
          <w:color w:val="000000"/>
          <w:sz w:val="24"/>
          <w:u w:val="single"/>
          <w:lang w:val="zh-CN"/>
        </w:rPr>
        <w:t>甲方</w:t>
      </w:r>
      <w:r>
        <w:rPr>
          <w:rFonts w:hint="eastAsia" w:ascii="宋体" w:hAnsi="宋体" w:eastAsia="宋体" w:cs="宋体"/>
          <w:color w:val="000000"/>
          <w:sz w:val="24"/>
          <w:lang w:val="zh-CN"/>
        </w:rPr>
        <w:t>所在地仲裁委员会申请仲裁或向甲方所在地人民法院提起诉讼；</w:t>
      </w:r>
    </w:p>
    <w:p w14:paraId="5C28FD5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诉讼期间，本合同继续履行。</w:t>
      </w:r>
    </w:p>
    <w:p w14:paraId="36DE42B3">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十一、合同生效及其它</w:t>
      </w:r>
      <w:r>
        <w:rPr>
          <w:rFonts w:hint="eastAsia" w:ascii="宋体" w:hAnsi="宋体" w:eastAsia="宋体" w:cs="宋体"/>
          <w:b/>
          <w:color w:val="000000"/>
          <w:sz w:val="24"/>
        </w:rPr>
        <w:t>：</w:t>
      </w:r>
    </w:p>
    <w:p w14:paraId="273B6EA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本合同一式八份，经双方签字，并加盖公章即为生效；</w:t>
      </w:r>
    </w:p>
    <w:p w14:paraId="402EA09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本合同未尽事宜，按经济民法典有关规定处理；</w:t>
      </w:r>
    </w:p>
    <w:p w14:paraId="6ECC219E">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3．</w:t>
      </w:r>
      <w:r>
        <w:rPr>
          <w:rFonts w:hint="eastAsia" w:ascii="宋体" w:hAnsi="宋体" w:eastAsia="宋体" w:cs="宋体"/>
          <w:color w:val="000000"/>
          <w:sz w:val="24"/>
          <w:lang w:val="zh-CN"/>
        </w:rPr>
        <w:t>本合同的组成包含《合同通用条款》，可自行在青海政府采购网下载《合同通用条款》。</w:t>
      </w:r>
    </w:p>
    <w:p w14:paraId="69C906E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甲方（盖章）：                     乙方（盖章）：</w:t>
      </w:r>
    </w:p>
    <w:p w14:paraId="5909E9E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14:paraId="5C555A5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或委托代理人（签字）：             或委托代理人（签字）：</w:t>
      </w:r>
    </w:p>
    <w:p w14:paraId="646C462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联系电话：                         开户银行：</w:t>
      </w:r>
    </w:p>
    <w:p w14:paraId="5664B73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账号：</w:t>
      </w:r>
    </w:p>
    <w:p w14:paraId="12ADB4A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联系电话：</w:t>
      </w:r>
    </w:p>
    <w:p w14:paraId="273C57CE">
      <w:pPr>
        <w:autoSpaceDE w:val="0"/>
        <w:autoSpaceDN w:val="0"/>
        <w:spacing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lang w:val="zh-CN"/>
        </w:rPr>
        <w:t>签约时间：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5438BAA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采购代理机构：</w:t>
      </w:r>
      <w:r>
        <w:rPr>
          <w:rFonts w:hint="eastAsia" w:ascii="宋体" w:hAnsi="宋体" w:cs="宋体"/>
          <w:color w:val="000000"/>
          <w:sz w:val="24"/>
          <w:lang w:val="zh-CN"/>
        </w:rPr>
        <w:t>青海海际项目咨询管理有限公司</w:t>
      </w:r>
    </w:p>
    <w:p w14:paraId="367627A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负责人或经办人：</w:t>
      </w:r>
    </w:p>
    <w:p w14:paraId="3E5BA9F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合同备案时间：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008F7D4B">
      <w:pPr>
        <w:autoSpaceDE w:val="0"/>
        <w:autoSpaceDN w:val="0"/>
        <w:spacing w:line="360" w:lineRule="auto"/>
        <w:jc w:val="center"/>
        <w:rPr>
          <w:rFonts w:hint="eastAsia" w:ascii="宋体" w:hAnsi="宋体" w:eastAsia="宋体" w:cs="宋体"/>
          <w:b/>
          <w:bCs/>
          <w:color w:val="000000"/>
        </w:rPr>
      </w:pPr>
      <w:r>
        <w:rPr>
          <w:rFonts w:hint="eastAsia" w:ascii="宋体" w:hAnsi="宋体" w:eastAsia="宋体" w:cs="宋体"/>
          <w:b/>
          <w:bCs/>
          <w:color w:val="000000"/>
          <w:sz w:val="20"/>
          <w:lang w:val="zh-CN"/>
        </w:rPr>
        <w:br w:type="page"/>
      </w:r>
      <w:r>
        <w:rPr>
          <w:rFonts w:hint="eastAsia" w:ascii="宋体" w:hAnsi="宋体" w:eastAsia="宋体" w:cs="宋体"/>
          <w:b/>
          <w:bCs/>
          <w:color w:val="000000"/>
          <w:sz w:val="28"/>
          <w:lang w:val="zh-CN"/>
        </w:rPr>
        <w:t>合同通用条款</w:t>
      </w:r>
    </w:p>
    <w:p w14:paraId="1E3B0AE3">
      <w:pPr>
        <w:autoSpaceDE w:val="0"/>
        <w:autoSpaceDN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zh-CN"/>
        </w:rPr>
        <w:t>根据《中华人民共和国民法典》、《中华人民共和国政府采购法》的规定，合同双方经协商达成一致，自愿订立本合同，遵循公平原则明确双方的权利、义务，确保双方诚实守信地履行合同。</w:t>
      </w:r>
    </w:p>
    <w:p w14:paraId="4C7A0A0E">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eastAsia="宋体" w:cs="宋体"/>
          <w:b/>
          <w:bCs/>
          <w:color w:val="000000"/>
          <w:sz w:val="24"/>
          <w:lang w:val="zh-CN"/>
        </w:rPr>
        <w:t>定义</w:t>
      </w:r>
    </w:p>
    <w:p w14:paraId="1BD14DA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本合同中的下列术语应解释为：</w:t>
      </w:r>
    </w:p>
    <w:p w14:paraId="58979EE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w:t>
      </w:r>
      <w:r>
        <w:rPr>
          <w:rFonts w:hint="eastAsia" w:ascii="宋体" w:hAnsi="宋体" w:eastAsia="宋体" w:cs="宋体"/>
          <w:color w:val="000000"/>
          <w:sz w:val="24"/>
          <w:lang w:val="zh-CN"/>
        </w:rPr>
        <w:t>“合同”指甲乙双方签署的、载明的甲乙双方权利义务的协议，包括所有的附件、附录和上述文件所提到的构成合同的所有文件。</w:t>
      </w:r>
    </w:p>
    <w:p w14:paraId="16D21C8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zh-CN"/>
        </w:rPr>
        <w:t>“合同金额”指根据合同规定，乙方在正确地完全履行合同义务后甲方应付给乙方的价款。</w:t>
      </w:r>
    </w:p>
    <w:p w14:paraId="494662D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1.3</w:t>
      </w:r>
      <w:r>
        <w:rPr>
          <w:rFonts w:hint="eastAsia" w:ascii="宋体" w:hAnsi="宋体" w:eastAsia="宋体" w:cs="宋体"/>
          <w:color w:val="000000"/>
          <w:sz w:val="24"/>
          <w:lang w:val="zh-CN"/>
        </w:rPr>
        <w:t>“合同条款”指本合同条款。</w:t>
      </w:r>
    </w:p>
    <w:p w14:paraId="0B37B10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w:t>
      </w:r>
      <w:r>
        <w:rPr>
          <w:rFonts w:hint="eastAsia" w:ascii="宋体" w:hAnsi="宋体" w:eastAsia="宋体" w:cs="宋体"/>
          <w:color w:val="000000"/>
          <w:sz w:val="24"/>
          <w:lang w:val="zh-CN"/>
        </w:rPr>
        <w:t>“货物”指乙方根据合同约定须向甲方提供的一切产品、设备、机械、仪表、备件等，包括辅助工具、使用手册等相关资料。</w:t>
      </w:r>
    </w:p>
    <w:p w14:paraId="01D7165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w:t>
      </w:r>
      <w:r>
        <w:rPr>
          <w:rFonts w:hint="eastAsia" w:ascii="宋体" w:hAnsi="宋体" w:eastAsia="宋体" w:cs="宋体"/>
          <w:color w:val="000000"/>
          <w:sz w:val="24"/>
          <w:lang w:val="zh-CN"/>
        </w:rPr>
        <w:t>“服务”指根据本合同规定乙方承担与供货有关的辅助服务，如运输、保险及安装、调试、提供技术援助、培训和合同中规定乙方应承担的其它义务。</w:t>
      </w:r>
    </w:p>
    <w:p w14:paraId="61719D0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1.6</w:t>
      </w:r>
      <w:r>
        <w:rPr>
          <w:rFonts w:hint="eastAsia" w:ascii="宋体" w:hAnsi="宋体" w:eastAsia="宋体" w:cs="宋体"/>
          <w:color w:val="000000"/>
          <w:sz w:val="24"/>
          <w:lang w:val="zh-CN"/>
        </w:rPr>
        <w:t>“甲方”指购买货物和服务的单位。</w:t>
      </w:r>
    </w:p>
    <w:p w14:paraId="04CFE5D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w:t>
      </w:r>
      <w:r>
        <w:rPr>
          <w:rFonts w:hint="eastAsia" w:ascii="宋体" w:hAnsi="宋体" w:eastAsia="宋体" w:cs="宋体"/>
          <w:color w:val="000000"/>
          <w:sz w:val="24"/>
          <w:lang w:val="zh-CN"/>
        </w:rPr>
        <w:t>“乙方”指提供本合同条款下货物和服务的公司或其他实体。</w:t>
      </w:r>
    </w:p>
    <w:p w14:paraId="44B10F2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1.8</w:t>
      </w:r>
      <w:r>
        <w:rPr>
          <w:rFonts w:hint="eastAsia" w:ascii="宋体" w:hAnsi="宋体" w:eastAsia="宋体" w:cs="宋体"/>
          <w:color w:val="000000"/>
          <w:sz w:val="24"/>
          <w:lang w:val="zh-CN"/>
        </w:rPr>
        <w:t>“现场”指合同规定货物将要运至和安装的地点。</w:t>
      </w:r>
    </w:p>
    <w:p w14:paraId="2851DA0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1.9</w:t>
      </w:r>
      <w:r>
        <w:rPr>
          <w:rFonts w:hint="eastAsia" w:ascii="宋体" w:hAnsi="宋体" w:eastAsia="宋体" w:cs="宋体"/>
          <w:color w:val="000000"/>
          <w:sz w:val="24"/>
          <w:lang w:val="zh-CN"/>
        </w:rPr>
        <w:t>“验收”指合同双方依据强制性的国家技术质量规范和合同约定，确认合同条款下的货物符合合同规定的活动。</w:t>
      </w:r>
    </w:p>
    <w:p w14:paraId="22634D9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1.10</w:t>
      </w:r>
      <w:r>
        <w:rPr>
          <w:rFonts w:hint="eastAsia" w:ascii="宋体" w:hAnsi="宋体" w:eastAsia="宋体" w:cs="宋体"/>
          <w:color w:val="000000"/>
          <w:sz w:val="24"/>
          <w:lang w:val="zh-CN"/>
        </w:rPr>
        <w:t>原厂商：产品制造商或其在中国境内设立的办事或技术服务机构。除另有说明外，本合同文件所述的制造商、产品制造商、制造厂家、产品制造厂家均为原厂商。</w:t>
      </w:r>
    </w:p>
    <w:p w14:paraId="67BF230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w:t>
      </w:r>
      <w:r>
        <w:rPr>
          <w:rFonts w:hint="eastAsia" w:ascii="宋体" w:hAnsi="宋体" w:eastAsia="宋体" w:cs="宋体"/>
          <w:color w:val="000000"/>
          <w:sz w:val="24"/>
          <w:lang w:val="zh-CN"/>
        </w:rPr>
        <w:t>原产地：指产品的生产地，或提供服务的来源地。</w:t>
      </w:r>
    </w:p>
    <w:p w14:paraId="54B5D89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w:t>
      </w:r>
      <w:r>
        <w:rPr>
          <w:rFonts w:hint="eastAsia" w:ascii="宋体" w:hAnsi="宋体" w:eastAsia="宋体" w:cs="宋体"/>
          <w:color w:val="000000"/>
          <w:sz w:val="24"/>
          <w:lang w:val="zh-CN"/>
        </w:rPr>
        <w:t>“工作日”指国家法定工作日，“天”指日历天数。</w:t>
      </w:r>
    </w:p>
    <w:p w14:paraId="408EEB1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eastAsia="宋体" w:cs="宋体"/>
          <w:b/>
          <w:bCs/>
          <w:color w:val="000000"/>
          <w:sz w:val="24"/>
          <w:lang w:val="zh-CN"/>
        </w:rPr>
        <w:t>技术规格要求</w:t>
      </w:r>
    </w:p>
    <w:p w14:paraId="309759C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2.1</w:t>
      </w:r>
      <w:r>
        <w:rPr>
          <w:rFonts w:hint="eastAsia" w:ascii="宋体" w:hAnsi="宋体" w:eastAsia="宋体" w:cs="宋体"/>
          <w:color w:val="000000"/>
          <w:sz w:val="24"/>
          <w:lang w:val="zh-CN"/>
        </w:rPr>
        <w:t>本合同条款下提交货物的技术规格要求应等于或优于磋商文件/磋商响应文件技术规格要求。若技术规格要求中无相应规定，则应符合相应的国家有关部门最新颁布的相应正式标准。</w:t>
      </w:r>
    </w:p>
    <w:p w14:paraId="15363B4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2.2</w:t>
      </w:r>
      <w:r>
        <w:rPr>
          <w:rFonts w:hint="eastAsia" w:ascii="宋体" w:hAnsi="宋体" w:eastAsia="宋体" w:cs="宋体"/>
          <w:color w:val="000000"/>
          <w:sz w:val="24"/>
          <w:lang w:val="zh-CN"/>
        </w:rPr>
        <w:t>乙方应向甲方提供货物及服务有关的标准的中文文本。</w:t>
      </w:r>
    </w:p>
    <w:p w14:paraId="7D9FD62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2.3</w:t>
      </w:r>
      <w:r>
        <w:rPr>
          <w:rFonts w:hint="eastAsia" w:ascii="宋体" w:hAnsi="宋体" w:eastAsia="宋体" w:cs="宋体"/>
          <w:color w:val="000000"/>
          <w:sz w:val="24"/>
          <w:lang w:val="zh-CN"/>
        </w:rPr>
        <w:t>除非技术规范中另有规定，计量单位均采用中华人民共和国法定计量单位。</w:t>
      </w:r>
    </w:p>
    <w:p w14:paraId="1DF7A166">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3.</w:t>
      </w:r>
      <w:r>
        <w:rPr>
          <w:rFonts w:hint="eastAsia" w:ascii="宋体" w:hAnsi="宋体" w:eastAsia="宋体" w:cs="宋体"/>
          <w:b/>
          <w:bCs/>
          <w:color w:val="000000"/>
          <w:sz w:val="24"/>
          <w:lang w:val="zh-CN"/>
        </w:rPr>
        <w:t>合同范围</w:t>
      </w:r>
    </w:p>
    <w:p w14:paraId="2F73318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3.1</w:t>
      </w:r>
      <w:r>
        <w:rPr>
          <w:rFonts w:hint="eastAsia" w:ascii="宋体" w:hAnsi="宋体" w:eastAsia="宋体" w:cs="宋体"/>
          <w:color w:val="00000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8F2E3E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3.2</w:t>
      </w:r>
      <w:r>
        <w:rPr>
          <w:rFonts w:hint="eastAsia" w:ascii="宋体" w:hAnsi="宋体" w:eastAsia="宋体" w:cs="宋体"/>
          <w:color w:val="000000"/>
          <w:sz w:val="24"/>
          <w:lang w:val="zh-CN"/>
        </w:rPr>
        <w:t>乙方应负责培训甲方的技术人员。</w:t>
      </w:r>
    </w:p>
    <w:p w14:paraId="4D1C6D3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3.3</w:t>
      </w:r>
      <w:r>
        <w:rPr>
          <w:rFonts w:hint="eastAsia" w:ascii="宋体" w:hAnsi="宋体" w:eastAsia="宋体" w:cs="宋体"/>
          <w:color w:val="00000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7B415A4">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4.</w:t>
      </w:r>
      <w:r>
        <w:rPr>
          <w:rFonts w:hint="eastAsia" w:ascii="宋体" w:hAnsi="宋体" w:eastAsia="宋体" w:cs="宋体"/>
          <w:b/>
          <w:bCs/>
          <w:color w:val="000000"/>
          <w:sz w:val="24"/>
          <w:lang w:val="zh-CN"/>
        </w:rPr>
        <w:t>合同文件和资料</w:t>
      </w:r>
    </w:p>
    <w:p w14:paraId="42B86C0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4.1</w:t>
      </w:r>
      <w:r>
        <w:rPr>
          <w:rFonts w:hint="eastAsia" w:ascii="宋体" w:hAnsi="宋体" w:eastAsia="宋体" w:cs="宋体"/>
          <w:color w:val="000000"/>
          <w:sz w:val="24"/>
          <w:lang w:val="zh-CN"/>
        </w:rPr>
        <w:t>乙方在提供仪器设备时应同时提供中文版相关的技术资料，如目录索引、图纸、操作手册、使用指南、维修指南、服务手册等。</w:t>
      </w:r>
    </w:p>
    <w:p w14:paraId="6F3D5C5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4.2</w:t>
      </w:r>
      <w:r>
        <w:rPr>
          <w:rFonts w:hint="eastAsia" w:ascii="宋体" w:hAnsi="宋体" w:eastAsia="宋体" w:cs="宋体"/>
          <w:color w:val="00000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03653D8">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zh-CN"/>
        </w:rPr>
        <w:t>知识产权</w:t>
      </w:r>
    </w:p>
    <w:p w14:paraId="43E5A02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5.1</w:t>
      </w:r>
      <w:r>
        <w:rPr>
          <w:rFonts w:hint="eastAsia" w:ascii="宋体" w:hAnsi="宋体" w:eastAsia="宋体" w:cs="宋体"/>
          <w:color w:val="000000"/>
          <w:sz w:val="24"/>
          <w:lang w:val="zh-CN"/>
        </w:rPr>
        <w:t>乙方应保证甲方在使用该货物或其任何一部分时不受第三方提出的侵犯专利权、</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著作权、商标权和工业设计权等的起诉。</w:t>
      </w:r>
    </w:p>
    <w:p w14:paraId="2C16DB5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5.2</w:t>
      </w:r>
      <w:r>
        <w:rPr>
          <w:rFonts w:hint="eastAsia" w:ascii="宋体" w:hAnsi="宋体" w:eastAsia="宋体" w:cs="宋体"/>
          <w:color w:val="000000"/>
          <w:sz w:val="24"/>
          <w:lang w:val="zh-CN"/>
        </w:rPr>
        <w:t>任何第三方提出侵权指控，乙方须与第三方交涉并承担由此产生的一切责任、费用和经济赔偿。</w:t>
      </w:r>
    </w:p>
    <w:p w14:paraId="19A8247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5.3</w:t>
      </w:r>
      <w:r>
        <w:rPr>
          <w:rFonts w:hint="eastAsia" w:ascii="宋体" w:hAnsi="宋体" w:eastAsia="宋体" w:cs="宋体"/>
          <w:color w:val="00000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095EE9C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5.4</w:t>
      </w:r>
      <w:r>
        <w:rPr>
          <w:rFonts w:hint="eastAsia" w:ascii="宋体" w:hAnsi="宋体" w:eastAsia="宋体" w:cs="宋体"/>
          <w:color w:val="000000"/>
          <w:sz w:val="24"/>
          <w:lang w:val="zh-CN"/>
        </w:rPr>
        <w:t>在本合同生效时已经存在并为各方合法拥有或使用的所有技术、资料和信息的知识产权，仍应属于其各自的原权利人所有或享有，另有约定的除外。</w:t>
      </w:r>
    </w:p>
    <w:p w14:paraId="60F1069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5.5</w:t>
      </w:r>
      <w:r>
        <w:rPr>
          <w:rFonts w:hint="eastAsia" w:ascii="宋体" w:hAnsi="宋体" w:eastAsia="宋体" w:cs="宋体"/>
          <w:color w:val="00000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DECAF1A">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6.</w:t>
      </w:r>
      <w:r>
        <w:rPr>
          <w:rFonts w:hint="eastAsia" w:ascii="宋体" w:hAnsi="宋体" w:eastAsia="宋体" w:cs="宋体"/>
          <w:b/>
          <w:bCs/>
          <w:color w:val="000000"/>
          <w:sz w:val="24"/>
          <w:lang w:val="zh-CN"/>
        </w:rPr>
        <w:t>保密</w:t>
      </w:r>
    </w:p>
    <w:p w14:paraId="1728E26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6.1</w:t>
      </w:r>
      <w:r>
        <w:rPr>
          <w:rFonts w:hint="eastAsia" w:ascii="宋体" w:hAnsi="宋体" w:eastAsia="宋体" w:cs="宋体"/>
          <w:color w:val="00000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EACE5E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w:t>
      </w:r>
      <w:r>
        <w:rPr>
          <w:rFonts w:hint="eastAsia" w:ascii="宋体" w:hAnsi="宋体" w:eastAsia="宋体" w:cs="宋体"/>
          <w:color w:val="000000"/>
          <w:sz w:val="24"/>
          <w:lang w:val="zh-CN"/>
        </w:rPr>
        <w:t>保密信息指任何一方因履行本合同所知悉的任何以口头、书面、图表或电子形式存在的对方信息，具体包括：</w:t>
      </w:r>
    </w:p>
    <w:p w14:paraId="1ED9F2C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6.2.1</w:t>
      </w:r>
      <w:r>
        <w:rPr>
          <w:rFonts w:hint="eastAsia" w:ascii="宋体" w:hAnsi="宋体" w:eastAsia="宋体" w:cs="宋体"/>
          <w:color w:val="000000"/>
          <w:sz w:val="24"/>
          <w:lang w:val="zh-CN"/>
        </w:rPr>
        <w:t>任何涉及对方过去、现在或将来的商业计划、规章制度、操作规程、处理手段、财务信息；</w:t>
      </w:r>
    </w:p>
    <w:p w14:paraId="7255941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6.2.2</w:t>
      </w:r>
      <w:r>
        <w:rPr>
          <w:rFonts w:hint="eastAsia" w:ascii="宋体" w:hAnsi="宋体" w:eastAsia="宋体" w:cs="宋体"/>
          <w:color w:val="000000"/>
          <w:sz w:val="24"/>
          <w:lang w:val="zh-CN"/>
        </w:rPr>
        <w:t>任何对方的技术措施、技术方案、软件应用及开发，硬件设备的品种、质量、数量、品牌等；</w:t>
      </w:r>
    </w:p>
    <w:p w14:paraId="34FF4F3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6.2.3</w:t>
      </w:r>
      <w:r>
        <w:rPr>
          <w:rFonts w:hint="eastAsia" w:ascii="宋体" w:hAnsi="宋体" w:eastAsia="宋体" w:cs="宋体"/>
          <w:color w:val="000000"/>
          <w:sz w:val="24"/>
          <w:lang w:val="zh-CN"/>
        </w:rPr>
        <w:t>任何对方的技术秘密或专有知识、文件、报告、数据、客户软件、流程图、数据库、发明、知识、贸易秘密。</w:t>
      </w:r>
    </w:p>
    <w:p w14:paraId="252E4C8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6.3</w:t>
      </w:r>
      <w:r>
        <w:rPr>
          <w:rFonts w:hint="eastAsia" w:ascii="宋体" w:hAnsi="宋体" w:eastAsia="宋体" w:cs="宋体"/>
          <w:color w:val="000000"/>
          <w:sz w:val="24"/>
          <w:lang w:val="zh-CN"/>
        </w:rPr>
        <w:t>乙方应根据甲方的要求签署相应的保密协议，保密协议与本条款存在不一致的，以保密协议为准。</w:t>
      </w:r>
    </w:p>
    <w:p w14:paraId="03460EB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 xml:space="preserve">7. </w:t>
      </w:r>
      <w:r>
        <w:rPr>
          <w:rFonts w:hint="eastAsia" w:ascii="宋体" w:hAnsi="宋体" w:eastAsia="宋体" w:cs="宋体"/>
          <w:b/>
          <w:bCs/>
          <w:color w:val="000000"/>
          <w:sz w:val="24"/>
          <w:lang w:val="zh-CN"/>
        </w:rPr>
        <w:t>质量保证</w:t>
      </w:r>
    </w:p>
    <w:p w14:paraId="07A52CE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w:t>
      </w:r>
      <w:r>
        <w:rPr>
          <w:rFonts w:hint="eastAsia" w:ascii="宋体" w:hAnsi="宋体" w:eastAsia="宋体" w:cs="宋体"/>
          <w:color w:val="000000"/>
          <w:sz w:val="24"/>
          <w:lang w:val="zh-CN"/>
        </w:rPr>
        <w:t>货物质量保证</w:t>
      </w:r>
    </w:p>
    <w:p w14:paraId="77DCF9E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7.1.1</w:t>
      </w:r>
      <w:r>
        <w:rPr>
          <w:rFonts w:hint="eastAsia" w:ascii="宋体" w:hAnsi="宋体" w:eastAsia="宋体" w:cs="宋体"/>
          <w:color w:val="000000"/>
          <w:sz w:val="24"/>
          <w:lang w:val="zh-CN"/>
        </w:rPr>
        <w:t>乙方必须保证货物是全新、未使用过的，并完全符合强制性的国家技术质量规范和合同规定的质量、规格、性能和技术规范等的要求。</w:t>
      </w:r>
    </w:p>
    <w:p w14:paraId="3FC04A3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7.1.2</w:t>
      </w:r>
      <w:r>
        <w:rPr>
          <w:rFonts w:hint="eastAsia" w:ascii="宋体" w:hAnsi="宋体" w:eastAsia="宋体" w:cs="宋体"/>
          <w:color w:val="00000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7CC62C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7.1.3</w:t>
      </w:r>
      <w:r>
        <w:rPr>
          <w:rFonts w:hint="eastAsia" w:ascii="宋体" w:hAnsi="宋体" w:eastAsia="宋体" w:cs="宋体"/>
          <w:color w:val="00000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168CD26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7.1.4</w:t>
      </w:r>
      <w:r>
        <w:rPr>
          <w:rFonts w:hint="eastAsia" w:ascii="宋体" w:hAnsi="宋体" w:eastAsia="宋体" w:cs="宋体"/>
          <w:color w:val="000000"/>
          <w:sz w:val="24"/>
          <w:lang w:val="zh-CN"/>
        </w:rPr>
        <w:t>乙方在收到通知后虽答复，但没有弥补缺陷，甲方可采取必要的补救措施，但由此引发的风险和费用将由乙方承担。甲方可从合同款或乙方提交的保证金中扣款，不足部分，甲方有权要求乙方赔偿。甲方根据合同规定对卖方行使的其他权力不受影响。</w:t>
      </w:r>
    </w:p>
    <w:p w14:paraId="2B44CC8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7.1.5</w:t>
      </w:r>
      <w:r>
        <w:rPr>
          <w:rFonts w:hint="eastAsia" w:ascii="宋体" w:hAnsi="宋体" w:eastAsia="宋体" w:cs="宋体"/>
          <w:color w:val="000000"/>
          <w:sz w:val="24"/>
          <w:lang w:val="zh-CN"/>
        </w:rPr>
        <w:t>合同条款下货物的质量保证期自货物通过最终验收起算，合同另行规定除外。</w:t>
      </w:r>
    </w:p>
    <w:p w14:paraId="7FF7CFA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7.2</w:t>
      </w:r>
      <w:r>
        <w:rPr>
          <w:rFonts w:hint="eastAsia" w:ascii="宋体" w:hAnsi="宋体" w:eastAsia="宋体" w:cs="宋体"/>
          <w:color w:val="000000"/>
          <w:sz w:val="24"/>
          <w:lang w:val="zh-CN"/>
        </w:rPr>
        <w:t>辅助服务质量保证</w:t>
      </w:r>
    </w:p>
    <w:p w14:paraId="08DC5A9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7.2.1</w:t>
      </w:r>
      <w:r>
        <w:rPr>
          <w:rFonts w:hint="eastAsia" w:ascii="宋体" w:hAnsi="宋体" w:eastAsia="宋体" w:cs="宋体"/>
          <w:color w:val="00000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40EDAA72">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7.2.2</w:t>
      </w:r>
      <w:r>
        <w:rPr>
          <w:rFonts w:hint="eastAsia" w:ascii="宋体" w:hAnsi="宋体" w:eastAsia="宋体" w:cs="宋体"/>
          <w:color w:val="000000"/>
          <w:sz w:val="24"/>
          <w:lang w:val="zh-CN"/>
        </w:rPr>
        <w:t>乙方应保证合同条款下所提供的服务包括培训、安装指导、单机调试、系统联调和试验等，按合同规定方式进行，并保证不存在因乙方工作人员的过失、错误或疏忽而产生的缺陷。</w:t>
      </w:r>
    </w:p>
    <w:p w14:paraId="3A0E337A">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8.</w:t>
      </w:r>
      <w:r>
        <w:rPr>
          <w:rFonts w:hint="eastAsia" w:ascii="宋体" w:hAnsi="宋体" w:eastAsia="宋体" w:cs="宋体"/>
          <w:b/>
          <w:bCs/>
          <w:color w:val="000000"/>
          <w:sz w:val="24"/>
          <w:lang w:val="zh-CN"/>
        </w:rPr>
        <w:t>包装要求</w:t>
      </w:r>
    </w:p>
    <w:p w14:paraId="60303A6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8.1</w:t>
      </w:r>
      <w:r>
        <w:rPr>
          <w:rFonts w:hint="eastAsia" w:ascii="宋体" w:hAnsi="宋体" w:eastAsia="宋体" w:cs="宋体"/>
          <w:color w:val="000000"/>
          <w:sz w:val="24"/>
          <w:lang w:val="zh-CN"/>
        </w:rPr>
        <w:t>除合同另有约定外</w:t>
      </w:r>
      <w:r>
        <w:rPr>
          <w:rFonts w:hint="eastAsia" w:ascii="宋体" w:hAnsi="宋体" w:eastAsia="宋体" w:cs="宋体"/>
          <w:color w:val="000000"/>
          <w:sz w:val="24"/>
        </w:rPr>
        <w:t>,</w:t>
      </w:r>
      <w:r>
        <w:rPr>
          <w:rFonts w:hint="eastAsia" w:ascii="宋体" w:hAnsi="宋体" w:eastAsia="宋体" w:cs="宋体"/>
          <w:color w:val="000000"/>
          <w:sz w:val="24"/>
          <w:lang w:val="zh-CN"/>
        </w:rPr>
        <w:t>乙方提供的全部货物</w:t>
      </w:r>
      <w:r>
        <w:rPr>
          <w:rFonts w:hint="eastAsia" w:ascii="宋体" w:hAnsi="宋体" w:eastAsia="宋体" w:cs="宋体"/>
          <w:color w:val="000000"/>
          <w:sz w:val="24"/>
        </w:rPr>
        <w:t>,</w:t>
      </w:r>
      <w:r>
        <w:rPr>
          <w:rFonts w:hint="eastAsia" w:ascii="宋体" w:hAnsi="宋体" w:eastAsia="宋体" w:cs="宋体"/>
          <w:color w:val="000000"/>
          <w:sz w:val="24"/>
          <w:lang w:val="zh-CN"/>
        </w:rPr>
        <w:t>均应采用本行业通用的方式进行包装，且该包装应符合国家有关包装的法律、法规的规定。</w:t>
      </w:r>
    </w:p>
    <w:p w14:paraId="71D3B12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8.2</w:t>
      </w:r>
      <w:r>
        <w:rPr>
          <w:rFonts w:hint="eastAsia" w:ascii="宋体" w:hAnsi="宋体" w:eastAsia="宋体" w:cs="宋体"/>
          <w:color w:val="000000"/>
          <w:sz w:val="24"/>
          <w:lang w:val="zh-CN"/>
        </w:rPr>
        <w:t>包装应适应于远距离运输，并有良好的防潮、防震、防锈和防粗暴装卸等保护措施，以确保货物安全运抵现场。由于包装不善所引起的货物锈蚀、损坏和损失均由乙方承担。</w:t>
      </w:r>
    </w:p>
    <w:p w14:paraId="4C00C74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乙方应提供货物运至合同规定的最终目的地所需要的包装，以防止货物在转运中损坏或变质。</w:t>
      </w:r>
    </w:p>
    <w:p w14:paraId="58C7F4D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8.3</w:t>
      </w:r>
      <w:r>
        <w:rPr>
          <w:rFonts w:hint="eastAsia" w:ascii="宋体" w:hAnsi="宋体" w:eastAsia="宋体" w:cs="宋体"/>
          <w:color w:val="000000"/>
          <w:sz w:val="24"/>
          <w:lang w:val="zh-CN"/>
        </w:rPr>
        <w:t>乙方所提供的货物包装均为出厂时原包装。</w:t>
      </w:r>
    </w:p>
    <w:p w14:paraId="722B7AF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8.4</w:t>
      </w:r>
      <w:r>
        <w:rPr>
          <w:rFonts w:hint="eastAsia" w:ascii="宋体" w:hAnsi="宋体" w:eastAsia="宋体" w:cs="宋体"/>
          <w:color w:val="000000"/>
          <w:sz w:val="24"/>
          <w:lang w:val="zh-CN"/>
        </w:rPr>
        <w:t>乙方所提供货物必须附有质量合格证，装箱清单，主机、附件、各种零部件和消耗品，有清楚的与装箱单相对应的名称和编号。</w:t>
      </w:r>
    </w:p>
    <w:p w14:paraId="361FA4A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8.5</w:t>
      </w:r>
      <w:r>
        <w:rPr>
          <w:rFonts w:hint="eastAsia" w:ascii="宋体" w:hAnsi="宋体" w:eastAsia="宋体" w:cs="宋体"/>
          <w:color w:val="000000"/>
          <w:sz w:val="24"/>
          <w:lang w:val="zh-CN"/>
        </w:rPr>
        <w:t>货物运输中的运输费用和保险费用均由乙方承担。运输过程中的一切损失、损坏均由乙方负责。</w:t>
      </w:r>
    </w:p>
    <w:p w14:paraId="1FA86D37">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 xml:space="preserve">9. </w:t>
      </w:r>
      <w:r>
        <w:rPr>
          <w:rFonts w:hint="eastAsia" w:ascii="宋体" w:hAnsi="宋体" w:eastAsia="宋体" w:cs="宋体"/>
          <w:b/>
          <w:bCs/>
          <w:color w:val="000000"/>
          <w:sz w:val="24"/>
          <w:lang w:val="zh-CN"/>
        </w:rPr>
        <w:t>价格</w:t>
      </w:r>
    </w:p>
    <w:p w14:paraId="3F3819D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9.1</w:t>
      </w:r>
      <w:r>
        <w:rPr>
          <w:rFonts w:hint="eastAsia" w:ascii="宋体" w:hAnsi="宋体" w:eastAsia="宋体" w:cs="宋体"/>
          <w:color w:val="00000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5D70435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9.2</w:t>
      </w:r>
      <w:r>
        <w:rPr>
          <w:rFonts w:hint="eastAsia" w:ascii="宋体" w:hAnsi="宋体" w:eastAsia="宋体" w:cs="宋体"/>
          <w:color w:val="000000"/>
          <w:sz w:val="24"/>
          <w:lang w:val="zh-CN"/>
        </w:rPr>
        <w:t>本合同价格为固定价格，包括了乙方履行合同全过程产生的所有成本和费用以及乙方应承担的一切税费。</w:t>
      </w:r>
    </w:p>
    <w:p w14:paraId="7DFA982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w:t>
      </w:r>
      <w:r>
        <w:rPr>
          <w:rFonts w:hint="eastAsia" w:ascii="宋体" w:hAnsi="宋体" w:eastAsia="宋体" w:cs="宋体"/>
          <w:color w:val="000000"/>
          <w:sz w:val="24"/>
          <w:lang w:val="zh-CN"/>
        </w:rPr>
        <w:t>检验费用</w:t>
      </w:r>
    </w:p>
    <w:p w14:paraId="4A4CE64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9.3.1</w:t>
      </w:r>
      <w:r>
        <w:rPr>
          <w:rFonts w:hint="eastAsia" w:ascii="宋体" w:hAnsi="宋体" w:eastAsia="宋体" w:cs="宋体"/>
          <w:color w:val="000000"/>
          <w:sz w:val="24"/>
          <w:lang w:val="zh-CN"/>
        </w:rPr>
        <w:t>乙方必须负担本条款下属于乙方负责的检验、测试、调试、试运行和验收的所有费用，并负责乙方派往买方组织的检验、测试和验收人员的所有费用。</w:t>
      </w:r>
    </w:p>
    <w:p w14:paraId="420BF53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9.3.2</w:t>
      </w:r>
      <w:r>
        <w:rPr>
          <w:rFonts w:hint="eastAsia" w:ascii="宋体" w:hAnsi="宋体" w:eastAsia="宋体" w:cs="宋体"/>
          <w:color w:val="000000"/>
          <w:sz w:val="24"/>
          <w:lang w:val="zh-CN"/>
        </w:rPr>
        <w:t>甲方按合同计划参加在乙方工厂所在地检验、测试和验收的费用全部由乙方负责并已包含在合同总价中。</w:t>
      </w:r>
    </w:p>
    <w:p w14:paraId="34311A1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9.3.3</w:t>
      </w:r>
      <w:r>
        <w:rPr>
          <w:rFonts w:hint="eastAsia" w:ascii="宋体" w:hAnsi="宋体" w:eastAsia="宋体" w:cs="宋体"/>
          <w:color w:val="000000"/>
          <w:sz w:val="24"/>
          <w:lang w:val="zh-CN"/>
        </w:rPr>
        <w:t>甲方检验人员已到卖方所在地，测试无法依照合同进行，</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而引起甲方人员延长逗留时间，所有由此产生的包括甲方人员在内的直接费用及成本由乙方承担。</w:t>
      </w:r>
    </w:p>
    <w:p w14:paraId="461BB366">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10.</w:t>
      </w:r>
      <w:r>
        <w:rPr>
          <w:rFonts w:hint="eastAsia" w:ascii="宋体" w:hAnsi="宋体" w:eastAsia="宋体" w:cs="宋体"/>
          <w:b/>
          <w:bCs/>
          <w:color w:val="000000"/>
          <w:sz w:val="24"/>
          <w:lang w:val="zh-CN"/>
        </w:rPr>
        <w:t>交货方式及交货日期</w:t>
      </w:r>
    </w:p>
    <w:p w14:paraId="4A7C0B2A">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交货方式：现场交货，乙方负责办理运输和保险，将货物运抵现场。</w:t>
      </w:r>
    </w:p>
    <w:p w14:paraId="6A4D8734">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交货期应根据产品的特点实事求是填写，进口产品90个工作日内，国产产品60个工作日内。特殊产品交货期需说明。</w:t>
      </w:r>
    </w:p>
    <w:p w14:paraId="08872FE9">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交货日期：所有货物运抵现场并经双方开箱验收合格之日。</w:t>
      </w:r>
    </w:p>
    <w:p w14:paraId="62090249">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11.检验和验收</w:t>
      </w:r>
    </w:p>
    <w:p w14:paraId="3D8B152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w:t>
      </w:r>
      <w:r>
        <w:rPr>
          <w:rFonts w:hint="eastAsia" w:ascii="宋体" w:hAnsi="宋体" w:eastAsia="宋体" w:cs="宋体"/>
          <w:color w:val="000000"/>
          <w:sz w:val="24"/>
          <w:lang w:val="zh-CN"/>
        </w:rPr>
        <w:t>开箱验收</w:t>
      </w:r>
    </w:p>
    <w:p w14:paraId="5D2FFFB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11.1.1</w:t>
      </w:r>
      <w:r>
        <w:rPr>
          <w:rFonts w:hint="eastAsia" w:ascii="宋体" w:hAnsi="宋体" w:eastAsia="宋体" w:cs="宋体"/>
          <w:color w:val="000000"/>
          <w:sz w:val="24"/>
          <w:lang w:val="zh-CN"/>
        </w:rPr>
        <w:t>货物运抵现场后，双方应及时开箱验收，并制作验收记录，以确认与本合同约定的数量、型号等是否一致。</w:t>
      </w:r>
    </w:p>
    <w:p w14:paraId="4F7A8D0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11.1.2</w:t>
      </w:r>
      <w:r>
        <w:rPr>
          <w:rFonts w:hint="eastAsia" w:ascii="宋体" w:hAnsi="宋体" w:eastAsia="宋体" w:cs="宋体"/>
          <w:color w:val="00000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F473CA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11.1.3</w:t>
      </w:r>
      <w:r>
        <w:rPr>
          <w:rFonts w:hint="eastAsia" w:ascii="宋体" w:hAnsi="宋体" w:eastAsia="宋体" w:cs="宋体"/>
          <w:color w:val="000000"/>
          <w:sz w:val="24"/>
          <w:lang w:val="zh-CN"/>
        </w:rPr>
        <w:t>开箱验收中如发现货物的数量、规格与合同约定不符，甲方有权拒收货物，乙方应及时按甲方要求免费对拒收货物采取更换或其他必要的补救措施，直至开箱验收合格，方视为乙方完中标货。</w:t>
      </w:r>
    </w:p>
    <w:p w14:paraId="1C7623A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w:t>
      </w:r>
      <w:r>
        <w:rPr>
          <w:rFonts w:hint="eastAsia" w:ascii="宋体" w:hAnsi="宋体" w:eastAsia="宋体" w:cs="宋体"/>
          <w:color w:val="000000"/>
          <w:sz w:val="24"/>
          <w:lang w:val="zh-CN"/>
        </w:rPr>
        <w:t>检验验收</w:t>
      </w:r>
    </w:p>
    <w:p w14:paraId="5B8139A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11.2.1</w:t>
      </w:r>
      <w:r>
        <w:rPr>
          <w:rFonts w:hint="eastAsia" w:ascii="宋体" w:hAnsi="宋体" w:eastAsia="宋体" w:cs="宋体"/>
          <w:color w:val="000000"/>
          <w:sz w:val="24"/>
          <w:lang w:val="zh-CN"/>
        </w:rPr>
        <w:t>交货完成后，乙方应及时组装、调试、试运行，按照合同专用条款规定的试运行完成后，双方及时组织对货物检验验收。合同双方均须派人参加合同要求双方参加的试验、检验。</w:t>
      </w:r>
    </w:p>
    <w:p w14:paraId="5336878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11.2.2</w:t>
      </w:r>
      <w:r>
        <w:rPr>
          <w:rFonts w:hint="eastAsia" w:ascii="宋体" w:hAnsi="宋体" w:eastAsia="宋体" w:cs="宋体"/>
          <w:color w:val="000000"/>
          <w:sz w:val="24"/>
          <w:lang w:val="zh-CN"/>
        </w:rPr>
        <w:t>在具体实施合同规定的检验验收之前，乙方需提前提交相应的测试计划（包括测试程序、测试内容和检验标准、试验时间安排等）供甲方确认。</w:t>
      </w:r>
    </w:p>
    <w:p w14:paraId="16FF0E3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11.2.3</w:t>
      </w:r>
      <w:r>
        <w:rPr>
          <w:rFonts w:hint="eastAsia" w:ascii="宋体" w:hAnsi="宋体" w:eastAsia="宋体" w:cs="宋体"/>
          <w:color w:val="000000"/>
          <w:sz w:val="24"/>
          <w:lang w:val="zh-CN"/>
        </w:rPr>
        <w:t>除需甲方确认的试验验收外，乙方还应对所有检验验收测试的结果、步骤、原始数据等作妥善记录。如甲方要求，乙方应提供这些记录给买方。</w:t>
      </w:r>
    </w:p>
    <w:p w14:paraId="18CAC4B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11.2.4</w:t>
      </w:r>
      <w:r>
        <w:rPr>
          <w:rFonts w:hint="eastAsia" w:ascii="宋体" w:hAnsi="宋体" w:eastAsia="宋体" w:cs="宋体"/>
          <w:color w:val="000000"/>
          <w:sz w:val="24"/>
          <w:lang w:val="zh-CN"/>
        </w:rPr>
        <w:t>检验测试出现全部或部分未达到本合同所约定的技术指标，甲方有权选择下列任一处理方式：</w:t>
      </w:r>
    </w:p>
    <w:p w14:paraId="393DFAB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a.</w:t>
      </w:r>
      <w:r>
        <w:rPr>
          <w:rFonts w:hint="eastAsia" w:ascii="宋体" w:hAnsi="宋体" w:eastAsia="宋体" w:cs="宋体"/>
          <w:color w:val="000000"/>
          <w:sz w:val="24"/>
          <w:lang w:val="zh-CN"/>
        </w:rPr>
        <w:t>重新测试直至合格为止；</w:t>
      </w:r>
    </w:p>
    <w:p w14:paraId="11ECF4F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b.</w:t>
      </w:r>
      <w:r>
        <w:rPr>
          <w:rFonts w:hint="eastAsia" w:ascii="宋体" w:hAnsi="宋体" w:eastAsia="宋体" w:cs="宋体"/>
          <w:color w:val="000000"/>
          <w:sz w:val="24"/>
          <w:lang w:val="zh-CN"/>
        </w:rPr>
        <w:t>要求乙方对货物进行免费更换，然后重新测试直至合格为止；</w:t>
      </w:r>
    </w:p>
    <w:p w14:paraId="5E900E7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无论选择何种方式，甲方因此而发生的因卖方原因引起的所有费用均由乙方负担。</w:t>
      </w:r>
    </w:p>
    <w:p w14:paraId="71040EB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11.3 </w:t>
      </w:r>
      <w:r>
        <w:rPr>
          <w:rFonts w:hint="eastAsia" w:ascii="宋体" w:hAnsi="宋体" w:eastAsia="宋体" w:cs="宋体"/>
          <w:color w:val="000000"/>
          <w:sz w:val="24"/>
          <w:lang w:val="zh-CN"/>
        </w:rPr>
        <w:t>使用过程检验</w:t>
      </w:r>
    </w:p>
    <w:p w14:paraId="4A42676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11.3.1</w:t>
      </w:r>
      <w:r>
        <w:rPr>
          <w:rFonts w:hint="eastAsia" w:ascii="宋体" w:hAnsi="宋体" w:eastAsia="宋体" w:cs="宋体"/>
          <w:color w:val="00000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EB00F7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11.3.2</w:t>
      </w:r>
      <w:r>
        <w:rPr>
          <w:rFonts w:hint="eastAsia" w:ascii="宋体" w:hAnsi="宋体" w:eastAsia="宋体" w:cs="宋体"/>
          <w:color w:val="000000"/>
          <w:sz w:val="24"/>
          <w:lang w:val="zh-CN"/>
        </w:rPr>
        <w:t>如果合同双方对乙方提供的上述试验结果报告的解释有分歧，双方须于出现分歧后</w:t>
      </w:r>
      <w:r>
        <w:rPr>
          <w:rFonts w:hint="eastAsia" w:ascii="宋体" w:hAnsi="宋体" w:eastAsia="宋体" w:cs="宋体"/>
          <w:color w:val="000000"/>
          <w:sz w:val="24"/>
        </w:rPr>
        <w:t>10</w:t>
      </w:r>
      <w:r>
        <w:rPr>
          <w:rFonts w:hint="eastAsia" w:ascii="宋体" w:hAnsi="宋体" w:eastAsia="宋体" w:cs="宋体"/>
          <w:color w:val="000000"/>
          <w:sz w:val="24"/>
          <w:lang w:val="zh-CN"/>
        </w:rPr>
        <w:t>天内给对方声明，以陈述己方的观点。声明须附有关证据。分歧应通过协商解决。</w:t>
      </w:r>
    </w:p>
    <w:p w14:paraId="52E1288E">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12.</w:t>
      </w:r>
      <w:r>
        <w:rPr>
          <w:rFonts w:hint="eastAsia" w:ascii="宋体" w:hAnsi="宋体" w:eastAsia="宋体" w:cs="宋体"/>
          <w:b/>
          <w:bCs/>
          <w:color w:val="000000"/>
          <w:sz w:val="24"/>
          <w:lang w:val="zh-CN"/>
        </w:rPr>
        <w:t>付款条件</w:t>
      </w:r>
    </w:p>
    <w:p w14:paraId="177DDC98">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本合同条款下的付款方法和条件在“青海省采购项目合同书”中具体规定。</w:t>
      </w:r>
    </w:p>
    <w:p w14:paraId="7112839E">
      <w:pPr>
        <w:autoSpaceDE w:val="0"/>
        <w:autoSpaceDN w:val="0"/>
        <w:spacing w:line="360" w:lineRule="auto"/>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13.履约保证金</w:t>
      </w:r>
    </w:p>
    <w:p w14:paraId="0589AF9F">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13.1乙方应在合同签订前，按约定提交履约保证金。</w:t>
      </w:r>
    </w:p>
    <w:p w14:paraId="15180C42">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13.2履约保证金用于补偿甲方因乙方不能履行其合同义务而蒙受的损失。</w:t>
      </w:r>
    </w:p>
    <w:p w14:paraId="26B4B9C6">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13.3履约保证金应使用本合同货币，按下述方式之一提交（磋商文件中另有约定的除外）：</w:t>
      </w:r>
    </w:p>
    <w:p w14:paraId="371364B7">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13.4甲方可接受的在中华人民共和国注册和营业的银行出具的履约保函；</w:t>
      </w:r>
    </w:p>
    <w:p w14:paraId="456460D0">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13.5支票或汇票。</w:t>
      </w:r>
    </w:p>
    <w:p w14:paraId="6B7D2762">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13.6乙方未能按合同规定履行其义务，甲方有权从履约保证金中取得补偿。货物验收合格后，甲方将履约保证金退还乙方或转为质量保证金。</w:t>
      </w:r>
    </w:p>
    <w:p w14:paraId="2DD570A5">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14.</w:t>
      </w:r>
      <w:r>
        <w:rPr>
          <w:rFonts w:hint="eastAsia" w:ascii="宋体" w:hAnsi="宋体" w:eastAsia="宋体" w:cs="宋体"/>
          <w:b/>
          <w:bCs/>
          <w:color w:val="000000"/>
          <w:sz w:val="24"/>
          <w:lang w:val="zh-CN"/>
        </w:rPr>
        <w:t>索赔</w:t>
      </w:r>
    </w:p>
    <w:p w14:paraId="07CCF65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14.1</w:t>
      </w:r>
      <w:r>
        <w:rPr>
          <w:rFonts w:hint="eastAsia" w:ascii="宋体" w:hAnsi="宋体" w:eastAsia="宋体" w:cs="宋体"/>
          <w:color w:val="00000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103EEAD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w:t>
      </w:r>
      <w:r>
        <w:rPr>
          <w:rFonts w:hint="eastAsia" w:ascii="宋体" w:hAnsi="宋体" w:eastAsia="宋体" w:cs="宋体"/>
          <w:color w:val="000000"/>
          <w:sz w:val="24"/>
          <w:lang w:val="zh-CN"/>
        </w:rPr>
        <w:t>在履约保证期和检验期内，乙方对甲方提出的索赔负有责任，乙方应按照甲方同意的下列一种或多种方式解决索赔事宜：</w:t>
      </w:r>
    </w:p>
    <w:p w14:paraId="62CB325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14.2.1</w:t>
      </w:r>
      <w:r>
        <w:rPr>
          <w:rFonts w:hint="eastAsia" w:ascii="宋体" w:hAnsi="宋体" w:eastAsia="宋体" w:cs="宋体"/>
          <w:color w:val="00000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EBA396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14.2.2</w:t>
      </w:r>
      <w:r>
        <w:rPr>
          <w:rFonts w:hint="eastAsia" w:ascii="宋体" w:hAnsi="宋体" w:eastAsia="宋体" w:cs="宋体"/>
          <w:color w:val="000000"/>
          <w:sz w:val="24"/>
          <w:lang w:val="zh-CN"/>
        </w:rPr>
        <w:t>根据货物低劣程度、损坏程度以及甲方所遭受损失的数额，经甲乙双方商定降低货物的价格，或由有资质的中介机构评估，以降低后的价格或评估价格为准。</w:t>
      </w:r>
    </w:p>
    <w:p w14:paraId="36BF034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14.2.3</w:t>
      </w:r>
      <w:r>
        <w:rPr>
          <w:rFonts w:hint="eastAsia" w:ascii="宋体" w:hAnsi="宋体" w:eastAsia="宋体" w:cs="宋体"/>
          <w:color w:val="00000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5B16AE4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14.3</w:t>
      </w:r>
      <w:r>
        <w:rPr>
          <w:rFonts w:hint="eastAsia" w:ascii="宋体" w:hAnsi="宋体" w:eastAsia="宋体" w:cs="宋体"/>
          <w:color w:val="000000"/>
          <w:sz w:val="24"/>
          <w:lang w:val="zh-CN"/>
        </w:rPr>
        <w:t>乙方收到甲方发出的索赔通知之日起</w:t>
      </w:r>
      <w:r>
        <w:rPr>
          <w:rFonts w:hint="eastAsia" w:ascii="宋体" w:hAnsi="宋体" w:eastAsia="宋体" w:cs="宋体"/>
          <w:color w:val="000000"/>
          <w:sz w:val="24"/>
        </w:rPr>
        <w:t>5</w:t>
      </w:r>
      <w:r>
        <w:rPr>
          <w:rFonts w:hint="eastAsia" w:ascii="宋体" w:hAnsi="宋体" w:eastAsia="宋体" w:cs="宋体"/>
          <w:color w:val="000000"/>
          <w:sz w:val="24"/>
          <w:lang w:val="zh-CN"/>
        </w:rPr>
        <w:t>个工作日内未作答复的，甲方可从合同款或履约保证金中扣回索赔金额，如金额不足以补偿索赔金额，乙方应补足差额部分。</w:t>
      </w:r>
    </w:p>
    <w:p w14:paraId="0E1F8CBC">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15.</w:t>
      </w:r>
      <w:r>
        <w:rPr>
          <w:rFonts w:hint="eastAsia" w:ascii="宋体" w:hAnsi="宋体" w:eastAsia="宋体" w:cs="宋体"/>
          <w:b/>
          <w:bCs/>
          <w:color w:val="000000"/>
          <w:sz w:val="24"/>
          <w:lang w:val="zh-CN"/>
        </w:rPr>
        <w:t>迟延交货</w:t>
      </w:r>
    </w:p>
    <w:p w14:paraId="7783324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15.1</w:t>
      </w:r>
      <w:r>
        <w:rPr>
          <w:rFonts w:hint="eastAsia" w:ascii="宋体" w:hAnsi="宋体" w:eastAsia="宋体" w:cs="宋体"/>
          <w:color w:val="000000"/>
          <w:sz w:val="24"/>
          <w:lang w:val="zh-CN"/>
        </w:rPr>
        <w:t>乙方应按照合同约定的时间交货和提供服务。</w:t>
      </w:r>
    </w:p>
    <w:p w14:paraId="7438659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15.2</w:t>
      </w:r>
      <w:r>
        <w:rPr>
          <w:rFonts w:hint="eastAsia" w:ascii="宋体" w:hAnsi="宋体" w:eastAsia="宋体" w:cs="宋体"/>
          <w:color w:val="000000"/>
          <w:sz w:val="24"/>
          <w:lang w:val="zh-CN"/>
        </w:rPr>
        <w:t>除不可抗力因素外，乙方迟延交货，甲方有权提出违约损失赔偿或解除合同。</w:t>
      </w:r>
    </w:p>
    <w:p w14:paraId="7E3C6EE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15.3</w:t>
      </w:r>
      <w:r>
        <w:rPr>
          <w:rFonts w:hint="eastAsia" w:ascii="宋体" w:hAnsi="宋体" w:eastAsia="宋体" w:cs="宋体"/>
          <w:color w:val="00000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53D901BD">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16.</w:t>
      </w:r>
      <w:r>
        <w:rPr>
          <w:rFonts w:hint="eastAsia" w:ascii="宋体" w:hAnsi="宋体" w:eastAsia="宋体" w:cs="宋体"/>
          <w:b/>
          <w:bCs/>
          <w:color w:val="000000"/>
          <w:sz w:val="24"/>
          <w:lang w:val="zh-CN"/>
        </w:rPr>
        <w:t>违约赔偿</w:t>
      </w:r>
    </w:p>
    <w:p w14:paraId="50E7774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除不可抗力因素外，乙方没有按照合同规定的时间交货和提供服务，甲方可要求乙方支付违约金。违约金每日按合同总价款的千分之五计收。</w:t>
      </w:r>
    </w:p>
    <w:p w14:paraId="1A2614F1">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17.</w:t>
      </w:r>
      <w:r>
        <w:rPr>
          <w:rFonts w:hint="eastAsia" w:ascii="宋体" w:hAnsi="宋体" w:eastAsia="宋体" w:cs="宋体"/>
          <w:b/>
          <w:bCs/>
          <w:color w:val="000000"/>
          <w:sz w:val="24"/>
          <w:lang w:val="zh-CN"/>
        </w:rPr>
        <w:t>不可抗力</w:t>
      </w:r>
    </w:p>
    <w:p w14:paraId="121A4A4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17.1</w:t>
      </w:r>
      <w:r>
        <w:rPr>
          <w:rFonts w:hint="eastAsia" w:ascii="宋体" w:hAnsi="宋体" w:eastAsia="宋体" w:cs="宋体"/>
          <w:color w:val="000000"/>
          <w:sz w:val="24"/>
          <w:lang w:val="zh-CN"/>
        </w:rPr>
        <w:t>双方中任何一方遭遇法律规定的不可抗力，致使合同履行受阻时，履行合同的期限应予延长，延长的期限应相当于不可抗力所影响的时间。</w:t>
      </w:r>
    </w:p>
    <w:p w14:paraId="63FEFCC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17.2</w:t>
      </w:r>
      <w:r>
        <w:rPr>
          <w:rFonts w:hint="eastAsia" w:ascii="宋体" w:hAnsi="宋体" w:eastAsia="宋体" w:cs="宋体"/>
          <w:color w:val="000000"/>
          <w:sz w:val="24"/>
          <w:lang w:val="zh-CN"/>
        </w:rPr>
        <w:t>受事故影响的一方应在不可抗力的事故发生后以书面形式通知另一方。</w:t>
      </w:r>
    </w:p>
    <w:p w14:paraId="0FAD832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17.3</w:t>
      </w:r>
      <w:r>
        <w:rPr>
          <w:rFonts w:hint="eastAsia" w:ascii="宋体" w:hAnsi="宋体" w:eastAsia="宋体" w:cs="宋体"/>
          <w:color w:val="000000"/>
          <w:sz w:val="24"/>
          <w:lang w:val="zh-CN"/>
        </w:rPr>
        <w:t>不可抗力使合同的某些内容有变更必要的，</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双方应通过协商达成进一步履行合同的协议，因不可抗力致使合同不能履行的，合同终止。</w:t>
      </w:r>
    </w:p>
    <w:p w14:paraId="1DA9E0EC">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18.</w:t>
      </w:r>
      <w:r>
        <w:rPr>
          <w:rFonts w:hint="eastAsia" w:ascii="宋体" w:hAnsi="宋体" w:eastAsia="宋体" w:cs="宋体"/>
          <w:b/>
          <w:bCs/>
          <w:color w:val="000000"/>
          <w:sz w:val="24"/>
          <w:lang w:val="zh-CN"/>
        </w:rPr>
        <w:t>税费</w:t>
      </w:r>
    </w:p>
    <w:p w14:paraId="4F98664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与本合同有关的一切税费均由乙方承担。</w:t>
      </w:r>
    </w:p>
    <w:p w14:paraId="11BFF1E9">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19.</w:t>
      </w:r>
      <w:r>
        <w:rPr>
          <w:rFonts w:hint="eastAsia" w:ascii="宋体" w:hAnsi="宋体" w:eastAsia="宋体" w:cs="宋体"/>
          <w:b/>
          <w:bCs/>
          <w:color w:val="000000"/>
          <w:sz w:val="24"/>
          <w:lang w:val="zh-CN"/>
        </w:rPr>
        <w:t>合同争议的解决</w:t>
      </w:r>
    </w:p>
    <w:p w14:paraId="22B21FF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19.1</w:t>
      </w:r>
      <w:r>
        <w:rPr>
          <w:rFonts w:hint="eastAsia" w:ascii="宋体" w:hAnsi="宋体" w:eastAsia="宋体" w:cs="宋体"/>
          <w:color w:val="000000"/>
          <w:sz w:val="24"/>
          <w:lang w:val="zh-CN"/>
        </w:rPr>
        <w:t>甲方和乙方由于本合同的履行而发生任何争议时，双方可先通过协商解决。</w:t>
      </w:r>
    </w:p>
    <w:p w14:paraId="0AADBD2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19.2</w:t>
      </w:r>
      <w:r>
        <w:rPr>
          <w:rFonts w:hint="eastAsia" w:ascii="宋体" w:hAnsi="宋体" w:eastAsia="宋体" w:cs="宋体"/>
          <w:color w:val="000000"/>
          <w:sz w:val="24"/>
          <w:lang w:val="zh-CN"/>
        </w:rPr>
        <w:t>任何一方不愿通过协商或通过协商仍不能解决争议，则双方中任何一方均应向甲方所在地人民法院起诉。</w:t>
      </w:r>
    </w:p>
    <w:p w14:paraId="6121E654">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20.</w:t>
      </w:r>
      <w:r>
        <w:rPr>
          <w:rFonts w:hint="eastAsia" w:ascii="宋体" w:hAnsi="宋体" w:eastAsia="宋体" w:cs="宋体"/>
          <w:b/>
          <w:bCs/>
          <w:color w:val="000000"/>
          <w:sz w:val="24"/>
          <w:lang w:val="zh-CN"/>
        </w:rPr>
        <w:t>违约解除合同</w:t>
      </w:r>
    </w:p>
    <w:p w14:paraId="358AC36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w:t>
      </w:r>
      <w:r>
        <w:rPr>
          <w:rFonts w:hint="eastAsia" w:ascii="宋体" w:hAnsi="宋体" w:eastAsia="宋体" w:cs="宋体"/>
          <w:color w:val="000000"/>
          <w:sz w:val="24"/>
          <w:lang w:val="zh-CN"/>
        </w:rPr>
        <w:t>出现下列情形之一的，视为乙方违约。甲方可向乙方发出书面通知，部分或全部终止合同，同时保留向乙方索赔的权利。</w:t>
      </w:r>
    </w:p>
    <w:p w14:paraId="5A597CC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20.1.1</w:t>
      </w:r>
      <w:r>
        <w:rPr>
          <w:rFonts w:hint="eastAsia" w:ascii="宋体" w:hAnsi="宋体" w:eastAsia="宋体" w:cs="宋体"/>
          <w:color w:val="000000"/>
          <w:sz w:val="24"/>
          <w:lang w:val="zh-CN"/>
        </w:rPr>
        <w:t>乙方未能在合同规定的限期或甲方同意延长的限期内，提供全部或部分货物的；</w:t>
      </w:r>
    </w:p>
    <w:p w14:paraId="672A8C0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20.1.2</w:t>
      </w:r>
      <w:r>
        <w:rPr>
          <w:rFonts w:hint="eastAsia" w:ascii="宋体" w:hAnsi="宋体" w:eastAsia="宋体" w:cs="宋体"/>
          <w:color w:val="000000"/>
          <w:sz w:val="24"/>
          <w:lang w:val="zh-CN"/>
        </w:rPr>
        <w:t>乙方未能履行合同规定的其它主要义务的；</w:t>
      </w:r>
    </w:p>
    <w:p w14:paraId="1D3EC73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20.1.3</w:t>
      </w:r>
      <w:r>
        <w:rPr>
          <w:rFonts w:hint="eastAsia" w:ascii="宋体" w:hAnsi="宋体" w:eastAsia="宋体" w:cs="宋体"/>
          <w:color w:val="000000"/>
          <w:sz w:val="24"/>
          <w:lang w:val="zh-CN"/>
        </w:rPr>
        <w:t>乙方在本合同履行过程中有欺诈行为的。</w:t>
      </w:r>
    </w:p>
    <w:p w14:paraId="57AA9C8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20.2</w:t>
      </w:r>
      <w:r>
        <w:rPr>
          <w:rFonts w:hint="eastAsia" w:ascii="宋体" w:hAnsi="宋体" w:eastAsia="宋体" w:cs="宋体"/>
          <w:color w:val="00000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8BBD335">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21.</w:t>
      </w:r>
      <w:r>
        <w:rPr>
          <w:rFonts w:hint="eastAsia" w:ascii="宋体" w:hAnsi="宋体" w:eastAsia="宋体" w:cs="宋体"/>
          <w:b/>
          <w:bCs/>
          <w:color w:val="000000"/>
          <w:sz w:val="24"/>
          <w:lang w:val="zh-CN"/>
        </w:rPr>
        <w:t>破产终止合同</w:t>
      </w:r>
    </w:p>
    <w:p w14:paraId="3163AF5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4AA297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22.</w:t>
      </w:r>
      <w:r>
        <w:rPr>
          <w:rFonts w:hint="eastAsia" w:ascii="宋体" w:hAnsi="宋体" w:eastAsia="宋体" w:cs="宋体"/>
          <w:b/>
          <w:bCs/>
          <w:color w:val="000000"/>
          <w:sz w:val="24"/>
          <w:lang w:val="zh-CN"/>
        </w:rPr>
        <w:t>转让和分包</w:t>
      </w:r>
    </w:p>
    <w:p w14:paraId="4ACC3F4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22.1</w:t>
      </w:r>
      <w:r>
        <w:rPr>
          <w:rFonts w:hint="eastAsia" w:ascii="宋体" w:hAnsi="宋体" w:eastAsia="宋体" w:cs="宋体"/>
          <w:color w:val="000000"/>
          <w:sz w:val="24"/>
          <w:lang w:val="zh-CN"/>
        </w:rPr>
        <w:t>采购合同不能转让。</w:t>
      </w:r>
    </w:p>
    <w:p w14:paraId="4420AD7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22.2</w:t>
      </w:r>
      <w:r>
        <w:rPr>
          <w:rFonts w:hint="eastAsia" w:ascii="宋体" w:hAnsi="宋体" w:eastAsia="宋体" w:cs="宋体"/>
          <w:color w:val="00000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76FEB10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23.</w:t>
      </w:r>
      <w:r>
        <w:rPr>
          <w:rFonts w:hint="eastAsia" w:ascii="宋体" w:hAnsi="宋体" w:eastAsia="宋体" w:cs="宋体"/>
          <w:b/>
          <w:bCs/>
          <w:color w:val="000000"/>
          <w:sz w:val="24"/>
          <w:lang w:val="zh-CN"/>
        </w:rPr>
        <w:t>合同修改</w:t>
      </w:r>
    </w:p>
    <w:p w14:paraId="1F425F7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甲方和乙方都不得擅自变更本合同，但合同继续履行将损害国家和社会公共利益的除外。如必须对合同条款进行改动时，当事人双方须共同签署书面文件，做为合同的补充。</w:t>
      </w:r>
    </w:p>
    <w:p w14:paraId="76918485">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24.</w:t>
      </w:r>
      <w:r>
        <w:rPr>
          <w:rFonts w:hint="eastAsia" w:ascii="宋体" w:hAnsi="宋体" w:eastAsia="宋体" w:cs="宋体"/>
          <w:b/>
          <w:bCs/>
          <w:color w:val="000000"/>
          <w:sz w:val="24"/>
          <w:lang w:val="zh-CN"/>
        </w:rPr>
        <w:t>通知</w:t>
      </w:r>
    </w:p>
    <w:p w14:paraId="02CECE1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本合同任何一方给另一方的通知，都应以书面形式发送，而另一方也应以书面形式确认并发送到对方明确的地址。</w:t>
      </w:r>
    </w:p>
    <w:p w14:paraId="6464450A">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25.</w:t>
      </w:r>
      <w:r>
        <w:rPr>
          <w:rFonts w:hint="eastAsia" w:ascii="宋体" w:hAnsi="宋体" w:eastAsia="宋体" w:cs="宋体"/>
          <w:b/>
          <w:bCs/>
          <w:color w:val="000000"/>
          <w:sz w:val="24"/>
          <w:lang w:val="zh-CN"/>
        </w:rPr>
        <w:t>计量单位</w:t>
      </w:r>
    </w:p>
    <w:p w14:paraId="6E6F2DD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除技术规范中另有规定外</w:t>
      </w:r>
      <w:r>
        <w:rPr>
          <w:rFonts w:hint="eastAsia" w:ascii="宋体" w:hAnsi="宋体" w:eastAsia="宋体" w:cs="宋体"/>
          <w:color w:val="000000"/>
          <w:sz w:val="24"/>
        </w:rPr>
        <w:t>,</w:t>
      </w:r>
      <w:r>
        <w:rPr>
          <w:rFonts w:hint="eastAsia" w:ascii="宋体" w:hAnsi="宋体" w:eastAsia="宋体" w:cs="宋体"/>
          <w:color w:val="000000"/>
          <w:sz w:val="24"/>
          <w:lang w:val="zh-CN"/>
        </w:rPr>
        <w:t>计量单位均使用国家法定计量单位。</w:t>
      </w:r>
    </w:p>
    <w:p w14:paraId="12323BB9">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26.</w:t>
      </w:r>
      <w:r>
        <w:rPr>
          <w:rFonts w:hint="eastAsia" w:ascii="宋体" w:hAnsi="宋体" w:eastAsia="宋体" w:cs="宋体"/>
          <w:b/>
          <w:bCs/>
          <w:color w:val="000000"/>
          <w:sz w:val="24"/>
          <w:lang w:val="zh-CN"/>
        </w:rPr>
        <w:t>适用法律</w:t>
      </w:r>
    </w:p>
    <w:p w14:paraId="70C607AA">
      <w:pPr>
        <w:autoSpaceDE w:val="0"/>
        <w:autoSpaceDN w:val="0"/>
        <w:adjustRightInd w:val="0"/>
        <w:spacing w:before="13" w:line="280" w:lineRule="exact"/>
        <w:jc w:val="left"/>
        <w:rPr>
          <w:rFonts w:hint="eastAsia" w:ascii="宋体" w:hAnsi="宋体" w:eastAsia="宋体" w:cs="宋体"/>
          <w:color w:val="000000"/>
          <w:kern w:val="0"/>
          <w:sz w:val="28"/>
          <w:szCs w:val="28"/>
        </w:rPr>
      </w:pPr>
      <w:bookmarkStart w:id="83" w:name="_Toc437511467"/>
      <w:r>
        <w:rPr>
          <w:rFonts w:hint="eastAsia" w:ascii="宋体" w:hAnsi="宋体" w:eastAsia="宋体" w:cs="宋体"/>
          <w:color w:val="000000"/>
          <w:sz w:val="24"/>
          <w:lang w:val="zh-CN"/>
        </w:rPr>
        <w:t>本合同按照中华人民共和国的相关法律进行解释。</w:t>
      </w:r>
      <w:bookmarkEnd w:id="83"/>
    </w:p>
    <w:p w14:paraId="1A7B9589">
      <w:pPr>
        <w:spacing w:line="360" w:lineRule="auto"/>
        <w:jc w:val="center"/>
        <w:rPr>
          <w:rFonts w:hint="eastAsia" w:ascii="宋体" w:hAnsi="宋体" w:eastAsia="宋体" w:cs="宋体"/>
          <w:color w:val="000000"/>
          <w:sz w:val="28"/>
          <w:szCs w:val="32"/>
        </w:rPr>
      </w:pPr>
      <w:r>
        <w:rPr>
          <w:rFonts w:hint="eastAsia" w:ascii="宋体" w:hAnsi="宋体" w:eastAsia="宋体" w:cs="宋体"/>
          <w:color w:val="000000"/>
          <w:sz w:val="28"/>
          <w:szCs w:val="32"/>
        </w:rPr>
        <w:t xml:space="preserve"> </w:t>
      </w:r>
    </w:p>
    <w:p w14:paraId="485EFE24">
      <w:pPr>
        <w:tabs>
          <w:tab w:val="left" w:pos="7640"/>
        </w:tabs>
        <w:spacing w:line="360" w:lineRule="auto"/>
        <w:ind w:right="1120"/>
        <w:rPr>
          <w:rFonts w:hint="eastAsia" w:ascii="宋体" w:hAnsi="宋体" w:eastAsia="宋体" w:cs="宋体"/>
          <w:snapToGrid w:val="0"/>
          <w:color w:val="000000"/>
          <w:kern w:val="0"/>
          <w:sz w:val="28"/>
          <w:szCs w:val="28"/>
        </w:rPr>
      </w:pPr>
    </w:p>
    <w:p w14:paraId="1FEC284A">
      <w:pPr>
        <w:tabs>
          <w:tab w:val="left" w:pos="7640"/>
        </w:tabs>
        <w:jc w:val="center"/>
        <w:rPr>
          <w:rFonts w:hint="eastAsia" w:ascii="宋体" w:hAnsi="宋体" w:eastAsia="宋体" w:cs="宋体"/>
          <w:color w:val="000000"/>
          <w:sz w:val="28"/>
          <w:szCs w:val="32"/>
        </w:rPr>
      </w:pPr>
    </w:p>
    <w:p w14:paraId="07C64312">
      <w:pPr>
        <w:spacing w:line="360" w:lineRule="auto"/>
        <w:rPr>
          <w:rFonts w:hint="eastAsia" w:ascii="宋体" w:hAnsi="宋体" w:eastAsia="宋体" w:cs="宋体"/>
          <w:color w:val="000000"/>
          <w:sz w:val="24"/>
        </w:rPr>
      </w:pPr>
      <w:r>
        <w:rPr>
          <w:rFonts w:hint="eastAsia" w:ascii="宋体" w:hAnsi="宋体" w:eastAsia="宋体" w:cs="宋体"/>
          <w:color w:val="000000"/>
          <w:sz w:val="28"/>
          <w:szCs w:val="32"/>
        </w:rPr>
        <w:br w:type="page"/>
      </w:r>
    </w:p>
    <w:p w14:paraId="7DD85559">
      <w:pPr>
        <w:pStyle w:val="23"/>
        <w:spacing w:before="0" w:after="0" w:line="360" w:lineRule="auto"/>
        <w:rPr>
          <w:rFonts w:hint="eastAsia" w:ascii="宋体" w:hAnsi="宋体" w:eastAsia="宋体" w:cs="宋体"/>
          <w:color w:val="000000"/>
        </w:rPr>
      </w:pPr>
      <w:bookmarkStart w:id="84" w:name="_Toc20557"/>
      <w:r>
        <w:rPr>
          <w:rFonts w:hint="eastAsia" w:ascii="宋体" w:hAnsi="宋体" w:eastAsia="宋体" w:cs="宋体"/>
          <w:color w:val="000000"/>
          <w:sz w:val="48"/>
        </w:rPr>
        <w:t>第五部分  磋商响应文件格式</w:t>
      </w:r>
      <w:bookmarkEnd w:id="84"/>
    </w:p>
    <w:p w14:paraId="39BE35B0">
      <w:pPr>
        <w:spacing w:line="360" w:lineRule="auto"/>
        <w:rPr>
          <w:rFonts w:hint="eastAsia" w:ascii="宋体" w:hAnsi="宋体" w:eastAsia="宋体" w:cs="宋体"/>
          <w:color w:val="000000"/>
          <w:sz w:val="32"/>
        </w:rPr>
      </w:pPr>
    </w:p>
    <w:p w14:paraId="2FDF1F16">
      <w:pPr>
        <w:widowControl/>
        <w:spacing w:line="360" w:lineRule="auto"/>
        <w:ind w:firstLine="630" w:firstLineChars="224"/>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磋商供应商应严格按照本格式要求编制磋商响应文件，胶装成册并编制相应页码，否则其磋商响应文件将不予接受。</w:t>
      </w:r>
    </w:p>
    <w:p w14:paraId="1453A76C">
      <w:pPr>
        <w:pStyle w:val="5"/>
        <w:numPr>
          <w:ilvl w:val="0"/>
          <w:numId w:val="0"/>
        </w:numPr>
        <w:ind w:left="709" w:hanging="709"/>
        <w:rPr>
          <w:rFonts w:hint="eastAsia" w:ascii="宋体" w:hAnsi="宋体" w:eastAsia="宋体" w:cs="宋体"/>
          <w:b/>
          <w:color w:val="000000"/>
          <w:sz w:val="32"/>
          <w:lang w:val="zh-CN"/>
        </w:rPr>
      </w:pPr>
      <w:r>
        <w:rPr>
          <w:rFonts w:hint="eastAsia" w:ascii="宋体" w:hAnsi="宋体" w:eastAsia="宋体" w:cs="宋体"/>
          <w:color w:val="000000"/>
          <w:kern w:val="0"/>
          <w:szCs w:val="28"/>
          <w:lang w:val="zh-CN"/>
        </w:rPr>
        <w:br w:type="page"/>
      </w:r>
      <w:bookmarkStart w:id="85" w:name="_Toc23165"/>
      <w:r>
        <w:rPr>
          <w:rFonts w:hint="eastAsia" w:ascii="宋体" w:hAnsi="宋体" w:eastAsia="宋体" w:cs="宋体"/>
          <w:b/>
          <w:color w:val="000000"/>
          <w:sz w:val="32"/>
          <w:lang w:val="zh-CN"/>
        </w:rPr>
        <w:t>磋商响应文件封面</w:t>
      </w:r>
      <w:bookmarkEnd w:id="85"/>
    </w:p>
    <w:p w14:paraId="445B0F1A">
      <w:pPr>
        <w:spacing w:line="360" w:lineRule="auto"/>
        <w:jc w:val="right"/>
        <w:rPr>
          <w:rFonts w:hint="eastAsia" w:ascii="宋体" w:hAnsi="宋体" w:eastAsia="宋体" w:cs="宋体"/>
          <w:color w:val="000000"/>
          <w:sz w:val="32"/>
        </w:rPr>
      </w:pPr>
      <w:r>
        <w:rPr>
          <w:rFonts w:hint="eastAsia" w:ascii="宋体" w:hAnsi="宋体" w:eastAsia="宋体" w:cs="宋体"/>
          <w:b/>
          <w:bCs/>
          <w:color w:val="000000"/>
          <w:kern w:val="0"/>
          <w:sz w:val="36"/>
          <w:szCs w:val="36"/>
        </w:rPr>
        <w:t>正本/副本</w:t>
      </w:r>
    </w:p>
    <w:p w14:paraId="50085153">
      <w:pPr>
        <w:spacing w:line="360" w:lineRule="auto"/>
        <w:rPr>
          <w:rFonts w:hint="eastAsia" w:ascii="宋体" w:hAnsi="宋体" w:eastAsia="宋体" w:cs="宋体"/>
          <w:color w:val="000000"/>
          <w:sz w:val="32"/>
        </w:rPr>
      </w:pPr>
    </w:p>
    <w:p w14:paraId="116B4E5F">
      <w:pPr>
        <w:spacing w:line="360" w:lineRule="auto"/>
        <w:rPr>
          <w:rFonts w:hint="eastAsia" w:ascii="宋体" w:hAnsi="宋体" w:eastAsia="宋体" w:cs="宋体"/>
          <w:color w:val="000000"/>
          <w:sz w:val="32"/>
        </w:rPr>
      </w:pPr>
    </w:p>
    <w:p w14:paraId="6EE23FA8">
      <w:pPr>
        <w:spacing w:line="360" w:lineRule="auto"/>
        <w:jc w:val="center"/>
        <w:rPr>
          <w:rFonts w:hint="eastAsia" w:ascii="宋体" w:hAnsi="宋体" w:eastAsia="宋体" w:cs="宋体"/>
          <w:b/>
          <w:color w:val="000000"/>
          <w:sz w:val="72"/>
        </w:rPr>
      </w:pPr>
    </w:p>
    <w:p w14:paraId="19A34B4A">
      <w:pPr>
        <w:spacing w:line="360" w:lineRule="auto"/>
        <w:jc w:val="center"/>
        <w:rPr>
          <w:rFonts w:hint="eastAsia" w:ascii="宋体" w:hAnsi="宋体" w:eastAsia="宋体" w:cs="宋体"/>
          <w:b/>
          <w:color w:val="000000"/>
          <w:sz w:val="96"/>
        </w:rPr>
      </w:pPr>
      <w:r>
        <w:rPr>
          <w:rFonts w:hint="eastAsia" w:ascii="宋体" w:hAnsi="宋体" w:eastAsia="宋体" w:cs="宋体"/>
          <w:b/>
          <w:color w:val="000000"/>
          <w:sz w:val="72"/>
        </w:rPr>
        <w:t>青海省采购项目</w:t>
      </w:r>
    </w:p>
    <w:p w14:paraId="03ACE1C7">
      <w:pPr>
        <w:spacing w:line="360" w:lineRule="auto"/>
        <w:jc w:val="center"/>
        <w:rPr>
          <w:rFonts w:hint="eastAsia" w:ascii="宋体" w:hAnsi="宋体" w:eastAsia="宋体" w:cs="宋体"/>
          <w:b/>
          <w:color w:val="000000"/>
          <w:sz w:val="48"/>
        </w:rPr>
      </w:pPr>
    </w:p>
    <w:p w14:paraId="080B0FBE">
      <w:pPr>
        <w:spacing w:line="360" w:lineRule="auto"/>
        <w:jc w:val="center"/>
        <w:rPr>
          <w:rFonts w:hint="eastAsia" w:ascii="宋体" w:hAnsi="宋体" w:eastAsia="宋体" w:cs="宋体"/>
          <w:b/>
          <w:color w:val="000000"/>
          <w:sz w:val="48"/>
        </w:rPr>
      </w:pPr>
    </w:p>
    <w:p w14:paraId="7068F66D">
      <w:pPr>
        <w:spacing w:line="360" w:lineRule="auto"/>
        <w:jc w:val="center"/>
        <w:rPr>
          <w:rFonts w:hint="eastAsia" w:ascii="宋体" w:hAnsi="宋体" w:eastAsia="宋体" w:cs="宋体"/>
          <w:b/>
          <w:color w:val="000000"/>
          <w:sz w:val="56"/>
        </w:rPr>
      </w:pPr>
      <w:r>
        <w:rPr>
          <w:rFonts w:hint="eastAsia" w:ascii="宋体" w:hAnsi="宋体" w:eastAsia="宋体" w:cs="宋体"/>
          <w:b/>
          <w:color w:val="000000"/>
          <w:sz w:val="52"/>
        </w:rPr>
        <w:t>磋商响应文件</w:t>
      </w:r>
    </w:p>
    <w:p w14:paraId="7EE66B59">
      <w:pPr>
        <w:adjustRightInd w:val="0"/>
        <w:spacing w:line="360" w:lineRule="auto"/>
        <w:textAlignment w:val="baseline"/>
        <w:rPr>
          <w:rFonts w:hint="eastAsia" w:ascii="宋体" w:hAnsi="宋体" w:eastAsia="宋体" w:cs="宋体"/>
          <w:b/>
          <w:bCs/>
          <w:color w:val="000000"/>
          <w:sz w:val="32"/>
        </w:rPr>
      </w:pPr>
    </w:p>
    <w:p w14:paraId="3B7261B8">
      <w:pPr>
        <w:adjustRightInd w:val="0"/>
        <w:spacing w:line="360" w:lineRule="auto"/>
        <w:textAlignment w:val="baseline"/>
        <w:rPr>
          <w:rFonts w:hint="eastAsia" w:ascii="宋体" w:hAnsi="宋体" w:eastAsia="宋体" w:cs="宋体"/>
          <w:b/>
          <w:bCs/>
          <w:color w:val="000000"/>
          <w:sz w:val="32"/>
        </w:rPr>
      </w:pPr>
    </w:p>
    <w:p w14:paraId="2956187D">
      <w:pPr>
        <w:adjustRightInd w:val="0"/>
        <w:spacing w:line="360" w:lineRule="auto"/>
        <w:ind w:firstLine="643" w:firstLineChars="200"/>
        <w:textAlignment w:val="baseline"/>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采购项目编号</w:t>
      </w:r>
      <w:r>
        <w:rPr>
          <w:rFonts w:hint="eastAsia" w:ascii="宋体" w:hAnsi="宋体" w:eastAsia="宋体" w:cs="宋体"/>
          <w:color w:val="000000"/>
          <w:sz w:val="32"/>
          <w:szCs w:val="32"/>
        </w:rPr>
        <w:t>：</w:t>
      </w:r>
      <w:r>
        <w:rPr>
          <w:rFonts w:hint="eastAsia" w:ascii="宋体" w:hAnsi="宋体" w:eastAsia="宋体" w:cs="宋体"/>
          <w:color w:val="000000"/>
          <w:sz w:val="32"/>
          <w:szCs w:val="32"/>
          <w:u w:val="single"/>
        </w:rPr>
        <w:t xml:space="preserve">                              </w:t>
      </w:r>
    </w:p>
    <w:p w14:paraId="2CFE3F57">
      <w:pPr>
        <w:adjustRightInd w:val="0"/>
        <w:spacing w:line="360" w:lineRule="auto"/>
        <w:ind w:firstLine="660"/>
        <w:textAlignment w:val="baseline"/>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采购项目名称：</w:t>
      </w:r>
      <w:r>
        <w:rPr>
          <w:rFonts w:hint="eastAsia" w:ascii="宋体" w:hAnsi="宋体" w:eastAsia="宋体" w:cs="宋体"/>
          <w:b/>
          <w:bCs/>
          <w:color w:val="000000"/>
          <w:sz w:val="32"/>
          <w:szCs w:val="32"/>
          <w:u w:val="single"/>
        </w:rPr>
        <w:t xml:space="preserve">                              </w:t>
      </w:r>
    </w:p>
    <w:p w14:paraId="271BCA09">
      <w:pPr>
        <w:adjustRightInd w:val="0"/>
        <w:spacing w:line="360" w:lineRule="auto"/>
        <w:ind w:firstLine="643" w:firstLineChars="200"/>
        <w:textAlignment w:val="baseline"/>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磋商供应商</w:t>
      </w:r>
      <w:r>
        <w:rPr>
          <w:rFonts w:hint="eastAsia" w:ascii="宋体" w:hAnsi="宋体" w:eastAsia="宋体" w:cs="宋体"/>
          <w:b/>
          <w:color w:val="000000"/>
          <w:sz w:val="32"/>
          <w:szCs w:val="32"/>
        </w:rPr>
        <w:t>：</w:t>
      </w:r>
      <w:r>
        <w:rPr>
          <w:rFonts w:hint="eastAsia" w:ascii="宋体" w:hAnsi="宋体" w:eastAsia="宋体" w:cs="宋体"/>
          <w:b/>
          <w:color w:val="000000"/>
          <w:sz w:val="32"/>
          <w:szCs w:val="32"/>
          <w:u w:val="single"/>
        </w:rPr>
        <w:t xml:space="preserve">                        （公章）</w:t>
      </w:r>
    </w:p>
    <w:p w14:paraId="4CBA4D56">
      <w:pPr>
        <w:adjustRightInd w:val="0"/>
        <w:spacing w:line="360" w:lineRule="auto"/>
        <w:ind w:firstLine="643" w:firstLineChars="200"/>
        <w:textAlignment w:val="baseline"/>
        <w:rPr>
          <w:rFonts w:hint="eastAsia" w:ascii="宋体" w:hAnsi="宋体" w:eastAsia="宋体" w:cs="宋体"/>
          <w:b/>
          <w:color w:val="000000"/>
          <w:sz w:val="32"/>
          <w:u w:val="single"/>
        </w:rPr>
      </w:pPr>
      <w:r>
        <w:rPr>
          <w:rFonts w:hint="eastAsia" w:ascii="宋体" w:hAnsi="宋体" w:eastAsia="宋体" w:cs="宋体"/>
          <w:b/>
          <w:color w:val="000000"/>
          <w:sz w:val="32"/>
        </w:rPr>
        <w:t>法定代表人：</w:t>
      </w:r>
      <w:r>
        <w:rPr>
          <w:rFonts w:hint="eastAsia" w:ascii="宋体" w:hAnsi="宋体" w:eastAsia="宋体" w:cs="宋体"/>
          <w:b/>
          <w:color w:val="000000"/>
          <w:sz w:val="32"/>
          <w:u w:val="single"/>
        </w:rPr>
        <w:t xml:space="preserve">                   （签字或盖章）</w:t>
      </w:r>
    </w:p>
    <w:p w14:paraId="770A79CD">
      <w:pPr>
        <w:adjustRightInd w:val="0"/>
        <w:spacing w:line="360" w:lineRule="auto"/>
        <w:ind w:firstLine="643" w:firstLineChars="200"/>
        <w:textAlignment w:val="baseline"/>
        <w:rPr>
          <w:rFonts w:hint="eastAsia" w:ascii="宋体" w:hAnsi="宋体" w:eastAsia="宋体" w:cs="宋体"/>
          <w:b/>
          <w:color w:val="000000"/>
          <w:sz w:val="32"/>
          <w:u w:val="single"/>
        </w:rPr>
      </w:pPr>
    </w:p>
    <w:p w14:paraId="7EB9A8ED">
      <w:pPr>
        <w:spacing w:line="360" w:lineRule="auto"/>
        <w:ind w:firstLine="3360" w:firstLineChars="1050"/>
        <w:rPr>
          <w:rFonts w:hint="eastAsia" w:ascii="宋体" w:hAnsi="宋体" w:eastAsia="宋体" w:cs="宋体"/>
          <w:color w:val="000000"/>
          <w:sz w:val="32"/>
        </w:rPr>
      </w:pPr>
      <w:r>
        <w:rPr>
          <w:rFonts w:hint="eastAsia" w:ascii="宋体" w:hAnsi="宋体" w:eastAsia="宋体" w:cs="宋体"/>
          <w:color w:val="000000"/>
          <w:sz w:val="32"/>
        </w:rPr>
        <w:t>年   月  日</w:t>
      </w:r>
      <w:bookmarkStart w:id="86" w:name="_Toc444715735"/>
    </w:p>
    <w:p w14:paraId="317F392A">
      <w:pPr>
        <w:spacing w:line="360" w:lineRule="auto"/>
        <w:ind w:firstLine="3360" w:firstLineChars="1050"/>
        <w:rPr>
          <w:rFonts w:hint="eastAsia" w:ascii="宋体" w:hAnsi="宋体" w:eastAsia="宋体" w:cs="宋体"/>
          <w:color w:val="000000"/>
          <w:sz w:val="32"/>
        </w:rPr>
      </w:pPr>
    </w:p>
    <w:p w14:paraId="428714B7">
      <w:pPr>
        <w:pStyle w:val="5"/>
        <w:numPr>
          <w:ilvl w:val="0"/>
          <w:numId w:val="0"/>
        </w:numPr>
        <w:ind w:left="709" w:hanging="709"/>
        <w:jc w:val="center"/>
        <w:rPr>
          <w:rFonts w:hint="eastAsia" w:ascii="宋体" w:hAnsi="宋体" w:eastAsia="宋体" w:cs="宋体"/>
          <w:b/>
          <w:color w:val="000000"/>
          <w:sz w:val="32"/>
          <w:lang w:val="zh-CN"/>
        </w:rPr>
      </w:pPr>
      <w:bookmarkStart w:id="87" w:name="_Toc22307"/>
      <w:r>
        <w:rPr>
          <w:rFonts w:hint="eastAsia" w:ascii="宋体" w:hAnsi="宋体" w:eastAsia="宋体" w:cs="宋体"/>
          <w:b/>
          <w:color w:val="000000"/>
          <w:sz w:val="32"/>
          <w:lang w:val="zh-CN"/>
        </w:rPr>
        <w:t>磋商响应文件目录</w:t>
      </w:r>
      <w:bookmarkEnd w:id="86"/>
      <w:bookmarkEnd w:id="87"/>
    </w:p>
    <w:p w14:paraId="10A3F630">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函……………………………………………………………所在页码</w:t>
      </w:r>
    </w:p>
    <w:p w14:paraId="579E43C4">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）法定代表人证明书……………………………………………… 所在页码</w:t>
      </w:r>
    </w:p>
    <w:p w14:paraId="4FE2D4DA">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）法定代表人授权书……………………………………………… 所在页码</w:t>
      </w:r>
    </w:p>
    <w:p w14:paraId="60EC2F0B">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lang w:val="zh-CN"/>
        </w:rPr>
        <w:t>）磋商供应商承诺书……………………………………………… 所在页码</w:t>
      </w:r>
    </w:p>
    <w:p w14:paraId="53539FAD">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）供应商诚信承诺书……………………………………………… 所在页码</w:t>
      </w:r>
    </w:p>
    <w:p w14:paraId="7BDEFE7F">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）资格证明材料…………………………………………………… 所在页码</w:t>
      </w:r>
    </w:p>
    <w:p w14:paraId="0AEF7DE3">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lang w:val="zh-CN"/>
        </w:rPr>
        <w:t>）财务状况、缴纳税收和社会保障资金证明…………………… 所在页码</w:t>
      </w:r>
    </w:p>
    <w:p w14:paraId="3054CC8B">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lang w:val="zh-CN"/>
        </w:rPr>
        <w:t>）具备履行合同所必须的设备和专业技术能力证明……………所在页码</w:t>
      </w:r>
    </w:p>
    <w:p w14:paraId="5554E6A3">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lang w:val="zh-CN"/>
        </w:rPr>
        <w:t>）无重大违法记录声明……………………………………………所在页码</w:t>
      </w:r>
    </w:p>
    <w:p w14:paraId="2E69A2F5">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w:t>
      </w:r>
      <w:r>
        <w:rPr>
          <w:rFonts w:hint="eastAsia" w:ascii="宋体" w:hAnsi="宋体" w:eastAsia="宋体" w:cs="宋体"/>
          <w:color w:val="000000"/>
          <w:sz w:val="24"/>
        </w:rPr>
        <w:t>磋商保证金证明</w:t>
      </w:r>
      <w:r>
        <w:rPr>
          <w:rFonts w:hint="eastAsia" w:ascii="宋体" w:hAnsi="宋体" w:eastAsia="宋体" w:cs="宋体"/>
          <w:color w:val="000000"/>
          <w:kern w:val="0"/>
          <w:sz w:val="24"/>
          <w:lang w:val="zh-CN"/>
        </w:rPr>
        <w:t>…………………………………………………所在页码</w:t>
      </w:r>
    </w:p>
    <w:p w14:paraId="56C50E8B">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）竞争性磋商首次报价表…………………………………………所在页码</w:t>
      </w:r>
    </w:p>
    <w:p w14:paraId="5BE35466">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）磋商服务相关资料………………………………………………所在页码</w:t>
      </w:r>
    </w:p>
    <w:p w14:paraId="131D33C5">
      <w:pPr>
        <w:autoSpaceDE w:val="0"/>
        <w:autoSpaceDN w:val="0"/>
        <w:spacing w:line="360" w:lineRule="auto"/>
        <w:ind w:firstLine="240" w:firstLineChars="100"/>
        <w:jc w:val="center"/>
        <w:rPr>
          <w:rFonts w:hint="eastAsia"/>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）磋商供应商的类似业绩证明材料………………………………所在页码</w:t>
      </w:r>
    </w:p>
    <w:p w14:paraId="5801F0D0">
      <w:pPr>
        <w:autoSpaceDE w:val="0"/>
        <w:autoSpaceDN w:val="0"/>
        <w:spacing w:line="360" w:lineRule="auto"/>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cs="宋体"/>
          <w:color w:val="000000"/>
          <w:kern w:val="0"/>
          <w:sz w:val="24"/>
          <w:lang w:val="en-US" w:eastAsia="zh-CN"/>
        </w:rPr>
        <w:t>4</w:t>
      </w:r>
      <w:r>
        <w:rPr>
          <w:rFonts w:hint="eastAsia" w:ascii="宋体" w:hAnsi="宋体" w:eastAsia="宋体" w:cs="宋体"/>
          <w:color w:val="000000"/>
          <w:kern w:val="0"/>
          <w:sz w:val="24"/>
        </w:rPr>
        <w:t>）</w:t>
      </w:r>
      <w:r>
        <w:rPr>
          <w:rFonts w:hint="eastAsia" w:ascii="宋体" w:hAnsi="宋体" w:cs="宋体"/>
          <w:color w:val="000000"/>
          <w:kern w:val="0"/>
          <w:sz w:val="24"/>
          <w:lang w:val="en-US" w:eastAsia="zh-CN"/>
        </w:rPr>
        <w:t>服务应答表</w:t>
      </w:r>
      <w:r>
        <w:rPr>
          <w:rFonts w:hint="eastAsia" w:ascii="宋体" w:hAnsi="宋体" w:eastAsia="宋体" w:cs="宋体"/>
          <w:color w:val="000000"/>
          <w:kern w:val="0"/>
          <w:sz w:val="24"/>
        </w:rPr>
        <w:t>………………………………………………………所在页码</w:t>
      </w:r>
    </w:p>
    <w:p w14:paraId="7A269A47">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cs="宋体"/>
          <w:color w:val="000000"/>
          <w:kern w:val="0"/>
          <w:sz w:val="24"/>
          <w:lang w:val="en-US" w:eastAsia="zh-CN"/>
        </w:rPr>
        <w:t>5</w:t>
      </w:r>
      <w:r>
        <w:rPr>
          <w:rFonts w:hint="eastAsia" w:ascii="宋体" w:hAnsi="宋体" w:eastAsia="宋体" w:cs="宋体"/>
          <w:color w:val="000000"/>
          <w:kern w:val="0"/>
          <w:sz w:val="24"/>
        </w:rPr>
        <w:t>）</w:t>
      </w:r>
      <w:bookmarkStart w:id="88" w:name="_Toc10010"/>
      <w:bookmarkStart w:id="89" w:name="_Toc64561345"/>
      <w:bookmarkStart w:id="90" w:name="_Toc1304"/>
      <w:r>
        <w:rPr>
          <w:rFonts w:hint="eastAsia" w:ascii="宋体" w:hAnsi="宋体" w:eastAsia="宋体" w:cs="宋体"/>
          <w:color w:val="000000"/>
          <w:kern w:val="0"/>
          <w:sz w:val="24"/>
        </w:rPr>
        <w:t>享受政府采购政策优惠的证明资料</w:t>
      </w:r>
      <w:bookmarkEnd w:id="88"/>
      <w:bookmarkEnd w:id="89"/>
      <w:bookmarkEnd w:id="90"/>
      <w:r>
        <w:rPr>
          <w:rFonts w:hint="eastAsia" w:ascii="宋体" w:hAnsi="宋体" w:eastAsia="宋体" w:cs="宋体"/>
          <w:color w:val="000000"/>
          <w:kern w:val="0"/>
          <w:sz w:val="24"/>
        </w:rPr>
        <w:t>……………………………所在页码</w:t>
      </w:r>
    </w:p>
    <w:p w14:paraId="28456A73">
      <w:pPr>
        <w:autoSpaceDE w:val="0"/>
        <w:autoSpaceDN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cs="宋体"/>
          <w:color w:val="000000"/>
          <w:kern w:val="0"/>
          <w:sz w:val="24"/>
          <w:lang w:val="en-US" w:eastAsia="zh-CN"/>
        </w:rPr>
        <w:t>6</w:t>
      </w:r>
      <w:r>
        <w:rPr>
          <w:rFonts w:hint="eastAsia" w:ascii="宋体" w:hAnsi="宋体" w:eastAsia="宋体" w:cs="宋体"/>
          <w:color w:val="000000"/>
          <w:kern w:val="0"/>
          <w:sz w:val="24"/>
        </w:rPr>
        <w:t>）磋商供应商认为在其他方面有必要说明的事项………………所在页码</w:t>
      </w:r>
    </w:p>
    <w:p w14:paraId="2B48D3D2">
      <w:pPr>
        <w:pStyle w:val="5"/>
        <w:numPr>
          <w:ilvl w:val="0"/>
          <w:numId w:val="0"/>
        </w:numPr>
        <w:ind w:left="709" w:hanging="709"/>
        <w:rPr>
          <w:rFonts w:hint="eastAsia" w:ascii="宋体" w:hAnsi="宋体" w:eastAsia="宋体" w:cs="宋体"/>
          <w:color w:val="000000"/>
        </w:rPr>
      </w:pPr>
      <w:r>
        <w:rPr>
          <w:rFonts w:hint="eastAsia" w:ascii="宋体" w:hAnsi="宋体" w:eastAsia="宋体" w:cs="宋体"/>
          <w:b/>
          <w:bCs/>
          <w:color w:val="000000"/>
        </w:rPr>
        <w:br w:type="page"/>
      </w:r>
      <w:bookmarkStart w:id="91" w:name="_Toc21181"/>
      <w:r>
        <w:rPr>
          <w:rFonts w:hint="eastAsia" w:ascii="宋体" w:hAnsi="宋体" w:eastAsia="宋体" w:cs="宋体"/>
          <w:b/>
          <w:color w:val="000000"/>
          <w:sz w:val="32"/>
          <w:lang w:val="zh-CN"/>
        </w:rPr>
        <w:t>格式1、磋商函</w:t>
      </w:r>
      <w:bookmarkEnd w:id="91"/>
    </w:p>
    <w:p w14:paraId="1DE0D6CD">
      <w:pPr>
        <w:adjustRightInd w:val="0"/>
        <w:spacing w:line="360" w:lineRule="auto"/>
        <w:jc w:val="center"/>
        <w:textAlignment w:val="baseline"/>
        <w:rPr>
          <w:rFonts w:hint="eastAsia" w:ascii="宋体" w:hAnsi="宋体" w:eastAsia="宋体" w:cs="宋体"/>
          <w:b/>
          <w:color w:val="000000"/>
          <w:sz w:val="32"/>
          <w:szCs w:val="30"/>
        </w:rPr>
      </w:pPr>
      <w:r>
        <w:rPr>
          <w:rFonts w:hint="eastAsia" w:ascii="宋体" w:hAnsi="宋体" w:eastAsia="宋体" w:cs="宋体"/>
          <w:b/>
          <w:color w:val="000000"/>
          <w:sz w:val="32"/>
          <w:szCs w:val="30"/>
        </w:rPr>
        <w:t>磋 商 函</w:t>
      </w:r>
    </w:p>
    <w:p w14:paraId="610F6AB0">
      <w:pPr>
        <w:adjustRightInd w:val="0"/>
        <w:spacing w:line="360" w:lineRule="auto"/>
        <w:ind w:left="482" w:hanging="482" w:hangingChars="200"/>
        <w:textAlignment w:val="baseline"/>
        <w:rPr>
          <w:rFonts w:hint="eastAsia" w:ascii="宋体" w:hAnsi="宋体" w:eastAsia="宋体" w:cs="宋体"/>
          <w:b/>
          <w:color w:val="000000"/>
          <w:sz w:val="24"/>
        </w:rPr>
      </w:pPr>
      <w:r>
        <w:rPr>
          <w:rFonts w:hint="eastAsia" w:ascii="宋体" w:hAnsi="宋体" w:eastAsia="宋体" w:cs="宋体"/>
          <w:b/>
          <w:color w:val="000000"/>
          <w:sz w:val="24"/>
        </w:rPr>
        <w:t>致：</w:t>
      </w:r>
      <w:r>
        <w:rPr>
          <w:rFonts w:hint="eastAsia" w:ascii="宋体" w:hAnsi="宋体" w:cs="宋体"/>
          <w:b/>
          <w:color w:val="000000"/>
          <w:sz w:val="24"/>
          <w:u w:val="single"/>
          <w:lang w:eastAsia="zh-CN"/>
        </w:rPr>
        <w:t>青海海际项目咨询管理有限公司</w:t>
      </w:r>
      <w:r>
        <w:rPr>
          <w:rFonts w:hint="eastAsia" w:ascii="宋体" w:hAnsi="宋体" w:eastAsia="宋体" w:cs="宋体"/>
          <w:b/>
          <w:color w:val="000000"/>
          <w:sz w:val="24"/>
          <w:u w:val="single"/>
        </w:rPr>
        <w:t>：</w:t>
      </w:r>
    </w:p>
    <w:p w14:paraId="5CF7752E">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我们收到</w:t>
      </w:r>
      <w:r>
        <w:rPr>
          <w:rFonts w:hint="eastAsia" w:ascii="宋体" w:hAnsi="宋体" w:cs="宋体"/>
          <w:color w:val="000000"/>
          <w:sz w:val="24"/>
          <w:u w:val="single"/>
          <w:lang w:eastAsia="zh-CN"/>
        </w:rPr>
        <w:t>校园应用与网络运维服务--财务数字化建设</w:t>
      </w:r>
      <w:r>
        <w:rPr>
          <w:rFonts w:hint="eastAsia" w:ascii="宋体" w:hAnsi="宋体" w:eastAsia="宋体" w:cs="宋体"/>
          <w:color w:val="000000"/>
          <w:sz w:val="24"/>
          <w:u w:val="single"/>
        </w:rPr>
        <w:t>（</w:t>
      </w:r>
      <w:r>
        <w:rPr>
          <w:rFonts w:hint="eastAsia" w:ascii="宋体" w:hAnsi="宋体" w:cs="宋体"/>
          <w:color w:val="000000"/>
          <w:sz w:val="24"/>
          <w:u w:val="single"/>
          <w:lang w:eastAsia="zh-CN"/>
        </w:rPr>
        <w:t>青海海际竞磋（服务）2025-131</w:t>
      </w:r>
      <w:r>
        <w:rPr>
          <w:rFonts w:hint="eastAsia" w:ascii="宋体" w:hAnsi="宋体" w:eastAsia="宋体" w:cs="宋体"/>
          <w:color w:val="000000"/>
          <w:sz w:val="24"/>
          <w:u w:val="single"/>
        </w:rPr>
        <w:t>）</w:t>
      </w:r>
      <w:r>
        <w:rPr>
          <w:rFonts w:hint="eastAsia" w:ascii="宋体" w:hAnsi="宋体" w:eastAsia="宋体" w:cs="宋体"/>
          <w:color w:val="000000"/>
          <w:sz w:val="24"/>
        </w:rPr>
        <w:t>磋商文件，经研究，法定代表人（姓名、职务）正式授权（委托代理人姓名、职务）代表磋商供应商（磋商供应商名称、地址）提交磋商响应文件。</w:t>
      </w:r>
    </w:p>
    <w:p w14:paraId="6B8BAA05">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据此函，签字代表宣布同意如下：</w:t>
      </w:r>
    </w:p>
    <w:p w14:paraId="2CFCA8E1">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1.我方已详阅磋商文件的全部内容，包括澄清、修改条款等有关附件，承诺对其完全理解并接受。</w:t>
      </w:r>
    </w:p>
    <w:p w14:paraId="41E26061">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2.磋商有效期自开标之日起</w:t>
      </w:r>
      <w:r>
        <w:rPr>
          <w:rFonts w:hint="eastAsia" w:ascii="宋体" w:hAnsi="宋体" w:eastAsia="宋体" w:cs="宋体"/>
          <w:color w:val="000000"/>
          <w:sz w:val="24"/>
          <w:u w:val="single"/>
        </w:rPr>
        <w:t xml:space="preserve"> 60日历日 </w:t>
      </w:r>
      <w:r>
        <w:rPr>
          <w:rFonts w:hint="eastAsia" w:ascii="宋体" w:hAnsi="宋体" w:eastAsia="宋体" w:cs="宋体"/>
          <w:color w:val="000000"/>
          <w:sz w:val="24"/>
        </w:rPr>
        <w:t>内有效。如果在规定的开标时间后，我方在磋商有效期内撤回磋商或中标后不签约的，磋商保证金将被贵方没收。</w:t>
      </w:r>
    </w:p>
    <w:p w14:paraId="20683B45">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3.我方同意按照贵方要求提供与磋商有关的一切数据或资料，理解并接受贵方制定的评标办法。</w:t>
      </w:r>
    </w:p>
    <w:p w14:paraId="1BB652E4">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4.与本磋商有关的一切正式往来通讯请寄：</w:t>
      </w:r>
    </w:p>
    <w:p w14:paraId="43B7E662">
      <w:pPr>
        <w:adjustRightInd w:val="0"/>
        <w:spacing w:line="360" w:lineRule="auto"/>
        <w:ind w:firstLine="480" w:firstLineChars="200"/>
        <w:textAlignment w:val="baseline"/>
        <w:rPr>
          <w:rFonts w:hint="eastAsia" w:ascii="宋体" w:hAnsi="宋体" w:eastAsia="宋体" w:cs="宋体"/>
          <w:color w:val="000000"/>
          <w:sz w:val="24"/>
        </w:rPr>
      </w:pPr>
    </w:p>
    <w:p w14:paraId="246F3114">
      <w:pPr>
        <w:adjustRightIn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邮编：</w:t>
      </w:r>
      <w:r>
        <w:rPr>
          <w:rFonts w:hint="eastAsia" w:ascii="宋体" w:hAnsi="宋体" w:eastAsia="宋体" w:cs="宋体"/>
          <w:color w:val="000000"/>
          <w:sz w:val="24"/>
          <w:u w:val="single"/>
        </w:rPr>
        <w:t xml:space="preserve">                     </w:t>
      </w:r>
    </w:p>
    <w:p w14:paraId="6E7AE9D5">
      <w:pPr>
        <w:adjustRightInd w:val="0"/>
        <w:spacing w:line="360" w:lineRule="auto"/>
        <w:textAlignment w:val="baseline"/>
        <w:rPr>
          <w:rFonts w:hint="eastAsia" w:ascii="宋体" w:hAnsi="宋体" w:eastAsia="宋体" w:cs="宋体"/>
          <w:color w:val="000000"/>
          <w:sz w:val="24"/>
        </w:rPr>
      </w:pPr>
    </w:p>
    <w:p w14:paraId="71F7D918">
      <w:pPr>
        <w:adjustRightIn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传真：</w:t>
      </w:r>
      <w:r>
        <w:rPr>
          <w:rFonts w:hint="eastAsia" w:ascii="宋体" w:hAnsi="宋体" w:eastAsia="宋体" w:cs="宋体"/>
          <w:color w:val="000000"/>
          <w:sz w:val="24"/>
          <w:u w:val="single"/>
        </w:rPr>
        <w:t xml:space="preserve">                     </w:t>
      </w:r>
    </w:p>
    <w:p w14:paraId="4EDC1E5E">
      <w:pPr>
        <w:adjustRightInd w:val="0"/>
        <w:spacing w:line="360" w:lineRule="auto"/>
        <w:textAlignment w:val="baseline"/>
        <w:rPr>
          <w:rFonts w:hint="eastAsia" w:ascii="宋体" w:hAnsi="宋体" w:eastAsia="宋体" w:cs="宋体"/>
          <w:color w:val="000000"/>
          <w:sz w:val="24"/>
        </w:rPr>
      </w:pPr>
    </w:p>
    <w:p w14:paraId="39E09F10">
      <w:pPr>
        <w:adjustRightIn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法定代表人姓名：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w:t>
      </w:r>
      <w:bookmarkStart w:id="92" w:name="_Toc444715736"/>
      <w:r>
        <w:rPr>
          <w:rFonts w:hint="eastAsia" w:ascii="宋体" w:hAnsi="宋体" w:eastAsia="宋体" w:cs="宋体"/>
          <w:color w:val="000000"/>
          <w:sz w:val="24"/>
          <w:u w:val="single"/>
        </w:rPr>
        <w:t xml:space="preserve">                     </w:t>
      </w:r>
    </w:p>
    <w:p w14:paraId="694F704C">
      <w:pPr>
        <w:tabs>
          <w:tab w:val="left" w:pos="168"/>
        </w:tabs>
        <w:adjustRightInd w:val="0"/>
        <w:spacing w:line="360" w:lineRule="auto"/>
        <w:ind w:right="480"/>
        <w:jc w:val="right"/>
        <w:textAlignment w:val="baseline"/>
        <w:rPr>
          <w:rFonts w:hint="eastAsia" w:ascii="宋体" w:hAnsi="宋体" w:eastAsia="宋体" w:cs="宋体"/>
          <w:bCs/>
          <w:color w:val="000000"/>
          <w:sz w:val="24"/>
          <w:szCs w:val="28"/>
        </w:rPr>
      </w:pPr>
    </w:p>
    <w:p w14:paraId="4E8D1E1D">
      <w:pPr>
        <w:tabs>
          <w:tab w:val="left" w:pos="168"/>
        </w:tabs>
        <w:adjustRightInd w:val="0"/>
        <w:spacing w:line="360" w:lineRule="auto"/>
        <w:ind w:right="240"/>
        <w:jc w:val="right"/>
        <w:textAlignment w:val="baseline"/>
        <w:rPr>
          <w:rFonts w:hint="eastAsia" w:ascii="宋体" w:hAnsi="宋体" w:eastAsia="宋体" w:cs="宋体"/>
          <w:bCs/>
          <w:color w:val="000000"/>
          <w:sz w:val="24"/>
          <w:szCs w:val="28"/>
        </w:rPr>
      </w:pPr>
    </w:p>
    <w:p w14:paraId="5EC2AA9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2A71FC78">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530BCA58">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6E46833F">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br w:type="page"/>
      </w:r>
    </w:p>
    <w:bookmarkEnd w:id="92"/>
    <w:p w14:paraId="071780BE">
      <w:pPr>
        <w:pStyle w:val="13"/>
        <w:rPr>
          <w:rFonts w:hint="eastAsia" w:ascii="宋体" w:hAnsi="宋体" w:eastAsia="宋体" w:cs="宋体"/>
          <w:color w:val="000000"/>
        </w:rPr>
      </w:pPr>
      <w:bookmarkStart w:id="93" w:name="_Toc444715737"/>
      <w:bookmarkStart w:id="94" w:name="_Toc25583"/>
      <w:r>
        <w:rPr>
          <w:rFonts w:hint="eastAsia" w:ascii="宋体" w:hAnsi="宋体" w:eastAsia="宋体" w:cs="宋体"/>
          <w:color w:val="000000"/>
        </w:rPr>
        <w:t xml:space="preserve"> </w:t>
      </w:r>
      <w:bookmarkEnd w:id="93"/>
      <w:bookmarkEnd w:id="94"/>
    </w:p>
    <w:p w14:paraId="6EA48F4B">
      <w:pPr>
        <w:pStyle w:val="5"/>
        <w:numPr>
          <w:ilvl w:val="0"/>
          <w:numId w:val="0"/>
        </w:numPr>
        <w:ind w:left="709" w:hanging="709"/>
        <w:rPr>
          <w:rFonts w:hint="eastAsia" w:ascii="宋体" w:hAnsi="宋体" w:eastAsia="宋体" w:cs="宋体"/>
          <w:color w:val="000000"/>
          <w:lang w:val="zh-CN"/>
        </w:rPr>
      </w:pPr>
      <w:bookmarkStart w:id="95" w:name="_Toc448"/>
      <w:r>
        <w:rPr>
          <w:rFonts w:hint="eastAsia" w:ascii="宋体" w:hAnsi="宋体" w:eastAsia="宋体" w:cs="宋体"/>
          <w:b/>
          <w:color w:val="000000"/>
          <w:sz w:val="32"/>
          <w:lang w:val="zh-CN"/>
        </w:rPr>
        <w:t>格式2、法定代表人证明书</w:t>
      </w:r>
      <w:bookmarkEnd w:id="95"/>
    </w:p>
    <w:p w14:paraId="1BB79278">
      <w:pPr>
        <w:spacing w:line="360" w:lineRule="auto"/>
        <w:rPr>
          <w:rFonts w:hint="eastAsia" w:ascii="宋体" w:hAnsi="宋体" w:eastAsia="宋体" w:cs="宋体"/>
          <w:color w:val="000000"/>
          <w:lang w:val="zh-CN"/>
        </w:rPr>
      </w:pPr>
    </w:p>
    <w:p w14:paraId="1A4F9478">
      <w:pPr>
        <w:autoSpaceDE w:val="0"/>
        <w:autoSpaceDN w:val="0"/>
        <w:adjustRightInd w:val="0"/>
        <w:spacing w:line="360" w:lineRule="auto"/>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0"/>
          <w:szCs w:val="30"/>
          <w:lang w:val="zh-CN"/>
        </w:rPr>
        <w:t>法定代表人证明书</w:t>
      </w:r>
    </w:p>
    <w:p w14:paraId="4A157017">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cs="宋体"/>
          <w:b/>
          <w:bCs/>
          <w:color w:val="000000"/>
          <w:kern w:val="0"/>
          <w:sz w:val="24"/>
          <w:lang w:val="zh-CN"/>
        </w:rPr>
        <w:t>青海海际项目咨询管理有限公司</w:t>
      </w:r>
    </w:p>
    <w:p w14:paraId="72729521">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2811805">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u w:val="single"/>
          <w:lang w:val="zh-CN"/>
        </w:rPr>
        <w:t xml:space="preserve">（法定代表人姓名）  </w:t>
      </w:r>
      <w:r>
        <w:rPr>
          <w:rFonts w:hint="eastAsia" w:ascii="宋体" w:hAnsi="宋体" w:eastAsia="宋体" w:cs="宋体"/>
          <w:color w:val="000000"/>
          <w:kern w:val="0"/>
          <w:sz w:val="24"/>
          <w:lang w:val="zh-CN"/>
        </w:rPr>
        <w:t>现任我单位</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职务，为法定代表人，特此证明。</w:t>
      </w:r>
    </w:p>
    <w:p w14:paraId="38853B43">
      <w:pPr>
        <w:autoSpaceDE w:val="0"/>
        <w:autoSpaceDN w:val="0"/>
        <w:adjustRightInd w:val="0"/>
        <w:spacing w:line="360" w:lineRule="auto"/>
        <w:rPr>
          <w:rFonts w:hint="eastAsia" w:ascii="宋体" w:hAnsi="宋体" w:eastAsia="宋体" w:cs="宋体"/>
          <w:color w:val="000000"/>
          <w:kern w:val="0"/>
          <w:sz w:val="24"/>
          <w:lang w:val="zh-CN"/>
        </w:rPr>
      </w:pPr>
    </w:p>
    <w:p w14:paraId="78A501D0">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法定代表人基本情况： </w:t>
      </w:r>
    </w:p>
    <w:p w14:paraId="59726024">
      <w:pPr>
        <w:autoSpaceDE w:val="0"/>
        <w:autoSpaceDN w:val="0"/>
        <w:adjustRightInd w:val="0"/>
        <w:spacing w:line="360" w:lineRule="auto"/>
        <w:rPr>
          <w:rFonts w:hint="eastAsia" w:ascii="宋体" w:hAnsi="宋体" w:eastAsia="宋体" w:cs="宋体"/>
          <w:color w:val="000000"/>
          <w:kern w:val="0"/>
          <w:sz w:val="24"/>
          <w:lang w:val="zh-CN"/>
        </w:rPr>
      </w:pPr>
    </w:p>
    <w:p w14:paraId="66A50265">
      <w:pPr>
        <w:autoSpaceDE w:val="0"/>
        <w:autoSpaceDN w:val="0"/>
        <w:adjustRightInd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性别：</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年龄：</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民族：</w:t>
      </w:r>
      <w:r>
        <w:rPr>
          <w:rFonts w:hint="eastAsia" w:ascii="宋体" w:hAnsi="宋体" w:eastAsia="宋体" w:cs="宋体"/>
          <w:color w:val="000000"/>
          <w:kern w:val="0"/>
          <w:sz w:val="24"/>
          <w:u w:val="single"/>
          <w:lang w:val="zh-CN"/>
        </w:rPr>
        <w:t xml:space="preserve">         </w:t>
      </w:r>
    </w:p>
    <w:p w14:paraId="50841ED0">
      <w:pPr>
        <w:autoSpaceDE w:val="0"/>
        <w:autoSpaceDN w:val="0"/>
        <w:adjustRightInd w:val="0"/>
        <w:spacing w:line="360" w:lineRule="auto"/>
        <w:rPr>
          <w:rFonts w:hint="eastAsia" w:ascii="宋体" w:hAnsi="宋体" w:eastAsia="宋体" w:cs="宋体"/>
          <w:color w:val="000000"/>
          <w:kern w:val="0"/>
          <w:sz w:val="24"/>
          <w:lang w:val="zh-CN"/>
        </w:rPr>
      </w:pPr>
    </w:p>
    <w:p w14:paraId="044BD626">
      <w:pPr>
        <w:autoSpaceDE w:val="0"/>
        <w:autoSpaceDN w:val="0"/>
        <w:adjustRightInd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地址：</w:t>
      </w:r>
      <w:r>
        <w:rPr>
          <w:rFonts w:hint="eastAsia" w:ascii="宋体" w:hAnsi="宋体" w:eastAsia="宋体" w:cs="宋体"/>
          <w:color w:val="000000"/>
          <w:kern w:val="0"/>
          <w:sz w:val="24"/>
          <w:u w:val="single"/>
          <w:lang w:val="zh-CN"/>
        </w:rPr>
        <w:t xml:space="preserve">                                            </w:t>
      </w:r>
    </w:p>
    <w:p w14:paraId="1FE3CCC3">
      <w:pPr>
        <w:autoSpaceDE w:val="0"/>
        <w:autoSpaceDN w:val="0"/>
        <w:adjustRightInd w:val="0"/>
        <w:spacing w:line="360" w:lineRule="auto"/>
        <w:rPr>
          <w:rFonts w:hint="eastAsia" w:ascii="宋体" w:hAnsi="宋体" w:eastAsia="宋体" w:cs="宋体"/>
          <w:color w:val="000000"/>
          <w:kern w:val="0"/>
          <w:sz w:val="24"/>
          <w:lang w:val="zh-CN"/>
        </w:rPr>
      </w:pPr>
    </w:p>
    <w:p w14:paraId="3237E4F7">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身份证号码：</w:t>
      </w:r>
      <w:r>
        <w:rPr>
          <w:rFonts w:hint="eastAsia" w:ascii="宋体" w:hAnsi="宋体" w:eastAsia="宋体" w:cs="宋体"/>
          <w:color w:val="000000"/>
          <w:kern w:val="0"/>
          <w:sz w:val="24"/>
          <w:u w:val="single"/>
          <w:lang w:val="zh-CN"/>
        </w:rPr>
        <w:t xml:space="preserve">                                      </w:t>
      </w:r>
    </w:p>
    <w:p w14:paraId="1F16CB46">
      <w:pPr>
        <w:autoSpaceDE w:val="0"/>
        <w:autoSpaceDN w:val="0"/>
        <w:adjustRightInd w:val="0"/>
        <w:spacing w:line="360" w:lineRule="auto"/>
        <w:rPr>
          <w:rFonts w:hint="eastAsia" w:ascii="宋体" w:hAnsi="宋体" w:eastAsia="宋体" w:cs="宋体"/>
          <w:color w:val="000000"/>
          <w:kern w:val="0"/>
          <w:sz w:val="24"/>
          <w:lang w:val="zh-CN"/>
        </w:rPr>
      </w:pPr>
    </w:p>
    <w:p w14:paraId="4FD205B0">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附：法定代表人第二代身份证双面扫描（或复印）件</w:t>
      </w:r>
    </w:p>
    <w:p w14:paraId="64C3B2E9">
      <w:pPr>
        <w:autoSpaceDE w:val="0"/>
        <w:autoSpaceDN w:val="0"/>
        <w:adjustRightInd w:val="0"/>
        <w:spacing w:line="360" w:lineRule="auto"/>
        <w:rPr>
          <w:rFonts w:hint="eastAsia" w:ascii="宋体" w:hAnsi="宋体" w:eastAsia="宋体" w:cs="宋体"/>
          <w:color w:val="000000"/>
          <w:kern w:val="0"/>
          <w:sz w:val="24"/>
          <w:lang w:val="zh-CN"/>
        </w:rPr>
      </w:pPr>
    </w:p>
    <w:p w14:paraId="45778835">
      <w:pPr>
        <w:autoSpaceDE w:val="0"/>
        <w:autoSpaceDN w:val="0"/>
        <w:adjustRightInd w:val="0"/>
        <w:spacing w:line="360" w:lineRule="auto"/>
        <w:rPr>
          <w:rFonts w:hint="eastAsia" w:ascii="宋体" w:hAnsi="宋体" w:eastAsia="宋体" w:cs="宋体"/>
          <w:color w:val="000000"/>
          <w:kern w:val="0"/>
          <w:sz w:val="24"/>
          <w:lang w:val="zh-CN"/>
        </w:rPr>
      </w:pPr>
    </w:p>
    <w:p w14:paraId="4C0B546A">
      <w:pPr>
        <w:autoSpaceDE w:val="0"/>
        <w:autoSpaceDN w:val="0"/>
        <w:adjustRightInd w:val="0"/>
        <w:spacing w:line="360" w:lineRule="auto"/>
        <w:rPr>
          <w:rFonts w:hint="eastAsia" w:ascii="宋体" w:hAnsi="宋体" w:eastAsia="宋体" w:cs="宋体"/>
          <w:color w:val="000000"/>
          <w:kern w:val="0"/>
          <w:sz w:val="24"/>
          <w:lang w:val="zh-CN"/>
        </w:rPr>
      </w:pPr>
    </w:p>
    <w:p w14:paraId="240290A7">
      <w:pPr>
        <w:autoSpaceDE w:val="0"/>
        <w:autoSpaceDN w:val="0"/>
        <w:adjustRightInd w:val="0"/>
        <w:spacing w:line="360" w:lineRule="auto"/>
        <w:rPr>
          <w:rFonts w:hint="eastAsia" w:ascii="宋体" w:hAnsi="宋体" w:eastAsia="宋体" w:cs="宋体"/>
          <w:color w:val="000000"/>
          <w:kern w:val="0"/>
          <w:sz w:val="24"/>
          <w:lang w:val="zh-CN"/>
        </w:rPr>
      </w:pPr>
    </w:p>
    <w:p w14:paraId="10459793">
      <w:pPr>
        <w:autoSpaceDE w:val="0"/>
        <w:autoSpaceDN w:val="0"/>
        <w:adjustRightInd w:val="0"/>
        <w:spacing w:line="360" w:lineRule="auto"/>
        <w:rPr>
          <w:rFonts w:hint="eastAsia" w:ascii="宋体" w:hAnsi="宋体" w:eastAsia="宋体" w:cs="宋体"/>
          <w:color w:val="000000"/>
          <w:kern w:val="0"/>
          <w:sz w:val="24"/>
          <w:lang w:val="zh-CN"/>
        </w:rPr>
      </w:pPr>
    </w:p>
    <w:p w14:paraId="05A4B7AC">
      <w:pPr>
        <w:autoSpaceDE w:val="0"/>
        <w:autoSpaceDN w:val="0"/>
        <w:adjustRightInd w:val="0"/>
        <w:spacing w:line="360" w:lineRule="auto"/>
        <w:rPr>
          <w:rFonts w:hint="eastAsia" w:ascii="宋体" w:hAnsi="宋体" w:eastAsia="宋体" w:cs="宋体"/>
          <w:color w:val="000000"/>
          <w:kern w:val="0"/>
          <w:sz w:val="24"/>
          <w:lang w:val="zh-CN"/>
        </w:rPr>
      </w:pPr>
    </w:p>
    <w:p w14:paraId="48B11408">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bookmarkStart w:id="96" w:name="_Toc16858"/>
      <w:bookmarkStart w:id="97" w:name="_Toc444715738"/>
      <w:r>
        <w:rPr>
          <w:rFonts w:hint="eastAsia" w:ascii="宋体" w:hAnsi="宋体" w:eastAsia="宋体" w:cs="宋体"/>
          <w:color w:val="000000"/>
          <w:kern w:val="0"/>
          <w:sz w:val="24"/>
          <w:lang w:val="en-US" w:eastAsia="zh-CN"/>
        </w:rPr>
        <w:t xml:space="preserve"> </w:t>
      </w:r>
      <w:r>
        <w:rPr>
          <w:rFonts w:hint="eastAsia" w:ascii="宋体" w:hAnsi="宋体" w:eastAsia="宋体" w:cs="宋体"/>
          <w:bCs/>
          <w:color w:val="000000"/>
          <w:sz w:val="24"/>
          <w:szCs w:val="28"/>
        </w:rPr>
        <w:t>磋商供应商：                   （公章）</w:t>
      </w:r>
    </w:p>
    <w:p w14:paraId="60827EB7">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法定代表人：                   （签字）</w:t>
      </w:r>
    </w:p>
    <w:p w14:paraId="4E033A14">
      <w:pPr>
        <w:tabs>
          <w:tab w:val="left" w:pos="168"/>
        </w:tabs>
        <w:adjustRightInd w:val="0"/>
        <w:spacing w:line="360" w:lineRule="auto"/>
        <w:ind w:right="480" w:firstLine="3720" w:firstLineChars="1550"/>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13F21939">
      <w:pPr>
        <w:pStyle w:val="5"/>
        <w:numPr>
          <w:ilvl w:val="0"/>
          <w:numId w:val="0"/>
        </w:numPr>
        <w:ind w:left="709" w:hanging="709"/>
        <w:rPr>
          <w:rFonts w:hint="eastAsia" w:ascii="宋体" w:hAnsi="宋体" w:eastAsia="宋体" w:cs="宋体"/>
          <w:color w:val="000000"/>
          <w:szCs w:val="28"/>
        </w:rPr>
      </w:pPr>
      <w:r>
        <w:rPr>
          <w:rFonts w:hint="eastAsia" w:ascii="宋体" w:hAnsi="宋体" w:eastAsia="宋体" w:cs="宋体"/>
          <w:bCs/>
          <w:color w:val="000000"/>
          <w:szCs w:val="28"/>
        </w:rPr>
        <w:br w:type="page"/>
      </w:r>
      <w:bookmarkStart w:id="98" w:name="_Toc27640"/>
      <w:r>
        <w:rPr>
          <w:rFonts w:hint="eastAsia" w:ascii="宋体" w:hAnsi="宋体" w:eastAsia="宋体" w:cs="宋体"/>
          <w:b/>
          <w:color w:val="000000"/>
          <w:sz w:val="32"/>
          <w:lang w:val="zh-CN"/>
        </w:rPr>
        <w:t>格式3、法定代表人授权书</w:t>
      </w:r>
      <w:bookmarkEnd w:id="96"/>
      <w:bookmarkEnd w:id="97"/>
      <w:bookmarkEnd w:id="98"/>
    </w:p>
    <w:p w14:paraId="2FD26266">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法定代表人授权书</w:t>
      </w:r>
    </w:p>
    <w:p w14:paraId="09E987FB">
      <w:pPr>
        <w:spacing w:line="360" w:lineRule="auto"/>
        <w:rPr>
          <w:rFonts w:hint="eastAsia" w:ascii="宋体" w:hAnsi="宋体" w:eastAsia="宋体" w:cs="宋体"/>
          <w:b/>
          <w:bCs/>
          <w:color w:val="000000"/>
          <w:sz w:val="24"/>
          <w:lang w:eastAsia="zh-CN"/>
        </w:rPr>
      </w:pPr>
      <w:r>
        <w:rPr>
          <w:rFonts w:hint="eastAsia" w:ascii="宋体" w:hAnsi="宋体" w:eastAsia="宋体" w:cs="宋体"/>
          <w:b/>
          <w:bCs/>
          <w:color w:val="000000"/>
          <w:sz w:val="24"/>
        </w:rPr>
        <w:t>致：</w:t>
      </w:r>
      <w:r>
        <w:rPr>
          <w:rFonts w:hint="eastAsia" w:ascii="宋体" w:hAnsi="宋体" w:cs="宋体"/>
          <w:b/>
          <w:bCs/>
          <w:color w:val="000000"/>
          <w:sz w:val="24"/>
          <w:lang w:eastAsia="zh-CN"/>
        </w:rPr>
        <w:t>青海海际项目咨询管理有限公司</w:t>
      </w:r>
    </w:p>
    <w:p w14:paraId="194E6E82">
      <w:pPr>
        <w:spacing w:line="360" w:lineRule="auto"/>
        <w:rPr>
          <w:rFonts w:hint="eastAsia" w:ascii="宋体" w:hAnsi="宋体" w:eastAsia="宋体" w:cs="宋体"/>
          <w:color w:val="000000"/>
          <w:sz w:val="24"/>
          <w:u w:val="single"/>
        </w:rPr>
      </w:pPr>
    </w:p>
    <w:p w14:paraId="7AC6D52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 xml:space="preserve">  （磋商供应商名称）  </w:t>
      </w:r>
      <w:r>
        <w:rPr>
          <w:rFonts w:hint="eastAsia" w:ascii="宋体" w:hAnsi="宋体" w:eastAsia="宋体" w:cs="宋体"/>
          <w:color w:val="000000"/>
          <w:sz w:val="24"/>
        </w:rPr>
        <w:t>系中华人民共和国合法企业，法定地址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9B009B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 xml:space="preserve">  （法定代表人姓名）  </w:t>
      </w:r>
      <w:r>
        <w:rPr>
          <w:rFonts w:hint="eastAsia" w:ascii="宋体" w:hAnsi="宋体" w:eastAsia="宋体" w:cs="宋体"/>
          <w:color w:val="000000"/>
          <w:sz w:val="24"/>
        </w:rPr>
        <w:t>特授权</w:t>
      </w:r>
      <w:r>
        <w:rPr>
          <w:rFonts w:hint="eastAsia" w:ascii="宋体" w:hAnsi="宋体" w:eastAsia="宋体" w:cs="宋体"/>
          <w:color w:val="000000"/>
          <w:sz w:val="24"/>
          <w:u w:val="single"/>
        </w:rPr>
        <w:t>（被授权人姓名）</w:t>
      </w:r>
      <w:r>
        <w:rPr>
          <w:rFonts w:hint="eastAsia" w:ascii="宋体" w:hAnsi="宋体" w:eastAsia="宋体" w:cs="宋体"/>
          <w:color w:val="000000"/>
          <w:sz w:val="24"/>
        </w:rPr>
        <w:t>代表我单位全权办理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项目的磋商、答疑等具体工作，并签署全部有关的文件、协议及合同。</w:t>
      </w:r>
    </w:p>
    <w:p w14:paraId="7C05732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我单位对被授权人的签名负全部责任。</w:t>
      </w:r>
    </w:p>
    <w:p w14:paraId="059F005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在撤销授权的书面通知以前，本授权书一直有效。被授权人签署的所有文件（在授权书有效期内签署的）不因授权的撤销而失效。</w:t>
      </w:r>
    </w:p>
    <w:p w14:paraId="5FF70703">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p>
    <w:p w14:paraId="3D0E398F">
      <w:pPr>
        <w:spacing w:line="360" w:lineRule="auto"/>
        <w:rPr>
          <w:rFonts w:hint="eastAsia" w:ascii="宋体" w:hAnsi="宋体" w:eastAsia="宋体" w:cs="宋体"/>
          <w:color w:val="000000"/>
          <w:sz w:val="24"/>
        </w:rPr>
      </w:pPr>
    </w:p>
    <w:p w14:paraId="72794C5B">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被授权人联系电话：</w:t>
      </w:r>
      <w:r>
        <w:rPr>
          <w:rFonts w:hint="eastAsia" w:ascii="宋体" w:hAnsi="宋体" w:eastAsia="宋体" w:cs="宋体"/>
          <w:color w:val="000000"/>
          <w:sz w:val="24"/>
          <w:u w:val="single"/>
        </w:rPr>
        <w:t xml:space="preserve">               </w:t>
      </w:r>
    </w:p>
    <w:p w14:paraId="226F4A0F">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被授权人（委托代理人）签名：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授权人（法定代表人）签名：</w:t>
      </w:r>
      <w:r>
        <w:rPr>
          <w:rFonts w:hint="eastAsia" w:ascii="宋体" w:hAnsi="宋体" w:eastAsia="宋体" w:cs="宋体"/>
          <w:color w:val="000000"/>
          <w:sz w:val="24"/>
          <w:u w:val="single"/>
        </w:rPr>
        <w:t xml:space="preserve">            </w:t>
      </w:r>
    </w:p>
    <w:p w14:paraId="41F25E58">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职务：</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职务：</w:t>
      </w:r>
      <w:r>
        <w:rPr>
          <w:rFonts w:hint="eastAsia" w:ascii="宋体" w:hAnsi="宋体" w:eastAsia="宋体" w:cs="宋体"/>
          <w:color w:val="000000"/>
          <w:sz w:val="24"/>
          <w:u w:val="single"/>
        </w:rPr>
        <w:t xml:space="preserve">            </w:t>
      </w:r>
    </w:p>
    <w:p w14:paraId="3461B716">
      <w:pPr>
        <w:spacing w:line="360" w:lineRule="auto"/>
        <w:rPr>
          <w:rFonts w:hint="eastAsia" w:ascii="宋体" w:hAnsi="宋体" w:eastAsia="宋体" w:cs="宋体"/>
          <w:color w:val="000000"/>
          <w:sz w:val="24"/>
        </w:rPr>
      </w:pPr>
      <w:r>
        <w:rPr>
          <w:rFonts w:hint="eastAsia" w:ascii="宋体" w:hAnsi="宋体" w:eastAsia="宋体" w:cs="宋体"/>
          <w:color w:val="000000"/>
          <w:sz w:val="24"/>
        </w:rPr>
        <w:t>附：被授权人身份证正、反面扫描（或复印）件</w:t>
      </w:r>
    </w:p>
    <w:p w14:paraId="1D0697D2">
      <w:pPr>
        <w:tabs>
          <w:tab w:val="left" w:pos="168"/>
        </w:tabs>
        <w:adjustRightInd w:val="0"/>
        <w:spacing w:line="360" w:lineRule="auto"/>
        <w:textAlignment w:val="baseline"/>
        <w:rPr>
          <w:rFonts w:hint="eastAsia" w:ascii="宋体" w:hAnsi="宋体" w:eastAsia="宋体" w:cs="宋体"/>
          <w:bCs/>
          <w:color w:val="000000"/>
          <w:sz w:val="28"/>
          <w:szCs w:val="28"/>
        </w:rPr>
      </w:pPr>
    </w:p>
    <w:p w14:paraId="0B54DFE3">
      <w:pPr>
        <w:tabs>
          <w:tab w:val="left" w:pos="168"/>
        </w:tabs>
        <w:adjustRightInd w:val="0"/>
        <w:spacing w:line="360" w:lineRule="auto"/>
        <w:textAlignment w:val="baseline"/>
        <w:rPr>
          <w:rFonts w:hint="eastAsia" w:ascii="宋体" w:hAnsi="宋体" w:eastAsia="宋体" w:cs="宋体"/>
          <w:bCs/>
          <w:color w:val="000000"/>
          <w:sz w:val="28"/>
          <w:szCs w:val="28"/>
        </w:rPr>
      </w:pPr>
    </w:p>
    <w:p w14:paraId="619C3875">
      <w:pPr>
        <w:tabs>
          <w:tab w:val="left" w:pos="168"/>
        </w:tabs>
        <w:adjustRightInd w:val="0"/>
        <w:spacing w:line="360" w:lineRule="auto"/>
        <w:textAlignment w:val="baseline"/>
        <w:rPr>
          <w:rFonts w:hint="eastAsia" w:ascii="宋体" w:hAnsi="宋体" w:eastAsia="宋体" w:cs="宋体"/>
          <w:bCs/>
          <w:color w:val="000000"/>
          <w:sz w:val="28"/>
          <w:szCs w:val="28"/>
        </w:rPr>
      </w:pPr>
    </w:p>
    <w:p w14:paraId="19D118FC">
      <w:pPr>
        <w:tabs>
          <w:tab w:val="left" w:pos="168"/>
        </w:tabs>
        <w:adjustRightInd w:val="0"/>
        <w:spacing w:line="360" w:lineRule="auto"/>
        <w:textAlignment w:val="baseline"/>
        <w:rPr>
          <w:rFonts w:hint="eastAsia" w:ascii="宋体" w:hAnsi="宋体" w:eastAsia="宋体" w:cs="宋体"/>
          <w:bCs/>
          <w:color w:val="000000"/>
          <w:sz w:val="28"/>
          <w:szCs w:val="28"/>
        </w:rPr>
      </w:pPr>
    </w:p>
    <w:p w14:paraId="55AE7931">
      <w:pPr>
        <w:tabs>
          <w:tab w:val="left" w:pos="168"/>
        </w:tabs>
        <w:adjustRightInd w:val="0"/>
        <w:spacing w:line="360" w:lineRule="auto"/>
        <w:textAlignment w:val="baseline"/>
        <w:rPr>
          <w:rFonts w:hint="eastAsia" w:ascii="宋体" w:hAnsi="宋体" w:eastAsia="宋体" w:cs="宋体"/>
          <w:bCs/>
          <w:color w:val="000000"/>
          <w:sz w:val="28"/>
          <w:szCs w:val="28"/>
        </w:rPr>
      </w:pPr>
    </w:p>
    <w:p w14:paraId="214B9440">
      <w:pPr>
        <w:tabs>
          <w:tab w:val="left" w:pos="168"/>
        </w:tabs>
        <w:adjustRightInd w:val="0"/>
        <w:spacing w:line="360" w:lineRule="auto"/>
        <w:textAlignment w:val="baseline"/>
        <w:rPr>
          <w:rFonts w:hint="eastAsia" w:ascii="宋体" w:hAnsi="宋体" w:eastAsia="宋体" w:cs="宋体"/>
          <w:bCs/>
          <w:color w:val="000000"/>
          <w:sz w:val="28"/>
          <w:szCs w:val="28"/>
        </w:rPr>
      </w:pPr>
    </w:p>
    <w:p w14:paraId="53E29993">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394F9014">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法定代表人：                   （签字）</w:t>
      </w:r>
    </w:p>
    <w:p w14:paraId="52BBE40D">
      <w:pPr>
        <w:tabs>
          <w:tab w:val="left" w:pos="168"/>
        </w:tabs>
        <w:adjustRightInd w:val="0"/>
        <w:spacing w:line="360" w:lineRule="auto"/>
        <w:ind w:right="480" w:firstLine="3600" w:firstLineChars="1500"/>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37DE5632">
      <w:pPr>
        <w:pStyle w:val="5"/>
        <w:numPr>
          <w:ilvl w:val="0"/>
          <w:numId w:val="0"/>
        </w:numPr>
        <w:ind w:left="709" w:hanging="709"/>
        <w:rPr>
          <w:rFonts w:hint="eastAsia" w:ascii="宋体" w:hAnsi="宋体" w:eastAsia="宋体" w:cs="宋体"/>
          <w:color w:val="000000"/>
          <w:lang w:val="zh-CN"/>
        </w:rPr>
      </w:pPr>
      <w:r>
        <w:rPr>
          <w:rFonts w:hint="eastAsia" w:ascii="宋体" w:hAnsi="宋体" w:eastAsia="宋体" w:cs="宋体"/>
          <w:bCs/>
          <w:color w:val="000000"/>
          <w:sz w:val="24"/>
        </w:rPr>
        <w:br w:type="page"/>
      </w:r>
      <w:bookmarkStart w:id="99" w:name="_Toc29049"/>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4</w:t>
      </w:r>
      <w:r>
        <w:rPr>
          <w:rFonts w:hint="eastAsia" w:ascii="宋体" w:hAnsi="宋体" w:eastAsia="宋体" w:cs="宋体"/>
          <w:b/>
          <w:color w:val="000000"/>
          <w:sz w:val="32"/>
          <w:lang w:val="zh-CN"/>
        </w:rPr>
        <w:t>、磋商供应商承诺书</w:t>
      </w:r>
      <w:bookmarkEnd w:id="99"/>
    </w:p>
    <w:p w14:paraId="59C20374">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磋商供应商承诺书</w:t>
      </w:r>
    </w:p>
    <w:p w14:paraId="29E75CB3">
      <w:pPr>
        <w:spacing w:line="360" w:lineRule="auto"/>
        <w:rPr>
          <w:rFonts w:hint="eastAsia" w:ascii="宋体" w:hAnsi="宋体" w:eastAsia="宋体" w:cs="宋体"/>
          <w:b/>
          <w:bCs/>
          <w:color w:val="000000"/>
          <w:sz w:val="24"/>
          <w:szCs w:val="28"/>
          <w:lang w:eastAsia="zh-CN"/>
        </w:rPr>
      </w:pPr>
      <w:r>
        <w:rPr>
          <w:rFonts w:hint="eastAsia" w:ascii="宋体" w:hAnsi="宋体" w:eastAsia="宋体" w:cs="宋体"/>
          <w:b/>
          <w:bCs/>
          <w:color w:val="000000"/>
          <w:sz w:val="24"/>
          <w:szCs w:val="28"/>
        </w:rPr>
        <w:t>致：</w:t>
      </w:r>
      <w:r>
        <w:rPr>
          <w:rFonts w:hint="eastAsia" w:ascii="宋体" w:hAnsi="宋体" w:cs="宋体"/>
          <w:b/>
          <w:bCs/>
          <w:color w:val="000000"/>
          <w:sz w:val="24"/>
          <w:szCs w:val="28"/>
          <w:lang w:eastAsia="zh-CN"/>
        </w:rPr>
        <w:t>青海海际项目咨询管理有限公司</w:t>
      </w:r>
    </w:p>
    <w:p w14:paraId="5FC0B7AA">
      <w:pPr>
        <w:spacing w:line="360" w:lineRule="auto"/>
        <w:rPr>
          <w:rFonts w:hint="eastAsia" w:ascii="宋体" w:hAnsi="宋体" w:eastAsia="宋体" w:cs="宋体"/>
          <w:color w:val="000000"/>
          <w:sz w:val="24"/>
          <w:szCs w:val="28"/>
        </w:rPr>
      </w:pPr>
    </w:p>
    <w:p w14:paraId="2D29B896">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关于贵方</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年</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月</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日</w:t>
      </w:r>
      <w:r>
        <w:rPr>
          <w:rFonts w:hint="eastAsia" w:ascii="宋体" w:hAnsi="宋体" w:eastAsia="宋体" w:cs="宋体"/>
          <w:color w:val="000000"/>
          <w:sz w:val="24"/>
          <w:szCs w:val="28"/>
          <w:u w:val="single"/>
        </w:rPr>
        <w:t xml:space="preserve">          (项目名称)</w:t>
      </w:r>
      <w:r>
        <w:rPr>
          <w:rFonts w:hint="eastAsia" w:ascii="宋体" w:hAnsi="宋体" w:eastAsia="宋体" w:cs="宋体"/>
          <w:color w:val="000000"/>
          <w:sz w:val="24"/>
          <w:szCs w:val="28"/>
        </w:rPr>
        <w:t>采购项目，本签字人愿意参加磋商，提供服务要求的所有服务，并证实提交的所有资料是准确的和真实的。同时，我代表（磋商供应商名称），在此作如下承诺：</w:t>
      </w:r>
    </w:p>
    <w:p w14:paraId="5BF8DFFC">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1、完全理解和接受磋商文件的一切规定和要求；</w:t>
      </w:r>
    </w:p>
    <w:p w14:paraId="6AE03537">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若中标，我方将按照磋商文件的具体规定与采购单位签订合同，并且严格履行合同义务，按时服务，提供优质的服务。如果在合同执行过程中，发现服务出现问题，我方一定尽快解决，并承担相应的经济责任；</w:t>
      </w:r>
    </w:p>
    <w:p w14:paraId="3EE10F6C">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3、在整个磋商过程中我方若有违规行为，贵方可按磋商文件之规定给予惩罚，我方完全接受。</w:t>
      </w:r>
    </w:p>
    <w:p w14:paraId="7651BAB3">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4、若中标，本承诺将成为合同不可分割的一部分，与合同具有同等的法律效力。</w:t>
      </w:r>
    </w:p>
    <w:p w14:paraId="4C987EA3">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3B3D4A75">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17D57C66">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0C85DC1A">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0125B048">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696854DF">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32ABBE9E">
      <w:pPr>
        <w:tabs>
          <w:tab w:val="left" w:pos="168"/>
        </w:tabs>
        <w:adjustRightInd w:val="0"/>
        <w:spacing w:line="360" w:lineRule="auto"/>
        <w:textAlignment w:val="baseline"/>
        <w:rPr>
          <w:rFonts w:hint="eastAsia" w:ascii="宋体" w:hAnsi="宋体" w:eastAsia="宋体" w:cs="宋体"/>
          <w:bCs/>
          <w:color w:val="000000"/>
          <w:sz w:val="28"/>
          <w:szCs w:val="28"/>
        </w:rPr>
      </w:pPr>
    </w:p>
    <w:p w14:paraId="036F8433">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09FF313D">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176CD26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73D46D6A">
      <w:pPr>
        <w:pStyle w:val="5"/>
        <w:numPr>
          <w:ilvl w:val="0"/>
          <w:numId w:val="0"/>
        </w:numPr>
        <w:ind w:left="709" w:hanging="709"/>
        <w:rPr>
          <w:rFonts w:hint="eastAsia" w:ascii="宋体" w:hAnsi="宋体" w:eastAsia="宋体" w:cs="宋体"/>
          <w:color w:val="000000"/>
          <w:lang w:val="zh-CN"/>
        </w:rPr>
      </w:pPr>
      <w:r>
        <w:rPr>
          <w:rFonts w:hint="eastAsia" w:ascii="宋体" w:hAnsi="宋体" w:eastAsia="宋体" w:cs="宋体"/>
          <w:bCs/>
          <w:color w:val="000000"/>
          <w:sz w:val="24"/>
        </w:rPr>
        <w:br w:type="page"/>
      </w:r>
      <w:bookmarkStart w:id="100" w:name="_Toc22182"/>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5</w:t>
      </w:r>
      <w:r>
        <w:rPr>
          <w:rFonts w:hint="eastAsia" w:ascii="宋体" w:hAnsi="宋体" w:eastAsia="宋体" w:cs="宋体"/>
          <w:b/>
          <w:color w:val="000000"/>
          <w:sz w:val="32"/>
          <w:lang w:val="zh-CN"/>
        </w:rPr>
        <w:t>、供应商诚信承诺书</w:t>
      </w:r>
      <w:bookmarkEnd w:id="100"/>
    </w:p>
    <w:p w14:paraId="0EC2C20C">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供应商诚信承诺书</w:t>
      </w:r>
    </w:p>
    <w:p w14:paraId="4FDAC009">
      <w:pPr>
        <w:autoSpaceDE w:val="0"/>
        <w:autoSpaceDN w:val="0"/>
        <w:adjustRightInd w:val="0"/>
        <w:spacing w:line="360" w:lineRule="auto"/>
        <w:rPr>
          <w:rFonts w:hint="eastAsia" w:ascii="宋体" w:hAnsi="宋体" w:eastAsia="宋体" w:cs="宋体"/>
          <w:color w:val="000000"/>
          <w:kern w:val="0"/>
          <w:sz w:val="24"/>
          <w:lang w:val="zh-CN"/>
        </w:rPr>
      </w:pPr>
    </w:p>
    <w:p w14:paraId="53B51FB7">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cs="宋体"/>
          <w:b/>
          <w:bCs/>
          <w:color w:val="000000"/>
          <w:kern w:val="0"/>
          <w:sz w:val="24"/>
          <w:lang w:val="zh-CN"/>
        </w:rPr>
        <w:t>青海海际项目咨询管理有限公司</w:t>
      </w:r>
    </w:p>
    <w:p w14:paraId="362A4F2C">
      <w:pPr>
        <w:autoSpaceDE w:val="0"/>
        <w:autoSpaceDN w:val="0"/>
        <w:adjustRightInd w:val="0"/>
        <w:spacing w:line="360" w:lineRule="auto"/>
        <w:rPr>
          <w:rFonts w:hint="eastAsia" w:ascii="宋体" w:hAnsi="宋体" w:eastAsia="宋体" w:cs="宋体"/>
          <w:color w:val="000000"/>
          <w:kern w:val="0"/>
          <w:sz w:val="24"/>
          <w:lang w:val="zh-CN"/>
        </w:rPr>
      </w:pPr>
    </w:p>
    <w:p w14:paraId="4918CF88">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为了诚实、客观、有序地参与青海省采购活动，愿就以下内容做出承诺：</w:t>
      </w:r>
    </w:p>
    <w:p w14:paraId="468D96D2">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一、自觉遵守各项法律、法规、规章、制度以及社会公德，维护廉洁环境，与同场竞争的供应商平等参加采购活动。</w:t>
      </w:r>
    </w:p>
    <w:p w14:paraId="2FB247BD">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二、参加采购代理机构组织的采购活动时，严格按照磋商文件的规定和要求提供所需的相关材料，并对所提供的各类资料的真实性负责，不虚假应标，不虚列业绩。</w:t>
      </w:r>
    </w:p>
    <w:p w14:paraId="4B32FB9C">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三、尊重参与采购活动各相关方的合法行为，接受采购活动依法形成的意见、结果。</w:t>
      </w:r>
    </w:p>
    <w:p w14:paraId="744D61A2">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四、依法参加采购活动，不围标、串标，维护市场秩序。</w:t>
      </w:r>
    </w:p>
    <w:p w14:paraId="11F82D7E">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3A0B5879">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六、认真履行中标人应承担的责任和义务，全面执行采购合同规定的各项内容，保质保量地按时提供采购服务。</w:t>
      </w:r>
    </w:p>
    <w:p w14:paraId="7F5096D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若本企业（单位）发生有悖于上述承诺的行为，愿意接受《中华人民共和国政府采购法》和《政府采购法实施条例》中对供应商的相关处理。</w:t>
      </w:r>
    </w:p>
    <w:p w14:paraId="23EFD331">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本承诺是采购项目磋商文件的组成部分。</w:t>
      </w:r>
    </w:p>
    <w:p w14:paraId="12DB0735">
      <w:pPr>
        <w:autoSpaceDE w:val="0"/>
        <w:autoSpaceDN w:val="0"/>
        <w:adjustRightInd w:val="0"/>
        <w:spacing w:line="360" w:lineRule="auto"/>
        <w:rPr>
          <w:rFonts w:hint="eastAsia" w:ascii="宋体" w:hAnsi="宋体" w:eastAsia="宋体" w:cs="宋体"/>
          <w:color w:val="000000"/>
          <w:kern w:val="0"/>
          <w:sz w:val="24"/>
          <w:lang w:val="zh-CN"/>
        </w:rPr>
      </w:pPr>
    </w:p>
    <w:p w14:paraId="6FB19749">
      <w:pPr>
        <w:autoSpaceDE w:val="0"/>
        <w:autoSpaceDN w:val="0"/>
        <w:adjustRightInd w:val="0"/>
        <w:spacing w:line="360" w:lineRule="auto"/>
        <w:rPr>
          <w:rFonts w:hint="eastAsia" w:ascii="宋体" w:hAnsi="宋体" w:eastAsia="宋体" w:cs="宋体"/>
          <w:color w:val="000000"/>
          <w:kern w:val="0"/>
          <w:sz w:val="24"/>
          <w:lang w:val="zh-CN"/>
        </w:rPr>
      </w:pPr>
    </w:p>
    <w:p w14:paraId="7EA0C0D2">
      <w:pPr>
        <w:tabs>
          <w:tab w:val="left" w:pos="168"/>
        </w:tabs>
        <w:adjustRightInd w:val="0"/>
        <w:spacing w:line="360" w:lineRule="auto"/>
        <w:textAlignment w:val="baseline"/>
        <w:rPr>
          <w:rFonts w:hint="eastAsia" w:ascii="宋体" w:hAnsi="宋体" w:eastAsia="宋体" w:cs="宋体"/>
          <w:bCs/>
          <w:color w:val="000000"/>
          <w:sz w:val="28"/>
          <w:szCs w:val="28"/>
        </w:rPr>
      </w:pPr>
      <w:bookmarkStart w:id="101" w:name="_Toc444715739"/>
      <w:bookmarkStart w:id="102" w:name="_Toc17097"/>
    </w:p>
    <w:p w14:paraId="6B5444F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338E34FF">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070C3B16">
      <w:pPr>
        <w:tabs>
          <w:tab w:val="left" w:pos="168"/>
        </w:tabs>
        <w:adjustRightInd w:val="0"/>
        <w:spacing w:line="360" w:lineRule="auto"/>
        <w:ind w:firstLine="4800" w:firstLineChars="2000"/>
        <w:jc w:val="lef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1BFB49AB">
      <w:pPr>
        <w:pStyle w:val="5"/>
        <w:numPr>
          <w:ilvl w:val="0"/>
          <w:numId w:val="0"/>
        </w:numPr>
        <w:ind w:left="709" w:hanging="709"/>
        <w:rPr>
          <w:rFonts w:hint="eastAsia" w:ascii="宋体" w:hAnsi="宋体" w:eastAsia="宋体" w:cs="宋体"/>
          <w:bCs/>
          <w:color w:val="000000"/>
          <w:sz w:val="24"/>
          <w:szCs w:val="28"/>
        </w:rPr>
      </w:pPr>
      <w:r>
        <w:rPr>
          <w:rFonts w:hint="eastAsia" w:ascii="宋体" w:hAnsi="宋体" w:eastAsia="宋体" w:cs="宋体"/>
          <w:bCs/>
          <w:color w:val="000000"/>
          <w:sz w:val="24"/>
        </w:rPr>
        <w:br w:type="page"/>
      </w:r>
      <w:bookmarkStart w:id="103" w:name="_Toc16258"/>
      <w:r>
        <w:rPr>
          <w:rStyle w:val="77"/>
          <w:rFonts w:hint="eastAsia" w:ascii="宋体" w:hAnsi="宋体" w:eastAsia="宋体" w:cs="宋体"/>
          <w:b/>
          <w:color w:val="000000"/>
          <w:sz w:val="32"/>
          <w:lang w:val="zh-CN"/>
        </w:rPr>
        <w:t>格式</w:t>
      </w:r>
      <w:r>
        <w:rPr>
          <w:rStyle w:val="77"/>
          <w:rFonts w:hint="eastAsia" w:hAnsi="宋体" w:eastAsia="宋体" w:cs="宋体"/>
          <w:b/>
          <w:color w:val="000000"/>
          <w:sz w:val="32"/>
          <w:lang w:val="en-US" w:eastAsia="zh-CN"/>
        </w:rPr>
        <w:t>6</w:t>
      </w:r>
      <w:r>
        <w:rPr>
          <w:rStyle w:val="77"/>
          <w:rFonts w:hint="eastAsia" w:ascii="宋体" w:hAnsi="宋体" w:eastAsia="宋体" w:cs="宋体"/>
          <w:b/>
          <w:color w:val="000000"/>
          <w:sz w:val="32"/>
          <w:lang w:val="zh-CN"/>
        </w:rPr>
        <w:t>、资格证明材料</w:t>
      </w:r>
      <w:bookmarkEnd w:id="101"/>
      <w:bookmarkEnd w:id="102"/>
      <w:bookmarkEnd w:id="103"/>
    </w:p>
    <w:p w14:paraId="7DBF78A1">
      <w:pPr>
        <w:spacing w:line="360" w:lineRule="auto"/>
        <w:rPr>
          <w:rFonts w:hint="eastAsia" w:ascii="宋体" w:hAnsi="宋体" w:eastAsia="宋体" w:cs="宋体"/>
          <w:color w:val="000000"/>
          <w:lang w:val="zh-CN"/>
        </w:rPr>
      </w:pPr>
    </w:p>
    <w:p w14:paraId="12CC618B">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资格证明材料</w:t>
      </w:r>
    </w:p>
    <w:p w14:paraId="40CB61CF">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资格证明材料包括：</w:t>
      </w:r>
    </w:p>
    <w:p w14:paraId="07590101">
      <w:pPr>
        <w:spacing w:line="360" w:lineRule="auto"/>
        <w:rPr>
          <w:rFonts w:hint="eastAsia" w:ascii="宋体" w:hAnsi="宋体" w:eastAsia="宋体" w:cs="宋体"/>
          <w:color w:val="000000"/>
          <w:sz w:val="24"/>
        </w:rPr>
      </w:pPr>
      <w:r>
        <w:rPr>
          <w:rFonts w:hint="eastAsia" w:ascii="宋体" w:hAnsi="宋体" w:eastAsia="宋体" w:cs="宋体"/>
          <w:color w:val="000000"/>
          <w:sz w:val="24"/>
        </w:rPr>
        <w:t>（1）单位法人营业执照、税务登记证、组织机构代码证；</w:t>
      </w:r>
    </w:p>
    <w:p w14:paraId="6D96B73B">
      <w:pPr>
        <w:spacing w:line="360" w:lineRule="auto"/>
        <w:rPr>
          <w:rFonts w:hint="eastAsia" w:ascii="宋体" w:hAnsi="宋体" w:eastAsia="宋体" w:cs="宋体"/>
          <w:color w:val="000000"/>
          <w:sz w:val="24"/>
        </w:rPr>
      </w:pPr>
      <w:r>
        <w:rPr>
          <w:rFonts w:hint="eastAsia" w:ascii="宋体" w:hAnsi="宋体" w:eastAsia="宋体" w:cs="宋体"/>
          <w:color w:val="000000"/>
          <w:sz w:val="24"/>
        </w:rPr>
        <w:t>（2）磋商文件规定的有关资格证书、许可证书、认证等；</w:t>
      </w:r>
    </w:p>
    <w:p w14:paraId="3DC158CF">
      <w:pPr>
        <w:spacing w:line="360" w:lineRule="auto"/>
        <w:rPr>
          <w:rFonts w:hint="eastAsia" w:ascii="宋体" w:hAnsi="宋体" w:eastAsia="宋体" w:cs="宋体"/>
          <w:color w:val="000000"/>
          <w:sz w:val="24"/>
        </w:rPr>
      </w:pPr>
      <w:r>
        <w:rPr>
          <w:rFonts w:hint="eastAsia" w:ascii="宋体" w:hAnsi="宋体" w:eastAsia="宋体" w:cs="宋体"/>
          <w:color w:val="000000"/>
          <w:sz w:val="24"/>
        </w:rPr>
        <w:t>（3）磋商供应商简介及获得相关证书证明文件；</w:t>
      </w:r>
    </w:p>
    <w:p w14:paraId="5B6036F0">
      <w:pPr>
        <w:spacing w:line="360" w:lineRule="auto"/>
        <w:rPr>
          <w:rFonts w:hint="eastAsia" w:ascii="宋体" w:hAnsi="宋体" w:eastAsia="宋体" w:cs="宋体"/>
          <w:color w:val="000000"/>
          <w:sz w:val="24"/>
        </w:rPr>
      </w:pPr>
      <w:r>
        <w:rPr>
          <w:rFonts w:hint="eastAsia" w:ascii="宋体" w:hAnsi="宋体" w:eastAsia="宋体" w:cs="宋体"/>
          <w:color w:val="000000"/>
          <w:sz w:val="24"/>
        </w:rPr>
        <w:t>（4）磋商供应商认为有必要提供的其他资格证明文件。</w:t>
      </w:r>
    </w:p>
    <w:p w14:paraId="0953D5CB">
      <w:pPr>
        <w:pStyle w:val="5"/>
        <w:numPr>
          <w:ilvl w:val="0"/>
          <w:numId w:val="0"/>
        </w:numPr>
        <w:ind w:left="709" w:hanging="709"/>
        <w:rPr>
          <w:rFonts w:hint="eastAsia" w:ascii="宋体" w:hAnsi="宋体" w:eastAsia="宋体" w:cs="宋体"/>
          <w:color w:val="000000"/>
          <w:lang w:val="zh-CN"/>
        </w:rPr>
      </w:pPr>
      <w:r>
        <w:rPr>
          <w:rFonts w:hint="eastAsia" w:ascii="宋体" w:hAnsi="宋体" w:eastAsia="宋体" w:cs="宋体"/>
          <w:color w:val="000000"/>
          <w:kern w:val="0"/>
          <w:sz w:val="24"/>
          <w:lang w:val="zh-CN"/>
        </w:rPr>
        <w:br w:type="page"/>
      </w:r>
      <w:bookmarkStart w:id="104" w:name="_Toc3962"/>
      <w:bookmarkStart w:id="105" w:name="_Toc20673"/>
      <w:bookmarkStart w:id="106" w:name="_Toc444715740"/>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7</w:t>
      </w:r>
      <w:r>
        <w:rPr>
          <w:rFonts w:hint="eastAsia" w:ascii="宋体" w:hAnsi="宋体" w:eastAsia="宋体" w:cs="宋体"/>
          <w:b/>
          <w:color w:val="000000"/>
          <w:sz w:val="32"/>
          <w:lang w:val="zh-CN"/>
        </w:rPr>
        <w:t>、财务状况、缴纳税收和社会保障资金证明</w:t>
      </w:r>
      <w:bookmarkEnd w:id="104"/>
    </w:p>
    <w:p w14:paraId="11731419">
      <w:pPr>
        <w:spacing w:line="360" w:lineRule="auto"/>
        <w:rPr>
          <w:rFonts w:hint="eastAsia" w:ascii="宋体" w:hAnsi="宋体" w:eastAsia="宋体" w:cs="宋体"/>
          <w:color w:val="000000"/>
          <w:lang w:val="zh-CN"/>
        </w:rPr>
      </w:pPr>
    </w:p>
    <w:p w14:paraId="5320F45A">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财务状况、缴纳税收和社会保障资金证明</w:t>
      </w:r>
    </w:p>
    <w:p w14:paraId="514F3630">
      <w:pPr>
        <w:autoSpaceDE w:val="0"/>
        <w:autoSpaceDN w:val="0"/>
        <w:spacing w:line="360" w:lineRule="auto"/>
        <w:rPr>
          <w:rFonts w:hint="eastAsia" w:ascii="宋体" w:hAnsi="宋体" w:eastAsia="宋体" w:cs="宋体"/>
          <w:color w:val="000000"/>
          <w:sz w:val="24"/>
          <w:lang w:val="zh-CN"/>
        </w:rPr>
      </w:pPr>
    </w:p>
    <w:p w14:paraId="316A7F8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按照磋商文件第2.2款（1）中规定提供以下相关材料。</w:t>
      </w:r>
    </w:p>
    <w:p w14:paraId="4A231DA9">
      <w:pPr>
        <w:pStyle w:val="126"/>
        <w:spacing w:line="360" w:lineRule="auto"/>
        <w:ind w:firstLine="480"/>
        <w:jc w:val="left"/>
        <w:rPr>
          <w:rFonts w:hint="eastAsia" w:ascii="宋体" w:hAnsi="宋体" w:eastAsia="宋体" w:cs="宋体"/>
          <w:color w:val="000000"/>
          <w:sz w:val="24"/>
        </w:rPr>
      </w:pPr>
      <w:r>
        <w:rPr>
          <w:rFonts w:hint="eastAsia" w:ascii="宋体" w:hAnsi="宋体" w:eastAsia="宋体" w:cs="宋体"/>
          <w:color w:val="000000"/>
          <w:kern w:val="0"/>
          <w:sz w:val="24"/>
          <w:lang w:val="zh-CN"/>
        </w:rPr>
        <w:t>1、磋商供应商基本开户银行近三个月内出具的资信证明或经第三方机构出具的</w:t>
      </w:r>
      <w:r>
        <w:rPr>
          <w:rFonts w:hint="eastAsia" w:ascii="宋体" w:hAnsi="宋体" w:eastAsia="宋体" w:cs="宋体"/>
          <w:color w:val="000000"/>
          <w:kern w:val="0"/>
          <w:sz w:val="24"/>
        </w:rPr>
        <w:t>202</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年度</w:t>
      </w:r>
      <w:r>
        <w:rPr>
          <w:rFonts w:hint="eastAsia" w:ascii="宋体" w:hAnsi="宋体" w:eastAsia="宋体" w:cs="宋体"/>
          <w:color w:val="000000"/>
          <w:kern w:val="0"/>
          <w:sz w:val="24"/>
          <w:lang w:val="zh-CN"/>
        </w:rPr>
        <w:t>财务状况审计报告（扫描或复印件应全面、完整、清晰），包括资产负债表、现金流量表、利润表和财务（会计）报表附注</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并提供第三方机构的营业执照、执业证书。</w:t>
      </w:r>
    </w:p>
    <w:p w14:paraId="12E1055B">
      <w:pPr>
        <w:pStyle w:val="126"/>
        <w:spacing w:line="360" w:lineRule="auto"/>
        <w:ind w:firstLineChars="0"/>
        <w:rPr>
          <w:rFonts w:hint="eastAsia" w:ascii="宋体" w:hAnsi="宋体" w:eastAsia="宋体" w:cs="宋体"/>
          <w:color w:val="000000"/>
          <w:kern w:val="0"/>
          <w:sz w:val="24"/>
          <w:lang w:val="zh-CN"/>
        </w:rPr>
      </w:pP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近半年内任意三个月的依法缴纳税收和社会保障资金记录的证明材料；依法免税或不需要缴纳社会保障资金的磋商供应商须提供相应文件证明其依法免税或不需要缴纳社会保障资金。</w:t>
      </w:r>
    </w:p>
    <w:p w14:paraId="6A7CD180">
      <w:pPr>
        <w:pStyle w:val="126"/>
        <w:spacing w:line="360" w:lineRule="auto"/>
        <w:ind w:firstLineChars="0"/>
        <w:rPr>
          <w:rFonts w:hint="eastAsia" w:ascii="宋体" w:hAnsi="宋体" w:eastAsia="宋体" w:cs="宋体"/>
          <w:color w:val="000000"/>
          <w:sz w:val="24"/>
        </w:rPr>
      </w:pPr>
      <w:r>
        <w:rPr>
          <w:rFonts w:hint="eastAsia" w:ascii="宋体" w:hAnsi="宋体" w:eastAsia="宋体" w:cs="宋体"/>
          <w:color w:val="000000"/>
          <w:sz w:val="24"/>
        </w:rPr>
        <w:t>3、扫描（或复印）件应全面、完整、清晰并加盖磋商供应商公章。</w:t>
      </w:r>
    </w:p>
    <w:p w14:paraId="769695EB">
      <w:pPr>
        <w:pStyle w:val="5"/>
        <w:numPr>
          <w:ilvl w:val="0"/>
          <w:numId w:val="0"/>
        </w:numPr>
        <w:ind w:left="709" w:hanging="709"/>
        <w:rPr>
          <w:rFonts w:hint="eastAsia" w:ascii="宋体" w:hAnsi="宋体" w:eastAsia="宋体" w:cs="宋体"/>
          <w:color w:val="000000"/>
          <w:lang w:val="zh-CN"/>
        </w:rPr>
      </w:pPr>
      <w:r>
        <w:rPr>
          <w:rFonts w:hint="eastAsia" w:ascii="宋体" w:hAnsi="宋体" w:eastAsia="宋体" w:cs="宋体"/>
          <w:b/>
          <w:color w:val="000000"/>
          <w:sz w:val="32"/>
          <w:lang w:val="zh-CN"/>
        </w:rPr>
        <w:br w:type="page"/>
      </w:r>
      <w:bookmarkStart w:id="107" w:name="_Toc17626"/>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8</w:t>
      </w:r>
      <w:r>
        <w:rPr>
          <w:rFonts w:hint="eastAsia" w:ascii="宋体" w:hAnsi="宋体" w:eastAsia="宋体" w:cs="宋体"/>
          <w:b/>
          <w:color w:val="000000"/>
          <w:sz w:val="32"/>
          <w:lang w:val="zh-CN"/>
        </w:rPr>
        <w:t>、具备履行合同所必须的设备和专业技术能力证明</w:t>
      </w:r>
      <w:bookmarkEnd w:id="107"/>
    </w:p>
    <w:p w14:paraId="4BDCBF00">
      <w:pPr>
        <w:autoSpaceDE w:val="0"/>
        <w:autoSpaceDN w:val="0"/>
        <w:adjustRightInd w:val="0"/>
        <w:spacing w:line="360" w:lineRule="auto"/>
        <w:rPr>
          <w:rFonts w:hint="eastAsia" w:ascii="宋体" w:hAnsi="宋体" w:eastAsia="宋体" w:cs="宋体"/>
          <w:color w:val="000000"/>
          <w:kern w:val="0"/>
          <w:sz w:val="24"/>
          <w:lang w:val="zh-CN"/>
        </w:rPr>
      </w:pPr>
    </w:p>
    <w:p w14:paraId="33951D29">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具备履行合同所必须的设备和专业技术能力证明</w:t>
      </w:r>
    </w:p>
    <w:p w14:paraId="425529C5">
      <w:pPr>
        <w:rPr>
          <w:rFonts w:hint="eastAsia" w:ascii="宋体" w:hAnsi="宋体" w:eastAsia="宋体" w:cs="宋体"/>
          <w:color w:val="000000"/>
        </w:rPr>
      </w:pPr>
    </w:p>
    <w:p w14:paraId="391E317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为保证本项目合同的顺利履行，磋商供应商必须具备履行合同的设备和专业技术能力，须提供相关人员的证书或用工合同或相关设备购置发票等证明材料。须提供具备履行合同的设备和专业技术能力承诺函（格式自拟）。</w:t>
      </w:r>
    </w:p>
    <w:p w14:paraId="531A81E9">
      <w:pPr>
        <w:pStyle w:val="5"/>
        <w:numPr>
          <w:ilvl w:val="0"/>
          <w:numId w:val="0"/>
        </w:numPr>
        <w:tabs>
          <w:tab w:val="left" w:pos="720"/>
          <w:tab w:val="clear" w:pos="709"/>
        </w:tabs>
        <w:ind w:left="709" w:hanging="709"/>
        <w:rPr>
          <w:rFonts w:hint="eastAsia" w:ascii="宋体" w:hAnsi="宋体" w:eastAsia="宋体" w:cs="宋体"/>
          <w:color w:val="000000"/>
        </w:rPr>
      </w:pPr>
      <w:r>
        <w:rPr>
          <w:rFonts w:hint="eastAsia" w:ascii="宋体" w:hAnsi="宋体" w:eastAsia="宋体" w:cs="宋体"/>
          <w:color w:val="000000"/>
          <w:sz w:val="24"/>
        </w:rPr>
        <w:br w:type="page"/>
      </w:r>
      <w:bookmarkStart w:id="108" w:name="_Toc9739"/>
      <w:r>
        <w:rPr>
          <w:rFonts w:hint="eastAsia" w:ascii="宋体" w:hAnsi="宋体" w:eastAsia="宋体" w:cs="宋体"/>
          <w:b/>
          <w:bCs/>
          <w:color w:val="000000"/>
          <w:szCs w:val="28"/>
        </w:rPr>
        <w:t>格式</w:t>
      </w:r>
      <w:bookmarkEnd w:id="105"/>
      <w:bookmarkEnd w:id="106"/>
      <w:r>
        <w:rPr>
          <w:rFonts w:hint="eastAsia" w:hAnsi="宋体" w:eastAsia="宋体" w:cs="宋体"/>
          <w:b/>
          <w:bCs/>
          <w:color w:val="000000"/>
          <w:szCs w:val="28"/>
          <w:lang w:val="en-US" w:eastAsia="zh-CN"/>
        </w:rPr>
        <w:t>9</w:t>
      </w:r>
      <w:r>
        <w:rPr>
          <w:rFonts w:hint="eastAsia" w:ascii="宋体" w:hAnsi="宋体" w:eastAsia="宋体" w:cs="宋体"/>
          <w:b/>
          <w:bCs/>
          <w:color w:val="000000"/>
          <w:szCs w:val="28"/>
        </w:rPr>
        <w:t>、无重大违法记录声明</w:t>
      </w:r>
      <w:bookmarkEnd w:id="108"/>
    </w:p>
    <w:p w14:paraId="2103202E">
      <w:pPr>
        <w:autoSpaceDE w:val="0"/>
        <w:autoSpaceDN w:val="0"/>
        <w:adjustRightInd w:val="0"/>
        <w:spacing w:line="360" w:lineRule="auto"/>
        <w:rPr>
          <w:rFonts w:hint="eastAsia" w:ascii="宋体" w:hAnsi="宋体" w:eastAsia="宋体" w:cs="宋体"/>
          <w:color w:val="000000"/>
          <w:kern w:val="0"/>
          <w:sz w:val="24"/>
          <w:lang w:val="zh-CN"/>
        </w:rPr>
      </w:pPr>
    </w:p>
    <w:p w14:paraId="61B52BDE">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无重大违法记录声明</w:t>
      </w:r>
    </w:p>
    <w:p w14:paraId="56649499">
      <w:pPr>
        <w:autoSpaceDE w:val="0"/>
        <w:autoSpaceDN w:val="0"/>
        <w:adjustRightInd w:val="0"/>
        <w:spacing w:line="360" w:lineRule="auto"/>
        <w:rPr>
          <w:rFonts w:hint="eastAsia" w:ascii="宋体" w:hAnsi="宋体" w:eastAsia="宋体" w:cs="宋体"/>
          <w:color w:val="000000"/>
          <w:kern w:val="0"/>
          <w:sz w:val="22"/>
          <w:lang w:val="zh-CN"/>
        </w:rPr>
      </w:pPr>
    </w:p>
    <w:p w14:paraId="0EC6509D">
      <w:pPr>
        <w:spacing w:line="360" w:lineRule="auto"/>
        <w:ind w:firstLine="426" w:firstLineChars="177"/>
        <w:rPr>
          <w:rFonts w:hint="eastAsia" w:ascii="宋体" w:hAnsi="宋体" w:eastAsia="宋体" w:cs="宋体"/>
          <w:color w:val="000000"/>
          <w:sz w:val="22"/>
        </w:rPr>
      </w:pPr>
      <w:r>
        <w:rPr>
          <w:rFonts w:hint="eastAsia" w:ascii="宋体" w:hAnsi="宋体" w:eastAsia="宋体" w:cs="宋体"/>
          <w:b/>
          <w:bCs/>
          <w:color w:val="000000"/>
          <w:kern w:val="0"/>
          <w:sz w:val="24"/>
          <w:szCs w:val="28"/>
          <w:lang w:val="zh-CN"/>
        </w:rPr>
        <w:t>致：</w:t>
      </w:r>
      <w:r>
        <w:rPr>
          <w:rFonts w:hint="eastAsia" w:ascii="宋体" w:hAnsi="宋体" w:cs="宋体"/>
          <w:b/>
          <w:bCs/>
          <w:color w:val="000000"/>
          <w:kern w:val="0"/>
          <w:sz w:val="24"/>
          <w:szCs w:val="28"/>
          <w:lang w:val="zh-CN"/>
        </w:rPr>
        <w:t>青海海际项目咨询管理有限公司</w:t>
      </w:r>
    </w:p>
    <w:p w14:paraId="45F418BD">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（竞争性磋商供应商名称）郑重声明，我方参加本项目竞磋活动前三年内无重大违法活动记录，符合《中华人民共和国政府采购法》规定的供应商资格条件。我方对此声明负全部法律责任。</w:t>
      </w:r>
    </w:p>
    <w:p w14:paraId="2878D1BC">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 xml:space="preserve"> </w:t>
      </w:r>
    </w:p>
    <w:p w14:paraId="3A3FC1EB">
      <w:pPr>
        <w:spacing w:line="360" w:lineRule="auto"/>
        <w:ind w:firstLine="424" w:firstLineChars="177"/>
        <w:rPr>
          <w:rFonts w:hint="eastAsia" w:ascii="宋体" w:hAnsi="宋体" w:eastAsia="宋体" w:cs="宋体"/>
          <w:color w:val="000000"/>
          <w:sz w:val="24"/>
        </w:rPr>
      </w:pPr>
    </w:p>
    <w:p w14:paraId="1160BBDE">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特此声明。</w:t>
      </w:r>
    </w:p>
    <w:p w14:paraId="7BB9EE75">
      <w:pPr>
        <w:spacing w:line="360" w:lineRule="auto"/>
        <w:ind w:firstLine="424" w:firstLineChars="177"/>
        <w:rPr>
          <w:rFonts w:hint="eastAsia" w:ascii="宋体" w:hAnsi="宋体" w:eastAsia="宋体" w:cs="宋体"/>
          <w:color w:val="000000"/>
          <w:sz w:val="24"/>
        </w:rPr>
      </w:pPr>
    </w:p>
    <w:p w14:paraId="21A59394">
      <w:pPr>
        <w:spacing w:line="360" w:lineRule="auto"/>
        <w:ind w:firstLine="426" w:firstLineChars="177"/>
        <w:rPr>
          <w:rFonts w:hint="eastAsia" w:ascii="宋体" w:hAnsi="宋体" w:cs="宋体"/>
          <w:b/>
          <w:bCs/>
          <w:color w:val="000000"/>
          <w:sz w:val="24"/>
        </w:rPr>
      </w:pPr>
    </w:p>
    <w:p w14:paraId="3B4E481F">
      <w:pPr>
        <w:spacing w:line="360" w:lineRule="auto"/>
        <w:ind w:firstLine="424" w:firstLineChars="177"/>
        <w:rPr>
          <w:rFonts w:hint="eastAsia" w:ascii="宋体" w:hAnsi="宋体" w:eastAsia="宋体" w:cs="宋体"/>
          <w:color w:val="000000"/>
          <w:sz w:val="24"/>
        </w:rPr>
      </w:pPr>
    </w:p>
    <w:p w14:paraId="0E0BD9DF">
      <w:pPr>
        <w:spacing w:line="360" w:lineRule="auto"/>
        <w:ind w:firstLine="424" w:firstLineChars="177"/>
        <w:rPr>
          <w:rFonts w:hint="eastAsia" w:ascii="宋体" w:hAnsi="宋体" w:eastAsia="宋体" w:cs="宋体"/>
          <w:color w:val="000000"/>
          <w:sz w:val="24"/>
        </w:rPr>
      </w:pPr>
    </w:p>
    <w:p w14:paraId="1A1B3FF9">
      <w:pPr>
        <w:spacing w:line="360" w:lineRule="auto"/>
        <w:ind w:firstLine="424" w:firstLineChars="177"/>
        <w:rPr>
          <w:rFonts w:hint="eastAsia" w:ascii="宋体" w:hAnsi="宋体" w:eastAsia="宋体" w:cs="宋体"/>
          <w:color w:val="000000"/>
          <w:sz w:val="24"/>
        </w:rPr>
      </w:pPr>
    </w:p>
    <w:p w14:paraId="0E678B36">
      <w:pPr>
        <w:spacing w:line="360" w:lineRule="auto"/>
        <w:ind w:firstLine="424" w:firstLineChars="177"/>
        <w:rPr>
          <w:rFonts w:hint="eastAsia" w:ascii="宋体" w:hAnsi="宋体" w:eastAsia="宋体" w:cs="宋体"/>
          <w:color w:val="000000"/>
          <w:sz w:val="24"/>
        </w:rPr>
      </w:pPr>
    </w:p>
    <w:p w14:paraId="0DD57481">
      <w:pPr>
        <w:spacing w:line="360" w:lineRule="auto"/>
        <w:ind w:firstLine="424" w:firstLineChars="177"/>
        <w:rPr>
          <w:rFonts w:hint="eastAsia" w:ascii="宋体" w:hAnsi="宋体" w:eastAsia="宋体" w:cs="宋体"/>
          <w:color w:val="000000"/>
          <w:sz w:val="24"/>
        </w:rPr>
      </w:pPr>
    </w:p>
    <w:p w14:paraId="5E6F07E1">
      <w:pPr>
        <w:spacing w:line="360" w:lineRule="auto"/>
        <w:ind w:firstLine="424" w:firstLineChars="177"/>
        <w:rPr>
          <w:rFonts w:hint="eastAsia" w:ascii="宋体" w:hAnsi="宋体" w:eastAsia="宋体" w:cs="宋体"/>
          <w:color w:val="000000"/>
          <w:sz w:val="24"/>
        </w:rPr>
      </w:pPr>
    </w:p>
    <w:p w14:paraId="54EA9280">
      <w:pPr>
        <w:spacing w:line="360" w:lineRule="auto"/>
        <w:ind w:firstLine="424" w:firstLineChars="177"/>
        <w:rPr>
          <w:rFonts w:hint="eastAsia" w:ascii="宋体" w:hAnsi="宋体" w:eastAsia="宋体" w:cs="宋体"/>
          <w:color w:val="000000"/>
          <w:sz w:val="24"/>
        </w:rPr>
      </w:pPr>
    </w:p>
    <w:p w14:paraId="5C1F9148">
      <w:pPr>
        <w:spacing w:line="360" w:lineRule="auto"/>
        <w:ind w:firstLine="424" w:firstLineChars="177"/>
        <w:rPr>
          <w:rFonts w:hint="eastAsia" w:ascii="宋体" w:hAnsi="宋体" w:eastAsia="宋体" w:cs="宋体"/>
          <w:color w:val="000000"/>
          <w:sz w:val="24"/>
        </w:rPr>
      </w:pPr>
    </w:p>
    <w:p w14:paraId="3525D408">
      <w:pPr>
        <w:spacing w:line="360" w:lineRule="auto"/>
        <w:ind w:firstLine="424" w:firstLineChars="177"/>
        <w:rPr>
          <w:rFonts w:hint="eastAsia" w:ascii="宋体" w:hAnsi="宋体" w:eastAsia="宋体" w:cs="宋体"/>
          <w:color w:val="000000"/>
          <w:sz w:val="24"/>
        </w:rPr>
      </w:pPr>
    </w:p>
    <w:p w14:paraId="7579E7B4">
      <w:pPr>
        <w:spacing w:line="360" w:lineRule="auto"/>
        <w:ind w:firstLine="424" w:firstLineChars="177"/>
        <w:rPr>
          <w:rFonts w:hint="eastAsia" w:ascii="宋体" w:hAnsi="宋体" w:eastAsia="宋体" w:cs="宋体"/>
          <w:color w:val="000000"/>
          <w:sz w:val="24"/>
        </w:rPr>
      </w:pPr>
    </w:p>
    <w:p w14:paraId="4B650FAE">
      <w:pPr>
        <w:spacing w:line="360" w:lineRule="auto"/>
        <w:ind w:firstLine="424" w:firstLineChars="177"/>
        <w:rPr>
          <w:rFonts w:hint="eastAsia" w:ascii="宋体" w:hAnsi="宋体" w:eastAsia="宋体" w:cs="宋体"/>
          <w:color w:val="000000"/>
          <w:sz w:val="24"/>
        </w:rPr>
      </w:pPr>
    </w:p>
    <w:p w14:paraId="7E5CA29B">
      <w:pPr>
        <w:spacing w:line="360" w:lineRule="auto"/>
        <w:ind w:firstLine="424" w:firstLineChars="177"/>
        <w:rPr>
          <w:rFonts w:hint="eastAsia" w:ascii="宋体" w:hAnsi="宋体" w:eastAsia="宋体" w:cs="宋体"/>
          <w:color w:val="000000"/>
          <w:sz w:val="24"/>
        </w:rPr>
      </w:pPr>
    </w:p>
    <w:p w14:paraId="32B3E822">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71BC718C">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1EC92144">
      <w:pPr>
        <w:spacing w:line="360" w:lineRule="auto"/>
        <w:ind w:firstLine="424" w:firstLineChars="177"/>
        <w:rPr>
          <w:rFonts w:hint="eastAsia" w:ascii="宋体" w:hAnsi="宋体" w:eastAsia="宋体" w:cs="宋体"/>
          <w:color w:val="000000"/>
          <w:sz w:val="24"/>
        </w:rPr>
      </w:pPr>
      <w:r>
        <w:rPr>
          <w:rFonts w:hint="eastAsia" w:ascii="宋体" w:hAnsi="宋体" w:eastAsia="宋体" w:cs="宋体"/>
          <w:bCs/>
          <w:color w:val="000000"/>
          <w:sz w:val="24"/>
          <w:szCs w:val="28"/>
        </w:rPr>
        <w:t xml:space="preserve">                                日期：            年   月   日</w:t>
      </w:r>
    </w:p>
    <w:p w14:paraId="57B1F61C">
      <w:pPr>
        <w:rPr>
          <w:rFonts w:hint="eastAsia" w:ascii="宋体" w:hAnsi="宋体" w:eastAsia="宋体" w:cs="宋体"/>
          <w:color w:val="000000"/>
        </w:rPr>
      </w:pPr>
    </w:p>
    <w:p w14:paraId="28004F58">
      <w:pPr>
        <w:pStyle w:val="128"/>
        <w:ind w:firstLine="803" w:firstLineChars="250"/>
        <w:rPr>
          <w:rFonts w:hint="eastAsia" w:ascii="宋体" w:hAnsi="宋体" w:eastAsia="宋体" w:cs="宋体"/>
          <w:b/>
          <w:color w:val="000000"/>
          <w:sz w:val="32"/>
          <w:lang w:val="zh-CN"/>
        </w:rPr>
      </w:pPr>
    </w:p>
    <w:p w14:paraId="128798EE">
      <w:pPr>
        <w:pStyle w:val="5"/>
        <w:numPr>
          <w:ilvl w:val="0"/>
          <w:numId w:val="0"/>
        </w:numPr>
        <w:ind w:left="709" w:hanging="709"/>
        <w:rPr>
          <w:rFonts w:hint="eastAsia" w:ascii="宋体" w:hAnsi="宋体" w:eastAsia="宋体" w:cs="宋体"/>
          <w:b/>
          <w:bCs/>
          <w:color w:val="000000"/>
          <w:szCs w:val="28"/>
        </w:rPr>
      </w:pPr>
      <w:bookmarkStart w:id="109" w:name="_Toc27385"/>
      <w:bookmarkStart w:id="110" w:name="_Toc21450"/>
      <w:bookmarkStart w:id="111" w:name="_Toc428180589"/>
      <w:bookmarkStart w:id="112" w:name="_Toc444715741"/>
      <w:r>
        <w:rPr>
          <w:rFonts w:hint="eastAsia" w:ascii="宋体" w:hAnsi="宋体" w:eastAsia="宋体" w:cs="宋体"/>
          <w:b/>
          <w:bCs/>
          <w:color w:val="000000"/>
          <w:szCs w:val="28"/>
        </w:rPr>
        <w:t>格式1</w:t>
      </w:r>
      <w:r>
        <w:rPr>
          <w:rFonts w:hint="eastAsia" w:hAnsi="宋体" w:eastAsia="宋体" w:cs="宋体"/>
          <w:b/>
          <w:bCs/>
          <w:color w:val="000000"/>
          <w:szCs w:val="28"/>
          <w:lang w:val="en-US" w:eastAsia="zh-CN"/>
        </w:rPr>
        <w:t>0</w:t>
      </w:r>
      <w:r>
        <w:rPr>
          <w:rFonts w:hint="eastAsia" w:ascii="宋体" w:hAnsi="宋体" w:eastAsia="宋体" w:cs="宋体"/>
          <w:b/>
          <w:bCs/>
          <w:color w:val="000000"/>
          <w:szCs w:val="28"/>
        </w:rPr>
        <w:t>、磋商保证金证明</w:t>
      </w:r>
      <w:bookmarkEnd w:id="109"/>
    </w:p>
    <w:p w14:paraId="231B25D4">
      <w:pPr>
        <w:spacing w:line="360" w:lineRule="auto"/>
        <w:rPr>
          <w:rFonts w:hint="eastAsia" w:ascii="宋体" w:hAnsi="宋体" w:eastAsia="宋体" w:cs="宋体"/>
          <w:color w:val="000000"/>
          <w:sz w:val="22"/>
          <w:lang w:val="zh-CN"/>
        </w:rPr>
      </w:pPr>
    </w:p>
    <w:p w14:paraId="506803F9">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磋商保证金证明</w:t>
      </w:r>
    </w:p>
    <w:p w14:paraId="061B361A">
      <w:pPr>
        <w:autoSpaceDE w:val="0"/>
        <w:autoSpaceDN w:val="0"/>
        <w:adjustRightInd w:val="0"/>
        <w:spacing w:line="360" w:lineRule="auto"/>
        <w:rPr>
          <w:rFonts w:hint="eastAsia" w:ascii="宋体" w:hAnsi="宋体" w:eastAsia="宋体" w:cs="宋体"/>
          <w:b/>
          <w:bCs/>
          <w:color w:val="000000"/>
          <w:kern w:val="0"/>
          <w:sz w:val="24"/>
          <w:szCs w:val="28"/>
          <w:lang w:val="zh-CN"/>
        </w:rPr>
      </w:pPr>
    </w:p>
    <w:p w14:paraId="538632F8">
      <w:pPr>
        <w:autoSpaceDE w:val="0"/>
        <w:autoSpaceDN w:val="0"/>
        <w:adjustRightInd w:val="0"/>
        <w:spacing w:line="360" w:lineRule="auto"/>
        <w:rPr>
          <w:rFonts w:hint="eastAsia" w:ascii="宋体" w:hAnsi="宋体" w:eastAsia="宋体" w:cs="宋体"/>
          <w:b/>
          <w:bCs/>
          <w:color w:val="000000"/>
          <w:kern w:val="0"/>
          <w:sz w:val="22"/>
          <w:lang w:val="zh-CN"/>
        </w:rPr>
      </w:pPr>
      <w:r>
        <w:rPr>
          <w:rFonts w:hint="eastAsia" w:ascii="宋体" w:hAnsi="宋体" w:eastAsia="宋体" w:cs="宋体"/>
          <w:b/>
          <w:bCs/>
          <w:color w:val="000000"/>
          <w:kern w:val="0"/>
          <w:sz w:val="24"/>
          <w:szCs w:val="28"/>
          <w:lang w:val="zh-CN"/>
        </w:rPr>
        <w:t>致：</w:t>
      </w:r>
      <w:r>
        <w:rPr>
          <w:rFonts w:hint="eastAsia" w:ascii="宋体" w:hAnsi="宋体" w:cs="宋体"/>
          <w:b/>
          <w:bCs/>
          <w:color w:val="000000"/>
          <w:kern w:val="0"/>
          <w:sz w:val="24"/>
          <w:szCs w:val="28"/>
          <w:lang w:val="zh-CN"/>
        </w:rPr>
        <w:t>青海海际项目咨询管理有限公司</w:t>
      </w:r>
    </w:p>
    <w:p w14:paraId="4CAD8B77">
      <w:pPr>
        <w:autoSpaceDE w:val="0"/>
        <w:autoSpaceDN w:val="0"/>
        <w:adjustRightInd w:val="0"/>
        <w:spacing w:line="360" w:lineRule="auto"/>
        <w:rPr>
          <w:rFonts w:hint="eastAsia" w:ascii="宋体" w:hAnsi="宋体" w:eastAsia="宋体" w:cs="宋体"/>
          <w:b/>
          <w:bCs/>
          <w:color w:val="000000"/>
          <w:kern w:val="0"/>
          <w:sz w:val="24"/>
          <w:lang w:val="zh-CN"/>
        </w:rPr>
      </w:pPr>
    </w:p>
    <w:p w14:paraId="4D4E253E">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我方为（项目名称）项目（采购编号为：</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）递交保证金人民币</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（大写：人民币</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元）已于</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日以基本户转账方式汇入你方账户。</w:t>
      </w:r>
    </w:p>
    <w:p w14:paraId="5D31739A">
      <w:pPr>
        <w:autoSpaceDE w:val="0"/>
        <w:autoSpaceDN w:val="0"/>
        <w:adjustRightInd w:val="0"/>
        <w:spacing w:line="360" w:lineRule="auto"/>
        <w:ind w:firstLine="360"/>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附件：保证金交款证明及开户许可证复印件（加盖磋商供应商公章）</w:t>
      </w:r>
    </w:p>
    <w:p w14:paraId="72E1CA13">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46E9FB26">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户    名：</w:t>
      </w:r>
    </w:p>
    <w:p w14:paraId="68E2D80E">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开户银行：</w:t>
      </w:r>
    </w:p>
    <w:p w14:paraId="48C42624">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开户帐号：</w:t>
      </w:r>
    </w:p>
    <w:p w14:paraId="7BF9E69A">
      <w:pPr>
        <w:autoSpaceDE w:val="0"/>
        <w:autoSpaceDN w:val="0"/>
        <w:adjustRightInd w:val="0"/>
        <w:spacing w:line="360" w:lineRule="auto"/>
        <w:rPr>
          <w:rFonts w:hint="eastAsia" w:ascii="宋体" w:hAnsi="宋体" w:eastAsia="宋体" w:cs="宋体"/>
          <w:color w:val="000000"/>
          <w:kern w:val="0"/>
          <w:sz w:val="24"/>
          <w:lang w:val="zh-CN"/>
        </w:rPr>
      </w:pPr>
    </w:p>
    <w:p w14:paraId="603A7DBD">
      <w:pPr>
        <w:autoSpaceDE w:val="0"/>
        <w:autoSpaceDN w:val="0"/>
        <w:adjustRightInd w:val="0"/>
        <w:spacing w:line="360" w:lineRule="auto"/>
        <w:ind w:firstLine="482" w:firstLineChars="2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注：投标保证金若以支票、汇票、本票或者金融机构或担保机构出具的保函等非现金形式提交，提交证明材料即可。</w:t>
      </w:r>
    </w:p>
    <w:p w14:paraId="63CAB2A8">
      <w:pPr>
        <w:autoSpaceDE w:val="0"/>
        <w:autoSpaceDN w:val="0"/>
        <w:adjustRightInd w:val="0"/>
        <w:spacing w:line="360" w:lineRule="auto"/>
        <w:rPr>
          <w:rFonts w:hint="eastAsia" w:ascii="宋体" w:hAnsi="宋体" w:eastAsia="宋体" w:cs="宋体"/>
          <w:color w:val="000000"/>
          <w:kern w:val="0"/>
          <w:sz w:val="24"/>
          <w:lang w:val="zh-CN"/>
        </w:rPr>
      </w:pPr>
    </w:p>
    <w:p w14:paraId="1FF9A103">
      <w:pPr>
        <w:autoSpaceDE w:val="0"/>
        <w:autoSpaceDN w:val="0"/>
        <w:adjustRightInd w:val="0"/>
        <w:spacing w:line="360" w:lineRule="auto"/>
        <w:rPr>
          <w:rFonts w:hint="eastAsia" w:ascii="宋体" w:hAnsi="宋体" w:eastAsia="宋体" w:cs="宋体"/>
          <w:color w:val="000000"/>
          <w:kern w:val="0"/>
          <w:sz w:val="24"/>
          <w:lang w:val="zh-CN"/>
        </w:rPr>
      </w:pPr>
    </w:p>
    <w:p w14:paraId="059DCF56">
      <w:pPr>
        <w:autoSpaceDE w:val="0"/>
        <w:autoSpaceDN w:val="0"/>
        <w:adjustRightInd w:val="0"/>
        <w:spacing w:line="360" w:lineRule="auto"/>
        <w:rPr>
          <w:rFonts w:hint="eastAsia" w:ascii="宋体" w:hAnsi="宋体" w:eastAsia="宋体" w:cs="宋体"/>
          <w:color w:val="000000"/>
          <w:kern w:val="0"/>
          <w:sz w:val="24"/>
          <w:lang w:val="zh-CN"/>
        </w:rPr>
      </w:pPr>
    </w:p>
    <w:p w14:paraId="469BB4D3">
      <w:pPr>
        <w:autoSpaceDE w:val="0"/>
        <w:autoSpaceDN w:val="0"/>
        <w:adjustRightInd w:val="0"/>
        <w:spacing w:line="360" w:lineRule="auto"/>
        <w:rPr>
          <w:rFonts w:hint="eastAsia" w:ascii="宋体" w:hAnsi="宋体" w:eastAsia="宋体" w:cs="宋体"/>
          <w:color w:val="000000"/>
          <w:kern w:val="0"/>
          <w:sz w:val="24"/>
          <w:lang w:val="zh-CN"/>
        </w:rPr>
      </w:pPr>
    </w:p>
    <w:p w14:paraId="54826635">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38EBFD9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2592DF44">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45318916">
      <w:pPr>
        <w:spacing w:line="360" w:lineRule="auto"/>
        <w:rPr>
          <w:rFonts w:hint="eastAsia" w:ascii="宋体" w:hAnsi="宋体" w:eastAsia="宋体" w:cs="宋体"/>
          <w:color w:val="000000"/>
          <w:lang w:val="zh-CN"/>
        </w:rPr>
      </w:pPr>
    </w:p>
    <w:bookmarkEnd w:id="110"/>
    <w:bookmarkEnd w:id="111"/>
    <w:bookmarkEnd w:id="112"/>
    <w:p w14:paraId="490F09B1">
      <w:pPr>
        <w:rPr>
          <w:rFonts w:hint="eastAsia" w:ascii="宋体" w:hAnsi="宋体" w:eastAsia="宋体" w:cs="宋体"/>
          <w:color w:val="000000"/>
          <w:lang w:val="zh-CN"/>
        </w:rPr>
      </w:pPr>
    </w:p>
    <w:p w14:paraId="1C40EA9A">
      <w:pPr>
        <w:rPr>
          <w:rFonts w:hint="eastAsia" w:ascii="宋体" w:hAnsi="宋体" w:eastAsia="宋体" w:cs="宋体"/>
          <w:color w:val="000000"/>
        </w:rPr>
      </w:pPr>
      <w:r>
        <w:rPr>
          <w:rFonts w:hint="eastAsia" w:ascii="宋体" w:hAnsi="宋体" w:eastAsia="宋体" w:cs="宋体"/>
          <w:color w:val="000000"/>
        </w:rPr>
        <w:t xml:space="preserve"> </w:t>
      </w:r>
    </w:p>
    <w:p w14:paraId="28BAB275">
      <w:pPr>
        <w:rPr>
          <w:rFonts w:hint="eastAsia" w:ascii="宋体" w:hAnsi="宋体" w:eastAsia="宋体" w:cs="宋体"/>
          <w:color w:val="000000"/>
        </w:rPr>
      </w:pPr>
      <w:r>
        <w:rPr>
          <w:rFonts w:hint="eastAsia" w:ascii="宋体" w:hAnsi="宋体" w:eastAsia="宋体" w:cs="宋体"/>
          <w:color w:val="000000"/>
        </w:rPr>
        <w:br w:type="page"/>
      </w:r>
    </w:p>
    <w:p w14:paraId="75B8ECDC">
      <w:pPr>
        <w:pStyle w:val="5"/>
        <w:numPr>
          <w:ilvl w:val="0"/>
          <w:numId w:val="0"/>
        </w:numPr>
        <w:ind w:left="709" w:hanging="709"/>
        <w:rPr>
          <w:rFonts w:hint="eastAsia" w:ascii="宋体" w:hAnsi="宋体" w:eastAsia="宋体" w:cs="宋体"/>
          <w:color w:val="000000"/>
          <w:lang w:val="zh-CN"/>
        </w:rPr>
      </w:pPr>
      <w:bookmarkStart w:id="113" w:name="_Toc23906"/>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1</w:t>
      </w:r>
      <w:r>
        <w:rPr>
          <w:rFonts w:hint="eastAsia" w:ascii="宋体" w:hAnsi="宋体" w:eastAsia="宋体" w:cs="宋体"/>
          <w:b/>
          <w:color w:val="000000"/>
          <w:sz w:val="32"/>
          <w:lang w:val="zh-CN"/>
        </w:rPr>
        <w:t>、</w:t>
      </w:r>
      <w:bookmarkStart w:id="114" w:name="_Toc487036155"/>
      <w:r>
        <w:rPr>
          <w:rFonts w:hint="eastAsia" w:ascii="宋体" w:hAnsi="宋体" w:eastAsia="宋体" w:cs="宋体"/>
          <w:b/>
          <w:color w:val="000000"/>
          <w:sz w:val="32"/>
          <w:szCs w:val="32"/>
        </w:rPr>
        <w:t>竞争性磋商首次报价表</w:t>
      </w:r>
      <w:bookmarkEnd w:id="113"/>
      <w:bookmarkEnd w:id="114"/>
    </w:p>
    <w:p w14:paraId="05C746FD">
      <w:pPr>
        <w:autoSpaceDE w:val="0"/>
        <w:autoSpaceDN w:val="0"/>
        <w:adjustRightInd w:val="0"/>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竞争性磋商首次报价表</w:t>
      </w:r>
    </w:p>
    <w:p w14:paraId="25B343F6">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采购项目名称:                      采购项目编号：</w:t>
      </w:r>
    </w:p>
    <w:p w14:paraId="7E6C6911">
      <w:pPr>
        <w:autoSpaceDE w:val="0"/>
        <w:autoSpaceDN w:val="0"/>
        <w:spacing w:line="360" w:lineRule="auto"/>
        <w:jc w:val="right"/>
        <w:rPr>
          <w:rFonts w:hint="eastAsia" w:ascii="宋体" w:hAnsi="宋体" w:eastAsia="宋体" w:cs="宋体"/>
          <w:bCs/>
          <w:color w:val="000000"/>
          <w:kern w:val="0"/>
          <w:sz w:val="24"/>
          <w:lang w:val="zh-CN"/>
        </w:rPr>
      </w:pPr>
    </w:p>
    <w:tbl>
      <w:tblPr>
        <w:tblStyle w:val="33"/>
        <w:tblpPr w:leftFromText="180" w:rightFromText="180" w:vertAnchor="text" w:horzAnchor="page" w:tblpX="1613" w:tblpY="445"/>
        <w:tblOverlap w:val="never"/>
        <w:tblW w:w="5000" w:type="pct"/>
        <w:tblInd w:w="0" w:type="dxa"/>
        <w:shd w:val="clear" w:color="auto" w:fill="auto"/>
        <w:tblLayout w:type="autofit"/>
        <w:tblCellMar>
          <w:top w:w="0" w:type="dxa"/>
          <w:left w:w="108" w:type="dxa"/>
          <w:bottom w:w="0" w:type="dxa"/>
          <w:right w:w="108" w:type="dxa"/>
        </w:tblCellMar>
      </w:tblPr>
      <w:tblGrid>
        <w:gridCol w:w="2558"/>
        <w:gridCol w:w="2595"/>
        <w:gridCol w:w="1753"/>
        <w:gridCol w:w="1928"/>
      </w:tblGrid>
      <w:tr w14:paraId="0C742F90">
        <w:tblPrEx>
          <w:tblCellMar>
            <w:top w:w="0" w:type="dxa"/>
            <w:left w:w="108" w:type="dxa"/>
            <w:bottom w:w="0" w:type="dxa"/>
            <w:right w:w="108" w:type="dxa"/>
          </w:tblCellMar>
        </w:tblPrEx>
        <w:trPr>
          <w:trHeight w:val="699" w:hRule="atLeast"/>
        </w:trPr>
        <w:tc>
          <w:tcPr>
            <w:tcW w:w="1447"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B46D6A">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bCs/>
                <w:color w:val="000000"/>
                <w:sz w:val="24"/>
                <w:lang w:val="zh-CN"/>
              </w:rPr>
              <w:t>项目名称</w:t>
            </w:r>
          </w:p>
        </w:tc>
        <w:tc>
          <w:tcPr>
            <w:tcW w:w="1468"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E37E87E">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磋商首次报价</w:t>
            </w:r>
          </w:p>
        </w:tc>
        <w:tc>
          <w:tcPr>
            <w:tcW w:w="992" w:type="pct"/>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56D1D9FE">
            <w:pPr>
              <w:autoSpaceDE w:val="0"/>
              <w:autoSpaceDN w:val="0"/>
              <w:spacing w:line="360" w:lineRule="auto"/>
              <w:jc w:val="center"/>
              <w:rPr>
                <w:rFonts w:hint="eastAsia" w:ascii="宋体" w:hAnsi="宋体" w:eastAsia="宋体" w:cs="宋体"/>
                <w:bCs/>
                <w:color w:val="000000"/>
                <w:sz w:val="24"/>
                <w:lang w:val="zh-CN"/>
              </w:rPr>
            </w:pPr>
            <w:r>
              <w:rPr>
                <w:rFonts w:hint="eastAsia" w:ascii="宋体" w:hAnsi="宋体" w:eastAsia="宋体" w:cs="宋体"/>
                <w:bCs/>
                <w:color w:val="000000"/>
                <w:sz w:val="24"/>
                <w:lang w:val="zh-CN"/>
              </w:rPr>
              <w:t>服务期</w:t>
            </w:r>
          </w:p>
        </w:tc>
        <w:tc>
          <w:tcPr>
            <w:tcW w:w="1091"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87AE4D">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备注</w:t>
            </w:r>
          </w:p>
        </w:tc>
      </w:tr>
      <w:tr w14:paraId="0D6729D7">
        <w:tblPrEx>
          <w:tblCellMar>
            <w:top w:w="0" w:type="dxa"/>
            <w:left w:w="108" w:type="dxa"/>
            <w:bottom w:w="0" w:type="dxa"/>
            <w:right w:w="108" w:type="dxa"/>
          </w:tblCellMar>
        </w:tblPrEx>
        <w:trPr>
          <w:trHeight w:val="555" w:hRule="atLeast"/>
        </w:trPr>
        <w:tc>
          <w:tcPr>
            <w:tcW w:w="1447" w:type="pct"/>
            <w:vMerge w:val="restart"/>
            <w:tcBorders>
              <w:top w:val="single" w:color="000000" w:sz="6" w:space="0"/>
              <w:left w:val="single" w:color="000000" w:sz="6" w:space="0"/>
              <w:right w:val="single" w:color="000000" w:sz="6" w:space="0"/>
            </w:tcBorders>
            <w:shd w:val="clear" w:color="auto" w:fill="auto"/>
            <w:noWrap w:val="0"/>
            <w:vAlign w:val="center"/>
          </w:tcPr>
          <w:p w14:paraId="4414AAAE">
            <w:pPr>
              <w:autoSpaceDE w:val="0"/>
              <w:autoSpaceDN w:val="0"/>
              <w:spacing w:line="360" w:lineRule="auto"/>
              <w:jc w:val="center"/>
              <w:rPr>
                <w:rFonts w:hint="eastAsia" w:ascii="宋体" w:hAnsi="宋体" w:eastAsia="宋体" w:cs="宋体"/>
                <w:color w:val="000000"/>
                <w:lang w:val="zh-CN"/>
              </w:rPr>
            </w:pPr>
          </w:p>
        </w:tc>
        <w:tc>
          <w:tcPr>
            <w:tcW w:w="1468"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8075C8">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大写：</w:t>
            </w:r>
          </w:p>
        </w:tc>
        <w:tc>
          <w:tcPr>
            <w:tcW w:w="992" w:type="pct"/>
            <w:vMerge w:val="restart"/>
            <w:tcBorders>
              <w:top w:val="single" w:color="000000" w:sz="6" w:space="0"/>
              <w:left w:val="single" w:color="auto" w:sz="4" w:space="0"/>
              <w:right w:val="single" w:color="000000" w:sz="6" w:space="0"/>
            </w:tcBorders>
            <w:shd w:val="clear" w:color="auto" w:fill="auto"/>
            <w:noWrap w:val="0"/>
            <w:vAlign w:val="center"/>
          </w:tcPr>
          <w:p w14:paraId="7FC7AD21">
            <w:pPr>
              <w:autoSpaceDE w:val="0"/>
              <w:autoSpaceDN w:val="0"/>
              <w:spacing w:line="360" w:lineRule="auto"/>
              <w:ind w:firstLine="197"/>
              <w:jc w:val="center"/>
              <w:rPr>
                <w:rFonts w:hint="eastAsia" w:ascii="宋体" w:hAnsi="宋体" w:eastAsia="宋体" w:cs="宋体"/>
                <w:color w:val="000000"/>
                <w:lang w:val="zh-CN"/>
              </w:rPr>
            </w:pPr>
          </w:p>
        </w:tc>
        <w:tc>
          <w:tcPr>
            <w:tcW w:w="1091" w:type="pct"/>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296DB6">
            <w:pPr>
              <w:autoSpaceDE w:val="0"/>
              <w:autoSpaceDN w:val="0"/>
              <w:spacing w:line="360" w:lineRule="auto"/>
              <w:jc w:val="center"/>
              <w:rPr>
                <w:rFonts w:hint="eastAsia" w:ascii="宋体" w:hAnsi="宋体" w:eastAsia="宋体" w:cs="宋体"/>
                <w:color w:val="000000"/>
                <w:lang w:val="zh-CN"/>
              </w:rPr>
            </w:pPr>
          </w:p>
        </w:tc>
      </w:tr>
      <w:tr w14:paraId="38A95E21">
        <w:tblPrEx>
          <w:shd w:val="clear" w:color="auto" w:fill="auto"/>
          <w:tblCellMar>
            <w:top w:w="0" w:type="dxa"/>
            <w:left w:w="108" w:type="dxa"/>
            <w:bottom w:w="0" w:type="dxa"/>
            <w:right w:w="108" w:type="dxa"/>
          </w:tblCellMar>
        </w:tblPrEx>
        <w:trPr>
          <w:trHeight w:val="577" w:hRule="atLeast"/>
        </w:trPr>
        <w:tc>
          <w:tcPr>
            <w:tcW w:w="1447" w:type="pct"/>
            <w:vMerge w:val="continue"/>
            <w:tcBorders>
              <w:left w:val="single" w:color="000000" w:sz="6" w:space="0"/>
              <w:bottom w:val="single" w:color="000000" w:sz="6" w:space="0"/>
              <w:right w:val="single" w:color="000000" w:sz="6" w:space="0"/>
            </w:tcBorders>
            <w:shd w:val="clear" w:color="auto" w:fill="auto"/>
            <w:noWrap w:val="0"/>
            <w:vAlign w:val="center"/>
          </w:tcPr>
          <w:p w14:paraId="705A6B8B">
            <w:pPr>
              <w:autoSpaceDE w:val="0"/>
              <w:autoSpaceDN w:val="0"/>
              <w:spacing w:line="360" w:lineRule="auto"/>
              <w:jc w:val="center"/>
              <w:rPr>
                <w:rFonts w:hint="eastAsia" w:ascii="宋体" w:hAnsi="宋体" w:eastAsia="宋体" w:cs="宋体"/>
                <w:color w:val="000000"/>
                <w:lang w:val="zh-CN"/>
              </w:rPr>
            </w:pPr>
          </w:p>
        </w:tc>
        <w:tc>
          <w:tcPr>
            <w:tcW w:w="1468"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20EF10">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小写：</w:t>
            </w:r>
          </w:p>
        </w:tc>
        <w:tc>
          <w:tcPr>
            <w:tcW w:w="992" w:type="pct"/>
            <w:vMerge w:val="continue"/>
            <w:tcBorders>
              <w:left w:val="single" w:color="auto" w:sz="4" w:space="0"/>
              <w:bottom w:val="single" w:color="000000" w:sz="6" w:space="0"/>
              <w:right w:val="single" w:color="000000" w:sz="6" w:space="0"/>
            </w:tcBorders>
            <w:shd w:val="clear" w:color="auto" w:fill="auto"/>
            <w:noWrap w:val="0"/>
            <w:vAlign w:val="center"/>
          </w:tcPr>
          <w:p w14:paraId="646CE009">
            <w:pPr>
              <w:autoSpaceDE w:val="0"/>
              <w:autoSpaceDN w:val="0"/>
              <w:spacing w:line="360" w:lineRule="auto"/>
              <w:jc w:val="center"/>
              <w:rPr>
                <w:rFonts w:hint="eastAsia" w:ascii="宋体" w:hAnsi="宋体" w:eastAsia="宋体" w:cs="宋体"/>
                <w:color w:val="000000"/>
                <w:lang w:val="zh-CN"/>
              </w:rPr>
            </w:pPr>
          </w:p>
        </w:tc>
        <w:tc>
          <w:tcPr>
            <w:tcW w:w="1091" w:type="pct"/>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313F97">
            <w:pPr>
              <w:autoSpaceDE w:val="0"/>
              <w:autoSpaceDN w:val="0"/>
              <w:spacing w:line="360" w:lineRule="auto"/>
              <w:jc w:val="center"/>
              <w:rPr>
                <w:rFonts w:hint="eastAsia" w:ascii="宋体" w:hAnsi="宋体" w:eastAsia="宋体" w:cs="宋体"/>
                <w:color w:val="000000"/>
                <w:lang w:val="zh-CN"/>
              </w:rPr>
            </w:pPr>
          </w:p>
        </w:tc>
      </w:tr>
    </w:tbl>
    <w:p w14:paraId="0B96805A">
      <w:pPr>
        <w:autoSpaceDE w:val="0"/>
        <w:autoSpaceDN w:val="0"/>
        <w:spacing w:line="360" w:lineRule="auto"/>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 xml:space="preserve">磋商供应商名称：                                        </w:t>
      </w:r>
      <w:r>
        <w:rPr>
          <w:rFonts w:hint="eastAsia" w:ascii="宋体" w:hAnsi="宋体" w:eastAsia="宋体" w:cs="宋体"/>
          <w:bCs/>
          <w:color w:val="000000"/>
          <w:kern w:val="0"/>
          <w:sz w:val="24"/>
          <w:lang w:val="zh-CN"/>
        </w:rPr>
        <w:t>单位：人民币（元）</w:t>
      </w:r>
    </w:p>
    <w:p w14:paraId="19DCF7E0">
      <w:pPr>
        <w:autoSpaceDE w:val="0"/>
        <w:autoSpaceDN w:val="0"/>
        <w:spacing w:line="360" w:lineRule="auto"/>
        <w:rPr>
          <w:rFonts w:hint="eastAsia" w:ascii="宋体" w:hAnsi="宋体" w:eastAsia="宋体" w:cs="宋体"/>
          <w:b/>
          <w:color w:val="000000"/>
          <w:szCs w:val="21"/>
          <w:lang w:val="zh-CN"/>
        </w:rPr>
      </w:pPr>
      <w:r>
        <w:rPr>
          <w:rFonts w:hint="eastAsia" w:ascii="宋体" w:hAnsi="宋体" w:eastAsia="宋体" w:cs="宋体"/>
          <w:b/>
          <w:bCs/>
          <w:color w:val="000000"/>
          <w:szCs w:val="21"/>
          <w:lang w:val="zh-CN"/>
        </w:rPr>
        <w:t>注：</w:t>
      </w:r>
      <w:r>
        <w:rPr>
          <w:rFonts w:hint="eastAsia" w:ascii="宋体" w:hAnsi="宋体" w:eastAsia="宋体" w:cs="宋体"/>
          <w:b/>
          <w:color w:val="000000"/>
          <w:szCs w:val="21"/>
          <w:lang w:val="zh-CN"/>
        </w:rPr>
        <w:t>1、填写此表时不得改变表格形式（可按所投包增加行）。</w:t>
      </w:r>
    </w:p>
    <w:p w14:paraId="56008121">
      <w:pPr>
        <w:spacing w:line="360" w:lineRule="auto"/>
        <w:ind w:firstLine="407" w:firstLineChars="193"/>
        <w:rPr>
          <w:rFonts w:hint="eastAsia" w:ascii="宋体" w:hAnsi="宋体" w:eastAsia="宋体" w:cs="宋体"/>
          <w:b/>
          <w:color w:val="000000"/>
          <w:szCs w:val="21"/>
          <w:lang w:val="zh-CN"/>
        </w:rPr>
      </w:pPr>
      <w:r>
        <w:rPr>
          <w:rFonts w:hint="eastAsia" w:ascii="宋体" w:hAnsi="宋体" w:eastAsia="宋体" w:cs="宋体"/>
          <w:b/>
          <w:color w:val="000000"/>
          <w:szCs w:val="21"/>
          <w:lang w:val="zh-CN"/>
        </w:rPr>
        <w:t>2、“磋商报价”为磋商总价。磋商报价必须包括：完成本服务内容可能发生的各项费用，如人员工资、差旅费、设备仪器、交通、培训费，维护费、保险、利润、税金、招标代理费以及所有有关的管理成本和其他不可预见费等全部费用。</w:t>
      </w:r>
    </w:p>
    <w:p w14:paraId="6A0E9D2E">
      <w:pPr>
        <w:spacing w:line="360" w:lineRule="auto"/>
        <w:ind w:firstLine="407" w:firstLineChars="193"/>
        <w:rPr>
          <w:rFonts w:hint="eastAsia" w:ascii="宋体" w:hAnsi="宋体" w:eastAsia="宋体" w:cs="宋体"/>
          <w:b/>
          <w:bCs/>
          <w:color w:val="000000"/>
          <w:kern w:val="0"/>
          <w:szCs w:val="21"/>
          <w:lang w:val="zh-CN"/>
        </w:rPr>
      </w:pPr>
      <w:r>
        <w:rPr>
          <w:rFonts w:hint="eastAsia" w:ascii="宋体" w:hAnsi="宋体" w:eastAsia="宋体" w:cs="宋体"/>
          <w:b/>
          <w:color w:val="000000"/>
          <w:szCs w:val="21"/>
          <w:lang w:val="zh-CN"/>
        </w:rPr>
        <w:t>3、“服务期”是指服务的具体时间。</w:t>
      </w:r>
    </w:p>
    <w:p w14:paraId="20FC2A57">
      <w:pPr>
        <w:spacing w:line="360" w:lineRule="auto"/>
        <w:ind w:firstLine="407" w:firstLineChars="193"/>
        <w:rPr>
          <w:rFonts w:hint="eastAsia" w:ascii="宋体" w:hAnsi="宋体" w:eastAsia="宋体" w:cs="宋体"/>
          <w:b/>
          <w:color w:val="000000"/>
          <w:szCs w:val="21"/>
          <w:lang w:val="zh-CN"/>
        </w:rPr>
      </w:pPr>
      <w:r>
        <w:rPr>
          <w:rFonts w:hint="eastAsia" w:ascii="宋体" w:hAnsi="宋体" w:eastAsia="宋体" w:cs="宋体"/>
          <w:b/>
          <w:color w:val="000000"/>
          <w:szCs w:val="21"/>
          <w:lang w:val="zh-CN"/>
        </w:rPr>
        <w:t>4、除在标书中编制此表以外，磋商供应商应单独密封一份“竞争性磋商首次报价表”，并标明“竞争性磋商首次报价表”字样。“竞争性磋商首次报价表”和磋商响应文件正本中的“竞争性磋商首次报价表”应完全一致。</w:t>
      </w:r>
    </w:p>
    <w:p w14:paraId="0ACF1D3C">
      <w:pPr>
        <w:spacing w:line="360" w:lineRule="auto"/>
        <w:ind w:firstLine="407" w:firstLineChars="193"/>
        <w:rPr>
          <w:rFonts w:hint="eastAsia" w:ascii="宋体" w:hAnsi="宋体" w:eastAsia="宋体" w:cs="宋体"/>
          <w:b/>
          <w:bCs/>
          <w:color w:val="000000"/>
          <w:kern w:val="0"/>
          <w:szCs w:val="21"/>
          <w:lang w:val="zh-CN"/>
        </w:rPr>
      </w:pPr>
      <w:r>
        <w:rPr>
          <w:rFonts w:hint="eastAsia" w:ascii="宋体" w:hAnsi="宋体" w:eastAsia="宋体" w:cs="宋体"/>
          <w:b/>
          <w:color w:val="000000"/>
          <w:szCs w:val="21"/>
          <w:lang w:val="zh-CN"/>
        </w:rPr>
        <w:t>5、磋商报价不能有两个或两个以上的报价方案。</w:t>
      </w:r>
    </w:p>
    <w:p w14:paraId="5F441CE1">
      <w:pPr>
        <w:spacing w:line="360" w:lineRule="auto"/>
        <w:ind w:firstLine="388" w:firstLineChars="193"/>
        <w:rPr>
          <w:rFonts w:hint="eastAsia" w:ascii="宋体" w:hAnsi="宋体" w:eastAsia="宋体" w:cs="宋体"/>
          <w:b/>
          <w:bCs/>
          <w:color w:val="000000"/>
          <w:kern w:val="0"/>
          <w:sz w:val="20"/>
          <w:lang w:val="zh-CN"/>
        </w:rPr>
      </w:pPr>
    </w:p>
    <w:p w14:paraId="3511BE1B">
      <w:pPr>
        <w:spacing w:line="360" w:lineRule="auto"/>
        <w:ind w:firstLine="388" w:firstLineChars="193"/>
        <w:rPr>
          <w:rFonts w:hint="eastAsia" w:ascii="宋体" w:hAnsi="宋体" w:eastAsia="宋体" w:cs="宋体"/>
          <w:b/>
          <w:bCs/>
          <w:color w:val="000000"/>
          <w:kern w:val="0"/>
          <w:sz w:val="20"/>
          <w:lang w:val="zh-CN"/>
        </w:rPr>
      </w:pPr>
    </w:p>
    <w:p w14:paraId="483FBD0C">
      <w:pPr>
        <w:spacing w:line="360" w:lineRule="auto"/>
        <w:ind w:firstLine="388" w:firstLineChars="193"/>
        <w:rPr>
          <w:rFonts w:hint="eastAsia" w:ascii="宋体" w:hAnsi="宋体" w:eastAsia="宋体" w:cs="宋体"/>
          <w:b/>
          <w:bCs/>
          <w:color w:val="000000"/>
          <w:kern w:val="0"/>
          <w:sz w:val="20"/>
          <w:lang w:val="zh-CN"/>
        </w:rPr>
      </w:pPr>
    </w:p>
    <w:p w14:paraId="4E2C27C7">
      <w:pPr>
        <w:spacing w:line="360" w:lineRule="auto"/>
        <w:ind w:firstLine="388" w:firstLineChars="193"/>
        <w:rPr>
          <w:rFonts w:hint="eastAsia" w:ascii="宋体" w:hAnsi="宋体" w:eastAsia="宋体" w:cs="宋体"/>
          <w:b/>
          <w:bCs/>
          <w:color w:val="000000"/>
          <w:kern w:val="0"/>
          <w:sz w:val="20"/>
          <w:szCs w:val="22"/>
          <w:lang w:val="zh-CN"/>
        </w:rPr>
      </w:pPr>
    </w:p>
    <w:p w14:paraId="5BFF2FE0">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62AC4E44">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096540BA">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538C01C3">
      <w:pPr>
        <w:pStyle w:val="18"/>
        <w:rPr>
          <w:rFonts w:hint="eastAsia" w:ascii="宋体" w:hAnsi="宋体" w:eastAsia="宋体" w:cs="宋体"/>
          <w:color w:val="000000"/>
        </w:rPr>
      </w:pPr>
      <w:bookmarkStart w:id="115" w:name="_Toc20510"/>
      <w:bookmarkStart w:id="116" w:name="_Toc444715742"/>
      <w:bookmarkStart w:id="117" w:name="_Toc25742"/>
    </w:p>
    <w:p w14:paraId="11E32DFF">
      <w:pPr>
        <w:pStyle w:val="5"/>
        <w:numPr>
          <w:ilvl w:val="0"/>
          <w:numId w:val="0"/>
        </w:numPr>
        <w:rPr>
          <w:rFonts w:hint="eastAsia" w:ascii="宋体" w:hAnsi="宋体" w:eastAsia="宋体" w:cs="宋体"/>
          <w:bCs/>
          <w:color w:val="000000"/>
          <w:sz w:val="24"/>
          <w:szCs w:val="28"/>
        </w:rPr>
      </w:pPr>
      <w:r>
        <w:rPr>
          <w:rFonts w:hint="eastAsia" w:ascii="宋体" w:hAnsi="宋体" w:eastAsia="宋体" w:cs="宋体"/>
          <w:bCs/>
          <w:color w:val="000000"/>
          <w:sz w:val="24"/>
          <w:szCs w:val="28"/>
        </w:rPr>
        <w:br w:type="page"/>
      </w:r>
      <w:bookmarkStart w:id="118" w:name="_Toc4732"/>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2</w:t>
      </w:r>
      <w:r>
        <w:rPr>
          <w:rFonts w:hint="eastAsia" w:ascii="宋体" w:hAnsi="宋体" w:eastAsia="宋体" w:cs="宋体"/>
          <w:b/>
          <w:color w:val="000000"/>
          <w:sz w:val="32"/>
          <w:lang w:val="zh-CN"/>
        </w:rPr>
        <w:t>、磋商服务相关资料</w:t>
      </w:r>
      <w:bookmarkEnd w:id="118"/>
    </w:p>
    <w:p w14:paraId="78C90640">
      <w:pPr>
        <w:spacing w:line="360" w:lineRule="auto"/>
        <w:rPr>
          <w:rFonts w:hint="eastAsia" w:ascii="宋体" w:hAnsi="宋体" w:eastAsia="宋体" w:cs="宋体"/>
          <w:b/>
          <w:bCs/>
          <w:color w:val="000000"/>
          <w:kern w:val="28"/>
          <w:sz w:val="32"/>
          <w:szCs w:val="32"/>
          <w:lang w:val="zh-CN"/>
        </w:rPr>
      </w:pPr>
    </w:p>
    <w:p w14:paraId="4D708F39">
      <w:pPr>
        <w:autoSpaceDE w:val="0"/>
        <w:autoSpaceDN w:val="0"/>
        <w:adjustRightInd w:val="0"/>
        <w:spacing w:line="360" w:lineRule="auto"/>
        <w:jc w:val="center"/>
        <w:rPr>
          <w:rFonts w:hint="eastAsia" w:ascii="宋体" w:hAnsi="宋体" w:eastAsia="宋体" w:cs="宋体"/>
          <w:bCs/>
          <w:color w:val="000000"/>
          <w:sz w:val="40"/>
          <w:szCs w:val="36"/>
          <w:lang w:val="zh-CN"/>
        </w:rPr>
      </w:pPr>
      <w:r>
        <w:rPr>
          <w:rFonts w:hint="eastAsia" w:ascii="宋体" w:hAnsi="宋体" w:eastAsia="宋体" w:cs="宋体"/>
          <w:b/>
          <w:bCs/>
          <w:color w:val="000000"/>
          <w:kern w:val="0"/>
          <w:sz w:val="32"/>
          <w:szCs w:val="30"/>
          <w:lang w:val="zh-CN"/>
        </w:rPr>
        <w:t>磋商服务相关资料</w:t>
      </w:r>
    </w:p>
    <w:bookmarkEnd w:id="115"/>
    <w:bookmarkEnd w:id="116"/>
    <w:bookmarkEnd w:id="117"/>
    <w:p w14:paraId="7FB55BCD">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投标人应按不低于采购项目要求，针对该项目的实施，提供具体方案。</w:t>
      </w:r>
    </w:p>
    <w:p w14:paraId="0445EAC4">
      <w:pPr>
        <w:autoSpaceDE w:val="0"/>
        <w:autoSpaceDN w:val="0"/>
        <w:adjustRightInd w:val="0"/>
        <w:spacing w:line="360" w:lineRule="auto"/>
        <w:ind w:firstLine="480" w:firstLineChars="200"/>
        <w:jc w:val="left"/>
        <w:rPr>
          <w:rFonts w:hint="eastAsia" w:ascii="宋体" w:hAnsi="宋体" w:eastAsia="宋体" w:cs="宋体"/>
          <w:color w:val="000000"/>
          <w:kern w:val="0"/>
          <w:sz w:val="24"/>
          <w:lang w:val="zh-CN"/>
        </w:rPr>
      </w:pPr>
    </w:p>
    <w:p w14:paraId="69F42DCA">
      <w:pPr>
        <w:autoSpaceDE w:val="0"/>
        <w:autoSpaceDN w:val="0"/>
        <w:spacing w:line="360" w:lineRule="auto"/>
        <w:jc w:val="both"/>
        <w:rPr>
          <w:rFonts w:hint="eastAsia" w:ascii="Arial" w:hAnsi="Arial" w:cs="Arial"/>
          <w:b/>
          <w:bCs/>
          <w:color w:val="auto"/>
          <w:kern w:val="2"/>
          <w:sz w:val="32"/>
          <w:szCs w:val="32"/>
          <w:highlight w:val="none"/>
          <w:lang w:val="zh-CN"/>
        </w:rPr>
      </w:pPr>
      <w:r>
        <w:rPr>
          <w:rFonts w:hint="eastAsia" w:ascii="宋体" w:hAnsi="宋体" w:eastAsia="宋体" w:cs="宋体"/>
          <w:bCs/>
          <w:color w:val="000000"/>
          <w:sz w:val="24"/>
          <w:szCs w:val="28"/>
        </w:rPr>
        <w:br w:type="page"/>
      </w:r>
      <w:bookmarkStart w:id="119" w:name="_Toc59135363"/>
      <w:bookmarkStart w:id="120" w:name="_Toc30875"/>
      <w:r>
        <w:rPr>
          <w:rFonts w:hint="eastAsia" w:ascii="宋体" w:hAnsi="宋体" w:eastAsia="宋体" w:cs="宋体"/>
          <w:b/>
          <w:color w:val="000000"/>
          <w:kern w:val="2"/>
          <w:sz w:val="32"/>
          <w:szCs w:val="20"/>
          <w:lang w:val="zh-CN" w:eastAsia="zh-CN" w:bidi="ar-SA"/>
        </w:rPr>
        <w:t>格式1</w:t>
      </w:r>
      <w:r>
        <w:rPr>
          <w:rFonts w:hint="eastAsia" w:ascii="宋体" w:hAnsi="宋体" w:eastAsia="宋体" w:cs="宋体"/>
          <w:b/>
          <w:color w:val="000000"/>
          <w:kern w:val="2"/>
          <w:sz w:val="32"/>
          <w:szCs w:val="20"/>
          <w:lang w:val="en-US" w:eastAsia="zh-CN" w:bidi="ar-SA"/>
        </w:rPr>
        <w:t>3</w:t>
      </w:r>
      <w:r>
        <w:rPr>
          <w:rFonts w:hint="eastAsia" w:ascii="宋体" w:hAnsi="宋体" w:eastAsia="宋体" w:cs="宋体"/>
          <w:b/>
          <w:color w:val="000000"/>
          <w:kern w:val="2"/>
          <w:sz w:val="32"/>
          <w:szCs w:val="20"/>
          <w:lang w:val="zh-CN" w:eastAsia="zh-CN" w:bidi="ar-SA"/>
        </w:rPr>
        <w:t>、</w:t>
      </w:r>
      <w:bookmarkEnd w:id="119"/>
      <w:bookmarkEnd w:id="120"/>
      <w:r>
        <w:rPr>
          <w:rFonts w:hint="eastAsia" w:ascii="宋体" w:hAnsi="宋体" w:eastAsia="宋体" w:cs="宋体"/>
          <w:b/>
          <w:color w:val="000000"/>
          <w:kern w:val="2"/>
          <w:sz w:val="32"/>
          <w:szCs w:val="20"/>
          <w:lang w:val="zh-CN" w:eastAsia="zh-CN" w:bidi="ar-SA"/>
        </w:rPr>
        <w:t>服务应答表</w:t>
      </w:r>
    </w:p>
    <w:p w14:paraId="115F562B">
      <w:pPr>
        <w:autoSpaceDE w:val="0"/>
        <w:autoSpaceDN w:val="0"/>
        <w:spacing w:line="360" w:lineRule="auto"/>
        <w:jc w:val="both"/>
        <w:rPr>
          <w:rFonts w:hint="eastAsia" w:ascii="Arial" w:hAnsi="Arial" w:cs="Arial"/>
          <w:b/>
          <w:bCs/>
          <w:color w:val="auto"/>
          <w:kern w:val="2"/>
          <w:sz w:val="32"/>
          <w:szCs w:val="32"/>
          <w:highlight w:val="none"/>
          <w:lang w:val="zh-CN"/>
        </w:rPr>
      </w:pPr>
    </w:p>
    <w:p w14:paraId="1263851B">
      <w:pPr>
        <w:autoSpaceDE w:val="0"/>
        <w:autoSpaceDN w:val="0"/>
        <w:spacing w:line="360" w:lineRule="auto"/>
        <w:jc w:val="center"/>
        <w:rPr>
          <w:rFonts w:hint="eastAsia" w:ascii="宋体" w:hAnsi="宋体" w:cs="宋体"/>
          <w:b/>
          <w:bCs/>
          <w:color w:val="000000"/>
          <w:kern w:val="0"/>
          <w:highlight w:val="none"/>
          <w:lang w:val="en-US" w:eastAsia="zh-CN"/>
        </w:rPr>
      </w:pPr>
      <w:r>
        <w:rPr>
          <w:rFonts w:hint="eastAsia" w:ascii="宋体" w:hAnsi="宋体" w:eastAsia="宋体" w:cs="宋体"/>
          <w:b/>
          <w:bCs/>
          <w:color w:val="000000"/>
          <w:kern w:val="0"/>
          <w:sz w:val="28"/>
          <w:szCs w:val="28"/>
          <w:highlight w:val="none"/>
          <w:lang w:val="en-US" w:eastAsia="zh-CN"/>
        </w:rPr>
        <w:t>服务应答表</w:t>
      </w:r>
    </w:p>
    <w:p w14:paraId="434C4A6A">
      <w:pPr>
        <w:autoSpaceDE w:val="0"/>
        <w:autoSpaceDN w:val="0"/>
        <w:spacing w:line="360" w:lineRule="auto"/>
        <w:rPr>
          <w:rFonts w:hint="eastAsia" w:ascii="宋体" w:hAnsi="宋体" w:eastAsia="宋体" w:cs="宋体"/>
          <w:b/>
          <w:bCs/>
          <w:kern w:val="0"/>
          <w:sz w:val="24"/>
          <w:szCs w:val="22"/>
          <w:lang w:val="en-US" w:eastAsia="zh-CN" w:bidi="ar-SA"/>
        </w:rPr>
      </w:pPr>
      <w:r>
        <w:rPr>
          <w:rFonts w:hint="eastAsia" w:ascii="宋体" w:hAnsi="宋体" w:eastAsia="宋体" w:cs="宋体"/>
          <w:b/>
          <w:bCs/>
          <w:kern w:val="0"/>
          <w:sz w:val="24"/>
          <w:szCs w:val="22"/>
          <w:lang w:val="zh-CN" w:eastAsia="zh-CN" w:bidi="ar-SA"/>
        </w:rPr>
        <w:t>采购项目</w:t>
      </w:r>
      <w:r>
        <w:rPr>
          <w:rFonts w:hint="eastAsia" w:ascii="宋体" w:hAnsi="宋体" w:eastAsia="宋体" w:cs="宋体"/>
          <w:b/>
          <w:bCs/>
          <w:kern w:val="0"/>
          <w:sz w:val="24"/>
          <w:szCs w:val="22"/>
          <w:lang w:val="en-US" w:eastAsia="zh-CN" w:bidi="ar-SA"/>
        </w:rPr>
        <w:t>名称：</w:t>
      </w:r>
    </w:p>
    <w:p w14:paraId="68818724">
      <w:pPr>
        <w:pStyle w:val="32"/>
        <w:ind w:left="0" w:leftChars="0" w:firstLine="0" w:firstLineChars="0"/>
        <w:rPr>
          <w:rFonts w:hint="eastAsia" w:ascii="宋体" w:hAnsi="宋体" w:cs="宋体"/>
          <w:b/>
          <w:bCs/>
          <w:color w:val="000000"/>
          <w:kern w:val="0"/>
          <w:highlight w:val="none"/>
          <w:lang w:val="en-US" w:eastAsia="zh-CN"/>
        </w:rPr>
      </w:pPr>
      <w:r>
        <w:rPr>
          <w:rFonts w:hint="eastAsia" w:ascii="宋体" w:hAnsi="宋体" w:eastAsia="宋体" w:cs="宋体"/>
          <w:b/>
          <w:bCs/>
          <w:kern w:val="0"/>
          <w:sz w:val="24"/>
          <w:szCs w:val="22"/>
          <w:lang w:val="en-US" w:eastAsia="zh-CN" w:bidi="ar-SA"/>
        </w:rPr>
        <w:t>采购项目编号：</w:t>
      </w:r>
      <w:r>
        <w:rPr>
          <w:rFonts w:hint="eastAsia" w:ascii="宋体" w:hAnsi="宋体"/>
          <w:color w:val="000000"/>
        </w:rPr>
        <w:t xml:space="preserve">  </w:t>
      </w:r>
    </w:p>
    <w:tbl>
      <w:tblPr>
        <w:tblStyle w:val="33"/>
        <w:tblW w:w="9656"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250"/>
        <w:gridCol w:w="3047"/>
        <w:gridCol w:w="1659"/>
        <w:gridCol w:w="975"/>
      </w:tblGrid>
      <w:tr w14:paraId="3A8A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5" w:type="dxa"/>
            <w:noWrap w:val="0"/>
            <w:vAlign w:val="center"/>
          </w:tcPr>
          <w:p w14:paraId="2B775FFB">
            <w:pPr>
              <w:tabs>
                <w:tab w:val="left" w:pos="6880"/>
              </w:tabs>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3250" w:type="dxa"/>
            <w:noWrap w:val="0"/>
            <w:vAlign w:val="center"/>
          </w:tcPr>
          <w:p w14:paraId="1D6B4CD0">
            <w:pPr>
              <w:tabs>
                <w:tab w:val="left" w:pos="6880"/>
              </w:tabs>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磋商</w:t>
            </w:r>
            <w:r>
              <w:rPr>
                <w:rFonts w:hint="eastAsia" w:ascii="宋体" w:hAnsi="宋体" w:eastAsia="宋体" w:cs="宋体"/>
                <w:b/>
                <w:color w:val="000000"/>
                <w:kern w:val="0"/>
                <w:sz w:val="24"/>
                <w:szCs w:val="24"/>
              </w:rPr>
              <w:t>文件条目号</w:t>
            </w:r>
          </w:p>
        </w:tc>
        <w:tc>
          <w:tcPr>
            <w:tcW w:w="3047" w:type="dxa"/>
            <w:noWrap w:val="0"/>
            <w:vAlign w:val="center"/>
          </w:tcPr>
          <w:p w14:paraId="3DD8ECC0">
            <w:pPr>
              <w:tabs>
                <w:tab w:val="left" w:pos="6880"/>
              </w:tabs>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磋商</w:t>
            </w:r>
            <w:r>
              <w:rPr>
                <w:rFonts w:hint="eastAsia" w:ascii="宋体" w:hAnsi="宋体" w:eastAsia="宋体" w:cs="宋体"/>
                <w:b/>
                <w:color w:val="000000"/>
                <w:kern w:val="0"/>
                <w:sz w:val="24"/>
                <w:szCs w:val="24"/>
              </w:rPr>
              <w:t>文件要求</w:t>
            </w:r>
          </w:p>
        </w:tc>
        <w:tc>
          <w:tcPr>
            <w:tcW w:w="1659" w:type="dxa"/>
            <w:noWrap w:val="0"/>
            <w:vAlign w:val="center"/>
          </w:tcPr>
          <w:p w14:paraId="7315413F">
            <w:pPr>
              <w:tabs>
                <w:tab w:val="left" w:pos="6880"/>
              </w:tabs>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响应</w:t>
            </w:r>
            <w:r>
              <w:rPr>
                <w:rFonts w:hint="eastAsia" w:ascii="宋体" w:hAnsi="宋体" w:eastAsia="宋体" w:cs="宋体"/>
                <w:b/>
                <w:color w:val="000000"/>
                <w:kern w:val="0"/>
                <w:sz w:val="24"/>
                <w:szCs w:val="24"/>
              </w:rPr>
              <w:t>文件的应答</w:t>
            </w:r>
          </w:p>
        </w:tc>
        <w:tc>
          <w:tcPr>
            <w:tcW w:w="975" w:type="dxa"/>
            <w:noWrap w:val="0"/>
            <w:vAlign w:val="center"/>
          </w:tcPr>
          <w:p w14:paraId="4C4209B7">
            <w:pPr>
              <w:tabs>
                <w:tab w:val="left" w:pos="6880"/>
              </w:tabs>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说明</w:t>
            </w:r>
          </w:p>
        </w:tc>
      </w:tr>
      <w:tr w14:paraId="3090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5" w:type="dxa"/>
            <w:noWrap w:val="0"/>
            <w:vAlign w:val="center"/>
          </w:tcPr>
          <w:p w14:paraId="25C649B6">
            <w:pPr>
              <w:tabs>
                <w:tab w:val="left" w:pos="34"/>
              </w:tabs>
              <w:spacing w:line="360" w:lineRule="auto"/>
              <w:ind w:left="-108"/>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250" w:type="dxa"/>
            <w:noWrap w:val="0"/>
            <w:vAlign w:val="center"/>
          </w:tcPr>
          <w:p w14:paraId="2D99CF4B">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第六部分：采购项目要求</w:t>
            </w:r>
          </w:p>
          <w:p w14:paraId="22D34715">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(一、磋商要求3.商务要求)</w:t>
            </w:r>
          </w:p>
        </w:tc>
        <w:tc>
          <w:tcPr>
            <w:tcW w:w="3047" w:type="dxa"/>
            <w:noWrap w:val="0"/>
            <w:vAlign w:val="center"/>
          </w:tcPr>
          <w:p w14:paraId="048F2E28">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第六部分：采购项目要求</w:t>
            </w:r>
          </w:p>
          <w:p w14:paraId="29C2EA35">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(一、磋商要求3.商务要求)</w:t>
            </w:r>
          </w:p>
        </w:tc>
        <w:tc>
          <w:tcPr>
            <w:tcW w:w="1659" w:type="dxa"/>
            <w:noWrap w:val="0"/>
            <w:vAlign w:val="center"/>
          </w:tcPr>
          <w:p w14:paraId="79AC5A98">
            <w:pPr>
              <w:tabs>
                <w:tab w:val="left" w:pos="6880"/>
              </w:tabs>
              <w:spacing w:line="360" w:lineRule="auto"/>
              <w:ind w:firstLine="480" w:firstLineChars="200"/>
              <w:rPr>
                <w:rFonts w:hint="eastAsia" w:ascii="宋体" w:hAnsi="宋体" w:eastAsia="宋体" w:cs="宋体"/>
                <w:color w:val="000000"/>
                <w:kern w:val="0"/>
                <w:sz w:val="24"/>
                <w:szCs w:val="24"/>
              </w:rPr>
            </w:pPr>
          </w:p>
        </w:tc>
        <w:tc>
          <w:tcPr>
            <w:tcW w:w="975" w:type="dxa"/>
            <w:noWrap w:val="0"/>
            <w:vAlign w:val="center"/>
          </w:tcPr>
          <w:p w14:paraId="71E6550A">
            <w:pPr>
              <w:tabs>
                <w:tab w:val="left" w:pos="6880"/>
              </w:tabs>
              <w:spacing w:line="360" w:lineRule="auto"/>
              <w:ind w:firstLine="480" w:firstLineChars="200"/>
              <w:rPr>
                <w:rFonts w:hint="eastAsia" w:ascii="宋体" w:hAnsi="宋体" w:eastAsia="宋体" w:cs="宋体"/>
                <w:color w:val="000000"/>
                <w:kern w:val="0"/>
                <w:sz w:val="24"/>
                <w:szCs w:val="24"/>
              </w:rPr>
            </w:pPr>
          </w:p>
        </w:tc>
      </w:tr>
      <w:tr w14:paraId="67DD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5" w:type="dxa"/>
            <w:noWrap w:val="0"/>
            <w:vAlign w:val="center"/>
          </w:tcPr>
          <w:p w14:paraId="511E2D51">
            <w:pPr>
              <w:tabs>
                <w:tab w:val="left" w:pos="34"/>
              </w:tabs>
              <w:spacing w:line="360" w:lineRule="auto"/>
              <w:ind w:left="-108"/>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250" w:type="dxa"/>
            <w:noWrap w:val="0"/>
            <w:vAlign w:val="center"/>
          </w:tcPr>
          <w:p w14:paraId="36114FC3">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第六部分：采购项目要求</w:t>
            </w:r>
          </w:p>
          <w:p w14:paraId="2FB92854">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(二、服务要求及内容：（二）服务采购内容)</w:t>
            </w:r>
          </w:p>
        </w:tc>
        <w:tc>
          <w:tcPr>
            <w:tcW w:w="3047" w:type="dxa"/>
            <w:noWrap w:val="0"/>
            <w:vAlign w:val="center"/>
          </w:tcPr>
          <w:p w14:paraId="3CD0CDBD">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第六部分：采购项目要求</w:t>
            </w:r>
          </w:p>
          <w:p w14:paraId="3B74D210">
            <w:pPr>
              <w:tabs>
                <w:tab w:val="left" w:pos="688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(二、服务要求及内容：（二）服务采购内容)</w:t>
            </w:r>
          </w:p>
        </w:tc>
        <w:tc>
          <w:tcPr>
            <w:tcW w:w="1659" w:type="dxa"/>
            <w:noWrap w:val="0"/>
            <w:vAlign w:val="center"/>
          </w:tcPr>
          <w:p w14:paraId="2E766177">
            <w:pPr>
              <w:tabs>
                <w:tab w:val="left" w:pos="6880"/>
              </w:tabs>
              <w:spacing w:line="360" w:lineRule="auto"/>
              <w:ind w:firstLine="480" w:firstLineChars="200"/>
              <w:rPr>
                <w:rFonts w:hint="eastAsia" w:ascii="宋体" w:hAnsi="宋体" w:eastAsia="宋体" w:cs="宋体"/>
                <w:color w:val="000000"/>
                <w:kern w:val="0"/>
                <w:sz w:val="24"/>
                <w:szCs w:val="24"/>
              </w:rPr>
            </w:pPr>
          </w:p>
        </w:tc>
        <w:tc>
          <w:tcPr>
            <w:tcW w:w="975" w:type="dxa"/>
            <w:noWrap w:val="0"/>
            <w:vAlign w:val="center"/>
          </w:tcPr>
          <w:p w14:paraId="43833BC8">
            <w:pPr>
              <w:tabs>
                <w:tab w:val="left" w:pos="6880"/>
              </w:tabs>
              <w:spacing w:line="360" w:lineRule="auto"/>
              <w:ind w:firstLine="480" w:firstLineChars="200"/>
              <w:rPr>
                <w:rFonts w:hint="eastAsia" w:ascii="宋体" w:hAnsi="宋体" w:eastAsia="宋体" w:cs="宋体"/>
                <w:color w:val="000000"/>
                <w:kern w:val="0"/>
                <w:sz w:val="24"/>
                <w:szCs w:val="24"/>
              </w:rPr>
            </w:pPr>
          </w:p>
        </w:tc>
      </w:tr>
      <w:tr w14:paraId="29B4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5" w:type="dxa"/>
            <w:noWrap w:val="0"/>
            <w:vAlign w:val="center"/>
          </w:tcPr>
          <w:p w14:paraId="1A73DF28">
            <w:pPr>
              <w:tabs>
                <w:tab w:val="left" w:pos="34"/>
              </w:tabs>
              <w:spacing w:line="360" w:lineRule="auto"/>
              <w:ind w:left="-108"/>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250" w:type="dxa"/>
            <w:noWrap w:val="0"/>
            <w:vAlign w:val="center"/>
          </w:tcPr>
          <w:p w14:paraId="4C87D387">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第六部分：采购项目要求</w:t>
            </w:r>
          </w:p>
          <w:p w14:paraId="1FE9B787">
            <w:pPr>
              <w:tabs>
                <w:tab w:val="left" w:pos="6880"/>
              </w:tabs>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(二、服务要求及内容：（三）采购需求参数内容)</w:t>
            </w:r>
          </w:p>
        </w:tc>
        <w:tc>
          <w:tcPr>
            <w:tcW w:w="3047" w:type="dxa"/>
            <w:noWrap w:val="0"/>
            <w:vAlign w:val="center"/>
          </w:tcPr>
          <w:p w14:paraId="4B993D5D">
            <w:pPr>
              <w:tabs>
                <w:tab w:val="left" w:pos="6880"/>
              </w:tabs>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第六部分：采购项目要求</w:t>
            </w:r>
          </w:p>
          <w:p w14:paraId="32280B3F">
            <w:pPr>
              <w:tabs>
                <w:tab w:val="left" w:pos="6880"/>
              </w:tabs>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(二、服务要求及内容：（三）采购需求参数内容)</w:t>
            </w:r>
          </w:p>
        </w:tc>
        <w:tc>
          <w:tcPr>
            <w:tcW w:w="1659" w:type="dxa"/>
            <w:noWrap w:val="0"/>
            <w:vAlign w:val="center"/>
          </w:tcPr>
          <w:p w14:paraId="64B664F2">
            <w:pPr>
              <w:tabs>
                <w:tab w:val="left" w:pos="6880"/>
              </w:tabs>
              <w:spacing w:line="360" w:lineRule="auto"/>
              <w:ind w:firstLine="480" w:firstLineChars="200"/>
              <w:rPr>
                <w:rFonts w:hint="eastAsia" w:ascii="宋体" w:hAnsi="宋体" w:eastAsia="宋体" w:cs="宋体"/>
                <w:color w:val="000000"/>
                <w:kern w:val="0"/>
                <w:sz w:val="24"/>
                <w:szCs w:val="24"/>
              </w:rPr>
            </w:pPr>
          </w:p>
        </w:tc>
        <w:tc>
          <w:tcPr>
            <w:tcW w:w="975" w:type="dxa"/>
            <w:noWrap w:val="0"/>
            <w:vAlign w:val="center"/>
          </w:tcPr>
          <w:p w14:paraId="7B0EB04C">
            <w:pPr>
              <w:tabs>
                <w:tab w:val="left" w:pos="6880"/>
              </w:tabs>
              <w:spacing w:line="360" w:lineRule="auto"/>
              <w:ind w:firstLine="480" w:firstLineChars="200"/>
              <w:rPr>
                <w:rFonts w:hint="eastAsia" w:ascii="宋体" w:hAnsi="宋体" w:eastAsia="宋体" w:cs="宋体"/>
                <w:color w:val="000000"/>
                <w:kern w:val="0"/>
                <w:sz w:val="24"/>
                <w:szCs w:val="24"/>
              </w:rPr>
            </w:pPr>
          </w:p>
        </w:tc>
      </w:tr>
      <w:tr w14:paraId="3217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5" w:type="dxa"/>
            <w:noWrap w:val="0"/>
            <w:vAlign w:val="center"/>
          </w:tcPr>
          <w:p w14:paraId="4415411B">
            <w:pPr>
              <w:tabs>
                <w:tab w:val="left" w:pos="34"/>
              </w:tabs>
              <w:spacing w:line="360" w:lineRule="auto"/>
              <w:ind w:left="-108"/>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250" w:type="dxa"/>
            <w:noWrap w:val="0"/>
            <w:vAlign w:val="center"/>
          </w:tcPr>
          <w:p w14:paraId="1BCF7F67">
            <w:pPr>
              <w:tabs>
                <w:tab w:val="left" w:pos="6880"/>
              </w:tabs>
              <w:spacing w:line="360" w:lineRule="auto"/>
              <w:ind w:firstLine="480" w:firstLineChars="20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3047" w:type="dxa"/>
            <w:noWrap w:val="0"/>
            <w:vAlign w:val="center"/>
          </w:tcPr>
          <w:p w14:paraId="38B0841A">
            <w:pPr>
              <w:tabs>
                <w:tab w:val="left" w:pos="6880"/>
              </w:tabs>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1659" w:type="dxa"/>
            <w:noWrap w:val="0"/>
            <w:vAlign w:val="center"/>
          </w:tcPr>
          <w:p w14:paraId="1E7954CD">
            <w:pPr>
              <w:tabs>
                <w:tab w:val="left" w:pos="6880"/>
              </w:tabs>
              <w:spacing w:line="360" w:lineRule="auto"/>
              <w:ind w:firstLine="480" w:firstLineChars="200"/>
              <w:rPr>
                <w:rFonts w:hint="eastAsia" w:ascii="宋体" w:hAnsi="宋体" w:eastAsia="宋体" w:cs="宋体"/>
                <w:color w:val="000000"/>
                <w:kern w:val="0"/>
                <w:sz w:val="24"/>
                <w:szCs w:val="24"/>
              </w:rPr>
            </w:pPr>
          </w:p>
        </w:tc>
        <w:tc>
          <w:tcPr>
            <w:tcW w:w="975" w:type="dxa"/>
            <w:noWrap w:val="0"/>
            <w:vAlign w:val="center"/>
          </w:tcPr>
          <w:p w14:paraId="6A298BC6">
            <w:pPr>
              <w:tabs>
                <w:tab w:val="left" w:pos="6880"/>
              </w:tabs>
              <w:spacing w:line="360" w:lineRule="auto"/>
              <w:ind w:firstLine="480" w:firstLineChars="200"/>
              <w:rPr>
                <w:rFonts w:hint="eastAsia" w:ascii="宋体" w:hAnsi="宋体" w:eastAsia="宋体" w:cs="宋体"/>
                <w:color w:val="000000"/>
                <w:kern w:val="0"/>
                <w:sz w:val="24"/>
                <w:szCs w:val="24"/>
              </w:rPr>
            </w:pPr>
          </w:p>
        </w:tc>
      </w:tr>
    </w:tbl>
    <w:p w14:paraId="26F03546">
      <w:pPr>
        <w:spacing w:line="400" w:lineRule="exact"/>
        <w:ind w:left="600" w:leftChars="57"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注：1. </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必须</w:t>
      </w:r>
      <w:r>
        <w:rPr>
          <w:rFonts w:hint="eastAsia" w:ascii="宋体" w:hAnsi="宋体" w:eastAsia="宋体" w:cs="宋体"/>
          <w:color w:val="000000"/>
          <w:sz w:val="24"/>
          <w:szCs w:val="24"/>
          <w:lang w:val="en-US" w:eastAsia="zh-CN"/>
        </w:rPr>
        <w:t>将采购</w:t>
      </w:r>
      <w:r>
        <w:rPr>
          <w:rFonts w:hint="eastAsia" w:ascii="宋体" w:hAnsi="宋体" w:eastAsia="宋体" w:cs="宋体"/>
          <w:color w:val="000000"/>
          <w:sz w:val="24"/>
          <w:szCs w:val="24"/>
        </w:rPr>
        <w:t>项目的全部服务内容事项列入此表。</w:t>
      </w:r>
    </w:p>
    <w:p w14:paraId="546810B5">
      <w:pPr>
        <w:spacing w:line="400" w:lineRule="exact"/>
        <w:ind w:left="535" w:leftChars="25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2．按照</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项目服务要求的顺序对应填写。</w:t>
      </w:r>
    </w:p>
    <w:p w14:paraId="16B0003F">
      <w:pPr>
        <w:spacing w:line="400" w:lineRule="exact"/>
        <w:ind w:left="535" w:leftChars="25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必须据实填写，不得虚假填写，否则将取消其投标或中标资格</w:t>
      </w:r>
    </w:p>
    <w:p w14:paraId="789887B9">
      <w:pPr>
        <w:rPr>
          <w:rFonts w:hint="eastAsia" w:ascii="宋体" w:hAnsi="宋体" w:eastAsia="宋体" w:cs="宋体"/>
          <w:bCs/>
          <w:color w:val="000000"/>
          <w:sz w:val="24"/>
          <w:szCs w:val="28"/>
        </w:rPr>
      </w:pPr>
    </w:p>
    <w:p w14:paraId="60ADF9A3">
      <w:pPr>
        <w:rPr>
          <w:rStyle w:val="77"/>
          <w:rFonts w:hint="eastAsia" w:ascii="宋体" w:hAnsi="宋体" w:eastAsia="宋体" w:cs="宋体"/>
          <w:b/>
          <w:color w:val="000000"/>
          <w:sz w:val="32"/>
        </w:rPr>
      </w:pPr>
      <w:r>
        <w:rPr>
          <w:rStyle w:val="77"/>
          <w:rFonts w:hint="eastAsia" w:ascii="宋体" w:hAnsi="宋体" w:eastAsia="宋体" w:cs="宋体"/>
          <w:b/>
          <w:color w:val="000000"/>
          <w:sz w:val="32"/>
        </w:rPr>
        <w:br w:type="page"/>
      </w:r>
    </w:p>
    <w:p w14:paraId="346FB4DD">
      <w:pPr>
        <w:rPr>
          <w:rStyle w:val="77"/>
          <w:rFonts w:hint="eastAsia" w:ascii="宋体" w:hAnsi="宋体" w:eastAsia="宋体" w:cs="宋体"/>
          <w:bCs/>
          <w:color w:val="000000"/>
          <w:sz w:val="24"/>
          <w:szCs w:val="28"/>
        </w:rPr>
      </w:pPr>
      <w:bookmarkStart w:id="121" w:name="_Toc7773"/>
      <w:r>
        <w:rPr>
          <w:rStyle w:val="77"/>
          <w:rFonts w:hint="eastAsia" w:ascii="宋体" w:hAnsi="宋体" w:eastAsia="宋体" w:cs="宋体"/>
          <w:b/>
          <w:color w:val="000000"/>
          <w:sz w:val="32"/>
        </w:rPr>
        <w:t>格式1</w:t>
      </w:r>
      <w:r>
        <w:rPr>
          <w:rStyle w:val="77"/>
          <w:rFonts w:hint="eastAsia" w:ascii="宋体" w:hAnsi="宋体" w:cs="宋体"/>
          <w:b/>
          <w:color w:val="000000"/>
          <w:sz w:val="32"/>
          <w:lang w:val="en-US" w:eastAsia="zh-CN"/>
        </w:rPr>
        <w:t>4</w:t>
      </w:r>
      <w:r>
        <w:rPr>
          <w:rStyle w:val="77"/>
          <w:rFonts w:hint="eastAsia" w:ascii="宋体" w:hAnsi="宋体" w:eastAsia="宋体" w:cs="宋体"/>
          <w:b/>
          <w:color w:val="000000"/>
          <w:sz w:val="32"/>
        </w:rPr>
        <w:t>、磋商供应商的类似业绩证明材料</w:t>
      </w:r>
    </w:p>
    <w:bookmarkEnd w:id="121"/>
    <w:p w14:paraId="3FD1E9AE">
      <w:pPr>
        <w:autoSpaceDE w:val="0"/>
        <w:autoSpaceDN w:val="0"/>
        <w:adjustRightInd w:val="0"/>
        <w:spacing w:line="360" w:lineRule="auto"/>
        <w:rPr>
          <w:rFonts w:hint="eastAsia" w:ascii="宋体" w:hAnsi="宋体" w:eastAsia="宋体" w:cs="宋体"/>
          <w:color w:val="000000"/>
          <w:kern w:val="0"/>
          <w:sz w:val="28"/>
          <w:lang w:val="zh-CN"/>
        </w:rPr>
      </w:pPr>
    </w:p>
    <w:p w14:paraId="55926A5F">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磋商供应商的类似业绩证明材料</w:t>
      </w:r>
    </w:p>
    <w:p w14:paraId="198E9724">
      <w:pPr>
        <w:autoSpaceDE w:val="0"/>
        <w:autoSpaceDN w:val="0"/>
        <w:adjustRightInd w:val="0"/>
        <w:spacing w:line="360" w:lineRule="auto"/>
        <w:rPr>
          <w:rFonts w:hint="eastAsia" w:ascii="宋体" w:hAnsi="宋体" w:eastAsia="宋体" w:cs="宋体"/>
          <w:color w:val="000000"/>
          <w:kern w:val="0"/>
          <w:sz w:val="24"/>
          <w:lang w:val="zh-CN"/>
        </w:rPr>
      </w:pPr>
    </w:p>
    <w:p w14:paraId="4A5E6234">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根据评分表要求提供相应的业绩证明材料。</w:t>
      </w:r>
    </w:p>
    <w:p w14:paraId="562B11A4">
      <w:pPr>
        <w:autoSpaceDE w:val="0"/>
        <w:autoSpaceDN w:val="0"/>
        <w:adjustRightInd w:val="0"/>
        <w:spacing w:line="360" w:lineRule="auto"/>
        <w:ind w:firstLine="480"/>
        <w:rPr>
          <w:rFonts w:hint="eastAsia" w:ascii="宋体" w:hAnsi="宋体" w:eastAsia="宋体" w:cs="宋体"/>
          <w:color w:val="000000"/>
          <w:kern w:val="0"/>
          <w:sz w:val="24"/>
          <w:lang w:val="zh-CN"/>
        </w:rPr>
      </w:pPr>
    </w:p>
    <w:p w14:paraId="5DC442DB">
      <w:pPr>
        <w:pStyle w:val="5"/>
        <w:numPr>
          <w:ilvl w:val="0"/>
          <w:numId w:val="0"/>
        </w:numPr>
        <w:rPr>
          <w:rFonts w:hint="eastAsia" w:ascii="宋体" w:hAnsi="宋体" w:eastAsia="宋体" w:cs="宋体"/>
          <w:color w:val="000000"/>
          <w:kern w:val="0"/>
          <w:sz w:val="32"/>
          <w:szCs w:val="32"/>
        </w:rPr>
      </w:pPr>
      <w:r>
        <w:rPr>
          <w:rFonts w:hint="eastAsia" w:ascii="宋体" w:hAnsi="宋体" w:eastAsia="宋体" w:cs="宋体"/>
          <w:bCs/>
          <w:color w:val="000000"/>
          <w:sz w:val="24"/>
          <w:szCs w:val="28"/>
        </w:rPr>
        <w:br w:type="page"/>
      </w:r>
      <w:bookmarkStart w:id="122" w:name="_Toc18594"/>
      <w:r>
        <w:rPr>
          <w:rFonts w:hint="eastAsia" w:ascii="宋体" w:hAnsi="宋体" w:eastAsia="宋体" w:cs="宋体"/>
          <w:b/>
          <w:color w:val="000000"/>
          <w:sz w:val="32"/>
          <w:lang w:val="zh-CN"/>
        </w:rPr>
        <w:t>格式1</w:t>
      </w:r>
      <w:r>
        <w:rPr>
          <w:rFonts w:hint="eastAsia" w:hAnsi="宋体" w:cs="宋体"/>
          <w:b/>
          <w:color w:val="000000"/>
          <w:sz w:val="32"/>
          <w:lang w:val="en-US" w:eastAsia="zh-CN"/>
        </w:rPr>
        <w:t>5</w:t>
      </w:r>
      <w:r>
        <w:rPr>
          <w:rFonts w:hint="eastAsia" w:ascii="宋体" w:hAnsi="宋体" w:eastAsia="宋体" w:cs="宋体"/>
          <w:b/>
          <w:color w:val="000000"/>
          <w:sz w:val="32"/>
          <w:lang w:val="zh-CN"/>
        </w:rPr>
        <w:t>、享受政府采购政策优惠的证明资料</w:t>
      </w:r>
      <w:bookmarkEnd w:id="122"/>
    </w:p>
    <w:p w14:paraId="4856FA1F">
      <w:pPr>
        <w:spacing w:line="360" w:lineRule="auto"/>
        <w:jc w:val="center"/>
        <w:rPr>
          <w:rFonts w:hint="eastAsia" w:ascii="宋体" w:hAnsi="宋体" w:eastAsia="宋体" w:cs="宋体"/>
          <w:b/>
          <w:bCs/>
          <w:color w:val="000000"/>
          <w:sz w:val="22"/>
          <w:szCs w:val="28"/>
        </w:rPr>
      </w:pPr>
    </w:p>
    <w:p w14:paraId="56F665A6">
      <w:pPr>
        <w:autoSpaceDE w:val="0"/>
        <w:autoSpaceDN w:val="0"/>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中小企业声明函</w:t>
      </w:r>
    </w:p>
    <w:p w14:paraId="215E9D75">
      <w:pPr>
        <w:autoSpaceDE w:val="0"/>
        <w:autoSpaceDN w:val="0"/>
        <w:adjustRightInd w:val="0"/>
        <w:spacing w:line="360" w:lineRule="auto"/>
        <w:jc w:val="left"/>
        <w:rPr>
          <w:rFonts w:ascii="宋体" w:hAnsi="宋体" w:cs="仿宋"/>
          <w:color w:val="000000"/>
          <w:kern w:val="0"/>
          <w:sz w:val="24"/>
        </w:rPr>
      </w:pPr>
      <w:bookmarkStart w:id="123" w:name="_Toc31287"/>
      <w:r>
        <w:rPr>
          <w:rFonts w:hint="eastAsia" w:ascii="宋体" w:hAnsi="宋体" w:eastAsia="宋体" w:cs="宋体"/>
          <w:color w:val="000000"/>
          <w:kern w:val="0"/>
          <w:sz w:val="24"/>
        </w:rPr>
        <w:t xml:space="preserve">  </w:t>
      </w:r>
      <w:r>
        <w:rPr>
          <w:rFonts w:hint="eastAsia" w:ascii="宋体" w:hAnsi="宋体" w:cs="仿宋"/>
          <w:color w:val="000000"/>
          <w:kern w:val="0"/>
          <w:sz w:val="24"/>
        </w:rPr>
        <w:t>本公司（联合体）郑重声明，根据《政府采购促进中小企业发展管理办法》（财库</w:t>
      </w:r>
      <w:r>
        <w:rPr>
          <w:rFonts w:hint="eastAsia" w:ascii="宋体" w:hAnsi="宋体" w:cs="宋体"/>
          <w:color w:val="000000"/>
          <w:kern w:val="0"/>
          <w:sz w:val="24"/>
        </w:rPr>
        <w:t>﹝</w:t>
      </w:r>
      <w:r>
        <w:rPr>
          <w:rFonts w:ascii="宋体" w:hAnsi="宋体" w:cs="仿宋"/>
          <w:color w:val="000000"/>
          <w:kern w:val="0"/>
          <w:sz w:val="24"/>
        </w:rPr>
        <w:t>2020</w:t>
      </w:r>
      <w:r>
        <w:rPr>
          <w:rFonts w:hint="eastAsia" w:ascii="宋体" w:hAnsi="宋体" w:cs="宋体"/>
          <w:color w:val="000000"/>
          <w:kern w:val="0"/>
          <w:sz w:val="24"/>
        </w:rPr>
        <w:t>﹞</w:t>
      </w:r>
      <w:r>
        <w:rPr>
          <w:rFonts w:ascii="宋体" w:hAnsi="宋体" w:cs="仿宋"/>
          <w:color w:val="000000"/>
          <w:kern w:val="0"/>
          <w:sz w:val="24"/>
        </w:rPr>
        <w:t xml:space="preserve">46 </w:t>
      </w:r>
      <w:r>
        <w:rPr>
          <w:rFonts w:hint="eastAsia" w:ascii="宋体" w:hAnsi="宋体" w:cs="仿宋"/>
          <w:color w:val="000000"/>
          <w:kern w:val="0"/>
          <w:sz w:val="24"/>
        </w:rPr>
        <w:t>号）的规定，本公司（联合体）参加</w:t>
      </w:r>
      <w:r>
        <w:rPr>
          <w:rFonts w:hint="eastAsia" w:ascii="宋体" w:hAnsi="宋体" w:cs="仿宋"/>
          <w:color w:val="000000"/>
          <w:kern w:val="0"/>
          <w:sz w:val="24"/>
          <w:u w:val="single"/>
        </w:rPr>
        <w:t>（单位名称）</w:t>
      </w:r>
      <w:r>
        <w:rPr>
          <w:rFonts w:hint="eastAsia" w:ascii="宋体" w:hAnsi="宋体" w:cs="仿宋"/>
          <w:color w:val="000000"/>
          <w:kern w:val="0"/>
          <w:sz w:val="24"/>
        </w:rPr>
        <w:t>的</w:t>
      </w:r>
      <w:r>
        <w:rPr>
          <w:rFonts w:hint="eastAsia" w:ascii="宋体" w:hAnsi="宋体" w:cs="仿宋"/>
          <w:color w:val="000000"/>
          <w:kern w:val="0"/>
          <w:sz w:val="24"/>
          <w:u w:val="single"/>
        </w:rPr>
        <w:t>（项目名称）</w:t>
      </w:r>
      <w:r>
        <w:rPr>
          <w:rFonts w:hint="eastAsia" w:ascii="宋体" w:hAnsi="宋体" w:cs="仿宋"/>
          <w:color w:val="000000"/>
          <w:kern w:val="0"/>
          <w:sz w:val="24"/>
        </w:rPr>
        <w:t>采购活动，</w:t>
      </w:r>
      <w:r>
        <w:rPr>
          <w:rFonts w:hint="eastAsia" w:ascii="宋体" w:hAnsi="宋体" w:cs="仿宋"/>
          <w:color w:val="000000"/>
          <w:kern w:val="0"/>
          <w:sz w:val="24"/>
          <w:lang w:eastAsia="zh-CN"/>
        </w:rPr>
        <w:t>服务</w:t>
      </w:r>
      <w:r>
        <w:rPr>
          <w:rFonts w:hint="eastAsia" w:ascii="宋体" w:hAnsi="宋体" w:cs="仿宋"/>
          <w:color w:val="000000"/>
          <w:kern w:val="0"/>
          <w:sz w:val="24"/>
        </w:rPr>
        <w:t>单位全部为符合政策要求的中小企业。相关企业（含联合体中的中小企业、签订分包意向协议的中小企业）的具体情况如下：</w:t>
      </w:r>
    </w:p>
    <w:p w14:paraId="6F4546C5">
      <w:pPr>
        <w:keepNext w:val="0"/>
        <w:keepLines w:val="0"/>
        <w:widowControl/>
        <w:suppressLineNumbers w:val="0"/>
        <w:spacing w:line="360" w:lineRule="auto"/>
        <w:jc w:val="left"/>
        <w:rPr>
          <w:rFonts w:ascii="宋体" w:hAnsi="宋体" w:cs="仿宋"/>
          <w:color w:val="000000"/>
          <w:kern w:val="0"/>
          <w:sz w:val="24"/>
        </w:rPr>
      </w:pPr>
      <w:r>
        <w:rPr>
          <w:rFonts w:hint="eastAsia" w:ascii="宋体" w:hAnsi="宋体" w:cs="仿宋"/>
          <w:color w:val="000000"/>
          <w:kern w:val="0"/>
          <w:sz w:val="24"/>
        </w:rPr>
        <w:t xml:space="preserve">    </w:t>
      </w:r>
      <w:r>
        <w:rPr>
          <w:rFonts w:ascii="宋体" w:hAnsi="宋体" w:cs="仿宋"/>
          <w:color w:val="000000"/>
          <w:kern w:val="0"/>
          <w:sz w:val="24"/>
        </w:rPr>
        <w:t xml:space="preserve">1. </w:t>
      </w:r>
      <w:r>
        <w:rPr>
          <w:rFonts w:hint="eastAsia" w:ascii="宋体" w:hAnsi="宋体" w:cs="仿宋"/>
          <w:color w:val="000000"/>
          <w:kern w:val="0"/>
          <w:sz w:val="24"/>
          <w:u w:val="single"/>
        </w:rPr>
        <w:t>（标的名称）</w:t>
      </w:r>
      <w:r>
        <w:rPr>
          <w:rFonts w:ascii="宋体" w:hAnsi="宋体" w:cs="仿宋"/>
          <w:color w:val="000000"/>
          <w:kern w:val="0"/>
          <w:sz w:val="24"/>
          <w:u w:val="single"/>
        </w:rPr>
        <w:t xml:space="preserve"> </w:t>
      </w:r>
      <w:r>
        <w:rPr>
          <w:rFonts w:hint="eastAsia" w:ascii="宋体" w:hAnsi="宋体" w:cs="仿宋"/>
          <w:color w:val="000000"/>
          <w:kern w:val="0"/>
          <w:sz w:val="24"/>
        </w:rPr>
        <w:t>，属于</w:t>
      </w:r>
      <w:r>
        <w:rPr>
          <w:rFonts w:hint="eastAsia" w:ascii="宋体" w:hAnsi="宋体" w:cs="仿宋"/>
          <w:color w:val="000000"/>
          <w:kern w:val="0"/>
          <w:sz w:val="24"/>
          <w:u w:val="single"/>
        </w:rPr>
        <w:t>（采购文件中明确的所属行业）</w:t>
      </w:r>
      <w:r>
        <w:rPr>
          <w:rFonts w:hint="eastAsia" w:ascii="宋体" w:hAnsi="宋体" w:cs="仿宋"/>
          <w:color w:val="000000"/>
          <w:kern w:val="0"/>
          <w:sz w:val="24"/>
        </w:rPr>
        <w:t>；承建（承接）企业为</w:t>
      </w:r>
      <w:r>
        <w:rPr>
          <w:rFonts w:hint="eastAsia" w:ascii="宋体" w:hAnsi="宋体" w:cs="仿宋"/>
          <w:color w:val="000000"/>
          <w:kern w:val="0"/>
          <w:sz w:val="24"/>
          <w:u w:val="single"/>
        </w:rPr>
        <w:t>（企业名称）</w:t>
      </w:r>
      <w:r>
        <w:rPr>
          <w:rFonts w:hint="eastAsia" w:ascii="宋体" w:hAnsi="宋体" w:cs="仿宋"/>
          <w:color w:val="000000"/>
          <w:kern w:val="0"/>
          <w:sz w:val="24"/>
        </w:rPr>
        <w:t>，从业人员</w:t>
      </w:r>
      <w:r>
        <w:rPr>
          <w:rFonts w:hint="eastAsia" w:ascii="宋体" w:hAnsi="宋体" w:cs="仿宋"/>
          <w:color w:val="000000"/>
          <w:kern w:val="0"/>
          <w:sz w:val="24"/>
          <w:u w:val="single"/>
          <w:lang w:val="en-US" w:eastAsia="zh-CN"/>
        </w:rPr>
        <w:t xml:space="preserve">        </w:t>
      </w:r>
      <w:r>
        <w:rPr>
          <w:rFonts w:hint="eastAsia" w:ascii="宋体" w:hAnsi="宋体" w:cs="仿宋"/>
          <w:color w:val="000000"/>
          <w:kern w:val="0"/>
          <w:sz w:val="24"/>
        </w:rPr>
        <w:t>人，营业收入为</w:t>
      </w:r>
      <w:r>
        <w:rPr>
          <w:rFonts w:hint="eastAsia" w:ascii="宋体" w:hAnsi="宋体" w:cs="仿宋"/>
          <w:color w:val="000000"/>
          <w:kern w:val="0"/>
          <w:sz w:val="24"/>
          <w:u w:val="single"/>
        </w:rPr>
        <w:t xml:space="preserve">    </w:t>
      </w:r>
      <w:r>
        <w:rPr>
          <w:rFonts w:hint="eastAsia" w:ascii="宋体" w:hAnsi="宋体" w:cs="仿宋"/>
          <w:color w:val="000000"/>
          <w:kern w:val="0"/>
          <w:sz w:val="24"/>
        </w:rPr>
        <w:t>万元，资产总额为</w:t>
      </w:r>
      <w:r>
        <w:rPr>
          <w:rFonts w:hint="eastAsia" w:ascii="宋体" w:hAnsi="宋体" w:cs="仿宋"/>
          <w:color w:val="000000"/>
          <w:kern w:val="0"/>
          <w:sz w:val="24"/>
          <w:u w:val="single"/>
        </w:rPr>
        <w:t xml:space="preserve"> </w:t>
      </w:r>
      <w:r>
        <w:rPr>
          <w:rFonts w:hint="eastAsia" w:ascii="宋体" w:hAnsi="宋体" w:cs="仿宋"/>
          <w:color w:val="000000"/>
          <w:kern w:val="0"/>
          <w:sz w:val="24"/>
          <w:u w:val="single"/>
          <w:lang w:val="en-US" w:eastAsia="zh-CN"/>
        </w:rPr>
        <w:t xml:space="preserve">  </w:t>
      </w:r>
      <w:r>
        <w:rPr>
          <w:rFonts w:hint="eastAsia" w:ascii="宋体" w:hAnsi="宋体" w:cs="仿宋"/>
          <w:color w:val="000000"/>
          <w:kern w:val="0"/>
          <w:sz w:val="24"/>
          <w:u w:val="single"/>
        </w:rPr>
        <w:t xml:space="preserve">  </w:t>
      </w:r>
      <w:r>
        <w:rPr>
          <w:rFonts w:hint="eastAsia" w:ascii="宋体" w:hAnsi="宋体" w:cs="仿宋"/>
          <w:color w:val="000000"/>
          <w:kern w:val="0"/>
          <w:sz w:val="24"/>
        </w:rPr>
        <w:t>万元，属于</w:t>
      </w:r>
      <w:r>
        <w:rPr>
          <w:rFonts w:hint="eastAsia" w:ascii="宋体" w:hAnsi="宋体" w:cs="仿宋"/>
          <w:color w:val="000000"/>
          <w:kern w:val="0"/>
          <w:sz w:val="24"/>
          <w:u w:val="single"/>
        </w:rPr>
        <w:t>（中型企业、小型企业、微型企业）</w:t>
      </w:r>
      <w:r>
        <w:rPr>
          <w:rFonts w:hint="eastAsia" w:ascii="宋体" w:hAnsi="宋体" w:cs="仿宋"/>
          <w:color w:val="000000"/>
          <w:kern w:val="0"/>
          <w:sz w:val="24"/>
        </w:rPr>
        <w:t>；</w:t>
      </w:r>
    </w:p>
    <w:p w14:paraId="57C063B9">
      <w:pPr>
        <w:autoSpaceDE w:val="0"/>
        <w:autoSpaceDN w:val="0"/>
        <w:adjustRightInd w:val="0"/>
        <w:spacing w:line="360" w:lineRule="auto"/>
        <w:jc w:val="left"/>
        <w:rPr>
          <w:rFonts w:ascii="宋体" w:hAnsi="宋体" w:cs="仿宋"/>
          <w:color w:val="000000"/>
          <w:kern w:val="0"/>
          <w:sz w:val="24"/>
        </w:rPr>
      </w:pPr>
      <w:r>
        <w:rPr>
          <w:rFonts w:hint="eastAsia" w:ascii="宋体" w:hAnsi="宋体" w:cs="仿宋"/>
          <w:color w:val="000000"/>
          <w:kern w:val="0"/>
          <w:sz w:val="24"/>
        </w:rPr>
        <w:t xml:space="preserve">    </w:t>
      </w:r>
      <w:r>
        <w:rPr>
          <w:rFonts w:ascii="宋体" w:hAnsi="宋体" w:cs="仿宋"/>
          <w:color w:val="000000"/>
          <w:kern w:val="0"/>
          <w:sz w:val="24"/>
        </w:rPr>
        <w:t xml:space="preserve">2. </w:t>
      </w:r>
      <w:r>
        <w:rPr>
          <w:rFonts w:hint="eastAsia" w:ascii="宋体" w:hAnsi="宋体" w:cs="仿宋"/>
          <w:color w:val="000000"/>
          <w:kern w:val="0"/>
          <w:sz w:val="24"/>
          <w:u w:val="single"/>
        </w:rPr>
        <w:t>（标的名称）</w:t>
      </w:r>
      <w:r>
        <w:rPr>
          <w:rFonts w:ascii="宋体" w:hAnsi="宋体" w:cs="仿宋"/>
          <w:color w:val="000000"/>
          <w:kern w:val="0"/>
          <w:sz w:val="24"/>
          <w:u w:val="single"/>
        </w:rPr>
        <w:t xml:space="preserve"> </w:t>
      </w:r>
      <w:r>
        <w:rPr>
          <w:rFonts w:hint="eastAsia" w:ascii="宋体" w:hAnsi="宋体" w:cs="仿宋"/>
          <w:color w:val="000000"/>
          <w:kern w:val="0"/>
          <w:sz w:val="24"/>
        </w:rPr>
        <w:t>，属于</w:t>
      </w:r>
      <w:r>
        <w:rPr>
          <w:rFonts w:hint="eastAsia" w:ascii="宋体" w:hAnsi="宋体" w:cs="仿宋"/>
          <w:color w:val="000000"/>
          <w:kern w:val="0"/>
          <w:sz w:val="24"/>
          <w:u w:val="single"/>
        </w:rPr>
        <w:t>（</w:t>
      </w:r>
      <w:bookmarkStart w:id="124" w:name="OLE_LINK10"/>
      <w:r>
        <w:rPr>
          <w:rFonts w:hint="eastAsia" w:ascii="宋体" w:hAnsi="宋体" w:cs="仿宋"/>
          <w:color w:val="000000"/>
          <w:kern w:val="0"/>
          <w:sz w:val="24"/>
          <w:u w:val="single"/>
        </w:rPr>
        <w:t>采购文件中明确的所属行业</w:t>
      </w:r>
      <w:bookmarkEnd w:id="124"/>
      <w:r>
        <w:rPr>
          <w:rFonts w:hint="eastAsia" w:ascii="宋体" w:hAnsi="宋体" w:cs="仿宋"/>
          <w:color w:val="000000"/>
          <w:kern w:val="0"/>
          <w:sz w:val="24"/>
          <w:u w:val="single"/>
        </w:rPr>
        <w:t>）</w:t>
      </w:r>
      <w:r>
        <w:rPr>
          <w:rFonts w:hint="eastAsia" w:ascii="宋体" w:hAnsi="宋体" w:cs="仿宋"/>
          <w:color w:val="000000"/>
          <w:kern w:val="0"/>
          <w:sz w:val="24"/>
        </w:rPr>
        <w:t>；承建（承接）企业为</w:t>
      </w:r>
      <w:r>
        <w:rPr>
          <w:rFonts w:hint="eastAsia" w:ascii="宋体" w:hAnsi="宋体" w:cs="仿宋"/>
          <w:color w:val="000000"/>
          <w:kern w:val="0"/>
          <w:sz w:val="24"/>
          <w:u w:val="single"/>
        </w:rPr>
        <w:t>（企业名称）</w:t>
      </w:r>
      <w:r>
        <w:rPr>
          <w:rFonts w:hint="eastAsia" w:ascii="宋体" w:hAnsi="宋体" w:cs="仿宋"/>
          <w:color w:val="000000"/>
          <w:kern w:val="0"/>
          <w:sz w:val="24"/>
        </w:rPr>
        <w:t>，从业人员</w:t>
      </w:r>
      <w:r>
        <w:rPr>
          <w:rFonts w:hint="eastAsia" w:ascii="宋体" w:hAnsi="宋体" w:cs="仿宋"/>
          <w:color w:val="000000"/>
          <w:kern w:val="0"/>
          <w:sz w:val="24"/>
          <w:u w:val="single"/>
          <w:lang w:val="en-US" w:eastAsia="zh-CN"/>
        </w:rPr>
        <w:t xml:space="preserve">        </w:t>
      </w:r>
      <w:r>
        <w:rPr>
          <w:rFonts w:hint="eastAsia" w:ascii="宋体" w:hAnsi="宋体" w:cs="仿宋"/>
          <w:color w:val="000000"/>
          <w:kern w:val="0"/>
          <w:sz w:val="24"/>
        </w:rPr>
        <w:t>人，营业收入为</w:t>
      </w:r>
      <w:r>
        <w:rPr>
          <w:rFonts w:hint="eastAsia" w:ascii="宋体" w:hAnsi="宋体" w:cs="仿宋"/>
          <w:color w:val="000000"/>
          <w:kern w:val="0"/>
          <w:sz w:val="24"/>
          <w:u w:val="single"/>
        </w:rPr>
        <w:t xml:space="preserve">    </w:t>
      </w:r>
      <w:r>
        <w:rPr>
          <w:rFonts w:hint="eastAsia" w:ascii="宋体" w:hAnsi="宋体" w:cs="仿宋"/>
          <w:color w:val="000000"/>
          <w:kern w:val="0"/>
          <w:sz w:val="24"/>
        </w:rPr>
        <w:t>万元，资产总额为</w:t>
      </w:r>
      <w:r>
        <w:rPr>
          <w:rFonts w:hint="eastAsia" w:ascii="宋体" w:hAnsi="宋体" w:cs="仿宋"/>
          <w:color w:val="000000"/>
          <w:kern w:val="0"/>
          <w:sz w:val="24"/>
          <w:u w:val="single"/>
        </w:rPr>
        <w:t xml:space="preserve">    </w:t>
      </w:r>
      <w:r>
        <w:rPr>
          <w:rFonts w:hint="eastAsia" w:ascii="宋体" w:hAnsi="宋体" w:cs="仿宋"/>
          <w:color w:val="000000"/>
          <w:kern w:val="0"/>
          <w:sz w:val="24"/>
        </w:rPr>
        <w:t>万元，属于</w:t>
      </w:r>
      <w:r>
        <w:rPr>
          <w:rFonts w:hint="eastAsia" w:ascii="宋体" w:hAnsi="宋体" w:cs="仿宋"/>
          <w:color w:val="000000"/>
          <w:kern w:val="0"/>
          <w:sz w:val="24"/>
          <w:u w:val="single"/>
        </w:rPr>
        <w:t>（中型企业、小型企业、微型企业）</w:t>
      </w:r>
      <w:r>
        <w:rPr>
          <w:rFonts w:hint="eastAsia" w:ascii="宋体" w:hAnsi="宋体" w:cs="仿宋"/>
          <w:color w:val="000000"/>
          <w:kern w:val="0"/>
          <w:sz w:val="24"/>
        </w:rPr>
        <w:t>；</w:t>
      </w:r>
    </w:p>
    <w:p w14:paraId="49B2C389">
      <w:pPr>
        <w:autoSpaceDE w:val="0"/>
        <w:autoSpaceDN w:val="0"/>
        <w:adjustRightInd w:val="0"/>
        <w:spacing w:line="360" w:lineRule="auto"/>
        <w:jc w:val="left"/>
        <w:rPr>
          <w:rFonts w:ascii="宋体" w:hAnsi="宋体" w:cs="仿宋"/>
          <w:color w:val="000000"/>
          <w:kern w:val="0"/>
          <w:sz w:val="24"/>
        </w:rPr>
      </w:pPr>
      <w:r>
        <w:rPr>
          <w:rFonts w:hint="eastAsia" w:ascii="宋体" w:hAnsi="宋体" w:cs="仿宋"/>
          <w:color w:val="000000"/>
          <w:kern w:val="0"/>
          <w:sz w:val="24"/>
        </w:rPr>
        <w:t>……</w:t>
      </w:r>
    </w:p>
    <w:p w14:paraId="2DB0F92F">
      <w:pPr>
        <w:autoSpaceDE w:val="0"/>
        <w:autoSpaceDN w:val="0"/>
        <w:adjustRightInd w:val="0"/>
        <w:spacing w:line="360" w:lineRule="auto"/>
        <w:jc w:val="left"/>
        <w:rPr>
          <w:rFonts w:ascii="宋体" w:hAnsi="宋体" w:cs="仿宋"/>
          <w:color w:val="000000"/>
          <w:kern w:val="0"/>
          <w:sz w:val="24"/>
        </w:rPr>
      </w:pPr>
      <w:r>
        <w:rPr>
          <w:rFonts w:hint="eastAsia" w:ascii="宋体" w:hAnsi="宋体" w:cs="仿宋"/>
          <w:color w:val="000000"/>
          <w:kern w:val="0"/>
          <w:sz w:val="24"/>
        </w:rPr>
        <w:t xml:space="preserve">    以上企业，不属于大企业的分支机构，不存在控股股东为大企业的情形，也不存在与大企业的负责人为同一人的情形。</w:t>
      </w:r>
    </w:p>
    <w:p w14:paraId="21912FAE">
      <w:pPr>
        <w:autoSpaceDE w:val="0"/>
        <w:autoSpaceDN w:val="0"/>
        <w:adjustRightInd w:val="0"/>
        <w:spacing w:line="360" w:lineRule="auto"/>
        <w:ind w:firstLine="480"/>
        <w:jc w:val="left"/>
        <w:rPr>
          <w:rFonts w:hint="eastAsia" w:ascii="宋体" w:hAnsi="宋体" w:cs="仿宋"/>
          <w:color w:val="000000"/>
          <w:kern w:val="0"/>
          <w:sz w:val="24"/>
        </w:rPr>
      </w:pPr>
      <w:r>
        <w:rPr>
          <w:rFonts w:hint="eastAsia" w:ascii="宋体" w:hAnsi="宋体" w:cs="仿宋"/>
          <w:color w:val="000000"/>
          <w:kern w:val="0"/>
          <w:sz w:val="24"/>
        </w:rPr>
        <w:t>本企业对上述声明内容的真实性负责。如有虚假，将依法承担相应责任。</w:t>
      </w:r>
    </w:p>
    <w:p w14:paraId="6FE873F5">
      <w:pPr>
        <w:autoSpaceDE w:val="0"/>
        <w:autoSpaceDN w:val="0"/>
        <w:adjustRightInd w:val="0"/>
        <w:spacing w:line="360" w:lineRule="auto"/>
        <w:ind w:firstLine="480"/>
        <w:jc w:val="left"/>
        <w:rPr>
          <w:rFonts w:hint="eastAsia" w:ascii="宋体" w:hAnsi="宋体" w:cs="仿宋"/>
          <w:color w:val="000000"/>
          <w:kern w:val="0"/>
          <w:sz w:val="24"/>
        </w:rPr>
      </w:pPr>
    </w:p>
    <w:p w14:paraId="1A5A8D31">
      <w:pPr>
        <w:shd w:val="clear"/>
        <w:autoSpaceDE w:val="0"/>
        <w:autoSpaceDN w:val="0"/>
        <w:adjustRightInd w:val="0"/>
        <w:spacing w:line="360" w:lineRule="auto"/>
        <w:ind w:firstLine="482" w:firstLineChars="200"/>
        <w:jc w:val="left"/>
        <w:rPr>
          <w:rFonts w:hint="eastAsia" w:ascii="宋体" w:hAnsi="宋体" w:eastAsia="宋体" w:cs="宋体"/>
          <w:color w:val="000000"/>
          <w:kern w:val="0"/>
          <w:sz w:val="24"/>
          <w:highlight w:val="none"/>
        </w:rPr>
      </w:pPr>
      <w:r>
        <w:rPr>
          <w:rFonts w:hint="eastAsia" w:ascii="宋体" w:hAnsi="宋体" w:eastAsia="宋体" w:cs="宋体"/>
          <w:b/>
          <w:bCs/>
          <w:color w:val="000000"/>
          <w:sz w:val="24"/>
          <w:highlight w:val="none"/>
        </w:rPr>
        <w:t>注：本项目的所属行业</w:t>
      </w:r>
      <w:r>
        <w:rPr>
          <w:rFonts w:hint="eastAsia" w:ascii="宋体" w:hAnsi="宋体" w:eastAsia="宋体" w:cs="宋体"/>
          <w:b/>
          <w:bCs/>
          <w:color w:val="000000"/>
          <w:sz w:val="24"/>
          <w:highlight w:val="none"/>
          <w:lang w:val="en-US" w:eastAsia="zh-CN"/>
        </w:rPr>
        <w:t>:其他未列明行业</w:t>
      </w:r>
      <w:r>
        <w:rPr>
          <w:rFonts w:hint="eastAsia" w:ascii="宋体" w:hAnsi="宋体" w:eastAsia="宋体" w:cs="宋体"/>
          <w:b/>
          <w:bCs/>
          <w:color w:val="000000"/>
          <w:sz w:val="24"/>
          <w:highlight w:val="none"/>
        </w:rPr>
        <w:t>。</w:t>
      </w:r>
    </w:p>
    <w:p w14:paraId="5482BF17">
      <w:pPr>
        <w:autoSpaceDE w:val="0"/>
        <w:autoSpaceDN w:val="0"/>
        <w:adjustRightInd w:val="0"/>
        <w:spacing w:line="360" w:lineRule="auto"/>
        <w:jc w:val="right"/>
        <w:rPr>
          <w:rFonts w:hint="eastAsia" w:ascii="宋体" w:hAnsi="宋体" w:eastAsia="宋体" w:cs="宋体"/>
          <w:color w:val="000000"/>
          <w:kern w:val="0"/>
          <w:sz w:val="24"/>
        </w:rPr>
      </w:pPr>
    </w:p>
    <w:p w14:paraId="48A1AA15">
      <w:pPr>
        <w:autoSpaceDE w:val="0"/>
        <w:autoSpaceDN w:val="0"/>
        <w:adjustRightInd w:val="0"/>
        <w:spacing w:line="360" w:lineRule="auto"/>
        <w:jc w:val="right"/>
        <w:rPr>
          <w:rFonts w:hint="eastAsia" w:ascii="宋体" w:hAnsi="宋体" w:eastAsia="宋体" w:cs="宋体"/>
          <w:color w:val="000000"/>
          <w:kern w:val="0"/>
          <w:sz w:val="24"/>
        </w:rPr>
      </w:pPr>
    </w:p>
    <w:p w14:paraId="0212DAA6">
      <w:pPr>
        <w:autoSpaceDE w:val="0"/>
        <w:autoSpaceDN w:val="0"/>
        <w:adjustRightInd w:val="0"/>
        <w:spacing w:line="360" w:lineRule="auto"/>
        <w:jc w:val="right"/>
        <w:rPr>
          <w:rFonts w:hint="eastAsia" w:ascii="宋体" w:hAnsi="宋体" w:eastAsia="宋体" w:cs="宋体"/>
          <w:color w:val="000000"/>
          <w:kern w:val="0"/>
          <w:sz w:val="24"/>
        </w:rPr>
      </w:pPr>
    </w:p>
    <w:p w14:paraId="162A8534">
      <w:pPr>
        <w:autoSpaceDE w:val="0"/>
        <w:autoSpaceDN w:val="0"/>
        <w:adjustRightInd w:val="0"/>
        <w:spacing w:line="360" w:lineRule="auto"/>
        <w:rPr>
          <w:rFonts w:hint="eastAsia" w:ascii="宋体" w:hAnsi="宋体" w:eastAsia="宋体" w:cs="宋体"/>
          <w:color w:val="000000"/>
          <w:kern w:val="0"/>
          <w:sz w:val="24"/>
        </w:rPr>
      </w:pPr>
    </w:p>
    <w:p w14:paraId="674370C6">
      <w:pPr>
        <w:autoSpaceDE w:val="0"/>
        <w:autoSpaceDN w:val="0"/>
        <w:adjustRightInd w:val="0"/>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企业名称（盖章）：   </w:t>
      </w:r>
    </w:p>
    <w:p w14:paraId="679401B8">
      <w:pPr>
        <w:autoSpaceDE w:val="0"/>
        <w:autoSpaceDN w:val="0"/>
        <w:adjustRightInd w:val="0"/>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日期：</w:t>
      </w:r>
    </w:p>
    <w:p w14:paraId="3B4CE5B5">
      <w:pPr>
        <w:autoSpaceDE w:val="0"/>
        <w:autoSpaceDN w:val="0"/>
        <w:adjustRightInd w:val="0"/>
        <w:spacing w:line="360" w:lineRule="auto"/>
        <w:jc w:val="right"/>
        <w:rPr>
          <w:rFonts w:hint="eastAsia" w:ascii="宋体" w:hAnsi="宋体" w:eastAsia="宋体" w:cs="宋体"/>
          <w:color w:val="000000"/>
          <w:kern w:val="0"/>
          <w:sz w:val="24"/>
        </w:rPr>
      </w:pPr>
    </w:p>
    <w:p w14:paraId="2EC11674">
      <w:pPr>
        <w:spacing w:line="360" w:lineRule="auto"/>
        <w:rPr>
          <w:rFonts w:hint="eastAsia" w:ascii="宋体" w:hAnsi="宋体" w:eastAsia="宋体" w:cs="宋体"/>
          <w:color w:val="000000"/>
          <w:sz w:val="24"/>
        </w:rPr>
      </w:pPr>
      <w:r>
        <w:rPr>
          <w:rFonts w:hint="eastAsia" w:ascii="宋体" w:hAnsi="宋体" w:eastAsia="宋体" w:cs="宋体"/>
          <w:color w:val="000000"/>
          <w:kern w:val="0"/>
          <w:sz w:val="24"/>
        </w:rPr>
        <w:t>从业人员、营业收入、资产总额填报上一年度数据，无上一年度数据的新成立企业可不填报。</w:t>
      </w:r>
    </w:p>
    <w:p w14:paraId="41162E95">
      <w:pPr>
        <w:adjustRightInd w:val="0"/>
        <w:snapToGrid w:val="0"/>
        <w:spacing w:line="440" w:lineRule="exact"/>
        <w:ind w:left="6114" w:hanging="6114" w:hangingChars="2900"/>
        <w:jc w:val="center"/>
        <w:rPr>
          <w:rFonts w:hint="eastAsia" w:ascii="宋体" w:hAnsi="宋体" w:eastAsia="宋体" w:cs="宋体"/>
          <w:b/>
          <w:bCs/>
          <w:color w:val="000000"/>
          <w:kern w:val="0"/>
          <w:lang w:val="zh-CN"/>
        </w:rPr>
      </w:pPr>
    </w:p>
    <w:p w14:paraId="31D2187A">
      <w:pPr>
        <w:adjustRightInd w:val="0"/>
        <w:snapToGrid w:val="0"/>
        <w:spacing w:line="440" w:lineRule="exact"/>
        <w:ind w:left="6114" w:hanging="6114" w:hangingChars="2900"/>
        <w:jc w:val="center"/>
        <w:rPr>
          <w:rFonts w:hint="eastAsia" w:ascii="宋体" w:hAnsi="宋体" w:eastAsia="宋体" w:cs="宋体"/>
          <w:b/>
          <w:bCs/>
          <w:color w:val="000000"/>
          <w:kern w:val="0"/>
          <w:lang w:val="zh-CN"/>
        </w:rPr>
      </w:pPr>
    </w:p>
    <w:p w14:paraId="7BAB1F19">
      <w:pPr>
        <w:autoSpaceDE w:val="0"/>
        <w:autoSpaceDN w:val="0"/>
        <w:spacing w:line="360" w:lineRule="auto"/>
        <w:jc w:val="center"/>
        <w:rPr>
          <w:rFonts w:hint="eastAsia" w:ascii="宋体" w:hAnsi="宋体" w:eastAsia="宋体" w:cs="宋体"/>
          <w:b/>
          <w:bCs/>
          <w:color w:val="000000"/>
          <w:kern w:val="0"/>
          <w:sz w:val="28"/>
          <w:szCs w:val="28"/>
        </w:rPr>
      </w:pPr>
      <w:bookmarkStart w:id="125" w:name="_Toc30801"/>
      <w:bookmarkStart w:id="126" w:name="_Toc9477"/>
      <w:r>
        <w:rPr>
          <w:rFonts w:hint="eastAsia" w:ascii="宋体" w:hAnsi="宋体" w:eastAsia="宋体" w:cs="宋体"/>
          <w:b/>
          <w:bCs/>
          <w:color w:val="000000"/>
          <w:kern w:val="0"/>
          <w:sz w:val="28"/>
          <w:szCs w:val="28"/>
        </w:rPr>
        <w:t>监狱企业证明资料</w:t>
      </w:r>
      <w:bookmarkEnd w:id="125"/>
      <w:bookmarkEnd w:id="126"/>
    </w:p>
    <w:p w14:paraId="447129AB">
      <w:pPr>
        <w:autoSpaceDE w:val="0"/>
        <w:autoSpaceDN w:val="0"/>
        <w:spacing w:line="360" w:lineRule="auto"/>
        <w:jc w:val="center"/>
        <w:rPr>
          <w:rFonts w:hint="eastAsia" w:ascii="宋体" w:hAnsi="宋体" w:eastAsia="宋体" w:cs="宋体"/>
          <w:color w:val="000000"/>
          <w:sz w:val="32"/>
          <w:szCs w:val="32"/>
        </w:rPr>
      </w:pPr>
    </w:p>
    <w:p w14:paraId="63AC099B">
      <w:pPr>
        <w:adjustRightInd w:val="0"/>
        <w:snapToGrid w:val="0"/>
        <w:spacing w:line="560" w:lineRule="exact"/>
        <w:jc w:val="center"/>
        <w:rPr>
          <w:rFonts w:hint="eastAsia" w:ascii="宋体" w:hAnsi="宋体" w:eastAsia="宋体" w:cs="宋体"/>
          <w:color w:val="000000"/>
          <w:sz w:val="32"/>
          <w:szCs w:val="32"/>
        </w:rPr>
      </w:pPr>
      <w:bookmarkStart w:id="127" w:name="_Toc28022_WPSOffice_Level3"/>
      <w:bookmarkStart w:id="128" w:name="_Toc25903_WPSOffice_Level3"/>
      <w:r>
        <w:rPr>
          <w:rFonts w:hint="eastAsia" w:ascii="宋体" w:hAnsi="宋体" w:eastAsia="宋体" w:cs="宋体"/>
          <w:b/>
          <w:color w:val="000000"/>
          <w:spacing w:val="6"/>
          <w:sz w:val="32"/>
          <w:szCs w:val="32"/>
        </w:rPr>
        <w:t>(不属于监狱企业的无需提供)</w:t>
      </w:r>
      <w:bookmarkEnd w:id="127"/>
      <w:bookmarkEnd w:id="128"/>
    </w:p>
    <w:p w14:paraId="0EEE4789">
      <w:pPr>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备注：按《财政部司法部关于政府采购支持监狱企业发展有关问题的通知》(财库〔2014〕68号)文件规定提供证明文件（复印件）。</w:t>
      </w:r>
    </w:p>
    <w:p w14:paraId="4D488E03">
      <w:pPr>
        <w:spacing w:before="120" w:beforeLines="50" w:line="560" w:lineRule="exact"/>
        <w:ind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bookmarkStart w:id="129" w:name="_Toc22071_WPSOffice_Level3"/>
    </w:p>
    <w:p w14:paraId="03B8510B">
      <w:pPr>
        <w:spacing w:before="120" w:beforeLines="50" w:line="560" w:lineRule="exact"/>
        <w:ind w:firstLine="480" w:firstLineChars="200"/>
        <w:jc w:val="right"/>
        <w:rPr>
          <w:rFonts w:hint="eastAsia" w:ascii="宋体" w:hAnsi="宋体" w:eastAsia="宋体" w:cs="宋体"/>
          <w:color w:val="000000"/>
          <w:kern w:val="0"/>
          <w:sz w:val="24"/>
        </w:rPr>
      </w:pPr>
    </w:p>
    <w:p w14:paraId="364D2950">
      <w:pPr>
        <w:spacing w:before="120" w:beforeLines="50" w:line="560" w:lineRule="exact"/>
        <w:ind w:firstLine="480" w:firstLineChars="200"/>
        <w:jc w:val="right"/>
        <w:rPr>
          <w:rFonts w:hint="eastAsia" w:ascii="宋体" w:hAnsi="宋体" w:eastAsia="宋体" w:cs="宋体"/>
          <w:color w:val="000000"/>
          <w:kern w:val="0"/>
          <w:sz w:val="24"/>
        </w:rPr>
      </w:pPr>
    </w:p>
    <w:p w14:paraId="56403A36">
      <w:pPr>
        <w:spacing w:before="120" w:beforeLines="50" w:line="560" w:lineRule="exact"/>
        <w:ind w:firstLine="480" w:firstLineChars="200"/>
        <w:jc w:val="right"/>
        <w:rPr>
          <w:rFonts w:hint="eastAsia" w:ascii="宋体" w:hAnsi="宋体" w:eastAsia="宋体" w:cs="宋体"/>
          <w:color w:val="000000"/>
          <w:kern w:val="0"/>
          <w:sz w:val="24"/>
        </w:rPr>
      </w:pPr>
    </w:p>
    <w:p w14:paraId="61A611E0">
      <w:pPr>
        <w:spacing w:before="120" w:beforeLines="50" w:line="560" w:lineRule="exact"/>
        <w:ind w:firstLine="480" w:firstLineChars="200"/>
        <w:jc w:val="right"/>
        <w:rPr>
          <w:rFonts w:hint="eastAsia" w:ascii="宋体" w:hAnsi="宋体" w:eastAsia="宋体" w:cs="宋体"/>
          <w:color w:val="000000"/>
          <w:kern w:val="0"/>
          <w:sz w:val="24"/>
        </w:rPr>
      </w:pPr>
    </w:p>
    <w:p w14:paraId="40246608">
      <w:pPr>
        <w:spacing w:before="120" w:beforeLines="50" w:line="560" w:lineRule="exact"/>
        <w:ind w:firstLine="480" w:firstLineChars="200"/>
        <w:jc w:val="right"/>
        <w:rPr>
          <w:rFonts w:hint="eastAsia" w:ascii="宋体" w:hAnsi="宋体" w:eastAsia="宋体" w:cs="宋体"/>
          <w:color w:val="000000"/>
          <w:kern w:val="0"/>
          <w:sz w:val="24"/>
        </w:rPr>
      </w:pPr>
    </w:p>
    <w:p w14:paraId="3FC0FE0A">
      <w:pPr>
        <w:spacing w:before="120" w:beforeLines="50" w:line="560" w:lineRule="exact"/>
        <w:ind w:firstLine="480" w:firstLineChars="200"/>
        <w:jc w:val="right"/>
        <w:rPr>
          <w:rFonts w:hint="eastAsia" w:ascii="宋体" w:hAnsi="宋体" w:eastAsia="宋体" w:cs="宋体"/>
          <w:color w:val="000000"/>
          <w:kern w:val="0"/>
          <w:sz w:val="24"/>
        </w:rPr>
      </w:pPr>
    </w:p>
    <w:p w14:paraId="27C6323F">
      <w:pPr>
        <w:spacing w:before="120" w:beforeLines="50" w:line="560" w:lineRule="exact"/>
        <w:ind w:firstLine="480" w:firstLineChars="200"/>
        <w:jc w:val="right"/>
        <w:rPr>
          <w:rFonts w:hint="eastAsia" w:ascii="宋体" w:hAnsi="宋体" w:eastAsia="宋体" w:cs="宋体"/>
          <w:color w:val="000000"/>
          <w:kern w:val="0"/>
          <w:sz w:val="24"/>
        </w:rPr>
      </w:pPr>
    </w:p>
    <w:p w14:paraId="574941AD">
      <w:pPr>
        <w:spacing w:before="120" w:beforeLines="50" w:line="560" w:lineRule="exact"/>
        <w:ind w:firstLine="480" w:firstLineChars="200"/>
        <w:jc w:val="right"/>
        <w:rPr>
          <w:rFonts w:hint="eastAsia" w:ascii="宋体" w:hAnsi="宋体" w:eastAsia="宋体" w:cs="宋体"/>
          <w:color w:val="000000"/>
          <w:kern w:val="0"/>
          <w:sz w:val="24"/>
        </w:rPr>
      </w:pPr>
    </w:p>
    <w:p w14:paraId="7BF63E60">
      <w:pPr>
        <w:spacing w:before="120" w:beforeLines="50" w:line="560" w:lineRule="exact"/>
        <w:ind w:firstLine="480" w:firstLineChars="200"/>
        <w:jc w:val="right"/>
        <w:rPr>
          <w:rFonts w:hint="eastAsia" w:ascii="宋体" w:hAnsi="宋体" w:eastAsia="宋体" w:cs="宋体"/>
          <w:color w:val="000000"/>
          <w:kern w:val="0"/>
          <w:sz w:val="24"/>
        </w:rPr>
      </w:pPr>
    </w:p>
    <w:p w14:paraId="771C2F97">
      <w:pPr>
        <w:spacing w:before="120" w:beforeLines="50" w:line="560" w:lineRule="exact"/>
        <w:ind w:firstLine="480" w:firstLineChars="200"/>
        <w:jc w:val="right"/>
        <w:rPr>
          <w:rFonts w:hint="eastAsia" w:ascii="宋体" w:hAnsi="宋体" w:eastAsia="宋体" w:cs="宋体"/>
          <w:color w:val="000000"/>
          <w:kern w:val="0"/>
          <w:sz w:val="24"/>
        </w:rPr>
      </w:pPr>
    </w:p>
    <w:p w14:paraId="040E2E7F">
      <w:pPr>
        <w:spacing w:before="120" w:beforeLines="50" w:line="560" w:lineRule="exact"/>
        <w:ind w:firstLine="480" w:firstLineChars="200"/>
        <w:jc w:val="right"/>
        <w:rPr>
          <w:rFonts w:hint="eastAsia" w:ascii="宋体" w:hAnsi="宋体" w:eastAsia="宋体" w:cs="宋体"/>
          <w:color w:val="000000"/>
          <w:kern w:val="0"/>
          <w:sz w:val="24"/>
        </w:rPr>
      </w:pPr>
    </w:p>
    <w:p w14:paraId="56BF7E48">
      <w:pPr>
        <w:spacing w:before="120" w:beforeLines="50" w:line="560" w:lineRule="exact"/>
        <w:ind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单位名称：       （公章）</w:t>
      </w:r>
      <w:bookmarkEnd w:id="129"/>
    </w:p>
    <w:p w14:paraId="15DE3A19">
      <w:pPr>
        <w:spacing w:before="120" w:beforeLines="50" w:line="560" w:lineRule="exact"/>
        <w:ind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bookmarkStart w:id="130" w:name="_Toc11539_WPSOffice_Level3"/>
      <w:r>
        <w:rPr>
          <w:rFonts w:hint="eastAsia" w:ascii="宋体" w:hAnsi="宋体" w:eastAsia="宋体" w:cs="宋体"/>
          <w:color w:val="000000"/>
          <w:kern w:val="0"/>
          <w:sz w:val="24"/>
        </w:rPr>
        <w:t>法定代表人或委托代理人：       （签字或盖章）</w:t>
      </w:r>
      <w:bookmarkEnd w:id="130"/>
    </w:p>
    <w:p w14:paraId="5EB8C530">
      <w:pPr>
        <w:spacing w:before="120" w:beforeLines="50" w:line="560" w:lineRule="exact"/>
        <w:ind w:firstLine="640" w:firstLineChars="200"/>
        <w:jc w:val="center"/>
        <w:rPr>
          <w:rFonts w:hint="eastAsia" w:ascii="宋体" w:hAnsi="宋体" w:eastAsia="宋体" w:cs="宋体"/>
          <w:color w:val="000000"/>
          <w:kern w:val="0"/>
          <w:sz w:val="24"/>
        </w:rPr>
      </w:pPr>
      <w:r>
        <w:rPr>
          <w:rFonts w:hint="eastAsia" w:ascii="宋体" w:hAnsi="宋体" w:eastAsia="宋体" w:cs="宋体"/>
          <w:bCs/>
          <w:color w:val="000000"/>
          <w:sz w:val="32"/>
          <w:szCs w:val="32"/>
        </w:rPr>
        <w:t xml:space="preserve">                                    </w:t>
      </w:r>
      <w:bookmarkStart w:id="131" w:name="_Toc3285_WPSOffice_Level3"/>
      <w:r>
        <w:rPr>
          <w:rFonts w:hint="eastAsia" w:ascii="宋体" w:hAnsi="宋体" w:eastAsia="宋体" w:cs="宋体"/>
          <w:color w:val="000000"/>
          <w:kern w:val="0"/>
          <w:sz w:val="24"/>
        </w:rPr>
        <w:t>年   月  日</w:t>
      </w:r>
      <w:bookmarkEnd w:id="131"/>
    </w:p>
    <w:p w14:paraId="1DC8423F">
      <w:pPr>
        <w:rPr>
          <w:rFonts w:hint="eastAsia" w:ascii="宋体" w:hAnsi="宋体" w:eastAsia="宋体" w:cs="宋体"/>
          <w:color w:val="000000"/>
        </w:rPr>
      </w:pPr>
      <w:r>
        <w:rPr>
          <w:rFonts w:hint="eastAsia" w:ascii="宋体" w:hAnsi="宋体" w:eastAsia="宋体" w:cs="宋体"/>
          <w:color w:val="000000"/>
        </w:rPr>
        <w:br w:type="page"/>
      </w:r>
    </w:p>
    <w:p w14:paraId="259B1C2D">
      <w:pPr>
        <w:rPr>
          <w:rFonts w:hint="eastAsia" w:ascii="宋体" w:hAnsi="宋体" w:eastAsia="宋体" w:cs="宋体"/>
          <w:color w:val="000000"/>
        </w:rPr>
      </w:pPr>
    </w:p>
    <w:p w14:paraId="2612C323">
      <w:pPr>
        <w:autoSpaceDE w:val="0"/>
        <w:autoSpaceDN w:val="0"/>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残疾人福利性单位声明函</w:t>
      </w:r>
    </w:p>
    <w:p w14:paraId="31195C52">
      <w:pPr>
        <w:spacing w:after="120" w:afterLines="50"/>
        <w:rPr>
          <w:rFonts w:hint="eastAsia" w:ascii="宋体" w:hAnsi="宋体" w:eastAsia="宋体" w:cs="宋体"/>
          <w:bCs/>
          <w:color w:val="000000"/>
        </w:rPr>
      </w:pPr>
    </w:p>
    <w:p w14:paraId="691FB8AD">
      <w:pPr>
        <w:adjustRightInd w:val="0"/>
        <w:snapToGrid w:val="0"/>
        <w:spacing w:line="440" w:lineRule="exact"/>
        <w:ind w:left="6987" w:hanging="6987" w:hangingChars="29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cs="宋体"/>
          <w:b/>
          <w:bCs/>
          <w:color w:val="000000"/>
          <w:kern w:val="0"/>
          <w:sz w:val="24"/>
          <w:lang w:val="zh-CN"/>
        </w:rPr>
        <w:t>青海海际项目咨询管理有限公司</w:t>
      </w:r>
    </w:p>
    <w:p w14:paraId="40AB5344">
      <w:pPr>
        <w:spacing w:line="360" w:lineRule="auto"/>
        <w:ind w:firstLine="480"/>
        <w:rPr>
          <w:rFonts w:hint="eastAsia" w:ascii="宋体" w:hAnsi="宋体" w:eastAsia="宋体" w:cs="宋体"/>
          <w:color w:val="000000"/>
        </w:rPr>
      </w:pPr>
    </w:p>
    <w:p w14:paraId="0F87DDEB">
      <w:pPr>
        <w:adjustRightInd w:val="0"/>
        <w:snapToGrid w:val="0"/>
        <w:spacing w:line="440" w:lineRule="exact"/>
        <w:ind w:left="-4" w:leftChars="-2" w:firstLine="480" w:firstLineChars="200"/>
        <w:rPr>
          <w:rFonts w:hint="eastAsia" w:ascii="宋体" w:hAnsi="宋体" w:eastAsia="宋体" w:cs="宋体"/>
          <w:color w:val="000000"/>
          <w:sz w:val="24"/>
        </w:rPr>
      </w:pPr>
      <w:r>
        <w:rPr>
          <w:rFonts w:hint="eastAsia" w:ascii="宋体" w:hAnsi="宋体" w:eastAsia="宋体" w:cs="宋体"/>
          <w:color w:val="000000"/>
          <w:sz w:val="24"/>
        </w:rPr>
        <w:t>本单位郑重声明，根据《财政部、民政部、中国残疾人联合会关于促进残疾人就业政府采购政策的通知》（财库〔2017〕141号）的规定，本单位为符合条件的残疾人福利性单位，本单位在职职工人数为       人，安置的残疾人人数      人。且本单位参加______单位的______项目采购活动提供本单位制造的货物（由本单位承担工程/提供服务），或者提供其他残疾人福利性单位制造的货物（不包括使用非残疾人福利性单位注册商标的货物）。</w:t>
      </w:r>
    </w:p>
    <w:p w14:paraId="2D076F09">
      <w:pPr>
        <w:adjustRightInd w:val="0"/>
        <w:snapToGrid w:val="0"/>
        <w:spacing w:line="440" w:lineRule="exact"/>
        <w:ind w:left="-4" w:leftChars="-2"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本单位对上述声明的真实性负责。如有虚假，将依法承担相应责任。</w:t>
      </w:r>
    </w:p>
    <w:p w14:paraId="7DF65E01">
      <w:pPr>
        <w:adjustRightInd w:val="0"/>
        <w:snapToGrid w:val="0"/>
        <w:spacing w:line="440" w:lineRule="exact"/>
        <w:ind w:left="-4" w:leftChars="-2" w:firstLine="480" w:firstLineChars="200"/>
        <w:rPr>
          <w:rFonts w:hint="eastAsia" w:ascii="宋体" w:hAnsi="宋体" w:eastAsia="宋体" w:cs="宋体"/>
          <w:color w:val="000000"/>
          <w:sz w:val="24"/>
        </w:rPr>
      </w:pPr>
    </w:p>
    <w:p w14:paraId="5DCAD32F">
      <w:pPr>
        <w:adjustRightInd w:val="0"/>
        <w:snapToGrid w:val="0"/>
        <w:spacing w:line="440" w:lineRule="exact"/>
        <w:ind w:left="-4" w:leftChars="-2" w:firstLine="480" w:firstLineChars="200"/>
        <w:rPr>
          <w:rFonts w:hint="eastAsia" w:ascii="宋体" w:hAnsi="宋体" w:eastAsia="宋体" w:cs="宋体"/>
          <w:color w:val="000000"/>
          <w:sz w:val="24"/>
        </w:rPr>
      </w:pPr>
      <w:r>
        <w:rPr>
          <w:rFonts w:hint="eastAsia" w:ascii="宋体" w:hAnsi="宋体" w:eastAsia="宋体" w:cs="宋体"/>
          <w:color w:val="000000"/>
          <w:sz w:val="24"/>
        </w:rPr>
        <w:t>注：若无此项内容，可不提供此函。</w:t>
      </w:r>
    </w:p>
    <w:p w14:paraId="0FFFDEF4">
      <w:pPr>
        <w:spacing w:line="360" w:lineRule="auto"/>
        <w:ind w:firstLine="480"/>
        <w:rPr>
          <w:rFonts w:hint="eastAsia" w:ascii="宋体" w:hAnsi="宋体" w:eastAsia="宋体" w:cs="宋体"/>
          <w:color w:val="000000"/>
        </w:rPr>
      </w:pPr>
    </w:p>
    <w:p w14:paraId="7E30D545">
      <w:pPr>
        <w:spacing w:line="360" w:lineRule="auto"/>
        <w:ind w:firstLine="480"/>
        <w:rPr>
          <w:rFonts w:hint="eastAsia" w:ascii="宋体" w:hAnsi="宋体" w:eastAsia="宋体" w:cs="宋体"/>
          <w:color w:val="000000"/>
        </w:rPr>
      </w:pPr>
    </w:p>
    <w:p w14:paraId="7FA07504">
      <w:pPr>
        <w:spacing w:line="360" w:lineRule="auto"/>
        <w:ind w:firstLine="480"/>
        <w:rPr>
          <w:rFonts w:hint="eastAsia" w:ascii="宋体" w:hAnsi="宋体" w:eastAsia="宋体" w:cs="宋体"/>
          <w:color w:val="000000"/>
        </w:rPr>
      </w:pPr>
    </w:p>
    <w:p w14:paraId="16935FB0">
      <w:pPr>
        <w:spacing w:line="360" w:lineRule="auto"/>
        <w:ind w:firstLine="480"/>
        <w:rPr>
          <w:rFonts w:hint="eastAsia" w:ascii="宋体" w:hAnsi="宋体" w:eastAsia="宋体" w:cs="宋体"/>
          <w:color w:val="000000"/>
        </w:rPr>
      </w:pPr>
    </w:p>
    <w:p w14:paraId="28BCA93D">
      <w:pPr>
        <w:spacing w:line="360" w:lineRule="auto"/>
        <w:ind w:firstLine="480"/>
        <w:rPr>
          <w:rFonts w:hint="eastAsia" w:ascii="宋体" w:hAnsi="宋体" w:eastAsia="宋体" w:cs="宋体"/>
          <w:color w:val="000000"/>
        </w:rPr>
      </w:pPr>
    </w:p>
    <w:p w14:paraId="42340E25">
      <w:pPr>
        <w:spacing w:line="360" w:lineRule="auto"/>
        <w:ind w:firstLine="480"/>
        <w:rPr>
          <w:rFonts w:hint="eastAsia" w:ascii="宋体" w:hAnsi="宋体" w:eastAsia="宋体" w:cs="宋体"/>
          <w:color w:val="000000"/>
        </w:rPr>
      </w:pPr>
    </w:p>
    <w:p w14:paraId="06294574">
      <w:pPr>
        <w:spacing w:line="360" w:lineRule="auto"/>
        <w:ind w:firstLine="480"/>
        <w:rPr>
          <w:rFonts w:hint="eastAsia" w:ascii="宋体" w:hAnsi="宋体" w:eastAsia="宋体" w:cs="宋体"/>
          <w:color w:val="000000"/>
        </w:rPr>
      </w:pPr>
    </w:p>
    <w:p w14:paraId="5737B3FE">
      <w:pPr>
        <w:spacing w:line="360" w:lineRule="auto"/>
        <w:ind w:firstLine="480"/>
        <w:rPr>
          <w:rFonts w:hint="eastAsia" w:ascii="宋体" w:hAnsi="宋体" w:eastAsia="宋体" w:cs="宋体"/>
          <w:color w:val="000000"/>
        </w:rPr>
      </w:pPr>
    </w:p>
    <w:p w14:paraId="2416AEA1">
      <w:pPr>
        <w:spacing w:line="360" w:lineRule="auto"/>
        <w:ind w:firstLine="480"/>
        <w:rPr>
          <w:rFonts w:hint="eastAsia" w:ascii="宋体" w:hAnsi="宋体" w:eastAsia="宋体" w:cs="宋体"/>
          <w:color w:val="000000"/>
        </w:rPr>
      </w:pPr>
    </w:p>
    <w:p w14:paraId="76E3334C">
      <w:pPr>
        <w:spacing w:line="360" w:lineRule="auto"/>
        <w:ind w:firstLine="480"/>
        <w:rPr>
          <w:rFonts w:hint="eastAsia" w:ascii="宋体" w:hAnsi="宋体" w:eastAsia="宋体" w:cs="宋体"/>
          <w:color w:val="000000"/>
        </w:rPr>
      </w:pPr>
    </w:p>
    <w:p w14:paraId="6F39ADDA">
      <w:pPr>
        <w:spacing w:line="360" w:lineRule="auto"/>
        <w:ind w:firstLine="480"/>
        <w:rPr>
          <w:rFonts w:hint="eastAsia" w:ascii="宋体" w:hAnsi="宋体" w:eastAsia="宋体" w:cs="宋体"/>
          <w:color w:val="000000"/>
        </w:rPr>
      </w:pPr>
    </w:p>
    <w:p w14:paraId="6043708E">
      <w:pPr>
        <w:spacing w:line="360" w:lineRule="auto"/>
        <w:ind w:firstLine="480"/>
        <w:rPr>
          <w:rFonts w:hint="eastAsia" w:ascii="宋体" w:hAnsi="宋体" w:eastAsia="宋体" w:cs="宋体"/>
          <w:color w:val="000000"/>
        </w:rPr>
      </w:pPr>
    </w:p>
    <w:p w14:paraId="3CC74B3E">
      <w:pPr>
        <w:autoSpaceDE w:val="0"/>
        <w:autoSpaceDN w:val="0"/>
        <w:spacing w:line="360" w:lineRule="auto"/>
        <w:jc w:val="right"/>
        <w:rPr>
          <w:rFonts w:hint="eastAsia" w:ascii="宋体" w:hAnsi="宋体" w:eastAsia="宋体" w:cs="宋体"/>
          <w:bCs/>
          <w:color w:val="000000"/>
          <w:sz w:val="24"/>
          <w:szCs w:val="28"/>
        </w:rPr>
      </w:pPr>
      <w:r>
        <w:rPr>
          <w:rFonts w:hint="eastAsia" w:ascii="宋体" w:hAnsi="宋体" w:eastAsia="宋体" w:cs="宋体"/>
          <w:b/>
          <w:color w:val="000000"/>
        </w:rPr>
        <w:t xml:space="preserve">                                </w:t>
      </w:r>
      <w:r>
        <w:rPr>
          <w:rFonts w:hint="eastAsia" w:ascii="宋体" w:hAnsi="宋体" w:eastAsia="宋体" w:cs="宋体"/>
          <w:bCs/>
          <w:color w:val="000000"/>
          <w:sz w:val="24"/>
          <w:szCs w:val="28"/>
        </w:rPr>
        <w:t>企业名称：       （公章）</w:t>
      </w:r>
    </w:p>
    <w:p w14:paraId="5FE6A17C">
      <w:pPr>
        <w:autoSpaceDE w:val="0"/>
        <w:autoSpaceDN w:val="0"/>
        <w:spacing w:line="360" w:lineRule="auto"/>
        <w:jc w:val="right"/>
        <w:rPr>
          <w:rFonts w:hint="eastAsia" w:ascii="宋体" w:hAnsi="宋体" w:eastAsia="宋体" w:cs="宋体"/>
          <w:bCs/>
          <w:color w:val="000000"/>
          <w:sz w:val="24"/>
          <w:szCs w:val="28"/>
        </w:rPr>
      </w:pPr>
      <w:r>
        <w:rPr>
          <w:rFonts w:hint="eastAsia" w:ascii="宋体" w:hAnsi="宋体" w:eastAsia="宋体" w:cs="宋体"/>
          <w:bCs/>
          <w:color w:val="000000"/>
          <w:sz w:val="24"/>
          <w:szCs w:val="28"/>
        </w:rPr>
        <w:t xml:space="preserve">       企业法定代表人：       （签字或盖章）</w:t>
      </w:r>
    </w:p>
    <w:p w14:paraId="136FEF29">
      <w:pPr>
        <w:rPr>
          <w:rFonts w:hint="eastAsia" w:ascii="宋体" w:hAnsi="宋体" w:eastAsia="宋体" w:cs="宋体"/>
          <w:color w:val="000000"/>
          <w:lang w:val="zh-CN"/>
        </w:rPr>
      </w:pPr>
      <w:r>
        <w:rPr>
          <w:rFonts w:hint="eastAsia" w:ascii="宋体" w:hAnsi="宋体" w:eastAsia="宋体" w:cs="宋体"/>
          <w:bCs/>
          <w:color w:val="000000"/>
          <w:sz w:val="24"/>
          <w:szCs w:val="28"/>
        </w:rPr>
        <w:t xml:space="preserve">                                                          年   月  日</w:t>
      </w:r>
    </w:p>
    <w:p w14:paraId="6E841B93">
      <w:pPr>
        <w:pStyle w:val="5"/>
        <w:numPr>
          <w:ilvl w:val="0"/>
          <w:numId w:val="0"/>
        </w:numPr>
        <w:rPr>
          <w:rFonts w:hint="eastAsia" w:ascii="宋体" w:hAnsi="宋体" w:eastAsia="宋体" w:cs="宋体"/>
          <w:b/>
          <w:color w:val="000000"/>
          <w:sz w:val="32"/>
          <w:lang w:val="zh-CN"/>
        </w:rPr>
      </w:pPr>
      <w:r>
        <w:rPr>
          <w:rFonts w:hint="eastAsia" w:ascii="宋体" w:hAnsi="宋体" w:eastAsia="宋体" w:cs="宋体"/>
          <w:b/>
          <w:color w:val="000000"/>
          <w:sz w:val="32"/>
          <w:lang w:val="zh-CN"/>
        </w:rPr>
        <w:br w:type="page"/>
      </w:r>
      <w:bookmarkStart w:id="132" w:name="_Toc12744"/>
      <w:r>
        <w:rPr>
          <w:rFonts w:hint="eastAsia" w:ascii="宋体" w:hAnsi="宋体" w:eastAsia="宋体" w:cs="宋体"/>
          <w:b/>
          <w:color w:val="000000"/>
          <w:sz w:val="32"/>
          <w:lang w:val="zh-CN"/>
        </w:rPr>
        <w:t>格式1</w:t>
      </w:r>
      <w:r>
        <w:rPr>
          <w:rFonts w:hint="eastAsia" w:hAnsi="宋体" w:cs="宋体"/>
          <w:b/>
          <w:color w:val="000000"/>
          <w:sz w:val="32"/>
          <w:lang w:val="en-US" w:eastAsia="zh-CN"/>
        </w:rPr>
        <w:t>6</w:t>
      </w:r>
      <w:r>
        <w:rPr>
          <w:rFonts w:hint="eastAsia" w:ascii="宋体" w:hAnsi="宋体" w:eastAsia="宋体" w:cs="宋体"/>
          <w:b/>
          <w:color w:val="000000"/>
          <w:sz w:val="32"/>
          <w:lang w:val="zh-CN"/>
        </w:rPr>
        <w:t>、磋商供应商认为在其他方面有必要说明的事项</w:t>
      </w:r>
      <w:bookmarkEnd w:id="123"/>
      <w:bookmarkEnd w:id="132"/>
    </w:p>
    <w:p w14:paraId="7D99E2B3">
      <w:pPr>
        <w:autoSpaceDE w:val="0"/>
        <w:autoSpaceDN w:val="0"/>
        <w:adjustRightInd w:val="0"/>
        <w:spacing w:line="360" w:lineRule="auto"/>
        <w:rPr>
          <w:rFonts w:hint="eastAsia" w:ascii="宋体" w:hAnsi="宋体" w:eastAsia="宋体" w:cs="宋体"/>
          <w:color w:val="000000"/>
          <w:kern w:val="0"/>
          <w:sz w:val="24"/>
          <w:lang w:val="zh-CN"/>
        </w:rPr>
      </w:pPr>
    </w:p>
    <w:p w14:paraId="16BDE4BF">
      <w:pPr>
        <w:pStyle w:val="13"/>
        <w:spacing w:line="360" w:lineRule="auto"/>
        <w:jc w:val="center"/>
        <w:rPr>
          <w:rFonts w:hint="eastAsia" w:ascii="宋体" w:hAnsi="宋体" w:eastAsia="宋体" w:cs="宋体"/>
          <w:b/>
          <w:bCs/>
          <w:color w:val="000000"/>
          <w:sz w:val="30"/>
          <w:szCs w:val="30"/>
          <w:lang w:val="zh-CN"/>
        </w:rPr>
      </w:pPr>
      <w:r>
        <w:rPr>
          <w:rFonts w:hint="eastAsia" w:ascii="宋体" w:hAnsi="宋体" w:eastAsia="宋体" w:cs="宋体"/>
          <w:b/>
          <w:bCs/>
          <w:color w:val="000000"/>
          <w:sz w:val="32"/>
          <w:szCs w:val="30"/>
          <w:lang w:val="zh-CN"/>
        </w:rPr>
        <w:t>磋商供应商认为在其他方面有必要说明的事项</w:t>
      </w:r>
    </w:p>
    <w:p w14:paraId="5D53BFFE">
      <w:pPr>
        <w:autoSpaceDE w:val="0"/>
        <w:autoSpaceDN w:val="0"/>
        <w:adjustRightInd w:val="0"/>
        <w:spacing w:line="360" w:lineRule="auto"/>
        <w:rPr>
          <w:rFonts w:hint="eastAsia" w:ascii="宋体" w:hAnsi="宋体" w:eastAsia="宋体" w:cs="宋体"/>
          <w:color w:val="000000"/>
          <w:kern w:val="0"/>
          <w:sz w:val="24"/>
          <w:lang w:val="zh-CN"/>
        </w:rPr>
      </w:pPr>
    </w:p>
    <w:p w14:paraId="6C449AA8">
      <w:pPr>
        <w:autoSpaceDE w:val="0"/>
        <w:autoSpaceDN w:val="0"/>
        <w:spacing w:line="360" w:lineRule="auto"/>
        <w:ind w:firstLine="480" w:firstLineChars="20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磋商供应商在参加本项目磋商中根据磋商文件的要求认为需要说明的事项，如没有说明事项，此项可忽略。（格式可自定）</w:t>
      </w:r>
    </w:p>
    <w:p w14:paraId="2E9DBD1D">
      <w:pPr>
        <w:pStyle w:val="5"/>
        <w:numPr>
          <w:ilvl w:val="0"/>
          <w:numId w:val="0"/>
        </w:numPr>
        <w:ind w:left="709" w:hanging="709"/>
        <w:rPr>
          <w:rFonts w:hint="eastAsia" w:ascii="宋体" w:hAnsi="宋体" w:eastAsia="宋体" w:cs="宋体"/>
          <w:b/>
          <w:color w:val="000000"/>
          <w:sz w:val="32"/>
          <w:lang w:val="zh-CN"/>
        </w:rPr>
      </w:pPr>
      <w:r>
        <w:rPr>
          <w:rFonts w:hint="eastAsia" w:ascii="宋体" w:hAnsi="宋体" w:eastAsia="宋体" w:cs="宋体"/>
          <w:bCs/>
          <w:color w:val="000000"/>
          <w:sz w:val="24"/>
          <w:szCs w:val="28"/>
        </w:rPr>
        <w:br w:type="page"/>
      </w:r>
      <w:bookmarkStart w:id="133" w:name="_Toc2403"/>
      <w:r>
        <w:rPr>
          <w:rFonts w:hint="eastAsia" w:ascii="宋体" w:hAnsi="宋体" w:eastAsia="宋体" w:cs="宋体"/>
          <w:b/>
          <w:color w:val="000000"/>
          <w:sz w:val="32"/>
          <w:lang w:val="zh-CN"/>
        </w:rPr>
        <w:t>格式1</w:t>
      </w:r>
      <w:r>
        <w:rPr>
          <w:rFonts w:hint="eastAsia" w:hAnsi="宋体" w:cs="宋体"/>
          <w:b/>
          <w:color w:val="000000"/>
          <w:sz w:val="32"/>
          <w:lang w:val="en-US" w:eastAsia="zh-CN"/>
        </w:rPr>
        <w:t>7</w:t>
      </w:r>
      <w:r>
        <w:rPr>
          <w:rFonts w:hint="eastAsia" w:ascii="宋体" w:hAnsi="宋体" w:eastAsia="宋体" w:cs="宋体"/>
          <w:b/>
          <w:color w:val="000000"/>
          <w:sz w:val="32"/>
          <w:lang w:val="zh-CN"/>
        </w:rPr>
        <w:t>、磋商最终报价表</w:t>
      </w:r>
      <w:r>
        <w:rPr>
          <w:rFonts w:hint="eastAsia" w:ascii="宋体" w:hAnsi="宋体" w:eastAsia="宋体" w:cs="宋体"/>
          <w:b/>
          <w:color w:val="000000"/>
          <w:sz w:val="36"/>
          <w:szCs w:val="36"/>
        </w:rPr>
        <w:t>（单独提交）</w:t>
      </w:r>
      <w:bookmarkEnd w:id="133"/>
    </w:p>
    <w:p w14:paraId="3AEB4B06">
      <w:pPr>
        <w:spacing w:line="360" w:lineRule="auto"/>
        <w:jc w:val="center"/>
        <w:rPr>
          <w:rFonts w:hint="eastAsia" w:ascii="宋体" w:hAnsi="宋体" w:eastAsia="宋体" w:cs="宋体"/>
          <w:b/>
          <w:color w:val="000000"/>
          <w:sz w:val="32"/>
          <w:szCs w:val="36"/>
        </w:rPr>
      </w:pPr>
      <w:r>
        <w:rPr>
          <w:rFonts w:hint="eastAsia" w:ascii="宋体" w:hAnsi="宋体" w:eastAsia="宋体" w:cs="宋体"/>
          <w:b/>
          <w:color w:val="000000"/>
          <w:sz w:val="32"/>
          <w:szCs w:val="36"/>
        </w:rPr>
        <w:t>磋商最终报价表</w:t>
      </w:r>
    </w:p>
    <w:p w14:paraId="23AF6D58">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4"/>
          <w:szCs w:val="28"/>
        </w:rPr>
        <w:t xml:space="preserve">磋商供应商名称： </w:t>
      </w:r>
      <w:r>
        <w:rPr>
          <w:rFonts w:hint="eastAsia" w:ascii="宋体" w:hAnsi="宋体" w:eastAsia="宋体" w:cs="宋体"/>
          <w:b/>
          <w:color w:val="000000"/>
          <w:sz w:val="28"/>
          <w:szCs w:val="28"/>
        </w:rPr>
        <w:t xml:space="preserve">                                       </w:t>
      </w:r>
      <w:r>
        <w:rPr>
          <w:rFonts w:hint="eastAsia" w:ascii="宋体" w:hAnsi="宋体" w:eastAsia="宋体" w:cs="宋体"/>
          <w:b/>
          <w:color w:val="000000"/>
          <w:sz w:val="24"/>
        </w:rPr>
        <w:t>单位：元</w:t>
      </w:r>
    </w:p>
    <w:tbl>
      <w:tblPr>
        <w:tblStyle w:val="33"/>
        <w:tblW w:w="8859" w:type="dxa"/>
        <w:jc w:val="center"/>
        <w:shd w:val="clear" w:color="auto" w:fill="auto"/>
        <w:tblLayout w:type="fixed"/>
        <w:tblCellMar>
          <w:top w:w="0" w:type="dxa"/>
          <w:left w:w="108" w:type="dxa"/>
          <w:bottom w:w="0" w:type="dxa"/>
          <w:right w:w="108" w:type="dxa"/>
        </w:tblCellMar>
      </w:tblPr>
      <w:tblGrid>
        <w:gridCol w:w="2347"/>
        <w:gridCol w:w="2934"/>
        <w:gridCol w:w="1742"/>
        <w:gridCol w:w="1836"/>
      </w:tblGrid>
      <w:tr w14:paraId="465AABAC">
        <w:tblPrEx>
          <w:shd w:val="clear" w:color="auto" w:fill="auto"/>
          <w:tblCellMar>
            <w:top w:w="0" w:type="dxa"/>
            <w:left w:w="108" w:type="dxa"/>
            <w:bottom w:w="0" w:type="dxa"/>
            <w:right w:w="108" w:type="dxa"/>
          </w:tblCellMar>
        </w:tblPrEx>
        <w:trPr>
          <w:trHeight w:val="723" w:hRule="atLeast"/>
          <w:jc w:val="center"/>
        </w:trPr>
        <w:tc>
          <w:tcPr>
            <w:tcW w:w="234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F3C78">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bCs/>
                <w:color w:val="000000"/>
                <w:sz w:val="24"/>
                <w:lang w:val="zh-CN"/>
              </w:rPr>
              <w:t>项目名称</w:t>
            </w:r>
          </w:p>
        </w:tc>
        <w:tc>
          <w:tcPr>
            <w:tcW w:w="293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5EC2B8">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磋商最终报价</w:t>
            </w:r>
          </w:p>
        </w:tc>
        <w:tc>
          <w:tcPr>
            <w:tcW w:w="1742"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48EDAECD">
            <w:pPr>
              <w:autoSpaceDE w:val="0"/>
              <w:autoSpaceDN w:val="0"/>
              <w:spacing w:line="360" w:lineRule="auto"/>
              <w:jc w:val="center"/>
              <w:rPr>
                <w:rFonts w:hint="eastAsia" w:ascii="宋体" w:hAnsi="宋体" w:eastAsia="宋体" w:cs="宋体"/>
                <w:bCs/>
                <w:color w:val="000000"/>
                <w:sz w:val="24"/>
                <w:lang w:val="zh-CN"/>
              </w:rPr>
            </w:pPr>
            <w:r>
              <w:rPr>
                <w:rFonts w:hint="eastAsia" w:ascii="宋体" w:hAnsi="宋体" w:eastAsia="宋体" w:cs="宋体"/>
                <w:bCs/>
                <w:color w:val="000000"/>
                <w:sz w:val="24"/>
                <w:lang w:val="zh-CN"/>
              </w:rPr>
              <w:t>服务期</w:t>
            </w:r>
          </w:p>
        </w:tc>
        <w:tc>
          <w:tcPr>
            <w:tcW w:w="18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4598D2">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备注</w:t>
            </w:r>
          </w:p>
        </w:tc>
      </w:tr>
      <w:tr w14:paraId="6C96B45C">
        <w:tblPrEx>
          <w:shd w:val="clear" w:color="auto" w:fill="auto"/>
          <w:tblCellMar>
            <w:top w:w="0" w:type="dxa"/>
            <w:left w:w="108" w:type="dxa"/>
            <w:bottom w:w="0" w:type="dxa"/>
            <w:right w:w="108" w:type="dxa"/>
          </w:tblCellMar>
        </w:tblPrEx>
        <w:trPr>
          <w:trHeight w:val="577" w:hRule="atLeast"/>
          <w:jc w:val="center"/>
        </w:trPr>
        <w:tc>
          <w:tcPr>
            <w:tcW w:w="2347" w:type="dxa"/>
            <w:vMerge w:val="restart"/>
            <w:tcBorders>
              <w:top w:val="single" w:color="000000" w:sz="6" w:space="0"/>
              <w:left w:val="single" w:color="000000" w:sz="6" w:space="0"/>
              <w:right w:val="single" w:color="000000" w:sz="6" w:space="0"/>
            </w:tcBorders>
            <w:shd w:val="clear" w:color="auto" w:fill="auto"/>
            <w:noWrap w:val="0"/>
            <w:vAlign w:val="center"/>
          </w:tcPr>
          <w:p w14:paraId="41D84D6B">
            <w:pPr>
              <w:autoSpaceDE w:val="0"/>
              <w:autoSpaceDN w:val="0"/>
              <w:spacing w:line="360" w:lineRule="auto"/>
              <w:jc w:val="center"/>
              <w:rPr>
                <w:rFonts w:hint="eastAsia" w:ascii="宋体" w:hAnsi="宋体" w:eastAsia="宋体" w:cs="宋体"/>
                <w:color w:val="000000"/>
                <w:lang w:val="zh-CN"/>
              </w:rPr>
            </w:pPr>
          </w:p>
        </w:tc>
        <w:tc>
          <w:tcPr>
            <w:tcW w:w="293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3E352A">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大写：</w:t>
            </w:r>
          </w:p>
        </w:tc>
        <w:tc>
          <w:tcPr>
            <w:tcW w:w="1742" w:type="dxa"/>
            <w:vMerge w:val="restart"/>
            <w:tcBorders>
              <w:top w:val="single" w:color="000000" w:sz="6" w:space="0"/>
              <w:left w:val="single" w:color="auto" w:sz="4" w:space="0"/>
              <w:right w:val="single" w:color="000000" w:sz="6" w:space="0"/>
            </w:tcBorders>
            <w:shd w:val="clear" w:color="auto" w:fill="auto"/>
            <w:noWrap w:val="0"/>
            <w:vAlign w:val="center"/>
          </w:tcPr>
          <w:p w14:paraId="3E251D6E">
            <w:pPr>
              <w:autoSpaceDE w:val="0"/>
              <w:autoSpaceDN w:val="0"/>
              <w:spacing w:line="360" w:lineRule="auto"/>
              <w:ind w:firstLine="197"/>
              <w:jc w:val="center"/>
              <w:rPr>
                <w:rFonts w:hint="eastAsia" w:ascii="宋体" w:hAnsi="宋体" w:eastAsia="宋体" w:cs="宋体"/>
                <w:color w:val="000000"/>
                <w:lang w:val="zh-CN"/>
              </w:rPr>
            </w:pPr>
          </w:p>
        </w:tc>
        <w:tc>
          <w:tcPr>
            <w:tcW w:w="1836"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042B7D">
            <w:pPr>
              <w:autoSpaceDE w:val="0"/>
              <w:autoSpaceDN w:val="0"/>
              <w:spacing w:line="360" w:lineRule="auto"/>
              <w:jc w:val="center"/>
              <w:rPr>
                <w:rFonts w:hint="eastAsia" w:ascii="宋体" w:hAnsi="宋体" w:eastAsia="宋体" w:cs="宋体"/>
                <w:color w:val="000000"/>
                <w:lang w:val="zh-CN"/>
              </w:rPr>
            </w:pPr>
          </w:p>
        </w:tc>
      </w:tr>
      <w:tr w14:paraId="175158A2">
        <w:tblPrEx>
          <w:shd w:val="clear" w:color="auto" w:fill="auto"/>
          <w:tblCellMar>
            <w:top w:w="0" w:type="dxa"/>
            <w:left w:w="108" w:type="dxa"/>
            <w:bottom w:w="0" w:type="dxa"/>
            <w:right w:w="108" w:type="dxa"/>
          </w:tblCellMar>
        </w:tblPrEx>
        <w:trPr>
          <w:trHeight w:val="615" w:hRule="atLeast"/>
          <w:jc w:val="center"/>
        </w:trPr>
        <w:tc>
          <w:tcPr>
            <w:tcW w:w="2347" w:type="dxa"/>
            <w:vMerge w:val="continue"/>
            <w:tcBorders>
              <w:left w:val="single" w:color="000000" w:sz="6" w:space="0"/>
              <w:bottom w:val="single" w:color="000000" w:sz="6" w:space="0"/>
              <w:right w:val="single" w:color="000000" w:sz="6" w:space="0"/>
            </w:tcBorders>
            <w:shd w:val="clear" w:color="auto" w:fill="auto"/>
            <w:noWrap w:val="0"/>
            <w:vAlign w:val="center"/>
          </w:tcPr>
          <w:p w14:paraId="27DD7ACA">
            <w:pPr>
              <w:autoSpaceDE w:val="0"/>
              <w:autoSpaceDN w:val="0"/>
              <w:spacing w:line="360" w:lineRule="auto"/>
              <w:jc w:val="center"/>
              <w:rPr>
                <w:rFonts w:hint="eastAsia" w:ascii="宋体" w:hAnsi="宋体" w:eastAsia="宋体" w:cs="宋体"/>
                <w:color w:val="000000"/>
                <w:lang w:val="zh-CN"/>
              </w:rPr>
            </w:pPr>
          </w:p>
        </w:tc>
        <w:tc>
          <w:tcPr>
            <w:tcW w:w="293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24EE0E">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小写：</w:t>
            </w:r>
          </w:p>
        </w:tc>
        <w:tc>
          <w:tcPr>
            <w:tcW w:w="1742" w:type="dxa"/>
            <w:vMerge w:val="continue"/>
            <w:tcBorders>
              <w:left w:val="single" w:color="auto" w:sz="4" w:space="0"/>
              <w:bottom w:val="single" w:color="000000" w:sz="6" w:space="0"/>
              <w:right w:val="single" w:color="000000" w:sz="6" w:space="0"/>
            </w:tcBorders>
            <w:shd w:val="clear" w:color="auto" w:fill="auto"/>
            <w:noWrap w:val="0"/>
            <w:vAlign w:val="center"/>
          </w:tcPr>
          <w:p w14:paraId="7E0DAE02">
            <w:pPr>
              <w:autoSpaceDE w:val="0"/>
              <w:autoSpaceDN w:val="0"/>
              <w:spacing w:line="360" w:lineRule="auto"/>
              <w:jc w:val="center"/>
              <w:rPr>
                <w:rFonts w:hint="eastAsia" w:ascii="宋体" w:hAnsi="宋体" w:eastAsia="宋体" w:cs="宋体"/>
                <w:color w:val="000000"/>
                <w:lang w:val="zh-CN"/>
              </w:rPr>
            </w:pPr>
          </w:p>
        </w:tc>
        <w:tc>
          <w:tcPr>
            <w:tcW w:w="1836"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4D6242">
            <w:pPr>
              <w:autoSpaceDE w:val="0"/>
              <w:autoSpaceDN w:val="0"/>
              <w:spacing w:line="360" w:lineRule="auto"/>
              <w:jc w:val="center"/>
              <w:rPr>
                <w:rFonts w:hint="eastAsia" w:ascii="宋体" w:hAnsi="宋体" w:eastAsia="宋体" w:cs="宋体"/>
                <w:color w:val="000000"/>
                <w:lang w:val="zh-CN"/>
              </w:rPr>
            </w:pPr>
          </w:p>
        </w:tc>
      </w:tr>
    </w:tbl>
    <w:p w14:paraId="4606BC0D">
      <w:pPr>
        <w:spacing w:line="360" w:lineRule="auto"/>
        <w:jc w:val="left"/>
        <w:rPr>
          <w:rFonts w:hint="eastAsia" w:ascii="宋体" w:hAnsi="宋体" w:eastAsia="宋体" w:cs="宋体"/>
          <w:b/>
          <w:color w:val="000000"/>
        </w:rPr>
      </w:pPr>
    </w:p>
    <w:p w14:paraId="40BF6AB1">
      <w:pPr>
        <w:spacing w:line="360" w:lineRule="auto"/>
        <w:ind w:firstLine="422" w:firstLineChars="200"/>
        <w:jc w:val="left"/>
        <w:rPr>
          <w:rFonts w:hint="eastAsia" w:ascii="宋体" w:hAnsi="宋体" w:eastAsia="宋体" w:cs="宋体"/>
          <w:b/>
          <w:color w:val="000000"/>
        </w:rPr>
      </w:pPr>
      <w:r>
        <w:rPr>
          <w:rFonts w:hint="eastAsia" w:ascii="宋体" w:hAnsi="宋体" w:eastAsia="宋体" w:cs="宋体"/>
          <w:b/>
          <w:color w:val="000000"/>
        </w:rPr>
        <w:t>注：此表不需装订在磋商响应文件中，磋商供应商事先须盖章、签字。在磋商期间，由磋商小组确定合格的磋商供应商现场填写。</w:t>
      </w:r>
    </w:p>
    <w:p w14:paraId="58D65683">
      <w:pPr>
        <w:tabs>
          <w:tab w:val="left" w:pos="168"/>
        </w:tabs>
        <w:adjustRightInd w:val="0"/>
        <w:spacing w:line="360" w:lineRule="auto"/>
        <w:textAlignment w:val="baseline"/>
        <w:rPr>
          <w:rFonts w:hint="eastAsia" w:ascii="宋体" w:hAnsi="宋体" w:eastAsia="宋体" w:cs="宋体"/>
          <w:b/>
          <w:bCs/>
          <w:color w:val="000000"/>
          <w:sz w:val="28"/>
        </w:rPr>
      </w:pPr>
    </w:p>
    <w:p w14:paraId="2F49F25D">
      <w:pPr>
        <w:tabs>
          <w:tab w:val="left" w:pos="168"/>
        </w:tabs>
        <w:adjustRightInd w:val="0"/>
        <w:spacing w:line="360" w:lineRule="auto"/>
        <w:textAlignment w:val="baseline"/>
        <w:rPr>
          <w:rFonts w:hint="eastAsia" w:ascii="宋体" w:hAnsi="宋体" w:eastAsia="宋体" w:cs="宋体"/>
          <w:b/>
          <w:bCs/>
          <w:color w:val="000000"/>
          <w:sz w:val="28"/>
        </w:rPr>
      </w:pPr>
    </w:p>
    <w:p w14:paraId="6CEECC34">
      <w:pPr>
        <w:tabs>
          <w:tab w:val="left" w:pos="168"/>
        </w:tabs>
        <w:adjustRightInd w:val="0"/>
        <w:spacing w:line="360" w:lineRule="auto"/>
        <w:textAlignment w:val="baseline"/>
        <w:rPr>
          <w:rFonts w:hint="eastAsia" w:ascii="宋体" w:hAnsi="宋体" w:eastAsia="宋体" w:cs="宋体"/>
          <w:b/>
          <w:bCs/>
          <w:color w:val="000000"/>
          <w:sz w:val="28"/>
        </w:rPr>
      </w:pPr>
    </w:p>
    <w:p w14:paraId="6AD5EAE5">
      <w:pPr>
        <w:tabs>
          <w:tab w:val="left" w:pos="168"/>
        </w:tabs>
        <w:adjustRightInd w:val="0"/>
        <w:spacing w:line="360" w:lineRule="auto"/>
        <w:textAlignment w:val="baseline"/>
        <w:rPr>
          <w:rFonts w:hint="eastAsia" w:ascii="宋体" w:hAnsi="宋体" w:eastAsia="宋体" w:cs="宋体"/>
          <w:b/>
          <w:bCs/>
          <w:color w:val="000000"/>
          <w:sz w:val="28"/>
        </w:rPr>
      </w:pPr>
    </w:p>
    <w:p w14:paraId="28D028D7">
      <w:pPr>
        <w:tabs>
          <w:tab w:val="left" w:pos="168"/>
        </w:tabs>
        <w:adjustRightInd w:val="0"/>
        <w:spacing w:line="360" w:lineRule="auto"/>
        <w:textAlignment w:val="baseline"/>
        <w:rPr>
          <w:rFonts w:hint="eastAsia" w:ascii="宋体" w:hAnsi="宋体" w:eastAsia="宋体" w:cs="宋体"/>
          <w:bCs/>
          <w:color w:val="000000"/>
          <w:sz w:val="28"/>
          <w:szCs w:val="28"/>
        </w:rPr>
      </w:pPr>
    </w:p>
    <w:p w14:paraId="505B156F">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2946AD54">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1F9549A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3F7DC0E5">
      <w:pPr>
        <w:spacing w:line="360" w:lineRule="auto"/>
        <w:jc w:val="center"/>
        <w:rPr>
          <w:rFonts w:hint="eastAsia" w:ascii="宋体" w:hAnsi="宋体" w:eastAsia="宋体" w:cs="宋体"/>
          <w:bCs/>
          <w:color w:val="000000"/>
          <w:sz w:val="24"/>
          <w:szCs w:val="28"/>
        </w:rPr>
      </w:pPr>
    </w:p>
    <w:p w14:paraId="4BF4B4BA">
      <w:pPr>
        <w:spacing w:line="360" w:lineRule="auto"/>
        <w:rPr>
          <w:rFonts w:hint="eastAsia" w:ascii="宋体" w:hAnsi="宋体" w:eastAsia="宋体" w:cs="宋体"/>
          <w:color w:val="000000"/>
          <w:sz w:val="24"/>
          <w:highlight w:val="green"/>
        </w:rPr>
      </w:pPr>
      <w:bookmarkStart w:id="134" w:name="_Toc444715745"/>
      <w:bookmarkStart w:id="135" w:name="_Toc29404"/>
    </w:p>
    <w:p w14:paraId="12D98C9B">
      <w:pPr>
        <w:pStyle w:val="23"/>
        <w:spacing w:before="0" w:after="0" w:line="360" w:lineRule="auto"/>
        <w:rPr>
          <w:rFonts w:hint="eastAsia" w:ascii="宋体" w:hAnsi="宋体" w:eastAsia="宋体" w:cs="宋体"/>
          <w:color w:val="000000"/>
          <w:sz w:val="48"/>
        </w:rPr>
      </w:pPr>
      <w:r>
        <w:rPr>
          <w:rFonts w:hint="eastAsia" w:ascii="宋体" w:hAnsi="宋体" w:eastAsia="宋体" w:cs="宋体"/>
          <w:color w:val="000000"/>
          <w:sz w:val="48"/>
        </w:rPr>
        <w:br w:type="page"/>
      </w:r>
      <w:bookmarkStart w:id="136" w:name="_Toc10393"/>
      <w:r>
        <w:rPr>
          <w:rFonts w:hint="eastAsia" w:ascii="宋体" w:hAnsi="宋体" w:eastAsia="宋体" w:cs="宋体"/>
          <w:color w:val="000000"/>
          <w:sz w:val="48"/>
        </w:rPr>
        <w:t>第六部分  采购项目要求及内容</w:t>
      </w:r>
      <w:bookmarkEnd w:id="134"/>
      <w:bookmarkEnd w:id="135"/>
      <w:bookmarkEnd w:id="136"/>
    </w:p>
    <w:p w14:paraId="6F766B46">
      <w:pPr>
        <w:pStyle w:val="5"/>
        <w:keepNext/>
        <w:keepLines/>
        <w:numPr>
          <w:ilvl w:val="0"/>
          <w:numId w:val="0"/>
        </w:numPr>
        <w:tabs>
          <w:tab w:val="clear" w:pos="709"/>
        </w:tabs>
        <w:snapToGrid/>
        <w:spacing w:line="360" w:lineRule="auto"/>
        <w:ind w:left="567" w:hanging="567"/>
        <w:rPr>
          <w:rFonts w:hint="eastAsia" w:ascii="宋体" w:hAnsi="宋体" w:eastAsia="宋体" w:cs="宋体"/>
          <w:b/>
          <w:bCs/>
          <w:color w:val="000000"/>
          <w:kern w:val="0"/>
          <w:sz w:val="32"/>
          <w:szCs w:val="32"/>
        </w:rPr>
      </w:pPr>
      <w:bookmarkStart w:id="137" w:name="_Toc428180595"/>
      <w:bookmarkStart w:id="138" w:name="_Toc31574"/>
      <w:r>
        <w:rPr>
          <w:rFonts w:hint="eastAsia" w:ascii="宋体" w:hAnsi="宋体" w:eastAsia="宋体" w:cs="宋体"/>
          <w:b/>
          <w:bCs/>
          <w:color w:val="000000"/>
          <w:kern w:val="0"/>
          <w:sz w:val="32"/>
          <w:szCs w:val="32"/>
        </w:rPr>
        <w:t>一、磋商要求</w:t>
      </w:r>
      <w:bookmarkEnd w:id="137"/>
      <w:bookmarkEnd w:id="138"/>
    </w:p>
    <w:p w14:paraId="38EB3EE0">
      <w:pPr>
        <w:pStyle w:val="6"/>
        <w:spacing w:before="0" w:after="0" w:line="360" w:lineRule="auto"/>
        <w:rPr>
          <w:rFonts w:hint="eastAsia" w:ascii="宋体" w:hAnsi="宋体" w:eastAsia="宋体" w:cs="宋体"/>
          <w:b w:val="0"/>
          <w:color w:val="000000"/>
        </w:rPr>
      </w:pPr>
      <w:bookmarkStart w:id="139" w:name="_Toc428180596"/>
      <w:bookmarkStart w:id="140" w:name="_Toc19124"/>
      <w:r>
        <w:rPr>
          <w:rFonts w:hint="eastAsia" w:ascii="宋体" w:hAnsi="宋体" w:eastAsia="宋体" w:cs="宋体"/>
          <w:b w:val="0"/>
          <w:color w:val="000000"/>
        </w:rPr>
        <w:t>1.磋商说明</w:t>
      </w:r>
      <w:bookmarkEnd w:id="139"/>
      <w:bookmarkEnd w:id="140"/>
      <w:r>
        <w:rPr>
          <w:rFonts w:hint="eastAsia" w:ascii="宋体" w:hAnsi="宋体" w:eastAsia="宋体" w:cs="宋体"/>
          <w:b w:val="0"/>
          <w:color w:val="000000"/>
        </w:rPr>
        <w:t xml:space="preserve"> </w:t>
      </w:r>
    </w:p>
    <w:p w14:paraId="1D7C7CC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1.1.磋商供应商可以按照磋商文件的规定磋商，但必须对所投包号中的所有内容作为一个整体进行磋商，不能拆分或少报。否则，磋商无效。</w:t>
      </w:r>
    </w:p>
    <w:p w14:paraId="23D777BD">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1.2.磋商报价应包括</w:t>
      </w:r>
      <w:r>
        <w:rPr>
          <w:rFonts w:hint="eastAsia" w:ascii="宋体" w:hAnsi="宋体" w:eastAsia="宋体" w:cs="宋体"/>
          <w:color w:val="000000"/>
          <w:kern w:val="0"/>
          <w:sz w:val="24"/>
          <w:szCs w:val="28"/>
        </w:rPr>
        <w:t>完成本服务内容可能发生的各项费用，如</w:t>
      </w:r>
      <w:r>
        <w:rPr>
          <w:rFonts w:hint="eastAsia" w:ascii="宋体" w:hAnsi="宋体" w:cs="宋体"/>
          <w:color w:val="000000"/>
          <w:kern w:val="0"/>
          <w:sz w:val="24"/>
          <w:szCs w:val="28"/>
          <w:lang w:eastAsia="zh-CN"/>
        </w:rPr>
        <w:t>人员工资、差旅费、设备仪器、交通、培训费，维护费、保险、利润、税金、招标代理费以及所有有关的管理成本和其他不可预见费等全部费用。</w:t>
      </w:r>
      <w:r>
        <w:rPr>
          <w:rFonts w:hint="eastAsia" w:ascii="宋体" w:hAnsi="宋体" w:eastAsia="宋体" w:cs="宋体"/>
          <w:color w:val="000000"/>
          <w:kern w:val="0"/>
          <w:sz w:val="24"/>
          <w:lang w:val="zh-CN"/>
        </w:rPr>
        <w:t xml:space="preserve">若磋商报价不能完全包括上述内容，该磋商将被认为非实质性响应。 </w:t>
      </w:r>
    </w:p>
    <w:p w14:paraId="64789F5D">
      <w:pPr>
        <w:pStyle w:val="6"/>
        <w:spacing w:before="0" w:after="0" w:line="360" w:lineRule="auto"/>
        <w:rPr>
          <w:rFonts w:hint="eastAsia" w:ascii="宋体" w:hAnsi="宋体" w:eastAsia="宋体" w:cs="宋体"/>
          <w:color w:val="000000"/>
          <w:sz w:val="32"/>
        </w:rPr>
      </w:pPr>
      <w:bookmarkStart w:id="141" w:name="_Toc428180597"/>
      <w:bookmarkStart w:id="142" w:name="_Toc15308"/>
      <w:r>
        <w:rPr>
          <w:rFonts w:hint="eastAsia" w:ascii="宋体" w:hAnsi="宋体" w:eastAsia="宋体" w:cs="宋体"/>
          <w:b w:val="0"/>
          <w:color w:val="000000"/>
        </w:rPr>
        <w:t>2.报价说明</w:t>
      </w:r>
      <w:bookmarkEnd w:id="141"/>
      <w:bookmarkEnd w:id="142"/>
    </w:p>
    <w:p w14:paraId="180268F1">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本次磋商文件中规定的采购预算额度为磋商最高限价，磋商供应商的磋商报价不得超出此额度。否则，磋商无效。</w:t>
      </w:r>
    </w:p>
    <w:p w14:paraId="4FC9628A">
      <w:pPr>
        <w:pStyle w:val="6"/>
        <w:spacing w:before="0" w:after="0" w:line="360" w:lineRule="auto"/>
        <w:rPr>
          <w:rFonts w:hint="eastAsia" w:ascii="宋体" w:hAnsi="宋体" w:eastAsia="宋体" w:cs="宋体"/>
          <w:b w:val="0"/>
          <w:color w:val="auto"/>
        </w:rPr>
      </w:pPr>
      <w:bookmarkStart w:id="143" w:name="_Toc428180599"/>
      <w:bookmarkStart w:id="144" w:name="_Toc26909"/>
      <w:r>
        <w:rPr>
          <w:rFonts w:hint="eastAsia" w:ascii="宋体" w:hAnsi="宋体" w:eastAsia="宋体" w:cs="宋体"/>
          <w:b w:val="0"/>
          <w:color w:val="000000"/>
        </w:rPr>
        <w:t>3.商务要</w:t>
      </w:r>
      <w:r>
        <w:rPr>
          <w:rFonts w:hint="eastAsia" w:ascii="宋体" w:hAnsi="宋体" w:eastAsia="宋体" w:cs="宋体"/>
          <w:b w:val="0"/>
          <w:color w:val="auto"/>
        </w:rPr>
        <w:t>求</w:t>
      </w:r>
      <w:bookmarkEnd w:id="143"/>
      <w:bookmarkEnd w:id="144"/>
    </w:p>
    <w:p w14:paraId="32AAEE86">
      <w:pPr>
        <w:autoSpaceDE w:val="0"/>
        <w:autoSpaceDN w:val="0"/>
        <w:adjustRightInd w:val="0"/>
        <w:spacing w:line="360" w:lineRule="auto"/>
        <w:ind w:firstLine="480" w:firstLineChars="200"/>
        <w:rPr>
          <w:rFonts w:hint="eastAsia" w:ascii="宋体" w:hAnsi="宋体" w:eastAsia="宋体" w:cs="宋体"/>
          <w:color w:val="auto"/>
          <w:kern w:val="0"/>
          <w:sz w:val="24"/>
          <w:highlight w:val="none"/>
          <w:lang w:val="zh-CN"/>
        </w:rPr>
      </w:pPr>
      <w:bookmarkStart w:id="145" w:name="_Toc488673674"/>
      <w:r>
        <w:rPr>
          <w:rFonts w:hint="eastAsia" w:ascii="宋体" w:hAnsi="宋体" w:eastAsia="宋体" w:cs="宋体"/>
          <w:color w:val="auto"/>
          <w:kern w:val="0"/>
          <w:sz w:val="24"/>
          <w:highlight w:val="none"/>
          <w:lang w:val="zh-CN"/>
        </w:rPr>
        <w:t>3.1.</w:t>
      </w:r>
      <w:bookmarkEnd w:id="145"/>
      <w:r>
        <w:rPr>
          <w:rFonts w:hint="eastAsia" w:ascii="宋体" w:hAnsi="宋体" w:eastAsia="宋体" w:cs="宋体"/>
          <w:color w:val="auto"/>
          <w:sz w:val="24"/>
          <w:highlight w:val="none"/>
          <w:lang w:eastAsia="zh-CN"/>
        </w:rPr>
        <w:t>服务期：</w:t>
      </w:r>
      <w:r>
        <w:rPr>
          <w:rFonts w:hint="eastAsia" w:ascii="宋体" w:hAnsi="宋体" w:cs="宋体"/>
          <w:color w:val="auto"/>
          <w:sz w:val="24"/>
          <w:highlight w:val="none"/>
          <w:lang w:val="en-US" w:eastAsia="zh-CN"/>
        </w:rPr>
        <w:t>180个日历日</w:t>
      </w:r>
      <w:r>
        <w:rPr>
          <w:rFonts w:hint="eastAsia" w:ascii="宋体" w:hAnsi="宋体" w:eastAsia="宋体" w:cs="宋体"/>
          <w:color w:val="auto"/>
          <w:kern w:val="0"/>
          <w:sz w:val="24"/>
          <w:highlight w:val="none"/>
          <w:lang w:val="zh-CN"/>
        </w:rPr>
        <w:t>；</w:t>
      </w:r>
    </w:p>
    <w:p w14:paraId="55D536E2">
      <w:pPr>
        <w:autoSpaceDE w:val="0"/>
        <w:autoSpaceDN w:val="0"/>
        <w:adjustRightInd w:val="0"/>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kern w:val="0"/>
          <w:sz w:val="24"/>
          <w:highlight w:val="none"/>
          <w:lang w:val="zh-CN"/>
        </w:rPr>
        <w:t>3.2.服务地点：</w:t>
      </w:r>
      <w:r>
        <w:rPr>
          <w:rFonts w:hint="eastAsia" w:ascii="宋体" w:hAnsi="宋体" w:cs="宋体"/>
          <w:color w:val="auto"/>
          <w:sz w:val="24"/>
          <w:highlight w:val="none"/>
          <w:lang w:eastAsia="zh-CN"/>
        </w:rPr>
        <w:t>青海民族大学</w:t>
      </w:r>
      <w:r>
        <w:rPr>
          <w:rFonts w:hint="eastAsia" w:ascii="宋体" w:hAnsi="宋体" w:cs="宋体"/>
          <w:color w:val="auto"/>
          <w:sz w:val="24"/>
          <w:highlight w:val="none"/>
          <w:lang w:val="en-US" w:eastAsia="zh-CN"/>
        </w:rPr>
        <w:t>；</w:t>
      </w:r>
    </w:p>
    <w:p w14:paraId="3EFFACC2">
      <w:pPr>
        <w:autoSpaceDE w:val="0"/>
        <w:autoSpaceDN w:val="0"/>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3.3.质保期：验收通过后3年内免费保障正常运行</w:t>
      </w:r>
      <w:r>
        <w:rPr>
          <w:rFonts w:hint="eastAsia" w:ascii="宋体" w:hAnsi="宋体" w:cs="宋体"/>
          <w:color w:val="auto"/>
          <w:kern w:val="0"/>
          <w:sz w:val="24"/>
          <w:highlight w:val="none"/>
          <w:lang w:val="en-US" w:eastAsia="zh-CN"/>
        </w:rPr>
        <w:t>。</w:t>
      </w:r>
    </w:p>
    <w:p w14:paraId="15875DB0">
      <w:pPr>
        <w:pStyle w:val="5"/>
        <w:keepNext/>
        <w:keepLines/>
        <w:numPr>
          <w:ilvl w:val="0"/>
          <w:numId w:val="0"/>
        </w:numPr>
        <w:tabs>
          <w:tab w:val="clear" w:pos="709"/>
        </w:tabs>
        <w:snapToGrid/>
        <w:spacing w:line="360" w:lineRule="auto"/>
        <w:rPr>
          <w:rFonts w:hint="eastAsia" w:ascii="宋体" w:hAnsi="宋体" w:eastAsia="宋体" w:cs="宋体"/>
          <w:b/>
          <w:bCs/>
          <w:color w:val="000000"/>
          <w:kern w:val="0"/>
          <w:sz w:val="32"/>
          <w:szCs w:val="32"/>
        </w:rPr>
      </w:pPr>
      <w:bookmarkStart w:id="146" w:name="_Toc459377899"/>
      <w:bookmarkStart w:id="147" w:name="_Toc480468113"/>
      <w:bookmarkStart w:id="148" w:name="_Toc17612"/>
      <w:bookmarkStart w:id="149" w:name="_Hlk486599483"/>
      <w:r>
        <w:rPr>
          <w:rFonts w:hint="eastAsia" w:ascii="宋体" w:hAnsi="宋体" w:eastAsia="宋体" w:cs="宋体"/>
          <w:b/>
          <w:bCs/>
          <w:color w:val="000000"/>
          <w:kern w:val="0"/>
          <w:sz w:val="32"/>
          <w:szCs w:val="32"/>
        </w:rPr>
        <w:t>二、服务</w:t>
      </w:r>
      <w:bookmarkEnd w:id="146"/>
      <w:bookmarkEnd w:id="147"/>
      <w:r>
        <w:rPr>
          <w:rFonts w:hint="eastAsia" w:ascii="宋体" w:hAnsi="宋体" w:eastAsia="宋体" w:cs="宋体"/>
          <w:b/>
          <w:bCs/>
          <w:color w:val="000000"/>
          <w:kern w:val="0"/>
          <w:sz w:val="32"/>
          <w:szCs w:val="32"/>
        </w:rPr>
        <w:t>内容及要求</w:t>
      </w:r>
      <w:bookmarkEnd w:id="148"/>
      <w:bookmarkEnd w:id="149"/>
    </w:p>
    <w:p w14:paraId="18C0CB17">
      <w:pPr>
        <w:autoSpaceDE w:val="0"/>
        <w:autoSpaceDN w:val="0"/>
        <w:adjustRightInd w:val="0"/>
        <w:spacing w:line="360" w:lineRule="auto"/>
        <w:ind w:firstLine="361" w:firstLineChars="150"/>
        <w:rPr>
          <w:rFonts w:hint="default" w:cs="Arial"/>
          <w:color w:val="auto"/>
          <w:highlight w:val="none"/>
          <w:lang w:val="en-US" w:eastAsia="zh-CN"/>
        </w:rPr>
      </w:pPr>
      <w:r>
        <w:rPr>
          <w:rFonts w:hint="eastAsia" w:ascii="宋体" w:hAnsi="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eastAsia="zh-CN"/>
        </w:rPr>
        <w:t>一</w:t>
      </w:r>
      <w:r>
        <w:rPr>
          <w:rFonts w:hint="eastAsia" w:ascii="宋体" w:hAnsi="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eastAsia="zh-CN"/>
        </w:rPr>
        <w:t>项目基本情况</w:t>
      </w:r>
    </w:p>
    <w:p w14:paraId="3428183B">
      <w:pPr>
        <w:autoSpaceDE w:val="0"/>
        <w:autoSpaceDN w:val="0"/>
        <w:adjustRightInd w:val="0"/>
        <w:spacing w:line="360" w:lineRule="auto"/>
        <w:ind w:firstLine="480" w:firstLineChars="200"/>
        <w:rPr>
          <w:rFonts w:hint="eastAsia" w:ascii="宋体" w:hAnsi="宋体" w:eastAsia="宋体" w:cs="宋体"/>
          <w:color w:val="000000"/>
          <w:sz w:val="24"/>
          <w:szCs w:val="28"/>
          <w:lang w:val="zh-CN"/>
        </w:rPr>
      </w:pPr>
      <w:r>
        <w:rPr>
          <w:rFonts w:hint="eastAsia" w:ascii="宋体" w:hAnsi="宋体" w:eastAsia="宋体" w:cs="宋体"/>
          <w:color w:val="000000"/>
          <w:sz w:val="24"/>
          <w:szCs w:val="28"/>
          <w:lang w:val="zh-CN"/>
        </w:rPr>
        <w:t>为解决“报账繁”的问题，让广大师生潜心科研和学业，也为了让财务人员从传统报销模式的桎梏中解脱出来，推动财务管理水平的提升，在财务信息化系统中通过建立“稽核内控规则”事前辅助财务工作对业务端的管控，是规范业务行为、提高业务资料质量的重要保证。通过“事前稽核”不但可以保障会计信息的真实性和准确性，而且可以推动内控体系建设，使其扎实落地、稳健实施，并以此作为防范学校风险、提高内部管理水平重要工作和抓手。</w:t>
      </w:r>
    </w:p>
    <w:p w14:paraId="26018C8D">
      <w:pPr>
        <w:autoSpaceDE w:val="0"/>
        <w:autoSpaceDN w:val="0"/>
        <w:adjustRightInd w:val="0"/>
        <w:spacing w:line="360" w:lineRule="auto"/>
        <w:ind w:firstLine="480" w:firstLineChars="200"/>
        <w:rPr>
          <w:rFonts w:hint="eastAsia" w:ascii="宋体" w:hAnsi="宋体" w:eastAsia="宋体" w:cs="宋体"/>
          <w:color w:val="000000"/>
          <w:sz w:val="24"/>
          <w:szCs w:val="28"/>
          <w:lang w:val="zh-CN"/>
        </w:rPr>
      </w:pPr>
      <w:r>
        <w:rPr>
          <w:rFonts w:hint="eastAsia" w:ascii="宋体" w:hAnsi="宋体" w:eastAsia="宋体" w:cs="宋体"/>
          <w:color w:val="000000"/>
          <w:sz w:val="24"/>
          <w:szCs w:val="28"/>
          <w:lang w:val="zh-CN"/>
        </w:rPr>
        <w:t>为实现全校收费项目的统一管理，为收费申请部门、缴费人员、财务部门提供统一的平台。学费、住宿费、考试报名费、水电费缴费等都可以在平台上完成。需支持支付宝、微信支付等多种第三方支付和网银平台。财务部门可以集中监管校内各类收费项目，实时查询统计收费情况，实时生成收费单，以及统一完成票据打印、财务凭证、银行对帐等处理。</w:t>
      </w:r>
    </w:p>
    <w:p w14:paraId="1CF3586B">
      <w:pPr>
        <w:numPr>
          <w:ilvl w:val="0"/>
          <w:numId w:val="0"/>
        </w:numPr>
        <w:autoSpaceDE w:val="0"/>
        <w:autoSpaceDN w:val="0"/>
        <w:adjustRightInd w:val="0"/>
        <w:snapToGrid w:val="0"/>
        <w:spacing w:line="360" w:lineRule="auto"/>
        <w:ind w:firstLine="482" w:firstLineChars="200"/>
        <w:rPr>
          <w:rFonts w:hint="eastAsia" w:eastAsia="宋体" w:cs="Arial"/>
          <w:color w:val="auto"/>
          <w:highlight w:val="none"/>
          <w:lang w:val="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eastAsia="zh-CN"/>
        </w:rPr>
        <w:t>）服务</w:t>
      </w:r>
      <w:r>
        <w:rPr>
          <w:rFonts w:hint="eastAsia" w:ascii="宋体" w:hAnsi="宋体" w:eastAsia="宋体" w:cs="宋体"/>
          <w:b/>
          <w:bCs/>
          <w:color w:val="auto"/>
          <w:sz w:val="24"/>
          <w:szCs w:val="24"/>
          <w:highlight w:val="none"/>
          <w:lang w:val="en-US" w:eastAsia="zh-CN"/>
        </w:rPr>
        <w:t>采购内容</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color w:val="000000"/>
          <w:sz w:val="24"/>
          <w:szCs w:val="28"/>
          <w:lang w:val="zh-CN"/>
        </w:rPr>
        <w:t>购置财务智能稽核系统1套、统一支付平台系统1套。</w:t>
      </w:r>
    </w:p>
    <w:p w14:paraId="61D7CA5D">
      <w:pPr>
        <w:pStyle w:val="12"/>
        <w:numPr>
          <w:ilvl w:val="0"/>
          <w:numId w:val="0"/>
        </w:numPr>
        <w:spacing w:line="360" w:lineRule="auto"/>
        <w:ind w:firstLine="482" w:firstLineChars="200"/>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（三）采购需求参数内容：</w:t>
      </w:r>
    </w:p>
    <w:tbl>
      <w:tblPr>
        <w:tblStyle w:val="34"/>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32"/>
        <w:gridCol w:w="5195"/>
        <w:gridCol w:w="685"/>
        <w:gridCol w:w="685"/>
        <w:gridCol w:w="713"/>
      </w:tblGrid>
      <w:tr w14:paraId="0BC1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5" w:type="dxa"/>
            <w:vAlign w:val="center"/>
          </w:tcPr>
          <w:p w14:paraId="622688EC">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br w:type="page"/>
            </w:r>
            <w:r>
              <w:rPr>
                <w:rFonts w:hint="eastAsia" w:ascii="宋体" w:hAnsi="宋体" w:eastAsia="宋体" w:cs="宋体"/>
                <w:b/>
                <w:kern w:val="0"/>
                <w:sz w:val="24"/>
                <w:szCs w:val="24"/>
              </w:rPr>
              <w:t>序号</w:t>
            </w:r>
          </w:p>
        </w:tc>
        <w:tc>
          <w:tcPr>
            <w:tcW w:w="1032" w:type="dxa"/>
            <w:vAlign w:val="center"/>
          </w:tcPr>
          <w:p w14:paraId="7B5FB4C6">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名称</w:t>
            </w:r>
          </w:p>
        </w:tc>
        <w:tc>
          <w:tcPr>
            <w:tcW w:w="5195" w:type="dxa"/>
            <w:vAlign w:val="center"/>
          </w:tcPr>
          <w:p w14:paraId="21A7177A">
            <w:pPr>
              <w:spacing w:line="360" w:lineRule="auto"/>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服务</w:t>
            </w:r>
            <w:r>
              <w:rPr>
                <w:rFonts w:hint="eastAsia" w:ascii="宋体" w:hAnsi="宋体" w:eastAsia="宋体" w:cs="宋体"/>
                <w:b/>
                <w:kern w:val="0"/>
                <w:sz w:val="24"/>
                <w:szCs w:val="24"/>
              </w:rPr>
              <w:t>技术参数</w:t>
            </w:r>
            <w:r>
              <w:rPr>
                <w:rFonts w:hint="eastAsia" w:ascii="宋体" w:hAnsi="宋体" w:eastAsia="宋体" w:cs="宋体"/>
                <w:b/>
                <w:kern w:val="0"/>
                <w:sz w:val="24"/>
                <w:szCs w:val="24"/>
                <w:lang w:val="en-US" w:eastAsia="zh-CN"/>
              </w:rPr>
              <w:t>内容</w:t>
            </w:r>
          </w:p>
        </w:tc>
        <w:tc>
          <w:tcPr>
            <w:tcW w:w="685" w:type="dxa"/>
            <w:vAlign w:val="center"/>
          </w:tcPr>
          <w:p w14:paraId="223C6D6D">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685" w:type="dxa"/>
            <w:vAlign w:val="center"/>
          </w:tcPr>
          <w:p w14:paraId="033EBABB">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713" w:type="dxa"/>
          </w:tcPr>
          <w:p w14:paraId="188E3A07">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w:t>
            </w:r>
          </w:p>
          <w:p w14:paraId="2354EAD3">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注</w:t>
            </w:r>
          </w:p>
        </w:tc>
      </w:tr>
      <w:tr w14:paraId="40AD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45" w:type="dxa"/>
            <w:vAlign w:val="center"/>
          </w:tcPr>
          <w:p w14:paraId="15B385E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32" w:type="dxa"/>
            <w:vAlign w:val="center"/>
          </w:tcPr>
          <w:p w14:paraId="2324ED4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财务智能稽核系统</w:t>
            </w:r>
          </w:p>
        </w:tc>
        <w:tc>
          <w:tcPr>
            <w:tcW w:w="5195" w:type="dxa"/>
            <w:vAlign w:val="center"/>
          </w:tcPr>
          <w:p w14:paraId="6007E1D6">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（一）对接需求</w:t>
            </w:r>
          </w:p>
          <w:p w14:paraId="296FBDC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与现有网上报销系统</w:t>
            </w:r>
            <w:r>
              <w:rPr>
                <w:rFonts w:hint="eastAsia" w:ascii="宋体" w:hAnsi="宋体" w:eastAsia="宋体" w:cs="宋体"/>
                <w:b/>
                <w:bCs/>
                <w:kern w:val="0"/>
                <w:sz w:val="24"/>
                <w:szCs w:val="24"/>
                <w:lang w:val="en-US" w:eastAsia="zh-CN"/>
              </w:rPr>
              <w:t>无缝</w:t>
            </w:r>
            <w:r>
              <w:rPr>
                <w:rFonts w:hint="eastAsia" w:ascii="宋体" w:hAnsi="宋体" w:eastAsia="宋体" w:cs="宋体"/>
                <w:b/>
                <w:bCs/>
                <w:kern w:val="0"/>
                <w:sz w:val="24"/>
                <w:szCs w:val="24"/>
              </w:rPr>
              <w:t>对接</w:t>
            </w:r>
            <w:r>
              <w:rPr>
                <w:rFonts w:hint="eastAsia" w:ascii="宋体" w:hAnsi="宋体" w:eastAsia="宋体" w:cs="宋体"/>
                <w:kern w:val="0"/>
                <w:sz w:val="24"/>
                <w:szCs w:val="24"/>
              </w:rPr>
              <w:t>，为网上报销系统提供事前稽核管控手段，涵盖人员信息、各种发票、经济事项，附件品类、支付信息、差旅标准等，全面覆盖整个报销业务环节的各个数据角落。</w:t>
            </w:r>
          </w:p>
          <w:p w14:paraId="3ED0A93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（二）基础数据</w:t>
            </w:r>
          </w:p>
          <w:p w14:paraId="65F7F9EB">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1.黑名单设置</w:t>
            </w:r>
          </w:p>
          <w:p w14:paraId="753B97E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系统应支持对公往来单位和对私个人灰黑名单设置，对可能失信的账户名单和个人名单，进行录入留底。</w:t>
            </w:r>
          </w:p>
          <w:p w14:paraId="0A3EF8C6">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2.差旅费级别与标准设置</w:t>
            </w:r>
          </w:p>
          <w:p w14:paraId="2CDA699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差旅的住宿标准</w:t>
            </w:r>
            <w:r>
              <w:rPr>
                <w:rFonts w:hint="eastAsia" w:ascii="宋体" w:hAnsi="宋体" w:eastAsia="宋体" w:cs="宋体"/>
                <w:kern w:val="0"/>
                <w:sz w:val="24"/>
                <w:szCs w:val="24"/>
                <w:lang w:val="en-US" w:eastAsia="zh-CN"/>
              </w:rPr>
              <w:t>按照《青海民族大学差旅费管理办法》</w:t>
            </w:r>
            <w:r>
              <w:rPr>
                <w:rFonts w:hint="eastAsia" w:ascii="宋体" w:hAnsi="宋体" w:eastAsia="宋体" w:cs="宋体"/>
                <w:kern w:val="0"/>
                <w:sz w:val="24"/>
                <w:szCs w:val="24"/>
              </w:rPr>
              <w:t>进行维护数据。人员级别应根据</w:t>
            </w:r>
            <w:r>
              <w:rPr>
                <w:rFonts w:hint="eastAsia" w:ascii="宋体" w:hAnsi="宋体" w:eastAsia="宋体" w:cs="宋体"/>
                <w:kern w:val="0"/>
                <w:sz w:val="24"/>
                <w:szCs w:val="24"/>
                <w:lang w:val="en-US" w:eastAsia="zh-CN"/>
              </w:rPr>
              <w:t>人事系统中</w:t>
            </w:r>
            <w:r>
              <w:rPr>
                <w:rFonts w:hint="eastAsia" w:ascii="宋体" w:hAnsi="宋体" w:eastAsia="宋体" w:cs="宋体"/>
                <w:kern w:val="0"/>
                <w:sz w:val="24"/>
                <w:szCs w:val="24"/>
              </w:rPr>
              <w:t>职别来对数据进行维护。</w:t>
            </w:r>
          </w:p>
          <w:p w14:paraId="5212BA4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3.告警信息设置</w:t>
            </w:r>
          </w:p>
          <w:p w14:paraId="337FF9A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告警信息设置是对规则模型中的告警级别进行数据维护。</w:t>
            </w:r>
          </w:p>
          <w:p w14:paraId="4F992B52">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4.节假日管理</w:t>
            </w:r>
          </w:p>
          <w:p w14:paraId="421FD6B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根据差旅报销判断出差日期是否存在于节假日里，如果存在的话，</w:t>
            </w:r>
            <w:r>
              <w:rPr>
                <w:rFonts w:hint="eastAsia" w:ascii="宋体" w:hAnsi="宋体" w:eastAsia="宋体" w:cs="宋体"/>
                <w:kern w:val="0"/>
                <w:sz w:val="24"/>
                <w:szCs w:val="24"/>
                <w:lang w:val="en-US" w:eastAsia="zh-CN"/>
              </w:rPr>
              <w:t>需提供相应的情况说明</w:t>
            </w:r>
            <w:r>
              <w:rPr>
                <w:rFonts w:hint="eastAsia" w:ascii="宋体" w:hAnsi="宋体" w:eastAsia="宋体" w:cs="宋体"/>
                <w:kern w:val="0"/>
                <w:sz w:val="24"/>
                <w:szCs w:val="24"/>
              </w:rPr>
              <w:t>，系统应通过基础数据添加的节假日来进行告警。</w:t>
            </w:r>
          </w:p>
          <w:p w14:paraId="5A7CC98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5.附件管理</w:t>
            </w:r>
          </w:p>
          <w:p w14:paraId="004B14F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设置需要上传的附件形式、规格、模板等，可按经济分类编号进行分类。</w:t>
            </w:r>
          </w:p>
          <w:p w14:paraId="5B70C716">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6.经济分类设置</w:t>
            </w:r>
          </w:p>
          <w:p w14:paraId="1092720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可设置经济分类的金额限制和经济分类摘要发票内容限制。</w:t>
            </w:r>
          </w:p>
          <w:p w14:paraId="5D2D795E">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（三）规则模型分配设置</w:t>
            </w:r>
          </w:p>
          <w:p w14:paraId="3495EA88">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1.发票稽核模型</w:t>
            </w:r>
          </w:p>
          <w:p w14:paraId="7653460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系统应支持发票的金额、付款方识别号、发票内容、黑名单验证、购买方名称验证、发票是否连号等规则的验证。</w:t>
            </w:r>
          </w:p>
          <w:p w14:paraId="73B1BC6D">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2.经济分类模型</w:t>
            </w:r>
          </w:p>
          <w:p w14:paraId="04968BA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在报销过程中对报销的种类、科目进行限制和提醒。</w:t>
            </w:r>
          </w:p>
          <w:p w14:paraId="1E772D81">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3.支付方式稽核模型</w:t>
            </w:r>
          </w:p>
          <w:p w14:paraId="5D19601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系统应支持对私个人灰黑名单、发票中往来单位限制金额、对私校内校外金额、和对私往来单位 灰黑名单的设置，可针对发票地区和发票金额是否包含黑名单供应商或商品信息进行预警。</w:t>
            </w:r>
          </w:p>
          <w:p w14:paraId="31873A7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4.人员稽核模型</w:t>
            </w:r>
          </w:p>
          <w:p w14:paraId="2BDB2D0B">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设置稽核中的人员登录信息，可以查看人员信息是否可以登录系统，检验人员信息是否有效。</w:t>
            </w:r>
          </w:p>
          <w:p w14:paraId="125BC6DB">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5.自定义稽核模型</w:t>
            </w:r>
          </w:p>
          <w:p w14:paraId="65E87A7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系统应支持用户自定义配置模型规则及返回的告警信息,规则支持的类型应至少包括数字类型字段,时间类型字段及字符类型字段,配置相应类型字段并填写满足的条件且启用后，将触发此规则并返回相关告警信息。</w:t>
            </w:r>
          </w:p>
          <w:p w14:paraId="22AE852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（四）稽核统计</w:t>
            </w:r>
          </w:p>
          <w:p w14:paraId="1C36771E">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1.稽核日志统计</w:t>
            </w:r>
          </w:p>
          <w:p w14:paraId="708486D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系统应支持对稽核异常数量，告警数量，具体规则数量等量化数据统计的展示。</w:t>
            </w:r>
          </w:p>
          <w:p w14:paraId="2736219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2.折线数据统计</w:t>
            </w:r>
          </w:p>
          <w:p w14:paraId="62B2F03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系统应支持通过选择时间段来自动生成折线图，以直观的显示稽核统计。</w:t>
            </w:r>
          </w:p>
          <w:p w14:paraId="05B6A32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（五）报销业务统计</w:t>
            </w:r>
          </w:p>
          <w:p w14:paraId="4A9E175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1.差旅报销统计</w:t>
            </w:r>
          </w:p>
          <w:p w14:paraId="2DF1337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系统应支持跨年统计报销业务数据，通过柱状图、折线图等图表方式展现统计结果。</w:t>
            </w:r>
          </w:p>
          <w:p w14:paraId="195099E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2.发票连号统计</w:t>
            </w:r>
          </w:p>
          <w:p w14:paraId="442BF5F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统计出发票连号的情况并显示统计的明细。</w:t>
            </w:r>
          </w:p>
          <w:p w14:paraId="6587415E">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3.大额支付记录统计</w:t>
            </w:r>
          </w:p>
          <w:p w14:paraId="5AAE6D2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系统应支持统计每年网报端和账务端的发票高额的合计张数并细化到金额、范围和合计张数。</w:t>
            </w:r>
          </w:p>
          <w:p w14:paraId="18960668">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（六）其他要求</w:t>
            </w:r>
          </w:p>
          <w:p w14:paraId="4E807FC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系统在数据收集、存储、使用与加工、传输与提供等方面应保证数据安全性，禁止明文存储和传输数据。</w:t>
            </w:r>
          </w:p>
          <w:p w14:paraId="107D3AE6">
            <w:pPr>
              <w:pStyle w:val="12"/>
              <w:tabs>
                <w:tab w:val="left" w:pos="360"/>
              </w:tabs>
              <w:spacing w:line="360" w:lineRule="auto"/>
              <w:ind w:left="210" w:leftChars="100" w:firstLine="240" w:firstLineChars="100"/>
              <w:rPr>
                <w:rFonts w:hint="eastAsia" w:ascii="宋体" w:hAnsi="宋体" w:eastAsia="宋体" w:cs="宋体"/>
                <w:sz w:val="24"/>
                <w:szCs w:val="24"/>
              </w:rPr>
            </w:pPr>
            <w:r>
              <w:rPr>
                <w:rFonts w:hint="eastAsia" w:ascii="宋体" w:hAnsi="宋体" w:eastAsia="宋体" w:cs="宋体"/>
                <w:kern w:val="0"/>
                <w:sz w:val="24"/>
                <w:szCs w:val="24"/>
              </w:rPr>
              <w:t>提供系统的安全设计方案或说明。</w:t>
            </w:r>
          </w:p>
        </w:tc>
        <w:tc>
          <w:tcPr>
            <w:tcW w:w="685" w:type="dxa"/>
            <w:vAlign w:val="center"/>
          </w:tcPr>
          <w:p w14:paraId="2F4954DC">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85" w:type="dxa"/>
            <w:vAlign w:val="center"/>
          </w:tcPr>
          <w:p w14:paraId="2B494474">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13" w:type="dxa"/>
            <w:vAlign w:val="center"/>
          </w:tcPr>
          <w:p w14:paraId="34D3E963">
            <w:pPr>
              <w:widowControl/>
              <w:spacing w:line="360" w:lineRule="auto"/>
              <w:ind w:firstLine="120" w:firstLineChars="50"/>
              <w:jc w:val="left"/>
              <w:rPr>
                <w:rFonts w:hint="eastAsia" w:ascii="宋体" w:hAnsi="宋体" w:eastAsia="宋体" w:cs="宋体"/>
                <w:color w:val="000000"/>
                <w:kern w:val="0"/>
                <w:sz w:val="24"/>
                <w:szCs w:val="24"/>
              </w:rPr>
            </w:pPr>
          </w:p>
        </w:tc>
      </w:tr>
      <w:tr w14:paraId="3D1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5" w:type="dxa"/>
            <w:vAlign w:val="center"/>
          </w:tcPr>
          <w:p w14:paraId="5378E192">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032" w:type="dxa"/>
            <w:vAlign w:val="center"/>
          </w:tcPr>
          <w:p w14:paraId="5F7271A8">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统一支付平台系统</w:t>
            </w:r>
          </w:p>
        </w:tc>
        <w:tc>
          <w:tcPr>
            <w:tcW w:w="5195" w:type="dxa"/>
            <w:vAlign w:val="center"/>
          </w:tcPr>
          <w:p w14:paraId="52EF4A7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统一支付平台系统应能实现“网上支付”手段，实现校园收费项目和业务的统一支付入口，实现统一收费、统一支付、统一查询。</w:t>
            </w:r>
          </w:p>
          <w:p w14:paraId="4109668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系统应实现的主要功能：</w:t>
            </w:r>
          </w:p>
          <w:p w14:paraId="20AFA0C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（一）学生网上交费功能</w:t>
            </w:r>
          </w:p>
          <w:p w14:paraId="0CB73082">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1.学费住宿费缴纳</w:t>
            </w:r>
          </w:p>
          <w:p w14:paraId="6ACCB2A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系统与学生收费管理系统</w:t>
            </w:r>
            <w:r>
              <w:rPr>
                <w:rFonts w:hint="eastAsia" w:ascii="宋体" w:hAnsi="宋体" w:eastAsia="宋体" w:cs="宋体"/>
                <w:b/>
                <w:bCs/>
                <w:kern w:val="0"/>
                <w:sz w:val="24"/>
                <w:szCs w:val="24"/>
              </w:rPr>
              <w:t>无缝对接</w:t>
            </w:r>
            <w:r>
              <w:rPr>
                <w:rFonts w:hint="eastAsia" w:ascii="宋体" w:hAnsi="宋体" w:eastAsia="宋体" w:cs="宋体"/>
                <w:kern w:val="0"/>
                <w:sz w:val="24"/>
                <w:szCs w:val="24"/>
              </w:rPr>
              <w:t>，实现学生基本身份信息、应缴款查询、网银缴费、订单拆分、交费记录查询、收费单查询等功能。</w:t>
            </w:r>
          </w:p>
          <w:p w14:paraId="49EDCEA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2.零星费用缴纳</w:t>
            </w:r>
          </w:p>
          <w:p w14:paraId="431E131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用户登录统一支付平台后，进入其他缴费模块可缴纳零星费用，包括：培训费、英语四六级、报名费等。</w:t>
            </w:r>
          </w:p>
          <w:p w14:paraId="73D04B0C">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3.生活缴费缴纳</w:t>
            </w:r>
          </w:p>
          <w:p w14:paraId="18DC13C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用户登录统一支付平台后，进入生活缴费模块，选择缴费项目即可完成缴费，包括：水电费、一卡通补卡费等。</w:t>
            </w:r>
          </w:p>
          <w:p w14:paraId="4DF096D5">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4.报名系统</w:t>
            </w:r>
          </w:p>
          <w:p w14:paraId="21D750C8">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如学校在进行收费时，没有具体的缴费人名单，可采用报名的方式，进行收费，用户报名完成后，即可生成欠费，确认信息无误后，即可完成在线缴费。</w:t>
            </w:r>
          </w:p>
          <w:p w14:paraId="5C42D59B">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5.交易记录查询</w:t>
            </w:r>
          </w:p>
          <w:p w14:paraId="0B098A0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用户可进入交易记录查询模块，可在线查询过往的缴费记录。</w:t>
            </w:r>
          </w:p>
          <w:p w14:paraId="08020066">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6.电子票查询</w:t>
            </w:r>
          </w:p>
          <w:p w14:paraId="4FD5FD3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用户进入已缴费查询界面，即可完成电子票在线浏览和下载。</w:t>
            </w:r>
          </w:p>
          <w:p w14:paraId="5F5F9DE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7.个人信息</w:t>
            </w:r>
          </w:p>
          <w:p w14:paraId="7239F4AB">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用户可在线浏览个人信息状态，同时也可修改银行卡号、手机号、邮箱等参数。</w:t>
            </w:r>
          </w:p>
          <w:p w14:paraId="346C3C15">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（二）统一收费后台管理</w:t>
            </w:r>
          </w:p>
          <w:p w14:paraId="3749C42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1.收费项目管理</w:t>
            </w:r>
          </w:p>
          <w:p w14:paraId="23F5D8F1">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管理员根据学校收费安排，设置收费项目，能够添加、删除、编辑收费项目。</w:t>
            </w:r>
          </w:p>
          <w:p w14:paraId="29905CCF">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2.收费批次管理</w:t>
            </w:r>
          </w:p>
          <w:p w14:paraId="2245411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各收费业务部门根据实际需要，选择相应的收费项目，安排收费批次。</w:t>
            </w:r>
          </w:p>
          <w:p w14:paraId="55DE4181">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3.收费人员管理</w:t>
            </w:r>
          </w:p>
          <w:p w14:paraId="4A83D64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收费业务部门根据选择的收费批次，能够查询管理该批次的收费人员，根据收费批次、收费人员信息生成收费人员信息列表。</w:t>
            </w:r>
          </w:p>
          <w:p w14:paraId="3EBFD7D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4.交费管理</w:t>
            </w:r>
          </w:p>
          <w:p w14:paraId="60C7B3C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系统应提供多种支付手段，包括微信、支付宝、银联各大国有银行等方式供用户选择。</w:t>
            </w:r>
          </w:p>
          <w:p w14:paraId="684902B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5.交费状态监控</w:t>
            </w:r>
          </w:p>
          <w:p w14:paraId="53F9A7A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开始收费后，根据人员应缴费记录、已缴费记录生成交费状态监控信息列表，提供根据收费期间、收费项目进行详细查询的功能。</w:t>
            </w:r>
          </w:p>
          <w:p w14:paraId="2BA2947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6.交费记录查询</w:t>
            </w:r>
          </w:p>
          <w:p w14:paraId="1726029B">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交费记录查询条件选择；交费交易记录查询；交费记录明细查询。</w:t>
            </w:r>
          </w:p>
          <w:p w14:paraId="283EAD55">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7.电子票管理</w:t>
            </w:r>
          </w:p>
          <w:p w14:paraId="078C522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管理员可在支付平台电子票管理模块，对过往开具的电子票进行冲红、错票重开、统计等。</w:t>
            </w:r>
          </w:p>
          <w:p w14:paraId="2D374A9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8.可视化报表</w:t>
            </w:r>
          </w:p>
          <w:p w14:paraId="3D35B988">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管理员可在数据查询与分析中实时监控交易记录，同时平台支持可视化界面显示，包括：饼状图、柱状图、曲线图。</w:t>
            </w:r>
          </w:p>
          <w:p w14:paraId="511B6A1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9.系统设置</w:t>
            </w:r>
          </w:p>
          <w:p w14:paraId="23C23D2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系统设置模块包含支付平台各个开关，包括：缴费时间控制、电子票开关等。</w:t>
            </w:r>
          </w:p>
          <w:p w14:paraId="6DB1464D">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（三）统一支付平台公共网关及业务系统对接</w:t>
            </w:r>
          </w:p>
          <w:p w14:paraId="44E2F43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1.公共对接设置</w:t>
            </w:r>
          </w:p>
          <w:p w14:paraId="51BF4F0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管理员可在支付平台后台为对接的业务系统设置项目、批次，设置完成之后，系统将自动生成对应的项目批次号和秘钥，第三方对接系统可根据对应的参数，完成对接，即可实现在线缴费，该模式可实现业财融合，统一收费。</w:t>
            </w:r>
          </w:p>
          <w:p w14:paraId="334774BE">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2.公共对接查询</w:t>
            </w:r>
          </w:p>
          <w:p w14:paraId="5756758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管理员可以在支付平台实时监控对接数据，缴费情况等。</w:t>
            </w:r>
          </w:p>
          <w:p w14:paraId="2AE7104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（四）对账功能</w:t>
            </w:r>
          </w:p>
          <w:p w14:paraId="7D68975C">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1.自动对账</w:t>
            </w:r>
          </w:p>
          <w:p w14:paraId="3083924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支付平台具有自动对账服务，可实时扫描失败订单与银行数据对比，如发现网络波动造成的掉单，服务可自动进行销账处理</w:t>
            </w:r>
          </w:p>
          <w:p w14:paraId="428F1FA2">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2.手工对账</w:t>
            </w:r>
          </w:p>
          <w:p w14:paraId="447F2F2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管理员可进入支付平台后台管理端，进入对应的银行账务管理模块，可按日期、订单号进行对账。</w:t>
            </w:r>
          </w:p>
          <w:p w14:paraId="46B59D8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（五）其他要求</w:t>
            </w:r>
          </w:p>
          <w:p w14:paraId="086200F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系统在数据收集、存储、使用与加工、传输与提供等方面应保证数据安全性，禁止明文存储和传输数据。</w:t>
            </w:r>
          </w:p>
          <w:p w14:paraId="01C1712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提供系统的安全设计方案或说明。</w:t>
            </w:r>
          </w:p>
        </w:tc>
        <w:tc>
          <w:tcPr>
            <w:tcW w:w="685" w:type="dxa"/>
            <w:vAlign w:val="center"/>
          </w:tcPr>
          <w:p w14:paraId="751EDCC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85" w:type="dxa"/>
            <w:vAlign w:val="center"/>
          </w:tcPr>
          <w:p w14:paraId="3C07AE0F">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13" w:type="dxa"/>
          </w:tcPr>
          <w:p w14:paraId="0DAD4D0B">
            <w:pPr>
              <w:spacing w:line="360" w:lineRule="auto"/>
              <w:jc w:val="center"/>
              <w:rPr>
                <w:rFonts w:hint="eastAsia" w:ascii="宋体" w:hAnsi="宋体" w:eastAsia="宋体" w:cs="宋体"/>
                <w:color w:val="000000"/>
                <w:kern w:val="0"/>
                <w:sz w:val="24"/>
                <w:szCs w:val="24"/>
              </w:rPr>
            </w:pPr>
          </w:p>
          <w:p w14:paraId="4C715F6F">
            <w:pPr>
              <w:spacing w:line="360" w:lineRule="auto"/>
              <w:jc w:val="center"/>
              <w:rPr>
                <w:rFonts w:hint="eastAsia" w:ascii="宋体" w:hAnsi="宋体" w:eastAsia="宋体" w:cs="宋体"/>
                <w:color w:val="000000"/>
                <w:kern w:val="0"/>
                <w:sz w:val="24"/>
                <w:szCs w:val="24"/>
              </w:rPr>
            </w:pPr>
          </w:p>
          <w:p w14:paraId="34670742">
            <w:pPr>
              <w:spacing w:line="360" w:lineRule="auto"/>
              <w:jc w:val="center"/>
              <w:rPr>
                <w:rFonts w:hint="eastAsia" w:ascii="宋体" w:hAnsi="宋体" w:eastAsia="宋体" w:cs="宋体"/>
                <w:color w:val="000000"/>
                <w:kern w:val="0"/>
                <w:sz w:val="24"/>
                <w:szCs w:val="24"/>
              </w:rPr>
            </w:pPr>
          </w:p>
          <w:p w14:paraId="6F8E31F6">
            <w:pPr>
              <w:spacing w:line="360" w:lineRule="auto"/>
              <w:jc w:val="center"/>
              <w:rPr>
                <w:rFonts w:hint="eastAsia" w:ascii="宋体" w:hAnsi="宋体" w:eastAsia="宋体" w:cs="宋体"/>
                <w:kern w:val="0"/>
                <w:sz w:val="24"/>
                <w:szCs w:val="24"/>
              </w:rPr>
            </w:pPr>
          </w:p>
        </w:tc>
      </w:tr>
    </w:tbl>
    <w:p w14:paraId="5A4FC7BF">
      <w:pPr>
        <w:rPr>
          <w:rFonts w:hint="eastAsia" w:ascii="宋体" w:hAnsi="宋体" w:eastAsia="宋体" w:cs="宋体"/>
          <w:color w:val="000000"/>
        </w:rPr>
      </w:pPr>
    </w:p>
    <w:p w14:paraId="204AB519">
      <w:pPr>
        <w:tabs>
          <w:tab w:val="left" w:pos="6285"/>
        </w:tabs>
        <w:rPr>
          <w:rFonts w:hint="eastAsia" w:ascii="宋体" w:hAnsi="宋体" w:eastAsia="宋体" w:cs="宋体"/>
          <w:color w:val="000000"/>
        </w:rPr>
      </w:pPr>
      <w:r>
        <w:rPr>
          <w:rFonts w:hint="eastAsia" w:ascii="宋体" w:hAnsi="宋体" w:eastAsia="宋体" w:cs="宋体"/>
          <w:color w:val="000000"/>
        </w:rPr>
        <w:tab/>
      </w:r>
    </w:p>
    <w:sectPr>
      <w:headerReference r:id="rId4" w:type="first"/>
      <w:headerReference r:id="rId3" w:type="default"/>
      <w:footerReference r:id="rId5" w:type="default"/>
      <w:pgSz w:w="11906" w:h="16838"/>
      <w:pgMar w:top="1440" w:right="1644" w:bottom="1440" w:left="1644" w:header="851" w:footer="992" w:gutter="0"/>
      <w:pgBorders w:offsetFrom="page">
        <w:top w:val="none" w:sz="0" w:space="0"/>
        <w:left w:val="none" w:sz="0" w:space="0"/>
        <w:bottom w:val="none" w:sz="0" w:space="0"/>
        <w:right w:val="none" w:sz="0" w:space="0"/>
      </w:pgBorders>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8B95">
    <w:pPr>
      <w:pStyle w:val="20"/>
      <w:jc w:val="center"/>
    </w:pPr>
    <w:r>
      <w:fldChar w:fldCharType="begin"/>
    </w:r>
    <w:r>
      <w:instrText xml:space="preserve">PAGE   \* MERGEFORMAT</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355F">
    <w:pPr>
      <w:pStyle w:val="21"/>
      <w:pBdr>
        <w:bottom w:val="single" w:color="auto" w:sz="6" w:space="0"/>
      </w:pBdr>
      <w:ind w:left="8817" w:hanging="8782" w:hangingChars="4879"/>
      <w:jc w:val="left"/>
      <w:rPr>
        <w:rFonts w:hint="eastAsia" w:ascii="楷体" w:hAnsi="楷体" w:eastAsia="楷体" w:cs="Times New Roman"/>
        <w:b/>
        <w:szCs w:val="21"/>
        <w:lang w:eastAsia="zh-CN"/>
      </w:rPr>
    </w:pPr>
    <w:bookmarkStart w:id="150" w:name="_Hlk68689031"/>
    <w:bookmarkStart w:id="151" w:name="_Hlk68689183"/>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340225"/>
          <wp:effectExtent l="0" t="0" r="0" b="0"/>
          <wp:wrapNone/>
          <wp:docPr id="1" name="WordPictureWatermark35117"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5117" descr="海际 logo 仅图标 （蓝）"/>
                  <pic:cNvPicPr>
                    <a:picLocks noChangeAspect="1"/>
                  </pic:cNvPicPr>
                </pic:nvPicPr>
                <pic:blipFill>
                  <a:blip r:embed="rId1">
                    <a:lum bright="69998" contrast="-70001"/>
                  </a:blip>
                  <a:stretch>
                    <a:fillRect/>
                  </a:stretch>
                </pic:blipFill>
                <pic:spPr>
                  <a:xfrm>
                    <a:off x="0" y="0"/>
                    <a:ext cx="5274310" cy="4340225"/>
                  </a:xfrm>
                  <a:prstGeom prst="rect">
                    <a:avLst/>
                  </a:prstGeom>
                  <a:noFill/>
                  <a:ln>
                    <a:noFill/>
                  </a:ln>
                </pic:spPr>
              </pic:pic>
            </a:graphicData>
          </a:graphic>
        </wp:anchor>
      </w:drawing>
    </w:r>
    <w:r>
      <w:rPr>
        <w:rFonts w:hint="eastAsia" w:ascii="楷体" w:hAnsi="楷体" w:eastAsia="楷体"/>
        <w:b/>
        <w:szCs w:val="21"/>
        <w:lang w:eastAsia="zh-CN"/>
      </w:rPr>
      <w:t>校园应用与网络运维服务--财务数字化建设</w:t>
    </w:r>
    <w:r>
      <w:rPr>
        <w:rFonts w:hint="eastAsia" w:ascii="楷体" w:hAnsi="楷体" w:eastAsia="楷体"/>
        <w:b/>
        <w:szCs w:val="21"/>
        <w:lang w:val="en-US" w:eastAsia="zh-CN"/>
      </w:rPr>
      <w:t xml:space="preserve">             </w:t>
    </w:r>
    <w:bookmarkEnd w:id="150"/>
    <w:bookmarkEnd w:id="151"/>
    <w:r>
      <w:rPr>
        <w:rFonts w:hint="eastAsia" w:ascii="楷体" w:hAnsi="楷体" w:eastAsia="楷体"/>
        <w:b/>
        <w:szCs w:val="21"/>
        <w:lang w:val="en-US" w:eastAsia="zh-CN"/>
      </w:rPr>
      <w:t xml:space="preserve">                                 </w:t>
    </w:r>
    <w:r>
      <w:rPr>
        <w:rFonts w:hint="eastAsia" w:ascii="楷体" w:hAnsi="楷体" w:eastAsia="楷体" w:cs="Times New Roman"/>
        <w:b/>
        <w:szCs w:val="21"/>
        <w:lang w:eastAsia="zh-CN"/>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540E">
    <w:pPr>
      <w:pStyle w:val="21"/>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340225"/>
          <wp:effectExtent l="0" t="0" r="0" b="0"/>
          <wp:wrapNone/>
          <wp:docPr id="2" name="WordPictureWatermark35117"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5117" descr="海际 logo 仅图标 （蓝）"/>
                  <pic:cNvPicPr>
                    <a:picLocks noChangeAspect="1"/>
                  </pic:cNvPicPr>
                </pic:nvPicPr>
                <pic:blipFill>
                  <a:blip r:embed="rId1">
                    <a:lum bright="69998" contrast="-70001"/>
                  </a:blip>
                  <a:stretch>
                    <a:fillRect/>
                  </a:stretch>
                </pic:blipFill>
                <pic:spPr>
                  <a:xfrm>
                    <a:off x="0" y="0"/>
                    <a:ext cx="5274310" cy="43402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7E403"/>
    <w:multiLevelType w:val="singleLevel"/>
    <w:tmpl w:val="B927E403"/>
    <w:lvl w:ilvl="0" w:tentative="0">
      <w:start w:val="1"/>
      <w:numFmt w:val="decimal"/>
      <w:suff w:val="nothing"/>
      <w:lvlText w:val="（%1）"/>
      <w:lvlJc w:val="left"/>
    </w:lvl>
  </w:abstractNum>
  <w:abstractNum w:abstractNumId="1">
    <w:nsid w:val="005C669B"/>
    <w:multiLevelType w:val="multilevel"/>
    <w:tmpl w:val="005C669B"/>
    <w:lvl w:ilvl="0" w:tentative="0">
      <w:start w:val="1"/>
      <w:numFmt w:val="decimal"/>
      <w:lvlText w:val="（%1）"/>
      <w:lvlJc w:val="left"/>
      <w:pPr>
        <w:ind w:left="1041" w:hanging="420"/>
      </w:pPr>
      <w:rPr>
        <w:rFonts w:hint="default"/>
      </w:rPr>
    </w:lvl>
    <w:lvl w:ilvl="1" w:tentative="0">
      <w:start w:val="1"/>
      <w:numFmt w:val="lowerLetter"/>
      <w:lvlText w:val="%2)"/>
      <w:lvlJc w:val="left"/>
      <w:pPr>
        <w:ind w:left="1461" w:hanging="420"/>
      </w:pPr>
    </w:lvl>
    <w:lvl w:ilvl="2" w:tentative="0">
      <w:start w:val="1"/>
      <w:numFmt w:val="lowerRoman"/>
      <w:lvlText w:val="%3."/>
      <w:lvlJc w:val="right"/>
      <w:pPr>
        <w:ind w:left="1881" w:hanging="420"/>
      </w:pPr>
    </w:lvl>
    <w:lvl w:ilvl="3" w:tentative="0">
      <w:start w:val="1"/>
      <w:numFmt w:val="decimal"/>
      <w:lvlText w:val="%4."/>
      <w:lvlJc w:val="left"/>
      <w:pPr>
        <w:ind w:left="2301" w:hanging="420"/>
      </w:pPr>
    </w:lvl>
    <w:lvl w:ilvl="4" w:tentative="0">
      <w:start w:val="1"/>
      <w:numFmt w:val="lowerLetter"/>
      <w:lvlText w:val="%5)"/>
      <w:lvlJc w:val="left"/>
      <w:pPr>
        <w:ind w:left="2721" w:hanging="420"/>
      </w:pPr>
    </w:lvl>
    <w:lvl w:ilvl="5" w:tentative="0">
      <w:start w:val="1"/>
      <w:numFmt w:val="lowerRoman"/>
      <w:lvlText w:val="%6."/>
      <w:lvlJc w:val="right"/>
      <w:pPr>
        <w:ind w:left="3141" w:hanging="420"/>
      </w:pPr>
    </w:lvl>
    <w:lvl w:ilvl="6" w:tentative="0">
      <w:start w:val="1"/>
      <w:numFmt w:val="decimal"/>
      <w:lvlText w:val="%7."/>
      <w:lvlJc w:val="left"/>
      <w:pPr>
        <w:ind w:left="3561" w:hanging="420"/>
      </w:pPr>
    </w:lvl>
    <w:lvl w:ilvl="7" w:tentative="0">
      <w:start w:val="1"/>
      <w:numFmt w:val="lowerLetter"/>
      <w:lvlText w:val="%8)"/>
      <w:lvlJc w:val="left"/>
      <w:pPr>
        <w:ind w:left="3981" w:hanging="420"/>
      </w:pPr>
    </w:lvl>
    <w:lvl w:ilvl="8" w:tentative="0">
      <w:start w:val="1"/>
      <w:numFmt w:val="lowerRoman"/>
      <w:lvlText w:val="%9."/>
      <w:lvlJc w:val="right"/>
      <w:pPr>
        <w:ind w:left="4401" w:hanging="420"/>
      </w:pPr>
    </w:lvl>
  </w:abstractNum>
  <w:abstractNum w:abstractNumId="2">
    <w:nsid w:val="02400DDE"/>
    <w:multiLevelType w:val="multilevel"/>
    <w:tmpl w:val="02400DD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372158"/>
    <w:multiLevelType w:val="multilevel"/>
    <w:tmpl w:val="09372158"/>
    <w:lvl w:ilvl="0" w:tentative="0">
      <w:start w:val="1"/>
      <w:numFmt w:val="decimal"/>
      <w:lvlText w:val="%1."/>
      <w:lvlJc w:val="left"/>
      <w:pPr>
        <w:ind w:left="1041" w:hanging="420"/>
      </w:pPr>
    </w:lvl>
    <w:lvl w:ilvl="1" w:tentative="0">
      <w:start w:val="1"/>
      <w:numFmt w:val="lowerLetter"/>
      <w:lvlText w:val="%2)"/>
      <w:lvlJc w:val="left"/>
      <w:pPr>
        <w:ind w:left="1461" w:hanging="420"/>
      </w:pPr>
    </w:lvl>
    <w:lvl w:ilvl="2" w:tentative="0">
      <w:start w:val="1"/>
      <w:numFmt w:val="lowerRoman"/>
      <w:lvlText w:val="%3."/>
      <w:lvlJc w:val="right"/>
      <w:pPr>
        <w:ind w:left="1881" w:hanging="420"/>
      </w:pPr>
    </w:lvl>
    <w:lvl w:ilvl="3" w:tentative="0">
      <w:start w:val="1"/>
      <w:numFmt w:val="decimal"/>
      <w:lvlText w:val="%4."/>
      <w:lvlJc w:val="left"/>
      <w:pPr>
        <w:ind w:left="2301" w:hanging="420"/>
      </w:pPr>
    </w:lvl>
    <w:lvl w:ilvl="4" w:tentative="0">
      <w:start w:val="1"/>
      <w:numFmt w:val="lowerLetter"/>
      <w:lvlText w:val="%5)"/>
      <w:lvlJc w:val="left"/>
      <w:pPr>
        <w:ind w:left="2721" w:hanging="420"/>
      </w:pPr>
    </w:lvl>
    <w:lvl w:ilvl="5" w:tentative="0">
      <w:start w:val="1"/>
      <w:numFmt w:val="lowerRoman"/>
      <w:lvlText w:val="%6."/>
      <w:lvlJc w:val="right"/>
      <w:pPr>
        <w:ind w:left="3141" w:hanging="420"/>
      </w:pPr>
    </w:lvl>
    <w:lvl w:ilvl="6" w:tentative="0">
      <w:start w:val="1"/>
      <w:numFmt w:val="decimal"/>
      <w:lvlText w:val="%7."/>
      <w:lvlJc w:val="left"/>
      <w:pPr>
        <w:ind w:left="3561" w:hanging="420"/>
      </w:pPr>
    </w:lvl>
    <w:lvl w:ilvl="7" w:tentative="0">
      <w:start w:val="1"/>
      <w:numFmt w:val="lowerLetter"/>
      <w:lvlText w:val="%8)"/>
      <w:lvlJc w:val="left"/>
      <w:pPr>
        <w:ind w:left="3981" w:hanging="420"/>
      </w:pPr>
    </w:lvl>
    <w:lvl w:ilvl="8" w:tentative="0">
      <w:start w:val="1"/>
      <w:numFmt w:val="lowerRoman"/>
      <w:lvlText w:val="%9."/>
      <w:lvlJc w:val="right"/>
      <w:pPr>
        <w:ind w:left="4401" w:hanging="420"/>
      </w:pPr>
    </w:lvl>
  </w:abstractNum>
  <w:abstractNum w:abstractNumId="4">
    <w:nsid w:val="0B143627"/>
    <w:multiLevelType w:val="multilevel"/>
    <w:tmpl w:val="0B143627"/>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0B21349E"/>
    <w:multiLevelType w:val="multilevel"/>
    <w:tmpl w:val="0B21349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0FD92A73"/>
    <w:multiLevelType w:val="multilevel"/>
    <w:tmpl w:val="0FD92A73"/>
    <w:lvl w:ilvl="0" w:tentative="0">
      <w:start w:val="2"/>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18814C8C"/>
    <w:multiLevelType w:val="multilevel"/>
    <w:tmpl w:val="18814C8C"/>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1E920307"/>
    <w:multiLevelType w:val="multilevel"/>
    <w:tmpl w:val="1E920307"/>
    <w:lvl w:ilvl="0" w:tentative="0">
      <w:start w:val="21"/>
      <w:numFmt w:val="decimal"/>
      <w:lvlText w:val="%1"/>
      <w:lvlJc w:val="left"/>
      <w:pPr>
        <w:ind w:left="480" w:hanging="480"/>
      </w:pPr>
      <w:rPr>
        <w:rFonts w:hint="default"/>
        <w:b w:val="0"/>
        <w:sz w:val="24"/>
      </w:rPr>
    </w:lvl>
    <w:lvl w:ilvl="1" w:tentative="0">
      <w:start w:val="1"/>
      <w:numFmt w:val="decimal"/>
      <w:lvlText w:val="20.%2."/>
      <w:lvlJc w:val="left"/>
      <w:pPr>
        <w:ind w:left="861" w:hanging="720"/>
      </w:pPr>
      <w:rPr>
        <w:rFonts w:hint="eastAsia"/>
        <w:b w:val="0"/>
        <w:sz w:val="24"/>
      </w:rPr>
    </w:lvl>
    <w:lvl w:ilvl="2" w:tentative="0">
      <w:start w:val="1"/>
      <w:numFmt w:val="decimal"/>
      <w:lvlText w:val="%1.%2.%3"/>
      <w:lvlJc w:val="left"/>
      <w:pPr>
        <w:ind w:left="2040" w:hanging="1080"/>
      </w:pPr>
      <w:rPr>
        <w:rFonts w:hint="default"/>
        <w:b w:val="0"/>
        <w:sz w:val="24"/>
      </w:rPr>
    </w:lvl>
    <w:lvl w:ilvl="3" w:tentative="0">
      <w:start w:val="1"/>
      <w:numFmt w:val="decimal"/>
      <w:lvlText w:val="%1.%2.%3.%4"/>
      <w:lvlJc w:val="left"/>
      <w:pPr>
        <w:ind w:left="2880" w:hanging="1440"/>
      </w:pPr>
      <w:rPr>
        <w:rFonts w:hint="default"/>
        <w:b w:val="0"/>
        <w:sz w:val="24"/>
      </w:rPr>
    </w:lvl>
    <w:lvl w:ilvl="4" w:tentative="0">
      <w:start w:val="1"/>
      <w:numFmt w:val="decimal"/>
      <w:lvlText w:val="%1.%2.%3.%4.%5"/>
      <w:lvlJc w:val="left"/>
      <w:pPr>
        <w:ind w:left="3720" w:hanging="1800"/>
      </w:pPr>
      <w:rPr>
        <w:rFonts w:hint="default"/>
        <w:b w:val="0"/>
        <w:sz w:val="24"/>
      </w:rPr>
    </w:lvl>
    <w:lvl w:ilvl="5" w:tentative="0">
      <w:start w:val="1"/>
      <w:numFmt w:val="decimal"/>
      <w:lvlText w:val="%1.%2.%3.%4.%5.%6"/>
      <w:lvlJc w:val="left"/>
      <w:pPr>
        <w:ind w:left="4200" w:hanging="1800"/>
      </w:pPr>
      <w:rPr>
        <w:rFonts w:hint="default"/>
        <w:b w:val="0"/>
        <w:sz w:val="24"/>
      </w:rPr>
    </w:lvl>
    <w:lvl w:ilvl="6" w:tentative="0">
      <w:start w:val="1"/>
      <w:numFmt w:val="decimal"/>
      <w:lvlText w:val="%1.%2.%3.%4.%5.%6.%7"/>
      <w:lvlJc w:val="left"/>
      <w:pPr>
        <w:ind w:left="5040" w:hanging="2160"/>
      </w:pPr>
      <w:rPr>
        <w:rFonts w:hint="default"/>
        <w:b w:val="0"/>
        <w:sz w:val="24"/>
      </w:rPr>
    </w:lvl>
    <w:lvl w:ilvl="7" w:tentative="0">
      <w:start w:val="1"/>
      <w:numFmt w:val="decimal"/>
      <w:lvlText w:val="%1.%2.%3.%4.%5.%6.%7.%8"/>
      <w:lvlJc w:val="left"/>
      <w:pPr>
        <w:ind w:left="5880" w:hanging="2520"/>
      </w:pPr>
      <w:rPr>
        <w:rFonts w:hint="default"/>
        <w:b w:val="0"/>
        <w:sz w:val="24"/>
      </w:rPr>
    </w:lvl>
    <w:lvl w:ilvl="8" w:tentative="0">
      <w:start w:val="1"/>
      <w:numFmt w:val="decimal"/>
      <w:lvlText w:val="%1.%2.%3.%4.%5.%6.%7.%8.%9"/>
      <w:lvlJc w:val="left"/>
      <w:pPr>
        <w:ind w:left="6720" w:hanging="2880"/>
      </w:pPr>
      <w:rPr>
        <w:rFonts w:hint="default"/>
        <w:b w:val="0"/>
        <w:sz w:val="24"/>
      </w:rPr>
    </w:lvl>
  </w:abstractNum>
  <w:abstractNum w:abstractNumId="9">
    <w:nsid w:val="21BA05D9"/>
    <w:multiLevelType w:val="multilevel"/>
    <w:tmpl w:val="21BA05D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933C0A"/>
    <w:multiLevelType w:val="multilevel"/>
    <w:tmpl w:val="25933C0A"/>
    <w:lvl w:ilvl="0" w:tentative="0">
      <w:start w:val="1"/>
      <w:numFmt w:val="decimal"/>
      <w:lvlText w:val="（%1）"/>
      <w:lvlJc w:val="left"/>
      <w:pPr>
        <w:ind w:left="846"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2F200FD8"/>
    <w:multiLevelType w:val="multilevel"/>
    <w:tmpl w:val="2F200FD8"/>
    <w:lvl w:ilvl="0" w:tentative="0">
      <w:start w:val="11"/>
      <w:numFmt w:val="decimal"/>
      <w:lvlText w:val="%1"/>
      <w:lvlJc w:val="left"/>
      <w:pPr>
        <w:ind w:left="480" w:hanging="480"/>
      </w:pPr>
      <w:rPr>
        <w:rFonts w:hint="default"/>
      </w:rPr>
    </w:lvl>
    <w:lvl w:ilvl="1" w:tentative="0">
      <w:start w:val="1"/>
      <w:numFmt w:val="decimal"/>
      <w:lvlText w:val="%1.%2"/>
      <w:lvlJc w:val="left"/>
      <w:pPr>
        <w:ind w:left="621"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30EB525F"/>
    <w:multiLevelType w:val="multilevel"/>
    <w:tmpl w:val="30EB525F"/>
    <w:lvl w:ilvl="0" w:tentative="0">
      <w:start w:val="13"/>
      <w:numFmt w:val="decimal"/>
      <w:lvlText w:val="%1"/>
      <w:lvlJc w:val="left"/>
      <w:pPr>
        <w:ind w:left="480" w:hanging="480"/>
      </w:pPr>
      <w:rPr>
        <w:rFonts w:hint="default"/>
      </w:rPr>
    </w:lvl>
    <w:lvl w:ilvl="1" w:tentative="0">
      <w:start w:val="1"/>
      <w:numFmt w:val="decimal"/>
      <w:lvlText w:val="%1.%2"/>
      <w:lvlJc w:val="left"/>
      <w:pPr>
        <w:ind w:left="621"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3AA33F15"/>
    <w:multiLevelType w:val="multilevel"/>
    <w:tmpl w:val="3AA33F15"/>
    <w:lvl w:ilvl="0" w:tentative="0">
      <w:start w:val="1"/>
      <w:numFmt w:val="decimal"/>
      <w:lvlText w:val="%1、"/>
      <w:lvlJc w:val="left"/>
      <w:pPr>
        <w:ind w:left="360" w:hanging="360"/>
      </w:pPr>
      <w:rPr>
        <w:rFonts w:hint="default"/>
      </w:r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14">
    <w:nsid w:val="40CF13D4"/>
    <w:multiLevelType w:val="multilevel"/>
    <w:tmpl w:val="40CF13D4"/>
    <w:lvl w:ilvl="0" w:tentative="0">
      <w:start w:val="1"/>
      <w:numFmt w:val="decimal"/>
      <w:pStyle w:val="2"/>
      <w:lvlText w:val="%1."/>
      <w:lvlJc w:val="left"/>
      <w:pPr>
        <w:tabs>
          <w:tab w:val="left" w:pos="425"/>
        </w:tabs>
        <w:ind w:left="425" w:hanging="425"/>
      </w:pPr>
      <w:rPr>
        <w:rFonts w:hint="eastAsia"/>
      </w:rPr>
    </w:lvl>
    <w:lvl w:ilvl="1" w:tentative="0">
      <w:start w:val="1"/>
      <w:numFmt w:val="decimal"/>
      <w:pStyle w:val="3"/>
      <w:lvlText w:val="%1.%2."/>
      <w:lvlJc w:val="left"/>
      <w:pPr>
        <w:tabs>
          <w:tab w:val="left" w:pos="720"/>
        </w:tabs>
        <w:ind w:left="567" w:hanging="567"/>
      </w:pPr>
      <w:rPr>
        <w:rFonts w:hint="eastAsia"/>
      </w:rPr>
    </w:lvl>
    <w:lvl w:ilvl="2" w:tentative="0">
      <w:start w:val="1"/>
      <w:numFmt w:val="chineseCountingThousand"/>
      <w:pStyle w:val="5"/>
      <w:lvlText w:val="%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33044D6"/>
    <w:multiLevelType w:val="multilevel"/>
    <w:tmpl w:val="433044D6"/>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6">
    <w:nsid w:val="46C71494"/>
    <w:multiLevelType w:val="multilevel"/>
    <w:tmpl w:val="46C71494"/>
    <w:lvl w:ilvl="0" w:tentative="0">
      <w:start w:val="1"/>
      <w:numFmt w:val="decimal"/>
      <w:lvlText w:val="%1)"/>
      <w:lvlJc w:val="left"/>
      <w:pPr>
        <w:ind w:left="1461" w:hanging="420"/>
      </w:pPr>
    </w:lvl>
    <w:lvl w:ilvl="1" w:tentative="0">
      <w:start w:val="1"/>
      <w:numFmt w:val="lowerLetter"/>
      <w:lvlText w:val="%2)"/>
      <w:lvlJc w:val="left"/>
      <w:pPr>
        <w:ind w:left="1881" w:hanging="420"/>
      </w:pPr>
    </w:lvl>
    <w:lvl w:ilvl="2" w:tentative="0">
      <w:start w:val="1"/>
      <w:numFmt w:val="lowerRoman"/>
      <w:lvlText w:val="%3."/>
      <w:lvlJc w:val="right"/>
      <w:pPr>
        <w:ind w:left="2301" w:hanging="420"/>
      </w:pPr>
    </w:lvl>
    <w:lvl w:ilvl="3" w:tentative="0">
      <w:start w:val="1"/>
      <w:numFmt w:val="decimal"/>
      <w:lvlText w:val="%4."/>
      <w:lvlJc w:val="left"/>
      <w:pPr>
        <w:ind w:left="2721" w:hanging="420"/>
      </w:pPr>
    </w:lvl>
    <w:lvl w:ilvl="4" w:tentative="0">
      <w:start w:val="1"/>
      <w:numFmt w:val="lowerLetter"/>
      <w:lvlText w:val="%5)"/>
      <w:lvlJc w:val="left"/>
      <w:pPr>
        <w:ind w:left="3141" w:hanging="420"/>
      </w:pPr>
    </w:lvl>
    <w:lvl w:ilvl="5" w:tentative="0">
      <w:start w:val="1"/>
      <w:numFmt w:val="lowerRoman"/>
      <w:lvlText w:val="%6."/>
      <w:lvlJc w:val="right"/>
      <w:pPr>
        <w:ind w:left="3561" w:hanging="420"/>
      </w:pPr>
    </w:lvl>
    <w:lvl w:ilvl="6" w:tentative="0">
      <w:start w:val="1"/>
      <w:numFmt w:val="decimal"/>
      <w:lvlText w:val="%7."/>
      <w:lvlJc w:val="left"/>
      <w:pPr>
        <w:ind w:left="3981" w:hanging="420"/>
      </w:pPr>
    </w:lvl>
    <w:lvl w:ilvl="7" w:tentative="0">
      <w:start w:val="1"/>
      <w:numFmt w:val="lowerLetter"/>
      <w:lvlText w:val="%8)"/>
      <w:lvlJc w:val="left"/>
      <w:pPr>
        <w:ind w:left="4401" w:hanging="420"/>
      </w:pPr>
    </w:lvl>
    <w:lvl w:ilvl="8" w:tentative="0">
      <w:start w:val="1"/>
      <w:numFmt w:val="lowerRoman"/>
      <w:lvlText w:val="%9."/>
      <w:lvlJc w:val="right"/>
      <w:pPr>
        <w:ind w:left="4821" w:hanging="420"/>
      </w:pPr>
    </w:lvl>
  </w:abstractNum>
  <w:abstractNum w:abstractNumId="17">
    <w:nsid w:val="4EFA17D5"/>
    <w:multiLevelType w:val="multilevel"/>
    <w:tmpl w:val="4EFA17D5"/>
    <w:lvl w:ilvl="0" w:tentative="0">
      <w:start w:val="19"/>
      <w:numFmt w:val="decimal"/>
      <w:lvlText w:val="%1"/>
      <w:lvlJc w:val="left"/>
      <w:pPr>
        <w:ind w:left="480" w:hanging="480"/>
      </w:pPr>
      <w:rPr>
        <w:rFonts w:hint="default"/>
      </w:rPr>
    </w:lvl>
    <w:lvl w:ilvl="1" w:tentative="0">
      <w:start w:val="1"/>
      <w:numFmt w:val="decimal"/>
      <w:lvlText w:val="18.%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8">
    <w:nsid w:val="4FE725AC"/>
    <w:multiLevelType w:val="multilevel"/>
    <w:tmpl w:val="4FE725AC"/>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9">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20">
    <w:nsid w:val="56222FB0"/>
    <w:multiLevelType w:val="multilevel"/>
    <w:tmpl w:val="56222FB0"/>
    <w:lvl w:ilvl="0" w:tentative="0">
      <w:start w:val="14"/>
      <w:numFmt w:val="decimal"/>
      <w:lvlText w:val="%1"/>
      <w:lvlJc w:val="left"/>
      <w:pPr>
        <w:ind w:left="480" w:hanging="480"/>
      </w:pPr>
      <w:rPr>
        <w:rFonts w:hint="default"/>
      </w:rPr>
    </w:lvl>
    <w:lvl w:ilvl="1" w:tentative="0">
      <w:start w:val="1"/>
      <w:numFmt w:val="decimal"/>
      <w:lvlText w:val="%1.%2"/>
      <w:lvlJc w:val="left"/>
      <w:pPr>
        <w:ind w:left="621"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1">
    <w:nsid w:val="56997346"/>
    <w:multiLevelType w:val="multilevel"/>
    <w:tmpl w:val="56997346"/>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2">
    <w:nsid w:val="57693060"/>
    <w:multiLevelType w:val="multilevel"/>
    <w:tmpl w:val="57693060"/>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57912FC9"/>
    <w:multiLevelType w:val="multilevel"/>
    <w:tmpl w:val="57912FC9"/>
    <w:lvl w:ilvl="0" w:tentative="0">
      <w:start w:val="23"/>
      <w:numFmt w:val="decimal"/>
      <w:lvlText w:val="%1"/>
      <w:lvlJc w:val="left"/>
      <w:pPr>
        <w:ind w:left="465" w:hanging="465"/>
      </w:pPr>
      <w:rPr>
        <w:rFonts w:hint="default" w:ascii="Arial" w:hAnsi="Arial" w:cs="Arial"/>
      </w:rPr>
    </w:lvl>
    <w:lvl w:ilvl="1" w:tentative="0">
      <w:start w:val="1"/>
      <w:numFmt w:val="decimal"/>
      <w:lvlText w:val="22.%2."/>
      <w:lvlJc w:val="left"/>
      <w:pPr>
        <w:ind w:left="606" w:hanging="465"/>
      </w:pPr>
      <w:rPr>
        <w:rFonts w:hint="eastAsia"/>
      </w:rPr>
    </w:lvl>
    <w:lvl w:ilvl="2" w:tentative="0">
      <w:start w:val="1"/>
      <w:numFmt w:val="decimal"/>
      <w:lvlText w:val="%1.%2.%3"/>
      <w:lvlJc w:val="left"/>
      <w:pPr>
        <w:ind w:left="1680" w:hanging="720"/>
      </w:pPr>
      <w:rPr>
        <w:rFonts w:hint="default" w:ascii="Arial" w:hAnsi="Arial" w:cs="Arial"/>
      </w:rPr>
    </w:lvl>
    <w:lvl w:ilvl="3" w:tentative="0">
      <w:start w:val="1"/>
      <w:numFmt w:val="decimal"/>
      <w:lvlText w:val="%1.%2.%3.%4"/>
      <w:lvlJc w:val="left"/>
      <w:pPr>
        <w:ind w:left="2520" w:hanging="1080"/>
      </w:pPr>
      <w:rPr>
        <w:rFonts w:hint="default" w:ascii="Arial" w:hAnsi="Arial" w:cs="Arial"/>
      </w:rPr>
    </w:lvl>
    <w:lvl w:ilvl="4" w:tentative="0">
      <w:start w:val="1"/>
      <w:numFmt w:val="decimal"/>
      <w:lvlText w:val="%1.%2.%3.%4.%5"/>
      <w:lvlJc w:val="left"/>
      <w:pPr>
        <w:ind w:left="3000" w:hanging="1080"/>
      </w:pPr>
      <w:rPr>
        <w:rFonts w:hint="default" w:ascii="Arial" w:hAnsi="Arial" w:cs="Arial"/>
      </w:rPr>
    </w:lvl>
    <w:lvl w:ilvl="5" w:tentative="0">
      <w:start w:val="1"/>
      <w:numFmt w:val="decimal"/>
      <w:lvlText w:val="%1.%2.%3.%4.%5.%6"/>
      <w:lvlJc w:val="left"/>
      <w:pPr>
        <w:ind w:left="3840" w:hanging="1440"/>
      </w:pPr>
      <w:rPr>
        <w:rFonts w:hint="default" w:ascii="Arial" w:hAnsi="Arial" w:cs="Arial"/>
      </w:rPr>
    </w:lvl>
    <w:lvl w:ilvl="6" w:tentative="0">
      <w:start w:val="1"/>
      <w:numFmt w:val="decimal"/>
      <w:lvlText w:val="%1.%2.%3.%4.%5.%6.%7"/>
      <w:lvlJc w:val="left"/>
      <w:pPr>
        <w:ind w:left="4680" w:hanging="1800"/>
      </w:pPr>
      <w:rPr>
        <w:rFonts w:hint="default" w:ascii="Arial" w:hAnsi="Arial" w:cs="Arial"/>
      </w:rPr>
    </w:lvl>
    <w:lvl w:ilvl="7" w:tentative="0">
      <w:start w:val="1"/>
      <w:numFmt w:val="decimal"/>
      <w:lvlText w:val="%1.%2.%3.%4.%5.%6.%7.%8"/>
      <w:lvlJc w:val="left"/>
      <w:pPr>
        <w:ind w:left="5160" w:hanging="1800"/>
      </w:pPr>
      <w:rPr>
        <w:rFonts w:hint="default" w:ascii="Arial" w:hAnsi="Arial" w:cs="Arial"/>
      </w:rPr>
    </w:lvl>
    <w:lvl w:ilvl="8" w:tentative="0">
      <w:start w:val="1"/>
      <w:numFmt w:val="decimal"/>
      <w:lvlText w:val="%1.%2.%3.%4.%5.%6.%7.%8.%9"/>
      <w:lvlJc w:val="left"/>
      <w:pPr>
        <w:ind w:left="6000" w:hanging="2160"/>
      </w:pPr>
      <w:rPr>
        <w:rFonts w:hint="default" w:ascii="Arial" w:hAnsi="Arial" w:cs="Arial"/>
      </w:rPr>
    </w:lvl>
  </w:abstractNum>
  <w:abstractNum w:abstractNumId="24">
    <w:nsid w:val="599149B8"/>
    <w:multiLevelType w:val="multilevel"/>
    <w:tmpl w:val="59914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63AA4A1E"/>
    <w:multiLevelType w:val="multilevel"/>
    <w:tmpl w:val="63AA4A1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6">
    <w:nsid w:val="647E01AF"/>
    <w:multiLevelType w:val="multilevel"/>
    <w:tmpl w:val="647E01AF"/>
    <w:lvl w:ilvl="0" w:tentative="0">
      <w:start w:val="6"/>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7">
    <w:nsid w:val="6B626D06"/>
    <w:multiLevelType w:val="multilevel"/>
    <w:tmpl w:val="6B626D06"/>
    <w:lvl w:ilvl="0" w:tentative="0">
      <w:start w:val="17"/>
      <w:numFmt w:val="decimal"/>
      <w:lvlText w:val="%1"/>
      <w:lvlJc w:val="left"/>
      <w:pPr>
        <w:ind w:left="480" w:hanging="480"/>
      </w:pPr>
      <w:rPr>
        <w:rFonts w:hint="default"/>
      </w:rPr>
    </w:lvl>
    <w:lvl w:ilvl="1" w:tentative="0">
      <w:start w:val="1"/>
      <w:numFmt w:val="decimal"/>
      <w:lvlText w:val="16.%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8">
    <w:nsid w:val="6BC93FB5"/>
    <w:multiLevelType w:val="multilevel"/>
    <w:tmpl w:val="6BC93FB5"/>
    <w:lvl w:ilvl="0" w:tentative="0">
      <w:start w:val="8"/>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9">
    <w:nsid w:val="6C525B9F"/>
    <w:multiLevelType w:val="multilevel"/>
    <w:tmpl w:val="6C525B9F"/>
    <w:lvl w:ilvl="0" w:tentative="0">
      <w:start w:val="5"/>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0">
    <w:nsid w:val="6FBA724A"/>
    <w:multiLevelType w:val="multilevel"/>
    <w:tmpl w:val="6FBA724A"/>
    <w:lvl w:ilvl="0" w:tentative="0">
      <w:start w:val="22"/>
      <w:numFmt w:val="decimal"/>
      <w:lvlText w:val="%1"/>
      <w:lvlJc w:val="left"/>
      <w:pPr>
        <w:ind w:left="480" w:hanging="480"/>
      </w:pPr>
      <w:rPr>
        <w:rFonts w:hint="default"/>
      </w:rPr>
    </w:lvl>
    <w:lvl w:ilvl="1" w:tentative="0">
      <w:start w:val="1"/>
      <w:numFmt w:val="decimal"/>
      <w:lvlText w:val="21.%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1">
    <w:nsid w:val="719C3F02"/>
    <w:multiLevelType w:val="multilevel"/>
    <w:tmpl w:val="719C3F02"/>
    <w:lvl w:ilvl="0" w:tentative="0">
      <w:start w:val="7"/>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2">
    <w:nsid w:val="72C135E4"/>
    <w:multiLevelType w:val="multilevel"/>
    <w:tmpl w:val="72C135E4"/>
    <w:lvl w:ilvl="0" w:tentative="0">
      <w:start w:val="9"/>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3">
    <w:nsid w:val="75300036"/>
    <w:multiLevelType w:val="multilevel"/>
    <w:tmpl w:val="75300036"/>
    <w:lvl w:ilvl="0" w:tentative="0">
      <w:start w:val="4"/>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4">
    <w:nsid w:val="7A113608"/>
    <w:multiLevelType w:val="multilevel"/>
    <w:tmpl w:val="7A113608"/>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7AA846C6"/>
    <w:multiLevelType w:val="multilevel"/>
    <w:tmpl w:val="7AA846C6"/>
    <w:lvl w:ilvl="0" w:tentative="0">
      <w:start w:val="12"/>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6">
    <w:nsid w:val="7B216D2B"/>
    <w:multiLevelType w:val="multilevel"/>
    <w:tmpl w:val="7B216D2B"/>
    <w:lvl w:ilvl="0" w:tentative="0">
      <w:start w:val="20"/>
      <w:numFmt w:val="decimal"/>
      <w:lvlText w:val="%1"/>
      <w:lvlJc w:val="left"/>
      <w:pPr>
        <w:ind w:left="480" w:hanging="480"/>
      </w:pPr>
      <w:rPr>
        <w:rFonts w:hint="default"/>
      </w:rPr>
    </w:lvl>
    <w:lvl w:ilvl="1" w:tentative="0">
      <w:start w:val="1"/>
      <w:numFmt w:val="decimal"/>
      <w:lvlText w:val="19.%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7">
    <w:nsid w:val="7B9E3C32"/>
    <w:multiLevelType w:val="multilevel"/>
    <w:tmpl w:val="7B9E3C32"/>
    <w:lvl w:ilvl="0" w:tentative="0">
      <w:start w:val="18"/>
      <w:numFmt w:val="decimal"/>
      <w:lvlText w:val="%1"/>
      <w:lvlJc w:val="left"/>
      <w:pPr>
        <w:ind w:left="480" w:hanging="480"/>
      </w:pPr>
      <w:rPr>
        <w:rFonts w:hint="default"/>
      </w:rPr>
    </w:lvl>
    <w:lvl w:ilvl="1" w:tentative="0">
      <w:start w:val="1"/>
      <w:numFmt w:val="decimal"/>
      <w:lvlText w:val="17.%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8">
    <w:nsid w:val="7CA10DD4"/>
    <w:multiLevelType w:val="multilevel"/>
    <w:tmpl w:val="7CA10DD4"/>
    <w:lvl w:ilvl="0" w:tentative="0">
      <w:start w:val="1"/>
      <w:numFmt w:val="decimal"/>
      <w:lvlText w:val="（%1）"/>
      <w:lvlJc w:val="left"/>
      <w:pPr>
        <w:ind w:left="845" w:hanging="420"/>
      </w:pPr>
    </w:lvl>
    <w:lvl w:ilvl="1" w:tentative="0">
      <w:start w:val="1"/>
      <w:numFmt w:val="decimal"/>
      <w:lvlText w:val="%2."/>
      <w:lvlJc w:val="left"/>
      <w:pPr>
        <w:ind w:left="1130" w:hanging="420"/>
      </w:pPr>
      <w:rPr>
        <w:rFonts w:hint="eastAsia"/>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4"/>
  </w:num>
  <w:num w:numId="2">
    <w:abstractNumId w:val="13"/>
  </w:num>
  <w:num w:numId="3">
    <w:abstractNumId w:val="19"/>
  </w:num>
  <w:num w:numId="4">
    <w:abstractNumId w:val="2"/>
  </w:num>
  <w:num w:numId="5">
    <w:abstractNumId w:val="6"/>
  </w:num>
  <w:num w:numId="6">
    <w:abstractNumId w:val="33"/>
  </w:num>
  <w:num w:numId="7">
    <w:abstractNumId w:val="5"/>
  </w:num>
  <w:num w:numId="8">
    <w:abstractNumId w:val="29"/>
  </w:num>
  <w:num w:numId="9">
    <w:abstractNumId w:val="7"/>
  </w:num>
  <w:num w:numId="10">
    <w:abstractNumId w:val="26"/>
  </w:num>
  <w:num w:numId="11">
    <w:abstractNumId w:val="31"/>
  </w:num>
  <w:num w:numId="12">
    <w:abstractNumId w:val="28"/>
  </w:num>
  <w:num w:numId="13">
    <w:abstractNumId w:val="32"/>
  </w:num>
  <w:num w:numId="14">
    <w:abstractNumId w:val="18"/>
  </w:num>
  <w:num w:numId="15">
    <w:abstractNumId w:val="11"/>
  </w:num>
  <w:num w:numId="16">
    <w:abstractNumId w:val="10"/>
  </w:num>
  <w:num w:numId="17">
    <w:abstractNumId w:val="35"/>
  </w:num>
  <w:num w:numId="18">
    <w:abstractNumId w:val="12"/>
  </w:num>
  <w:num w:numId="19">
    <w:abstractNumId w:val="38"/>
  </w:num>
  <w:num w:numId="20">
    <w:abstractNumId w:val="20"/>
  </w:num>
  <w:num w:numId="21">
    <w:abstractNumId w:val="24"/>
  </w:num>
  <w:num w:numId="22">
    <w:abstractNumId w:val="27"/>
  </w:num>
  <w:num w:numId="23">
    <w:abstractNumId w:val="34"/>
  </w:num>
  <w:num w:numId="24">
    <w:abstractNumId w:val="22"/>
  </w:num>
  <w:num w:numId="25">
    <w:abstractNumId w:val="37"/>
  </w:num>
  <w:num w:numId="26">
    <w:abstractNumId w:val="9"/>
  </w:num>
  <w:num w:numId="27">
    <w:abstractNumId w:val="25"/>
  </w:num>
  <w:num w:numId="28">
    <w:abstractNumId w:val="4"/>
  </w:num>
  <w:num w:numId="29">
    <w:abstractNumId w:val="15"/>
  </w:num>
  <w:num w:numId="30">
    <w:abstractNumId w:val="17"/>
  </w:num>
  <w:num w:numId="31">
    <w:abstractNumId w:val="0"/>
  </w:num>
  <w:num w:numId="32">
    <w:abstractNumId w:val="36"/>
  </w:num>
  <w:num w:numId="33">
    <w:abstractNumId w:val="1"/>
  </w:num>
  <w:num w:numId="34">
    <w:abstractNumId w:val="8"/>
  </w:num>
  <w:num w:numId="35">
    <w:abstractNumId w:val="30"/>
  </w:num>
  <w:num w:numId="36">
    <w:abstractNumId w:val="23"/>
  </w:num>
  <w:num w:numId="37">
    <w:abstractNumId w:val="21"/>
  </w:num>
  <w:num w:numId="38">
    <w:abstractNumId w:val="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69"/>
    <w:rsid w:val="00001EF1"/>
    <w:rsid w:val="00002B7E"/>
    <w:rsid w:val="0000361F"/>
    <w:rsid w:val="000038F3"/>
    <w:rsid w:val="000044F5"/>
    <w:rsid w:val="0000523C"/>
    <w:rsid w:val="000067C2"/>
    <w:rsid w:val="0000729F"/>
    <w:rsid w:val="00010612"/>
    <w:rsid w:val="0001102F"/>
    <w:rsid w:val="00011203"/>
    <w:rsid w:val="00011600"/>
    <w:rsid w:val="00013E54"/>
    <w:rsid w:val="00014941"/>
    <w:rsid w:val="0001505A"/>
    <w:rsid w:val="00015785"/>
    <w:rsid w:val="0001758F"/>
    <w:rsid w:val="0002211A"/>
    <w:rsid w:val="0002411A"/>
    <w:rsid w:val="00025C53"/>
    <w:rsid w:val="00030F4D"/>
    <w:rsid w:val="00032242"/>
    <w:rsid w:val="00032E41"/>
    <w:rsid w:val="00032F62"/>
    <w:rsid w:val="00034E72"/>
    <w:rsid w:val="00035BEA"/>
    <w:rsid w:val="00036740"/>
    <w:rsid w:val="000371BF"/>
    <w:rsid w:val="00042652"/>
    <w:rsid w:val="00043379"/>
    <w:rsid w:val="000457A3"/>
    <w:rsid w:val="00046097"/>
    <w:rsid w:val="000508B0"/>
    <w:rsid w:val="00050F67"/>
    <w:rsid w:val="00050FD1"/>
    <w:rsid w:val="00051006"/>
    <w:rsid w:val="00051209"/>
    <w:rsid w:val="0005143F"/>
    <w:rsid w:val="00051784"/>
    <w:rsid w:val="00053C01"/>
    <w:rsid w:val="00053D3B"/>
    <w:rsid w:val="00053F9B"/>
    <w:rsid w:val="0005473E"/>
    <w:rsid w:val="00054FB1"/>
    <w:rsid w:val="000558CC"/>
    <w:rsid w:val="0005701A"/>
    <w:rsid w:val="00060656"/>
    <w:rsid w:val="000618D6"/>
    <w:rsid w:val="0006359A"/>
    <w:rsid w:val="00070777"/>
    <w:rsid w:val="000715AF"/>
    <w:rsid w:val="00071E6B"/>
    <w:rsid w:val="0007234D"/>
    <w:rsid w:val="0007507D"/>
    <w:rsid w:val="00075A61"/>
    <w:rsid w:val="0007617E"/>
    <w:rsid w:val="000806B7"/>
    <w:rsid w:val="00081E42"/>
    <w:rsid w:val="00083F97"/>
    <w:rsid w:val="00087281"/>
    <w:rsid w:val="00087777"/>
    <w:rsid w:val="000877C0"/>
    <w:rsid w:val="00090E3E"/>
    <w:rsid w:val="0009128E"/>
    <w:rsid w:val="00091938"/>
    <w:rsid w:val="0009236A"/>
    <w:rsid w:val="00093693"/>
    <w:rsid w:val="00095A45"/>
    <w:rsid w:val="00097060"/>
    <w:rsid w:val="000A036E"/>
    <w:rsid w:val="000A1633"/>
    <w:rsid w:val="000A169F"/>
    <w:rsid w:val="000A274B"/>
    <w:rsid w:val="000A4266"/>
    <w:rsid w:val="000A465E"/>
    <w:rsid w:val="000A4A29"/>
    <w:rsid w:val="000A592F"/>
    <w:rsid w:val="000A5E33"/>
    <w:rsid w:val="000A6C27"/>
    <w:rsid w:val="000A7AA9"/>
    <w:rsid w:val="000B0C19"/>
    <w:rsid w:val="000B16A6"/>
    <w:rsid w:val="000B3683"/>
    <w:rsid w:val="000B4D71"/>
    <w:rsid w:val="000C0323"/>
    <w:rsid w:val="000C40AC"/>
    <w:rsid w:val="000C43F0"/>
    <w:rsid w:val="000C60A4"/>
    <w:rsid w:val="000C700D"/>
    <w:rsid w:val="000D0C59"/>
    <w:rsid w:val="000D20F5"/>
    <w:rsid w:val="000D351A"/>
    <w:rsid w:val="000D394F"/>
    <w:rsid w:val="000D4865"/>
    <w:rsid w:val="000D7CD3"/>
    <w:rsid w:val="000E02A7"/>
    <w:rsid w:val="000E0E00"/>
    <w:rsid w:val="000E3C39"/>
    <w:rsid w:val="000E3D42"/>
    <w:rsid w:val="000E409B"/>
    <w:rsid w:val="000E59DC"/>
    <w:rsid w:val="000E791D"/>
    <w:rsid w:val="000F03C2"/>
    <w:rsid w:val="000F13C9"/>
    <w:rsid w:val="000F166F"/>
    <w:rsid w:val="000F276F"/>
    <w:rsid w:val="000F6540"/>
    <w:rsid w:val="001002CA"/>
    <w:rsid w:val="001003FB"/>
    <w:rsid w:val="00100BAD"/>
    <w:rsid w:val="00101C28"/>
    <w:rsid w:val="00103A39"/>
    <w:rsid w:val="00104CCA"/>
    <w:rsid w:val="00105678"/>
    <w:rsid w:val="001062E4"/>
    <w:rsid w:val="00107E60"/>
    <w:rsid w:val="001100C2"/>
    <w:rsid w:val="00110842"/>
    <w:rsid w:val="00110AF9"/>
    <w:rsid w:val="00110BE5"/>
    <w:rsid w:val="001128BE"/>
    <w:rsid w:val="00114C0A"/>
    <w:rsid w:val="00117E99"/>
    <w:rsid w:val="00120EB7"/>
    <w:rsid w:val="00121135"/>
    <w:rsid w:val="00123F0F"/>
    <w:rsid w:val="00124055"/>
    <w:rsid w:val="001244B8"/>
    <w:rsid w:val="00125A2E"/>
    <w:rsid w:val="0012666C"/>
    <w:rsid w:val="00130A6F"/>
    <w:rsid w:val="00133249"/>
    <w:rsid w:val="00133863"/>
    <w:rsid w:val="00133C48"/>
    <w:rsid w:val="00134A4A"/>
    <w:rsid w:val="0013508A"/>
    <w:rsid w:val="0013606C"/>
    <w:rsid w:val="00136BF2"/>
    <w:rsid w:val="00137099"/>
    <w:rsid w:val="00141058"/>
    <w:rsid w:val="00141320"/>
    <w:rsid w:val="0014227A"/>
    <w:rsid w:val="0014346E"/>
    <w:rsid w:val="0014680B"/>
    <w:rsid w:val="001469E6"/>
    <w:rsid w:val="00150B3E"/>
    <w:rsid w:val="00152D15"/>
    <w:rsid w:val="00153051"/>
    <w:rsid w:val="00153C36"/>
    <w:rsid w:val="00155B82"/>
    <w:rsid w:val="00155F3A"/>
    <w:rsid w:val="001605E4"/>
    <w:rsid w:val="00161293"/>
    <w:rsid w:val="00161442"/>
    <w:rsid w:val="00163370"/>
    <w:rsid w:val="00165992"/>
    <w:rsid w:val="001659BA"/>
    <w:rsid w:val="00165B2D"/>
    <w:rsid w:val="00166838"/>
    <w:rsid w:val="0016764E"/>
    <w:rsid w:val="00170482"/>
    <w:rsid w:val="0017094E"/>
    <w:rsid w:val="00172CFF"/>
    <w:rsid w:val="001738EF"/>
    <w:rsid w:val="00173E65"/>
    <w:rsid w:val="00174940"/>
    <w:rsid w:val="00174F7A"/>
    <w:rsid w:val="00175CDF"/>
    <w:rsid w:val="00176770"/>
    <w:rsid w:val="00177CBE"/>
    <w:rsid w:val="001801DD"/>
    <w:rsid w:val="00180A83"/>
    <w:rsid w:val="00180EE3"/>
    <w:rsid w:val="00181301"/>
    <w:rsid w:val="001825EE"/>
    <w:rsid w:val="00184ADA"/>
    <w:rsid w:val="00186E47"/>
    <w:rsid w:val="00190A1F"/>
    <w:rsid w:val="00190FBF"/>
    <w:rsid w:val="00191300"/>
    <w:rsid w:val="00192212"/>
    <w:rsid w:val="0019406F"/>
    <w:rsid w:val="001953D9"/>
    <w:rsid w:val="001957DC"/>
    <w:rsid w:val="00197188"/>
    <w:rsid w:val="00197375"/>
    <w:rsid w:val="00197EA9"/>
    <w:rsid w:val="00197FA0"/>
    <w:rsid w:val="001A080C"/>
    <w:rsid w:val="001A210F"/>
    <w:rsid w:val="001A2BC4"/>
    <w:rsid w:val="001A5C07"/>
    <w:rsid w:val="001A64E9"/>
    <w:rsid w:val="001A6879"/>
    <w:rsid w:val="001B0E21"/>
    <w:rsid w:val="001B254F"/>
    <w:rsid w:val="001B258F"/>
    <w:rsid w:val="001B3A0B"/>
    <w:rsid w:val="001B488C"/>
    <w:rsid w:val="001B4AE7"/>
    <w:rsid w:val="001B4C63"/>
    <w:rsid w:val="001B5736"/>
    <w:rsid w:val="001B6AEF"/>
    <w:rsid w:val="001B7402"/>
    <w:rsid w:val="001C1E19"/>
    <w:rsid w:val="001C279C"/>
    <w:rsid w:val="001C3362"/>
    <w:rsid w:val="001C4AFB"/>
    <w:rsid w:val="001C5860"/>
    <w:rsid w:val="001C6086"/>
    <w:rsid w:val="001C6D59"/>
    <w:rsid w:val="001C739F"/>
    <w:rsid w:val="001C7CA6"/>
    <w:rsid w:val="001D0BB0"/>
    <w:rsid w:val="001D6731"/>
    <w:rsid w:val="001D7DCB"/>
    <w:rsid w:val="001E08C0"/>
    <w:rsid w:val="001E1C73"/>
    <w:rsid w:val="001E324D"/>
    <w:rsid w:val="001E78D7"/>
    <w:rsid w:val="001F2B77"/>
    <w:rsid w:val="001F3783"/>
    <w:rsid w:val="001F37EE"/>
    <w:rsid w:val="001F6A1D"/>
    <w:rsid w:val="001F6CA1"/>
    <w:rsid w:val="001F6DFC"/>
    <w:rsid w:val="002002AB"/>
    <w:rsid w:val="002017B2"/>
    <w:rsid w:val="00201C83"/>
    <w:rsid w:val="00203FCE"/>
    <w:rsid w:val="0020503B"/>
    <w:rsid w:val="00210596"/>
    <w:rsid w:val="002114B6"/>
    <w:rsid w:val="002115CA"/>
    <w:rsid w:val="00212C8E"/>
    <w:rsid w:val="002136BF"/>
    <w:rsid w:val="002139E2"/>
    <w:rsid w:val="00220D11"/>
    <w:rsid w:val="002214B4"/>
    <w:rsid w:val="00221B90"/>
    <w:rsid w:val="00222036"/>
    <w:rsid w:val="00222C47"/>
    <w:rsid w:val="00223D00"/>
    <w:rsid w:val="00224136"/>
    <w:rsid w:val="002249FE"/>
    <w:rsid w:val="00226660"/>
    <w:rsid w:val="002277BF"/>
    <w:rsid w:val="00230498"/>
    <w:rsid w:val="002337F0"/>
    <w:rsid w:val="00233D2E"/>
    <w:rsid w:val="0023404A"/>
    <w:rsid w:val="00234494"/>
    <w:rsid w:val="0023487E"/>
    <w:rsid w:val="00234AC0"/>
    <w:rsid w:val="00235CAF"/>
    <w:rsid w:val="002371BC"/>
    <w:rsid w:val="002373C7"/>
    <w:rsid w:val="00240485"/>
    <w:rsid w:val="002411CA"/>
    <w:rsid w:val="00245DEE"/>
    <w:rsid w:val="00250802"/>
    <w:rsid w:val="00250E43"/>
    <w:rsid w:val="002519A9"/>
    <w:rsid w:val="0025211E"/>
    <w:rsid w:val="00252502"/>
    <w:rsid w:val="002554DC"/>
    <w:rsid w:val="002636F7"/>
    <w:rsid w:val="00263995"/>
    <w:rsid w:val="00263CBE"/>
    <w:rsid w:val="00263CC7"/>
    <w:rsid w:val="00264BB4"/>
    <w:rsid w:val="00264E70"/>
    <w:rsid w:val="0026520C"/>
    <w:rsid w:val="00265C78"/>
    <w:rsid w:val="002672CD"/>
    <w:rsid w:val="00270319"/>
    <w:rsid w:val="00270BA9"/>
    <w:rsid w:val="00273870"/>
    <w:rsid w:val="00274EB1"/>
    <w:rsid w:val="00275F38"/>
    <w:rsid w:val="002767CA"/>
    <w:rsid w:val="00277051"/>
    <w:rsid w:val="002812BE"/>
    <w:rsid w:val="002821EF"/>
    <w:rsid w:val="002833F3"/>
    <w:rsid w:val="002839E2"/>
    <w:rsid w:val="00283BB6"/>
    <w:rsid w:val="00283CBF"/>
    <w:rsid w:val="00283D92"/>
    <w:rsid w:val="002843FE"/>
    <w:rsid w:val="00284776"/>
    <w:rsid w:val="00285653"/>
    <w:rsid w:val="002863DA"/>
    <w:rsid w:val="00286468"/>
    <w:rsid w:val="00287744"/>
    <w:rsid w:val="00287FA6"/>
    <w:rsid w:val="0029056F"/>
    <w:rsid w:val="00291296"/>
    <w:rsid w:val="00292528"/>
    <w:rsid w:val="0029392B"/>
    <w:rsid w:val="00293AFC"/>
    <w:rsid w:val="002948C0"/>
    <w:rsid w:val="00295931"/>
    <w:rsid w:val="00295CCE"/>
    <w:rsid w:val="002A252B"/>
    <w:rsid w:val="002A28FA"/>
    <w:rsid w:val="002A4D1F"/>
    <w:rsid w:val="002A7EF9"/>
    <w:rsid w:val="002B0244"/>
    <w:rsid w:val="002B0774"/>
    <w:rsid w:val="002B0D5B"/>
    <w:rsid w:val="002B1DDC"/>
    <w:rsid w:val="002B3C13"/>
    <w:rsid w:val="002B40F9"/>
    <w:rsid w:val="002B4196"/>
    <w:rsid w:val="002B61BA"/>
    <w:rsid w:val="002B7029"/>
    <w:rsid w:val="002C0968"/>
    <w:rsid w:val="002C09CD"/>
    <w:rsid w:val="002C340C"/>
    <w:rsid w:val="002C54AF"/>
    <w:rsid w:val="002C55DB"/>
    <w:rsid w:val="002C59C7"/>
    <w:rsid w:val="002D0E64"/>
    <w:rsid w:val="002D1E61"/>
    <w:rsid w:val="002D2C64"/>
    <w:rsid w:val="002D2FF6"/>
    <w:rsid w:val="002D30D6"/>
    <w:rsid w:val="002D377A"/>
    <w:rsid w:val="002D3FF9"/>
    <w:rsid w:val="002D4C59"/>
    <w:rsid w:val="002D5143"/>
    <w:rsid w:val="002D56ED"/>
    <w:rsid w:val="002D7077"/>
    <w:rsid w:val="002D7096"/>
    <w:rsid w:val="002D732F"/>
    <w:rsid w:val="002E0528"/>
    <w:rsid w:val="002E4980"/>
    <w:rsid w:val="002E577C"/>
    <w:rsid w:val="002E5C15"/>
    <w:rsid w:val="002E5EC6"/>
    <w:rsid w:val="002E69B3"/>
    <w:rsid w:val="002E75C9"/>
    <w:rsid w:val="002F071E"/>
    <w:rsid w:val="002F091F"/>
    <w:rsid w:val="002F29A0"/>
    <w:rsid w:val="002F2ACB"/>
    <w:rsid w:val="002F4602"/>
    <w:rsid w:val="002F4AE4"/>
    <w:rsid w:val="002F611D"/>
    <w:rsid w:val="002F6490"/>
    <w:rsid w:val="00301408"/>
    <w:rsid w:val="00301577"/>
    <w:rsid w:val="003015BD"/>
    <w:rsid w:val="0030181F"/>
    <w:rsid w:val="00301B0B"/>
    <w:rsid w:val="003028D3"/>
    <w:rsid w:val="00302F31"/>
    <w:rsid w:val="00303313"/>
    <w:rsid w:val="003035D3"/>
    <w:rsid w:val="00305E4A"/>
    <w:rsid w:val="00306FE2"/>
    <w:rsid w:val="00307A3D"/>
    <w:rsid w:val="0031081F"/>
    <w:rsid w:val="00312947"/>
    <w:rsid w:val="0031377B"/>
    <w:rsid w:val="00314057"/>
    <w:rsid w:val="00314743"/>
    <w:rsid w:val="00314AA7"/>
    <w:rsid w:val="00315090"/>
    <w:rsid w:val="0031651E"/>
    <w:rsid w:val="00317608"/>
    <w:rsid w:val="00317CAF"/>
    <w:rsid w:val="00322581"/>
    <w:rsid w:val="003233E5"/>
    <w:rsid w:val="00323556"/>
    <w:rsid w:val="00323641"/>
    <w:rsid w:val="003236FB"/>
    <w:rsid w:val="00324298"/>
    <w:rsid w:val="00325907"/>
    <w:rsid w:val="00325A7B"/>
    <w:rsid w:val="003301F0"/>
    <w:rsid w:val="0033150D"/>
    <w:rsid w:val="00331ABE"/>
    <w:rsid w:val="00335454"/>
    <w:rsid w:val="0033549B"/>
    <w:rsid w:val="0033648C"/>
    <w:rsid w:val="00341772"/>
    <w:rsid w:val="0034236F"/>
    <w:rsid w:val="00343151"/>
    <w:rsid w:val="00343333"/>
    <w:rsid w:val="003433E2"/>
    <w:rsid w:val="003440F7"/>
    <w:rsid w:val="00344910"/>
    <w:rsid w:val="00345D16"/>
    <w:rsid w:val="0034606E"/>
    <w:rsid w:val="00347105"/>
    <w:rsid w:val="00347287"/>
    <w:rsid w:val="00347405"/>
    <w:rsid w:val="0034743D"/>
    <w:rsid w:val="00347AB7"/>
    <w:rsid w:val="00347C5C"/>
    <w:rsid w:val="0035056F"/>
    <w:rsid w:val="00352BDE"/>
    <w:rsid w:val="00354055"/>
    <w:rsid w:val="003560BD"/>
    <w:rsid w:val="00356255"/>
    <w:rsid w:val="00357C79"/>
    <w:rsid w:val="0036118E"/>
    <w:rsid w:val="00361505"/>
    <w:rsid w:val="00361A38"/>
    <w:rsid w:val="00363204"/>
    <w:rsid w:val="0036349F"/>
    <w:rsid w:val="00363694"/>
    <w:rsid w:val="00363F07"/>
    <w:rsid w:val="003643D7"/>
    <w:rsid w:val="00366E7C"/>
    <w:rsid w:val="00367039"/>
    <w:rsid w:val="00372C4D"/>
    <w:rsid w:val="00374189"/>
    <w:rsid w:val="00374995"/>
    <w:rsid w:val="00374F0F"/>
    <w:rsid w:val="003750B5"/>
    <w:rsid w:val="00377168"/>
    <w:rsid w:val="00383870"/>
    <w:rsid w:val="003846A4"/>
    <w:rsid w:val="00386F48"/>
    <w:rsid w:val="003871E6"/>
    <w:rsid w:val="00387436"/>
    <w:rsid w:val="00391559"/>
    <w:rsid w:val="0039389C"/>
    <w:rsid w:val="00393DC0"/>
    <w:rsid w:val="00395496"/>
    <w:rsid w:val="0039788F"/>
    <w:rsid w:val="003A0949"/>
    <w:rsid w:val="003A0AF6"/>
    <w:rsid w:val="003A11A4"/>
    <w:rsid w:val="003A2B4C"/>
    <w:rsid w:val="003A2CEB"/>
    <w:rsid w:val="003A353E"/>
    <w:rsid w:val="003A39C0"/>
    <w:rsid w:val="003A3F1B"/>
    <w:rsid w:val="003A4702"/>
    <w:rsid w:val="003A577B"/>
    <w:rsid w:val="003A7E68"/>
    <w:rsid w:val="003B1837"/>
    <w:rsid w:val="003B3DD4"/>
    <w:rsid w:val="003C0201"/>
    <w:rsid w:val="003C1F0E"/>
    <w:rsid w:val="003C2179"/>
    <w:rsid w:val="003C42E6"/>
    <w:rsid w:val="003C56A8"/>
    <w:rsid w:val="003C71F1"/>
    <w:rsid w:val="003C7CC1"/>
    <w:rsid w:val="003D0248"/>
    <w:rsid w:val="003D042F"/>
    <w:rsid w:val="003D0529"/>
    <w:rsid w:val="003D2BB6"/>
    <w:rsid w:val="003D322B"/>
    <w:rsid w:val="003D57EC"/>
    <w:rsid w:val="003D5817"/>
    <w:rsid w:val="003D6B4E"/>
    <w:rsid w:val="003E1052"/>
    <w:rsid w:val="003E15E2"/>
    <w:rsid w:val="003E295B"/>
    <w:rsid w:val="003E4FF9"/>
    <w:rsid w:val="003E536F"/>
    <w:rsid w:val="003E6802"/>
    <w:rsid w:val="003E72A4"/>
    <w:rsid w:val="003E790B"/>
    <w:rsid w:val="003F1486"/>
    <w:rsid w:val="003F158B"/>
    <w:rsid w:val="003F1EDC"/>
    <w:rsid w:val="003F6B9A"/>
    <w:rsid w:val="0040087A"/>
    <w:rsid w:val="00400C61"/>
    <w:rsid w:val="00400FFB"/>
    <w:rsid w:val="00404CD4"/>
    <w:rsid w:val="00404FD4"/>
    <w:rsid w:val="004050DB"/>
    <w:rsid w:val="004101F8"/>
    <w:rsid w:val="00410594"/>
    <w:rsid w:val="00410D5F"/>
    <w:rsid w:val="00411890"/>
    <w:rsid w:val="00412A90"/>
    <w:rsid w:val="00414CFF"/>
    <w:rsid w:val="00414D7F"/>
    <w:rsid w:val="00415A34"/>
    <w:rsid w:val="00415D87"/>
    <w:rsid w:val="00416782"/>
    <w:rsid w:val="00417878"/>
    <w:rsid w:val="00417C36"/>
    <w:rsid w:val="00420F06"/>
    <w:rsid w:val="00421066"/>
    <w:rsid w:val="00421469"/>
    <w:rsid w:val="0042285D"/>
    <w:rsid w:val="004245B7"/>
    <w:rsid w:val="004247FC"/>
    <w:rsid w:val="00424BA9"/>
    <w:rsid w:val="004251B7"/>
    <w:rsid w:val="00425EFE"/>
    <w:rsid w:val="004273F5"/>
    <w:rsid w:val="00433A07"/>
    <w:rsid w:val="00433DEF"/>
    <w:rsid w:val="00435A7E"/>
    <w:rsid w:val="00437A39"/>
    <w:rsid w:val="004404AF"/>
    <w:rsid w:val="00443800"/>
    <w:rsid w:val="00443869"/>
    <w:rsid w:val="004443A4"/>
    <w:rsid w:val="00446641"/>
    <w:rsid w:val="00446992"/>
    <w:rsid w:val="00447914"/>
    <w:rsid w:val="00451525"/>
    <w:rsid w:val="004516AD"/>
    <w:rsid w:val="00451913"/>
    <w:rsid w:val="00451C36"/>
    <w:rsid w:val="00451ED2"/>
    <w:rsid w:val="00452B6F"/>
    <w:rsid w:val="00453A3E"/>
    <w:rsid w:val="0045655B"/>
    <w:rsid w:val="00456C56"/>
    <w:rsid w:val="00461184"/>
    <w:rsid w:val="004631AB"/>
    <w:rsid w:val="0046364C"/>
    <w:rsid w:val="00463AAE"/>
    <w:rsid w:val="00464BD0"/>
    <w:rsid w:val="00464C20"/>
    <w:rsid w:val="00465D7D"/>
    <w:rsid w:val="00466044"/>
    <w:rsid w:val="004679EA"/>
    <w:rsid w:val="00470D73"/>
    <w:rsid w:val="004718DE"/>
    <w:rsid w:val="0047271F"/>
    <w:rsid w:val="00473DDA"/>
    <w:rsid w:val="00474784"/>
    <w:rsid w:val="00475FE2"/>
    <w:rsid w:val="00477B10"/>
    <w:rsid w:val="00477FBB"/>
    <w:rsid w:val="004802FC"/>
    <w:rsid w:val="00480EF6"/>
    <w:rsid w:val="00482330"/>
    <w:rsid w:val="00482CF8"/>
    <w:rsid w:val="00482F1A"/>
    <w:rsid w:val="00483D5F"/>
    <w:rsid w:val="004841FF"/>
    <w:rsid w:val="004844D1"/>
    <w:rsid w:val="004847BF"/>
    <w:rsid w:val="00484A13"/>
    <w:rsid w:val="00484C0D"/>
    <w:rsid w:val="00491A3F"/>
    <w:rsid w:val="004920F3"/>
    <w:rsid w:val="0049374B"/>
    <w:rsid w:val="004938FF"/>
    <w:rsid w:val="00493B35"/>
    <w:rsid w:val="0049591A"/>
    <w:rsid w:val="00496131"/>
    <w:rsid w:val="00497102"/>
    <w:rsid w:val="004A0164"/>
    <w:rsid w:val="004A12DF"/>
    <w:rsid w:val="004A1FCB"/>
    <w:rsid w:val="004A2070"/>
    <w:rsid w:val="004A28A9"/>
    <w:rsid w:val="004A2B78"/>
    <w:rsid w:val="004A2DA1"/>
    <w:rsid w:val="004A2FFB"/>
    <w:rsid w:val="004A3ED2"/>
    <w:rsid w:val="004A4982"/>
    <w:rsid w:val="004A71BE"/>
    <w:rsid w:val="004A732D"/>
    <w:rsid w:val="004A7C28"/>
    <w:rsid w:val="004B0832"/>
    <w:rsid w:val="004B1609"/>
    <w:rsid w:val="004B6399"/>
    <w:rsid w:val="004B7160"/>
    <w:rsid w:val="004C0CD5"/>
    <w:rsid w:val="004C1069"/>
    <w:rsid w:val="004C43DC"/>
    <w:rsid w:val="004C62A0"/>
    <w:rsid w:val="004D06D1"/>
    <w:rsid w:val="004D149E"/>
    <w:rsid w:val="004D169B"/>
    <w:rsid w:val="004D1ABE"/>
    <w:rsid w:val="004D249E"/>
    <w:rsid w:val="004D282F"/>
    <w:rsid w:val="004D34EF"/>
    <w:rsid w:val="004D39CF"/>
    <w:rsid w:val="004D3B8A"/>
    <w:rsid w:val="004D3BBF"/>
    <w:rsid w:val="004D4494"/>
    <w:rsid w:val="004D570F"/>
    <w:rsid w:val="004E0327"/>
    <w:rsid w:val="004E0E92"/>
    <w:rsid w:val="004E0FA5"/>
    <w:rsid w:val="004E1101"/>
    <w:rsid w:val="004E1657"/>
    <w:rsid w:val="004E1822"/>
    <w:rsid w:val="004E1853"/>
    <w:rsid w:val="004E1B54"/>
    <w:rsid w:val="004E1CB2"/>
    <w:rsid w:val="004E46F5"/>
    <w:rsid w:val="004E48D9"/>
    <w:rsid w:val="004E59D6"/>
    <w:rsid w:val="004E7C90"/>
    <w:rsid w:val="004E7CDC"/>
    <w:rsid w:val="004F22F8"/>
    <w:rsid w:val="004F2528"/>
    <w:rsid w:val="004F269E"/>
    <w:rsid w:val="004F26ED"/>
    <w:rsid w:val="004F2EB9"/>
    <w:rsid w:val="004F305B"/>
    <w:rsid w:val="004F4019"/>
    <w:rsid w:val="004F4F5A"/>
    <w:rsid w:val="004F6B24"/>
    <w:rsid w:val="004F7309"/>
    <w:rsid w:val="004F7919"/>
    <w:rsid w:val="005000DB"/>
    <w:rsid w:val="005004E1"/>
    <w:rsid w:val="00500775"/>
    <w:rsid w:val="00500876"/>
    <w:rsid w:val="00500AC0"/>
    <w:rsid w:val="00500E37"/>
    <w:rsid w:val="0050393F"/>
    <w:rsid w:val="005058D7"/>
    <w:rsid w:val="00511E57"/>
    <w:rsid w:val="0051425A"/>
    <w:rsid w:val="005146F9"/>
    <w:rsid w:val="0051535D"/>
    <w:rsid w:val="005168DD"/>
    <w:rsid w:val="00517C7C"/>
    <w:rsid w:val="00521B0F"/>
    <w:rsid w:val="00521E96"/>
    <w:rsid w:val="00524AA1"/>
    <w:rsid w:val="005259D2"/>
    <w:rsid w:val="0052678E"/>
    <w:rsid w:val="00530391"/>
    <w:rsid w:val="0053112E"/>
    <w:rsid w:val="005315A3"/>
    <w:rsid w:val="00531A76"/>
    <w:rsid w:val="0053635A"/>
    <w:rsid w:val="00536BCB"/>
    <w:rsid w:val="00542ED2"/>
    <w:rsid w:val="0054445F"/>
    <w:rsid w:val="005457B6"/>
    <w:rsid w:val="00546A71"/>
    <w:rsid w:val="00546DF0"/>
    <w:rsid w:val="00546EDF"/>
    <w:rsid w:val="005476BB"/>
    <w:rsid w:val="0055015E"/>
    <w:rsid w:val="00552880"/>
    <w:rsid w:val="00552A39"/>
    <w:rsid w:val="0055340C"/>
    <w:rsid w:val="005553DD"/>
    <w:rsid w:val="00555BB2"/>
    <w:rsid w:val="00555D33"/>
    <w:rsid w:val="00556ADC"/>
    <w:rsid w:val="00562FD5"/>
    <w:rsid w:val="00565410"/>
    <w:rsid w:val="00566230"/>
    <w:rsid w:val="00567A1A"/>
    <w:rsid w:val="00571B32"/>
    <w:rsid w:val="005720E7"/>
    <w:rsid w:val="00574758"/>
    <w:rsid w:val="00575614"/>
    <w:rsid w:val="005770CB"/>
    <w:rsid w:val="00577410"/>
    <w:rsid w:val="00582566"/>
    <w:rsid w:val="00583185"/>
    <w:rsid w:val="005846AB"/>
    <w:rsid w:val="00584830"/>
    <w:rsid w:val="0058516E"/>
    <w:rsid w:val="0058611F"/>
    <w:rsid w:val="0058630A"/>
    <w:rsid w:val="005864CE"/>
    <w:rsid w:val="00586FDC"/>
    <w:rsid w:val="005929EC"/>
    <w:rsid w:val="00592F25"/>
    <w:rsid w:val="00596FDC"/>
    <w:rsid w:val="005A004A"/>
    <w:rsid w:val="005A075B"/>
    <w:rsid w:val="005A17E0"/>
    <w:rsid w:val="005A2653"/>
    <w:rsid w:val="005A28FD"/>
    <w:rsid w:val="005A2C70"/>
    <w:rsid w:val="005A47D2"/>
    <w:rsid w:val="005A4B0F"/>
    <w:rsid w:val="005A4DCB"/>
    <w:rsid w:val="005A562E"/>
    <w:rsid w:val="005A64BC"/>
    <w:rsid w:val="005A6EEF"/>
    <w:rsid w:val="005B11B1"/>
    <w:rsid w:val="005B122B"/>
    <w:rsid w:val="005B1C26"/>
    <w:rsid w:val="005B2A68"/>
    <w:rsid w:val="005B2E8A"/>
    <w:rsid w:val="005B4108"/>
    <w:rsid w:val="005B5FB1"/>
    <w:rsid w:val="005B6EB0"/>
    <w:rsid w:val="005B71FE"/>
    <w:rsid w:val="005C066E"/>
    <w:rsid w:val="005C16B4"/>
    <w:rsid w:val="005C3AFA"/>
    <w:rsid w:val="005C47CB"/>
    <w:rsid w:val="005C4914"/>
    <w:rsid w:val="005C54F2"/>
    <w:rsid w:val="005C680B"/>
    <w:rsid w:val="005D0243"/>
    <w:rsid w:val="005D11DD"/>
    <w:rsid w:val="005D1623"/>
    <w:rsid w:val="005D1809"/>
    <w:rsid w:val="005D3039"/>
    <w:rsid w:val="005D3BCA"/>
    <w:rsid w:val="005D4D13"/>
    <w:rsid w:val="005D5C29"/>
    <w:rsid w:val="005D62D3"/>
    <w:rsid w:val="005D7465"/>
    <w:rsid w:val="005D7C89"/>
    <w:rsid w:val="005E06A7"/>
    <w:rsid w:val="005E10F4"/>
    <w:rsid w:val="005E234B"/>
    <w:rsid w:val="005E2B2B"/>
    <w:rsid w:val="005E36AA"/>
    <w:rsid w:val="005E5E6E"/>
    <w:rsid w:val="005E5F0E"/>
    <w:rsid w:val="005E5F7A"/>
    <w:rsid w:val="005E78CE"/>
    <w:rsid w:val="005F0603"/>
    <w:rsid w:val="005F1403"/>
    <w:rsid w:val="005F489F"/>
    <w:rsid w:val="005F4C05"/>
    <w:rsid w:val="005F50F4"/>
    <w:rsid w:val="005F5C48"/>
    <w:rsid w:val="005F60B2"/>
    <w:rsid w:val="005F6EB5"/>
    <w:rsid w:val="005F7412"/>
    <w:rsid w:val="005F76F1"/>
    <w:rsid w:val="00601374"/>
    <w:rsid w:val="00601778"/>
    <w:rsid w:val="00601782"/>
    <w:rsid w:val="00602557"/>
    <w:rsid w:val="00602BD4"/>
    <w:rsid w:val="00603ABA"/>
    <w:rsid w:val="00603E85"/>
    <w:rsid w:val="00603EE5"/>
    <w:rsid w:val="00605EBB"/>
    <w:rsid w:val="0060762F"/>
    <w:rsid w:val="0061086D"/>
    <w:rsid w:val="00615373"/>
    <w:rsid w:val="00616299"/>
    <w:rsid w:val="00617319"/>
    <w:rsid w:val="00617A22"/>
    <w:rsid w:val="006200E4"/>
    <w:rsid w:val="00621CA0"/>
    <w:rsid w:val="006230D8"/>
    <w:rsid w:val="00625167"/>
    <w:rsid w:val="00625B13"/>
    <w:rsid w:val="00625C34"/>
    <w:rsid w:val="00626D9A"/>
    <w:rsid w:val="0062791E"/>
    <w:rsid w:val="006328F5"/>
    <w:rsid w:val="00632B97"/>
    <w:rsid w:val="00633A3B"/>
    <w:rsid w:val="00633E80"/>
    <w:rsid w:val="00635500"/>
    <w:rsid w:val="0063618C"/>
    <w:rsid w:val="006377A5"/>
    <w:rsid w:val="00637B57"/>
    <w:rsid w:val="006402BB"/>
    <w:rsid w:val="00640796"/>
    <w:rsid w:val="00640EFD"/>
    <w:rsid w:val="00643B8B"/>
    <w:rsid w:val="00644349"/>
    <w:rsid w:val="0064468D"/>
    <w:rsid w:val="006447FB"/>
    <w:rsid w:val="00645E75"/>
    <w:rsid w:val="006466DD"/>
    <w:rsid w:val="0064751F"/>
    <w:rsid w:val="006505B2"/>
    <w:rsid w:val="00650632"/>
    <w:rsid w:val="006509E1"/>
    <w:rsid w:val="00650D8B"/>
    <w:rsid w:val="0065148E"/>
    <w:rsid w:val="006516FE"/>
    <w:rsid w:val="00651C89"/>
    <w:rsid w:val="00653CFF"/>
    <w:rsid w:val="006543A7"/>
    <w:rsid w:val="00654E30"/>
    <w:rsid w:val="00656667"/>
    <w:rsid w:val="00660727"/>
    <w:rsid w:val="00660D48"/>
    <w:rsid w:val="0066111D"/>
    <w:rsid w:val="006618D8"/>
    <w:rsid w:val="006629DD"/>
    <w:rsid w:val="00662A00"/>
    <w:rsid w:val="00663174"/>
    <w:rsid w:val="00664588"/>
    <w:rsid w:val="006655FB"/>
    <w:rsid w:val="00667584"/>
    <w:rsid w:val="006675CC"/>
    <w:rsid w:val="00670377"/>
    <w:rsid w:val="00671028"/>
    <w:rsid w:val="006710BE"/>
    <w:rsid w:val="00671CA8"/>
    <w:rsid w:val="00671F44"/>
    <w:rsid w:val="0067228E"/>
    <w:rsid w:val="006730A4"/>
    <w:rsid w:val="00674090"/>
    <w:rsid w:val="00675DE8"/>
    <w:rsid w:val="006769C7"/>
    <w:rsid w:val="00677678"/>
    <w:rsid w:val="00677739"/>
    <w:rsid w:val="00680F53"/>
    <w:rsid w:val="006814AA"/>
    <w:rsid w:val="00681C0F"/>
    <w:rsid w:val="006823C9"/>
    <w:rsid w:val="00682AAA"/>
    <w:rsid w:val="00684781"/>
    <w:rsid w:val="0068487D"/>
    <w:rsid w:val="00684B07"/>
    <w:rsid w:val="00685366"/>
    <w:rsid w:val="006856F1"/>
    <w:rsid w:val="00685DC3"/>
    <w:rsid w:val="0068641A"/>
    <w:rsid w:val="006923A3"/>
    <w:rsid w:val="00692C09"/>
    <w:rsid w:val="00696225"/>
    <w:rsid w:val="00696E4D"/>
    <w:rsid w:val="00696F3C"/>
    <w:rsid w:val="00697479"/>
    <w:rsid w:val="006A0C5C"/>
    <w:rsid w:val="006A13B0"/>
    <w:rsid w:val="006A13F2"/>
    <w:rsid w:val="006A26A0"/>
    <w:rsid w:val="006A4076"/>
    <w:rsid w:val="006A4486"/>
    <w:rsid w:val="006A645D"/>
    <w:rsid w:val="006A757E"/>
    <w:rsid w:val="006A77B8"/>
    <w:rsid w:val="006A7D4C"/>
    <w:rsid w:val="006B015A"/>
    <w:rsid w:val="006B068E"/>
    <w:rsid w:val="006B1E3B"/>
    <w:rsid w:val="006B23D0"/>
    <w:rsid w:val="006B504D"/>
    <w:rsid w:val="006B76D9"/>
    <w:rsid w:val="006B7A72"/>
    <w:rsid w:val="006C00C2"/>
    <w:rsid w:val="006C147B"/>
    <w:rsid w:val="006C2673"/>
    <w:rsid w:val="006C26D3"/>
    <w:rsid w:val="006C31C1"/>
    <w:rsid w:val="006C38CF"/>
    <w:rsid w:val="006C3EAD"/>
    <w:rsid w:val="006C4A06"/>
    <w:rsid w:val="006C6CBE"/>
    <w:rsid w:val="006C722E"/>
    <w:rsid w:val="006C76D2"/>
    <w:rsid w:val="006D0186"/>
    <w:rsid w:val="006D0531"/>
    <w:rsid w:val="006D08B1"/>
    <w:rsid w:val="006D5D7E"/>
    <w:rsid w:val="006D6195"/>
    <w:rsid w:val="006D7AF3"/>
    <w:rsid w:val="006E1299"/>
    <w:rsid w:val="006E17F0"/>
    <w:rsid w:val="006E1FC9"/>
    <w:rsid w:val="006E3235"/>
    <w:rsid w:val="006E3F95"/>
    <w:rsid w:val="006E46B1"/>
    <w:rsid w:val="006E5A00"/>
    <w:rsid w:val="006E747E"/>
    <w:rsid w:val="006E78EB"/>
    <w:rsid w:val="006E7A03"/>
    <w:rsid w:val="006F1D2D"/>
    <w:rsid w:val="006F2428"/>
    <w:rsid w:val="006F285E"/>
    <w:rsid w:val="006F2E54"/>
    <w:rsid w:val="006F42D4"/>
    <w:rsid w:val="006F51CD"/>
    <w:rsid w:val="006F65CE"/>
    <w:rsid w:val="006F6EE3"/>
    <w:rsid w:val="006F73D2"/>
    <w:rsid w:val="006F765C"/>
    <w:rsid w:val="00700069"/>
    <w:rsid w:val="007007CA"/>
    <w:rsid w:val="0070370A"/>
    <w:rsid w:val="00704D43"/>
    <w:rsid w:val="00704F3F"/>
    <w:rsid w:val="00706229"/>
    <w:rsid w:val="00706FB2"/>
    <w:rsid w:val="00710E05"/>
    <w:rsid w:val="00712492"/>
    <w:rsid w:val="00713B7F"/>
    <w:rsid w:val="007147AC"/>
    <w:rsid w:val="007147EF"/>
    <w:rsid w:val="00716D7D"/>
    <w:rsid w:val="00716F4D"/>
    <w:rsid w:val="00720638"/>
    <w:rsid w:val="00721ED0"/>
    <w:rsid w:val="0072303A"/>
    <w:rsid w:val="007252FB"/>
    <w:rsid w:val="00725686"/>
    <w:rsid w:val="00725C70"/>
    <w:rsid w:val="00725CB3"/>
    <w:rsid w:val="00726803"/>
    <w:rsid w:val="00727A19"/>
    <w:rsid w:val="0073101C"/>
    <w:rsid w:val="007323E5"/>
    <w:rsid w:val="0073790D"/>
    <w:rsid w:val="007379A2"/>
    <w:rsid w:val="0074048C"/>
    <w:rsid w:val="00741F64"/>
    <w:rsid w:val="007444D7"/>
    <w:rsid w:val="00744758"/>
    <w:rsid w:val="007448B4"/>
    <w:rsid w:val="007463A1"/>
    <w:rsid w:val="00746B0D"/>
    <w:rsid w:val="007471FB"/>
    <w:rsid w:val="00747D95"/>
    <w:rsid w:val="00750552"/>
    <w:rsid w:val="00750A17"/>
    <w:rsid w:val="0075218F"/>
    <w:rsid w:val="00752F16"/>
    <w:rsid w:val="0075345E"/>
    <w:rsid w:val="00753C1A"/>
    <w:rsid w:val="00755C16"/>
    <w:rsid w:val="00757391"/>
    <w:rsid w:val="00757975"/>
    <w:rsid w:val="00761F22"/>
    <w:rsid w:val="00761F8E"/>
    <w:rsid w:val="007639FE"/>
    <w:rsid w:val="00766562"/>
    <w:rsid w:val="007668D8"/>
    <w:rsid w:val="00766B7E"/>
    <w:rsid w:val="00767403"/>
    <w:rsid w:val="0076759D"/>
    <w:rsid w:val="007716E5"/>
    <w:rsid w:val="00771D7E"/>
    <w:rsid w:val="0077224C"/>
    <w:rsid w:val="00772BD1"/>
    <w:rsid w:val="00774E48"/>
    <w:rsid w:val="007753D3"/>
    <w:rsid w:val="00780799"/>
    <w:rsid w:val="00780C75"/>
    <w:rsid w:val="007829D9"/>
    <w:rsid w:val="00784E87"/>
    <w:rsid w:val="0078564B"/>
    <w:rsid w:val="007856E8"/>
    <w:rsid w:val="007857CA"/>
    <w:rsid w:val="00785AFB"/>
    <w:rsid w:val="00786473"/>
    <w:rsid w:val="00786583"/>
    <w:rsid w:val="00790229"/>
    <w:rsid w:val="00790933"/>
    <w:rsid w:val="00791B85"/>
    <w:rsid w:val="007937E7"/>
    <w:rsid w:val="00794B7B"/>
    <w:rsid w:val="00795308"/>
    <w:rsid w:val="00795635"/>
    <w:rsid w:val="00797BB7"/>
    <w:rsid w:val="007A04A0"/>
    <w:rsid w:val="007A13B6"/>
    <w:rsid w:val="007A1690"/>
    <w:rsid w:val="007A1AE0"/>
    <w:rsid w:val="007A35C3"/>
    <w:rsid w:val="007A45EC"/>
    <w:rsid w:val="007A487C"/>
    <w:rsid w:val="007A4F27"/>
    <w:rsid w:val="007A6A33"/>
    <w:rsid w:val="007A7AF1"/>
    <w:rsid w:val="007B0EBE"/>
    <w:rsid w:val="007B29A8"/>
    <w:rsid w:val="007B33D6"/>
    <w:rsid w:val="007B475E"/>
    <w:rsid w:val="007B4873"/>
    <w:rsid w:val="007B5559"/>
    <w:rsid w:val="007B663F"/>
    <w:rsid w:val="007B71CF"/>
    <w:rsid w:val="007B7939"/>
    <w:rsid w:val="007C1D0A"/>
    <w:rsid w:val="007C2716"/>
    <w:rsid w:val="007C2854"/>
    <w:rsid w:val="007C2AC0"/>
    <w:rsid w:val="007C3381"/>
    <w:rsid w:val="007C3C1D"/>
    <w:rsid w:val="007C4648"/>
    <w:rsid w:val="007C48B8"/>
    <w:rsid w:val="007C5EEB"/>
    <w:rsid w:val="007C79AC"/>
    <w:rsid w:val="007D10DC"/>
    <w:rsid w:val="007D41D4"/>
    <w:rsid w:val="007D440C"/>
    <w:rsid w:val="007D452A"/>
    <w:rsid w:val="007D5DE4"/>
    <w:rsid w:val="007E14CA"/>
    <w:rsid w:val="007E378F"/>
    <w:rsid w:val="007E3CEB"/>
    <w:rsid w:val="007E6A9F"/>
    <w:rsid w:val="007E6FBA"/>
    <w:rsid w:val="007E75C5"/>
    <w:rsid w:val="007F07E1"/>
    <w:rsid w:val="007F1082"/>
    <w:rsid w:val="007F2681"/>
    <w:rsid w:val="007F30D6"/>
    <w:rsid w:val="007F4BD5"/>
    <w:rsid w:val="007F5058"/>
    <w:rsid w:val="007F51DD"/>
    <w:rsid w:val="007F54A7"/>
    <w:rsid w:val="007F5950"/>
    <w:rsid w:val="007F77E1"/>
    <w:rsid w:val="00802677"/>
    <w:rsid w:val="008032AD"/>
    <w:rsid w:val="008056C7"/>
    <w:rsid w:val="00806330"/>
    <w:rsid w:val="008065BF"/>
    <w:rsid w:val="00807585"/>
    <w:rsid w:val="00807832"/>
    <w:rsid w:val="00812BFF"/>
    <w:rsid w:val="00814F4D"/>
    <w:rsid w:val="008152A0"/>
    <w:rsid w:val="00815822"/>
    <w:rsid w:val="00820A09"/>
    <w:rsid w:val="00821734"/>
    <w:rsid w:val="00825184"/>
    <w:rsid w:val="008251D4"/>
    <w:rsid w:val="00825455"/>
    <w:rsid w:val="0083019A"/>
    <w:rsid w:val="00834D38"/>
    <w:rsid w:val="00836013"/>
    <w:rsid w:val="008369A3"/>
    <w:rsid w:val="00841801"/>
    <w:rsid w:val="00842A2A"/>
    <w:rsid w:val="00843EE8"/>
    <w:rsid w:val="0084557F"/>
    <w:rsid w:val="0084590C"/>
    <w:rsid w:val="00846BD3"/>
    <w:rsid w:val="00854A54"/>
    <w:rsid w:val="008550A2"/>
    <w:rsid w:val="00855832"/>
    <w:rsid w:val="0085597E"/>
    <w:rsid w:val="00855FC7"/>
    <w:rsid w:val="00857D3A"/>
    <w:rsid w:val="00860FD5"/>
    <w:rsid w:val="0086215A"/>
    <w:rsid w:val="008639D3"/>
    <w:rsid w:val="00863D0C"/>
    <w:rsid w:val="00863F2A"/>
    <w:rsid w:val="0086625E"/>
    <w:rsid w:val="0087022A"/>
    <w:rsid w:val="00870287"/>
    <w:rsid w:val="00870825"/>
    <w:rsid w:val="0087096E"/>
    <w:rsid w:val="00870FA6"/>
    <w:rsid w:val="0087111C"/>
    <w:rsid w:val="0087280C"/>
    <w:rsid w:val="0087297F"/>
    <w:rsid w:val="00873425"/>
    <w:rsid w:val="00873C53"/>
    <w:rsid w:val="00874990"/>
    <w:rsid w:val="00877272"/>
    <w:rsid w:val="00877BF5"/>
    <w:rsid w:val="008807CE"/>
    <w:rsid w:val="008835CA"/>
    <w:rsid w:val="0088490B"/>
    <w:rsid w:val="00886994"/>
    <w:rsid w:val="00886E6F"/>
    <w:rsid w:val="00891D51"/>
    <w:rsid w:val="008932A8"/>
    <w:rsid w:val="00894B86"/>
    <w:rsid w:val="0089706B"/>
    <w:rsid w:val="008A110E"/>
    <w:rsid w:val="008A13FA"/>
    <w:rsid w:val="008A182C"/>
    <w:rsid w:val="008A38BC"/>
    <w:rsid w:val="008A4470"/>
    <w:rsid w:val="008A4525"/>
    <w:rsid w:val="008A5C32"/>
    <w:rsid w:val="008A7530"/>
    <w:rsid w:val="008A7E5E"/>
    <w:rsid w:val="008B03E9"/>
    <w:rsid w:val="008B1A30"/>
    <w:rsid w:val="008B3C1A"/>
    <w:rsid w:val="008B4FFC"/>
    <w:rsid w:val="008B54D7"/>
    <w:rsid w:val="008B56BD"/>
    <w:rsid w:val="008C17AB"/>
    <w:rsid w:val="008C3631"/>
    <w:rsid w:val="008C3EBF"/>
    <w:rsid w:val="008D0A2F"/>
    <w:rsid w:val="008D1CA3"/>
    <w:rsid w:val="008D267D"/>
    <w:rsid w:val="008D2A93"/>
    <w:rsid w:val="008D2FA8"/>
    <w:rsid w:val="008D34D9"/>
    <w:rsid w:val="008D378D"/>
    <w:rsid w:val="008D3B7C"/>
    <w:rsid w:val="008D4179"/>
    <w:rsid w:val="008D45AD"/>
    <w:rsid w:val="008D5F9D"/>
    <w:rsid w:val="008D6348"/>
    <w:rsid w:val="008D7673"/>
    <w:rsid w:val="008D7A9C"/>
    <w:rsid w:val="008E1C2C"/>
    <w:rsid w:val="008E291D"/>
    <w:rsid w:val="008E320E"/>
    <w:rsid w:val="008E4609"/>
    <w:rsid w:val="008E5310"/>
    <w:rsid w:val="008E5EFD"/>
    <w:rsid w:val="008E5FAD"/>
    <w:rsid w:val="008E649E"/>
    <w:rsid w:val="008E712E"/>
    <w:rsid w:val="008E7DE3"/>
    <w:rsid w:val="008F0093"/>
    <w:rsid w:val="008F0736"/>
    <w:rsid w:val="008F38EA"/>
    <w:rsid w:val="008F3DCD"/>
    <w:rsid w:val="008F6925"/>
    <w:rsid w:val="008F6B8E"/>
    <w:rsid w:val="008F6C6E"/>
    <w:rsid w:val="008F7420"/>
    <w:rsid w:val="008F7746"/>
    <w:rsid w:val="008F7DBC"/>
    <w:rsid w:val="00900ED5"/>
    <w:rsid w:val="009011EC"/>
    <w:rsid w:val="009019F4"/>
    <w:rsid w:val="00902316"/>
    <w:rsid w:val="0090541D"/>
    <w:rsid w:val="00905D90"/>
    <w:rsid w:val="0091008A"/>
    <w:rsid w:val="0091220C"/>
    <w:rsid w:val="0091235C"/>
    <w:rsid w:val="00912904"/>
    <w:rsid w:val="00913404"/>
    <w:rsid w:val="00913443"/>
    <w:rsid w:val="00913552"/>
    <w:rsid w:val="00913ECC"/>
    <w:rsid w:val="00915D0A"/>
    <w:rsid w:val="00915FF3"/>
    <w:rsid w:val="009166A7"/>
    <w:rsid w:val="00920242"/>
    <w:rsid w:val="00920B50"/>
    <w:rsid w:val="00921BBA"/>
    <w:rsid w:val="00922ADE"/>
    <w:rsid w:val="009233C7"/>
    <w:rsid w:val="00923BFF"/>
    <w:rsid w:val="00925D8A"/>
    <w:rsid w:val="009261BF"/>
    <w:rsid w:val="0092649D"/>
    <w:rsid w:val="00926F28"/>
    <w:rsid w:val="009301E4"/>
    <w:rsid w:val="00930D70"/>
    <w:rsid w:val="009324B6"/>
    <w:rsid w:val="00932A9D"/>
    <w:rsid w:val="0093317D"/>
    <w:rsid w:val="009340BC"/>
    <w:rsid w:val="00934E60"/>
    <w:rsid w:val="00936F12"/>
    <w:rsid w:val="0094161D"/>
    <w:rsid w:val="00941DC8"/>
    <w:rsid w:val="00945A21"/>
    <w:rsid w:val="00952B7C"/>
    <w:rsid w:val="009536BA"/>
    <w:rsid w:val="00953999"/>
    <w:rsid w:val="00954060"/>
    <w:rsid w:val="00954084"/>
    <w:rsid w:val="0095717A"/>
    <w:rsid w:val="00960A78"/>
    <w:rsid w:val="009614C3"/>
    <w:rsid w:val="00961D41"/>
    <w:rsid w:val="0096340F"/>
    <w:rsid w:val="0096443C"/>
    <w:rsid w:val="0096476D"/>
    <w:rsid w:val="00965EAD"/>
    <w:rsid w:val="00966061"/>
    <w:rsid w:val="00966D4C"/>
    <w:rsid w:val="00966D5F"/>
    <w:rsid w:val="009674BE"/>
    <w:rsid w:val="0097003C"/>
    <w:rsid w:val="009724CD"/>
    <w:rsid w:val="00973649"/>
    <w:rsid w:val="00974C6C"/>
    <w:rsid w:val="00976557"/>
    <w:rsid w:val="0097741C"/>
    <w:rsid w:val="00977562"/>
    <w:rsid w:val="009775E5"/>
    <w:rsid w:val="0097795F"/>
    <w:rsid w:val="009806BD"/>
    <w:rsid w:val="00980927"/>
    <w:rsid w:val="009828B4"/>
    <w:rsid w:val="00982F4D"/>
    <w:rsid w:val="00983D83"/>
    <w:rsid w:val="00985FB9"/>
    <w:rsid w:val="00986551"/>
    <w:rsid w:val="0099064A"/>
    <w:rsid w:val="00990809"/>
    <w:rsid w:val="00990CEB"/>
    <w:rsid w:val="00990D9E"/>
    <w:rsid w:val="00991F6C"/>
    <w:rsid w:val="0099261B"/>
    <w:rsid w:val="00993FD1"/>
    <w:rsid w:val="009947DB"/>
    <w:rsid w:val="00995000"/>
    <w:rsid w:val="00995A4B"/>
    <w:rsid w:val="00997BDE"/>
    <w:rsid w:val="00997CB6"/>
    <w:rsid w:val="009A0DA0"/>
    <w:rsid w:val="009A1268"/>
    <w:rsid w:val="009A17AA"/>
    <w:rsid w:val="009A2FE2"/>
    <w:rsid w:val="009A44CF"/>
    <w:rsid w:val="009A453E"/>
    <w:rsid w:val="009A697D"/>
    <w:rsid w:val="009A7D69"/>
    <w:rsid w:val="009B1437"/>
    <w:rsid w:val="009B3A09"/>
    <w:rsid w:val="009B3BEB"/>
    <w:rsid w:val="009B49E6"/>
    <w:rsid w:val="009B6178"/>
    <w:rsid w:val="009C290E"/>
    <w:rsid w:val="009C48AA"/>
    <w:rsid w:val="009C53F4"/>
    <w:rsid w:val="009D2E6C"/>
    <w:rsid w:val="009D5366"/>
    <w:rsid w:val="009D5B2F"/>
    <w:rsid w:val="009D6249"/>
    <w:rsid w:val="009D6594"/>
    <w:rsid w:val="009D7643"/>
    <w:rsid w:val="009E12C0"/>
    <w:rsid w:val="009E2214"/>
    <w:rsid w:val="009E3F6E"/>
    <w:rsid w:val="009E3F8B"/>
    <w:rsid w:val="009E4424"/>
    <w:rsid w:val="009E562F"/>
    <w:rsid w:val="009E5FC1"/>
    <w:rsid w:val="009E6666"/>
    <w:rsid w:val="009E782C"/>
    <w:rsid w:val="009F0213"/>
    <w:rsid w:val="009F0DD2"/>
    <w:rsid w:val="009F29D6"/>
    <w:rsid w:val="009F4184"/>
    <w:rsid w:val="009F61B2"/>
    <w:rsid w:val="00A00501"/>
    <w:rsid w:val="00A00AE9"/>
    <w:rsid w:val="00A015FD"/>
    <w:rsid w:val="00A01DBE"/>
    <w:rsid w:val="00A06208"/>
    <w:rsid w:val="00A07151"/>
    <w:rsid w:val="00A11006"/>
    <w:rsid w:val="00A124DF"/>
    <w:rsid w:val="00A140B8"/>
    <w:rsid w:val="00A16397"/>
    <w:rsid w:val="00A16C28"/>
    <w:rsid w:val="00A1769A"/>
    <w:rsid w:val="00A17C8F"/>
    <w:rsid w:val="00A17CA9"/>
    <w:rsid w:val="00A17F0C"/>
    <w:rsid w:val="00A206D7"/>
    <w:rsid w:val="00A21E8B"/>
    <w:rsid w:val="00A220A1"/>
    <w:rsid w:val="00A223C2"/>
    <w:rsid w:val="00A246EE"/>
    <w:rsid w:val="00A24EB6"/>
    <w:rsid w:val="00A251A1"/>
    <w:rsid w:val="00A2529C"/>
    <w:rsid w:val="00A25E47"/>
    <w:rsid w:val="00A27256"/>
    <w:rsid w:val="00A27724"/>
    <w:rsid w:val="00A30717"/>
    <w:rsid w:val="00A33072"/>
    <w:rsid w:val="00A3320E"/>
    <w:rsid w:val="00A3561B"/>
    <w:rsid w:val="00A37371"/>
    <w:rsid w:val="00A40343"/>
    <w:rsid w:val="00A4051A"/>
    <w:rsid w:val="00A40760"/>
    <w:rsid w:val="00A415F3"/>
    <w:rsid w:val="00A421B7"/>
    <w:rsid w:val="00A429DC"/>
    <w:rsid w:val="00A44B23"/>
    <w:rsid w:val="00A44FCA"/>
    <w:rsid w:val="00A4547C"/>
    <w:rsid w:val="00A45682"/>
    <w:rsid w:val="00A47E06"/>
    <w:rsid w:val="00A50B69"/>
    <w:rsid w:val="00A50D84"/>
    <w:rsid w:val="00A51DDE"/>
    <w:rsid w:val="00A52952"/>
    <w:rsid w:val="00A52B6D"/>
    <w:rsid w:val="00A5615C"/>
    <w:rsid w:val="00A60A98"/>
    <w:rsid w:val="00A619FF"/>
    <w:rsid w:val="00A6232B"/>
    <w:rsid w:val="00A62ECA"/>
    <w:rsid w:val="00A63CB1"/>
    <w:rsid w:val="00A65348"/>
    <w:rsid w:val="00A662CA"/>
    <w:rsid w:val="00A66CC6"/>
    <w:rsid w:val="00A70FD9"/>
    <w:rsid w:val="00A71155"/>
    <w:rsid w:val="00A71750"/>
    <w:rsid w:val="00A72130"/>
    <w:rsid w:val="00A73684"/>
    <w:rsid w:val="00A74B59"/>
    <w:rsid w:val="00A76C55"/>
    <w:rsid w:val="00A76F4A"/>
    <w:rsid w:val="00A773C2"/>
    <w:rsid w:val="00A77F07"/>
    <w:rsid w:val="00A81823"/>
    <w:rsid w:val="00A84D59"/>
    <w:rsid w:val="00A87860"/>
    <w:rsid w:val="00A91051"/>
    <w:rsid w:val="00A922A7"/>
    <w:rsid w:val="00A92651"/>
    <w:rsid w:val="00A92F76"/>
    <w:rsid w:val="00A93283"/>
    <w:rsid w:val="00A94898"/>
    <w:rsid w:val="00A94B00"/>
    <w:rsid w:val="00A94B27"/>
    <w:rsid w:val="00A95687"/>
    <w:rsid w:val="00A9668C"/>
    <w:rsid w:val="00A9680C"/>
    <w:rsid w:val="00A97031"/>
    <w:rsid w:val="00A97C2E"/>
    <w:rsid w:val="00A97E05"/>
    <w:rsid w:val="00AA1ABB"/>
    <w:rsid w:val="00AA1C23"/>
    <w:rsid w:val="00AA3801"/>
    <w:rsid w:val="00AA4C43"/>
    <w:rsid w:val="00AA64AF"/>
    <w:rsid w:val="00AA672B"/>
    <w:rsid w:val="00AA6CB9"/>
    <w:rsid w:val="00AA6E44"/>
    <w:rsid w:val="00AB2D6F"/>
    <w:rsid w:val="00AB3145"/>
    <w:rsid w:val="00AB4A16"/>
    <w:rsid w:val="00AB53D5"/>
    <w:rsid w:val="00AB5DBA"/>
    <w:rsid w:val="00AB6A77"/>
    <w:rsid w:val="00AB720B"/>
    <w:rsid w:val="00AC2A9C"/>
    <w:rsid w:val="00AC3302"/>
    <w:rsid w:val="00AC3876"/>
    <w:rsid w:val="00AC3B85"/>
    <w:rsid w:val="00AC3EFD"/>
    <w:rsid w:val="00AC6AD6"/>
    <w:rsid w:val="00AC6E70"/>
    <w:rsid w:val="00AD20C4"/>
    <w:rsid w:val="00AD3899"/>
    <w:rsid w:val="00AD3FC7"/>
    <w:rsid w:val="00AD60D9"/>
    <w:rsid w:val="00AD69C9"/>
    <w:rsid w:val="00AD7002"/>
    <w:rsid w:val="00AD72EB"/>
    <w:rsid w:val="00AE0201"/>
    <w:rsid w:val="00AE02A9"/>
    <w:rsid w:val="00AE0A5A"/>
    <w:rsid w:val="00AE104D"/>
    <w:rsid w:val="00AE161C"/>
    <w:rsid w:val="00AE26E6"/>
    <w:rsid w:val="00AE28B0"/>
    <w:rsid w:val="00AE62FB"/>
    <w:rsid w:val="00AE67E5"/>
    <w:rsid w:val="00AE6AD0"/>
    <w:rsid w:val="00AE75F1"/>
    <w:rsid w:val="00AF01EF"/>
    <w:rsid w:val="00AF22E0"/>
    <w:rsid w:val="00AF2438"/>
    <w:rsid w:val="00AF262F"/>
    <w:rsid w:val="00AF265F"/>
    <w:rsid w:val="00AF32E0"/>
    <w:rsid w:val="00AF3781"/>
    <w:rsid w:val="00B0014A"/>
    <w:rsid w:val="00B00AF0"/>
    <w:rsid w:val="00B03EDA"/>
    <w:rsid w:val="00B0422A"/>
    <w:rsid w:val="00B0488D"/>
    <w:rsid w:val="00B04E1D"/>
    <w:rsid w:val="00B12FAE"/>
    <w:rsid w:val="00B13683"/>
    <w:rsid w:val="00B13CBF"/>
    <w:rsid w:val="00B145BA"/>
    <w:rsid w:val="00B15648"/>
    <w:rsid w:val="00B16FE1"/>
    <w:rsid w:val="00B2088A"/>
    <w:rsid w:val="00B21CF8"/>
    <w:rsid w:val="00B2366B"/>
    <w:rsid w:val="00B23CFA"/>
    <w:rsid w:val="00B24A86"/>
    <w:rsid w:val="00B2652E"/>
    <w:rsid w:val="00B274E3"/>
    <w:rsid w:val="00B313CB"/>
    <w:rsid w:val="00B32099"/>
    <w:rsid w:val="00B32735"/>
    <w:rsid w:val="00B34D82"/>
    <w:rsid w:val="00B36263"/>
    <w:rsid w:val="00B36617"/>
    <w:rsid w:val="00B37B60"/>
    <w:rsid w:val="00B438A2"/>
    <w:rsid w:val="00B447C1"/>
    <w:rsid w:val="00B4529F"/>
    <w:rsid w:val="00B469A4"/>
    <w:rsid w:val="00B52597"/>
    <w:rsid w:val="00B53FB6"/>
    <w:rsid w:val="00B54AA4"/>
    <w:rsid w:val="00B560EC"/>
    <w:rsid w:val="00B5678D"/>
    <w:rsid w:val="00B57849"/>
    <w:rsid w:val="00B61E76"/>
    <w:rsid w:val="00B622A7"/>
    <w:rsid w:val="00B62BB9"/>
    <w:rsid w:val="00B62C60"/>
    <w:rsid w:val="00B63231"/>
    <w:rsid w:val="00B6326C"/>
    <w:rsid w:val="00B633DB"/>
    <w:rsid w:val="00B63588"/>
    <w:rsid w:val="00B6390A"/>
    <w:rsid w:val="00B64A3F"/>
    <w:rsid w:val="00B64A69"/>
    <w:rsid w:val="00B64AE3"/>
    <w:rsid w:val="00B65AF8"/>
    <w:rsid w:val="00B677B3"/>
    <w:rsid w:val="00B70B47"/>
    <w:rsid w:val="00B7155D"/>
    <w:rsid w:val="00B71B85"/>
    <w:rsid w:val="00B71C5F"/>
    <w:rsid w:val="00B729EF"/>
    <w:rsid w:val="00B72EEC"/>
    <w:rsid w:val="00B73BEF"/>
    <w:rsid w:val="00B752E8"/>
    <w:rsid w:val="00B80E7E"/>
    <w:rsid w:val="00B815B5"/>
    <w:rsid w:val="00B83CEA"/>
    <w:rsid w:val="00B85704"/>
    <w:rsid w:val="00B85B48"/>
    <w:rsid w:val="00B8715D"/>
    <w:rsid w:val="00B87BA7"/>
    <w:rsid w:val="00B93A40"/>
    <w:rsid w:val="00B94B9B"/>
    <w:rsid w:val="00B95315"/>
    <w:rsid w:val="00B953CD"/>
    <w:rsid w:val="00B955F6"/>
    <w:rsid w:val="00BA02C4"/>
    <w:rsid w:val="00BA06DE"/>
    <w:rsid w:val="00BA0BA5"/>
    <w:rsid w:val="00BA1603"/>
    <w:rsid w:val="00BA2610"/>
    <w:rsid w:val="00BA2A23"/>
    <w:rsid w:val="00BA2C35"/>
    <w:rsid w:val="00BA3392"/>
    <w:rsid w:val="00BA4059"/>
    <w:rsid w:val="00BA573A"/>
    <w:rsid w:val="00BA5D1B"/>
    <w:rsid w:val="00BA5D96"/>
    <w:rsid w:val="00BA662A"/>
    <w:rsid w:val="00BA6720"/>
    <w:rsid w:val="00BB03FC"/>
    <w:rsid w:val="00BB0C89"/>
    <w:rsid w:val="00BB1F27"/>
    <w:rsid w:val="00BB29A0"/>
    <w:rsid w:val="00BB7E4E"/>
    <w:rsid w:val="00BB7F5E"/>
    <w:rsid w:val="00BC0A8E"/>
    <w:rsid w:val="00BC1AEF"/>
    <w:rsid w:val="00BC21FF"/>
    <w:rsid w:val="00BC38C0"/>
    <w:rsid w:val="00BC3CCC"/>
    <w:rsid w:val="00BC429B"/>
    <w:rsid w:val="00BC4771"/>
    <w:rsid w:val="00BC63E9"/>
    <w:rsid w:val="00BC66EC"/>
    <w:rsid w:val="00BC6886"/>
    <w:rsid w:val="00BC6E60"/>
    <w:rsid w:val="00BD0B84"/>
    <w:rsid w:val="00BD2868"/>
    <w:rsid w:val="00BD3828"/>
    <w:rsid w:val="00BD3C3F"/>
    <w:rsid w:val="00BD4E36"/>
    <w:rsid w:val="00BD58FB"/>
    <w:rsid w:val="00BD5CE6"/>
    <w:rsid w:val="00BE0E79"/>
    <w:rsid w:val="00BE1549"/>
    <w:rsid w:val="00BE1689"/>
    <w:rsid w:val="00BE1E3D"/>
    <w:rsid w:val="00BE23C0"/>
    <w:rsid w:val="00BE2553"/>
    <w:rsid w:val="00BE6654"/>
    <w:rsid w:val="00BE7CEB"/>
    <w:rsid w:val="00BF1130"/>
    <w:rsid w:val="00BF237E"/>
    <w:rsid w:val="00BF252F"/>
    <w:rsid w:val="00BF2A80"/>
    <w:rsid w:val="00BF2DD6"/>
    <w:rsid w:val="00BF2FD3"/>
    <w:rsid w:val="00BF3A9B"/>
    <w:rsid w:val="00BF3C14"/>
    <w:rsid w:val="00BF5DB7"/>
    <w:rsid w:val="00C0036B"/>
    <w:rsid w:val="00C02CE0"/>
    <w:rsid w:val="00C035D4"/>
    <w:rsid w:val="00C05CEF"/>
    <w:rsid w:val="00C0668E"/>
    <w:rsid w:val="00C101F6"/>
    <w:rsid w:val="00C1315B"/>
    <w:rsid w:val="00C13DD4"/>
    <w:rsid w:val="00C13FD0"/>
    <w:rsid w:val="00C1445C"/>
    <w:rsid w:val="00C17655"/>
    <w:rsid w:val="00C2056C"/>
    <w:rsid w:val="00C2274B"/>
    <w:rsid w:val="00C230B3"/>
    <w:rsid w:val="00C2630F"/>
    <w:rsid w:val="00C26C49"/>
    <w:rsid w:val="00C26CCF"/>
    <w:rsid w:val="00C27CC6"/>
    <w:rsid w:val="00C27D5A"/>
    <w:rsid w:val="00C33549"/>
    <w:rsid w:val="00C33C1D"/>
    <w:rsid w:val="00C3482F"/>
    <w:rsid w:val="00C37DF1"/>
    <w:rsid w:val="00C43359"/>
    <w:rsid w:val="00C4487C"/>
    <w:rsid w:val="00C45893"/>
    <w:rsid w:val="00C45928"/>
    <w:rsid w:val="00C47460"/>
    <w:rsid w:val="00C52E70"/>
    <w:rsid w:val="00C54B33"/>
    <w:rsid w:val="00C54E41"/>
    <w:rsid w:val="00C56501"/>
    <w:rsid w:val="00C5780D"/>
    <w:rsid w:val="00C57BB8"/>
    <w:rsid w:val="00C57BDF"/>
    <w:rsid w:val="00C609E4"/>
    <w:rsid w:val="00C636D7"/>
    <w:rsid w:val="00C64D9E"/>
    <w:rsid w:val="00C654F3"/>
    <w:rsid w:val="00C66085"/>
    <w:rsid w:val="00C66F68"/>
    <w:rsid w:val="00C70F52"/>
    <w:rsid w:val="00C71DCD"/>
    <w:rsid w:val="00C720A9"/>
    <w:rsid w:val="00C75796"/>
    <w:rsid w:val="00C75C88"/>
    <w:rsid w:val="00C76992"/>
    <w:rsid w:val="00C7769A"/>
    <w:rsid w:val="00C77F95"/>
    <w:rsid w:val="00C80213"/>
    <w:rsid w:val="00C81676"/>
    <w:rsid w:val="00C84DC5"/>
    <w:rsid w:val="00C858AB"/>
    <w:rsid w:val="00C8633F"/>
    <w:rsid w:val="00C864FA"/>
    <w:rsid w:val="00C90C44"/>
    <w:rsid w:val="00C9234F"/>
    <w:rsid w:val="00C92C12"/>
    <w:rsid w:val="00C935A2"/>
    <w:rsid w:val="00C94144"/>
    <w:rsid w:val="00C9424C"/>
    <w:rsid w:val="00C94D63"/>
    <w:rsid w:val="00C95038"/>
    <w:rsid w:val="00C952E9"/>
    <w:rsid w:val="00C97242"/>
    <w:rsid w:val="00CA06A8"/>
    <w:rsid w:val="00CA1B1D"/>
    <w:rsid w:val="00CA30D0"/>
    <w:rsid w:val="00CA4273"/>
    <w:rsid w:val="00CA57EB"/>
    <w:rsid w:val="00CA5E08"/>
    <w:rsid w:val="00CA66A9"/>
    <w:rsid w:val="00CB015E"/>
    <w:rsid w:val="00CB1D10"/>
    <w:rsid w:val="00CB27A7"/>
    <w:rsid w:val="00CB289D"/>
    <w:rsid w:val="00CB434F"/>
    <w:rsid w:val="00CB49BC"/>
    <w:rsid w:val="00CB6C9A"/>
    <w:rsid w:val="00CB7288"/>
    <w:rsid w:val="00CC1141"/>
    <w:rsid w:val="00CC153D"/>
    <w:rsid w:val="00CC307B"/>
    <w:rsid w:val="00CC3F73"/>
    <w:rsid w:val="00CC3F83"/>
    <w:rsid w:val="00CC5012"/>
    <w:rsid w:val="00CC5B22"/>
    <w:rsid w:val="00CC6B05"/>
    <w:rsid w:val="00CC7B83"/>
    <w:rsid w:val="00CD01B4"/>
    <w:rsid w:val="00CD02A5"/>
    <w:rsid w:val="00CD1309"/>
    <w:rsid w:val="00CD1584"/>
    <w:rsid w:val="00CD2294"/>
    <w:rsid w:val="00CD58F0"/>
    <w:rsid w:val="00CE023F"/>
    <w:rsid w:val="00CE0D3A"/>
    <w:rsid w:val="00CE2496"/>
    <w:rsid w:val="00CE274E"/>
    <w:rsid w:val="00CE366D"/>
    <w:rsid w:val="00CE410A"/>
    <w:rsid w:val="00CE49A9"/>
    <w:rsid w:val="00CE6372"/>
    <w:rsid w:val="00CE6A41"/>
    <w:rsid w:val="00CE7DAA"/>
    <w:rsid w:val="00CF181E"/>
    <w:rsid w:val="00CF31F1"/>
    <w:rsid w:val="00CF348F"/>
    <w:rsid w:val="00CF36D7"/>
    <w:rsid w:val="00CF3D7B"/>
    <w:rsid w:val="00CF3F62"/>
    <w:rsid w:val="00CF5A48"/>
    <w:rsid w:val="00CF5D67"/>
    <w:rsid w:val="00D00C1C"/>
    <w:rsid w:val="00D01A2B"/>
    <w:rsid w:val="00D01B7D"/>
    <w:rsid w:val="00D02136"/>
    <w:rsid w:val="00D03064"/>
    <w:rsid w:val="00D04FAA"/>
    <w:rsid w:val="00D052C7"/>
    <w:rsid w:val="00D062AA"/>
    <w:rsid w:val="00D10AA0"/>
    <w:rsid w:val="00D12110"/>
    <w:rsid w:val="00D1288B"/>
    <w:rsid w:val="00D12AD0"/>
    <w:rsid w:val="00D15409"/>
    <w:rsid w:val="00D16B49"/>
    <w:rsid w:val="00D1796E"/>
    <w:rsid w:val="00D21155"/>
    <w:rsid w:val="00D2152B"/>
    <w:rsid w:val="00D21A0D"/>
    <w:rsid w:val="00D22568"/>
    <w:rsid w:val="00D22628"/>
    <w:rsid w:val="00D23E47"/>
    <w:rsid w:val="00D24C4A"/>
    <w:rsid w:val="00D24E43"/>
    <w:rsid w:val="00D25E80"/>
    <w:rsid w:val="00D30074"/>
    <w:rsid w:val="00D31711"/>
    <w:rsid w:val="00D3266C"/>
    <w:rsid w:val="00D34E96"/>
    <w:rsid w:val="00D352F6"/>
    <w:rsid w:val="00D35BB3"/>
    <w:rsid w:val="00D36FA1"/>
    <w:rsid w:val="00D42051"/>
    <w:rsid w:val="00D42D2B"/>
    <w:rsid w:val="00D43642"/>
    <w:rsid w:val="00D46659"/>
    <w:rsid w:val="00D468A7"/>
    <w:rsid w:val="00D469F5"/>
    <w:rsid w:val="00D473C0"/>
    <w:rsid w:val="00D52EF8"/>
    <w:rsid w:val="00D536A7"/>
    <w:rsid w:val="00D56943"/>
    <w:rsid w:val="00D60CAA"/>
    <w:rsid w:val="00D640C3"/>
    <w:rsid w:val="00D6426D"/>
    <w:rsid w:val="00D648D1"/>
    <w:rsid w:val="00D65AD1"/>
    <w:rsid w:val="00D67014"/>
    <w:rsid w:val="00D67303"/>
    <w:rsid w:val="00D67B05"/>
    <w:rsid w:val="00D67F6D"/>
    <w:rsid w:val="00D71830"/>
    <w:rsid w:val="00D7254F"/>
    <w:rsid w:val="00D729B2"/>
    <w:rsid w:val="00D7500D"/>
    <w:rsid w:val="00D76A8A"/>
    <w:rsid w:val="00D771C8"/>
    <w:rsid w:val="00D77C25"/>
    <w:rsid w:val="00D8116D"/>
    <w:rsid w:val="00D81A1B"/>
    <w:rsid w:val="00D82045"/>
    <w:rsid w:val="00D82229"/>
    <w:rsid w:val="00D8324F"/>
    <w:rsid w:val="00D8437A"/>
    <w:rsid w:val="00D87345"/>
    <w:rsid w:val="00D8798B"/>
    <w:rsid w:val="00D87E81"/>
    <w:rsid w:val="00D92354"/>
    <w:rsid w:val="00D92463"/>
    <w:rsid w:val="00D94C8C"/>
    <w:rsid w:val="00D952AA"/>
    <w:rsid w:val="00D95B75"/>
    <w:rsid w:val="00D97513"/>
    <w:rsid w:val="00D97C77"/>
    <w:rsid w:val="00DA06D2"/>
    <w:rsid w:val="00DA2B1A"/>
    <w:rsid w:val="00DA2FA3"/>
    <w:rsid w:val="00DA3478"/>
    <w:rsid w:val="00DA65FD"/>
    <w:rsid w:val="00DA6D65"/>
    <w:rsid w:val="00DA726B"/>
    <w:rsid w:val="00DB1B9F"/>
    <w:rsid w:val="00DB322E"/>
    <w:rsid w:val="00DB4283"/>
    <w:rsid w:val="00DB640C"/>
    <w:rsid w:val="00DB6C1F"/>
    <w:rsid w:val="00DC0B08"/>
    <w:rsid w:val="00DC132F"/>
    <w:rsid w:val="00DC3A0F"/>
    <w:rsid w:val="00DC5CF9"/>
    <w:rsid w:val="00DC7A94"/>
    <w:rsid w:val="00DC7EFB"/>
    <w:rsid w:val="00DD0076"/>
    <w:rsid w:val="00DD0AA1"/>
    <w:rsid w:val="00DD3AB7"/>
    <w:rsid w:val="00DD4E1F"/>
    <w:rsid w:val="00DD6968"/>
    <w:rsid w:val="00DD6FD6"/>
    <w:rsid w:val="00DE2173"/>
    <w:rsid w:val="00DE3FB4"/>
    <w:rsid w:val="00DE5B86"/>
    <w:rsid w:val="00DE6B2B"/>
    <w:rsid w:val="00DE6E2D"/>
    <w:rsid w:val="00DE7967"/>
    <w:rsid w:val="00DF2491"/>
    <w:rsid w:val="00DF3C7C"/>
    <w:rsid w:val="00DF56B6"/>
    <w:rsid w:val="00DF57FE"/>
    <w:rsid w:val="00DF6557"/>
    <w:rsid w:val="00E0032F"/>
    <w:rsid w:val="00E006E3"/>
    <w:rsid w:val="00E00D6F"/>
    <w:rsid w:val="00E0182B"/>
    <w:rsid w:val="00E02E1D"/>
    <w:rsid w:val="00E05254"/>
    <w:rsid w:val="00E066B7"/>
    <w:rsid w:val="00E127FA"/>
    <w:rsid w:val="00E137C3"/>
    <w:rsid w:val="00E138F2"/>
    <w:rsid w:val="00E13C8E"/>
    <w:rsid w:val="00E15A49"/>
    <w:rsid w:val="00E15EE0"/>
    <w:rsid w:val="00E16611"/>
    <w:rsid w:val="00E17187"/>
    <w:rsid w:val="00E17C59"/>
    <w:rsid w:val="00E22AB6"/>
    <w:rsid w:val="00E2394B"/>
    <w:rsid w:val="00E269AA"/>
    <w:rsid w:val="00E26A24"/>
    <w:rsid w:val="00E31773"/>
    <w:rsid w:val="00E31955"/>
    <w:rsid w:val="00E3207E"/>
    <w:rsid w:val="00E3235B"/>
    <w:rsid w:val="00E32F66"/>
    <w:rsid w:val="00E345A2"/>
    <w:rsid w:val="00E34A0A"/>
    <w:rsid w:val="00E363E0"/>
    <w:rsid w:val="00E40229"/>
    <w:rsid w:val="00E40574"/>
    <w:rsid w:val="00E4106A"/>
    <w:rsid w:val="00E42E3F"/>
    <w:rsid w:val="00E4485E"/>
    <w:rsid w:val="00E44FA2"/>
    <w:rsid w:val="00E46E87"/>
    <w:rsid w:val="00E51566"/>
    <w:rsid w:val="00E51E31"/>
    <w:rsid w:val="00E523AA"/>
    <w:rsid w:val="00E54143"/>
    <w:rsid w:val="00E54CEC"/>
    <w:rsid w:val="00E5519C"/>
    <w:rsid w:val="00E57732"/>
    <w:rsid w:val="00E62796"/>
    <w:rsid w:val="00E629B0"/>
    <w:rsid w:val="00E629C2"/>
    <w:rsid w:val="00E629DC"/>
    <w:rsid w:val="00E6339F"/>
    <w:rsid w:val="00E63D36"/>
    <w:rsid w:val="00E64D19"/>
    <w:rsid w:val="00E64F05"/>
    <w:rsid w:val="00E67179"/>
    <w:rsid w:val="00E6726E"/>
    <w:rsid w:val="00E739D3"/>
    <w:rsid w:val="00E74641"/>
    <w:rsid w:val="00E7754C"/>
    <w:rsid w:val="00E80A49"/>
    <w:rsid w:val="00E81469"/>
    <w:rsid w:val="00E85F02"/>
    <w:rsid w:val="00E863E4"/>
    <w:rsid w:val="00E8706E"/>
    <w:rsid w:val="00E874EE"/>
    <w:rsid w:val="00E87E80"/>
    <w:rsid w:val="00E9013F"/>
    <w:rsid w:val="00E90190"/>
    <w:rsid w:val="00E90266"/>
    <w:rsid w:val="00E9227B"/>
    <w:rsid w:val="00E94CFB"/>
    <w:rsid w:val="00E954F7"/>
    <w:rsid w:val="00E96018"/>
    <w:rsid w:val="00E96DDB"/>
    <w:rsid w:val="00E971E7"/>
    <w:rsid w:val="00EA2309"/>
    <w:rsid w:val="00EA3C0C"/>
    <w:rsid w:val="00EA44B5"/>
    <w:rsid w:val="00EA4FD4"/>
    <w:rsid w:val="00EA5966"/>
    <w:rsid w:val="00EA6C60"/>
    <w:rsid w:val="00EA7AE1"/>
    <w:rsid w:val="00EB01BE"/>
    <w:rsid w:val="00EB155B"/>
    <w:rsid w:val="00EB2ABE"/>
    <w:rsid w:val="00EB39DF"/>
    <w:rsid w:val="00EB608C"/>
    <w:rsid w:val="00EB6122"/>
    <w:rsid w:val="00EB7686"/>
    <w:rsid w:val="00EC1651"/>
    <w:rsid w:val="00EC20F1"/>
    <w:rsid w:val="00EC2C4D"/>
    <w:rsid w:val="00EC3783"/>
    <w:rsid w:val="00EC3F42"/>
    <w:rsid w:val="00EC3F72"/>
    <w:rsid w:val="00EC5FA5"/>
    <w:rsid w:val="00EC62D0"/>
    <w:rsid w:val="00EC642B"/>
    <w:rsid w:val="00EC6D67"/>
    <w:rsid w:val="00ED17D9"/>
    <w:rsid w:val="00ED1814"/>
    <w:rsid w:val="00ED3814"/>
    <w:rsid w:val="00ED3DFF"/>
    <w:rsid w:val="00ED59ED"/>
    <w:rsid w:val="00ED69EA"/>
    <w:rsid w:val="00EE23E1"/>
    <w:rsid w:val="00EE2639"/>
    <w:rsid w:val="00EE3696"/>
    <w:rsid w:val="00EE475B"/>
    <w:rsid w:val="00EE4DAC"/>
    <w:rsid w:val="00EE4EB8"/>
    <w:rsid w:val="00EE6099"/>
    <w:rsid w:val="00EE65FC"/>
    <w:rsid w:val="00EF03DF"/>
    <w:rsid w:val="00EF12B4"/>
    <w:rsid w:val="00EF31A2"/>
    <w:rsid w:val="00EF4599"/>
    <w:rsid w:val="00EF7276"/>
    <w:rsid w:val="00F0067F"/>
    <w:rsid w:val="00F01AE8"/>
    <w:rsid w:val="00F0283E"/>
    <w:rsid w:val="00F03584"/>
    <w:rsid w:val="00F0360C"/>
    <w:rsid w:val="00F03659"/>
    <w:rsid w:val="00F0453C"/>
    <w:rsid w:val="00F0472E"/>
    <w:rsid w:val="00F06FFE"/>
    <w:rsid w:val="00F0725E"/>
    <w:rsid w:val="00F101D1"/>
    <w:rsid w:val="00F11B3F"/>
    <w:rsid w:val="00F14435"/>
    <w:rsid w:val="00F14DDC"/>
    <w:rsid w:val="00F1566D"/>
    <w:rsid w:val="00F175E9"/>
    <w:rsid w:val="00F200D1"/>
    <w:rsid w:val="00F245F3"/>
    <w:rsid w:val="00F26D8E"/>
    <w:rsid w:val="00F31344"/>
    <w:rsid w:val="00F31529"/>
    <w:rsid w:val="00F32226"/>
    <w:rsid w:val="00F32AFB"/>
    <w:rsid w:val="00F349A4"/>
    <w:rsid w:val="00F40354"/>
    <w:rsid w:val="00F40436"/>
    <w:rsid w:val="00F40C07"/>
    <w:rsid w:val="00F41A6C"/>
    <w:rsid w:val="00F42051"/>
    <w:rsid w:val="00F42D03"/>
    <w:rsid w:val="00F4462C"/>
    <w:rsid w:val="00F44B2B"/>
    <w:rsid w:val="00F466A8"/>
    <w:rsid w:val="00F47051"/>
    <w:rsid w:val="00F502CB"/>
    <w:rsid w:val="00F5088A"/>
    <w:rsid w:val="00F51DB8"/>
    <w:rsid w:val="00F52B42"/>
    <w:rsid w:val="00F52C78"/>
    <w:rsid w:val="00F53A4F"/>
    <w:rsid w:val="00F545E6"/>
    <w:rsid w:val="00F54911"/>
    <w:rsid w:val="00F554D3"/>
    <w:rsid w:val="00F55625"/>
    <w:rsid w:val="00F56785"/>
    <w:rsid w:val="00F56E7C"/>
    <w:rsid w:val="00F57758"/>
    <w:rsid w:val="00F6085E"/>
    <w:rsid w:val="00F6135E"/>
    <w:rsid w:val="00F64027"/>
    <w:rsid w:val="00F6528A"/>
    <w:rsid w:val="00F67643"/>
    <w:rsid w:val="00F67930"/>
    <w:rsid w:val="00F7011A"/>
    <w:rsid w:val="00F70E40"/>
    <w:rsid w:val="00F71B36"/>
    <w:rsid w:val="00F736B7"/>
    <w:rsid w:val="00F75071"/>
    <w:rsid w:val="00F80467"/>
    <w:rsid w:val="00F82B29"/>
    <w:rsid w:val="00F83881"/>
    <w:rsid w:val="00F84AF3"/>
    <w:rsid w:val="00F8784A"/>
    <w:rsid w:val="00F904DE"/>
    <w:rsid w:val="00F9089C"/>
    <w:rsid w:val="00F909FE"/>
    <w:rsid w:val="00F90CA3"/>
    <w:rsid w:val="00F9166D"/>
    <w:rsid w:val="00F9169A"/>
    <w:rsid w:val="00F92111"/>
    <w:rsid w:val="00F96692"/>
    <w:rsid w:val="00F96B65"/>
    <w:rsid w:val="00F96FA5"/>
    <w:rsid w:val="00FA02A3"/>
    <w:rsid w:val="00FA62C5"/>
    <w:rsid w:val="00FA6A1D"/>
    <w:rsid w:val="00FA7272"/>
    <w:rsid w:val="00FA7BF7"/>
    <w:rsid w:val="00FA7E05"/>
    <w:rsid w:val="00FA7E2E"/>
    <w:rsid w:val="00FB108E"/>
    <w:rsid w:val="00FB1211"/>
    <w:rsid w:val="00FB1504"/>
    <w:rsid w:val="00FB21D2"/>
    <w:rsid w:val="00FB2423"/>
    <w:rsid w:val="00FB3BEB"/>
    <w:rsid w:val="00FB3DA9"/>
    <w:rsid w:val="00FB7B66"/>
    <w:rsid w:val="00FC0AB7"/>
    <w:rsid w:val="00FC1155"/>
    <w:rsid w:val="00FC1527"/>
    <w:rsid w:val="00FC296D"/>
    <w:rsid w:val="00FC31C0"/>
    <w:rsid w:val="00FC3B2E"/>
    <w:rsid w:val="00FC3EF9"/>
    <w:rsid w:val="00FC4E83"/>
    <w:rsid w:val="00FC5185"/>
    <w:rsid w:val="00FC53FC"/>
    <w:rsid w:val="00FC63E8"/>
    <w:rsid w:val="00FD0A4E"/>
    <w:rsid w:val="00FD3146"/>
    <w:rsid w:val="00FD44DB"/>
    <w:rsid w:val="00FD5632"/>
    <w:rsid w:val="00FD6386"/>
    <w:rsid w:val="00FD6BC2"/>
    <w:rsid w:val="00FD6E57"/>
    <w:rsid w:val="00FD6FC1"/>
    <w:rsid w:val="00FD7DA7"/>
    <w:rsid w:val="00FE097F"/>
    <w:rsid w:val="00FE33C8"/>
    <w:rsid w:val="00FE55BF"/>
    <w:rsid w:val="00FF0FAB"/>
    <w:rsid w:val="00FF28AF"/>
    <w:rsid w:val="00FF36A2"/>
    <w:rsid w:val="00FF36FD"/>
    <w:rsid w:val="00FF4A2A"/>
    <w:rsid w:val="00FF539B"/>
    <w:rsid w:val="00FF68DA"/>
    <w:rsid w:val="00FF7082"/>
    <w:rsid w:val="010600C7"/>
    <w:rsid w:val="012516DB"/>
    <w:rsid w:val="01A35A4C"/>
    <w:rsid w:val="01A44A13"/>
    <w:rsid w:val="02232379"/>
    <w:rsid w:val="022F35F5"/>
    <w:rsid w:val="02A170D1"/>
    <w:rsid w:val="02EB195B"/>
    <w:rsid w:val="0372489D"/>
    <w:rsid w:val="041D6970"/>
    <w:rsid w:val="045E5F50"/>
    <w:rsid w:val="04E45D16"/>
    <w:rsid w:val="050C1BCF"/>
    <w:rsid w:val="05165B34"/>
    <w:rsid w:val="05A51487"/>
    <w:rsid w:val="05FE2455"/>
    <w:rsid w:val="0661114A"/>
    <w:rsid w:val="06C60941"/>
    <w:rsid w:val="093E159F"/>
    <w:rsid w:val="09D84006"/>
    <w:rsid w:val="0A4A10D6"/>
    <w:rsid w:val="0AA42F62"/>
    <w:rsid w:val="0B353D2E"/>
    <w:rsid w:val="0B50284F"/>
    <w:rsid w:val="0C59767E"/>
    <w:rsid w:val="0C927CB7"/>
    <w:rsid w:val="0D6F6E50"/>
    <w:rsid w:val="0EBE1CAE"/>
    <w:rsid w:val="10EF0B96"/>
    <w:rsid w:val="12387FFB"/>
    <w:rsid w:val="12841B93"/>
    <w:rsid w:val="12DF7F55"/>
    <w:rsid w:val="13606DBB"/>
    <w:rsid w:val="1360768B"/>
    <w:rsid w:val="145C3AF9"/>
    <w:rsid w:val="1469498E"/>
    <w:rsid w:val="14893727"/>
    <w:rsid w:val="14A5536C"/>
    <w:rsid w:val="151E50EC"/>
    <w:rsid w:val="15B928F4"/>
    <w:rsid w:val="15BC7626"/>
    <w:rsid w:val="16EB45C0"/>
    <w:rsid w:val="177A76CD"/>
    <w:rsid w:val="187A432A"/>
    <w:rsid w:val="195C18BD"/>
    <w:rsid w:val="1A0B1C03"/>
    <w:rsid w:val="1A8D2D60"/>
    <w:rsid w:val="1AE51725"/>
    <w:rsid w:val="1B3820D5"/>
    <w:rsid w:val="1BBA540F"/>
    <w:rsid w:val="1D5A31A3"/>
    <w:rsid w:val="1D745056"/>
    <w:rsid w:val="1E8541AF"/>
    <w:rsid w:val="1E860678"/>
    <w:rsid w:val="1ED80795"/>
    <w:rsid w:val="206C3EA7"/>
    <w:rsid w:val="21494595"/>
    <w:rsid w:val="219F5304"/>
    <w:rsid w:val="22374FF1"/>
    <w:rsid w:val="23401520"/>
    <w:rsid w:val="234606AA"/>
    <w:rsid w:val="24F956A6"/>
    <w:rsid w:val="257C15ED"/>
    <w:rsid w:val="259735ED"/>
    <w:rsid w:val="25A467A1"/>
    <w:rsid w:val="25C064C8"/>
    <w:rsid w:val="25C62DAD"/>
    <w:rsid w:val="2651100D"/>
    <w:rsid w:val="26C46CBA"/>
    <w:rsid w:val="27A01DF6"/>
    <w:rsid w:val="29140E93"/>
    <w:rsid w:val="29763170"/>
    <w:rsid w:val="29955769"/>
    <w:rsid w:val="2999753E"/>
    <w:rsid w:val="29E84FCA"/>
    <w:rsid w:val="2A0F541F"/>
    <w:rsid w:val="2A21157C"/>
    <w:rsid w:val="2B7C2BFF"/>
    <w:rsid w:val="2BEF7D63"/>
    <w:rsid w:val="2C0134C1"/>
    <w:rsid w:val="2C087541"/>
    <w:rsid w:val="2C726454"/>
    <w:rsid w:val="2D0C4D58"/>
    <w:rsid w:val="2D4B6131"/>
    <w:rsid w:val="2D6A64F3"/>
    <w:rsid w:val="2DAE2509"/>
    <w:rsid w:val="2EB50EC8"/>
    <w:rsid w:val="2EB75318"/>
    <w:rsid w:val="30336489"/>
    <w:rsid w:val="30660FF2"/>
    <w:rsid w:val="30E7278F"/>
    <w:rsid w:val="313A4222"/>
    <w:rsid w:val="31811153"/>
    <w:rsid w:val="32FF17AB"/>
    <w:rsid w:val="335C233A"/>
    <w:rsid w:val="33A46A1F"/>
    <w:rsid w:val="344E5E15"/>
    <w:rsid w:val="354423CD"/>
    <w:rsid w:val="35F1454A"/>
    <w:rsid w:val="362E26F6"/>
    <w:rsid w:val="363E4EDB"/>
    <w:rsid w:val="36AA14D5"/>
    <w:rsid w:val="36B55800"/>
    <w:rsid w:val="36C22425"/>
    <w:rsid w:val="37BE697C"/>
    <w:rsid w:val="39B62142"/>
    <w:rsid w:val="39CD3F97"/>
    <w:rsid w:val="3AB325C6"/>
    <w:rsid w:val="3BB25507"/>
    <w:rsid w:val="3BDF168D"/>
    <w:rsid w:val="3F71550E"/>
    <w:rsid w:val="3FE15511"/>
    <w:rsid w:val="40332E9C"/>
    <w:rsid w:val="405F2ACC"/>
    <w:rsid w:val="407D7BA2"/>
    <w:rsid w:val="410464B8"/>
    <w:rsid w:val="41C27815"/>
    <w:rsid w:val="427F46AC"/>
    <w:rsid w:val="43520FE7"/>
    <w:rsid w:val="44202BFC"/>
    <w:rsid w:val="44680FCB"/>
    <w:rsid w:val="450D3754"/>
    <w:rsid w:val="4610760B"/>
    <w:rsid w:val="469C63DC"/>
    <w:rsid w:val="46DE0021"/>
    <w:rsid w:val="46E620D0"/>
    <w:rsid w:val="477521AC"/>
    <w:rsid w:val="47D06E7B"/>
    <w:rsid w:val="488511CA"/>
    <w:rsid w:val="48C72A41"/>
    <w:rsid w:val="49E40F1C"/>
    <w:rsid w:val="4A672F35"/>
    <w:rsid w:val="4C1677C6"/>
    <w:rsid w:val="4C5B6226"/>
    <w:rsid w:val="4C7E7C3D"/>
    <w:rsid w:val="4CD24695"/>
    <w:rsid w:val="4CDA0154"/>
    <w:rsid w:val="4D4E2FB0"/>
    <w:rsid w:val="4DA95BB1"/>
    <w:rsid w:val="4DFE6ED7"/>
    <w:rsid w:val="4E0C066D"/>
    <w:rsid w:val="4EA30E8A"/>
    <w:rsid w:val="4FDE4134"/>
    <w:rsid w:val="50310C60"/>
    <w:rsid w:val="508F446D"/>
    <w:rsid w:val="50D40FB8"/>
    <w:rsid w:val="515E6A68"/>
    <w:rsid w:val="51865ECD"/>
    <w:rsid w:val="519204AC"/>
    <w:rsid w:val="51E6090C"/>
    <w:rsid w:val="52424765"/>
    <w:rsid w:val="528E2388"/>
    <w:rsid w:val="52C515A2"/>
    <w:rsid w:val="5328206F"/>
    <w:rsid w:val="533F76EA"/>
    <w:rsid w:val="536C1DC5"/>
    <w:rsid w:val="53A6295F"/>
    <w:rsid w:val="53C945FB"/>
    <w:rsid w:val="54333971"/>
    <w:rsid w:val="547D3E51"/>
    <w:rsid w:val="54A52E36"/>
    <w:rsid w:val="54A802C6"/>
    <w:rsid w:val="54EE16FB"/>
    <w:rsid w:val="552E14C2"/>
    <w:rsid w:val="55733CCA"/>
    <w:rsid w:val="55D64AC8"/>
    <w:rsid w:val="560C1CFA"/>
    <w:rsid w:val="560C1D4A"/>
    <w:rsid w:val="568F153A"/>
    <w:rsid w:val="57B04DCD"/>
    <w:rsid w:val="57FE6F0D"/>
    <w:rsid w:val="587F692A"/>
    <w:rsid w:val="5A3B477C"/>
    <w:rsid w:val="5AF429F4"/>
    <w:rsid w:val="5B382E1A"/>
    <w:rsid w:val="5C4A3ACC"/>
    <w:rsid w:val="5C4D3844"/>
    <w:rsid w:val="5C501648"/>
    <w:rsid w:val="5D151313"/>
    <w:rsid w:val="5D7971D9"/>
    <w:rsid w:val="5E8A0734"/>
    <w:rsid w:val="5F321D1D"/>
    <w:rsid w:val="5FA7688D"/>
    <w:rsid w:val="60402B52"/>
    <w:rsid w:val="60A7223F"/>
    <w:rsid w:val="613B2154"/>
    <w:rsid w:val="618A6458"/>
    <w:rsid w:val="62297CB3"/>
    <w:rsid w:val="62397FD4"/>
    <w:rsid w:val="63B932AF"/>
    <w:rsid w:val="642751A8"/>
    <w:rsid w:val="64D742DF"/>
    <w:rsid w:val="652C5776"/>
    <w:rsid w:val="65662DE3"/>
    <w:rsid w:val="65A13574"/>
    <w:rsid w:val="6615324D"/>
    <w:rsid w:val="663859DA"/>
    <w:rsid w:val="665151C5"/>
    <w:rsid w:val="66C96D00"/>
    <w:rsid w:val="67886B13"/>
    <w:rsid w:val="67C70996"/>
    <w:rsid w:val="67F15358"/>
    <w:rsid w:val="686F7801"/>
    <w:rsid w:val="68730532"/>
    <w:rsid w:val="69344D9B"/>
    <w:rsid w:val="69FC7226"/>
    <w:rsid w:val="6A535B87"/>
    <w:rsid w:val="6B826729"/>
    <w:rsid w:val="6D683D02"/>
    <w:rsid w:val="6DB44BB7"/>
    <w:rsid w:val="6E0B58D9"/>
    <w:rsid w:val="6E4E34E0"/>
    <w:rsid w:val="70160D5E"/>
    <w:rsid w:val="71536AB4"/>
    <w:rsid w:val="71B21B53"/>
    <w:rsid w:val="728C6382"/>
    <w:rsid w:val="73B40907"/>
    <w:rsid w:val="73D11BEA"/>
    <w:rsid w:val="742C71B1"/>
    <w:rsid w:val="74405CDD"/>
    <w:rsid w:val="74ED0618"/>
    <w:rsid w:val="766771EF"/>
    <w:rsid w:val="767A4AD7"/>
    <w:rsid w:val="77114290"/>
    <w:rsid w:val="78304FF0"/>
    <w:rsid w:val="786D57E4"/>
    <w:rsid w:val="788C2DA9"/>
    <w:rsid w:val="790228F5"/>
    <w:rsid w:val="799A7EFC"/>
    <w:rsid w:val="79A52AA6"/>
    <w:rsid w:val="79B73EE9"/>
    <w:rsid w:val="79C210AB"/>
    <w:rsid w:val="7A3918BB"/>
    <w:rsid w:val="7A3B15FD"/>
    <w:rsid w:val="7A924738"/>
    <w:rsid w:val="7ABC35C7"/>
    <w:rsid w:val="7AEE0E95"/>
    <w:rsid w:val="7AF211E2"/>
    <w:rsid w:val="7C7544C6"/>
    <w:rsid w:val="7CC240AA"/>
    <w:rsid w:val="7D6538AB"/>
    <w:rsid w:val="7E13611E"/>
    <w:rsid w:val="7FCC45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0"/>
    <w:pPr>
      <w:keepNext/>
      <w:keepLines/>
      <w:numPr>
        <w:ilvl w:val="0"/>
        <w:numId w:val="1"/>
      </w:numPr>
      <w:snapToGrid w:val="0"/>
      <w:spacing w:line="400" w:lineRule="atLeast"/>
      <w:outlineLvl w:val="0"/>
    </w:pPr>
    <w:rPr>
      <w:rFonts w:ascii="宋体" w:eastAsia="黑体"/>
      <w:kern w:val="28"/>
      <w:sz w:val="28"/>
      <w:szCs w:val="20"/>
    </w:rPr>
  </w:style>
  <w:style w:type="paragraph" w:styleId="3">
    <w:name w:val="heading 2"/>
    <w:basedOn w:val="1"/>
    <w:next w:val="4"/>
    <w:link w:val="52"/>
    <w:qFormat/>
    <w:uiPriority w:val="0"/>
    <w:pPr>
      <w:numPr>
        <w:ilvl w:val="1"/>
        <w:numId w:val="1"/>
      </w:numPr>
      <w:tabs>
        <w:tab w:val="left" w:pos="425"/>
      </w:tabs>
      <w:snapToGrid w:val="0"/>
      <w:spacing w:line="360" w:lineRule="auto"/>
      <w:outlineLvl w:val="1"/>
    </w:pPr>
    <w:rPr>
      <w:rFonts w:ascii="宋体"/>
      <w:sz w:val="28"/>
      <w:szCs w:val="20"/>
    </w:rPr>
  </w:style>
  <w:style w:type="paragraph" w:styleId="5">
    <w:name w:val="heading 3"/>
    <w:basedOn w:val="3"/>
    <w:next w:val="1"/>
    <w:link w:val="77"/>
    <w:qFormat/>
    <w:uiPriority w:val="0"/>
    <w:pPr>
      <w:numPr>
        <w:ilvl w:val="2"/>
        <w:numId w:val="1"/>
      </w:numPr>
      <w:tabs>
        <w:tab w:val="clear" w:pos="720"/>
      </w:tabs>
      <w:outlineLvl w:val="2"/>
    </w:pPr>
  </w:style>
  <w:style w:type="paragraph" w:styleId="6">
    <w:name w:val="heading 4"/>
    <w:basedOn w:val="1"/>
    <w:next w:val="1"/>
    <w:link w:val="86"/>
    <w:qFormat/>
    <w:uiPriority w:val="0"/>
    <w:pPr>
      <w:keepNext/>
      <w:keepLines/>
      <w:spacing w:before="280" w:after="290" w:line="376" w:lineRule="auto"/>
      <w:outlineLvl w:val="3"/>
    </w:pPr>
    <w:rPr>
      <w:rFonts w:ascii="Calibri Light" w:hAnsi="Calibri Light"/>
      <w:b/>
      <w:bCs/>
      <w:kern w:val="0"/>
      <w:sz w:val="28"/>
      <w:szCs w:val="28"/>
    </w:rPr>
  </w:style>
  <w:style w:type="paragraph" w:styleId="7">
    <w:name w:val="heading 5"/>
    <w:basedOn w:val="1"/>
    <w:next w:val="1"/>
    <w:link w:val="101"/>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106"/>
    <w:qFormat/>
    <w:uiPriority w:val="0"/>
    <w:pPr>
      <w:keepNext/>
      <w:keepLines/>
      <w:spacing w:before="240" w:after="64" w:line="320" w:lineRule="auto"/>
      <w:outlineLvl w:val="5"/>
    </w:pPr>
    <w:rPr>
      <w:rFonts w:ascii="Calibri Light" w:hAnsi="Calibri Light"/>
      <w:b/>
      <w:bCs/>
      <w:kern w:val="0"/>
      <w:sz w:val="24"/>
    </w:rPr>
  </w:style>
  <w:style w:type="paragraph" w:styleId="9">
    <w:name w:val="heading 7"/>
    <w:basedOn w:val="1"/>
    <w:next w:val="1"/>
    <w:link w:val="69"/>
    <w:qFormat/>
    <w:uiPriority w:val="9"/>
    <w:pPr>
      <w:keepNext/>
      <w:keepLines/>
      <w:spacing w:before="240" w:after="64" w:line="320" w:lineRule="auto"/>
      <w:outlineLvl w:val="6"/>
    </w:pPr>
    <w:rPr>
      <w:b/>
      <w:bCs/>
      <w:sz w:val="24"/>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ind w:firstLine="420" w:firstLineChars="200"/>
    </w:pPr>
  </w:style>
  <w:style w:type="paragraph" w:styleId="10">
    <w:name w:val="Document Map"/>
    <w:basedOn w:val="1"/>
    <w:link w:val="92"/>
    <w:unhideWhenUsed/>
    <w:qFormat/>
    <w:uiPriority w:val="99"/>
    <w:rPr>
      <w:rFonts w:ascii="Microsoft YaHei UI" w:eastAsia="Microsoft YaHei UI"/>
      <w:kern w:val="0"/>
      <w:sz w:val="18"/>
      <w:szCs w:val="18"/>
    </w:rPr>
  </w:style>
  <w:style w:type="paragraph" w:styleId="11">
    <w:name w:val="annotation text"/>
    <w:basedOn w:val="1"/>
    <w:link w:val="103"/>
    <w:qFormat/>
    <w:uiPriority w:val="0"/>
    <w:pPr>
      <w:jc w:val="left"/>
    </w:pPr>
    <w:rPr>
      <w:kern w:val="0"/>
      <w:sz w:val="20"/>
    </w:rPr>
  </w:style>
  <w:style w:type="paragraph" w:styleId="12">
    <w:name w:val="Body Text"/>
    <w:basedOn w:val="1"/>
    <w:next w:val="13"/>
    <w:link w:val="60"/>
    <w:qFormat/>
    <w:uiPriority w:val="0"/>
    <w:pPr>
      <w:spacing w:after="120"/>
    </w:pPr>
    <w:rPr>
      <w:kern w:val="0"/>
      <w:sz w:val="20"/>
    </w:rPr>
  </w:style>
  <w:style w:type="paragraph" w:styleId="13">
    <w:name w:val="Plain Text"/>
    <w:basedOn w:val="1"/>
    <w:link w:val="90"/>
    <w:qFormat/>
    <w:uiPriority w:val="0"/>
    <w:rPr>
      <w:rFonts w:ascii="宋体" w:hAnsi="Courier New"/>
      <w:kern w:val="0"/>
      <w:sz w:val="20"/>
      <w:szCs w:val="20"/>
    </w:rPr>
  </w:style>
  <w:style w:type="paragraph" w:styleId="14">
    <w:name w:val="Body Text Indent"/>
    <w:basedOn w:val="1"/>
    <w:link w:val="97"/>
    <w:qFormat/>
    <w:uiPriority w:val="0"/>
    <w:pPr>
      <w:tabs>
        <w:tab w:val="left" w:pos="2160"/>
      </w:tabs>
      <w:ind w:left="2159" w:leftChars="1028" w:firstLine="1"/>
    </w:pPr>
    <w:rPr>
      <w:rFonts w:ascii="宋体" w:hAnsi="宋体"/>
      <w:kern w:val="0"/>
      <w:sz w:val="20"/>
      <w:szCs w:val="21"/>
    </w:rPr>
  </w:style>
  <w:style w:type="paragraph" w:styleId="15">
    <w:name w:val="index 4"/>
    <w:basedOn w:val="1"/>
    <w:next w:val="1"/>
    <w:unhideWhenUsed/>
    <w:qFormat/>
    <w:uiPriority w:val="99"/>
    <w:pPr>
      <w:ind w:left="600" w:leftChars="600"/>
    </w:pPr>
  </w:style>
  <w:style w:type="paragraph" w:styleId="16">
    <w:name w:val="toc 3"/>
    <w:basedOn w:val="1"/>
    <w:next w:val="1"/>
    <w:unhideWhenUsed/>
    <w:qFormat/>
    <w:uiPriority w:val="39"/>
    <w:pPr>
      <w:widowControl/>
      <w:spacing w:after="100" w:line="259" w:lineRule="auto"/>
      <w:ind w:left="440"/>
      <w:jc w:val="left"/>
    </w:pPr>
    <w:rPr>
      <w:rFonts w:ascii="Calibri" w:hAnsi="Calibri"/>
      <w:kern w:val="0"/>
      <w:sz w:val="22"/>
      <w:szCs w:val="22"/>
    </w:rPr>
  </w:style>
  <w:style w:type="paragraph" w:styleId="17">
    <w:name w:val="Date"/>
    <w:basedOn w:val="1"/>
    <w:next w:val="1"/>
    <w:link w:val="54"/>
    <w:qFormat/>
    <w:uiPriority w:val="0"/>
    <w:pPr>
      <w:ind w:left="100" w:leftChars="2500"/>
    </w:pPr>
    <w:rPr>
      <w:kern w:val="0"/>
      <w:sz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105"/>
    <w:qFormat/>
    <w:uiPriority w:val="0"/>
    <w:rPr>
      <w:kern w:val="0"/>
      <w:sz w:val="18"/>
      <w:szCs w:val="18"/>
    </w:rPr>
  </w:style>
  <w:style w:type="paragraph" w:styleId="20">
    <w:name w:val="footer"/>
    <w:basedOn w:val="1"/>
    <w:link w:val="94"/>
    <w:qFormat/>
    <w:uiPriority w:val="99"/>
    <w:pPr>
      <w:tabs>
        <w:tab w:val="center" w:pos="4153"/>
        <w:tab w:val="right" w:pos="8306"/>
      </w:tabs>
      <w:snapToGrid w:val="0"/>
      <w:jc w:val="left"/>
    </w:pPr>
    <w:rPr>
      <w:kern w:val="0"/>
      <w:sz w:val="18"/>
      <w:szCs w:val="20"/>
    </w:rPr>
  </w:style>
  <w:style w:type="paragraph" w:styleId="21">
    <w:name w:val="header"/>
    <w:basedOn w:val="1"/>
    <w:link w:val="58"/>
    <w:qFormat/>
    <w:uiPriority w:val="99"/>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uiPriority w:val="39"/>
    <w:pPr>
      <w:tabs>
        <w:tab w:val="right" w:leader="dot" w:pos="8296"/>
      </w:tabs>
      <w:jc w:val="left"/>
    </w:pPr>
  </w:style>
  <w:style w:type="paragraph" w:styleId="23">
    <w:name w:val="Subtitle"/>
    <w:basedOn w:val="1"/>
    <w:next w:val="1"/>
    <w:link w:val="99"/>
    <w:qFormat/>
    <w:uiPriority w:val="0"/>
    <w:pPr>
      <w:spacing w:before="240" w:after="60" w:line="312" w:lineRule="auto"/>
      <w:jc w:val="center"/>
      <w:outlineLvl w:val="1"/>
    </w:pPr>
    <w:rPr>
      <w:rFonts w:ascii="Calibri Light" w:hAnsi="Calibri Light"/>
      <w:b/>
      <w:bCs/>
      <w:kern w:val="28"/>
      <w:sz w:val="32"/>
      <w:szCs w:val="32"/>
    </w:rPr>
  </w:style>
  <w:style w:type="paragraph" w:styleId="24">
    <w:name w:val="Body Text Indent 3"/>
    <w:basedOn w:val="1"/>
    <w:link w:val="80"/>
    <w:qFormat/>
    <w:uiPriority w:val="0"/>
    <w:pPr>
      <w:spacing w:after="120"/>
      <w:ind w:left="420" w:leftChars="200"/>
    </w:pPr>
    <w:rPr>
      <w:kern w:val="0"/>
      <w:sz w:val="16"/>
      <w:szCs w:val="16"/>
    </w:rPr>
  </w:style>
  <w:style w:type="paragraph" w:styleId="25">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6">
    <w:name w:val="toc 9"/>
    <w:basedOn w:val="1"/>
    <w:next w:val="1"/>
    <w:qFormat/>
    <w:uiPriority w:val="0"/>
    <w:pPr>
      <w:ind w:left="3360" w:leftChars="1600"/>
    </w:pPr>
  </w:style>
  <w:style w:type="paragraph" w:styleId="27">
    <w:name w:val="Body Text 2"/>
    <w:basedOn w:val="1"/>
    <w:link w:val="55"/>
    <w:unhideWhenUsed/>
    <w:qFormat/>
    <w:uiPriority w:val="99"/>
    <w:pPr>
      <w:spacing w:after="120" w:line="480" w:lineRule="auto"/>
    </w:pPr>
  </w:style>
  <w:style w:type="paragraph" w:styleId="28">
    <w:name w:val="HTML Preformatted"/>
    <w:basedOn w:val="1"/>
    <w:next w:val="1"/>
    <w:link w:val="8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next w:val="1"/>
    <w:link w:val="56"/>
    <w:qFormat/>
    <w:uiPriority w:val="0"/>
    <w:pPr>
      <w:spacing w:before="240" w:after="60"/>
      <w:jc w:val="center"/>
      <w:outlineLvl w:val="0"/>
    </w:pPr>
    <w:rPr>
      <w:rFonts w:ascii="Cambria" w:hAnsi="Cambria"/>
      <w:b/>
      <w:bCs/>
      <w:kern w:val="0"/>
      <w:sz w:val="36"/>
      <w:szCs w:val="32"/>
    </w:rPr>
  </w:style>
  <w:style w:type="paragraph" w:styleId="31">
    <w:name w:val="annotation subject"/>
    <w:basedOn w:val="11"/>
    <w:next w:val="11"/>
    <w:link w:val="74"/>
    <w:qFormat/>
    <w:uiPriority w:val="99"/>
    <w:rPr>
      <w:b/>
      <w:bCs/>
    </w:rPr>
  </w:style>
  <w:style w:type="paragraph" w:styleId="32">
    <w:name w:val="Body Text First Indent"/>
    <w:basedOn w:val="12"/>
    <w:next w:val="28"/>
    <w:link w:val="84"/>
    <w:qFormat/>
    <w:uiPriority w:val="0"/>
    <w:pPr>
      <w:ind w:firstLine="420" w:firstLineChars="1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style>
  <w:style w:type="character" w:styleId="37">
    <w:name w:val="page number"/>
    <w:qFormat/>
    <w:uiPriority w:val="0"/>
  </w:style>
  <w:style w:type="character" w:styleId="38">
    <w:name w:val="FollowedHyperlink"/>
    <w:qFormat/>
    <w:uiPriority w:val="99"/>
    <w:rPr>
      <w:color w:val="0000FF"/>
      <w:u w:val="single"/>
    </w:rPr>
  </w:style>
  <w:style w:type="character" w:styleId="39">
    <w:name w:val="Emphasis"/>
    <w:qFormat/>
    <w:uiPriority w:val="0"/>
    <w:rPr>
      <w:i/>
      <w:iCs/>
    </w:rPr>
  </w:style>
  <w:style w:type="character" w:styleId="40">
    <w:name w:val="HTML Definition"/>
    <w:basedOn w:val="35"/>
    <w:unhideWhenUsed/>
    <w:qFormat/>
    <w:uiPriority w:val="99"/>
  </w:style>
  <w:style w:type="character" w:styleId="41">
    <w:name w:val="HTML Typewriter"/>
    <w:basedOn w:val="35"/>
    <w:unhideWhenUsed/>
    <w:qFormat/>
    <w:uiPriority w:val="99"/>
    <w:rPr>
      <w:rFonts w:hint="default" w:ascii="monospace" w:hAnsi="monospace" w:eastAsia="monospace" w:cs="monospace"/>
      <w:sz w:val="20"/>
    </w:rPr>
  </w:style>
  <w:style w:type="character" w:styleId="42">
    <w:name w:val="HTML Acronym"/>
    <w:basedOn w:val="35"/>
    <w:unhideWhenUsed/>
    <w:qFormat/>
    <w:uiPriority w:val="99"/>
  </w:style>
  <w:style w:type="character" w:styleId="43">
    <w:name w:val="HTML Variable"/>
    <w:basedOn w:val="35"/>
    <w:unhideWhenUsed/>
    <w:qFormat/>
    <w:uiPriority w:val="99"/>
  </w:style>
  <w:style w:type="character" w:styleId="44">
    <w:name w:val="Hyperlink"/>
    <w:qFormat/>
    <w:uiPriority w:val="99"/>
    <w:rPr>
      <w:color w:val="000099"/>
      <w:u w:val="none"/>
    </w:rPr>
  </w:style>
  <w:style w:type="character" w:styleId="45">
    <w:name w:val="HTML Code"/>
    <w:basedOn w:val="35"/>
    <w:unhideWhenUsed/>
    <w:qFormat/>
    <w:uiPriority w:val="99"/>
    <w:rPr>
      <w:rFonts w:hint="default" w:ascii="monospace" w:hAnsi="monospace" w:eastAsia="monospace" w:cs="monospace"/>
      <w:sz w:val="20"/>
    </w:rPr>
  </w:style>
  <w:style w:type="character" w:styleId="46">
    <w:name w:val="annotation reference"/>
    <w:qFormat/>
    <w:uiPriority w:val="0"/>
    <w:rPr>
      <w:sz w:val="21"/>
      <w:szCs w:val="21"/>
    </w:rPr>
  </w:style>
  <w:style w:type="character" w:styleId="47">
    <w:name w:val="HTML Cite"/>
    <w:basedOn w:val="35"/>
    <w:unhideWhenUsed/>
    <w:qFormat/>
    <w:uiPriority w:val="99"/>
  </w:style>
  <w:style w:type="character" w:styleId="48">
    <w:name w:val="HTML Keyboard"/>
    <w:basedOn w:val="35"/>
    <w:unhideWhenUsed/>
    <w:qFormat/>
    <w:uiPriority w:val="99"/>
    <w:rPr>
      <w:rFonts w:hint="default" w:ascii="monospace" w:hAnsi="monospace" w:eastAsia="monospace" w:cs="monospace"/>
      <w:sz w:val="20"/>
    </w:rPr>
  </w:style>
  <w:style w:type="character" w:styleId="49">
    <w:name w:val="HTML Sample"/>
    <w:basedOn w:val="35"/>
    <w:unhideWhenUsed/>
    <w:qFormat/>
    <w:uiPriority w:val="99"/>
    <w:rPr>
      <w:rFonts w:ascii="monospace" w:hAnsi="monospace" w:eastAsia="monospace" w:cs="monospace"/>
    </w:rPr>
  </w:style>
  <w:style w:type="paragraph" w:customStyle="1" w:styleId="50">
    <w:name w:val="正文（首行缩进2字符）"/>
    <w:basedOn w:val="1"/>
    <w:qFormat/>
    <w:uiPriority w:val="99"/>
    <w:pPr>
      <w:ind w:firstLine="480"/>
    </w:pPr>
    <w:rPr>
      <w:rFonts w:ascii="Times New Roman" w:hAnsi="Times New Roman" w:cs="Times New Roman"/>
    </w:rPr>
  </w:style>
  <w:style w:type="character" w:customStyle="1" w:styleId="51">
    <w:name w:val="Table Text Char"/>
    <w:qFormat/>
    <w:uiPriority w:val="0"/>
    <w:rPr>
      <w:rFonts w:ascii="Arial" w:hAnsi="Arial" w:eastAsia="宋体"/>
      <w:sz w:val="18"/>
      <w:lang w:val="en-US" w:eastAsia="zh-CN" w:bidi="ar-SA"/>
    </w:rPr>
  </w:style>
  <w:style w:type="character" w:customStyle="1" w:styleId="52">
    <w:name w:val="标题 2 Char1"/>
    <w:link w:val="3"/>
    <w:qFormat/>
    <w:uiPriority w:val="0"/>
    <w:rPr>
      <w:rFonts w:ascii="宋体"/>
      <w:kern w:val="2"/>
      <w:sz w:val="28"/>
    </w:rPr>
  </w:style>
  <w:style w:type="character" w:customStyle="1" w:styleId="53">
    <w:name w:val="layui-layer-tabnow"/>
    <w:basedOn w:val="35"/>
    <w:qFormat/>
    <w:uiPriority w:val="0"/>
    <w:rPr>
      <w:bdr w:val="single" w:color="CCCCCC" w:sz="6" w:space="0"/>
      <w:shd w:val="clear" w:color="auto" w:fill="FFFFFF"/>
    </w:rPr>
  </w:style>
  <w:style w:type="character" w:customStyle="1" w:styleId="54">
    <w:name w:val="日期 Char"/>
    <w:link w:val="17"/>
    <w:qFormat/>
    <w:uiPriority w:val="0"/>
    <w:rPr>
      <w:rFonts w:ascii="Times New Roman" w:hAnsi="Times New Roman" w:eastAsia="宋体" w:cs="Times New Roman"/>
      <w:szCs w:val="24"/>
    </w:rPr>
  </w:style>
  <w:style w:type="character" w:customStyle="1" w:styleId="55">
    <w:name w:val="正文文本 2 Char"/>
    <w:link w:val="27"/>
    <w:semiHidden/>
    <w:qFormat/>
    <w:uiPriority w:val="99"/>
    <w:rPr>
      <w:kern w:val="2"/>
      <w:sz w:val="21"/>
      <w:szCs w:val="24"/>
    </w:rPr>
  </w:style>
  <w:style w:type="character" w:customStyle="1" w:styleId="56">
    <w:name w:val="标题 Char2"/>
    <w:link w:val="30"/>
    <w:qFormat/>
    <w:uiPriority w:val="0"/>
    <w:rPr>
      <w:rFonts w:ascii="Cambria" w:hAnsi="Cambria"/>
      <w:b/>
      <w:bCs/>
      <w:sz w:val="36"/>
      <w:szCs w:val="32"/>
    </w:rPr>
  </w:style>
  <w:style w:type="character" w:customStyle="1" w:styleId="57">
    <w:name w:val="first-child"/>
    <w:basedOn w:val="35"/>
    <w:qFormat/>
    <w:uiPriority w:val="0"/>
  </w:style>
  <w:style w:type="character" w:customStyle="1" w:styleId="58">
    <w:name w:val="页眉 Char1"/>
    <w:link w:val="21"/>
    <w:qFormat/>
    <w:uiPriority w:val="99"/>
    <w:rPr>
      <w:rFonts w:ascii="Times New Roman" w:hAnsi="Times New Roman" w:eastAsia="宋体" w:cs="Times New Roman"/>
      <w:sz w:val="18"/>
      <w:szCs w:val="20"/>
    </w:rPr>
  </w:style>
  <w:style w:type="character" w:customStyle="1" w:styleId="59">
    <w:name w:val="样式 宋体 四号"/>
    <w:qFormat/>
    <w:uiPriority w:val="0"/>
    <w:rPr>
      <w:rFonts w:hint="eastAsia" w:ascii="宋体" w:hAnsi="宋体" w:eastAsia="仿宋_GB2312"/>
      <w:sz w:val="28"/>
    </w:rPr>
  </w:style>
  <w:style w:type="character" w:customStyle="1" w:styleId="60">
    <w:name w:val="正文文本 Char"/>
    <w:link w:val="12"/>
    <w:qFormat/>
    <w:uiPriority w:val="0"/>
    <w:rPr>
      <w:rFonts w:ascii="Times New Roman" w:hAnsi="Times New Roman" w:eastAsia="宋体" w:cs="Times New Roman"/>
      <w:szCs w:val="24"/>
    </w:rPr>
  </w:style>
  <w:style w:type="character" w:customStyle="1" w:styleId="61">
    <w:name w:val="正文缩进 Char"/>
    <w:link w:val="4"/>
    <w:qFormat/>
    <w:locked/>
    <w:uiPriority w:val="0"/>
    <w:rPr>
      <w:kern w:val="2"/>
      <w:sz w:val="21"/>
      <w:szCs w:val="24"/>
    </w:rPr>
  </w:style>
  <w:style w:type="character" w:customStyle="1" w:styleId="62">
    <w:name w:val="textcontents"/>
    <w:qFormat/>
    <w:uiPriority w:val="0"/>
    <w:rPr>
      <w:rFonts w:cs="Times New Roman"/>
    </w:rPr>
  </w:style>
  <w:style w:type="character" w:customStyle="1" w:styleId="63">
    <w:name w:val="章标题 Char Char"/>
    <w:link w:val="64"/>
    <w:qFormat/>
    <w:uiPriority w:val="0"/>
    <w:rPr>
      <w:rFonts w:ascii="黑体" w:eastAsia="黑体"/>
      <w:sz w:val="21"/>
      <w:lang w:val="en-US" w:eastAsia="zh-CN" w:bidi="ar-SA"/>
    </w:rPr>
  </w:style>
  <w:style w:type="paragraph" w:customStyle="1" w:styleId="64">
    <w:name w:val="章标题"/>
    <w:next w:val="65"/>
    <w:link w:val="63"/>
    <w:qFormat/>
    <w:uiPriority w:val="0"/>
    <w:pPr>
      <w:tabs>
        <w:tab w:val="left" w:pos="720"/>
      </w:tabs>
      <w:spacing w:beforeLines="50" w:afterLines="50"/>
      <w:ind w:left="567" w:hanging="567"/>
      <w:jc w:val="both"/>
      <w:outlineLvl w:val="1"/>
    </w:pPr>
    <w:rPr>
      <w:rFonts w:ascii="黑体" w:hAnsi="Times New Roman" w:eastAsia="黑体" w:cs="Times New Roman"/>
      <w:sz w:val="21"/>
      <w:lang w:val="en-US" w:eastAsia="zh-CN" w:bidi="ar-SA"/>
    </w:rPr>
  </w:style>
  <w:style w:type="paragraph" w:customStyle="1" w:styleId="65">
    <w:name w:val="段"/>
    <w:link w:val="7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6">
    <w:name w:val="纯文本 Char"/>
    <w:qFormat/>
    <w:uiPriority w:val="0"/>
    <w:rPr>
      <w:rFonts w:ascii="宋体" w:hAnsi="Courier New" w:eastAsia="宋体" w:cs="Courier New"/>
      <w:szCs w:val="21"/>
    </w:rPr>
  </w:style>
  <w:style w:type="character" w:customStyle="1" w:styleId="67">
    <w:name w:val="无间隔 Char"/>
    <w:link w:val="68"/>
    <w:qFormat/>
    <w:uiPriority w:val="1"/>
    <w:rPr>
      <w:kern w:val="2"/>
      <w:sz w:val="21"/>
      <w:szCs w:val="24"/>
      <w:lang w:val="en-US" w:eastAsia="zh-CN" w:bidi="ar-SA"/>
    </w:rPr>
  </w:style>
  <w:style w:type="paragraph" w:customStyle="1" w:styleId="68">
    <w:name w:val="_Style 32"/>
    <w:link w:val="67"/>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标题 7 Char"/>
    <w:link w:val="9"/>
    <w:semiHidden/>
    <w:qFormat/>
    <w:uiPriority w:val="9"/>
    <w:rPr>
      <w:rFonts w:ascii="Times New Roman" w:hAnsi="Times New Roman"/>
      <w:b/>
      <w:bCs/>
      <w:kern w:val="2"/>
      <w:sz w:val="24"/>
      <w:szCs w:val="24"/>
    </w:rPr>
  </w:style>
  <w:style w:type="character" w:customStyle="1" w:styleId="70">
    <w:name w:val="页眉 Char"/>
    <w:qFormat/>
    <w:uiPriority w:val="99"/>
    <w:rPr>
      <w:lang w:eastAsia="zh-CN"/>
    </w:rPr>
  </w:style>
  <w:style w:type="character" w:customStyle="1" w:styleId="71">
    <w:name w:val="一级条标题 Char Char"/>
    <w:link w:val="72"/>
    <w:qFormat/>
    <w:uiPriority w:val="0"/>
    <w:rPr>
      <w:rFonts w:ascii="黑体" w:eastAsia="黑体"/>
      <w:sz w:val="21"/>
    </w:rPr>
  </w:style>
  <w:style w:type="paragraph" w:customStyle="1" w:styleId="72">
    <w:name w:val="一级条标题"/>
    <w:basedOn w:val="64"/>
    <w:next w:val="65"/>
    <w:link w:val="71"/>
    <w:qFormat/>
    <w:uiPriority w:val="0"/>
    <w:pPr>
      <w:spacing w:beforeLines="0" w:afterLines="0"/>
      <w:ind w:left="567" w:hanging="567"/>
      <w:outlineLvl w:val="2"/>
    </w:pPr>
  </w:style>
  <w:style w:type="character" w:customStyle="1" w:styleId="73">
    <w:name w:val="标题 Char"/>
    <w:qFormat/>
    <w:uiPriority w:val="0"/>
    <w:rPr>
      <w:rFonts w:ascii="Cambria" w:hAnsi="Cambria"/>
      <w:b/>
      <w:bCs/>
      <w:kern w:val="2"/>
      <w:sz w:val="36"/>
      <w:szCs w:val="32"/>
    </w:rPr>
  </w:style>
  <w:style w:type="character" w:customStyle="1" w:styleId="74">
    <w:name w:val="批注主题 Char1"/>
    <w:link w:val="31"/>
    <w:qFormat/>
    <w:uiPriority w:val="99"/>
    <w:rPr>
      <w:rFonts w:ascii="Times New Roman" w:hAnsi="Times New Roman" w:eastAsia="宋体" w:cs="Times New Roman"/>
      <w:b/>
      <w:bCs/>
      <w:szCs w:val="24"/>
    </w:rPr>
  </w:style>
  <w:style w:type="character" w:customStyle="1" w:styleId="75">
    <w:name w:val="段 Char Char"/>
    <w:link w:val="65"/>
    <w:qFormat/>
    <w:uiPriority w:val="0"/>
    <w:rPr>
      <w:rFonts w:ascii="宋体"/>
      <w:sz w:val="21"/>
      <w:lang w:val="en-US" w:eastAsia="zh-CN" w:bidi="ar-SA"/>
    </w:rPr>
  </w:style>
  <w:style w:type="character" w:customStyle="1" w:styleId="76">
    <w:name w:val="bookmark-item"/>
    <w:basedOn w:val="35"/>
    <w:qFormat/>
    <w:uiPriority w:val="0"/>
  </w:style>
  <w:style w:type="character" w:customStyle="1" w:styleId="77">
    <w:name w:val="标题 3 Char"/>
    <w:link w:val="5"/>
    <w:qFormat/>
    <w:uiPriority w:val="0"/>
    <w:rPr>
      <w:rFonts w:ascii="宋体"/>
      <w:kern w:val="2"/>
      <w:sz w:val="28"/>
    </w:rPr>
  </w:style>
  <w:style w:type="character" w:customStyle="1" w:styleId="78">
    <w:name w:val="标题 2 Char"/>
    <w:qFormat/>
    <w:uiPriority w:val="0"/>
    <w:rPr>
      <w:rFonts w:ascii="Cambria" w:hAnsi="Cambria" w:eastAsia="宋体"/>
      <w:b/>
      <w:bCs/>
      <w:sz w:val="32"/>
      <w:szCs w:val="32"/>
    </w:rPr>
  </w:style>
  <w:style w:type="character" w:customStyle="1" w:styleId="79">
    <w:name w:val="标题 Char1"/>
    <w:qFormat/>
    <w:uiPriority w:val="0"/>
    <w:rPr>
      <w:rFonts w:ascii="Calibri Light" w:hAnsi="Calibri Light" w:eastAsia="宋体" w:cs="Times New Roman"/>
      <w:b/>
      <w:bCs/>
      <w:sz w:val="32"/>
      <w:szCs w:val="32"/>
    </w:rPr>
  </w:style>
  <w:style w:type="character" w:customStyle="1" w:styleId="80">
    <w:name w:val="正文文本缩进 3 Char"/>
    <w:link w:val="24"/>
    <w:qFormat/>
    <w:uiPriority w:val="0"/>
    <w:rPr>
      <w:rFonts w:ascii="Times New Roman" w:hAnsi="Times New Roman" w:eastAsia="宋体" w:cs="Times New Roman"/>
      <w:sz w:val="16"/>
      <w:szCs w:val="16"/>
    </w:rPr>
  </w:style>
  <w:style w:type="character" w:customStyle="1" w:styleId="81">
    <w:name w:val="三级条标题 Char Char"/>
    <w:link w:val="82"/>
    <w:qFormat/>
    <w:uiPriority w:val="0"/>
    <w:rPr>
      <w:rFonts w:ascii="黑体" w:eastAsia="黑体"/>
      <w:sz w:val="21"/>
    </w:rPr>
  </w:style>
  <w:style w:type="paragraph" w:customStyle="1" w:styleId="82">
    <w:name w:val="三级条标题"/>
    <w:basedOn w:val="83"/>
    <w:next w:val="65"/>
    <w:link w:val="81"/>
    <w:qFormat/>
    <w:uiPriority w:val="0"/>
    <w:pPr>
      <w:tabs>
        <w:tab w:val="left" w:pos="720"/>
        <w:tab w:val="left" w:pos="992"/>
      </w:tabs>
      <w:ind w:left="992" w:hanging="992"/>
      <w:outlineLvl w:val="4"/>
    </w:pPr>
  </w:style>
  <w:style w:type="paragraph" w:customStyle="1" w:styleId="83">
    <w:name w:val="二级条标题"/>
    <w:basedOn w:val="72"/>
    <w:next w:val="65"/>
    <w:link w:val="93"/>
    <w:qFormat/>
    <w:uiPriority w:val="0"/>
    <w:pPr>
      <w:ind w:left="567" w:hanging="567"/>
      <w:outlineLvl w:val="3"/>
    </w:pPr>
  </w:style>
  <w:style w:type="character" w:customStyle="1" w:styleId="84">
    <w:name w:val="正文首行缩进 Char"/>
    <w:link w:val="32"/>
    <w:qFormat/>
    <w:uiPriority w:val="0"/>
    <w:rPr>
      <w:rFonts w:ascii="Times New Roman" w:hAnsi="Times New Roman" w:eastAsia="宋体" w:cs="Times New Roman"/>
      <w:szCs w:val="24"/>
    </w:rPr>
  </w:style>
  <w:style w:type="character" w:customStyle="1" w:styleId="85">
    <w:name w:val="批注文字 Char"/>
    <w:qFormat/>
    <w:uiPriority w:val="0"/>
    <w:rPr>
      <w:rFonts w:ascii="Times New Roman" w:hAnsi="Times New Roman" w:eastAsia="宋体" w:cs="Times New Roman"/>
      <w:szCs w:val="24"/>
    </w:rPr>
  </w:style>
  <w:style w:type="character" w:customStyle="1" w:styleId="86">
    <w:name w:val="标题 4 Char"/>
    <w:link w:val="6"/>
    <w:qFormat/>
    <w:uiPriority w:val="0"/>
    <w:rPr>
      <w:rFonts w:ascii="Calibri Light" w:hAnsi="Calibri Light" w:eastAsia="宋体" w:cs="Times New Roman"/>
      <w:b/>
      <w:bCs/>
      <w:sz w:val="28"/>
      <w:szCs w:val="28"/>
    </w:rPr>
  </w:style>
  <w:style w:type="character" w:customStyle="1" w:styleId="87">
    <w:name w:val="标题4 Char Char"/>
    <w:link w:val="88"/>
    <w:qFormat/>
    <w:uiPriority w:val="0"/>
    <w:rPr>
      <w:rFonts w:ascii="Arial" w:hAnsi="Arial"/>
      <w:b/>
      <w:bCs/>
      <w:sz w:val="24"/>
      <w:szCs w:val="32"/>
    </w:rPr>
  </w:style>
  <w:style w:type="paragraph" w:customStyle="1" w:styleId="88">
    <w:name w:val="标题4"/>
    <w:basedOn w:val="3"/>
    <w:next w:val="15"/>
    <w:link w:val="87"/>
    <w:qFormat/>
    <w:uiPriority w:val="0"/>
    <w:pPr>
      <w:numPr>
        <w:ilvl w:val="0"/>
        <w:numId w:val="0"/>
      </w:numPr>
      <w:tabs>
        <w:tab w:val="clear" w:pos="425"/>
        <w:tab w:val="clear" w:pos="720"/>
      </w:tabs>
      <w:snapToGrid/>
      <w:spacing w:before="260" w:after="260" w:line="413" w:lineRule="auto"/>
    </w:pPr>
    <w:rPr>
      <w:rFonts w:ascii="Arial" w:hAnsi="Arial"/>
      <w:b/>
      <w:bCs/>
      <w:kern w:val="0"/>
      <w:sz w:val="24"/>
      <w:szCs w:val="32"/>
    </w:rPr>
  </w:style>
  <w:style w:type="character" w:customStyle="1" w:styleId="89">
    <w:name w:val="HTML 预设格式 Char"/>
    <w:link w:val="28"/>
    <w:qFormat/>
    <w:uiPriority w:val="99"/>
    <w:rPr>
      <w:rFonts w:ascii="宋体" w:hAnsi="宋体" w:cs="宋体"/>
      <w:sz w:val="24"/>
      <w:szCs w:val="24"/>
    </w:rPr>
  </w:style>
  <w:style w:type="character" w:customStyle="1" w:styleId="90">
    <w:name w:val="纯文本 Char2"/>
    <w:link w:val="13"/>
    <w:qFormat/>
    <w:uiPriority w:val="0"/>
    <w:rPr>
      <w:rFonts w:ascii="宋体" w:hAnsi="Courier New" w:eastAsia="宋体" w:cs="Times New Roman"/>
      <w:szCs w:val="20"/>
    </w:rPr>
  </w:style>
  <w:style w:type="character" w:customStyle="1" w:styleId="91">
    <w:name w:val="Table Text Char Char Char"/>
    <w:qFormat/>
    <w:uiPriority w:val="0"/>
    <w:rPr>
      <w:rFonts w:ascii="Arial" w:hAnsi="Arial" w:eastAsia="宋体" w:cs="Arial"/>
      <w:sz w:val="18"/>
      <w:szCs w:val="18"/>
      <w:lang w:val="en-US" w:eastAsia="zh-CN" w:bidi="ar-SA"/>
    </w:rPr>
  </w:style>
  <w:style w:type="character" w:customStyle="1" w:styleId="92">
    <w:name w:val="文档结构图 Char"/>
    <w:link w:val="10"/>
    <w:semiHidden/>
    <w:qFormat/>
    <w:uiPriority w:val="99"/>
    <w:rPr>
      <w:rFonts w:ascii="Microsoft YaHei UI" w:hAnsi="Times New Roman" w:eastAsia="Microsoft YaHei UI" w:cs="Times New Roman"/>
      <w:sz w:val="18"/>
      <w:szCs w:val="18"/>
    </w:rPr>
  </w:style>
  <w:style w:type="character" w:customStyle="1" w:styleId="93">
    <w:name w:val="二级条标题 Char Char"/>
    <w:link w:val="83"/>
    <w:qFormat/>
    <w:uiPriority w:val="0"/>
    <w:rPr>
      <w:rFonts w:ascii="黑体" w:eastAsia="黑体"/>
      <w:sz w:val="21"/>
    </w:rPr>
  </w:style>
  <w:style w:type="character" w:customStyle="1" w:styleId="94">
    <w:name w:val="页脚 Char"/>
    <w:link w:val="20"/>
    <w:qFormat/>
    <w:uiPriority w:val="99"/>
    <w:rPr>
      <w:rFonts w:ascii="Times New Roman" w:hAnsi="Times New Roman" w:eastAsia="宋体" w:cs="Times New Roman"/>
      <w:sz w:val="18"/>
      <w:szCs w:val="20"/>
    </w:rPr>
  </w:style>
  <w:style w:type="character" w:customStyle="1" w:styleId="95">
    <w:name w:val="无间隔 Char1"/>
    <w:link w:val="96"/>
    <w:qFormat/>
    <w:uiPriority w:val="1"/>
    <w:rPr>
      <w:kern w:val="2"/>
      <w:sz w:val="21"/>
      <w:szCs w:val="24"/>
      <w:lang w:val="en-US" w:eastAsia="zh-CN" w:bidi="ar-SA"/>
    </w:rPr>
  </w:style>
  <w:style w:type="paragraph" w:styleId="96">
    <w:name w:val="No Spacing"/>
    <w:link w:val="95"/>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
    <w:link w:val="14"/>
    <w:qFormat/>
    <w:uiPriority w:val="0"/>
    <w:rPr>
      <w:rFonts w:ascii="宋体" w:hAnsi="宋体" w:eastAsia="宋体" w:cs="Times New Roman"/>
      <w:szCs w:val="21"/>
    </w:rPr>
  </w:style>
  <w:style w:type="character" w:customStyle="1" w:styleId="98">
    <w:name w:val="纯文本 Char1"/>
    <w:qFormat/>
    <w:uiPriority w:val="0"/>
    <w:rPr>
      <w:rFonts w:ascii="宋体" w:hAnsi="Courier New" w:eastAsia="宋体" w:cs="Courier New"/>
      <w:sz w:val="21"/>
      <w:szCs w:val="21"/>
    </w:rPr>
  </w:style>
  <w:style w:type="character" w:customStyle="1" w:styleId="99">
    <w:name w:val="副标题 Char"/>
    <w:link w:val="23"/>
    <w:qFormat/>
    <w:uiPriority w:val="0"/>
    <w:rPr>
      <w:rFonts w:ascii="Calibri Light" w:hAnsi="Calibri Light" w:eastAsia="宋体" w:cs="Times New Roman"/>
      <w:b/>
      <w:bCs/>
      <w:kern w:val="28"/>
      <w:sz w:val="32"/>
      <w:szCs w:val="32"/>
    </w:rPr>
  </w:style>
  <w:style w:type="character" w:customStyle="1" w:styleId="100">
    <w:name w:val="纯文本 字符"/>
    <w:qFormat/>
    <w:uiPriority w:val="0"/>
    <w:rPr>
      <w:rFonts w:ascii="宋体" w:hAnsi="Courier New" w:eastAsia="宋体"/>
    </w:rPr>
  </w:style>
  <w:style w:type="character" w:customStyle="1" w:styleId="101">
    <w:name w:val="标题 5 Char"/>
    <w:link w:val="7"/>
    <w:qFormat/>
    <w:uiPriority w:val="0"/>
    <w:rPr>
      <w:rFonts w:ascii="Times New Roman" w:hAnsi="Times New Roman" w:eastAsia="宋体" w:cs="Times New Roman"/>
      <w:b/>
      <w:bCs/>
      <w:sz w:val="28"/>
      <w:szCs w:val="28"/>
    </w:rPr>
  </w:style>
  <w:style w:type="character" w:customStyle="1" w:styleId="102">
    <w:name w:val="标题 1 Char"/>
    <w:link w:val="2"/>
    <w:qFormat/>
    <w:uiPriority w:val="0"/>
    <w:rPr>
      <w:rFonts w:ascii="宋体" w:eastAsia="黑体"/>
      <w:kern w:val="28"/>
      <w:sz w:val="28"/>
    </w:rPr>
  </w:style>
  <w:style w:type="character" w:customStyle="1" w:styleId="103">
    <w:name w:val="批注文字 Char1"/>
    <w:link w:val="11"/>
    <w:qFormat/>
    <w:uiPriority w:val="0"/>
    <w:rPr>
      <w:rFonts w:ascii="Times New Roman" w:hAnsi="Times New Roman" w:eastAsia="宋体" w:cs="Times New Roman"/>
      <w:szCs w:val="24"/>
    </w:rPr>
  </w:style>
  <w:style w:type="character" w:customStyle="1" w:styleId="104">
    <w:name w:val="批注主题 Char"/>
    <w:semiHidden/>
    <w:qFormat/>
    <w:uiPriority w:val="99"/>
    <w:rPr>
      <w:rFonts w:ascii="Times New Roman" w:hAnsi="Times New Roman" w:eastAsia="宋体" w:cs="Times New Roman"/>
      <w:b/>
      <w:bCs/>
      <w:szCs w:val="24"/>
    </w:rPr>
  </w:style>
  <w:style w:type="character" w:customStyle="1" w:styleId="105">
    <w:name w:val="批注框文本 Char"/>
    <w:link w:val="19"/>
    <w:qFormat/>
    <w:uiPriority w:val="0"/>
    <w:rPr>
      <w:rFonts w:ascii="Times New Roman" w:hAnsi="Times New Roman" w:eastAsia="宋体" w:cs="Times New Roman"/>
      <w:sz w:val="18"/>
      <w:szCs w:val="18"/>
    </w:rPr>
  </w:style>
  <w:style w:type="character" w:customStyle="1" w:styleId="106">
    <w:name w:val="标题 6 Char"/>
    <w:link w:val="8"/>
    <w:qFormat/>
    <w:uiPriority w:val="0"/>
    <w:rPr>
      <w:rFonts w:ascii="Calibri Light" w:hAnsi="Calibri Light" w:eastAsia="宋体" w:cs="Times New Roman"/>
      <w:b/>
      <w:bCs/>
      <w:sz w:val="24"/>
      <w:szCs w:val="24"/>
    </w:rPr>
  </w:style>
  <w:style w:type="character" w:customStyle="1" w:styleId="107">
    <w:name w:val="tabg"/>
    <w:qFormat/>
    <w:uiPriority w:val="0"/>
    <w:rPr>
      <w:rFonts w:ascii="微软雅黑" w:hAnsi="微软雅黑" w:eastAsia="微软雅黑" w:cs="微软雅黑"/>
      <w:color w:val="FFFFFF"/>
      <w:sz w:val="27"/>
      <w:szCs w:val="27"/>
    </w:rPr>
  </w:style>
  <w:style w:type="paragraph" w:customStyle="1" w:styleId="108">
    <w:name w:val="_Style 3"/>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_Style 40"/>
    <w:basedOn w:val="2"/>
    <w:next w:val="1"/>
    <w:qFormat/>
    <w:uiPriority w:val="39"/>
    <w:pPr>
      <w:widowControl/>
      <w:numPr>
        <w:ilvl w:val="0"/>
        <w:numId w:val="0"/>
      </w:numPr>
      <w:snapToGrid/>
      <w:spacing w:before="240" w:line="259" w:lineRule="auto"/>
      <w:jc w:val="left"/>
      <w:outlineLvl w:val="9"/>
    </w:pPr>
    <w:rPr>
      <w:rFonts w:ascii="Calibri Light" w:hAnsi="Calibri Light" w:eastAsia="宋体"/>
      <w:color w:val="2E74B5"/>
      <w:kern w:val="0"/>
      <w:sz w:val="32"/>
      <w:szCs w:val="32"/>
    </w:rPr>
  </w:style>
  <w:style w:type="paragraph" w:customStyle="1" w:styleId="110">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11">
    <w:name w:val="p16"/>
    <w:basedOn w:val="1"/>
    <w:qFormat/>
    <w:uiPriority w:val="0"/>
    <w:pPr>
      <w:widowControl/>
    </w:pPr>
    <w:rPr>
      <w:rFonts w:ascii="宋体" w:hAnsi="宋体" w:cs="宋体"/>
      <w:kern w:val="0"/>
      <w:szCs w:val="21"/>
    </w:rPr>
  </w:style>
  <w:style w:type="paragraph" w:customStyle="1" w:styleId="112">
    <w:name w:val="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表内文字  居左"/>
    <w:basedOn w:val="1"/>
    <w:qFormat/>
    <w:uiPriority w:val="0"/>
    <w:pPr>
      <w:jc w:val="left"/>
    </w:pPr>
    <w:rPr>
      <w:snapToGrid w:val="0"/>
      <w:szCs w:val="20"/>
    </w:rPr>
  </w:style>
  <w:style w:type="paragraph" w:customStyle="1" w:styleId="114">
    <w:name w:val="正文_0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15">
    <w:name w:val="列出段落11"/>
    <w:basedOn w:val="1"/>
    <w:qFormat/>
    <w:uiPriority w:val="0"/>
    <w:pPr>
      <w:ind w:firstLine="420" w:firstLineChars="200"/>
    </w:pPr>
  </w:style>
  <w:style w:type="paragraph" w:customStyle="1" w:styleId="11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17">
    <w:name w:val=" Char Char26"/>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styleId="119">
    <w:name w:val="List Paragraph"/>
    <w:basedOn w:val="1"/>
    <w:qFormat/>
    <w:uiPriority w:val="99"/>
    <w:pPr>
      <w:ind w:firstLine="420" w:firstLineChars="200"/>
    </w:pPr>
  </w:style>
  <w:style w:type="paragraph" w:customStyle="1" w:styleId="120">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121">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3">
    <w:name w:val="列出段落111"/>
    <w:basedOn w:val="1"/>
    <w:qFormat/>
    <w:uiPriority w:val="0"/>
    <w:pPr>
      <w:ind w:firstLine="420" w:firstLineChars="200"/>
    </w:pPr>
    <w:rPr>
      <w:rFonts w:ascii="Calibri" w:hAnsi="Calibri"/>
      <w:sz w:val="28"/>
    </w:rPr>
  </w:style>
  <w:style w:type="paragraph" w:customStyle="1" w:styleId="124">
    <w:name w:val="样式 小四 段前: 5 磅 段后: 5 磅 首行缩进:  2 字符"/>
    <w:basedOn w:val="1"/>
    <w:qFormat/>
    <w:uiPriority w:val="0"/>
    <w:pPr>
      <w:spacing w:line="360" w:lineRule="auto"/>
    </w:pPr>
    <w:rPr>
      <w:rFonts w:ascii="宋体" w:hAnsi="宋体"/>
      <w:szCs w:val="21"/>
    </w:rPr>
  </w:style>
  <w:style w:type="paragraph" w:customStyle="1" w:styleId="125">
    <w:name w:val="xl52"/>
    <w:basedOn w:val="1"/>
    <w:qFormat/>
    <w:uiPriority w:val="0"/>
    <w:pPr>
      <w:widowControl/>
      <w:spacing w:before="100" w:beforeAutospacing="1" w:after="100" w:afterAutospacing="1"/>
      <w:jc w:val="center"/>
      <w:textAlignment w:val="top"/>
    </w:pPr>
    <w:rPr>
      <w:kern w:val="0"/>
      <w:sz w:val="20"/>
      <w:szCs w:val="20"/>
    </w:rPr>
  </w:style>
  <w:style w:type="paragraph" w:customStyle="1" w:styleId="126">
    <w:name w:val="_Style 29"/>
    <w:basedOn w:val="1"/>
    <w:qFormat/>
    <w:uiPriority w:val="34"/>
    <w:pPr>
      <w:ind w:firstLine="420" w:firstLineChars="200"/>
    </w:pPr>
  </w:style>
  <w:style w:type="paragraph" w:customStyle="1" w:styleId="127">
    <w:name w:val="Default"/>
    <w:qFormat/>
    <w:uiPriority w:val="0"/>
    <w:pPr>
      <w:widowControl w:val="0"/>
      <w:autoSpaceDE w:val="0"/>
      <w:autoSpaceDN w:val="0"/>
      <w:adjustRightInd w:val="0"/>
    </w:pPr>
    <w:rPr>
      <w:rFonts w:ascii="微软雅黑" w:hAnsi="Times New Roman" w:eastAsia="宋体" w:cs="微软雅黑"/>
      <w:color w:val="000000"/>
      <w:sz w:val="24"/>
      <w:szCs w:val="24"/>
      <w:lang w:val="en-US" w:eastAsia="zh-CN" w:bidi="ar-SA"/>
    </w:rPr>
  </w:style>
  <w:style w:type="paragraph" w:customStyle="1" w:styleId="128">
    <w:name w:val="正文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9">
    <w:name w:val="正文图标题"/>
    <w:next w:val="65"/>
    <w:qFormat/>
    <w:uiPriority w:val="0"/>
    <w:pPr>
      <w:ind w:left="360" w:hanging="360"/>
      <w:jc w:val="center"/>
    </w:pPr>
    <w:rPr>
      <w:rFonts w:ascii="黑体" w:hAnsi="Times New Roman" w:eastAsia="黑体" w:cs="Times New Roman"/>
      <w:sz w:val="21"/>
      <w:lang w:val="en-US" w:eastAsia="zh-CN" w:bidi="ar-SA"/>
    </w:rPr>
  </w:style>
  <w:style w:type="paragraph" w:customStyle="1" w:styleId="130">
    <w:name w:val="_Style 2"/>
    <w:basedOn w:val="1"/>
    <w:qFormat/>
    <w:uiPriority w:val="0"/>
    <w:pPr>
      <w:widowControl/>
      <w:ind w:firstLine="420" w:firstLineChars="200"/>
      <w:jc w:val="left"/>
    </w:pPr>
    <w:rPr>
      <w:rFonts w:ascii="Calibri" w:hAnsi="Calibri"/>
      <w:sz w:val="24"/>
    </w:rPr>
  </w:style>
  <w:style w:type="paragraph" w:customStyle="1" w:styleId="131">
    <w:name w:val="正文表标题"/>
    <w:next w:val="65"/>
    <w:qFormat/>
    <w:uiPriority w:val="0"/>
    <w:pPr>
      <w:ind w:left="360" w:hanging="360"/>
      <w:jc w:val="center"/>
    </w:pPr>
    <w:rPr>
      <w:rFonts w:ascii="黑体" w:hAnsi="Times New Roman" w:eastAsia="黑体" w:cs="Times New Roman"/>
      <w:sz w:val="21"/>
      <w:lang w:val="en-US" w:eastAsia="zh-CN" w:bidi="ar-SA"/>
    </w:rPr>
  </w:style>
  <w:style w:type="paragraph" w:customStyle="1" w:styleId="132">
    <w:name w:val="Char1"/>
    <w:basedOn w:val="10"/>
    <w:qFormat/>
    <w:uiPriority w:val="0"/>
    <w:pPr>
      <w:shd w:val="clear" w:color="auto" w:fill="000080"/>
    </w:pPr>
    <w:rPr>
      <w:rFonts w:ascii="Times New Roman" w:eastAsia="宋体"/>
      <w:sz w:val="21"/>
      <w:szCs w:val="20"/>
      <w:shd w:val="clear" w:color="auto" w:fill="000080"/>
    </w:rPr>
  </w:style>
  <w:style w:type="paragraph" w:customStyle="1" w:styleId="133">
    <w:name w:val="列出段落1"/>
    <w:basedOn w:val="1"/>
    <w:qFormat/>
    <w:uiPriority w:val="34"/>
    <w:pPr>
      <w:ind w:firstLine="420" w:firstLineChars="200"/>
    </w:pPr>
    <w:rPr>
      <w:rFonts w:ascii="Calibri" w:hAnsi="Calibri" w:cs="黑体"/>
      <w:szCs w:val="22"/>
    </w:rPr>
  </w:style>
  <w:style w:type="paragraph" w:customStyle="1" w:styleId="134">
    <w:name w:val="Table Text"/>
    <w:basedOn w:val="1"/>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135">
    <w:name w:val="样式1"/>
    <w:basedOn w:val="1"/>
    <w:qFormat/>
    <w:uiPriority w:val="0"/>
    <w:rPr>
      <w:rFonts w:eastAsia="仿宋_GB2312"/>
      <w:kern w:val="0"/>
      <w:sz w:val="32"/>
      <w:szCs w:val="20"/>
    </w:rPr>
  </w:style>
  <w:style w:type="paragraph" w:customStyle="1" w:styleId="136">
    <w:name w:val="目次、标准名称标题"/>
    <w:basedOn w:val="1"/>
    <w:next w:val="65"/>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7">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12685</Words>
  <Characters>13325</Characters>
  <Lines>264</Lines>
  <Paragraphs>74</Paragraphs>
  <TotalTime>5</TotalTime>
  <ScaleCrop>false</ScaleCrop>
  <LinksUpToDate>false</LinksUpToDate>
  <CharactersWithSpaces>13615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2021-05-19T08:59:00Z</dcterms:created>
  <dc:creator>李青</dc:creator>
  <cp:lastModifiedBy>阿司匹林</cp:lastModifiedBy>
  <cp:lastPrinted>2017-06-30T02:55:00Z</cp:lastPrinted>
  <dcterms:modified xsi:type="dcterms:W3CDTF">2025-10-10T02:08:07Z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6F2C457591BC422286D4617D74F74B34_13</vt:lpwstr>
  </property>
  <property fmtid="{D5CDD505-2E9C-101B-9397-08002B2CF9AE}" pid="4" name="KSOTemplateDocerSaveRecord">
    <vt:lpwstr>eyJoZGlkIjoiZmI1MWYxY2RhYjE4NDJlY2QxNGFmZWJhNTcwZDI3OWUiLCJ1c2VySWQiOiIzMjIzNjAwMjQifQ==</vt:lpwstr>
  </property>
</Properties>
</file>