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spacing w:line="262" w:lineRule="auto"/>
        <w:rPr>
          <w:rFonts w:ascii="Arial"/>
          <w:sz w:val="21"/>
        </w:rPr>
      </w:pPr>
      <w:r/>
    </w:p>
    <w:p>
      <w:pPr>
        <w:ind w:left="371"/>
        <w:spacing w:before="332" w:line="219" w:lineRule="auto"/>
        <w:outlineLvl w:val="0"/>
        <w:rPr>
          <w:rFonts w:ascii="SimSun" w:hAnsi="SimSun" w:eastAsia="SimSun" w:cs="SimSun"/>
          <w:sz w:val="102"/>
          <w:szCs w:val="102"/>
        </w:rPr>
      </w:pPr>
      <w:r>
        <w:rPr>
          <w:rFonts w:ascii="SimSun" w:hAnsi="SimSun" w:eastAsia="SimSun" w:cs="SimSun"/>
          <w:sz w:val="102"/>
          <w:szCs w:val="102"/>
          <w:b/>
          <w:bCs/>
          <w:color w:val="F02010"/>
          <w:spacing w:val="-80"/>
          <w:w w:val="90"/>
        </w:rPr>
        <w:t>湟源</w:t>
      </w:r>
      <w:r>
        <w:rPr>
          <w:rFonts w:ascii="SimSun" w:hAnsi="SimSun" w:eastAsia="SimSun" w:cs="SimSun"/>
          <w:sz w:val="102"/>
          <w:szCs w:val="102"/>
          <w:b/>
          <w:bCs/>
          <w:color w:val="E03010"/>
          <w:spacing w:val="-80"/>
          <w:w w:val="90"/>
        </w:rPr>
        <w:t>县发展和改革局文件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3760"/>
        <w:spacing w:before="111" w:line="223" w:lineRule="auto"/>
        <w:rPr>
          <w:sz w:val="34"/>
          <w:szCs w:val="34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253304</wp:posOffset>
            </wp:positionV>
            <wp:extent cx="6299249" cy="38068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9249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4"/>
          <w:szCs w:val="34"/>
          <w:spacing w:val="-15"/>
        </w:rPr>
        <w:t>源发改〔2025〕209号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ind w:left="1946" w:right="1049" w:hanging="860"/>
        <w:spacing w:before="153" w:line="220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43"/>
        </w:rPr>
        <w:t>关于西宁市湟源县东西大街老旧街区改造</w:t>
      </w:r>
      <w:r>
        <w:rPr>
          <w:rFonts w:ascii="SimSun" w:hAnsi="SimSun" w:eastAsia="SimSun" w:cs="SimSun"/>
          <w:sz w:val="47"/>
          <w:szCs w:val="47"/>
          <w:spacing w:val="8"/>
        </w:rPr>
        <w:t xml:space="preserve"> </w:t>
      </w:r>
      <w:r>
        <w:rPr>
          <w:rFonts w:ascii="SimSun" w:hAnsi="SimSun" w:eastAsia="SimSun" w:cs="SimSun"/>
          <w:sz w:val="47"/>
          <w:szCs w:val="47"/>
          <w:b/>
          <w:bCs/>
          <w:spacing w:val="-41"/>
        </w:rPr>
        <w:t>提升项目可行性研究报告的批复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649"/>
        <w:spacing w:before="104" w:line="222" w:lineRule="auto"/>
        <w:rPr/>
      </w:pPr>
      <w:r>
        <w:rPr>
          <w:spacing w:val="-12"/>
        </w:rPr>
        <w:t>县住房和城乡建设局：</w:t>
      </w:r>
    </w:p>
    <w:p>
      <w:pPr>
        <w:pStyle w:val="BodyText"/>
        <w:ind w:left="649" w:right="587" w:firstLine="609"/>
        <w:spacing w:before="194" w:line="345" w:lineRule="auto"/>
        <w:jc w:val="both"/>
        <w:rPr>
          <w:sz w:val="28"/>
          <w:szCs w:val="28"/>
        </w:rPr>
      </w:pPr>
      <w:r>
        <w:rPr>
          <w:spacing w:val="-10"/>
        </w:rPr>
        <w:t>你局《关于申请西宁市湟源县东西大街老旧街区改造提升项</w:t>
      </w:r>
      <w:r>
        <w:rPr>
          <w:spacing w:val="12"/>
        </w:rPr>
        <w:t xml:space="preserve"> </w:t>
      </w:r>
      <w:r>
        <w:rPr>
          <w:spacing w:val="-4"/>
        </w:rPr>
        <w:t>目可行性研究报告批复的函》(源住建〔2025〕146号)收悉，现</w:t>
      </w:r>
      <w:r>
        <w:rPr>
          <w:spacing w:val="9"/>
        </w:rPr>
        <w:t xml:space="preserve"> </w:t>
      </w:r>
      <w:r>
        <w:rPr>
          <w:sz w:val="28"/>
          <w:szCs w:val="28"/>
          <w:spacing w:val="14"/>
        </w:rPr>
        <w:t>将有关内容批复如下：</w:t>
      </w:r>
    </w:p>
    <w:p>
      <w:pPr>
        <w:ind w:left="1264"/>
        <w:spacing w:before="1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9"/>
        </w:rPr>
        <w:t>一、项目名称</w:t>
      </w:r>
    </w:p>
    <w:p>
      <w:pPr>
        <w:pStyle w:val="BodyText"/>
        <w:ind w:left="1259"/>
        <w:spacing w:before="230" w:line="222" w:lineRule="auto"/>
        <w:rPr>
          <w:sz w:val="31"/>
          <w:szCs w:val="31"/>
        </w:rPr>
      </w:pPr>
      <w:r>
        <w:rPr>
          <w:sz w:val="31"/>
          <w:szCs w:val="31"/>
          <w:spacing w:val="3"/>
        </w:rPr>
        <w:t>西宁市湟源县东西大街老旧街区改造提升项目</w:t>
      </w:r>
    </w:p>
    <w:p>
      <w:pPr>
        <w:ind w:left="1264"/>
        <w:spacing w:before="193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9"/>
        </w:rPr>
        <w:t>二、建设内容</w:t>
      </w:r>
    </w:p>
    <w:p>
      <w:pPr>
        <w:pStyle w:val="BodyText"/>
        <w:ind w:left="649" w:right="577" w:firstLine="609"/>
        <w:spacing w:before="220" w:line="335" w:lineRule="auto"/>
        <w:jc w:val="both"/>
        <w:rPr/>
      </w:pPr>
      <w:r>
        <w:rPr>
          <w:spacing w:val="2"/>
        </w:rPr>
        <w:t>东西大街人行道铺装面积23620</w:t>
      </w:r>
      <w:r>
        <w:rPr>
          <w:spacing w:val="2"/>
        </w:rPr>
        <w:t xml:space="preserve"> </w:t>
      </w:r>
      <w:r>
        <w:rPr>
          <w:rFonts w:ascii="SimSun" w:hAnsi="SimSun" w:eastAsia="SimSun" w:cs="SimSun"/>
          <w:spacing w:val="2"/>
        </w:rPr>
        <w:t>m²、</w:t>
      </w:r>
      <w:r>
        <w:rPr>
          <w:spacing w:val="2"/>
        </w:rPr>
        <w:t>配套服务设施</w:t>
      </w:r>
      <w:r>
        <w:rPr>
          <w:spacing w:val="1"/>
        </w:rPr>
        <w:t>垃圾箱</w:t>
      </w:r>
      <w:r>
        <w:rPr/>
        <w:t xml:space="preserve"> </w:t>
      </w:r>
      <w:r>
        <w:rPr>
          <w:spacing w:val="12"/>
        </w:rPr>
        <w:t>44组；坐凳40个；树穴盖板880个；人行道井盖275个；车挡</w:t>
      </w:r>
      <w:r>
        <w:rPr/>
        <w:t xml:space="preserve"> </w:t>
      </w:r>
      <w:r>
        <w:rPr>
          <w:spacing w:val="1"/>
        </w:rPr>
        <w:t>150个、城市导视设施主次干道路名标识8个；支巷路名标识17</w:t>
      </w:r>
      <w:r>
        <w:rPr>
          <w:spacing w:val="8"/>
        </w:rPr>
        <w:t xml:space="preserve"> </w:t>
      </w:r>
      <w:r>
        <w:rPr>
          <w:spacing w:val="1"/>
        </w:rPr>
        <w:t>个；停车场指示标识2个；停车场收费标准标识2个；卫生间指</w:t>
      </w:r>
      <w:r>
        <w:rPr>
          <w:spacing w:val="17"/>
        </w:rPr>
        <w:t xml:space="preserve"> </w:t>
      </w:r>
      <w:r>
        <w:rPr>
          <w:spacing w:val="18"/>
        </w:rPr>
        <w:t>示标识2个；体育场指示标识1个；全域旅游道路</w:t>
      </w:r>
      <w:r>
        <w:rPr>
          <w:rFonts w:ascii="SimSun" w:hAnsi="SimSun" w:eastAsia="SimSun" w:cs="SimSun"/>
          <w:spacing w:val="18"/>
        </w:rPr>
        <w:t>A </w:t>
      </w:r>
      <w:r>
        <w:rPr>
          <w:spacing w:val="18"/>
        </w:rPr>
        <w:t>级指引2</w:t>
      </w:r>
    </w:p>
    <w:p>
      <w:pPr>
        <w:spacing w:line="335" w:lineRule="auto"/>
        <w:sectPr>
          <w:pgSz w:w="11900" w:h="16840"/>
          <w:pgMar w:top="1431" w:right="1039" w:bottom="0" w:left="939" w:header="0" w:footer="0" w:gutter="0"/>
        </w:sectPr>
        <w:rPr/>
      </w:pPr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94" w:right="161"/>
        <w:spacing w:before="101" w:line="349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sz w:val="31"/>
          <w:szCs w:val="31"/>
          <w:spacing w:val="18"/>
        </w:rPr>
        <w:t>个；全域旅游道路</w:t>
      </w:r>
      <w:r>
        <w:rPr>
          <w:rFonts w:ascii="SimSun" w:hAnsi="SimSun" w:eastAsia="SimSun" w:cs="SimSun"/>
          <w:sz w:val="31"/>
          <w:szCs w:val="31"/>
          <w:spacing w:val="18"/>
        </w:rPr>
        <w:t>B </w:t>
      </w:r>
      <w:r>
        <w:rPr>
          <w:sz w:val="31"/>
          <w:szCs w:val="31"/>
          <w:spacing w:val="18"/>
        </w:rPr>
        <w:t>级指引5个、10</w:t>
      </w:r>
      <w:r>
        <w:rPr>
          <w:rFonts w:ascii="SimSun" w:hAnsi="SimSun" w:eastAsia="SimSun" w:cs="SimSun"/>
          <w:sz w:val="31"/>
          <w:szCs w:val="31"/>
        </w:rPr>
        <w:t>kv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18"/>
        </w:rPr>
        <w:t>电网改造工程的土建部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27"/>
        </w:rPr>
        <w:t>分新建环网单元基础井14座，新建欧式箱变</w:t>
      </w:r>
      <w:r>
        <w:rPr>
          <w:sz w:val="31"/>
          <w:szCs w:val="31"/>
          <w:spacing w:val="26"/>
        </w:rPr>
        <w:t>基础井7座，电缆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26"/>
        </w:rPr>
        <w:t>分线井59座，电缆埋管1138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>m,   </w:t>
      </w:r>
      <w:r>
        <w:rPr>
          <w:sz w:val="31"/>
          <w:szCs w:val="31"/>
          <w:spacing w:val="26"/>
        </w:rPr>
        <w:t>电缆排管(12孔)1797</w:t>
      </w:r>
      <w:r>
        <w:rPr>
          <w:rFonts w:ascii="Times New Roman" w:hAnsi="Times New Roman" w:eastAsia="Times New Roman" w:cs="Times New Roman"/>
          <w:sz w:val="31"/>
          <w:szCs w:val="31"/>
          <w:spacing w:val="26"/>
        </w:rPr>
        <w:t>m,   </w:t>
      </w:r>
      <w:r>
        <w:rPr>
          <w:sz w:val="31"/>
          <w:szCs w:val="31"/>
          <w:spacing w:val="26"/>
        </w:rPr>
        <w:t>电</w:t>
      </w:r>
      <w:r>
        <w:rPr>
          <w:sz w:val="31"/>
          <w:szCs w:val="31"/>
          <w:spacing w:val="18"/>
        </w:rPr>
        <w:t xml:space="preserve"> </w:t>
      </w:r>
      <w:r>
        <w:rPr>
          <w:sz w:val="31"/>
          <w:szCs w:val="31"/>
          <w:spacing w:val="38"/>
        </w:rPr>
        <w:t>缆排管(4孔)497</w:t>
      </w:r>
      <w:r>
        <w:rPr>
          <w:rFonts w:ascii="Times New Roman" w:hAnsi="Times New Roman" w:eastAsia="Times New Roman" w:cs="Times New Roman"/>
          <w:sz w:val="31"/>
          <w:szCs w:val="31"/>
          <w:spacing w:val="38"/>
        </w:rPr>
        <w:t>m</w:t>
      </w:r>
      <w:r>
        <w:rPr>
          <w:rFonts w:ascii="SimSun" w:hAnsi="SimSun" w:eastAsia="SimSun" w:cs="SimSun"/>
          <w:sz w:val="31"/>
          <w:szCs w:val="31"/>
          <w:spacing w:val="38"/>
        </w:rPr>
        <w:t>。</w:t>
      </w:r>
    </w:p>
    <w:p>
      <w:pPr>
        <w:ind w:left="719"/>
        <w:spacing w:before="1" w:line="220" w:lineRule="auto"/>
        <w:outlineLvl w:val="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三、项目总投资及资金来源</w:t>
      </w:r>
    </w:p>
    <w:p>
      <w:pPr>
        <w:ind w:left="714"/>
        <w:spacing w:before="210" w:line="213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2"/>
        </w:rPr>
        <w:t>项目总投资2800</w:t>
      </w:r>
      <w:r>
        <w:rPr>
          <w:rFonts w:ascii="SimHei" w:hAnsi="SimHei" w:eastAsia="SimHei" w:cs="SimHei"/>
          <w:sz w:val="31"/>
          <w:szCs w:val="31"/>
          <w:spacing w:val="12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2"/>
        </w:rPr>
        <w:t>万元，资金来源为县级自筹资金。</w:t>
      </w:r>
    </w:p>
    <w:p>
      <w:pPr>
        <w:ind w:left="714"/>
        <w:spacing w:before="235" w:line="22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四、监管单位及责任人</w:t>
      </w:r>
    </w:p>
    <w:p>
      <w:pPr>
        <w:spacing w:line="210" w:lineRule="exact"/>
        <w:rPr/>
      </w:pPr>
      <w:r/>
    </w:p>
    <w:tbl>
      <w:tblPr>
        <w:tblStyle w:val="TableNormal"/>
        <w:tblW w:w="5849" w:type="dxa"/>
        <w:tblInd w:w="714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80"/>
        <w:gridCol w:w="1569"/>
      </w:tblGrid>
      <w:tr>
        <w:trPr>
          <w:trHeight w:val="457" w:hRule="atLeast"/>
        </w:trPr>
        <w:tc>
          <w:tcPr>
            <w:tcW w:w="4280" w:type="dxa"/>
            <w:vAlign w:val="top"/>
          </w:tcPr>
          <w:p>
            <w:pPr>
              <w:spacing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湟源县财政局</w:t>
            </w:r>
          </w:p>
        </w:tc>
        <w:tc>
          <w:tcPr>
            <w:tcW w:w="1569" w:type="dxa"/>
            <w:vAlign w:val="top"/>
          </w:tcPr>
          <w:p>
            <w:pPr>
              <w:ind w:right="28"/>
              <w:spacing w:before="10" w:line="223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3"/>
              </w:rPr>
              <w:t>张</w:t>
            </w: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13"/>
              </w:rPr>
              <w:t>斌</w:t>
            </w:r>
          </w:p>
        </w:tc>
      </w:tr>
      <w:tr>
        <w:trPr>
          <w:trHeight w:val="588" w:hRule="atLeast"/>
        </w:trPr>
        <w:tc>
          <w:tcPr>
            <w:tcW w:w="4280" w:type="dxa"/>
            <w:vAlign w:val="top"/>
          </w:tcPr>
          <w:p>
            <w:pPr>
              <w:spacing w:before="142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湟源县发展和改革局</w:t>
            </w:r>
          </w:p>
        </w:tc>
        <w:tc>
          <w:tcPr>
            <w:tcW w:w="1569" w:type="dxa"/>
            <w:vAlign w:val="top"/>
          </w:tcPr>
          <w:p>
            <w:pPr>
              <w:spacing w:before="129" w:line="222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40"/>
              </w:rPr>
              <w:t>杨</w:t>
            </w:r>
            <w:r>
              <w:rPr>
                <w:rFonts w:ascii="FangSong" w:hAnsi="FangSong" w:eastAsia="FangSong" w:cs="FangSong"/>
                <w:sz w:val="31"/>
                <w:szCs w:val="31"/>
                <w:spacing w:val="26"/>
              </w:rPr>
              <w:t xml:space="preserve">  </w:t>
            </w:r>
            <w:r>
              <w:rPr>
                <w:rFonts w:ascii="FangSong" w:hAnsi="FangSong" w:eastAsia="FangSong" w:cs="FangSong"/>
                <w:sz w:val="31"/>
                <w:szCs w:val="31"/>
                <w:spacing w:val="-20"/>
              </w:rPr>
              <w:t>凯</w:t>
            </w:r>
          </w:p>
        </w:tc>
      </w:tr>
      <w:tr>
        <w:trPr>
          <w:trHeight w:val="1196" w:hRule="atLeast"/>
        </w:trPr>
        <w:tc>
          <w:tcPr>
            <w:tcW w:w="4280" w:type="dxa"/>
            <w:vAlign w:val="top"/>
          </w:tcPr>
          <w:p>
            <w:pPr>
              <w:ind w:left="4"/>
              <w:spacing w:before="129" w:line="22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b/>
                <w:bCs/>
                <w:spacing w:val="8"/>
              </w:rPr>
              <w:t>五、建设单位及责任人</w:t>
            </w:r>
          </w:p>
          <w:p>
            <w:pPr>
              <w:spacing w:before="24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9"/>
              </w:rPr>
              <w:t>湟源县住房和城乡建设局</w:t>
            </w:r>
          </w:p>
        </w:tc>
        <w:tc>
          <w:tcPr>
            <w:tcW w:w="1569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before="101" w:line="222" w:lineRule="auto"/>
              <w:jc w:val="right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王希瑞</w:t>
            </w:r>
          </w:p>
        </w:tc>
      </w:tr>
      <w:tr>
        <w:trPr>
          <w:trHeight w:val="2820" w:hRule="atLeast"/>
        </w:trPr>
        <w:tc>
          <w:tcPr>
            <w:tcW w:w="4280" w:type="dxa"/>
            <w:vAlign w:val="top"/>
          </w:tcPr>
          <w:p>
            <w:pPr>
              <w:ind w:left="4"/>
              <w:spacing w:before="133" w:line="222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b/>
                <w:bCs/>
                <w:spacing w:val="2"/>
              </w:rPr>
              <w:t>六、建设地点</w:t>
            </w:r>
          </w:p>
          <w:p>
            <w:pPr>
              <w:spacing w:before="242" w:line="223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湟源县城关镇</w:t>
            </w:r>
          </w:p>
          <w:p>
            <w:pPr>
              <w:ind w:left="4"/>
              <w:spacing w:before="210" w:line="222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b/>
                <w:bCs/>
                <w:spacing w:val="-2"/>
              </w:rPr>
              <w:t>七、实施期限</w:t>
            </w:r>
          </w:p>
          <w:p>
            <w:pPr>
              <w:spacing w:before="201" w:line="222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34"/>
              </w:rPr>
              <w:t>2025年9月-2026年10月</w:t>
            </w:r>
          </w:p>
          <w:p>
            <w:pPr>
              <w:ind w:left="4"/>
              <w:spacing w:before="225" w:line="181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b/>
                <w:bCs/>
                <w:spacing w:val="3"/>
              </w:rPr>
              <w:t>八、相关要求</w:t>
            </w:r>
          </w:p>
        </w:tc>
        <w:tc>
          <w:tcPr>
            <w:tcW w:w="15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94" w:right="166" w:firstLine="619"/>
        <w:spacing w:before="245" w:line="366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1、</w:t>
      </w:r>
      <w:r>
        <w:rPr>
          <w:sz w:val="31"/>
          <w:szCs w:val="31"/>
          <w:spacing w:val="16"/>
        </w:rPr>
        <w:t>工程设计、建设及运行需满足国家环保标准，采取有效</w:t>
      </w:r>
      <w:r>
        <w:rPr>
          <w:sz w:val="31"/>
          <w:szCs w:val="31"/>
          <w:spacing w:val="17"/>
        </w:rPr>
        <w:t xml:space="preserve"> </w:t>
      </w:r>
      <w:r>
        <w:rPr>
          <w:sz w:val="31"/>
          <w:szCs w:val="31"/>
          <w:spacing w:val="12"/>
        </w:rPr>
        <w:t>措施，降低能耗，提高效率，确保工程质量和安全。</w:t>
      </w:r>
    </w:p>
    <w:p>
      <w:pPr>
        <w:pStyle w:val="BodyText"/>
        <w:ind w:left="94" w:firstLine="619"/>
        <w:spacing w:before="2" w:line="32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1"/>
        </w:rPr>
        <w:t>2、</w:t>
      </w:r>
      <w:r>
        <w:rPr>
          <w:sz w:val="31"/>
          <w:szCs w:val="31"/>
          <w:spacing w:val="11"/>
        </w:rPr>
        <w:t>工程设备采购及建设施工需按《招标投</w:t>
      </w:r>
      <w:r>
        <w:rPr>
          <w:sz w:val="31"/>
          <w:szCs w:val="31"/>
          <w:spacing w:val="10"/>
        </w:rPr>
        <w:t>标法》规定执行。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15"/>
        </w:rPr>
        <w:t>工程造价以签订的合同为基础，以经审计的工程</w:t>
      </w:r>
      <w:r>
        <w:rPr>
          <w:sz w:val="31"/>
          <w:szCs w:val="31"/>
          <w:spacing w:val="14"/>
        </w:rPr>
        <w:t>财务决算为准，</w:t>
      </w:r>
      <w:r>
        <w:rPr>
          <w:sz w:val="31"/>
          <w:szCs w:val="31"/>
        </w:rPr>
        <w:t xml:space="preserve"> </w:t>
      </w:r>
      <w:r>
        <w:rPr>
          <w:sz w:val="31"/>
          <w:szCs w:val="31"/>
          <w:spacing w:val="7"/>
        </w:rPr>
        <w:t>并以此作为财务核算依据。</w:t>
      </w:r>
    </w:p>
    <w:p>
      <w:pPr>
        <w:pStyle w:val="BodyText"/>
        <w:ind w:left="94" w:right="48" w:firstLine="619"/>
        <w:spacing w:before="198" w:line="313" w:lineRule="auto"/>
        <w:rPr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1"/>
        </w:rPr>
        <w:t>3、</w:t>
      </w:r>
      <w:r>
        <w:rPr>
          <w:sz w:val="31"/>
          <w:szCs w:val="31"/>
          <w:spacing w:val="21"/>
        </w:rPr>
        <w:t>如对本批复文件所规定的有关内容进行调整，请及时以</w:t>
      </w:r>
      <w:r>
        <w:rPr>
          <w:sz w:val="31"/>
          <w:szCs w:val="31"/>
          <w:spacing w:val="4"/>
        </w:rPr>
        <w:t xml:space="preserve"> </w:t>
      </w:r>
      <w:r>
        <w:rPr>
          <w:sz w:val="31"/>
          <w:szCs w:val="31"/>
          <w:spacing w:val="13"/>
        </w:rPr>
        <w:t>书面形式向县发改局报告，并按照有关规定办理。</w:t>
      </w:r>
    </w:p>
    <w:p>
      <w:pPr>
        <w:spacing w:line="313" w:lineRule="auto"/>
        <w:sectPr>
          <w:pgSz w:w="11900" w:h="16840"/>
          <w:pgMar w:top="1431" w:right="894" w:bottom="0" w:left="1785" w:header="0" w:footer="0" w:gutter="0"/>
        </w:sectPr>
        <w:rPr>
          <w:sz w:val="31"/>
          <w:szCs w:val="31"/>
        </w:rPr>
      </w:pPr>
    </w:p>
    <w:p>
      <w:pPr>
        <w:spacing w:line="345" w:lineRule="auto"/>
        <w:rPr>
          <w:rFonts w:ascii="Arial"/>
          <w:sz w:val="21"/>
        </w:rPr>
      </w:pPr>
      <w:r/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right="356" w:firstLine="620"/>
        <w:spacing w:before="97" w:line="375" w:lineRule="auto"/>
        <w:jc w:val="both"/>
        <w:rPr>
          <w:sz w:val="24"/>
          <w:szCs w:val="24"/>
        </w:rPr>
      </w:pPr>
      <w:r>
        <w:rPr>
          <w:rFonts w:ascii="SimSun" w:hAnsi="SimSun" w:eastAsia="SimSun" w:cs="SimSun"/>
          <w:sz w:val="30"/>
          <w:szCs w:val="30"/>
          <w:spacing w:val="24"/>
        </w:rPr>
        <w:t>4、</w:t>
      </w:r>
      <w:r>
        <w:rPr>
          <w:sz w:val="30"/>
          <w:szCs w:val="30"/>
          <w:spacing w:val="24"/>
        </w:rPr>
        <w:t>本批复文件有效期限为2年，自发布之</w:t>
      </w:r>
      <w:r>
        <w:rPr>
          <w:sz w:val="30"/>
          <w:szCs w:val="30"/>
          <w:spacing w:val="23"/>
        </w:rPr>
        <w:t>日起计算。在批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23"/>
        </w:rPr>
        <w:t>复文件有效期内项目未开工建设的，应在批</w:t>
      </w:r>
      <w:r>
        <w:rPr>
          <w:sz w:val="30"/>
          <w:szCs w:val="30"/>
          <w:spacing w:val="22"/>
        </w:rPr>
        <w:t>复文件有效期满30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spacing w:val="9"/>
        </w:rPr>
        <w:t>日前向我局申请延期。项目在批复文件有效期内未开工建设也未</w:t>
      </w:r>
      <w:r>
        <w:rPr>
          <w:sz w:val="30"/>
          <w:szCs w:val="30"/>
          <w:spacing w:val="17"/>
        </w:rPr>
        <w:t xml:space="preserve"> </w:t>
      </w:r>
      <w:r>
        <w:rPr>
          <w:sz w:val="30"/>
          <w:szCs w:val="30"/>
          <w:spacing w:val="10"/>
        </w:rPr>
        <w:t>申请延期的，或虽提出延期申请但未获批准的，本批复文件</w:t>
      </w:r>
      <w:r>
        <w:rPr>
          <w:sz w:val="30"/>
          <w:szCs w:val="30"/>
          <w:spacing w:val="9"/>
        </w:rPr>
        <w:t>自动</w:t>
      </w:r>
      <w:r>
        <w:rPr>
          <w:sz w:val="30"/>
          <w:szCs w:val="30"/>
        </w:rPr>
        <w:t xml:space="preserve"> </w:t>
      </w:r>
      <w:r>
        <w:rPr>
          <w:sz w:val="24"/>
          <w:szCs w:val="24"/>
          <w:spacing w:val="-14"/>
        </w:rPr>
        <w:t>失</w:t>
      </w:r>
      <w:r>
        <w:rPr>
          <w:sz w:val="24"/>
          <w:szCs w:val="24"/>
          <w:spacing w:val="-23"/>
        </w:rPr>
        <w:t xml:space="preserve"> </w:t>
      </w:r>
      <w:r>
        <w:rPr>
          <w:sz w:val="24"/>
          <w:szCs w:val="24"/>
          <w:spacing w:val="-14"/>
        </w:rPr>
        <w:t>效</w:t>
      </w:r>
      <w:r>
        <w:rPr>
          <w:sz w:val="24"/>
          <w:szCs w:val="24"/>
          <w:spacing w:val="-44"/>
        </w:rPr>
        <w:t xml:space="preserve"> </w:t>
      </w:r>
      <w:r>
        <w:rPr>
          <w:sz w:val="24"/>
          <w:szCs w:val="24"/>
          <w:spacing w:val="-14"/>
        </w:rPr>
        <w:t>。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4840"/>
        <w:spacing w:before="97" w:line="222" w:lineRule="auto"/>
        <w:rPr>
          <w:sz w:val="30"/>
          <w:szCs w:val="3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3175014</wp:posOffset>
            </wp:positionH>
            <wp:positionV relativeFrom="paragraph">
              <wp:posOffset>-547463</wp:posOffset>
            </wp:positionV>
            <wp:extent cx="1384350" cy="1409710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84350" cy="140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spacing w:val="6"/>
        </w:rPr>
        <w:t>湟源县发展和改革局</w:t>
      </w:r>
    </w:p>
    <w:p>
      <w:pPr>
        <w:pStyle w:val="BodyText"/>
        <w:ind w:left="5150"/>
        <w:spacing w:before="219" w:line="222" w:lineRule="auto"/>
        <w:rPr>
          <w:sz w:val="30"/>
          <w:szCs w:val="30"/>
        </w:rPr>
      </w:pPr>
      <w:r>
        <w:rPr>
          <w:sz w:val="30"/>
          <w:szCs w:val="30"/>
          <w:spacing w:val="46"/>
        </w:rPr>
        <w:t>2025年9月5日</w:t>
      </w:r>
    </w:p>
    <w:p>
      <w:pPr>
        <w:spacing w:line="222" w:lineRule="auto"/>
        <w:sectPr>
          <w:pgSz w:w="11900" w:h="16840"/>
          <w:pgMar w:top="1431" w:right="1785" w:bottom="0" w:left="1019" w:header="0" w:footer="0" w:gutter="0"/>
        </w:sectPr>
        <w:rPr>
          <w:sz w:val="30"/>
          <w:szCs w:val="30"/>
        </w:rPr>
      </w:pP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before="65" w:line="241" w:lineRule="auto"/>
        <w:jc w:val="right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1"/>
        </w:rPr>
        <w:t>i</w:t>
      </w:r>
    </w:p>
    <w:p>
      <w:pPr>
        <w:spacing w:before="235" w:line="237" w:lineRule="auto"/>
        <w:jc w:val="right"/>
        <w:rPr>
          <w:rFonts w:ascii="SimSun" w:hAnsi="SimSun" w:eastAsia="SimSun" w:cs="SimSun"/>
          <w:sz w:val="11"/>
          <w:szCs w:val="11"/>
        </w:rPr>
      </w:pPr>
      <w:r>
        <w:rPr>
          <w:rFonts w:ascii="SimSun" w:hAnsi="SimSun" w:eastAsia="SimSun" w:cs="SimSun"/>
          <w:sz w:val="11"/>
          <w:szCs w:val="11"/>
          <w:spacing w:val="-22"/>
        </w:rPr>
        <w:t>口</w:t>
      </w:r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7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p>
      <w:pPr>
        <w:spacing w:before="6"/>
        <w:rPr/>
      </w:pPr>
      <w:r/>
    </w:p>
    <w:tbl>
      <w:tblPr>
        <w:tblStyle w:val="TableNormal"/>
        <w:tblW w:w="8719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8719"/>
      </w:tblGrid>
      <w:tr>
        <w:trPr>
          <w:trHeight w:val="599" w:hRule="atLeast"/>
        </w:trPr>
        <w:tc>
          <w:tcPr>
            <w:tcW w:w="8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9"/>
              <w:spacing w:before="167" w:line="219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</w:rPr>
              <w:t>抄送：县财政局、县自然资源和林业草原局、县生态环境局。</w:t>
            </w:r>
          </w:p>
        </w:tc>
      </w:tr>
      <w:tr>
        <w:trPr>
          <w:trHeight w:val="480" w:hRule="atLeast"/>
        </w:trPr>
        <w:tc>
          <w:tcPr>
            <w:tcW w:w="8719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9"/>
              <w:spacing w:before="117" w:line="218" w:lineRule="auto"/>
              <w:rPr>
                <w:rFonts w:ascii="SimSun" w:hAnsi="SimSun" w:eastAsia="SimSun" w:cs="SimSun"/>
                <w:sz w:val="29"/>
                <w:szCs w:val="29"/>
              </w:rPr>
            </w:pPr>
            <w:r>
              <w:rPr>
                <w:rFonts w:ascii="SimSun" w:hAnsi="SimSun" w:eastAsia="SimSun" w:cs="SimSun"/>
                <w:sz w:val="29"/>
                <w:szCs w:val="29"/>
                <w:spacing w:val="2"/>
                <w:position w:val="-1"/>
              </w:rPr>
              <w:t>湟源县发展和改革局</w:t>
            </w:r>
            <w:r>
              <w:rPr>
                <w:rFonts w:ascii="SimSun" w:hAnsi="SimSun" w:eastAsia="SimSun" w:cs="SimSun"/>
                <w:sz w:val="29"/>
                <w:szCs w:val="29"/>
                <w:spacing w:val="1"/>
                <w:position w:val="-1"/>
              </w:rPr>
              <w:t xml:space="preserve">                         </w:t>
            </w:r>
            <w:r>
              <w:rPr>
                <w:rFonts w:ascii="SimSun" w:hAnsi="SimSun" w:eastAsia="SimSun" w:cs="SimSun"/>
                <w:sz w:val="29"/>
                <w:szCs w:val="29"/>
                <w:spacing w:val="2"/>
              </w:rPr>
              <w:t>2025年9月5日印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40"/>
      <w:pgMar w:top="1431" w:right="791" w:bottom="0" w:left="165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2025-10-21T11:44:14Z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2025-10-21T11:44:14</vt:filetime>
  </property>
  <property fmtid="{D5CDD505-2E9C-101B-9397-08002B2CF9AE}" pid="4" name="UsrData">
    <vt:lpwstr>68f7018b5f2ab6001f6e6cf7wl</vt:lpwstr>
  </property>
</Properties>
</file>