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beforeLines="0" w:afterLines="0"/>
        <w:jc w:val="left"/>
        <w:rPr>
          <w:rFonts w:hint="eastAsia" w:ascii="黑体" w:hAnsi="黑体" w:eastAsia="黑体" w:cs="黑体"/>
          <w:b/>
          <w:color w:val="auto"/>
          <w:kern w:val="2"/>
          <w:sz w:val="24"/>
          <w:szCs w:val="24"/>
          <w:highlight w:val="none"/>
          <w:lang w:val="en-US" w:eastAsia="zh-CN" w:bidi="ar-SA"/>
        </w:rPr>
      </w:pPr>
      <w:bookmarkStart w:id="0" w:name="_GoBack"/>
      <w:bookmarkEnd w:id="0"/>
      <w:r>
        <w:rPr>
          <w:rFonts w:hint="eastAsia" w:ascii="黑体" w:hAnsi="黑体" w:eastAsia="黑体" w:cs="黑体"/>
          <w:b/>
          <w:color w:val="auto"/>
          <w:kern w:val="2"/>
          <w:sz w:val="24"/>
          <w:szCs w:val="24"/>
          <w:highlight w:val="none"/>
          <w:lang w:val="en-US" w:eastAsia="zh-CN" w:bidi="ar-SA"/>
        </w:rPr>
        <w:t>招标公告附件</w:t>
      </w:r>
    </w:p>
    <w:p>
      <w:pPr>
        <w:widowControl w:val="0"/>
        <w:autoSpaceDE w:val="0"/>
        <w:autoSpaceDN w:val="0"/>
        <w:spacing w:beforeLines="0" w:afterLines="0"/>
        <w:jc w:val="left"/>
        <w:rPr>
          <w:rFonts w:hint="eastAsia" w:ascii="黑体" w:hAnsi="黑体" w:eastAsia="黑体" w:cs="黑体"/>
          <w:b/>
          <w:color w:val="auto"/>
          <w:kern w:val="2"/>
          <w:sz w:val="24"/>
          <w:szCs w:val="24"/>
          <w:highlight w:val="none"/>
          <w:lang w:val="en-US" w:eastAsia="zh-CN" w:bidi="ar-SA"/>
        </w:rPr>
      </w:pPr>
      <w:r>
        <w:rPr>
          <w:rFonts w:hint="eastAsia" w:ascii="黑体" w:hAnsi="黑体" w:eastAsia="黑体" w:cs="黑体"/>
          <w:b/>
          <w:color w:val="auto"/>
          <w:kern w:val="2"/>
          <w:sz w:val="24"/>
          <w:szCs w:val="24"/>
          <w:highlight w:val="none"/>
          <w:lang w:val="en-US" w:eastAsia="zh-CN" w:bidi="ar-SA"/>
        </w:rPr>
        <w:t>附件1：专用资质业绩要求</w:t>
      </w:r>
    </w:p>
    <w:p>
      <w:pPr>
        <w:widowControl w:val="0"/>
        <w:adjustRightInd w:val="0"/>
        <w:snapToGrid w:val="0"/>
        <w:spacing w:beforeLines="0" w:afterLines="0"/>
        <w:jc w:val="both"/>
        <w:outlineLvl w:val="0"/>
        <w:rPr>
          <w:rFonts w:hint="eastAsia" w:ascii="黑体" w:hAnsi="Calibri" w:eastAsia="黑体" w:cs="Times New Roman"/>
          <w:b/>
          <w:color w:val="auto"/>
          <w:kern w:val="2"/>
          <w:sz w:val="24"/>
          <w:szCs w:val="24"/>
          <w:highlight w:val="none"/>
          <w:lang w:val="en-US" w:eastAsia="zh-CN" w:bidi="ar-SA"/>
        </w:rPr>
      </w:pPr>
    </w:p>
    <w:tbl>
      <w:tblPr>
        <w:tblStyle w:val="14"/>
        <w:tblW w:w="139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61"/>
        <w:gridCol w:w="1540"/>
        <w:gridCol w:w="2050"/>
        <w:gridCol w:w="2830"/>
        <w:gridCol w:w="1955"/>
        <w:gridCol w:w="2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tblHeader/>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适用标包</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小类</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业绩要求（不少于）</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试验报告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生产设备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0"/>
                <w:szCs w:val="20"/>
                <w:u w:val="none"/>
                <w:lang w:val="en-US" w:eastAsia="zh-CN" w:bidi="ar"/>
              </w:rPr>
              <w:t>试验设备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001矩形母线包1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矩形母线</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002变压器套管包1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变压器套管</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003电抗器套管包1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电抗器套管</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004断路器操动机构包1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断路器操动机构</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005变电在线监测装置包1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剩余电流监测系统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005变电在线监测装置包2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测温监测系统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005变电在线监测装置包3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油色谱监测系统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006图像在线监测装置包1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图像在线监测装置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007图像监视系统包1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图像监视系统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008电能质量在线监测装置包1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电能质量在线监测装置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009低压屏柜包1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空屏柜、端子箱、试验电源屏、试验电源屏</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010直流电源系统包1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直流电源系统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011一体化电源系统包1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一体化电源系统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val="0"/>
                <w:bCs/>
                <w:i w:val="0"/>
                <w:color w:val="000000"/>
                <w:kern w:val="0"/>
                <w:sz w:val="20"/>
                <w:szCs w:val="20"/>
                <w:u w:val="none"/>
                <w:lang w:val="en-US" w:eastAsia="zh-CN" w:bidi="ar"/>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val="0"/>
                <w:bCs/>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012电源监控系统包1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电源监控系统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012电源监控系统包2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电源监控系统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013直流-48V通信电源成套设备包1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直流-48V通信电源成套设备</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014辅助系统综合监控平台包1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智能变电站辅助系统综合监控平台</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015故障录波装置包1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故障录波装置、智能故障录波装置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016变电站在线智能巡视系统包1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变电站在线智能巡视系统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017测控及在线监测系统包1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智能变电站变压器油中溶解气体在线监测装置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017测控及在线监测系统包2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避雷器在线监测</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017测控及在线监测系统包3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二次状态在线监测</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018智能变电站电能量采集终端包1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智能变电站电能量采集终端</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提供国家认可第三方检验检测机构出具的型式试验报告或检验检测报告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019智能变电站时间同步系统包1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智能变电站时间同步系统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020集控站监控系统包1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集控站监控系统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021授时安全隔离装置包1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授时安全隔离装置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022电视会议外围成套设备包1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电视会议外围成套设备</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023通信设备包1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综合接入设备、数字程控交换系统、调度电话终端、交换系统网管、切换装置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024通信监控系统包1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通信监控系统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025电子安防系统包1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电子安防系统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026避雷针包1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避雷针</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027火灾报警系统包1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火灾报警系统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028消防系统包1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消防系统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029运行环境智能调控装置包1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运行环境智能调控装置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030运维自动化软件包1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运维自动化软件</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031空调包1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中央空调系统、分体柜式空调</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032铁塔防坠落导轨装置包1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铁塔防坠落导轨装置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近三年累计销售业绩不少于50万元。</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需提供国家认可的第三方检测机构出具的有效的型式试验报告或检测报告。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033轮式自行机械车包1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轮式自行机械车</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034引流线包1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引流线</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近三年同等电压等级及以上集成防护绝缘装置（引流线）产品销售业绩。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国家认可的第三方检测机构出具的有效的集成防护绝缘装置（引流线）的检验检测报告。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035互感器二次回路检测设备包1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互感器二次回路检测设备</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036电气仪器仪表包1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钳形电流表、数字式钳形功率表</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037红外热成像仪包1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红外热成像仪</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国家认可的第三方检测机构出具的有效的红外热成像仪的型式试验报告。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2、焊接类设备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3、包装类设备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1、黑体辐射源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2、高低温湿热老化箱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038光刻机包1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光刻机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039变电站预制仓包1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变电站预制仓</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040普通光缆包1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普通光缆</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041热缩绝缘带包1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热缩绝缘带</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042工业气体包1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工业气体SF6、工高纯氮、高纯空气、色谱标准气体</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043绝缘涂料包1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绝缘涂料</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近三年累计销售业绩不少于500万元。注：销售业绩必须提供招标文件所需证明材料。</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国家认可的第三方检测机构出具的针对产品的有效的合格检测报告（必须包含外观、表干、实干、固物含量、固物密度、可燃性、介电强度）。</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044洗地机包1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洗地机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045数码设备包1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数码摄像机、数码照相机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sectPr>
      <w:headerReference r:id="rId3" w:type="default"/>
      <w:footerReference r:id="rId4" w:type="default"/>
      <w:pgSz w:w="16839" w:h="11907" w:orient="landscape"/>
      <w:pgMar w:top="1771" w:right="1502" w:bottom="1464" w:left="1026" w:header="594" w:footer="867" w:gutter="0"/>
      <w:pgNumType w:fmt="decimal"/>
      <w:cols w:equalWidth="0" w:num="1">
        <w:col w:w="8672"/>
      </w:cols>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jc w:val="center"/>
      <w:rPr>
        <w:rFonts w:hint="eastAsia" w:eastAsia="等线"/>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eastAsia="等线"/>
        <w:sz w:val="18"/>
        <w:szCs w:val="18"/>
      </w:rPr>
      <w:t xml:space="preserve">     </w:t>
    </w:r>
  </w:p>
  <w:p>
    <w:pPr>
      <w:pStyle w:val="12"/>
      <w:spacing w:beforeLines="0" w:afterLines="0"/>
      <w:rPr>
        <w:rFonts w:hint="default"/>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spacing w:beforeLines="0" w:afterLines="0"/>
      <w:ind w:firstLine="360"/>
      <w:rPr>
        <w:rFonts w:hint="default" w:eastAsia="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E01B9"/>
    <w:rsid w:val="1E2A353D"/>
    <w:rsid w:val="1EFE01B9"/>
    <w:rsid w:val="2FC86849"/>
    <w:rsid w:val="333D15FF"/>
    <w:rsid w:val="53253C04"/>
    <w:rsid w:val="545A4D26"/>
    <w:rsid w:val="585107A5"/>
    <w:rsid w:val="61076114"/>
    <w:rsid w:val="62341BD9"/>
    <w:rsid w:val="70EA7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7">
    <w:name w:val="heading 1"/>
    <w:basedOn w:val="1"/>
    <w:next w:val="1"/>
    <w:qFormat/>
    <w:uiPriority w:val="0"/>
    <w:pPr>
      <w:spacing w:before="100" w:beforeLines="0" w:beforeAutospacing="1" w:after="100" w:afterLines="0" w:afterAutospacing="1"/>
      <w:ind w:firstLine="0" w:firstLineChars="0"/>
      <w:jc w:val="center"/>
      <w:outlineLvl w:val="0"/>
    </w:pPr>
    <w:rPr>
      <w:rFonts w:ascii="方正小标宋_GBK" w:hAnsi="方正小标宋_GBK" w:eastAsia="方正黑体_GBK"/>
      <w:sz w:val="32"/>
      <w:szCs w:val="44"/>
    </w:rPr>
  </w:style>
  <w:style w:type="paragraph" w:styleId="8">
    <w:name w:val="heading 2"/>
    <w:basedOn w:val="1"/>
    <w:next w:val="1"/>
    <w:semiHidden/>
    <w:unhideWhenUsed/>
    <w:qFormat/>
    <w:uiPriority w:val="0"/>
    <w:pPr>
      <w:keepNext/>
      <w:keepLines/>
      <w:tabs>
        <w:tab w:val="left" w:pos="420"/>
      </w:tabs>
      <w:spacing w:beforeLines="0" w:after="66" w:afterLines="0" w:line="240" w:lineRule="auto"/>
      <w:outlineLvl w:val="1"/>
    </w:pPr>
    <w:rPr>
      <w:rFonts w:ascii="Cambria" w:hAnsi="Cambria"/>
      <w:b/>
      <w:bCs/>
      <w:szCs w:val="32"/>
    </w:rPr>
  </w:style>
  <w:style w:type="paragraph" w:styleId="9">
    <w:name w:val="heading 3"/>
    <w:basedOn w:val="1"/>
    <w:next w:val="1"/>
    <w:semiHidden/>
    <w:unhideWhenUsed/>
    <w:qFormat/>
    <w:uiPriority w:val="0"/>
    <w:pPr>
      <w:keepNext/>
      <w:keepLines/>
      <w:spacing w:beforeLines="0" w:beforeAutospacing="0" w:afterLines="0" w:afterAutospacing="0" w:line="240" w:lineRule="auto"/>
      <w:ind w:firstLine="0" w:firstLineChars="0"/>
      <w:outlineLvl w:val="2"/>
    </w:pPr>
    <w:rPr>
      <w:rFonts w:eastAsia="方正黑体_GBK"/>
      <w:b/>
    </w:rPr>
  </w:style>
  <w:style w:type="character" w:default="1" w:styleId="1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unhideWhenUsed/>
    <w:qFormat/>
    <w:uiPriority w:val="0"/>
    <w:pPr>
      <w:spacing w:beforeLines="0" w:afterLines="0"/>
      <w:ind w:firstLine="420"/>
    </w:pPr>
    <w:rPr>
      <w:rFonts w:hint="eastAsia"/>
      <w:sz w:val="21"/>
      <w:szCs w:val="24"/>
    </w:rPr>
  </w:style>
  <w:style w:type="paragraph" w:styleId="3">
    <w:name w:val="Body Text Indent"/>
    <w:basedOn w:val="1"/>
    <w:next w:val="4"/>
    <w:unhideWhenUsed/>
    <w:qFormat/>
    <w:uiPriority w:val="0"/>
    <w:pPr>
      <w:autoSpaceDE w:val="0"/>
      <w:autoSpaceDN w:val="0"/>
      <w:spacing w:beforeLines="0" w:after="120" w:afterLines="0"/>
      <w:ind w:left="420"/>
    </w:pPr>
    <w:rPr>
      <w:rFonts w:hint="eastAsia" w:ascii="Times New Roman" w:hAnsi="Times New Roman" w:eastAsia="宋体"/>
      <w:sz w:val="21"/>
      <w:szCs w:val="24"/>
      <w:lang w:val="zh-CN"/>
    </w:rPr>
  </w:style>
  <w:style w:type="paragraph" w:styleId="4">
    <w:name w:val="envelope return"/>
    <w:basedOn w:val="1"/>
    <w:qFormat/>
    <w:uiPriority w:val="0"/>
    <w:pPr>
      <w:snapToGrid w:val="0"/>
    </w:pPr>
    <w:rPr>
      <w:rFonts w:hint="eastAsia" w:ascii="Arial" w:hAnsi="Arial" w:eastAsia="宋体" w:cs="Times New Roman"/>
      <w:szCs w:val="20"/>
    </w:rPr>
  </w:style>
  <w:style w:type="paragraph" w:customStyle="1" w:styleId="5">
    <w:name w:val="表格文字"/>
    <w:basedOn w:val="6"/>
    <w:next w:val="1"/>
    <w:unhideWhenUsed/>
    <w:qFormat/>
    <w:uiPriority w:val="0"/>
    <w:pPr>
      <w:spacing w:beforeLines="0" w:afterLines="0"/>
      <w:ind w:firstLine="0" w:firstLineChars="0"/>
      <w:jc w:val="center"/>
    </w:pPr>
    <w:rPr>
      <w:rFonts w:hint="eastAsia"/>
      <w:sz w:val="21"/>
      <w:szCs w:val="20"/>
    </w:rPr>
  </w:style>
  <w:style w:type="paragraph" w:styleId="6">
    <w:name w:val="List"/>
    <w:basedOn w:val="1"/>
    <w:unhideWhenUsed/>
    <w:qFormat/>
    <w:uiPriority w:val="0"/>
    <w:pPr>
      <w:spacing w:beforeLines="0" w:afterLines="0"/>
      <w:ind w:left="200" w:hanging="200" w:hangingChars="200"/>
    </w:pPr>
    <w:rPr>
      <w:rFonts w:hint="eastAsia" w:ascii="宋体" w:hAnsi="宋体" w:eastAsia="宋体" w:cs="宋体"/>
      <w:sz w:val="21"/>
      <w:szCs w:val="21"/>
    </w:rPr>
  </w:style>
  <w:style w:type="paragraph" w:styleId="10">
    <w:name w:val="Document Map"/>
    <w:basedOn w:val="1"/>
    <w:unhideWhenUsed/>
    <w:qFormat/>
    <w:uiPriority w:val="0"/>
    <w:pPr>
      <w:spacing w:beforeLines="0" w:afterLines="0"/>
    </w:pPr>
    <w:rPr>
      <w:rFonts w:hint="eastAsia" w:ascii="宋体" w:hAnsi="宋体" w:eastAsia="宋体" w:cs="宋体"/>
      <w:sz w:val="18"/>
      <w:szCs w:val="18"/>
    </w:rPr>
  </w:style>
  <w:style w:type="paragraph" w:styleId="11">
    <w:name w:val="Body Text"/>
    <w:basedOn w:val="1"/>
    <w:next w:val="1"/>
    <w:unhideWhenUsed/>
    <w:qFormat/>
    <w:uiPriority w:val="0"/>
    <w:pPr>
      <w:autoSpaceDE w:val="0"/>
      <w:autoSpaceDN w:val="0"/>
      <w:spacing w:beforeLines="0" w:afterLines="0"/>
      <w:jc w:val="left"/>
    </w:pPr>
    <w:rPr>
      <w:rFonts w:hint="eastAsia" w:ascii="宋体" w:hAnsi="宋体" w:eastAsia="宋体" w:cs="宋体"/>
      <w:sz w:val="21"/>
      <w:szCs w:val="21"/>
      <w:lang w:val="zh-CN"/>
    </w:rPr>
  </w:style>
  <w:style w:type="paragraph" w:styleId="12">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customStyle="1" w:styleId="16">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 w:type="paragraph" w:customStyle="1" w:styleId="17">
    <w:name w:val="样式8"/>
    <w:basedOn w:val="18"/>
    <w:unhideWhenUsed/>
    <w:qFormat/>
    <w:uiPriority w:val="1"/>
    <w:pPr>
      <w:spacing w:beforeLines="0" w:afterLines="0"/>
    </w:pPr>
    <w:rPr>
      <w:rFonts w:hint="eastAsia"/>
      <w:sz w:val="28"/>
      <w:szCs w:val="28"/>
    </w:rPr>
  </w:style>
  <w:style w:type="paragraph" w:customStyle="1" w:styleId="18">
    <w:name w:val="一级标题"/>
    <w:basedOn w:val="1"/>
    <w:unhideWhenUsed/>
    <w:qFormat/>
    <w:uiPriority w:val="0"/>
    <w:pPr>
      <w:adjustRightInd w:val="0"/>
      <w:snapToGrid w:val="0"/>
      <w:spacing w:beforeLines="0" w:afterLines="0"/>
      <w:jc w:val="center"/>
      <w:outlineLvl w:val="0"/>
    </w:pPr>
    <w:rPr>
      <w:rFonts w:hint="eastAsia" w:ascii="黑体" w:hAnsi="宋体" w:eastAsia="黑体" w:cs="宋体"/>
      <w:b/>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2026-03-27T06:42:00Z</dcterms:created>
  <dc:creator>赵存姐</dc:creator>
  <cp:lastModifiedBy>wf</cp:lastModifiedBy>
  <dcterms:modified xsi:type="dcterms:W3CDTF">2026-03-27T09:58:11Z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