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A92D79">
      <w:pPr>
        <w:keepNext w:val="0"/>
        <w:keepLines w:val="0"/>
        <w:pageBreakBefore w:val="0"/>
        <w:widowControl w:val="0"/>
        <w:shd w:val="clear" w:color="auto" w:fill="auto"/>
        <w:tabs>
          <w:tab w:val="left" w:pos="349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color w:val="000000" w:themeColor="text1"/>
          <w:spacing w:val="-20"/>
          <w:kern w:val="0"/>
          <w:sz w:val="44"/>
          <w:szCs w:val="44"/>
          <w:highlight w:val="none"/>
          <w:lang w:val="en-US" w:eastAsia="zh-CN"/>
          <w14:textFill>
            <w14:solidFill>
              <w14:schemeClr w14:val="tx1"/>
            </w14:solidFill>
          </w14:textFill>
        </w:rPr>
      </w:pPr>
    </w:p>
    <w:p w14:paraId="396CC93F">
      <w:pPr>
        <w:pStyle w:val="8"/>
        <w:bidi w:val="0"/>
        <w:jc w:val="center"/>
        <w:rPr>
          <w:rFonts w:hint="eastAsia"/>
          <w:b/>
          <w:bCs/>
          <w:color w:val="000000" w:themeColor="text1"/>
          <w:sz w:val="48"/>
          <w:szCs w:val="48"/>
          <w14:textFill>
            <w14:solidFill>
              <w14:schemeClr w14:val="tx1"/>
            </w14:solidFill>
          </w14:textFill>
        </w:rPr>
      </w:pPr>
      <w:r>
        <w:rPr>
          <w:rFonts w:hint="eastAsia"/>
          <w:b/>
          <w:bCs/>
          <w:color w:val="000000" w:themeColor="text1"/>
          <w:sz w:val="48"/>
          <w:szCs w:val="48"/>
          <w:lang w:val="en-US" w:eastAsia="zh-CN"/>
          <w14:textFill>
            <w14:solidFill>
              <w14:schemeClr w14:val="tx1"/>
            </w14:solidFill>
          </w14:textFill>
        </w:rPr>
        <w:t>青海民族大学博雅校区工科北楼智算中心维修保障项目</w:t>
      </w:r>
    </w:p>
    <w:p w14:paraId="3A78087C">
      <w:pPr>
        <w:spacing w:line="480" w:lineRule="auto"/>
        <w:jc w:val="center"/>
        <w:rPr>
          <w:rFonts w:hint="eastAsia" w:ascii="宋体" w:hAnsi="宋体" w:eastAsia="宋体" w:cs="Times New Roman"/>
          <w:b/>
          <w:bCs/>
          <w:color w:val="000000" w:themeColor="text1"/>
          <w:sz w:val="30"/>
          <w:szCs w:val="30"/>
          <w:highlight w:val="none"/>
          <w14:textFill>
            <w14:solidFill>
              <w14:schemeClr w14:val="tx1"/>
            </w14:solidFill>
          </w14:textFill>
        </w:rPr>
      </w:pPr>
    </w:p>
    <w:p w14:paraId="0249ED59">
      <w:pPr>
        <w:spacing w:line="480" w:lineRule="auto"/>
        <w:jc w:val="center"/>
        <w:rPr>
          <w:rFonts w:hint="eastAsia" w:ascii="宋体" w:hAnsi="宋体" w:eastAsia="宋体" w:cs="Times New Roman"/>
          <w:b/>
          <w:bCs/>
          <w:color w:val="000000" w:themeColor="text1"/>
          <w:sz w:val="30"/>
          <w:szCs w:val="30"/>
          <w:highlight w:val="none"/>
          <w14:textFill>
            <w14:solidFill>
              <w14:schemeClr w14:val="tx1"/>
            </w14:solidFill>
          </w14:textFill>
        </w:rPr>
      </w:pPr>
    </w:p>
    <w:p w14:paraId="1EB87E05">
      <w:pPr>
        <w:spacing w:line="480" w:lineRule="auto"/>
        <w:jc w:val="center"/>
        <w:rPr>
          <w:rFonts w:hint="eastAsia" w:ascii="微软雅黑" w:hAnsi="Times New Roman" w:eastAsia="微软雅黑" w:cs="微软雅黑"/>
          <w:color w:val="000000" w:themeColor="text1"/>
          <w:spacing w:val="79"/>
          <w:kern w:val="0"/>
          <w:sz w:val="56"/>
          <w:szCs w:val="56"/>
          <w:highlight w:val="none"/>
          <w:lang w:val="en-US" w:eastAsia="zh-CN" w:bidi="ar-SA"/>
          <w14:textFill>
            <w14:solidFill>
              <w14:schemeClr w14:val="tx1"/>
            </w14:solidFill>
          </w14:textFill>
        </w:rPr>
      </w:pPr>
      <w:r>
        <w:rPr>
          <w:rFonts w:hint="eastAsia" w:ascii="宋体" w:hAnsi="宋体" w:eastAsia="宋体" w:cs="Times New Roman"/>
          <w:b/>
          <w:bCs/>
          <w:color w:val="000000" w:themeColor="text1"/>
          <w:sz w:val="30"/>
          <w:szCs w:val="30"/>
          <w:highlight w:val="none"/>
          <w14:textFill>
            <w14:solidFill>
              <w14:schemeClr w14:val="tx1"/>
            </w14:solidFill>
          </w14:textFill>
        </w:rPr>
        <w:t>（</w:t>
      </w:r>
      <w:r>
        <w:rPr>
          <w:rFonts w:hint="eastAsia" w:ascii="宋体" w:hAnsi="宋体" w:eastAsia="宋体" w:cs="Times New Roman"/>
          <w:b/>
          <w:bCs/>
          <w:color w:val="000000" w:themeColor="text1"/>
          <w:sz w:val="30"/>
          <w:szCs w:val="30"/>
          <w:highlight w:val="none"/>
          <w:lang w:eastAsia="zh-CN"/>
          <w14:textFill>
            <w14:solidFill>
              <w14:schemeClr w14:val="tx1"/>
            </w14:solidFill>
          </w14:textFill>
        </w:rPr>
        <w:t>采购项目</w:t>
      </w:r>
      <w:r>
        <w:rPr>
          <w:rFonts w:hint="eastAsia" w:ascii="宋体" w:hAnsi="宋体" w:eastAsia="宋体" w:cs="Times New Roman"/>
          <w:b/>
          <w:bCs/>
          <w:color w:val="000000" w:themeColor="text1"/>
          <w:sz w:val="30"/>
          <w:szCs w:val="30"/>
          <w:highlight w:val="none"/>
          <w14:textFill>
            <w14:solidFill>
              <w14:schemeClr w14:val="tx1"/>
            </w14:solidFill>
          </w14:textFill>
        </w:rPr>
        <w:t>编号：</w:t>
      </w:r>
      <w:r>
        <w:rPr>
          <w:rFonts w:hint="eastAsia" w:ascii="宋体" w:hAnsi="宋体" w:eastAsia="宋体" w:cs="Times New Roman"/>
          <w:b/>
          <w:bCs/>
          <w:color w:val="000000" w:themeColor="text1"/>
          <w:sz w:val="30"/>
          <w:szCs w:val="30"/>
          <w:highlight w:val="none"/>
          <w:lang w:eastAsia="zh-CN"/>
          <w14:textFill>
            <w14:solidFill>
              <w14:schemeClr w14:val="tx1"/>
            </w14:solidFill>
          </w14:textFill>
        </w:rPr>
        <w:t>QHXKXB（工程)-2026-005</w:t>
      </w:r>
      <w:r>
        <w:rPr>
          <w:rFonts w:hint="eastAsia" w:ascii="宋体" w:hAnsi="宋体" w:eastAsia="宋体" w:cs="Times New Roman"/>
          <w:b/>
          <w:bCs/>
          <w:color w:val="000000" w:themeColor="text1"/>
          <w:sz w:val="30"/>
          <w:szCs w:val="30"/>
          <w:highlight w:val="none"/>
          <w14:textFill>
            <w14:solidFill>
              <w14:schemeClr w14:val="tx1"/>
            </w14:solidFill>
          </w14:textFill>
        </w:rPr>
        <w:t>）</w:t>
      </w:r>
    </w:p>
    <w:p w14:paraId="412EFB1C">
      <w:pPr>
        <w:pStyle w:val="8"/>
        <w:rPr>
          <w:rFonts w:hint="eastAsia" w:ascii="微软雅黑" w:hAnsi="Times New Roman" w:eastAsia="微软雅黑" w:cs="微软雅黑"/>
          <w:color w:val="000000" w:themeColor="text1"/>
          <w:spacing w:val="79"/>
          <w:kern w:val="0"/>
          <w:sz w:val="56"/>
          <w:szCs w:val="56"/>
          <w:highlight w:val="none"/>
          <w:lang w:val="en-US" w:eastAsia="zh-CN" w:bidi="ar-SA"/>
          <w14:textFill>
            <w14:solidFill>
              <w14:schemeClr w14:val="tx1"/>
            </w14:solidFill>
          </w14:textFill>
        </w:rPr>
      </w:pPr>
    </w:p>
    <w:p w14:paraId="1FA23327">
      <w:pPr>
        <w:pStyle w:val="9"/>
        <w:outlineLvl w:val="9"/>
        <w:rPr>
          <w:rFonts w:hint="eastAsia"/>
          <w:color w:val="000000" w:themeColor="text1"/>
          <w:lang w:val="en-US" w:eastAsia="zh-CN"/>
          <w14:textFill>
            <w14:solidFill>
              <w14:schemeClr w14:val="tx1"/>
            </w14:solidFill>
          </w14:textFill>
        </w:rPr>
      </w:pPr>
    </w:p>
    <w:p w14:paraId="46C1A294">
      <w:pPr>
        <w:pStyle w:val="12"/>
        <w:bidi w:val="0"/>
        <w:jc w:val="center"/>
        <w:rPr>
          <w:b/>
          <w:bCs/>
          <w:color w:val="000000" w:themeColor="text1"/>
          <w:sz w:val="72"/>
          <w:szCs w:val="72"/>
          <w:lang w:val="zh-TW" w:eastAsia="zh-TW"/>
          <w14:textFill>
            <w14:solidFill>
              <w14:schemeClr w14:val="tx1"/>
            </w14:solidFill>
          </w14:textFill>
        </w:rPr>
      </w:pPr>
      <w:r>
        <w:rPr>
          <w:rFonts w:hint="eastAsia"/>
          <w:b/>
          <w:bCs/>
          <w:color w:val="000000" w:themeColor="text1"/>
          <w:sz w:val="72"/>
          <w:szCs w:val="72"/>
          <w:lang w:eastAsia="zh-CN"/>
          <w14:textFill>
            <w14:solidFill>
              <w14:schemeClr w14:val="tx1"/>
            </w14:solidFill>
          </w14:textFill>
        </w:rPr>
        <w:t>询比采购文件</w:t>
      </w:r>
    </w:p>
    <w:p w14:paraId="6293B20E">
      <w:pPr>
        <w:pStyle w:val="6"/>
        <w:ind w:left="0" w:leftChars="0" w:firstLine="0" w:firstLineChars="0"/>
        <w:rPr>
          <w:rFonts w:ascii="宋体" w:hAnsi="宋体" w:eastAsia="宋体" w:cs="宋体"/>
          <w:color w:val="000000" w:themeColor="text1"/>
          <w:spacing w:val="0"/>
          <w:w w:val="100"/>
          <w:position w:val="0"/>
          <w:sz w:val="58"/>
          <w:szCs w:val="58"/>
          <w:highlight w:val="none"/>
          <w:u w:val="none"/>
          <w:shd w:val="clear" w:color="auto" w:fill="auto"/>
          <w:lang w:val="zh-TW" w:eastAsia="zh-TW" w:bidi="zh-TW"/>
          <w14:textFill>
            <w14:solidFill>
              <w14:schemeClr w14:val="tx1"/>
            </w14:solidFill>
          </w14:textFill>
        </w:rPr>
      </w:pPr>
    </w:p>
    <w:p w14:paraId="055F46A3">
      <w:pPr>
        <w:ind w:left="480" w:firstLine="562" w:firstLineChars="200"/>
        <w:rPr>
          <w:rFonts w:hint="eastAsia"/>
          <w:b/>
          <w:color w:val="000000" w:themeColor="text1"/>
          <w:sz w:val="28"/>
          <w:szCs w:val="28"/>
          <w14:textFill>
            <w14:solidFill>
              <w14:schemeClr w14:val="tx1"/>
            </w14:solidFill>
          </w14:textFill>
        </w:rPr>
      </w:pPr>
    </w:p>
    <w:p w14:paraId="740946BD">
      <w:pPr>
        <w:ind w:left="480" w:firstLine="562" w:firstLineChars="200"/>
        <w:rPr>
          <w:rFonts w:hint="eastAsia"/>
          <w:b/>
          <w:color w:val="000000" w:themeColor="text1"/>
          <w:sz w:val="28"/>
          <w:szCs w:val="28"/>
          <w14:textFill>
            <w14:solidFill>
              <w14:schemeClr w14:val="tx1"/>
            </w14:solidFill>
          </w14:textFill>
        </w:rPr>
      </w:pPr>
    </w:p>
    <w:p w14:paraId="665268D5">
      <w:pPr>
        <w:ind w:left="480" w:firstLine="562" w:firstLineChars="200"/>
        <w:rPr>
          <w:rFonts w:hint="eastAsia"/>
          <w:b/>
          <w:color w:val="000000" w:themeColor="text1"/>
          <w:sz w:val="28"/>
          <w:szCs w:val="28"/>
          <w14:textFill>
            <w14:solidFill>
              <w14:schemeClr w14:val="tx1"/>
            </w14:solidFill>
          </w14:textFill>
        </w:rPr>
      </w:pPr>
    </w:p>
    <w:p w14:paraId="3BC1D1C6">
      <w:pPr>
        <w:ind w:left="480" w:firstLine="562" w:firstLineChars="200"/>
        <w:rPr>
          <w:rFonts w:hint="eastAsia"/>
          <w:b/>
          <w:color w:val="000000" w:themeColor="text1"/>
          <w:sz w:val="28"/>
          <w:szCs w:val="28"/>
          <w14:textFill>
            <w14:solidFill>
              <w14:schemeClr w14:val="tx1"/>
            </w14:solidFill>
          </w14:textFill>
        </w:rPr>
      </w:pPr>
    </w:p>
    <w:p w14:paraId="2AE894BC">
      <w:pPr>
        <w:ind w:left="480" w:firstLine="562" w:firstLineChars="200"/>
        <w:rPr>
          <w:rFonts w:hint="eastAsia"/>
          <w:b/>
          <w:color w:val="000000" w:themeColor="text1"/>
          <w:sz w:val="28"/>
          <w:szCs w:val="28"/>
          <w:u w:val="single"/>
          <w14:textFill>
            <w14:solidFill>
              <w14:schemeClr w14:val="tx1"/>
            </w14:solidFill>
          </w14:textFill>
        </w:rPr>
      </w:pPr>
      <w:r>
        <w:rPr>
          <w:rFonts w:hint="eastAsia"/>
          <w:b/>
          <w:color w:val="000000" w:themeColor="text1"/>
          <w:sz w:val="28"/>
          <w:szCs w:val="28"/>
          <w14:textFill>
            <w14:solidFill>
              <w14:schemeClr w14:val="tx1"/>
            </w14:solidFill>
          </w14:textFill>
        </w:rPr>
        <w:t>采购</w:t>
      </w:r>
      <w:r>
        <w:rPr>
          <w:rFonts w:hint="eastAsia"/>
          <w:b/>
          <w:color w:val="000000" w:themeColor="text1"/>
          <w:sz w:val="28"/>
          <w:szCs w:val="28"/>
          <w:lang w:val="en-US" w:eastAsia="zh-CN"/>
          <w14:textFill>
            <w14:solidFill>
              <w14:schemeClr w14:val="tx1"/>
            </w14:solidFill>
          </w14:textFill>
        </w:rPr>
        <w:t>单位</w:t>
      </w:r>
      <w:r>
        <w:rPr>
          <w:rFonts w:hint="eastAsia"/>
          <w:b/>
          <w:color w:val="000000" w:themeColor="text1"/>
          <w:sz w:val="28"/>
          <w:szCs w:val="28"/>
          <w14:textFill>
            <w14:solidFill>
              <w14:schemeClr w14:val="tx1"/>
            </w14:solidFill>
          </w14:textFill>
        </w:rPr>
        <w:t>：</w:t>
      </w:r>
      <w:r>
        <w:rPr>
          <w:rFonts w:hint="eastAsia"/>
          <w:b/>
          <w:color w:val="000000" w:themeColor="text1"/>
          <w:sz w:val="28"/>
          <w:szCs w:val="28"/>
          <w:u w:val="single"/>
          <w:lang w:val="en-US" w:eastAsia="zh-CN"/>
          <w14:textFill>
            <w14:solidFill>
              <w14:schemeClr w14:val="tx1"/>
            </w14:solidFill>
          </w14:textFill>
        </w:rPr>
        <w:t>青海民族大学</w:t>
      </w:r>
    </w:p>
    <w:p w14:paraId="280F7CBF">
      <w:pPr>
        <w:ind w:left="480" w:firstLine="562" w:firstLineChars="200"/>
        <w:rPr>
          <w:rFonts w:hint="eastAsia"/>
          <w:b/>
          <w:color w:val="000000" w:themeColor="text1"/>
          <w:sz w:val="28"/>
          <w:szCs w:val="28"/>
          <w:u w:val="single"/>
          <w14:textFill>
            <w14:solidFill>
              <w14:schemeClr w14:val="tx1"/>
            </w14:solidFill>
          </w14:textFill>
        </w:rPr>
      </w:pPr>
      <w:bookmarkStart w:id="0" w:name="_Toc11279"/>
      <w:r>
        <w:rPr>
          <w:rFonts w:hint="eastAsia"/>
          <w:b/>
          <w:color w:val="000000" w:themeColor="text1"/>
          <w:sz w:val="28"/>
          <w:szCs w:val="28"/>
          <w14:textFill>
            <w14:solidFill>
              <w14:schemeClr w14:val="tx1"/>
            </w14:solidFill>
          </w14:textFill>
        </w:rPr>
        <w:t>采购代理机构：</w:t>
      </w:r>
      <w:bookmarkEnd w:id="0"/>
      <w:r>
        <w:rPr>
          <w:rFonts w:hint="eastAsia"/>
          <w:b/>
          <w:color w:val="000000" w:themeColor="text1"/>
          <w:sz w:val="28"/>
          <w:szCs w:val="28"/>
          <w:u w:val="single"/>
          <w:lang w:eastAsia="zh-CN"/>
          <w14:textFill>
            <w14:solidFill>
              <w14:schemeClr w14:val="tx1"/>
            </w14:solidFill>
          </w14:textFill>
        </w:rPr>
        <w:t>青海璇锴工程项目管理有限公司</w:t>
      </w:r>
    </w:p>
    <w:p w14:paraId="1774A868">
      <w:pPr>
        <w:autoSpaceDE w:val="0"/>
        <w:autoSpaceDN w:val="0"/>
        <w:adjustRightInd w:val="0"/>
        <w:spacing w:line="360" w:lineRule="auto"/>
        <w:jc w:val="center"/>
        <w:outlineLvl w:val="9"/>
        <w:rPr>
          <w:rFonts w:hint="eastAsia" w:ascii="宋体" w:hAnsi="Calibri" w:eastAsia="宋体" w:cs="宋体"/>
          <w:b/>
          <w:bCs/>
          <w:color w:val="000000" w:themeColor="text1"/>
          <w:spacing w:val="1280"/>
          <w:w w:val="100"/>
          <w:kern w:val="0"/>
          <w:sz w:val="32"/>
          <w:szCs w:val="32"/>
          <w:highlight w:val="none"/>
          <w:u w:val="single"/>
          <w:fitText w:val="1600" w:id="851982221"/>
          <w:lang w:val="zh-CN"/>
          <w14:textFill>
            <w14:solidFill>
              <w14:schemeClr w14:val="tx1"/>
            </w14:solidFill>
          </w14:textFill>
        </w:rPr>
      </w:pPr>
      <w:bookmarkStart w:id="1" w:name="_Toc32545"/>
    </w:p>
    <w:p w14:paraId="166E47D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pPr>
      <w:bookmarkStart w:id="2" w:name="_Toc24496"/>
      <w:r>
        <w:rPr>
          <w:rFonts w:hint="eastAsia" w:asciiTheme="minorEastAsia" w:hAnsiTheme="minorEastAsia" w:eastAsiaTheme="minorEastAsia" w:cstheme="minorEastAsia"/>
          <w:b/>
          <w:bCs/>
          <w:color w:val="000000" w:themeColor="text1"/>
          <w:sz w:val="28"/>
          <w:szCs w:val="28"/>
          <w:lang w:val="zh-CN"/>
          <w14:textFill>
            <w14:solidFill>
              <w14:schemeClr w14:val="tx1"/>
            </w14:solidFill>
          </w14:textFill>
        </w:rPr>
        <w:t>20</w:t>
      </w: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2</w:t>
      </w: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6</w:t>
      </w:r>
      <w:r>
        <w:rPr>
          <w:rFonts w:hint="eastAsia" w:asciiTheme="minorEastAsia" w:hAnsiTheme="minorEastAsia" w:eastAsiaTheme="minorEastAsia" w:cstheme="minorEastAsia"/>
          <w:b/>
          <w:bCs/>
          <w:color w:val="000000" w:themeColor="text1"/>
          <w:sz w:val="28"/>
          <w:szCs w:val="28"/>
          <w:lang w:val="zh-CN"/>
          <w14:textFill>
            <w14:solidFill>
              <w14:schemeClr w14:val="tx1"/>
            </w14:solidFill>
          </w14:textFill>
        </w:rPr>
        <w:t>年</w:t>
      </w: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4</w:t>
      </w:r>
      <w:r>
        <w:rPr>
          <w:rFonts w:hint="eastAsia" w:asciiTheme="minorEastAsia" w:hAnsiTheme="minorEastAsia" w:eastAsiaTheme="minorEastAsia" w:cstheme="minorEastAsia"/>
          <w:b/>
          <w:bCs/>
          <w:color w:val="000000" w:themeColor="text1"/>
          <w:sz w:val="28"/>
          <w:szCs w:val="28"/>
          <w:lang w:val="zh-CN"/>
          <w14:textFill>
            <w14:solidFill>
              <w14:schemeClr w14:val="tx1"/>
            </w14:solidFill>
          </w14:textFill>
        </w:rPr>
        <w:t>月</w:t>
      </w:r>
      <w:bookmarkEnd w:id="1"/>
      <w:bookmarkEnd w:id="2"/>
    </w:p>
    <w:p w14:paraId="52DF71B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sectPr>
          <w:footerReference r:id="rId3" w:type="default"/>
          <w:pgSz w:w="11906" w:h="16838"/>
          <w:pgMar w:top="1440" w:right="1800" w:bottom="1440" w:left="1800" w:header="851" w:footer="2652" w:gutter="0"/>
          <w:pgNumType w:fmt="decimal"/>
          <w:cols w:space="0" w:num="1"/>
          <w:rtlGutter w:val="0"/>
          <w:docGrid w:type="lines" w:linePitch="312" w:charSpace="0"/>
        </w:sectPr>
      </w:pPr>
    </w:p>
    <w:sdt>
      <w:sdtPr>
        <w:rPr>
          <w:rFonts w:ascii="宋体" w:hAnsi="宋体" w:eastAsia="宋体" w:cstheme="minorBidi"/>
          <w:color w:val="000000" w:themeColor="text1"/>
          <w:kern w:val="2"/>
          <w:sz w:val="21"/>
          <w:szCs w:val="24"/>
          <w:lang w:val="en-US" w:eastAsia="zh-CN" w:bidi="ar-SA"/>
          <w14:textFill>
            <w14:solidFill>
              <w14:schemeClr w14:val="tx1"/>
            </w14:solidFill>
          </w14:textFill>
        </w:rPr>
        <w:id w:val="147481174"/>
        <w15:color w:val="DBDBDB"/>
        <w:docPartObj>
          <w:docPartGallery w:val="Table of Contents"/>
          <w:docPartUnique/>
        </w:docPartObj>
      </w:sdtPr>
      <w:sdtEndP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sdtEndPr>
      <w:sdtContent>
        <w:p w14:paraId="0E0D7A7C">
          <w:pPr>
            <w:spacing w:before="0" w:beforeLines="0" w:after="0" w:afterLines="0" w:line="240" w:lineRule="auto"/>
            <w:ind w:left="0" w:leftChars="0" w:right="0" w:rightChars="0" w:firstLine="0" w:firstLineChars="0"/>
            <w:jc w:val="center"/>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w:t>
          </w:r>
          <w:r>
            <w:rPr>
              <w:rFonts w:hint="eastAsia" w:ascii="宋体" w:hAnsi="宋体" w:eastAsia="宋体"/>
              <w:color w:val="000000" w:themeColor="text1"/>
              <w:sz w:val="44"/>
              <w:szCs w:val="44"/>
              <w:lang w:val="en-US" w:eastAsia="zh-CN"/>
              <w14:textFill>
                <w14:solidFill>
                  <w14:schemeClr w14:val="tx1"/>
                </w14:solidFill>
              </w14:textFill>
            </w:rPr>
            <w:t xml:space="preserve">  </w:t>
          </w:r>
          <w:r>
            <w:rPr>
              <w:rFonts w:ascii="宋体" w:hAnsi="宋体" w:eastAsia="宋体"/>
              <w:color w:val="000000" w:themeColor="text1"/>
              <w:sz w:val="44"/>
              <w:szCs w:val="44"/>
              <w14:textFill>
                <w14:solidFill>
                  <w14:schemeClr w14:val="tx1"/>
                </w14:solidFill>
              </w14:textFill>
            </w:rPr>
            <w:t>录</w:t>
          </w:r>
        </w:p>
        <w:p w14:paraId="35D67687">
          <w:pPr>
            <w:pStyle w:val="16"/>
            <w:tabs>
              <w:tab w:val="right" w:leader="dot" w:pos="8306"/>
              <w:tab w:val="clear" w:pos="9259"/>
            </w:tabs>
            <w:spacing w:line="360" w:lineRule="auto"/>
            <w:rPr>
              <w:sz w:val="28"/>
              <w:szCs w:val="28"/>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fldChar w:fldCharType="begin"/>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instrText xml:space="preserve">TOC \o "1-1" \h \u </w:instrTex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fldChar w:fldCharType="separate"/>
          </w: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begin"/>
          </w:r>
          <w:r>
            <w:rPr>
              <w:rFonts w:hint="eastAsia" w:asciiTheme="minorEastAsia" w:hAnsiTheme="minorEastAsia" w:eastAsiaTheme="minorEastAsia" w:cstheme="minorEastAsia"/>
              <w:bCs w:val="0"/>
              <w:sz w:val="28"/>
              <w:szCs w:val="22"/>
            </w:rPr>
            <w:instrText xml:space="preserve"> HYPERLINK \l _Toc19881 </w:instrText>
          </w:r>
          <w:r>
            <w:rPr>
              <w:rFonts w:hint="eastAsia" w:asciiTheme="minorEastAsia" w:hAnsiTheme="minorEastAsia" w:eastAsiaTheme="minorEastAsia" w:cstheme="minorEastAsia"/>
              <w:bCs w:val="0"/>
              <w:sz w:val="28"/>
              <w:szCs w:val="22"/>
            </w:rPr>
            <w:fldChar w:fldCharType="separate"/>
          </w:r>
          <w:r>
            <w:rPr>
              <w:rFonts w:hint="eastAsia" w:asciiTheme="minorHAnsi" w:hAnsiTheme="minorHAnsi" w:eastAsiaTheme="minorEastAsia" w:cstheme="minorBidi"/>
              <w:kern w:val="44"/>
              <w:sz w:val="28"/>
              <w:szCs w:val="48"/>
              <w:lang w:val="en-US" w:eastAsia="zh-CN" w:bidi="ar-SA"/>
            </w:rPr>
            <w:t>第一章</w:t>
          </w:r>
          <w:r>
            <w:rPr>
              <w:rFonts w:hint="eastAsia" w:cstheme="minorBidi"/>
              <w:kern w:val="44"/>
              <w:sz w:val="28"/>
              <w:szCs w:val="48"/>
              <w:lang w:val="en-US" w:eastAsia="zh-CN" w:bidi="ar-SA"/>
            </w:rPr>
            <w:t xml:space="preserve">  </w:t>
          </w:r>
          <w:r>
            <w:rPr>
              <w:rFonts w:hint="eastAsia" w:asciiTheme="minorHAnsi" w:hAnsiTheme="minorHAnsi" w:eastAsiaTheme="minorEastAsia" w:cstheme="minorBidi"/>
              <w:kern w:val="44"/>
              <w:sz w:val="28"/>
              <w:szCs w:val="48"/>
              <w:lang w:val="zh-CN" w:eastAsia="zh-CN" w:bidi="ar-SA"/>
            </w:rPr>
            <w:t>询比</w:t>
          </w:r>
          <w:r>
            <w:rPr>
              <w:rFonts w:hint="eastAsia" w:asciiTheme="minorHAnsi" w:hAnsiTheme="minorHAnsi" w:eastAsiaTheme="minorEastAsia" w:cstheme="minorBidi"/>
              <w:kern w:val="44"/>
              <w:sz w:val="28"/>
              <w:szCs w:val="48"/>
              <w:lang w:val="en-US" w:eastAsia="zh-CN" w:bidi="ar-SA"/>
            </w:rPr>
            <w:t>采购公告</w:t>
          </w:r>
          <w:r>
            <w:rPr>
              <w:sz w:val="28"/>
              <w:szCs w:val="28"/>
            </w:rPr>
            <w:tab/>
          </w:r>
          <w:r>
            <w:rPr>
              <w:sz w:val="28"/>
              <w:szCs w:val="28"/>
            </w:rPr>
            <w:fldChar w:fldCharType="begin"/>
          </w:r>
          <w:r>
            <w:rPr>
              <w:sz w:val="28"/>
              <w:szCs w:val="28"/>
            </w:rPr>
            <w:instrText xml:space="preserve"> PAGEREF _Toc19881 \h </w:instrText>
          </w:r>
          <w:r>
            <w:rPr>
              <w:sz w:val="28"/>
              <w:szCs w:val="28"/>
            </w:rPr>
            <w:fldChar w:fldCharType="separate"/>
          </w:r>
          <w:r>
            <w:rPr>
              <w:sz w:val="28"/>
              <w:szCs w:val="28"/>
            </w:rPr>
            <w:t>2</w:t>
          </w:r>
          <w:r>
            <w:rPr>
              <w:sz w:val="28"/>
              <w:szCs w:val="28"/>
            </w:rPr>
            <w:fldChar w:fldCharType="end"/>
          </w: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end"/>
          </w:r>
        </w:p>
        <w:p w14:paraId="5D555FE0">
          <w:pPr>
            <w:pStyle w:val="16"/>
            <w:tabs>
              <w:tab w:val="right" w:leader="dot" w:pos="8306"/>
              <w:tab w:val="clear" w:pos="9259"/>
            </w:tabs>
            <w:spacing w:line="360" w:lineRule="auto"/>
            <w:rPr>
              <w:sz w:val="28"/>
              <w:szCs w:val="28"/>
            </w:rPr>
          </w:pP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begin"/>
          </w:r>
          <w:r>
            <w:rPr>
              <w:rFonts w:hint="eastAsia" w:asciiTheme="minorEastAsia" w:hAnsiTheme="minorEastAsia" w:eastAsiaTheme="minorEastAsia" w:cstheme="minorEastAsia"/>
              <w:bCs w:val="0"/>
              <w:sz w:val="28"/>
              <w:szCs w:val="22"/>
            </w:rPr>
            <w:instrText xml:space="preserve"> HYPERLINK \l _Toc25325 </w:instrText>
          </w:r>
          <w:r>
            <w:rPr>
              <w:rFonts w:hint="eastAsia" w:asciiTheme="minorEastAsia" w:hAnsiTheme="minorEastAsia" w:eastAsiaTheme="minorEastAsia" w:cstheme="minorEastAsia"/>
              <w:bCs w:val="0"/>
              <w:sz w:val="28"/>
              <w:szCs w:val="22"/>
            </w:rPr>
            <w:fldChar w:fldCharType="separate"/>
          </w:r>
          <w:r>
            <w:rPr>
              <w:rFonts w:hint="eastAsia"/>
              <w:sz w:val="28"/>
              <w:szCs w:val="48"/>
              <w:lang w:val="en-US" w:eastAsia="zh-CN"/>
            </w:rPr>
            <w:t xml:space="preserve">第二章 </w:t>
          </w:r>
          <w:r>
            <w:rPr>
              <w:rFonts w:hint="eastAsia"/>
              <w:sz w:val="28"/>
              <w:szCs w:val="48"/>
              <w:lang w:val="zh-TW" w:eastAsia="zh-TW"/>
            </w:rPr>
            <w:t>供应商须知</w:t>
          </w:r>
          <w:r>
            <w:rPr>
              <w:sz w:val="28"/>
              <w:szCs w:val="28"/>
            </w:rPr>
            <w:tab/>
          </w:r>
          <w:r>
            <w:rPr>
              <w:sz w:val="28"/>
              <w:szCs w:val="28"/>
            </w:rPr>
            <w:fldChar w:fldCharType="begin"/>
          </w:r>
          <w:r>
            <w:rPr>
              <w:sz w:val="28"/>
              <w:szCs w:val="28"/>
            </w:rPr>
            <w:instrText xml:space="preserve"> PAGEREF _Toc25325 \h </w:instrText>
          </w:r>
          <w:r>
            <w:rPr>
              <w:sz w:val="28"/>
              <w:szCs w:val="28"/>
            </w:rPr>
            <w:fldChar w:fldCharType="separate"/>
          </w:r>
          <w:r>
            <w:rPr>
              <w:sz w:val="28"/>
              <w:szCs w:val="28"/>
            </w:rPr>
            <w:t>6</w:t>
          </w:r>
          <w:r>
            <w:rPr>
              <w:sz w:val="28"/>
              <w:szCs w:val="28"/>
            </w:rPr>
            <w:fldChar w:fldCharType="end"/>
          </w: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end"/>
          </w:r>
        </w:p>
        <w:p w14:paraId="2B7213C7">
          <w:pPr>
            <w:pStyle w:val="16"/>
            <w:tabs>
              <w:tab w:val="right" w:leader="dot" w:pos="8306"/>
              <w:tab w:val="clear" w:pos="9259"/>
            </w:tabs>
            <w:spacing w:line="360" w:lineRule="auto"/>
            <w:rPr>
              <w:sz w:val="28"/>
              <w:szCs w:val="28"/>
            </w:rPr>
          </w:pP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begin"/>
          </w:r>
          <w:r>
            <w:rPr>
              <w:rFonts w:hint="eastAsia" w:asciiTheme="minorEastAsia" w:hAnsiTheme="minorEastAsia" w:eastAsiaTheme="minorEastAsia" w:cstheme="minorEastAsia"/>
              <w:bCs w:val="0"/>
              <w:sz w:val="28"/>
              <w:szCs w:val="22"/>
            </w:rPr>
            <w:instrText xml:space="preserve"> HYPERLINK \l _Toc16153 </w:instrText>
          </w:r>
          <w:r>
            <w:rPr>
              <w:rFonts w:hint="eastAsia" w:asciiTheme="minorEastAsia" w:hAnsiTheme="minorEastAsia" w:eastAsiaTheme="minorEastAsia" w:cstheme="minorEastAsia"/>
              <w:bCs w:val="0"/>
              <w:sz w:val="28"/>
              <w:szCs w:val="22"/>
            </w:rPr>
            <w:fldChar w:fldCharType="separate"/>
          </w:r>
          <w:r>
            <w:rPr>
              <w:rFonts w:hint="eastAsia"/>
              <w:sz w:val="28"/>
              <w:szCs w:val="48"/>
              <w:lang w:val="en-US" w:eastAsia="zh-CN"/>
            </w:rPr>
            <w:t>第三章   评审办法</w:t>
          </w:r>
          <w:r>
            <w:rPr>
              <w:sz w:val="28"/>
              <w:szCs w:val="28"/>
            </w:rPr>
            <w:tab/>
          </w:r>
          <w:r>
            <w:rPr>
              <w:sz w:val="28"/>
              <w:szCs w:val="28"/>
            </w:rPr>
            <w:fldChar w:fldCharType="begin"/>
          </w:r>
          <w:r>
            <w:rPr>
              <w:sz w:val="28"/>
              <w:szCs w:val="28"/>
            </w:rPr>
            <w:instrText xml:space="preserve"> PAGEREF _Toc16153 \h </w:instrText>
          </w:r>
          <w:r>
            <w:rPr>
              <w:sz w:val="28"/>
              <w:szCs w:val="28"/>
            </w:rPr>
            <w:fldChar w:fldCharType="separate"/>
          </w:r>
          <w:r>
            <w:rPr>
              <w:sz w:val="28"/>
              <w:szCs w:val="28"/>
            </w:rPr>
            <w:t>29</w:t>
          </w:r>
          <w:r>
            <w:rPr>
              <w:sz w:val="28"/>
              <w:szCs w:val="28"/>
            </w:rPr>
            <w:fldChar w:fldCharType="end"/>
          </w: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end"/>
          </w:r>
        </w:p>
        <w:p w14:paraId="5DF079BF">
          <w:pPr>
            <w:pStyle w:val="16"/>
            <w:tabs>
              <w:tab w:val="right" w:leader="dot" w:pos="8306"/>
              <w:tab w:val="clear" w:pos="9259"/>
            </w:tabs>
            <w:spacing w:line="360" w:lineRule="auto"/>
            <w:rPr>
              <w:sz w:val="28"/>
              <w:szCs w:val="28"/>
            </w:rPr>
          </w:pP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begin"/>
          </w:r>
          <w:r>
            <w:rPr>
              <w:rFonts w:hint="eastAsia" w:asciiTheme="minorEastAsia" w:hAnsiTheme="minorEastAsia" w:eastAsiaTheme="minorEastAsia" w:cstheme="minorEastAsia"/>
              <w:bCs w:val="0"/>
              <w:sz w:val="28"/>
              <w:szCs w:val="22"/>
            </w:rPr>
            <w:instrText xml:space="preserve"> HYPERLINK \l _Toc4453 </w:instrText>
          </w:r>
          <w:r>
            <w:rPr>
              <w:rFonts w:hint="eastAsia" w:asciiTheme="minorEastAsia" w:hAnsiTheme="minorEastAsia" w:eastAsiaTheme="minorEastAsia" w:cstheme="minorEastAsia"/>
              <w:bCs w:val="0"/>
              <w:sz w:val="28"/>
              <w:szCs w:val="22"/>
            </w:rPr>
            <w:fldChar w:fldCharType="separate"/>
          </w:r>
          <w:r>
            <w:rPr>
              <w:rFonts w:hint="eastAsia"/>
              <w:sz w:val="28"/>
              <w:szCs w:val="48"/>
              <w:lang w:val="en-US" w:eastAsia="zh-CN"/>
            </w:rPr>
            <w:t>第四章 合同条款及格式</w:t>
          </w:r>
          <w:r>
            <w:rPr>
              <w:sz w:val="28"/>
              <w:szCs w:val="28"/>
            </w:rPr>
            <w:tab/>
          </w:r>
          <w:r>
            <w:rPr>
              <w:sz w:val="28"/>
              <w:szCs w:val="28"/>
            </w:rPr>
            <w:fldChar w:fldCharType="begin"/>
          </w:r>
          <w:r>
            <w:rPr>
              <w:sz w:val="28"/>
              <w:szCs w:val="28"/>
            </w:rPr>
            <w:instrText xml:space="preserve"> PAGEREF _Toc4453 \h </w:instrText>
          </w:r>
          <w:r>
            <w:rPr>
              <w:sz w:val="28"/>
              <w:szCs w:val="28"/>
            </w:rPr>
            <w:fldChar w:fldCharType="separate"/>
          </w:r>
          <w:r>
            <w:rPr>
              <w:sz w:val="28"/>
              <w:szCs w:val="28"/>
            </w:rPr>
            <w:t>38</w:t>
          </w:r>
          <w:r>
            <w:rPr>
              <w:sz w:val="28"/>
              <w:szCs w:val="28"/>
            </w:rPr>
            <w:fldChar w:fldCharType="end"/>
          </w: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end"/>
          </w:r>
        </w:p>
        <w:p w14:paraId="088C5075">
          <w:pPr>
            <w:pStyle w:val="16"/>
            <w:tabs>
              <w:tab w:val="right" w:leader="dot" w:pos="8306"/>
              <w:tab w:val="clear" w:pos="9259"/>
            </w:tabs>
            <w:spacing w:line="360" w:lineRule="auto"/>
            <w:rPr>
              <w:sz w:val="28"/>
              <w:szCs w:val="28"/>
            </w:rPr>
          </w:pP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begin"/>
          </w:r>
          <w:r>
            <w:rPr>
              <w:rFonts w:hint="eastAsia" w:asciiTheme="minorEastAsia" w:hAnsiTheme="minorEastAsia" w:eastAsiaTheme="minorEastAsia" w:cstheme="minorEastAsia"/>
              <w:bCs w:val="0"/>
              <w:sz w:val="28"/>
              <w:szCs w:val="22"/>
            </w:rPr>
            <w:instrText xml:space="preserve"> HYPERLINK \l _Toc13330 </w:instrText>
          </w:r>
          <w:r>
            <w:rPr>
              <w:rFonts w:hint="eastAsia" w:asciiTheme="minorEastAsia" w:hAnsiTheme="minorEastAsia" w:eastAsiaTheme="minorEastAsia" w:cstheme="minorEastAsia"/>
              <w:bCs w:val="0"/>
              <w:sz w:val="28"/>
              <w:szCs w:val="22"/>
            </w:rPr>
            <w:fldChar w:fldCharType="separate"/>
          </w:r>
          <w:r>
            <w:rPr>
              <w:rFonts w:hint="eastAsia" w:asciiTheme="minorEastAsia" w:hAnsiTheme="minorEastAsia" w:cstheme="minorEastAsia"/>
              <w:bCs/>
              <w:sz w:val="28"/>
              <w:szCs w:val="40"/>
              <w:lang w:val="en-US" w:eastAsia="zh-CN"/>
            </w:rPr>
            <w:t xml:space="preserve">第五章 </w:t>
          </w:r>
          <w:r>
            <w:rPr>
              <w:rFonts w:hint="eastAsia"/>
              <w:sz w:val="28"/>
              <w:szCs w:val="48"/>
              <w:lang w:val="en-US" w:eastAsia="zh-CN"/>
            </w:rPr>
            <w:t xml:space="preserve"> </w:t>
          </w:r>
          <w:r>
            <w:rPr>
              <w:rFonts w:hint="eastAsia" w:asciiTheme="minorEastAsia" w:hAnsiTheme="minorEastAsia" w:cstheme="minorEastAsia"/>
              <w:bCs/>
              <w:sz w:val="28"/>
              <w:szCs w:val="40"/>
              <w:lang w:val="en-US" w:eastAsia="zh-CN"/>
            </w:rPr>
            <w:t>采购需求</w:t>
          </w:r>
          <w:r>
            <w:rPr>
              <w:sz w:val="28"/>
              <w:szCs w:val="28"/>
            </w:rPr>
            <w:tab/>
          </w:r>
          <w:r>
            <w:rPr>
              <w:sz w:val="28"/>
              <w:szCs w:val="28"/>
            </w:rPr>
            <w:fldChar w:fldCharType="begin"/>
          </w:r>
          <w:r>
            <w:rPr>
              <w:sz w:val="28"/>
              <w:szCs w:val="28"/>
            </w:rPr>
            <w:instrText xml:space="preserve"> PAGEREF _Toc13330 \h </w:instrText>
          </w:r>
          <w:r>
            <w:rPr>
              <w:sz w:val="28"/>
              <w:szCs w:val="28"/>
            </w:rPr>
            <w:fldChar w:fldCharType="separate"/>
          </w:r>
          <w:r>
            <w:rPr>
              <w:sz w:val="28"/>
              <w:szCs w:val="28"/>
            </w:rPr>
            <w:t>87</w:t>
          </w:r>
          <w:r>
            <w:rPr>
              <w:sz w:val="28"/>
              <w:szCs w:val="28"/>
            </w:rPr>
            <w:fldChar w:fldCharType="end"/>
          </w: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end"/>
          </w:r>
        </w:p>
        <w:p w14:paraId="2A7748E9">
          <w:pPr>
            <w:pStyle w:val="16"/>
            <w:tabs>
              <w:tab w:val="right" w:leader="dot" w:pos="8306"/>
              <w:tab w:val="clear" w:pos="9259"/>
            </w:tabs>
            <w:spacing w:line="360" w:lineRule="auto"/>
            <w:rPr>
              <w:rFonts w:hint="default" w:eastAsiaTheme="minorEastAsia"/>
              <w:sz w:val="28"/>
              <w:szCs w:val="28"/>
              <w:lang w:val="en-US" w:eastAsia="zh-CN"/>
            </w:rPr>
          </w:pP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begin"/>
          </w:r>
          <w:r>
            <w:rPr>
              <w:rFonts w:hint="eastAsia" w:asciiTheme="minorEastAsia" w:hAnsiTheme="minorEastAsia" w:eastAsiaTheme="minorEastAsia" w:cstheme="minorEastAsia"/>
              <w:bCs w:val="0"/>
              <w:sz w:val="28"/>
              <w:szCs w:val="22"/>
            </w:rPr>
            <w:instrText xml:space="preserve"> HYPERLINK \l _Toc21578 </w:instrText>
          </w:r>
          <w:r>
            <w:rPr>
              <w:rFonts w:hint="eastAsia" w:asciiTheme="minorEastAsia" w:hAnsiTheme="minorEastAsia" w:eastAsiaTheme="minorEastAsia" w:cstheme="minorEastAsia"/>
              <w:bCs w:val="0"/>
              <w:sz w:val="28"/>
              <w:szCs w:val="22"/>
            </w:rPr>
            <w:fldChar w:fldCharType="separate"/>
          </w:r>
          <w:r>
            <w:rPr>
              <w:rFonts w:hint="eastAsia"/>
              <w:sz w:val="28"/>
              <w:szCs w:val="48"/>
              <w:lang w:val="en-US" w:eastAsia="zh-CN"/>
            </w:rPr>
            <w:t>第六章  响应文件格式</w:t>
          </w:r>
          <w:r>
            <w:rPr>
              <w:sz w:val="28"/>
              <w:szCs w:val="28"/>
            </w:rPr>
            <w:tab/>
          </w:r>
          <w:r>
            <w:rPr>
              <w:rFonts w:hint="eastAsia"/>
              <w:sz w:val="28"/>
              <w:szCs w:val="28"/>
              <w:lang w:val="en-US" w:eastAsia="zh-CN"/>
            </w:rPr>
            <w:t>1</w:t>
          </w: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end"/>
          </w:r>
          <w:r>
            <w:rPr>
              <w:rFonts w:hint="eastAsia" w:asciiTheme="minorEastAsia" w:hAnsiTheme="minorEastAsia" w:cstheme="minorEastAsia"/>
              <w:bCs w:val="0"/>
              <w:color w:val="000000" w:themeColor="text1"/>
              <w:sz w:val="28"/>
              <w:szCs w:val="22"/>
              <w:lang w:val="en-US" w:eastAsia="zh-CN"/>
              <w14:textFill>
                <w14:solidFill>
                  <w14:schemeClr w14:val="tx1"/>
                </w14:solidFill>
              </w14:textFill>
            </w:rPr>
            <w:t>03</w:t>
          </w:r>
        </w:p>
        <w:p w14:paraId="1B20B578">
          <w:pPr>
            <w:pStyle w:val="16"/>
            <w:tabs>
              <w:tab w:val="right" w:leader="dot" w:pos="8306"/>
              <w:tab w:val="clear" w:pos="9259"/>
            </w:tabs>
            <w:spacing w:line="360" w:lineRule="auto"/>
            <w:rPr>
              <w:rFonts w:hint="default" w:eastAsiaTheme="minorEastAsia"/>
              <w:sz w:val="28"/>
              <w:szCs w:val="28"/>
              <w:lang w:val="en-US" w:eastAsia="zh-CN"/>
            </w:rPr>
          </w:pP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begin"/>
          </w:r>
          <w:r>
            <w:rPr>
              <w:rFonts w:hint="eastAsia" w:asciiTheme="minorEastAsia" w:hAnsiTheme="minorEastAsia" w:eastAsiaTheme="minorEastAsia" w:cstheme="minorEastAsia"/>
              <w:bCs w:val="0"/>
              <w:sz w:val="28"/>
              <w:szCs w:val="22"/>
            </w:rPr>
            <w:instrText xml:space="preserve"> HYPERLINK \l _Toc7192 </w:instrText>
          </w:r>
          <w:r>
            <w:rPr>
              <w:rFonts w:hint="eastAsia" w:asciiTheme="minorEastAsia" w:hAnsiTheme="minorEastAsia" w:eastAsiaTheme="minorEastAsia" w:cstheme="minorEastAsia"/>
              <w:bCs w:val="0"/>
              <w:sz w:val="28"/>
              <w:szCs w:val="22"/>
            </w:rPr>
            <w:fldChar w:fldCharType="separate"/>
          </w:r>
          <w:r>
            <w:rPr>
              <w:rFonts w:hint="eastAsia"/>
              <w:bCs/>
              <w:sz w:val="28"/>
              <w:szCs w:val="28"/>
              <w:lang w:val="en-US" w:eastAsia="zh-CN"/>
            </w:rPr>
            <w:t>一、响应函</w:t>
          </w:r>
          <w:r>
            <w:rPr>
              <w:sz w:val="28"/>
              <w:szCs w:val="28"/>
            </w:rPr>
            <w:tab/>
          </w:r>
          <w:r>
            <w:rPr>
              <w:rFonts w:hint="eastAsia"/>
              <w:sz w:val="28"/>
              <w:szCs w:val="28"/>
              <w:lang w:val="en-US" w:eastAsia="zh-CN"/>
            </w:rPr>
            <w:t>1</w:t>
          </w: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end"/>
          </w:r>
          <w:r>
            <w:rPr>
              <w:rFonts w:hint="eastAsia" w:asciiTheme="minorEastAsia" w:hAnsiTheme="minorEastAsia" w:cstheme="minorEastAsia"/>
              <w:bCs w:val="0"/>
              <w:color w:val="000000" w:themeColor="text1"/>
              <w:sz w:val="28"/>
              <w:szCs w:val="22"/>
              <w:lang w:val="en-US" w:eastAsia="zh-CN"/>
              <w14:textFill>
                <w14:solidFill>
                  <w14:schemeClr w14:val="tx1"/>
                </w14:solidFill>
              </w14:textFill>
            </w:rPr>
            <w:t>04</w:t>
          </w:r>
        </w:p>
        <w:p w14:paraId="67153A4A">
          <w:pPr>
            <w:pStyle w:val="16"/>
            <w:tabs>
              <w:tab w:val="right" w:leader="dot" w:pos="8306"/>
              <w:tab w:val="clear" w:pos="9259"/>
            </w:tabs>
            <w:spacing w:line="360" w:lineRule="auto"/>
            <w:rPr>
              <w:rFonts w:hint="default" w:eastAsiaTheme="minorEastAsia"/>
              <w:sz w:val="28"/>
              <w:szCs w:val="28"/>
              <w:lang w:val="en-US" w:eastAsia="zh-CN"/>
            </w:rPr>
          </w:pP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begin"/>
          </w:r>
          <w:r>
            <w:rPr>
              <w:rFonts w:hint="eastAsia" w:asciiTheme="minorEastAsia" w:hAnsiTheme="minorEastAsia" w:eastAsiaTheme="minorEastAsia" w:cstheme="minorEastAsia"/>
              <w:bCs w:val="0"/>
              <w:sz w:val="28"/>
              <w:szCs w:val="22"/>
            </w:rPr>
            <w:instrText xml:space="preserve"> HYPERLINK \l _Toc18369 </w:instrText>
          </w:r>
          <w:r>
            <w:rPr>
              <w:rFonts w:hint="eastAsia" w:asciiTheme="minorEastAsia" w:hAnsiTheme="minorEastAsia" w:eastAsiaTheme="minorEastAsia" w:cstheme="minorEastAsia"/>
              <w:bCs w:val="0"/>
              <w:sz w:val="28"/>
              <w:szCs w:val="22"/>
            </w:rPr>
            <w:fldChar w:fldCharType="separate"/>
          </w:r>
          <w:r>
            <w:rPr>
              <w:rFonts w:hint="eastAsia"/>
              <w:bCs/>
              <w:sz w:val="28"/>
              <w:szCs w:val="28"/>
              <w:lang w:val="en-US" w:eastAsia="zh-CN"/>
            </w:rPr>
            <w:t>二、授权委托书</w:t>
          </w:r>
          <w:r>
            <w:rPr>
              <w:sz w:val="28"/>
              <w:szCs w:val="28"/>
            </w:rPr>
            <w:tab/>
          </w:r>
          <w:r>
            <w:rPr>
              <w:rFonts w:hint="eastAsia"/>
              <w:sz w:val="28"/>
              <w:szCs w:val="28"/>
              <w:lang w:val="en-US" w:eastAsia="zh-CN"/>
            </w:rPr>
            <w:t>1</w:t>
          </w: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end"/>
          </w:r>
          <w:r>
            <w:rPr>
              <w:rFonts w:hint="eastAsia" w:asciiTheme="minorEastAsia" w:hAnsiTheme="minorEastAsia" w:cstheme="minorEastAsia"/>
              <w:bCs w:val="0"/>
              <w:color w:val="000000" w:themeColor="text1"/>
              <w:sz w:val="28"/>
              <w:szCs w:val="22"/>
              <w:lang w:val="en-US" w:eastAsia="zh-CN"/>
              <w14:textFill>
                <w14:solidFill>
                  <w14:schemeClr w14:val="tx1"/>
                </w14:solidFill>
              </w14:textFill>
            </w:rPr>
            <w:t>05</w:t>
          </w:r>
        </w:p>
        <w:p w14:paraId="737A2DAB">
          <w:pPr>
            <w:pStyle w:val="16"/>
            <w:tabs>
              <w:tab w:val="right" w:leader="dot" w:pos="8306"/>
              <w:tab w:val="clear" w:pos="9259"/>
            </w:tabs>
            <w:spacing w:line="360" w:lineRule="auto"/>
            <w:rPr>
              <w:rFonts w:hint="default" w:eastAsiaTheme="minorEastAsia"/>
              <w:sz w:val="28"/>
              <w:szCs w:val="28"/>
              <w:lang w:val="en-US" w:eastAsia="zh-CN"/>
            </w:rPr>
          </w:pP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begin"/>
          </w:r>
          <w:r>
            <w:rPr>
              <w:rFonts w:hint="eastAsia" w:asciiTheme="minorEastAsia" w:hAnsiTheme="minorEastAsia" w:eastAsiaTheme="minorEastAsia" w:cstheme="minorEastAsia"/>
              <w:bCs w:val="0"/>
              <w:sz w:val="28"/>
              <w:szCs w:val="22"/>
            </w:rPr>
            <w:instrText xml:space="preserve"> HYPERLINK \l _Toc1597 </w:instrText>
          </w:r>
          <w:r>
            <w:rPr>
              <w:rFonts w:hint="eastAsia" w:asciiTheme="minorEastAsia" w:hAnsiTheme="minorEastAsia" w:eastAsiaTheme="minorEastAsia" w:cstheme="minorEastAsia"/>
              <w:bCs w:val="0"/>
              <w:sz w:val="28"/>
              <w:szCs w:val="22"/>
            </w:rPr>
            <w:fldChar w:fldCharType="separate"/>
          </w:r>
          <w:r>
            <w:rPr>
              <w:rFonts w:hint="eastAsia"/>
              <w:bCs/>
              <w:sz w:val="28"/>
              <w:szCs w:val="28"/>
              <w:lang w:val="en-US" w:eastAsia="zh-CN"/>
            </w:rPr>
            <w:t>三、响应报价表</w:t>
          </w:r>
          <w:r>
            <w:rPr>
              <w:sz w:val="28"/>
              <w:szCs w:val="28"/>
            </w:rPr>
            <w:tab/>
          </w:r>
          <w:r>
            <w:rPr>
              <w:rFonts w:hint="eastAsia"/>
              <w:sz w:val="28"/>
              <w:szCs w:val="28"/>
              <w:lang w:val="en-US" w:eastAsia="zh-CN"/>
            </w:rPr>
            <w:t>1</w:t>
          </w: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end"/>
          </w:r>
          <w:r>
            <w:rPr>
              <w:rFonts w:hint="eastAsia" w:asciiTheme="minorEastAsia" w:hAnsiTheme="minorEastAsia" w:cstheme="minorEastAsia"/>
              <w:bCs w:val="0"/>
              <w:color w:val="000000" w:themeColor="text1"/>
              <w:sz w:val="28"/>
              <w:szCs w:val="22"/>
              <w:lang w:val="en-US" w:eastAsia="zh-CN"/>
              <w14:textFill>
                <w14:solidFill>
                  <w14:schemeClr w14:val="tx1"/>
                </w14:solidFill>
              </w14:textFill>
            </w:rPr>
            <w:t>06</w:t>
          </w:r>
        </w:p>
        <w:p w14:paraId="03377854">
          <w:pPr>
            <w:pStyle w:val="16"/>
            <w:tabs>
              <w:tab w:val="right" w:leader="dot" w:pos="8306"/>
              <w:tab w:val="clear" w:pos="9259"/>
            </w:tabs>
            <w:spacing w:line="360" w:lineRule="auto"/>
            <w:rPr>
              <w:rFonts w:hint="default" w:asciiTheme="minorEastAsia" w:hAnsiTheme="minorEastAsia" w:cstheme="minorEastAsia"/>
              <w:bCs w:val="0"/>
              <w:color w:val="000000" w:themeColor="text1"/>
              <w:sz w:val="28"/>
              <w:szCs w:val="22"/>
              <w:lang w:val="en-US" w:eastAsia="zh-CN"/>
              <w14:textFill>
                <w14:solidFill>
                  <w14:schemeClr w14:val="tx1"/>
                </w14:solidFill>
              </w14:textFill>
            </w:rPr>
          </w:pP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begin"/>
          </w:r>
          <w:r>
            <w:rPr>
              <w:rFonts w:hint="eastAsia" w:asciiTheme="minorEastAsia" w:hAnsiTheme="minorEastAsia" w:eastAsiaTheme="minorEastAsia" w:cstheme="minorEastAsia"/>
              <w:bCs w:val="0"/>
              <w:sz w:val="28"/>
              <w:szCs w:val="22"/>
            </w:rPr>
            <w:instrText xml:space="preserve"> HYPERLINK \l _Toc26195 </w:instrText>
          </w:r>
          <w:r>
            <w:rPr>
              <w:rFonts w:hint="eastAsia" w:asciiTheme="minorEastAsia" w:hAnsiTheme="minorEastAsia" w:eastAsiaTheme="minorEastAsia" w:cstheme="minorEastAsia"/>
              <w:bCs w:val="0"/>
              <w:sz w:val="28"/>
              <w:szCs w:val="22"/>
            </w:rPr>
            <w:fldChar w:fldCharType="separate"/>
          </w:r>
          <w:r>
            <w:rPr>
              <w:rFonts w:hint="eastAsia"/>
              <w:bCs/>
              <w:sz w:val="28"/>
              <w:szCs w:val="28"/>
              <w:lang w:val="en-US" w:eastAsia="zh-CN"/>
            </w:rPr>
            <w:t>四、商务和技术偏差表</w:t>
          </w:r>
          <w:r>
            <w:rPr>
              <w:sz w:val="28"/>
              <w:szCs w:val="28"/>
            </w:rPr>
            <w:tab/>
          </w:r>
          <w:r>
            <w:rPr>
              <w:rFonts w:hint="eastAsia"/>
              <w:sz w:val="28"/>
              <w:szCs w:val="28"/>
              <w:lang w:val="en-US" w:eastAsia="zh-CN"/>
            </w:rPr>
            <w:t>1</w:t>
          </w: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end"/>
          </w:r>
          <w:r>
            <w:rPr>
              <w:rFonts w:hint="eastAsia" w:asciiTheme="minorEastAsia" w:hAnsiTheme="minorEastAsia" w:cstheme="minorEastAsia"/>
              <w:bCs w:val="0"/>
              <w:color w:val="000000" w:themeColor="text1"/>
              <w:sz w:val="28"/>
              <w:szCs w:val="22"/>
              <w:lang w:val="en-US" w:eastAsia="zh-CN"/>
              <w14:textFill>
                <w14:solidFill>
                  <w14:schemeClr w14:val="tx1"/>
                </w14:solidFill>
              </w14:textFill>
            </w:rPr>
            <w:t>06</w:t>
          </w:r>
        </w:p>
        <w:p w14:paraId="03A8BD5B">
          <w:pPr>
            <w:pStyle w:val="16"/>
            <w:tabs>
              <w:tab w:val="right" w:leader="dot" w:pos="8306"/>
              <w:tab w:val="clear" w:pos="9259"/>
            </w:tabs>
            <w:spacing w:line="360" w:lineRule="auto"/>
            <w:rPr>
              <w:rFonts w:hint="default" w:eastAsiaTheme="minorEastAsia"/>
              <w:sz w:val="28"/>
              <w:szCs w:val="28"/>
              <w:lang w:val="en-US" w:eastAsia="zh-CN"/>
            </w:rPr>
          </w:pP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begin"/>
          </w:r>
          <w:r>
            <w:rPr>
              <w:rFonts w:hint="eastAsia" w:asciiTheme="minorEastAsia" w:hAnsiTheme="minorEastAsia" w:eastAsiaTheme="minorEastAsia" w:cstheme="minorEastAsia"/>
              <w:bCs w:val="0"/>
              <w:sz w:val="28"/>
              <w:szCs w:val="22"/>
            </w:rPr>
            <w:instrText xml:space="preserve"> HYPERLINK \l _Toc1597 </w:instrText>
          </w:r>
          <w:r>
            <w:rPr>
              <w:rFonts w:hint="eastAsia" w:asciiTheme="minorEastAsia" w:hAnsiTheme="minorEastAsia" w:eastAsiaTheme="minorEastAsia" w:cstheme="minorEastAsia"/>
              <w:bCs w:val="0"/>
              <w:sz w:val="28"/>
              <w:szCs w:val="22"/>
            </w:rPr>
            <w:fldChar w:fldCharType="separate"/>
          </w:r>
          <w:r>
            <w:rPr>
              <w:rFonts w:hint="eastAsia"/>
              <w:bCs/>
              <w:sz w:val="28"/>
              <w:szCs w:val="28"/>
              <w:lang w:val="en-US" w:eastAsia="zh-CN"/>
            </w:rPr>
            <w:t>五、资格审查</w:t>
          </w:r>
          <w:r>
            <w:rPr>
              <w:sz w:val="28"/>
              <w:szCs w:val="28"/>
            </w:rPr>
            <w:tab/>
          </w:r>
          <w:r>
            <w:rPr>
              <w:rFonts w:hint="eastAsia"/>
              <w:sz w:val="28"/>
              <w:szCs w:val="28"/>
              <w:lang w:val="en-US" w:eastAsia="zh-CN"/>
            </w:rPr>
            <w:t>1</w:t>
          </w: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end"/>
          </w:r>
          <w:r>
            <w:rPr>
              <w:rFonts w:hint="eastAsia" w:asciiTheme="minorEastAsia" w:hAnsiTheme="minorEastAsia" w:cstheme="minorEastAsia"/>
              <w:bCs w:val="0"/>
              <w:color w:val="000000" w:themeColor="text1"/>
              <w:sz w:val="28"/>
              <w:szCs w:val="22"/>
              <w:lang w:val="en-US" w:eastAsia="zh-CN"/>
              <w14:textFill>
                <w14:solidFill>
                  <w14:schemeClr w14:val="tx1"/>
                </w14:solidFill>
              </w14:textFill>
            </w:rPr>
            <w:t>10</w:t>
          </w:r>
        </w:p>
        <w:p w14:paraId="1C816457">
          <w:pPr>
            <w:pStyle w:val="16"/>
            <w:tabs>
              <w:tab w:val="right" w:leader="dot" w:pos="8306"/>
              <w:tab w:val="clear" w:pos="9259"/>
            </w:tabs>
            <w:spacing w:line="360" w:lineRule="auto"/>
            <w:rPr>
              <w:rFonts w:hint="default" w:eastAsiaTheme="minorEastAsia"/>
              <w:sz w:val="28"/>
              <w:szCs w:val="28"/>
              <w:lang w:val="en-US" w:eastAsia="zh-CN"/>
            </w:rPr>
          </w:pP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begin"/>
          </w:r>
          <w:r>
            <w:rPr>
              <w:rFonts w:hint="eastAsia" w:asciiTheme="minorEastAsia" w:hAnsiTheme="minorEastAsia" w:eastAsiaTheme="minorEastAsia" w:cstheme="minorEastAsia"/>
              <w:bCs w:val="0"/>
              <w:sz w:val="28"/>
              <w:szCs w:val="22"/>
            </w:rPr>
            <w:instrText xml:space="preserve"> HYPERLINK \l _Toc5025 </w:instrText>
          </w:r>
          <w:r>
            <w:rPr>
              <w:rFonts w:hint="eastAsia" w:asciiTheme="minorEastAsia" w:hAnsiTheme="minorEastAsia" w:eastAsiaTheme="minorEastAsia" w:cstheme="minorEastAsia"/>
              <w:bCs w:val="0"/>
              <w:sz w:val="28"/>
              <w:szCs w:val="22"/>
            </w:rPr>
            <w:fldChar w:fldCharType="separate"/>
          </w:r>
          <w:r>
            <w:rPr>
              <w:rFonts w:hint="eastAsia"/>
              <w:bCs/>
              <w:sz w:val="28"/>
              <w:szCs w:val="28"/>
              <w:lang w:val="en-US" w:eastAsia="zh-CN"/>
            </w:rPr>
            <w:t>六、施工方案</w:t>
          </w:r>
          <w:r>
            <w:rPr>
              <w:sz w:val="28"/>
              <w:szCs w:val="28"/>
            </w:rPr>
            <w:tab/>
          </w:r>
          <w:r>
            <w:rPr>
              <w:rFonts w:hint="eastAsia"/>
              <w:sz w:val="28"/>
              <w:szCs w:val="28"/>
              <w:lang w:val="en-US" w:eastAsia="zh-CN"/>
            </w:rPr>
            <w:t>1</w:t>
          </w: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end"/>
          </w:r>
          <w:r>
            <w:rPr>
              <w:rFonts w:hint="eastAsia" w:asciiTheme="minorEastAsia" w:hAnsiTheme="minorEastAsia" w:cstheme="minorEastAsia"/>
              <w:bCs w:val="0"/>
              <w:color w:val="000000" w:themeColor="text1"/>
              <w:sz w:val="28"/>
              <w:szCs w:val="22"/>
              <w:lang w:val="en-US" w:eastAsia="zh-CN"/>
              <w14:textFill>
                <w14:solidFill>
                  <w14:schemeClr w14:val="tx1"/>
                </w14:solidFill>
              </w14:textFill>
            </w:rPr>
            <w:t>14</w:t>
          </w:r>
        </w:p>
        <w:p w14:paraId="035AEE3E">
          <w:pPr>
            <w:pStyle w:val="16"/>
            <w:tabs>
              <w:tab w:val="right" w:leader="dot" w:pos="8306"/>
              <w:tab w:val="clear" w:pos="9259"/>
            </w:tabs>
            <w:spacing w:line="360" w:lineRule="auto"/>
            <w:rPr>
              <w:rFonts w:hint="default" w:eastAsiaTheme="minorEastAsia"/>
              <w:lang w:val="en-US" w:eastAsia="zh-CN"/>
            </w:rPr>
          </w:pP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begin"/>
          </w:r>
          <w:r>
            <w:rPr>
              <w:rFonts w:hint="eastAsia" w:asciiTheme="minorEastAsia" w:hAnsiTheme="minorEastAsia" w:eastAsiaTheme="minorEastAsia" w:cstheme="minorEastAsia"/>
              <w:bCs w:val="0"/>
              <w:sz w:val="28"/>
              <w:szCs w:val="22"/>
            </w:rPr>
            <w:instrText xml:space="preserve"> HYPERLINK \l _Toc629 </w:instrText>
          </w:r>
          <w:r>
            <w:rPr>
              <w:rFonts w:hint="eastAsia" w:asciiTheme="minorEastAsia" w:hAnsiTheme="minorEastAsia" w:eastAsiaTheme="minorEastAsia" w:cstheme="minorEastAsia"/>
              <w:bCs w:val="0"/>
              <w:sz w:val="28"/>
              <w:szCs w:val="22"/>
            </w:rPr>
            <w:fldChar w:fldCharType="separate"/>
          </w:r>
          <w:r>
            <w:rPr>
              <w:rFonts w:hint="eastAsia"/>
              <w:bCs/>
              <w:sz w:val="28"/>
              <w:szCs w:val="28"/>
              <w:lang w:val="en-US" w:eastAsia="zh-CN"/>
            </w:rPr>
            <w:t>七、其他资料</w:t>
          </w:r>
          <w:r>
            <w:rPr>
              <w:sz w:val="28"/>
              <w:szCs w:val="28"/>
            </w:rPr>
            <w:tab/>
          </w:r>
          <w:r>
            <w:rPr>
              <w:rFonts w:hint="eastAsia"/>
              <w:sz w:val="28"/>
              <w:szCs w:val="28"/>
              <w:lang w:val="en-US" w:eastAsia="zh-CN"/>
            </w:rPr>
            <w:t>1</w:t>
          </w:r>
          <w:r>
            <w:rPr>
              <w:rFonts w:hint="eastAsia" w:asciiTheme="minorEastAsia" w:hAnsiTheme="minorEastAsia" w:eastAsiaTheme="minorEastAsia" w:cstheme="minorEastAsia"/>
              <w:bCs w:val="0"/>
              <w:color w:val="000000" w:themeColor="text1"/>
              <w:sz w:val="28"/>
              <w:szCs w:val="22"/>
              <w14:textFill>
                <w14:solidFill>
                  <w14:schemeClr w14:val="tx1"/>
                </w14:solidFill>
              </w14:textFill>
            </w:rPr>
            <w:fldChar w:fldCharType="end"/>
          </w:r>
          <w:r>
            <w:rPr>
              <w:rFonts w:hint="eastAsia" w:asciiTheme="minorEastAsia" w:hAnsiTheme="minorEastAsia" w:cstheme="minorEastAsia"/>
              <w:bCs w:val="0"/>
              <w:color w:val="000000" w:themeColor="text1"/>
              <w:sz w:val="28"/>
              <w:szCs w:val="22"/>
              <w:lang w:val="en-US" w:eastAsia="zh-CN"/>
              <w14:textFill>
                <w14:solidFill>
                  <w14:schemeClr w14:val="tx1"/>
                </w14:solidFill>
              </w14:textFill>
            </w:rPr>
            <w:t>15</w:t>
          </w:r>
        </w:p>
        <w:p w14:paraId="5CB8DFC7">
          <w:pP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Cs w:val="0"/>
              <w:color w:val="000000" w:themeColor="text1"/>
              <w:szCs w:val="24"/>
              <w14:textFill>
                <w14:solidFill>
                  <w14:schemeClr w14:val="tx1"/>
                </w14:solidFill>
              </w14:textFill>
            </w:rPr>
            <w:fldChar w:fldCharType="end"/>
          </w:r>
        </w:p>
      </w:sdtContent>
    </w:sdt>
    <w:p w14:paraId="3F6A8AAA">
      <w:pPr>
        <w:tabs>
          <w:tab w:val="left" w:pos="1732"/>
        </w:tabs>
        <w:bidi w:val="0"/>
        <w:jc w:val="left"/>
        <w:rPr>
          <w:rFonts w:hint="eastAsia" w:asciiTheme="minorEastAsia" w:hAnsiTheme="minorEastAsia" w:eastAsiaTheme="minorEastAsia" w:cstheme="minorEastAsia"/>
          <w:b w:val="0"/>
          <w:bCs w:val="0"/>
          <w:color w:val="000000" w:themeColor="text1"/>
          <w:sz w:val="24"/>
          <w:szCs w:val="24"/>
          <w:lang w:val="zh-TW" w:eastAsia="zh-CN"/>
          <w14:textFill>
            <w14:solidFill>
              <w14:schemeClr w14:val="tx1"/>
            </w14:solidFill>
          </w14:textFill>
        </w:rPr>
        <w:sectPr>
          <w:footerReference r:id="rId4" w:type="default"/>
          <w:pgSz w:w="11906" w:h="16838"/>
          <w:pgMar w:top="1440" w:right="1800" w:bottom="1440" w:left="1800" w:header="851" w:footer="992" w:gutter="0"/>
          <w:pgNumType w:fmt="decimal" w:start="1"/>
          <w:cols w:space="0" w:num="1"/>
          <w:rtlGutter w:val="0"/>
          <w:docGrid w:type="lines" w:linePitch="312" w:charSpace="0"/>
        </w:sectPr>
      </w:pPr>
    </w:p>
    <w:p w14:paraId="5F12EFF9">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asciiTheme="minorHAnsi" w:hAnsiTheme="minorHAnsi" w:eastAsiaTheme="minorEastAsia" w:cstheme="minorBidi"/>
          <w:b/>
          <w:color w:val="000000" w:themeColor="text1"/>
          <w:kern w:val="44"/>
          <w:sz w:val="52"/>
          <w:szCs w:val="52"/>
          <w:lang w:val="en-US" w:eastAsia="zh-CN" w:bidi="ar-SA"/>
          <w14:textFill>
            <w14:solidFill>
              <w14:schemeClr w14:val="tx1"/>
            </w14:solidFill>
          </w14:textFill>
        </w:rPr>
      </w:pPr>
      <w:bookmarkStart w:id="3" w:name="_Toc17381"/>
      <w:bookmarkStart w:id="4" w:name="_Toc12647"/>
      <w:bookmarkStart w:id="5" w:name="_Toc5021"/>
    </w:p>
    <w:p w14:paraId="38DCBFB6">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asciiTheme="minorHAnsi" w:hAnsiTheme="minorHAnsi" w:eastAsiaTheme="minorEastAsia" w:cstheme="minorBidi"/>
          <w:b/>
          <w:color w:val="000000" w:themeColor="text1"/>
          <w:kern w:val="44"/>
          <w:sz w:val="52"/>
          <w:szCs w:val="52"/>
          <w:lang w:val="en-US" w:eastAsia="zh-CN" w:bidi="ar-SA"/>
          <w14:textFill>
            <w14:solidFill>
              <w14:schemeClr w14:val="tx1"/>
            </w14:solidFill>
          </w14:textFill>
        </w:rPr>
      </w:pPr>
    </w:p>
    <w:p w14:paraId="44BD970B">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asciiTheme="minorHAnsi" w:hAnsiTheme="minorHAnsi" w:eastAsiaTheme="minorEastAsia" w:cstheme="minorBidi"/>
          <w:b/>
          <w:color w:val="000000" w:themeColor="text1"/>
          <w:kern w:val="44"/>
          <w:sz w:val="52"/>
          <w:szCs w:val="52"/>
          <w:lang w:val="en-US" w:eastAsia="zh-CN" w:bidi="ar-SA"/>
          <w14:textFill>
            <w14:solidFill>
              <w14:schemeClr w14:val="tx1"/>
            </w14:solidFill>
          </w14:textFill>
        </w:rPr>
      </w:pPr>
    </w:p>
    <w:p w14:paraId="5D39C0AE">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asciiTheme="minorHAnsi" w:hAnsiTheme="minorHAnsi" w:eastAsiaTheme="minorEastAsia" w:cstheme="minorBidi"/>
          <w:b/>
          <w:color w:val="000000" w:themeColor="text1"/>
          <w:kern w:val="44"/>
          <w:sz w:val="52"/>
          <w:szCs w:val="52"/>
          <w:lang w:val="en-US" w:eastAsia="zh-CN" w:bidi="ar-SA"/>
          <w14:textFill>
            <w14:solidFill>
              <w14:schemeClr w14:val="tx1"/>
            </w14:solidFill>
          </w14:textFill>
        </w:rPr>
      </w:pPr>
    </w:p>
    <w:p w14:paraId="0634F906">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default" w:ascii="宋体" w:hAnsi="宋体" w:eastAsia="宋体" w:cs="宋体"/>
          <w:b/>
          <w:bCs/>
          <w:color w:val="000000" w:themeColor="text1"/>
          <w:kern w:val="0"/>
          <w:position w:val="-5"/>
          <w:sz w:val="28"/>
          <w:szCs w:val="28"/>
          <w:highlight w:val="none"/>
          <w:u w:val="none"/>
          <w:lang w:val="en-US" w:eastAsia="zh-CN"/>
          <w14:textFill>
            <w14:solidFill>
              <w14:schemeClr w14:val="tx1"/>
            </w14:solidFill>
          </w14:textFill>
        </w:rPr>
      </w:pPr>
      <w:bookmarkStart w:id="6" w:name="_Toc19881"/>
      <w:r>
        <w:rPr>
          <w:rFonts w:hint="eastAsia" w:asciiTheme="minorHAnsi" w:hAnsiTheme="minorHAnsi" w:eastAsiaTheme="minorEastAsia" w:cstheme="minorBidi"/>
          <w:b/>
          <w:color w:val="000000" w:themeColor="text1"/>
          <w:kern w:val="44"/>
          <w:sz w:val="52"/>
          <w:szCs w:val="52"/>
          <w:lang w:val="en-US" w:eastAsia="zh-CN" w:bidi="ar-SA"/>
          <w14:textFill>
            <w14:solidFill>
              <w14:schemeClr w14:val="tx1"/>
            </w14:solidFill>
          </w14:textFill>
        </w:rPr>
        <w:t>第一章</w:t>
      </w:r>
      <w:r>
        <w:rPr>
          <w:rFonts w:hint="eastAsia" w:cstheme="minorBidi"/>
          <w:b/>
          <w:color w:val="000000" w:themeColor="text1"/>
          <w:kern w:val="44"/>
          <w:sz w:val="52"/>
          <w:szCs w:val="52"/>
          <w:lang w:val="en-US" w:eastAsia="zh-CN" w:bidi="ar-SA"/>
          <w14:textFill>
            <w14:solidFill>
              <w14:schemeClr w14:val="tx1"/>
            </w14:solidFill>
          </w14:textFill>
        </w:rPr>
        <w:t xml:space="preserve">  </w:t>
      </w:r>
      <w:r>
        <w:rPr>
          <w:rFonts w:hint="eastAsia" w:asciiTheme="minorHAnsi" w:hAnsiTheme="minorHAnsi" w:eastAsiaTheme="minorEastAsia" w:cstheme="minorBidi"/>
          <w:b/>
          <w:color w:val="000000" w:themeColor="text1"/>
          <w:kern w:val="44"/>
          <w:sz w:val="52"/>
          <w:szCs w:val="52"/>
          <w:lang w:val="zh-CN" w:eastAsia="zh-CN" w:bidi="ar-SA"/>
          <w14:textFill>
            <w14:solidFill>
              <w14:schemeClr w14:val="tx1"/>
            </w14:solidFill>
          </w14:textFill>
        </w:rPr>
        <w:t>询比</w:t>
      </w:r>
      <w:r>
        <w:rPr>
          <w:rFonts w:hint="eastAsia" w:asciiTheme="minorHAnsi" w:hAnsiTheme="minorHAnsi" w:eastAsiaTheme="minorEastAsia" w:cstheme="minorBidi"/>
          <w:b/>
          <w:color w:val="000000" w:themeColor="text1"/>
          <w:kern w:val="44"/>
          <w:sz w:val="52"/>
          <w:szCs w:val="52"/>
          <w:lang w:val="en-US" w:eastAsia="zh-CN" w:bidi="ar-SA"/>
          <w14:textFill>
            <w14:solidFill>
              <w14:schemeClr w14:val="tx1"/>
            </w14:solidFill>
          </w14:textFill>
        </w:rPr>
        <w:t>采购公告</w:t>
      </w:r>
      <w:r>
        <w:rPr>
          <w:rFonts w:hint="default" w:ascii="宋体" w:hAnsi="宋体" w:eastAsia="宋体" w:cs="宋体"/>
          <w:b/>
          <w:bCs/>
          <w:color w:val="000000" w:themeColor="text1"/>
          <w:kern w:val="0"/>
          <w:position w:val="-5"/>
          <w:sz w:val="28"/>
          <w:szCs w:val="28"/>
          <w:highlight w:val="none"/>
          <w:u w:val="none"/>
          <w:lang w:val="en-US" w:eastAsia="zh-CN"/>
          <w14:textFill>
            <w14:solidFill>
              <w14:schemeClr w14:val="tx1"/>
            </w14:solidFill>
          </w14:textFill>
        </w:rPr>
        <w:br w:type="page"/>
      </w:r>
      <w:bookmarkEnd w:id="6"/>
    </w:p>
    <w:p w14:paraId="1C5F6F3B">
      <w:pPr>
        <w:pageBreakBefore w:val="0"/>
        <w:widowControl w:val="0"/>
        <w:tabs>
          <w:tab w:val="left" w:pos="3100"/>
        </w:tabs>
        <w:kinsoku/>
        <w:wordWrap/>
        <w:overflowPunct/>
        <w:topLinePunct w:val="0"/>
        <w:autoSpaceDE w:val="0"/>
        <w:autoSpaceDN w:val="0"/>
        <w:bidi w:val="0"/>
        <w:adjustRightInd w:val="0"/>
        <w:spacing w:line="480" w:lineRule="exact"/>
        <w:ind w:left="0" w:leftChars="0" w:right="0" w:rightChars="0" w:firstLine="0" w:firstLineChars="0"/>
        <w:jc w:val="center"/>
        <w:textAlignment w:val="auto"/>
        <w:outlineLvl w:val="0"/>
        <w:rPr>
          <w:rFonts w:hint="eastAsia" w:ascii="宋体" w:hAnsi="宋体" w:eastAsia="宋体" w:cs="宋体"/>
          <w:b/>
          <w:bCs/>
          <w:color w:val="000000" w:themeColor="text1"/>
          <w:kern w:val="0"/>
          <w:position w:val="-5"/>
          <w:sz w:val="36"/>
          <w:szCs w:val="36"/>
          <w:highlight w:val="none"/>
          <w:u w:val="none"/>
          <w:lang w:val="en-US" w:eastAsia="zh-CN"/>
          <w14:textFill>
            <w14:solidFill>
              <w14:schemeClr w14:val="tx1"/>
            </w14:solidFill>
          </w14:textFill>
        </w:rPr>
      </w:pPr>
      <w:bookmarkStart w:id="7" w:name="_Toc24458"/>
      <w:r>
        <w:rPr>
          <w:rFonts w:hint="eastAsia" w:ascii="宋体" w:hAnsi="宋体" w:eastAsia="宋体" w:cs="宋体"/>
          <w:b/>
          <w:bCs/>
          <w:color w:val="000000" w:themeColor="text1"/>
          <w:kern w:val="0"/>
          <w:position w:val="-5"/>
          <w:sz w:val="36"/>
          <w:szCs w:val="36"/>
          <w:highlight w:val="none"/>
          <w:u w:val="none"/>
          <w:lang w:val="en-US" w:eastAsia="zh-CN"/>
          <w14:textFill>
            <w14:solidFill>
              <w14:schemeClr w14:val="tx1"/>
            </w14:solidFill>
          </w14:textFill>
        </w:rPr>
        <w:t>青海民族大学博雅校区工科北楼智算中心维修保障项目</w:t>
      </w:r>
      <w:r>
        <w:rPr>
          <w:rFonts w:hint="eastAsia" w:ascii="宋体" w:hAnsi="宋体" w:eastAsia="宋体" w:cs="宋体"/>
          <w:b/>
          <w:bCs/>
          <w:color w:val="000000" w:themeColor="text1"/>
          <w:kern w:val="0"/>
          <w:position w:val="-5"/>
          <w:sz w:val="36"/>
          <w:szCs w:val="36"/>
          <w:highlight w:val="none"/>
          <w:u w:val="none"/>
          <w:lang w:val="zh-CN" w:eastAsia="zh-CN"/>
          <w14:textFill>
            <w14:solidFill>
              <w14:schemeClr w14:val="tx1"/>
            </w14:solidFill>
          </w14:textFill>
        </w:rPr>
        <w:t>询比采购</w:t>
      </w:r>
      <w:bookmarkEnd w:id="3"/>
      <w:bookmarkEnd w:id="4"/>
      <w:r>
        <w:rPr>
          <w:rFonts w:hint="eastAsia" w:ascii="宋体" w:hAnsi="宋体" w:eastAsia="宋体" w:cs="宋体"/>
          <w:b/>
          <w:bCs/>
          <w:color w:val="000000" w:themeColor="text1"/>
          <w:kern w:val="0"/>
          <w:position w:val="-5"/>
          <w:sz w:val="36"/>
          <w:szCs w:val="36"/>
          <w:highlight w:val="none"/>
          <w:u w:val="none"/>
          <w:lang w:val="en-US" w:eastAsia="zh-CN"/>
          <w14:textFill>
            <w14:solidFill>
              <w14:schemeClr w14:val="tx1"/>
            </w14:solidFill>
          </w14:textFill>
        </w:rPr>
        <w:t>公告</w:t>
      </w:r>
      <w:bookmarkEnd w:id="5"/>
      <w:bookmarkEnd w:id="7"/>
    </w:p>
    <w:p w14:paraId="068D8DEC">
      <w:pPr>
        <w:pStyle w:val="8"/>
        <w:rPr>
          <w:rFonts w:hint="eastAsia"/>
          <w:color w:val="000000" w:themeColor="text1"/>
          <w:highlight w:val="none"/>
          <w:lang w:val="zh-TW" w:eastAsia="zh-TW"/>
          <w14:textFill>
            <w14:solidFill>
              <w14:schemeClr w14:val="tx1"/>
            </w14:solidFill>
          </w14:textFill>
        </w:rPr>
      </w:pPr>
    </w:p>
    <w:p w14:paraId="198B1C16">
      <w:pPr>
        <w:keepNext w:val="0"/>
        <w:keepLines w:val="0"/>
        <w:pageBreakBefore w:val="0"/>
        <w:widowControl w:val="0"/>
        <w:shd w:val="clear" w:color="auto" w:fill="auto"/>
        <w:kinsoku/>
        <w:wordWrap/>
        <w:overflowPunct/>
        <w:topLinePunct w:val="0"/>
        <w:autoSpaceDE/>
        <w:autoSpaceDN/>
        <w:bidi w:val="0"/>
        <w:adjustRightInd w:val="0"/>
        <w:snapToGrid w:val="0"/>
        <w:spacing w:before="0" w:after="220" w:line="480" w:lineRule="exact"/>
        <w:ind w:right="0" w:firstLine="482" w:firstLineChars="200"/>
        <w:jc w:val="left"/>
        <w:textAlignment w:val="auto"/>
        <w:rPr>
          <w:rFonts w:hint="eastAsia" w:ascii="宋体" w:hAnsi="宋体" w:eastAsia="宋体" w:cs="宋体"/>
          <w:b w:val="0"/>
          <w:bCs w:val="0"/>
          <w:i w:val="0"/>
          <w:iCs w:val="0"/>
          <w:color w:val="000000" w:themeColor="text1"/>
          <w:kern w:val="0"/>
          <w:position w:val="-5"/>
          <w:sz w:val="24"/>
          <w:szCs w:val="24"/>
          <w:highlight w:val="none"/>
          <w:u w:val="none"/>
          <w:lang w:val="zh-TW" w:eastAsia="zh-TW"/>
          <w14:textFill>
            <w14:solidFill>
              <w14:schemeClr w14:val="tx1"/>
            </w14:solidFill>
          </w14:textFill>
        </w:rPr>
      </w:pPr>
      <w:r>
        <w:rPr>
          <w:rFonts w:hint="eastAsia" w:ascii="宋体" w:hAnsi="宋体" w:eastAsia="宋体" w:cs="宋体"/>
          <w:b/>
          <w:bCs/>
          <w:i w:val="0"/>
          <w:iCs w:val="0"/>
          <w:color w:val="000000" w:themeColor="text1"/>
          <w:kern w:val="0"/>
          <w:position w:val="-5"/>
          <w:sz w:val="24"/>
          <w:szCs w:val="24"/>
          <w:highlight w:val="none"/>
          <w:u w:val="single"/>
          <w:lang w:val="en-US" w:eastAsia="zh-CN"/>
          <w14:textFill>
            <w14:solidFill>
              <w14:schemeClr w14:val="tx1"/>
            </w14:solidFill>
          </w14:textFill>
        </w:rPr>
        <w:t>青海民族大学博雅校区工科北楼智算中心维修保障项目</w:t>
      </w:r>
      <w:r>
        <w:rPr>
          <w:rFonts w:hint="eastAsia" w:ascii="宋体" w:hAnsi="宋体" w:eastAsia="宋体" w:cs="宋体"/>
          <w:b w:val="0"/>
          <w:bCs w:val="0"/>
          <w:i w:val="0"/>
          <w:iCs w:val="0"/>
          <w:color w:val="000000" w:themeColor="text1"/>
          <w:kern w:val="0"/>
          <w:position w:val="-5"/>
          <w:sz w:val="24"/>
          <w:szCs w:val="24"/>
          <w:highlight w:val="none"/>
          <w:u w:val="none"/>
          <w:lang w:val="zh-TW" w:eastAsia="zh-TW"/>
          <w14:textFill>
            <w14:solidFill>
              <w14:schemeClr w14:val="tx1"/>
            </w14:solidFill>
          </w14:textFill>
        </w:rPr>
        <w:t>（采购项目名称）已具备釆购条件，现</w:t>
      </w:r>
      <w:r>
        <w:rPr>
          <w:rFonts w:hint="eastAsia" w:ascii="宋体" w:hAnsi="宋体" w:eastAsia="宋体" w:cs="宋体"/>
          <w:b w:val="0"/>
          <w:bCs w:val="0"/>
          <w:i w:val="0"/>
          <w:iCs w:val="0"/>
          <w:color w:val="000000" w:themeColor="text1"/>
          <w:kern w:val="0"/>
          <w:position w:val="-5"/>
          <w:sz w:val="24"/>
          <w:szCs w:val="24"/>
          <w:highlight w:val="none"/>
          <w:u w:val="none"/>
          <w:lang w:val="en-US" w:eastAsia="zh-CN"/>
          <w14:textFill>
            <w14:solidFill>
              <w14:schemeClr w14:val="tx1"/>
            </w14:solidFill>
          </w14:textFill>
        </w:rPr>
        <w:t>公开</w:t>
      </w:r>
      <w:r>
        <w:rPr>
          <w:rFonts w:hint="eastAsia" w:ascii="宋体" w:hAnsi="宋体" w:eastAsia="宋体" w:cs="宋体"/>
          <w:b w:val="0"/>
          <w:bCs w:val="0"/>
          <w:i w:val="0"/>
          <w:iCs w:val="0"/>
          <w:color w:val="000000" w:themeColor="text1"/>
          <w:kern w:val="0"/>
          <w:position w:val="-5"/>
          <w:sz w:val="24"/>
          <w:szCs w:val="24"/>
          <w:highlight w:val="none"/>
          <w:u w:val="none"/>
          <w:lang w:val="zh-TW" w:eastAsia="zh-TW"/>
          <w14:textFill>
            <w14:solidFill>
              <w14:schemeClr w14:val="tx1"/>
            </w14:solidFill>
          </w14:textFill>
        </w:rPr>
        <w:t>邀请</w:t>
      </w:r>
      <w:r>
        <w:rPr>
          <w:rFonts w:hint="eastAsia" w:ascii="宋体" w:hAnsi="宋体" w:eastAsia="宋体" w:cs="宋体"/>
          <w:b w:val="0"/>
          <w:bCs w:val="0"/>
          <w:i w:val="0"/>
          <w:iCs w:val="0"/>
          <w:color w:val="000000" w:themeColor="text1"/>
          <w:kern w:val="0"/>
          <w:position w:val="-5"/>
          <w:sz w:val="24"/>
          <w:szCs w:val="24"/>
          <w:highlight w:val="none"/>
          <w:u w:val="none"/>
          <w:lang w:val="en-US" w:eastAsia="zh-CN"/>
          <w14:textFill>
            <w14:solidFill>
              <w14:schemeClr w14:val="tx1"/>
            </w14:solidFill>
          </w14:textFill>
        </w:rPr>
        <w:t>供应商</w:t>
      </w:r>
      <w:r>
        <w:rPr>
          <w:rFonts w:hint="eastAsia" w:ascii="宋体" w:hAnsi="宋体" w:eastAsia="宋体" w:cs="宋体"/>
          <w:b w:val="0"/>
          <w:bCs w:val="0"/>
          <w:i w:val="0"/>
          <w:iCs w:val="0"/>
          <w:color w:val="000000" w:themeColor="text1"/>
          <w:kern w:val="0"/>
          <w:position w:val="-5"/>
          <w:sz w:val="24"/>
          <w:szCs w:val="24"/>
          <w:highlight w:val="none"/>
          <w:u w:val="none"/>
          <w:lang w:val="zh-TW" w:eastAsia="zh-TW"/>
          <w14:textFill>
            <w14:solidFill>
              <w14:schemeClr w14:val="tx1"/>
            </w14:solidFill>
          </w14:textFill>
        </w:rPr>
        <w:t>参加询比采购活动。</w:t>
      </w:r>
    </w:p>
    <w:p w14:paraId="52920280">
      <w:pPr>
        <w:keepNext w:val="0"/>
        <w:keepLines w:val="0"/>
        <w:pageBreakBefore w:val="0"/>
        <w:widowControl w:val="0"/>
        <w:shd w:val="clear" w:color="auto" w:fill="auto"/>
        <w:tabs>
          <w:tab w:val="left" w:pos="1356"/>
          <w:tab w:val="left" w:pos="4615"/>
          <w:tab w:val="left" w:pos="6415"/>
          <w:tab w:val="left" w:pos="8220"/>
        </w:tabs>
        <w:kinsoku/>
        <w:wordWrap/>
        <w:overflowPunct/>
        <w:topLinePunct w:val="0"/>
        <w:autoSpaceDE/>
        <w:autoSpaceDN/>
        <w:bidi w:val="0"/>
        <w:adjustRightInd w:val="0"/>
        <w:snapToGrid w:val="0"/>
        <w:spacing w:before="181" w:beforeLines="50" w:after="181" w:afterLines="50" w:line="480" w:lineRule="exact"/>
        <w:ind w:right="0" w:firstLine="0" w:firstLineChars="0"/>
        <w:jc w:val="left"/>
        <w:textAlignment w:val="auto"/>
        <w:rPr>
          <w:rFonts w:hint="eastAsia" w:ascii="宋体" w:hAnsi="宋体" w:eastAsia="宋体" w:cs="宋体"/>
          <w:b/>
          <w:bCs/>
          <w:color w:val="000000" w:themeColor="text1"/>
          <w:spacing w:val="0"/>
          <w:w w:val="100"/>
          <w:position w:val="0"/>
          <w:sz w:val="28"/>
          <w:szCs w:val="28"/>
          <w:highlight w:val="none"/>
          <w:u w:val="none"/>
          <w:shd w:val="clear" w:color="auto" w:fill="auto"/>
          <w:lang w:val="zh-TW" w:eastAsia="zh-TW" w:bidi="zh-TW"/>
          <w14:textFill>
            <w14:solidFill>
              <w14:schemeClr w14:val="tx1"/>
            </w14:solidFill>
          </w14:textFill>
        </w:rPr>
      </w:pPr>
      <w:r>
        <w:rPr>
          <w:rFonts w:hint="eastAsia" w:ascii="宋体" w:hAnsi="宋体" w:eastAsia="宋体" w:cs="宋体"/>
          <w:b/>
          <w:bCs/>
          <w:color w:val="000000" w:themeColor="text1"/>
          <w:spacing w:val="0"/>
          <w:w w:val="100"/>
          <w:position w:val="0"/>
          <w:sz w:val="28"/>
          <w:szCs w:val="28"/>
          <w:highlight w:val="none"/>
          <w:u w:val="none"/>
          <w:shd w:val="clear" w:color="auto" w:fill="auto"/>
          <w:lang w:val="zh-TW" w:eastAsia="zh-TW" w:bidi="zh-TW"/>
          <w14:textFill>
            <w14:solidFill>
              <w14:schemeClr w14:val="tx1"/>
            </w14:solidFill>
          </w14:textFill>
        </w:rPr>
        <w:t>1采购项目简介</w:t>
      </w:r>
    </w:p>
    <w:p w14:paraId="64A4730D">
      <w:pPr>
        <w:keepNext w:val="0"/>
        <w:keepLines w:val="0"/>
        <w:pageBreakBefore w:val="0"/>
        <w:widowControl w:val="0"/>
        <w:numPr>
          <w:ilvl w:val="0"/>
          <w:numId w:val="0"/>
        </w:numPr>
        <w:shd w:val="clear" w:color="auto" w:fill="auto"/>
        <w:tabs>
          <w:tab w:val="left" w:pos="930"/>
          <w:tab w:val="left" w:pos="8958"/>
        </w:tabs>
        <w:kinsoku/>
        <w:wordWrap/>
        <w:overflowPunct/>
        <w:topLinePunct w:val="0"/>
        <w:autoSpaceDE/>
        <w:autoSpaceDN/>
        <w:bidi w:val="0"/>
        <w:adjustRightInd/>
        <w:snapToGrid/>
        <w:spacing w:before="0" w:after="0" w:line="480" w:lineRule="exact"/>
        <w:ind w:left="0" w:leftChars="0" w:right="0" w:rightChars="0" w:firstLine="480" w:firstLineChars="200"/>
        <w:jc w:val="both"/>
        <w:textAlignment w:val="auto"/>
        <w:rPr>
          <w:rFonts w:hint="default" w:ascii="宋体" w:hAnsi="宋体" w:eastAsia="宋体" w:cs="宋体"/>
          <w:color w:val="000000" w:themeColor="text1"/>
          <w:spacing w:val="0"/>
          <w:w w:val="100"/>
          <w:position w:val="0"/>
          <w:sz w:val="22"/>
          <w:szCs w:val="22"/>
          <w:highlight w:val="none"/>
          <w:u w:val="single"/>
          <w:shd w:val="clear" w:color="auto" w:fill="auto"/>
          <w:lang w:val="en-US"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zh-TW"/>
          <w14:textFill>
            <w14:solidFill>
              <w14:schemeClr w14:val="tx1"/>
            </w14:solidFill>
          </w14:textFill>
        </w:rPr>
        <w:t>1.1</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采购项目名称：</w:t>
      </w:r>
      <w:r>
        <w:rPr>
          <w:rFonts w:hint="eastAsia" w:ascii="宋体" w:hAnsi="宋体" w:eastAsia="宋体" w:cs="宋体"/>
          <w:color w:val="000000" w:themeColor="text1"/>
          <w:spacing w:val="0"/>
          <w:w w:val="100"/>
          <w:position w:val="0"/>
          <w:sz w:val="24"/>
          <w:szCs w:val="24"/>
          <w:highlight w:val="none"/>
          <w:u w:val="single"/>
          <w:shd w:val="clear" w:color="auto" w:fill="auto"/>
          <w:lang w:val="zh-TW" w:eastAsia="zh-CN" w:bidi="zh-TW"/>
          <w14:textFill>
            <w14:solidFill>
              <w14:schemeClr w14:val="tx1"/>
            </w14:solidFill>
          </w14:textFill>
        </w:rPr>
        <w:t>青海民族大学博雅校区工科北楼智算中心维修保障项目</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w:t>
      </w:r>
      <w:r>
        <w:rPr>
          <w:rFonts w:hint="eastAsia" w:ascii="宋体" w:hAnsi="宋体" w:eastAsia="宋体" w:cs="宋体"/>
          <w:color w:val="000000" w:themeColor="text1"/>
          <w:spacing w:val="0"/>
          <w:w w:val="100"/>
          <w:position w:val="0"/>
          <w:sz w:val="22"/>
          <w:szCs w:val="22"/>
          <w:highlight w:val="none"/>
          <w:u w:val="single"/>
          <w:shd w:val="clear" w:color="auto" w:fill="auto"/>
          <w:lang w:val="en-US" w:eastAsia="zh-CN" w:bidi="zh-TW"/>
          <w14:textFill>
            <w14:solidFill>
              <w14:schemeClr w14:val="tx1"/>
            </w14:solidFill>
          </w14:textFill>
        </w:rPr>
        <w:t xml:space="preserve">  </w:t>
      </w:r>
    </w:p>
    <w:p w14:paraId="24C6E7DB">
      <w:pPr>
        <w:keepNext w:val="0"/>
        <w:keepLines w:val="0"/>
        <w:pageBreakBefore w:val="0"/>
        <w:widowControl w:val="0"/>
        <w:numPr>
          <w:ilvl w:val="0"/>
          <w:numId w:val="0"/>
        </w:numPr>
        <w:shd w:val="clear" w:color="auto" w:fill="auto"/>
        <w:tabs>
          <w:tab w:val="left" w:pos="930"/>
          <w:tab w:val="left" w:pos="8958"/>
        </w:tabs>
        <w:kinsoku/>
        <w:wordWrap/>
        <w:overflowPunct/>
        <w:topLinePunct w:val="0"/>
        <w:autoSpaceDE/>
        <w:autoSpaceDN/>
        <w:bidi w:val="0"/>
        <w:adjustRightInd/>
        <w:snapToGrid/>
        <w:spacing w:before="0" w:after="0" w:line="480" w:lineRule="exact"/>
        <w:ind w:left="0" w:leftChars="0" w:right="0" w:rightChars="0" w:firstLine="480" w:firstLineChars="200"/>
        <w:jc w:val="both"/>
        <w:textAlignment w:val="auto"/>
        <w:rPr>
          <w:rFonts w:hint="default"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zh-TW"/>
          <w14:textFill>
            <w14:solidFill>
              <w14:schemeClr w14:val="tx1"/>
            </w14:solidFill>
          </w14:textFill>
        </w:rPr>
        <w:t xml:space="preserve">1.2 </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采购人：</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青海民族大学</w:t>
      </w: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 xml:space="preserve">                      </w:t>
      </w:r>
    </w:p>
    <w:p w14:paraId="262BA765">
      <w:pPr>
        <w:keepNext w:val="0"/>
        <w:keepLines w:val="0"/>
        <w:pageBreakBefore w:val="0"/>
        <w:widowControl w:val="0"/>
        <w:numPr>
          <w:ilvl w:val="0"/>
          <w:numId w:val="0"/>
        </w:numPr>
        <w:shd w:val="clear" w:color="auto" w:fill="auto"/>
        <w:tabs>
          <w:tab w:val="left" w:pos="930"/>
          <w:tab w:val="left" w:pos="8958"/>
        </w:tabs>
        <w:kinsoku/>
        <w:wordWrap/>
        <w:overflowPunct/>
        <w:topLinePunct w:val="0"/>
        <w:autoSpaceDE/>
        <w:autoSpaceDN/>
        <w:bidi w:val="0"/>
        <w:adjustRightInd w:val="0"/>
        <w:snapToGrid w:val="0"/>
        <w:spacing w:before="0" w:after="0" w:line="480" w:lineRule="exact"/>
        <w:ind w:left="0" w:leftChars="0" w:right="0" w:rightChars="0" w:firstLine="480" w:firstLineChars="200"/>
        <w:jc w:val="left"/>
        <w:textAlignment w:val="auto"/>
        <w:rPr>
          <w:rFonts w:hint="default"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zh-TW"/>
          <w14:textFill>
            <w14:solidFill>
              <w14:schemeClr w14:val="tx1"/>
            </w14:solidFill>
          </w14:textFill>
        </w:rPr>
        <w:t>1.3</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采购代理机构：</w:t>
      </w:r>
      <w:r>
        <w:rPr>
          <w:rFonts w:hint="eastAsia" w:ascii="宋体" w:hAnsi="宋体" w:eastAsia="宋体" w:cs="宋体"/>
          <w:color w:val="000000" w:themeColor="text1"/>
          <w:spacing w:val="0"/>
          <w:w w:val="100"/>
          <w:position w:val="0"/>
          <w:sz w:val="24"/>
          <w:szCs w:val="24"/>
          <w:highlight w:val="none"/>
          <w:u w:val="single"/>
          <w:shd w:val="clear" w:color="auto" w:fill="auto"/>
          <w:lang w:val="zh-TW" w:eastAsia="zh-TW" w:bidi="zh-TW"/>
          <w14:textFill>
            <w14:solidFill>
              <w14:schemeClr w14:val="tx1"/>
            </w14:solidFill>
          </w14:textFill>
        </w:rPr>
        <w:t xml:space="preserve"> </w:t>
      </w:r>
      <w:r>
        <w:rPr>
          <w:rFonts w:hint="eastAsia" w:ascii="宋体" w:hAnsi="宋体" w:eastAsia="宋体" w:cs="宋体"/>
          <w:color w:val="000000" w:themeColor="text1"/>
          <w:spacing w:val="0"/>
          <w:w w:val="100"/>
          <w:position w:val="0"/>
          <w:sz w:val="24"/>
          <w:szCs w:val="24"/>
          <w:highlight w:val="none"/>
          <w:u w:val="single"/>
          <w:shd w:val="clear" w:color="auto" w:fill="auto"/>
          <w:lang w:val="zh-TW" w:eastAsia="zh-CN" w:bidi="zh-TW"/>
          <w14:textFill>
            <w14:solidFill>
              <w14:schemeClr w14:val="tx1"/>
            </w14:solidFill>
          </w14:textFill>
        </w:rPr>
        <w:t>青海璇锴工程项目管理有限公司</w:t>
      </w: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 xml:space="preserve">             </w:t>
      </w:r>
    </w:p>
    <w:p w14:paraId="06698354">
      <w:pPr>
        <w:keepNext w:val="0"/>
        <w:keepLines w:val="0"/>
        <w:pageBreakBefore w:val="0"/>
        <w:widowControl w:val="0"/>
        <w:numPr>
          <w:ilvl w:val="0"/>
          <w:numId w:val="0"/>
        </w:numPr>
        <w:shd w:val="clear" w:color="auto" w:fill="auto"/>
        <w:tabs>
          <w:tab w:val="left" w:pos="930"/>
          <w:tab w:val="left" w:pos="8958"/>
        </w:tabs>
        <w:kinsoku/>
        <w:wordWrap/>
        <w:overflowPunct/>
        <w:topLinePunct w:val="0"/>
        <w:autoSpaceDE/>
        <w:autoSpaceDN/>
        <w:bidi w:val="0"/>
        <w:adjustRightInd w:val="0"/>
        <w:snapToGrid w:val="0"/>
        <w:spacing w:before="0" w:after="0" w:line="480" w:lineRule="exact"/>
        <w:ind w:left="0" w:leftChars="0" w:right="0" w:rightChars="0" w:firstLine="480" w:firstLineChars="200"/>
        <w:jc w:val="left"/>
        <w:textAlignment w:val="auto"/>
        <w:rPr>
          <w:rFonts w:hint="default"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zh-TW"/>
          <w14:textFill>
            <w14:solidFill>
              <w14:schemeClr w14:val="tx1"/>
            </w14:solidFill>
          </w14:textFill>
        </w:rPr>
        <w:t>1.4</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采购项目资金落实情况：</w:t>
      </w:r>
      <w:bookmarkStart w:id="8" w:name="EB08e474bc5dfc4e8a9a02baafba36660a"/>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已落实</w:t>
      </w:r>
      <w:bookmarkEnd w:id="8"/>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w:t>
      </w:r>
    </w:p>
    <w:p w14:paraId="5CE6EB85">
      <w:pPr>
        <w:keepNext w:val="0"/>
        <w:keepLines w:val="0"/>
        <w:pageBreakBefore w:val="0"/>
        <w:widowControl w:val="0"/>
        <w:shd w:val="clear" w:color="auto" w:fill="auto"/>
        <w:tabs>
          <w:tab w:val="left" w:pos="9058"/>
        </w:tabs>
        <w:kinsoku/>
        <w:wordWrap/>
        <w:overflowPunct/>
        <w:topLinePunct w:val="0"/>
        <w:autoSpaceDE/>
        <w:autoSpaceDN/>
        <w:bidi w:val="0"/>
        <w:adjustRightInd w:val="0"/>
        <w:snapToGrid w:val="0"/>
        <w:spacing w:before="0" w:after="0" w:line="480" w:lineRule="exact"/>
        <w:ind w:left="0" w:right="0" w:firstLine="480" w:firstLineChars="200"/>
        <w:jc w:val="both"/>
        <w:textAlignment w:val="auto"/>
        <w:rPr>
          <w:rFonts w:hint="default" w:ascii="宋体" w:hAnsi="宋体" w:eastAsia="宋体" w:cs="宋体"/>
          <w:color w:val="000000" w:themeColor="text1"/>
          <w:spacing w:val="0"/>
          <w:w w:val="100"/>
          <w:position w:val="0"/>
          <w:sz w:val="24"/>
          <w:szCs w:val="24"/>
          <w:highlight w:val="none"/>
          <w:u w:val="none"/>
          <w:shd w:val="clear" w:color="auto" w:fill="auto"/>
          <w:lang w:val="en-US"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zh-TW"/>
          <w14:textFill>
            <w14:solidFill>
              <w14:schemeClr w14:val="tx1"/>
            </w14:solidFill>
          </w14:textFill>
        </w:rPr>
        <w:t>1.5</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采购项目概况：</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青海民族大学博雅校区工科北楼智算中心维修保障,具体详见工程量清单</w:t>
      </w:r>
    </w:p>
    <w:p w14:paraId="5E996AED">
      <w:pPr>
        <w:keepNext w:val="0"/>
        <w:keepLines w:val="0"/>
        <w:pageBreakBefore w:val="0"/>
        <w:widowControl w:val="0"/>
        <w:shd w:val="clear" w:color="auto" w:fill="auto"/>
        <w:tabs>
          <w:tab w:val="left" w:pos="9058"/>
        </w:tabs>
        <w:kinsoku/>
        <w:wordWrap/>
        <w:overflowPunct/>
        <w:topLinePunct w:val="0"/>
        <w:autoSpaceDE/>
        <w:autoSpaceDN/>
        <w:bidi w:val="0"/>
        <w:adjustRightInd w:val="0"/>
        <w:snapToGrid w:val="0"/>
        <w:spacing w:before="0" w:after="0" w:line="480" w:lineRule="exact"/>
        <w:ind w:left="0" w:right="0" w:firstLine="482" w:firstLineChars="200"/>
        <w:jc w:val="both"/>
        <w:textAlignment w:val="auto"/>
        <w:rPr>
          <w:rFonts w:hint="eastAsia" w:ascii="宋体" w:hAnsi="宋体" w:eastAsia="宋体" w:cs="宋体"/>
          <w:b/>
          <w:bCs/>
          <w:i w:val="0"/>
          <w:iCs w:val="0"/>
          <w:color w:val="000000" w:themeColor="text1"/>
          <w:kern w:val="0"/>
          <w:position w:val="-5"/>
          <w:sz w:val="24"/>
          <w:szCs w:val="24"/>
          <w:highlight w:val="none"/>
          <w:u w:val="none"/>
          <w:lang w:val="zh-TW" w:eastAsia="zh-TW"/>
          <w14:textFill>
            <w14:solidFill>
              <w14:schemeClr w14:val="tx1"/>
            </w14:solidFill>
          </w14:textFill>
        </w:rPr>
      </w:pPr>
      <w:r>
        <w:rPr>
          <w:rFonts w:hint="eastAsia" w:ascii="宋体" w:hAnsi="宋体" w:eastAsia="宋体" w:cs="宋体"/>
          <w:b/>
          <w:bCs/>
          <w:i w:val="0"/>
          <w:iCs w:val="0"/>
          <w:color w:val="000000" w:themeColor="text1"/>
          <w:kern w:val="0"/>
          <w:position w:val="-5"/>
          <w:sz w:val="24"/>
          <w:szCs w:val="24"/>
          <w:highlight w:val="none"/>
          <w:u w:val="none"/>
          <w:lang w:val="en-US" w:eastAsia="en-US"/>
          <w14:textFill>
            <w14:solidFill>
              <w14:schemeClr w14:val="tx1"/>
            </w14:solidFill>
          </w14:textFill>
        </w:rPr>
        <w:t>1.6</w:t>
      </w:r>
      <w:r>
        <w:rPr>
          <w:rFonts w:hint="eastAsia" w:ascii="宋体" w:hAnsi="宋体" w:eastAsia="宋体" w:cs="宋体"/>
          <w:b/>
          <w:bCs/>
          <w:i w:val="0"/>
          <w:iCs w:val="0"/>
          <w:color w:val="000000" w:themeColor="text1"/>
          <w:kern w:val="0"/>
          <w:position w:val="-5"/>
          <w:sz w:val="24"/>
          <w:szCs w:val="24"/>
          <w:highlight w:val="none"/>
          <w:u w:val="none"/>
          <w:lang w:val="zh-TW" w:eastAsia="zh-TW"/>
          <w14:textFill>
            <w14:solidFill>
              <w14:schemeClr w14:val="tx1"/>
            </w14:solidFill>
          </w14:textFill>
        </w:rPr>
        <w:t>成交供应商数量及成交份额：</w:t>
      </w:r>
    </w:p>
    <w:p w14:paraId="25D77596">
      <w:pPr>
        <w:keepNext w:val="0"/>
        <w:keepLines w:val="0"/>
        <w:pageBreakBefore w:val="0"/>
        <w:widowControl w:val="0"/>
        <w:shd w:val="clear" w:color="auto" w:fill="auto"/>
        <w:kinsoku/>
        <w:wordWrap/>
        <w:overflowPunct/>
        <w:topLinePunct w:val="0"/>
        <w:autoSpaceDE/>
        <w:autoSpaceDN/>
        <w:bidi w:val="0"/>
        <w:adjustRightInd w:val="0"/>
        <w:snapToGrid w:val="0"/>
        <w:spacing w:before="0" w:after="0" w:line="480" w:lineRule="exact"/>
        <w:ind w:left="0" w:right="0" w:firstLine="480" w:firstLineChars="200"/>
        <w:jc w:val="left"/>
        <w:textAlignment w:val="auto"/>
        <w:rPr>
          <w:rFonts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一家</w:t>
      </w:r>
    </w:p>
    <w:p w14:paraId="133E7D0C">
      <w:pPr>
        <w:keepNext w:val="0"/>
        <w:keepLines w:val="0"/>
        <w:pageBreakBefore w:val="0"/>
        <w:widowControl w:val="0"/>
        <w:shd w:val="clear" w:color="auto" w:fill="auto"/>
        <w:tabs>
          <w:tab w:val="left" w:pos="1356"/>
          <w:tab w:val="left" w:pos="4615"/>
          <w:tab w:val="left" w:pos="6415"/>
          <w:tab w:val="left" w:pos="8220"/>
        </w:tabs>
        <w:kinsoku/>
        <w:wordWrap/>
        <w:overflowPunct/>
        <w:topLinePunct w:val="0"/>
        <w:autoSpaceDE/>
        <w:autoSpaceDN/>
        <w:bidi w:val="0"/>
        <w:adjustRightInd w:val="0"/>
        <w:snapToGrid w:val="0"/>
        <w:spacing w:before="181" w:beforeLines="50" w:after="181" w:afterLines="50" w:line="480" w:lineRule="exact"/>
        <w:ind w:right="0" w:firstLine="0" w:firstLineChars="0"/>
        <w:jc w:val="left"/>
        <w:textAlignment w:val="auto"/>
        <w:rPr>
          <w:rFonts w:hint="eastAsia" w:ascii="宋体" w:hAnsi="宋体" w:eastAsia="宋体" w:cs="宋体"/>
          <w:b/>
          <w:bCs/>
          <w:color w:val="000000" w:themeColor="text1"/>
          <w:spacing w:val="0"/>
          <w:w w:val="100"/>
          <w:position w:val="0"/>
          <w:sz w:val="28"/>
          <w:szCs w:val="28"/>
          <w:highlight w:val="none"/>
          <w:u w:val="none"/>
          <w:shd w:val="clear" w:color="auto" w:fill="auto"/>
          <w:lang w:val="zh-TW" w:eastAsia="zh-TW" w:bidi="zh-TW"/>
          <w14:textFill>
            <w14:solidFill>
              <w14:schemeClr w14:val="tx1"/>
            </w14:solidFill>
          </w14:textFill>
        </w:rPr>
      </w:pPr>
      <w:r>
        <w:rPr>
          <w:rFonts w:hint="eastAsia" w:ascii="宋体" w:hAnsi="宋体" w:eastAsia="宋体" w:cs="宋体"/>
          <w:b/>
          <w:bCs/>
          <w:color w:val="000000" w:themeColor="text1"/>
          <w:spacing w:val="0"/>
          <w:w w:val="100"/>
          <w:position w:val="0"/>
          <w:sz w:val="28"/>
          <w:szCs w:val="28"/>
          <w:highlight w:val="none"/>
          <w:u w:val="none"/>
          <w:shd w:val="clear" w:color="auto" w:fill="auto"/>
          <w:lang w:val="zh-TW" w:eastAsia="zh-TW" w:bidi="zh-TW"/>
          <w14:textFill>
            <w14:solidFill>
              <w14:schemeClr w14:val="tx1"/>
            </w14:solidFill>
          </w14:textFill>
        </w:rPr>
        <w:t>2采购范围及相关要求</w:t>
      </w:r>
    </w:p>
    <w:p w14:paraId="75BC5E1A">
      <w:pPr>
        <w:keepNext w:val="0"/>
        <w:keepLines w:val="0"/>
        <w:pageBreakBefore w:val="0"/>
        <w:widowControl w:val="0"/>
        <w:numPr>
          <w:ilvl w:val="0"/>
          <w:numId w:val="0"/>
        </w:numPr>
        <w:shd w:val="clear" w:color="auto" w:fill="auto"/>
        <w:tabs>
          <w:tab w:val="left" w:pos="930"/>
          <w:tab w:val="left" w:pos="8958"/>
        </w:tabs>
        <w:kinsoku/>
        <w:wordWrap/>
        <w:overflowPunct/>
        <w:topLinePunct w:val="0"/>
        <w:autoSpaceDE/>
        <w:autoSpaceDN/>
        <w:bidi w:val="0"/>
        <w:adjustRightInd/>
        <w:snapToGrid/>
        <w:spacing w:before="0" w:after="0" w:line="480" w:lineRule="exact"/>
        <w:ind w:left="0" w:leftChars="0" w:right="0" w:rightChars="0" w:firstLine="480" w:firstLineChars="200"/>
        <w:jc w:val="both"/>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2.</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1</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采购</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范围</w:t>
      </w:r>
      <w:r>
        <w:rPr>
          <w:rFonts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single"/>
          <w:shd w:val="clear" w:color="auto" w:fill="auto"/>
          <w:lang w:val="zh-TW" w:eastAsia="zh-CN" w:bidi="zh-TW"/>
          <w14:textFill>
            <w14:solidFill>
              <w14:schemeClr w14:val="tx1"/>
            </w14:solidFill>
          </w14:textFill>
        </w:rPr>
        <w:t>青海民族大学博雅校区工科北楼智算中心维修保障</w:t>
      </w:r>
    </w:p>
    <w:p w14:paraId="50BFE013">
      <w:pPr>
        <w:keepNext w:val="0"/>
        <w:keepLines w:val="0"/>
        <w:pageBreakBefore w:val="0"/>
        <w:widowControl w:val="0"/>
        <w:numPr>
          <w:ilvl w:val="0"/>
          <w:numId w:val="0"/>
        </w:numPr>
        <w:shd w:val="clear" w:color="auto" w:fill="auto"/>
        <w:tabs>
          <w:tab w:val="left" w:pos="930"/>
          <w:tab w:val="left" w:pos="8958"/>
        </w:tabs>
        <w:kinsoku/>
        <w:wordWrap/>
        <w:overflowPunct/>
        <w:topLinePunct w:val="0"/>
        <w:autoSpaceDE/>
        <w:autoSpaceDN/>
        <w:bidi w:val="0"/>
        <w:adjustRightInd/>
        <w:snapToGrid/>
        <w:spacing w:before="0" w:after="0" w:line="480" w:lineRule="exact"/>
        <w:ind w:left="0" w:leftChars="0" w:right="0" w:rightChars="0" w:firstLine="480" w:firstLineChars="200"/>
        <w:jc w:val="both"/>
        <w:textAlignment w:val="auto"/>
        <w:rPr>
          <w:rFonts w:hint="default"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zh-TW"/>
          <w14:textFill>
            <w14:solidFill>
              <w14:schemeClr w14:val="tx1"/>
            </w14:solidFill>
          </w14:textFill>
        </w:rPr>
        <w:t>2.2</w:t>
      </w: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计划工期</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30日历天</w:t>
      </w:r>
    </w:p>
    <w:p w14:paraId="70626280">
      <w:pPr>
        <w:keepNext w:val="0"/>
        <w:keepLines w:val="0"/>
        <w:pageBreakBefore w:val="0"/>
        <w:widowControl w:val="0"/>
        <w:shd w:val="clear" w:color="auto" w:fill="auto"/>
        <w:tabs>
          <w:tab w:val="left" w:pos="9058"/>
        </w:tabs>
        <w:kinsoku/>
        <w:wordWrap/>
        <w:overflowPunct/>
        <w:topLinePunct w:val="0"/>
        <w:autoSpaceDE/>
        <w:autoSpaceDN/>
        <w:bidi w:val="0"/>
        <w:adjustRightInd w:val="0"/>
        <w:snapToGrid w:val="0"/>
        <w:spacing w:before="0" w:after="0" w:line="480" w:lineRule="exact"/>
        <w:ind w:left="0" w:right="0" w:firstLine="480" w:firstLineChars="200"/>
        <w:jc w:val="both"/>
        <w:textAlignment w:val="auto"/>
        <w:rPr>
          <w:rFonts w:hint="eastAsia" w:ascii="宋体" w:hAnsi="宋体" w:eastAsia="宋体" w:cs="宋体"/>
          <w:color w:val="000000" w:themeColor="text1"/>
          <w:spacing w:val="0"/>
          <w:w w:val="100"/>
          <w:position w:val="0"/>
          <w:sz w:val="24"/>
          <w:szCs w:val="24"/>
          <w:highlight w:val="none"/>
          <w:u w:val="single"/>
          <w:shd w:val="clear" w:color="auto" w:fill="auto"/>
          <w:lang w:val="zh-TW"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zh-TW"/>
          <w14:textFill>
            <w14:solidFill>
              <w14:schemeClr w14:val="tx1"/>
            </w14:solidFill>
          </w14:textFill>
        </w:rPr>
        <w:t>2.3</w:t>
      </w: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建设</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地点：</w:t>
      </w:r>
      <w:r>
        <w:rPr>
          <w:rFonts w:hint="eastAsia" w:ascii="宋体" w:hAnsi="宋体" w:eastAsia="宋体" w:cs="宋体"/>
          <w:color w:val="000000" w:themeColor="text1"/>
          <w:spacing w:val="0"/>
          <w:w w:val="100"/>
          <w:position w:val="0"/>
          <w:sz w:val="24"/>
          <w:szCs w:val="24"/>
          <w:highlight w:val="none"/>
          <w:u w:val="single"/>
          <w:shd w:val="clear" w:color="auto" w:fill="auto"/>
          <w:lang w:val="zh-TW" w:eastAsia="zh-CN" w:bidi="zh-TW"/>
          <w14:textFill>
            <w14:solidFill>
              <w14:schemeClr w14:val="tx1"/>
            </w14:solidFill>
          </w14:textFill>
        </w:rPr>
        <w:t>青海民族大学</w:t>
      </w:r>
    </w:p>
    <w:p w14:paraId="67603346">
      <w:pPr>
        <w:keepNext w:val="0"/>
        <w:keepLines w:val="0"/>
        <w:pageBreakBefore w:val="0"/>
        <w:widowControl w:val="0"/>
        <w:shd w:val="clear" w:color="auto" w:fill="auto"/>
        <w:tabs>
          <w:tab w:val="left" w:pos="9058"/>
        </w:tabs>
        <w:kinsoku/>
        <w:wordWrap/>
        <w:overflowPunct/>
        <w:topLinePunct w:val="0"/>
        <w:autoSpaceDE/>
        <w:autoSpaceDN/>
        <w:bidi w:val="0"/>
        <w:adjustRightInd w:val="0"/>
        <w:snapToGrid w:val="0"/>
        <w:spacing w:before="0" w:after="0" w:line="480" w:lineRule="exact"/>
        <w:ind w:left="0" w:right="0" w:firstLine="480" w:firstLineChars="200"/>
        <w:jc w:val="both"/>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zh-TW"/>
          <w14:textFill>
            <w14:solidFill>
              <w14:schemeClr w14:val="tx1"/>
            </w14:solidFill>
          </w14:textFill>
        </w:rPr>
        <w:t>2.4</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质量要求：</w:t>
      </w:r>
      <w:bookmarkStart w:id="9" w:name="EB35d197152331407889c71cf3546287d9"/>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合格</w:t>
      </w:r>
    </w:p>
    <w:p w14:paraId="72D1C25D">
      <w:pPr>
        <w:keepNext w:val="0"/>
        <w:keepLines w:val="0"/>
        <w:pageBreakBefore w:val="0"/>
        <w:widowControl w:val="0"/>
        <w:numPr>
          <w:ilvl w:val="0"/>
          <w:numId w:val="0"/>
        </w:numPr>
        <w:shd w:val="clear" w:color="auto" w:fill="auto"/>
        <w:tabs>
          <w:tab w:val="left" w:pos="930"/>
          <w:tab w:val="left" w:pos="8958"/>
        </w:tabs>
        <w:kinsoku/>
        <w:wordWrap/>
        <w:overflowPunct/>
        <w:topLinePunct w:val="0"/>
        <w:autoSpaceDE/>
        <w:autoSpaceDN/>
        <w:bidi w:val="0"/>
        <w:adjustRightInd w:val="0"/>
        <w:snapToGrid w:val="0"/>
        <w:spacing w:before="0" w:after="0" w:line="480" w:lineRule="exact"/>
        <w:ind w:right="0" w:rightChars="0" w:firstLine="480" w:firstLineChars="200"/>
        <w:jc w:val="left"/>
        <w:textAlignment w:val="auto"/>
        <w:rPr>
          <w:rFonts w:hint="default"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2.5安全目标：</w:t>
      </w:r>
      <w:r>
        <w:rPr>
          <w:rFonts w:hint="eastAsia" w:ascii="宋体" w:hAnsi="宋体" w:eastAsia="宋体" w:cs="宋体"/>
          <w:color w:val="000000" w:themeColor="text1"/>
          <w:spacing w:val="0"/>
          <w:w w:val="100"/>
          <w:position w:val="0"/>
          <w:sz w:val="24"/>
          <w:szCs w:val="24"/>
          <w:highlight w:val="none"/>
          <w:u w:val="single"/>
          <w:shd w:val="clear" w:color="auto" w:fill="auto"/>
          <w:lang w:val="zh-TW" w:eastAsia="zh-TW" w:bidi="zh-TW"/>
          <w14:textFill>
            <w14:solidFill>
              <w14:schemeClr w14:val="tx1"/>
            </w14:solidFill>
          </w14:textFill>
        </w:rPr>
        <w:t>满足国家、行业和地方现行规范、标准</w:t>
      </w:r>
      <w:bookmarkEnd w:id="9"/>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 xml:space="preserve">    </w:t>
      </w:r>
    </w:p>
    <w:p w14:paraId="3EEEC4A2">
      <w:pPr>
        <w:keepNext w:val="0"/>
        <w:keepLines w:val="0"/>
        <w:pageBreakBefore w:val="0"/>
        <w:widowControl w:val="0"/>
        <w:shd w:val="clear" w:color="auto" w:fill="auto"/>
        <w:tabs>
          <w:tab w:val="left" w:pos="1356"/>
          <w:tab w:val="left" w:pos="4615"/>
          <w:tab w:val="left" w:pos="6415"/>
          <w:tab w:val="left" w:pos="8220"/>
        </w:tabs>
        <w:kinsoku/>
        <w:wordWrap/>
        <w:overflowPunct/>
        <w:topLinePunct w:val="0"/>
        <w:autoSpaceDE/>
        <w:autoSpaceDN/>
        <w:bidi w:val="0"/>
        <w:adjustRightInd w:val="0"/>
        <w:snapToGrid w:val="0"/>
        <w:spacing w:line="480" w:lineRule="exact"/>
        <w:ind w:right="0" w:firstLine="0" w:firstLineChars="0"/>
        <w:jc w:val="left"/>
        <w:textAlignment w:val="auto"/>
        <w:rPr>
          <w:rFonts w:hint="eastAsia" w:ascii="宋体" w:hAnsi="宋体" w:eastAsia="宋体" w:cs="宋体"/>
          <w:b/>
          <w:bCs/>
          <w:color w:val="000000" w:themeColor="text1"/>
          <w:spacing w:val="0"/>
          <w:w w:val="100"/>
          <w:position w:val="0"/>
          <w:sz w:val="28"/>
          <w:szCs w:val="28"/>
          <w:highlight w:val="none"/>
          <w:u w:val="none"/>
          <w:shd w:val="clear" w:color="auto" w:fill="auto"/>
          <w:lang w:val="zh-TW" w:eastAsia="zh-TW" w:bidi="zh-TW"/>
          <w14:textFill>
            <w14:solidFill>
              <w14:schemeClr w14:val="tx1"/>
            </w14:solidFill>
          </w14:textFill>
        </w:rPr>
      </w:pPr>
      <w:r>
        <w:rPr>
          <w:rFonts w:hint="eastAsia" w:ascii="宋体" w:hAnsi="宋体" w:eastAsia="宋体" w:cs="宋体"/>
          <w:b/>
          <w:bCs/>
          <w:color w:val="000000" w:themeColor="text1"/>
          <w:spacing w:val="0"/>
          <w:w w:val="100"/>
          <w:position w:val="0"/>
          <w:sz w:val="28"/>
          <w:szCs w:val="28"/>
          <w:highlight w:val="none"/>
          <w:u w:val="none"/>
          <w:shd w:val="clear" w:color="auto" w:fill="auto"/>
          <w:lang w:val="zh-TW" w:eastAsia="zh-TW" w:bidi="zh-TW"/>
          <w14:textFill>
            <w14:solidFill>
              <w14:schemeClr w14:val="tx1"/>
            </w14:solidFill>
          </w14:textFill>
        </w:rPr>
        <w:t>3供应商资格要求</w:t>
      </w:r>
    </w:p>
    <w:p w14:paraId="24034D6C">
      <w:pPr>
        <w:keepNext w:val="0"/>
        <w:keepLines w:val="0"/>
        <w:widowControl w:val="0"/>
        <w:shd w:val="clear" w:color="auto" w:fill="auto"/>
        <w:bidi w:val="0"/>
        <w:spacing w:before="0" w:after="100" w:line="370" w:lineRule="exact"/>
        <w:ind w:left="0" w:right="0" w:firstLine="480" w:firstLineChars="200"/>
        <w:jc w:val="both"/>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3.1</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供应商应依法设立且满足如下要求：</w:t>
      </w:r>
    </w:p>
    <w:p w14:paraId="099AD074">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color w:val="0000FF"/>
          <w:spacing w:val="0"/>
          <w:w w:val="100"/>
          <w:position w:val="0"/>
          <w:sz w:val="24"/>
          <w:szCs w:val="24"/>
          <w:u w:val="none"/>
          <w:shd w:val="clear" w:color="auto" w:fill="auto"/>
          <w:lang w:val="zh-TW" w:eastAsia="zh-TW" w:bidi="zh-TW"/>
        </w:rPr>
      </w:pPr>
      <w:bookmarkStart w:id="10" w:name="bookmark588"/>
      <w:bookmarkEnd w:id="10"/>
      <w:r>
        <w:rPr>
          <w:rFonts w:hint="eastAsia" w:ascii="宋体" w:hAnsi="宋体" w:eastAsia="宋体" w:cs="宋体"/>
          <w:color w:val="000000" w:themeColor="text1"/>
          <w:spacing w:val="0"/>
          <w:w w:val="100"/>
          <w:position w:val="0"/>
          <w:sz w:val="24"/>
          <w:szCs w:val="24"/>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1）</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资质要求：</w:t>
      </w:r>
      <w:r>
        <w:rPr>
          <w:rFonts w:hint="eastAsia" w:ascii="宋体" w:hAnsi="宋体" w:eastAsia="宋体" w:cs="宋体"/>
          <w:color w:val="auto"/>
          <w:spacing w:val="0"/>
          <w:w w:val="100"/>
          <w:position w:val="0"/>
          <w:sz w:val="24"/>
          <w:szCs w:val="24"/>
          <w:u w:val="none"/>
          <w:shd w:val="clear" w:color="auto" w:fill="auto"/>
          <w:lang w:val="zh-TW" w:eastAsia="zh-TW" w:bidi="zh-TW"/>
        </w:rPr>
        <w:t>本次采购要求投标人须具备[</w:t>
      </w:r>
      <w:r>
        <w:rPr>
          <w:rFonts w:hint="eastAsia" w:ascii="宋体" w:hAnsi="宋体" w:eastAsia="宋体" w:cs="宋体"/>
          <w:color w:val="auto"/>
          <w:spacing w:val="0"/>
          <w:w w:val="100"/>
          <w:position w:val="0"/>
          <w:sz w:val="24"/>
          <w:szCs w:val="24"/>
          <w:u w:val="none"/>
          <w:shd w:val="clear" w:color="auto" w:fill="auto"/>
          <w:lang w:val="en-US" w:eastAsia="zh-CN" w:bidi="zh-TW"/>
        </w:rPr>
        <w:t>建筑</w:t>
      </w:r>
      <w:r>
        <w:rPr>
          <w:rFonts w:hint="eastAsia" w:ascii="宋体" w:hAnsi="宋体" w:eastAsia="宋体" w:cs="宋体"/>
          <w:color w:val="auto"/>
          <w:spacing w:val="0"/>
          <w:w w:val="100"/>
          <w:position w:val="0"/>
          <w:sz w:val="24"/>
          <w:szCs w:val="24"/>
          <w:u w:val="none"/>
          <w:shd w:val="clear" w:color="auto" w:fill="auto"/>
          <w:lang w:val="zh-TW" w:eastAsia="zh-TW" w:bidi="zh-TW"/>
        </w:rPr>
        <w:t>工程·</w:t>
      </w:r>
      <w:r>
        <w:rPr>
          <w:rFonts w:hint="eastAsia" w:ascii="宋体" w:hAnsi="宋体" w:eastAsia="宋体" w:cs="宋体"/>
          <w:color w:val="auto"/>
          <w:spacing w:val="0"/>
          <w:w w:val="100"/>
          <w:position w:val="0"/>
          <w:sz w:val="24"/>
          <w:szCs w:val="24"/>
          <w:u w:val="none"/>
          <w:shd w:val="clear" w:color="auto" w:fill="auto"/>
          <w:lang w:val="en-US" w:eastAsia="zh-CN" w:bidi="zh-TW"/>
        </w:rPr>
        <w:t>建筑</w:t>
      </w:r>
      <w:r>
        <w:rPr>
          <w:rFonts w:hint="eastAsia" w:ascii="宋体" w:hAnsi="宋体" w:eastAsia="宋体" w:cs="宋体"/>
          <w:color w:val="auto"/>
          <w:spacing w:val="0"/>
          <w:w w:val="100"/>
          <w:position w:val="0"/>
          <w:sz w:val="24"/>
          <w:szCs w:val="24"/>
          <w:u w:val="none"/>
          <w:shd w:val="clear" w:color="auto" w:fill="auto"/>
          <w:lang w:val="zh-TW" w:eastAsia="zh-TW" w:bidi="zh-TW"/>
        </w:rPr>
        <w:t>工程三级](含)以上资质，并在人员、设备、资金等方面具有相应的施工能力。</w:t>
      </w:r>
    </w:p>
    <w:p w14:paraId="39505D50">
      <w:pPr>
        <w:spacing w:line="360" w:lineRule="auto"/>
        <w:ind w:left="-113" w:firstLine="660" w:firstLineChars="275"/>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u w:val="none"/>
          <w:shd w:val="clear" w:color="auto" w:fill="auto"/>
          <w:lang w:val="zh-TW" w:eastAsia="zh-CN" w:bidi="zh-TW"/>
          <w14:textFill>
            <w14:solidFill>
              <w14:schemeClr w14:val="tx1"/>
            </w14:solidFill>
          </w14:textFill>
        </w:rPr>
        <w:t>（2）</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财务要求：提供2024年度或2025年度经会计师事务所或审计机构审计的财务报告（包括资产负债表、现金流量表、利润表和财务情况说明书的复印件）如投标人的成立时间少于投标人须知前附表规定年份的，提供成立以来的财务状况表或近3个月的银行资信证明或企业报表。</w:t>
      </w:r>
    </w:p>
    <w:p w14:paraId="7C121FAE">
      <w:pPr>
        <w:spacing w:line="360" w:lineRule="auto"/>
        <w:ind w:left="-113" w:firstLine="660" w:firstLineChars="275"/>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3</w:t>
      </w:r>
      <w:r>
        <w:rPr>
          <w:rFonts w:hint="eastAsia" w:ascii="宋体" w:hAnsi="宋体" w:eastAsia="宋体" w:cs="宋体"/>
          <w:color w:val="000000" w:themeColor="text1"/>
          <w:spacing w:val="0"/>
          <w:w w:val="100"/>
          <w:position w:val="0"/>
          <w:sz w:val="24"/>
          <w:szCs w:val="24"/>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信誉要求</w:t>
      </w:r>
      <w:r>
        <w:rPr>
          <w:rFonts w:hint="eastAsia" w:ascii="宋体" w:hAnsi="宋体" w:cs="宋体"/>
          <w:color w:val="000000" w:themeColor="text1"/>
          <w:lang w:val="zh-TW" w:eastAsia="zh-TW"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中华人民共和国最高人民法院官方网址(http://www.court.gov.cn/)“全国法院失信被执行人名单信息公布与查询”（http://shixin.court.gov.cn/）栏目查询查询失信被执行人记录:经查询后，列入失信被执行人、重大税收违法案件当事人名单取消响应资格。（提供“信用中国”网站无任何不良记录的查询截图，时间为投标截止时间前10天内）。投标人应提供查询截图。</w:t>
      </w:r>
    </w:p>
    <w:p w14:paraId="38207149">
      <w:pPr>
        <w:spacing w:line="360" w:lineRule="auto"/>
        <w:ind w:left="-113" w:firstLine="660" w:firstLineChars="275"/>
        <w:rPr>
          <w:rFonts w:hint="eastAsia" w:ascii="宋体" w:hAnsi="宋体" w:eastAsia="宋体" w:cs="宋体"/>
          <w:color w:val="auto"/>
          <w:spacing w:val="0"/>
          <w:w w:val="100"/>
          <w:position w:val="0"/>
          <w:sz w:val="24"/>
          <w:szCs w:val="24"/>
          <w:u w:val="single"/>
          <w:shd w:val="clear" w:color="auto" w:fill="auto"/>
          <w:lang w:val="zh-TW" w:eastAsia="zh-CN" w:bidi="zh-TW"/>
        </w:rPr>
      </w:pPr>
      <w:r>
        <w:rPr>
          <w:rFonts w:hint="eastAsia" w:ascii="宋体" w:hAnsi="宋体" w:eastAsia="宋体" w:cs="宋体"/>
          <w:color w:val="000000" w:themeColor="text1"/>
          <w:spacing w:val="0"/>
          <w:w w:val="100"/>
          <w:position w:val="0"/>
          <w:sz w:val="24"/>
          <w:szCs w:val="24"/>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4</w:t>
      </w:r>
      <w:r>
        <w:rPr>
          <w:rFonts w:hint="eastAsia" w:ascii="宋体" w:hAnsi="宋体" w:eastAsia="宋体" w:cs="宋体"/>
          <w:color w:val="000000" w:themeColor="text1"/>
          <w:spacing w:val="0"/>
          <w:w w:val="100"/>
          <w:position w:val="0"/>
          <w:sz w:val="24"/>
          <w:szCs w:val="24"/>
          <w:u w:val="none"/>
          <w:shd w:val="clear" w:color="auto" w:fill="auto"/>
          <w:lang w:val="zh-TW" w:eastAsia="zh-CN" w:bidi="zh-TW"/>
          <w14:textFill>
            <w14:solidFill>
              <w14:schemeClr w14:val="tx1"/>
            </w14:solidFill>
          </w14:textFill>
        </w:rPr>
        <w:t>）</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其他要求</w:t>
      </w:r>
      <w:r>
        <w:rPr>
          <w:rFonts w:ascii="宋体" w:hAnsi="宋体" w:eastAsia="宋体" w:cs="宋体"/>
          <w:color w:val="auto"/>
          <w:spacing w:val="0"/>
          <w:w w:val="100"/>
          <w:position w:val="0"/>
          <w:sz w:val="24"/>
          <w:szCs w:val="24"/>
          <w:u w:val="none"/>
          <w:shd w:val="clear" w:color="auto" w:fill="auto"/>
          <w:lang w:val="zh-TW" w:eastAsia="zh-TW" w:bidi="zh-TW"/>
        </w:rPr>
        <w:t>：</w:t>
      </w:r>
      <w:r>
        <w:rPr>
          <w:rFonts w:hint="eastAsia" w:ascii="宋体" w:hAnsi="宋体" w:eastAsia="宋体" w:cs="宋体"/>
          <w:color w:val="auto"/>
          <w:spacing w:val="0"/>
          <w:w w:val="100"/>
          <w:position w:val="0"/>
          <w:sz w:val="24"/>
          <w:szCs w:val="24"/>
          <w:u w:val="single"/>
          <w:shd w:val="clear" w:color="auto" w:fill="auto"/>
          <w:lang w:val="en-US" w:eastAsia="zh-CN" w:bidi="zh-TW"/>
        </w:rPr>
        <w:t>/</w:t>
      </w:r>
    </w:p>
    <w:p w14:paraId="2FD32064">
      <w:pPr>
        <w:keepNext w:val="0"/>
        <w:keepLines w:val="0"/>
        <w:widowControl w:val="0"/>
        <w:shd w:val="clear" w:color="auto" w:fill="auto"/>
        <w:bidi w:val="0"/>
        <w:spacing w:before="0" w:after="100" w:line="370" w:lineRule="exact"/>
        <w:ind w:left="0" w:right="0" w:firstLine="480" w:firstLineChars="200"/>
        <w:jc w:val="both"/>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3.2</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供应商不得存在下列情形之一：</w:t>
      </w:r>
    </w:p>
    <w:p w14:paraId="3497174C">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pPr>
      <w:bookmarkStart w:id="11" w:name="bookmark594"/>
      <w:bookmarkEnd w:id="11"/>
      <w:r>
        <w:rPr>
          <w:rFonts w:hint="eastAsia" w:ascii="宋体" w:hAnsi="宋体" w:eastAsia="宋体" w:cs="宋体"/>
          <w:color w:val="000000" w:themeColor="text1"/>
          <w:spacing w:val="0"/>
          <w:w w:val="100"/>
          <w:position w:val="0"/>
          <w:sz w:val="24"/>
          <w:szCs w:val="24"/>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1</w:t>
      </w:r>
      <w:r>
        <w:rPr>
          <w:rFonts w:hint="eastAsia" w:ascii="宋体" w:hAnsi="宋体" w:eastAsia="宋体" w:cs="宋体"/>
          <w:color w:val="000000" w:themeColor="text1"/>
          <w:spacing w:val="0"/>
          <w:w w:val="100"/>
          <w:position w:val="0"/>
          <w:sz w:val="24"/>
          <w:szCs w:val="24"/>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处于被责令停产停业、暂扣或者吊销执照、暂扣或者吊销许可证、吊销资质证书状态；</w:t>
      </w:r>
    </w:p>
    <w:p w14:paraId="4C4C9602">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pPr>
      <w:bookmarkStart w:id="12" w:name="bookmark595"/>
      <w:bookmarkEnd w:id="12"/>
      <w:r>
        <w:rPr>
          <w:rFonts w:hint="eastAsia" w:ascii="宋体" w:hAnsi="宋体" w:eastAsia="宋体" w:cs="宋体"/>
          <w:color w:val="000000" w:themeColor="text1"/>
          <w:spacing w:val="0"/>
          <w:w w:val="100"/>
          <w:position w:val="0"/>
          <w:sz w:val="24"/>
          <w:szCs w:val="24"/>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2）</w:t>
      </w: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进入清算程序或被宣告破产或其他丧失履约能力的情形；</w:t>
      </w:r>
    </w:p>
    <w:p w14:paraId="6F625CB9">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宋体" w:hAnsi="宋体" w:eastAsia="宋体" w:cs="宋体"/>
          <w:color w:val="000000" w:themeColor="text1"/>
          <w:spacing w:val="0"/>
          <w:w w:val="100"/>
          <w:position w:val="0"/>
          <w:sz w:val="24"/>
          <w:szCs w:val="24"/>
          <w:u w:val="none"/>
          <w:shd w:val="clear" w:color="auto" w:fill="auto"/>
          <w:lang w:val="en-US" w:eastAsia="zh-TW" w:bidi="zh-TW"/>
          <w14:textFill>
            <w14:solidFill>
              <w14:schemeClr w14:val="tx1"/>
            </w14:solidFill>
          </w14:textFill>
        </w:rPr>
      </w:pPr>
      <w:bookmarkStart w:id="13" w:name="bookmark596"/>
      <w:bookmarkEnd w:id="13"/>
      <w:r>
        <w:rPr>
          <w:rFonts w:hint="eastAsia" w:ascii="宋体" w:hAnsi="宋体" w:eastAsia="宋体" w:cs="宋体"/>
          <w:color w:val="000000" w:themeColor="text1"/>
          <w:spacing w:val="0"/>
          <w:w w:val="100"/>
          <w:position w:val="0"/>
          <w:sz w:val="24"/>
          <w:szCs w:val="24"/>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3）</w:t>
      </w: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其他：</w:t>
      </w:r>
      <w:r>
        <w:rPr>
          <w:rFonts w:hint="eastAsia" w:ascii="宋体" w:hAnsi="宋体" w:eastAsia="宋体" w:cs="宋体"/>
          <w:color w:val="000000" w:themeColor="text1"/>
          <w:spacing w:val="0"/>
          <w:w w:val="100"/>
          <w:position w:val="0"/>
          <w:sz w:val="24"/>
          <w:szCs w:val="24"/>
          <w:u w:val="none"/>
          <w:shd w:val="clear" w:color="auto" w:fill="auto"/>
          <w:lang w:val="zh-TW" w:eastAsia="zh-CN" w:bidi="zh-TW"/>
          <w14:textFill>
            <w14:solidFill>
              <w14:schemeClr w14:val="tx1"/>
            </w14:solidFill>
          </w14:textFill>
        </w:rPr>
        <w:t xml:space="preserve"> </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 xml:space="preserve">无   </w:t>
      </w:r>
    </w:p>
    <w:p w14:paraId="5FB885CB">
      <w:pPr>
        <w:keepNext w:val="0"/>
        <w:keepLines w:val="0"/>
        <w:widowControl w:val="0"/>
        <w:shd w:val="clear" w:color="auto" w:fill="auto"/>
        <w:bidi w:val="0"/>
        <w:spacing w:before="0" w:after="100" w:line="370" w:lineRule="exact"/>
        <w:ind w:left="0" w:right="0" w:firstLine="480" w:firstLineChars="200"/>
        <w:jc w:val="both"/>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3.3</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本次釆购</w:t>
      </w:r>
      <w:r>
        <w:rPr>
          <w:rFonts w:hint="eastAsia" w:ascii="宋体" w:hAnsi="宋体" w:eastAsia="宋体" w:cs="宋体"/>
          <w:color w:val="000000" w:themeColor="text1"/>
          <w:spacing w:val="0"/>
          <w:w w:val="100"/>
          <w:kern w:val="2"/>
          <w:position w:val="0"/>
          <w:sz w:val="24"/>
          <w:szCs w:val="24"/>
          <w:highlight w:val="none"/>
          <w:u w:val="single"/>
          <w:shd w:val="clear" w:color="auto" w:fill="auto"/>
          <w:lang w:val="en-US" w:eastAsia="zh-CN" w:bidi="zh-TW"/>
          <w14:textFill>
            <w14:solidFill>
              <w14:schemeClr w14:val="tx1"/>
            </w14:solidFill>
          </w14:textFill>
        </w:rPr>
        <w:t xml:space="preserve">  不</w:t>
      </w: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CN" w:bidi="zh-TW"/>
          <w14:textFill>
            <w14:solidFill>
              <w14:schemeClr w14:val="tx1"/>
            </w14:solidFill>
          </w14:textFill>
        </w:rPr>
        <w:t>接受</w:t>
      </w:r>
      <w:r>
        <w:rPr>
          <w:rFonts w:hint="eastAsia" w:ascii="宋体" w:hAnsi="宋体" w:eastAsia="宋体" w:cs="宋体"/>
          <w:color w:val="000000" w:themeColor="text1"/>
          <w:spacing w:val="0"/>
          <w:w w:val="100"/>
          <w:kern w:val="2"/>
          <w:position w:val="0"/>
          <w:sz w:val="24"/>
          <w:szCs w:val="24"/>
          <w:highlight w:val="none"/>
          <w:u w:val="single"/>
          <w:shd w:val="clear" w:color="auto" w:fill="auto"/>
          <w:lang w:val="en-US" w:eastAsia="zh-CN" w:bidi="zh-TW"/>
          <w14:textFill>
            <w14:solidFill>
              <w14:schemeClr w14:val="tx1"/>
            </w14:solidFill>
          </w14:textFill>
        </w:rPr>
        <w:t xml:space="preserve">  </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联合体。</w:t>
      </w:r>
    </w:p>
    <w:p w14:paraId="68F6971E">
      <w:pPr>
        <w:keepNext w:val="0"/>
        <w:keepLines w:val="0"/>
        <w:pageBreakBefore w:val="0"/>
        <w:widowControl w:val="0"/>
        <w:shd w:val="clear" w:color="auto" w:fill="auto"/>
        <w:tabs>
          <w:tab w:val="left" w:pos="1356"/>
          <w:tab w:val="left" w:pos="4615"/>
          <w:tab w:val="left" w:pos="6415"/>
          <w:tab w:val="left" w:pos="8220"/>
        </w:tabs>
        <w:kinsoku/>
        <w:wordWrap/>
        <w:overflowPunct/>
        <w:topLinePunct w:val="0"/>
        <w:autoSpaceDE/>
        <w:autoSpaceDN/>
        <w:bidi w:val="0"/>
        <w:adjustRightInd w:val="0"/>
        <w:snapToGrid w:val="0"/>
        <w:spacing w:before="181" w:beforeLines="50" w:after="181" w:afterLines="50" w:line="480" w:lineRule="exact"/>
        <w:ind w:right="0" w:firstLine="0" w:firstLineChars="0"/>
        <w:jc w:val="left"/>
        <w:textAlignment w:val="auto"/>
        <w:rPr>
          <w:rFonts w:hint="eastAsia" w:ascii="宋体" w:hAnsi="宋体" w:eastAsia="宋体" w:cs="宋体"/>
          <w:b/>
          <w:bCs/>
          <w:color w:val="000000" w:themeColor="text1"/>
          <w:spacing w:val="0"/>
          <w:w w:val="100"/>
          <w:position w:val="0"/>
          <w:sz w:val="28"/>
          <w:szCs w:val="28"/>
          <w:highlight w:val="none"/>
          <w:u w:val="none"/>
          <w:shd w:val="clear" w:color="auto" w:fill="auto"/>
          <w:lang w:val="zh-TW" w:eastAsia="zh-TW" w:bidi="zh-TW"/>
          <w14:textFill>
            <w14:solidFill>
              <w14:schemeClr w14:val="tx1"/>
            </w14:solidFill>
          </w14:textFill>
        </w:rPr>
      </w:pPr>
      <w:r>
        <w:rPr>
          <w:rFonts w:hint="eastAsia" w:ascii="宋体" w:hAnsi="宋体" w:eastAsia="宋体" w:cs="宋体"/>
          <w:b/>
          <w:bCs/>
          <w:color w:val="000000" w:themeColor="text1"/>
          <w:spacing w:val="0"/>
          <w:w w:val="100"/>
          <w:position w:val="0"/>
          <w:sz w:val="28"/>
          <w:szCs w:val="28"/>
          <w:highlight w:val="none"/>
          <w:u w:val="none"/>
          <w:shd w:val="clear" w:color="auto" w:fill="auto"/>
          <w:lang w:val="zh-TW" w:eastAsia="zh-TW" w:bidi="zh-TW"/>
          <w14:textFill>
            <w14:solidFill>
              <w14:schemeClr w14:val="tx1"/>
            </w14:solidFill>
          </w14:textFill>
        </w:rPr>
        <w:t>4采购文件的获取</w:t>
      </w:r>
    </w:p>
    <w:p w14:paraId="6A73B8E4">
      <w:pPr>
        <w:keepNext w:val="0"/>
        <w:keepLines w:val="0"/>
        <w:pageBreakBefore w:val="0"/>
        <w:widowControl w:val="0"/>
        <w:shd w:val="clear" w:color="auto" w:fill="auto"/>
        <w:tabs>
          <w:tab w:val="left" w:pos="3504"/>
        </w:tabs>
        <w:kinsoku/>
        <w:wordWrap/>
        <w:overflowPunct/>
        <w:topLinePunct w:val="0"/>
        <w:autoSpaceDE/>
        <w:autoSpaceDN/>
        <w:bidi w:val="0"/>
        <w:adjustRightInd w:val="0"/>
        <w:snapToGrid w:val="0"/>
        <w:spacing w:before="0" w:after="181" w:afterLines="50" w:line="480" w:lineRule="exact"/>
        <w:ind w:right="0" w:firstLine="482" w:firstLineChars="200"/>
        <w:jc w:val="left"/>
        <w:textAlignment w:val="auto"/>
        <w:rPr>
          <w:rFonts w:hint="default" w:ascii="宋体" w:hAnsi="宋体" w:eastAsia="宋体" w:cs="宋体"/>
          <w:color w:val="000000" w:themeColor="text1"/>
          <w:spacing w:val="0"/>
          <w:w w:val="100"/>
          <w:position w:val="0"/>
          <w:sz w:val="24"/>
          <w:szCs w:val="24"/>
          <w:u w:val="none"/>
          <w:shd w:val="clear" w:color="auto" w:fill="auto"/>
          <w:lang w:val="en-US" w:eastAsia="zh-TW" w:bidi="zh-TW"/>
          <w14:textFill>
            <w14:solidFill>
              <w14:schemeClr w14:val="tx1"/>
            </w14:solidFill>
          </w14:textFill>
        </w:rPr>
      </w:pPr>
      <w:r>
        <w:rPr>
          <w:rFonts w:ascii="宋体" w:hAnsi="宋体" w:eastAsia="宋体" w:cs="宋体"/>
          <w:b/>
          <w:bCs/>
          <w:color w:val="000000" w:themeColor="text1"/>
          <w:spacing w:val="0"/>
          <w:w w:val="100"/>
          <w:position w:val="0"/>
          <w:sz w:val="24"/>
          <w:szCs w:val="24"/>
          <w:u w:val="none"/>
          <w:shd w:val="clear" w:color="auto" w:fill="auto"/>
          <w:lang w:val="en-US" w:eastAsia="en-US" w:bidi="en-US"/>
          <w14:textFill>
            <w14:solidFill>
              <w14:schemeClr w14:val="tx1"/>
            </w14:solidFill>
          </w14:textFill>
        </w:rPr>
        <w:t>4.</w:t>
      </w:r>
      <w:r>
        <w:rPr>
          <w:rFonts w:ascii="宋体" w:hAnsi="宋体" w:eastAsia="宋体" w:cs="宋体"/>
          <w:b/>
          <w:bCs/>
          <w:color w:val="000000" w:themeColor="text1"/>
          <w:spacing w:val="0"/>
          <w:w w:val="100"/>
          <w:position w:val="0"/>
          <w:sz w:val="24"/>
          <w:szCs w:val="24"/>
          <w:u w:val="none"/>
          <w:shd w:val="clear" w:color="auto" w:fill="auto"/>
          <w:lang w:val="zh-TW" w:eastAsia="zh-TW" w:bidi="zh-TW"/>
          <w14:textFill>
            <w14:solidFill>
              <w14:schemeClr w14:val="tx1"/>
            </w14:solidFill>
          </w14:textFill>
        </w:rPr>
        <w:t>1</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有意参加询比采购活动</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的单位</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，请于</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2026</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年</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4</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月</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8</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日至</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2026</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年</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4</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月</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15</w:t>
      </w:r>
      <w:r>
        <w:rPr>
          <w:rFonts w:hint="eastAsia" w:ascii="宋体" w:hAnsi="宋体" w:eastAsia="宋体" w:cs="宋体"/>
          <w:color w:val="000000" w:themeColor="text1"/>
          <w:spacing w:val="0"/>
          <w:w w:val="100"/>
          <w:position w:val="0"/>
          <w:sz w:val="24"/>
          <w:szCs w:val="24"/>
          <w:u w:val="none"/>
          <w:shd w:val="clear" w:color="auto" w:fill="auto"/>
          <w:lang w:val="zh-TW" w:eastAsia="zh-CN" w:bidi="zh-TW"/>
          <w14:textFill>
            <w14:solidFill>
              <w14:schemeClr w14:val="tx1"/>
            </w14:solidFill>
          </w14:textFill>
        </w:rPr>
        <w:t>日</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法定节假日除外），</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每日上午</w:t>
      </w: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09:00</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至</w:t>
      </w: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12:00</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，下午</w:t>
      </w: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14:30</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至</w:t>
      </w: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17:30</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时(北京时间，下同)</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持营业执照复印件、授权委托书原件、资质证书复印件到青海璇锴工程项目管理有限公司</w:t>
      </w:r>
      <w:r>
        <w:rPr>
          <w:rFonts w:hint="eastAsia" w:ascii="宋体" w:hAnsi="宋体" w:eastAsia="宋体" w:cs="宋体"/>
          <w:color w:val="000000" w:themeColor="text1"/>
          <w:spacing w:val="0"/>
          <w:w w:val="100"/>
          <w:position w:val="0"/>
          <w:sz w:val="24"/>
          <w:szCs w:val="24"/>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西宁市城中区长江路103号山水国际3号楼22楼</w:t>
      </w:r>
      <w:r>
        <w:rPr>
          <w:rFonts w:hint="eastAsia" w:ascii="宋体" w:hAnsi="宋体" w:eastAsia="宋体" w:cs="宋体"/>
          <w:color w:val="000000" w:themeColor="text1"/>
          <w:spacing w:val="0"/>
          <w:w w:val="100"/>
          <w:position w:val="0"/>
          <w:sz w:val="24"/>
          <w:szCs w:val="24"/>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购买询比文件，过期不候。</w:t>
      </w:r>
    </w:p>
    <w:p w14:paraId="6337E8F2">
      <w:pPr>
        <w:keepNext w:val="0"/>
        <w:keepLines w:val="0"/>
        <w:pageBreakBefore w:val="0"/>
        <w:widowControl w:val="0"/>
        <w:shd w:val="clear" w:color="auto" w:fill="auto"/>
        <w:tabs>
          <w:tab w:val="left" w:pos="3504"/>
        </w:tabs>
        <w:kinsoku/>
        <w:wordWrap/>
        <w:overflowPunct/>
        <w:topLinePunct w:val="0"/>
        <w:autoSpaceDE/>
        <w:autoSpaceDN/>
        <w:bidi w:val="0"/>
        <w:adjustRightInd w:val="0"/>
        <w:snapToGrid w:val="0"/>
        <w:spacing w:before="0" w:after="181" w:afterLines="50" w:line="480" w:lineRule="exact"/>
        <w:ind w:right="0" w:firstLine="480" w:firstLineChars="200"/>
        <w:jc w:val="left"/>
        <w:textAlignment w:val="auto"/>
        <w:rPr>
          <w:rFonts w:hint="eastAsia" w:ascii="宋体" w:hAnsi="宋体" w:eastAsia="宋体" w:cs="宋体"/>
          <w:color w:val="000000" w:themeColor="text1"/>
          <w:spacing w:val="0"/>
          <w:w w:val="100"/>
          <w:position w:val="0"/>
          <w:sz w:val="24"/>
          <w:szCs w:val="24"/>
          <w:u w:val="none"/>
          <w:shd w:val="clear" w:color="auto" w:fill="auto"/>
          <w:lang w:val="zh-TW" w:eastAsia="zh-CN" w:bidi="zh-TW"/>
          <w14:textFill>
            <w14:solidFill>
              <w14:schemeClr w14:val="tx1"/>
            </w14:solidFill>
          </w14:textFill>
        </w:rPr>
      </w:pPr>
      <w:r>
        <w:rPr>
          <w:rFonts w:ascii="宋体" w:hAnsi="宋体" w:eastAsia="宋体" w:cs="宋体"/>
          <w:color w:val="000000" w:themeColor="text1"/>
          <w:spacing w:val="0"/>
          <w:w w:val="100"/>
          <w:position w:val="0"/>
          <w:sz w:val="24"/>
          <w:szCs w:val="24"/>
          <w:u w:val="none"/>
          <w:shd w:val="clear" w:color="auto" w:fill="auto"/>
          <w:lang w:val="en-US" w:eastAsia="en-US" w:bidi="zh-TW"/>
          <w14:textFill>
            <w14:solidFill>
              <w14:schemeClr w14:val="tx1"/>
            </w14:solidFill>
          </w14:textFill>
        </w:rPr>
        <w:t>4.2</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 xml:space="preserve">采购文件每套售价 </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500.00</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元，售后不退。</w:t>
      </w:r>
    </w:p>
    <w:p w14:paraId="75478257">
      <w:pPr>
        <w:keepNext w:val="0"/>
        <w:keepLines w:val="0"/>
        <w:pageBreakBefore w:val="0"/>
        <w:widowControl w:val="0"/>
        <w:shd w:val="clear" w:color="auto" w:fill="auto"/>
        <w:tabs>
          <w:tab w:val="left" w:pos="3504"/>
        </w:tabs>
        <w:kinsoku/>
        <w:wordWrap/>
        <w:overflowPunct/>
        <w:topLinePunct w:val="0"/>
        <w:autoSpaceDE/>
        <w:autoSpaceDN/>
        <w:bidi w:val="0"/>
        <w:adjustRightInd w:val="0"/>
        <w:snapToGrid w:val="0"/>
        <w:spacing w:before="0" w:after="181" w:afterLines="50" w:line="480" w:lineRule="exact"/>
        <w:ind w:right="0" w:firstLine="480" w:firstLineChars="200"/>
        <w:jc w:val="left"/>
        <w:textAlignment w:val="auto"/>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4.3联系人：郭女士</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 xml:space="preserve">              </w:t>
      </w: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联系方式：</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0971-4115188</w:t>
      </w:r>
    </w:p>
    <w:p w14:paraId="189BE15C">
      <w:pPr>
        <w:keepNext w:val="0"/>
        <w:keepLines w:val="0"/>
        <w:pageBreakBefore w:val="0"/>
        <w:widowControl w:val="0"/>
        <w:shd w:val="clear" w:color="auto" w:fill="auto"/>
        <w:tabs>
          <w:tab w:val="left" w:pos="3504"/>
        </w:tabs>
        <w:kinsoku/>
        <w:wordWrap/>
        <w:overflowPunct/>
        <w:topLinePunct w:val="0"/>
        <w:autoSpaceDE/>
        <w:autoSpaceDN/>
        <w:bidi w:val="0"/>
        <w:adjustRightInd w:val="0"/>
        <w:snapToGrid w:val="0"/>
        <w:spacing w:before="0" w:after="181" w:afterLines="50" w:line="480" w:lineRule="exact"/>
        <w:ind w:right="0" w:firstLine="480" w:firstLineChars="200"/>
        <w:jc w:val="left"/>
        <w:textAlignment w:val="auto"/>
        <w:rPr>
          <w:rFonts w:hint="default"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购买方式：现场或网上购买    电子邮箱：qhxkgcxmgl@126.com</w:t>
      </w:r>
    </w:p>
    <w:p w14:paraId="14484FF7">
      <w:pPr>
        <w:keepNext w:val="0"/>
        <w:keepLines w:val="0"/>
        <w:pageBreakBefore w:val="0"/>
        <w:widowControl w:val="0"/>
        <w:shd w:val="clear" w:color="auto" w:fill="auto"/>
        <w:tabs>
          <w:tab w:val="left" w:pos="3504"/>
        </w:tabs>
        <w:kinsoku/>
        <w:wordWrap/>
        <w:overflowPunct/>
        <w:topLinePunct w:val="0"/>
        <w:autoSpaceDE/>
        <w:autoSpaceDN/>
        <w:bidi w:val="0"/>
        <w:adjustRightInd w:val="0"/>
        <w:snapToGrid w:val="0"/>
        <w:spacing w:before="0" w:after="181" w:afterLines="50" w:line="480" w:lineRule="exact"/>
        <w:ind w:right="0" w:firstLine="480" w:firstLineChars="200"/>
        <w:jc w:val="left"/>
        <w:textAlignment w:val="auto"/>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5响应文件的递交</w:t>
      </w:r>
    </w:p>
    <w:p w14:paraId="0C47F32A">
      <w:pPr>
        <w:keepNext w:val="0"/>
        <w:keepLines w:val="0"/>
        <w:pageBreakBefore w:val="0"/>
        <w:widowControl w:val="0"/>
        <w:shd w:val="clear" w:color="auto" w:fill="auto"/>
        <w:tabs>
          <w:tab w:val="left" w:pos="3504"/>
        </w:tabs>
        <w:kinsoku/>
        <w:wordWrap/>
        <w:overflowPunct/>
        <w:topLinePunct w:val="0"/>
        <w:autoSpaceDE/>
        <w:autoSpaceDN/>
        <w:bidi w:val="0"/>
        <w:adjustRightInd w:val="0"/>
        <w:snapToGrid w:val="0"/>
        <w:spacing w:before="0" w:after="181" w:afterLines="50" w:line="480" w:lineRule="exact"/>
        <w:ind w:right="0" w:firstLine="480" w:firstLineChars="200"/>
        <w:jc w:val="left"/>
        <w:textAlignment w:val="auto"/>
        <w:rPr>
          <w:rFonts w:hint="default" w:ascii="宋体" w:hAnsi="宋体" w:eastAsia="宋体" w:cs="宋体"/>
          <w:strike w:val="0"/>
          <w:dstrike w:val="0"/>
          <w:color w:val="000000" w:themeColor="text1"/>
          <w:spacing w:val="0"/>
          <w:w w:val="100"/>
          <w:position w:val="0"/>
          <w:sz w:val="24"/>
          <w:szCs w:val="24"/>
          <w:u w:val="single"/>
          <w:shd w:val="clear" w:color="auto" w:fill="auto"/>
          <w:lang w:val="en-US" w:eastAsia="zh-CN" w:bidi="zh-TW"/>
          <w14:textFill>
            <w14:solidFill>
              <w14:schemeClr w14:val="tx1"/>
            </w14:solidFill>
          </w14:textFill>
        </w:rPr>
      </w:pPr>
      <w:bookmarkStart w:id="14" w:name="bookmark597"/>
      <w:bookmarkEnd w:id="14"/>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5.1</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响应文件递交的截止时间为</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2026</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年</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4</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月</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16日 上午9</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时</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30</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分</w:t>
      </w:r>
      <w:r>
        <w:rPr>
          <w:rFonts w:ascii="宋体" w:hAnsi="宋体" w:eastAsia="宋体" w:cs="宋体"/>
          <w:color w:val="auto"/>
          <w:spacing w:val="0"/>
          <w:w w:val="100"/>
          <w:position w:val="0"/>
          <w:sz w:val="24"/>
          <w:szCs w:val="24"/>
          <w:highlight w:val="none"/>
          <w:u w:val="none"/>
          <w:shd w:val="clear" w:color="auto" w:fill="auto"/>
          <w:lang w:val="zh-TW" w:eastAsia="zh-TW" w:bidi="zh-TW"/>
        </w:rPr>
        <w:t>，地点为</w:t>
      </w:r>
      <w:r>
        <w:rPr>
          <w:rFonts w:hint="eastAsia" w:ascii="宋体" w:hAnsi="宋体" w:eastAsia="宋体" w:cs="宋体"/>
          <w:color w:val="auto"/>
          <w:spacing w:val="0"/>
          <w:w w:val="100"/>
          <w:position w:val="0"/>
          <w:sz w:val="24"/>
          <w:szCs w:val="24"/>
          <w:highlight w:val="none"/>
          <w:u w:val="none"/>
          <w:shd w:val="clear" w:color="auto" w:fill="auto"/>
          <w:lang w:val="en-US" w:eastAsia="zh-CN" w:bidi="zh-TW"/>
        </w:rPr>
        <w:t>青海璇锴工程项目管理有限公司</w:t>
      </w:r>
      <w:r>
        <w:rPr>
          <w:rFonts w:hint="eastAsia" w:ascii="宋体" w:hAnsi="宋体" w:eastAsia="宋体" w:cs="宋体"/>
          <w:b w:val="0"/>
          <w:bCs w:val="0"/>
          <w:color w:val="000000" w:themeColor="text1"/>
          <w:spacing w:val="0"/>
          <w:w w:val="100"/>
          <w:position w:val="0"/>
          <w:sz w:val="24"/>
          <w:szCs w:val="24"/>
          <w:u w:val="none"/>
          <w:shd w:val="clear" w:color="auto" w:fill="auto"/>
          <w:lang w:val="zh-TW" w:eastAsia="zh-CN" w:bidi="en-US"/>
          <w14:textFill>
            <w14:solidFill>
              <w14:schemeClr w14:val="tx1"/>
            </w14:solidFill>
          </w14:textFill>
        </w:rPr>
        <w:t>（</w:t>
      </w:r>
      <w:r>
        <w:rPr>
          <w:rFonts w:hint="eastAsia" w:ascii="宋体" w:hAnsi="宋体" w:eastAsia="宋体" w:cs="宋体"/>
          <w:b w:val="0"/>
          <w:bCs w:val="0"/>
          <w:color w:val="000000" w:themeColor="text1"/>
          <w:spacing w:val="0"/>
          <w:w w:val="100"/>
          <w:position w:val="0"/>
          <w:sz w:val="24"/>
          <w:szCs w:val="24"/>
          <w:u w:val="none"/>
          <w:shd w:val="clear" w:color="auto" w:fill="auto"/>
          <w:lang w:val="en-US" w:eastAsia="zh-CN" w:bidi="en-US"/>
          <w14:textFill>
            <w14:solidFill>
              <w14:schemeClr w14:val="tx1"/>
            </w14:solidFill>
          </w14:textFill>
        </w:rPr>
        <w:t>西宁市城中区长江路103号山水国际3号楼22楼</w:t>
      </w:r>
      <w:r>
        <w:rPr>
          <w:rFonts w:hint="eastAsia" w:ascii="宋体" w:hAnsi="宋体" w:eastAsia="宋体" w:cs="宋体"/>
          <w:b w:val="0"/>
          <w:bCs w:val="0"/>
          <w:color w:val="000000" w:themeColor="text1"/>
          <w:spacing w:val="0"/>
          <w:w w:val="100"/>
          <w:position w:val="0"/>
          <w:sz w:val="24"/>
          <w:szCs w:val="24"/>
          <w:u w:val="none"/>
          <w:shd w:val="clear" w:color="auto" w:fill="auto"/>
          <w:lang w:val="zh-TW" w:eastAsia="zh-CN" w:bidi="en-US"/>
          <w14:textFill>
            <w14:solidFill>
              <w14:schemeClr w14:val="tx1"/>
            </w14:solidFill>
          </w14:textFill>
        </w:rPr>
        <w:t>）</w:t>
      </w:r>
      <w:r>
        <w:rPr>
          <w:rFonts w:hint="eastAsia" w:ascii="宋体" w:hAnsi="宋体" w:eastAsia="宋体" w:cs="宋体"/>
          <w:b w:val="0"/>
          <w:bCs w:val="0"/>
          <w:strike w:val="0"/>
          <w:dstrike w:val="0"/>
          <w:color w:val="000000" w:themeColor="text1"/>
          <w:spacing w:val="0"/>
          <w:w w:val="100"/>
          <w:position w:val="0"/>
          <w:sz w:val="24"/>
          <w:szCs w:val="24"/>
          <w:u w:val="none"/>
          <w:shd w:val="clear" w:color="auto" w:fill="auto"/>
          <w:lang w:val="en-US" w:eastAsia="zh-CN" w:bidi="en-US"/>
          <w14:textFill>
            <w14:solidFill>
              <w14:schemeClr w14:val="tx1"/>
            </w14:solidFill>
          </w14:textFill>
        </w:rPr>
        <w:t>。</w:t>
      </w:r>
    </w:p>
    <w:p w14:paraId="76DB87A3">
      <w:pPr>
        <w:keepNext w:val="0"/>
        <w:keepLines w:val="0"/>
        <w:pageBreakBefore w:val="0"/>
        <w:widowControl w:val="0"/>
        <w:shd w:val="clear" w:color="auto" w:fill="auto"/>
        <w:kinsoku/>
        <w:wordWrap/>
        <w:overflowPunct/>
        <w:topLinePunct w:val="0"/>
        <w:autoSpaceDE/>
        <w:autoSpaceDN/>
        <w:bidi w:val="0"/>
        <w:adjustRightInd w:val="0"/>
        <w:snapToGrid w:val="0"/>
        <w:spacing w:before="0" w:after="181" w:afterLines="50" w:line="480" w:lineRule="exact"/>
        <w:ind w:right="0" w:firstLine="482" w:firstLineChars="200"/>
        <w:jc w:val="left"/>
        <w:textAlignment w:val="auto"/>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pPr>
      <w:r>
        <w:rPr>
          <w:rFonts w:hint="eastAsia" w:ascii="宋体" w:hAnsi="宋体" w:eastAsia="宋体" w:cs="宋体"/>
          <w:b/>
          <w:bCs/>
          <w:color w:val="000000" w:themeColor="text1"/>
          <w:spacing w:val="0"/>
          <w:w w:val="100"/>
          <w:position w:val="0"/>
          <w:sz w:val="24"/>
          <w:szCs w:val="24"/>
          <w:u w:val="none"/>
          <w:shd w:val="clear" w:color="auto" w:fill="auto"/>
          <w:lang w:val="en-US" w:eastAsia="zh-CN" w:bidi="en-US"/>
          <w14:textFill>
            <w14:solidFill>
              <w14:schemeClr w14:val="tx1"/>
            </w14:solidFill>
          </w14:textFill>
        </w:rPr>
        <w:t>5.2</w:t>
      </w:r>
      <w:r>
        <w:rPr>
          <w:rFonts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逾期送达的、未送达指定地点的或未密封的响应文件，釆购人将拒绝接收。</w:t>
      </w:r>
    </w:p>
    <w:p w14:paraId="0B3C51ED">
      <w:pPr>
        <w:keepNext w:val="0"/>
        <w:keepLines w:val="0"/>
        <w:pageBreakBefore w:val="0"/>
        <w:widowControl w:val="0"/>
        <w:shd w:val="clear" w:color="auto" w:fill="auto"/>
        <w:tabs>
          <w:tab w:val="left" w:pos="1356"/>
          <w:tab w:val="left" w:pos="4615"/>
          <w:tab w:val="left" w:pos="6415"/>
          <w:tab w:val="left" w:pos="8220"/>
        </w:tabs>
        <w:kinsoku/>
        <w:wordWrap/>
        <w:overflowPunct/>
        <w:topLinePunct w:val="0"/>
        <w:autoSpaceDE/>
        <w:autoSpaceDN/>
        <w:bidi w:val="0"/>
        <w:adjustRightInd w:val="0"/>
        <w:snapToGrid w:val="0"/>
        <w:spacing w:line="240" w:lineRule="auto"/>
        <w:ind w:right="0" w:firstLine="0" w:firstLineChars="0"/>
        <w:jc w:val="left"/>
        <w:textAlignment w:val="auto"/>
        <w:rPr>
          <w:rFonts w:hint="eastAsia" w:ascii="宋体" w:hAnsi="宋体" w:eastAsia="宋体" w:cs="宋体"/>
          <w:b/>
          <w:bCs/>
          <w:color w:val="000000" w:themeColor="text1"/>
          <w:spacing w:val="0"/>
          <w:w w:val="100"/>
          <w:position w:val="0"/>
          <w:sz w:val="28"/>
          <w:szCs w:val="28"/>
          <w:highlight w:val="none"/>
          <w:u w:val="none"/>
          <w:shd w:val="clear" w:color="auto" w:fill="auto"/>
          <w:lang w:val="zh-TW" w:eastAsia="zh-TW" w:bidi="zh-TW"/>
          <w14:textFill>
            <w14:solidFill>
              <w14:schemeClr w14:val="tx1"/>
            </w14:solidFill>
          </w14:textFill>
        </w:rPr>
      </w:pPr>
      <w:r>
        <w:rPr>
          <w:rFonts w:hint="eastAsia" w:ascii="宋体" w:hAnsi="宋体" w:eastAsia="宋体" w:cs="宋体"/>
          <w:b/>
          <w:bCs/>
          <w:color w:val="000000" w:themeColor="text1"/>
          <w:spacing w:val="0"/>
          <w:w w:val="100"/>
          <w:position w:val="0"/>
          <w:sz w:val="28"/>
          <w:szCs w:val="28"/>
          <w:highlight w:val="none"/>
          <w:u w:val="none"/>
          <w:shd w:val="clear" w:color="auto" w:fill="auto"/>
          <w:lang w:val="zh-TW" w:eastAsia="zh-TW" w:bidi="zh-TW"/>
          <w14:textFill>
            <w14:solidFill>
              <w14:schemeClr w14:val="tx1"/>
            </w14:solidFill>
          </w14:textFill>
        </w:rPr>
        <w:t>6响应文件开启时间和地点</w:t>
      </w:r>
    </w:p>
    <w:p w14:paraId="351C9FE6">
      <w:pPr>
        <w:keepNext w:val="0"/>
        <w:keepLines w:val="0"/>
        <w:pageBreakBefore w:val="0"/>
        <w:widowControl w:val="0"/>
        <w:shd w:val="clear" w:color="auto" w:fill="auto"/>
        <w:kinsoku/>
        <w:wordWrap/>
        <w:overflowPunct/>
        <w:topLinePunct w:val="0"/>
        <w:autoSpaceDE/>
        <w:autoSpaceDN/>
        <w:bidi w:val="0"/>
        <w:adjustRightInd w:val="0"/>
        <w:snapToGrid w:val="0"/>
        <w:spacing w:before="0" w:after="181" w:afterLines="50" w:line="440" w:lineRule="exact"/>
        <w:ind w:left="0" w:right="0" w:firstLine="480" w:firstLineChars="200"/>
        <w:jc w:val="left"/>
        <w:textAlignment w:val="auto"/>
        <w:rPr>
          <w:rFonts w:hint="eastAsia" w:ascii="宋体" w:hAnsi="宋体" w:eastAsia="宋体" w:cs="宋体"/>
          <w:b w:val="0"/>
          <w:bCs w:val="0"/>
          <w:color w:val="000000" w:themeColor="text1"/>
          <w:spacing w:val="0"/>
          <w:w w:val="100"/>
          <w:position w:val="0"/>
          <w:sz w:val="24"/>
          <w:szCs w:val="24"/>
          <w:u w:val="none"/>
          <w:shd w:val="clear" w:color="auto" w:fill="auto"/>
          <w:lang w:val="zh-TW" w:eastAsia="zh-TW" w:bidi="en-US"/>
          <w14:textFill>
            <w14:solidFill>
              <w14:schemeClr w14:val="tx1"/>
            </w14:solidFill>
          </w14:textFill>
        </w:rPr>
      </w:pPr>
      <w:r>
        <w:rPr>
          <w:rFonts w:hint="eastAsia" w:ascii="宋体" w:hAnsi="宋体" w:eastAsia="宋体" w:cs="宋体"/>
          <w:b w:val="0"/>
          <w:bCs w:val="0"/>
          <w:color w:val="000000" w:themeColor="text1"/>
          <w:spacing w:val="0"/>
          <w:w w:val="100"/>
          <w:position w:val="0"/>
          <w:sz w:val="24"/>
          <w:szCs w:val="24"/>
          <w:u w:val="none"/>
          <w:shd w:val="clear" w:color="auto" w:fill="auto"/>
          <w:lang w:val="zh-TW" w:eastAsia="zh-TW" w:bidi="en-US"/>
          <w14:textFill>
            <w14:solidFill>
              <w14:schemeClr w14:val="tx1"/>
            </w14:solidFill>
          </w14:textFill>
        </w:rPr>
        <w:t>响应文件开启在响应文件递交截止时间的同一时间进行，地点为响应文件递交地点。邀请所有供应商的法定代表人（单位负责人）或其授权的代理人参加开启会议, 供应商未派代表参加开启会议的，视为默认开启结果。</w:t>
      </w:r>
    </w:p>
    <w:p w14:paraId="19128011">
      <w:pPr>
        <w:keepNext w:val="0"/>
        <w:keepLines w:val="0"/>
        <w:pageBreakBefore w:val="0"/>
        <w:widowControl w:val="0"/>
        <w:shd w:val="clear" w:color="auto" w:fill="auto"/>
        <w:tabs>
          <w:tab w:val="left" w:pos="1356"/>
          <w:tab w:val="left" w:pos="4615"/>
          <w:tab w:val="left" w:pos="6415"/>
          <w:tab w:val="left" w:pos="8220"/>
        </w:tabs>
        <w:kinsoku/>
        <w:wordWrap/>
        <w:overflowPunct/>
        <w:topLinePunct w:val="0"/>
        <w:autoSpaceDE/>
        <w:autoSpaceDN/>
        <w:bidi w:val="0"/>
        <w:adjustRightInd w:val="0"/>
        <w:snapToGrid w:val="0"/>
        <w:spacing w:line="360" w:lineRule="auto"/>
        <w:ind w:right="0" w:firstLine="0" w:firstLineChars="0"/>
        <w:jc w:val="left"/>
        <w:textAlignment w:val="auto"/>
        <w:rPr>
          <w:rFonts w:hint="eastAsia" w:ascii="宋体" w:hAnsi="宋体" w:eastAsia="宋体" w:cs="宋体"/>
          <w:b/>
          <w:bCs/>
          <w:color w:val="000000" w:themeColor="text1"/>
          <w:spacing w:val="0"/>
          <w:w w:val="100"/>
          <w:position w:val="0"/>
          <w:sz w:val="28"/>
          <w:szCs w:val="28"/>
          <w:highlight w:val="none"/>
          <w:u w:val="single"/>
          <w:shd w:val="clear" w:color="auto" w:fill="auto"/>
          <w:lang w:val="en-US" w:eastAsia="zh-CN" w:bidi="zh-TW"/>
          <w14:textFill>
            <w14:solidFill>
              <w14:schemeClr w14:val="tx1"/>
            </w14:solidFill>
          </w14:textFill>
        </w:rPr>
      </w:pPr>
      <w:r>
        <w:rPr>
          <w:rFonts w:hint="eastAsia" w:ascii="宋体" w:hAnsi="宋体" w:eastAsia="宋体" w:cs="宋体"/>
          <w:b/>
          <w:bCs/>
          <w:color w:val="000000" w:themeColor="text1"/>
          <w:spacing w:val="0"/>
          <w:w w:val="100"/>
          <w:position w:val="0"/>
          <w:sz w:val="28"/>
          <w:szCs w:val="28"/>
          <w:highlight w:val="none"/>
          <w:u w:val="none"/>
          <w:shd w:val="clear" w:color="auto" w:fill="auto"/>
          <w:lang w:val="en-US" w:eastAsia="zh-CN" w:bidi="zh-TW"/>
          <w14:textFill>
            <w14:solidFill>
              <w14:schemeClr w14:val="tx1"/>
            </w14:solidFill>
          </w14:textFill>
        </w:rPr>
        <w:t>7</w:t>
      </w:r>
      <w:r>
        <w:rPr>
          <w:rFonts w:hint="eastAsia" w:ascii="宋体" w:hAnsi="宋体" w:eastAsia="宋体" w:cs="宋体"/>
          <w:b/>
          <w:bCs/>
          <w:color w:val="000000" w:themeColor="text1"/>
          <w:spacing w:val="0"/>
          <w:w w:val="100"/>
          <w:position w:val="0"/>
          <w:sz w:val="28"/>
          <w:szCs w:val="28"/>
          <w:highlight w:val="none"/>
          <w:u w:val="none"/>
          <w:shd w:val="clear" w:color="auto" w:fill="auto"/>
          <w:lang w:val="zh-TW" w:eastAsia="zh-TW" w:bidi="zh-TW"/>
          <w14:textFill>
            <w14:solidFill>
              <w14:schemeClr w14:val="tx1"/>
            </w14:solidFill>
          </w14:textFill>
        </w:rPr>
        <w:t>其他</w:t>
      </w:r>
      <w:r>
        <w:rPr>
          <w:rFonts w:hint="eastAsia" w:ascii="宋体" w:hAnsi="宋体" w:eastAsia="宋体" w:cs="宋体"/>
          <w:b/>
          <w:bCs/>
          <w:color w:val="000000" w:themeColor="text1"/>
          <w:spacing w:val="0"/>
          <w:w w:val="100"/>
          <w:position w:val="0"/>
          <w:sz w:val="28"/>
          <w:szCs w:val="28"/>
          <w:highlight w:val="none"/>
          <w:u w:val="none"/>
          <w:shd w:val="clear" w:color="auto" w:fill="auto"/>
          <w:lang w:val="en-US" w:eastAsia="zh-CN" w:bidi="zh-TW"/>
          <w14:textFill>
            <w14:solidFill>
              <w14:schemeClr w14:val="tx1"/>
            </w14:solidFill>
          </w14:textFill>
        </w:rPr>
        <w:t xml:space="preserve"> </w:t>
      </w:r>
      <w:r>
        <w:rPr>
          <w:rFonts w:hint="eastAsia" w:ascii="宋体" w:hAnsi="宋体" w:eastAsia="宋体" w:cs="宋体"/>
          <w:b/>
          <w:bCs/>
          <w:color w:val="000000" w:themeColor="text1"/>
          <w:spacing w:val="0"/>
          <w:w w:val="100"/>
          <w:position w:val="0"/>
          <w:sz w:val="28"/>
          <w:szCs w:val="28"/>
          <w:highlight w:val="none"/>
          <w:u w:val="single"/>
          <w:shd w:val="clear" w:color="auto" w:fill="auto"/>
          <w:lang w:val="en-US" w:eastAsia="zh-CN" w:bidi="zh-TW"/>
          <w14:textFill>
            <w14:solidFill>
              <w14:schemeClr w14:val="tx1"/>
            </w14:solidFill>
          </w14:textFill>
        </w:rPr>
        <w:t>无</w:t>
      </w:r>
    </w:p>
    <w:p w14:paraId="5FC46B8D">
      <w:pPr>
        <w:keepNext w:val="0"/>
        <w:keepLines w:val="0"/>
        <w:pageBreakBefore w:val="0"/>
        <w:widowControl w:val="0"/>
        <w:shd w:val="clear" w:color="auto" w:fill="auto"/>
        <w:tabs>
          <w:tab w:val="left" w:pos="1356"/>
          <w:tab w:val="left" w:pos="4615"/>
          <w:tab w:val="left" w:pos="6415"/>
          <w:tab w:val="left" w:pos="8220"/>
        </w:tabs>
        <w:kinsoku/>
        <w:wordWrap/>
        <w:overflowPunct/>
        <w:topLinePunct w:val="0"/>
        <w:autoSpaceDE/>
        <w:autoSpaceDN/>
        <w:bidi w:val="0"/>
        <w:adjustRightInd w:val="0"/>
        <w:snapToGrid w:val="0"/>
        <w:spacing w:line="360" w:lineRule="auto"/>
        <w:ind w:right="0" w:firstLine="0" w:firstLineChars="0"/>
        <w:jc w:val="left"/>
        <w:textAlignment w:val="auto"/>
        <w:rPr>
          <w:rFonts w:hint="eastAsia" w:ascii="宋体" w:hAnsi="宋体" w:eastAsia="宋体" w:cs="宋体"/>
          <w:b/>
          <w:bCs/>
          <w:color w:val="000000" w:themeColor="text1"/>
          <w:spacing w:val="0"/>
          <w:w w:val="100"/>
          <w:position w:val="0"/>
          <w:sz w:val="28"/>
          <w:szCs w:val="28"/>
          <w:highlight w:val="none"/>
          <w:u w:val="none"/>
          <w:shd w:val="clear" w:color="auto" w:fill="auto"/>
          <w:lang w:val="zh-TW" w:eastAsia="zh-TW" w:bidi="zh-TW"/>
          <w14:textFill>
            <w14:solidFill>
              <w14:schemeClr w14:val="tx1"/>
            </w14:solidFill>
          </w14:textFill>
        </w:rPr>
      </w:pPr>
      <w:r>
        <w:rPr>
          <w:rFonts w:hint="eastAsia" w:ascii="宋体" w:hAnsi="宋体" w:eastAsia="宋体" w:cs="宋体"/>
          <w:b/>
          <w:bCs/>
          <w:color w:val="000000" w:themeColor="text1"/>
          <w:spacing w:val="0"/>
          <w:w w:val="100"/>
          <w:position w:val="0"/>
          <w:sz w:val="28"/>
          <w:szCs w:val="28"/>
          <w:highlight w:val="none"/>
          <w:u w:val="none"/>
          <w:shd w:val="clear" w:color="auto" w:fill="auto"/>
          <w:lang w:val="en-US" w:eastAsia="zh-CN" w:bidi="zh-TW"/>
          <w14:textFill>
            <w14:solidFill>
              <w14:schemeClr w14:val="tx1"/>
            </w14:solidFill>
          </w14:textFill>
        </w:rPr>
        <w:t>8</w:t>
      </w:r>
      <w:r>
        <w:rPr>
          <w:rFonts w:hint="eastAsia" w:ascii="宋体" w:hAnsi="宋体" w:eastAsia="宋体" w:cs="宋体"/>
          <w:b/>
          <w:bCs/>
          <w:color w:val="000000" w:themeColor="text1"/>
          <w:spacing w:val="0"/>
          <w:w w:val="100"/>
          <w:position w:val="0"/>
          <w:sz w:val="28"/>
          <w:szCs w:val="28"/>
          <w:highlight w:val="none"/>
          <w:u w:val="none"/>
          <w:shd w:val="clear" w:color="auto" w:fill="auto"/>
          <w:lang w:val="zh-TW" w:eastAsia="zh-TW" w:bidi="zh-TW"/>
          <w14:textFill>
            <w14:solidFill>
              <w14:schemeClr w14:val="tx1"/>
            </w14:solidFill>
          </w14:textFill>
        </w:rPr>
        <w:t>联系方式</w:t>
      </w:r>
    </w:p>
    <w:tbl>
      <w:tblPr>
        <w:tblStyle w:val="23"/>
        <w:tblW w:w="5211" w:type="pct"/>
        <w:tblInd w:w="1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095"/>
        <w:gridCol w:w="4787"/>
      </w:tblGrid>
      <w:tr w14:paraId="6E0C0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430" w:type="dxa"/>
            <w:noWrap w:val="0"/>
            <w:tcMar>
              <w:top w:w="0" w:type="dxa"/>
              <w:left w:w="108" w:type="dxa"/>
              <w:bottom w:w="0" w:type="dxa"/>
              <w:right w:w="108" w:type="dxa"/>
            </w:tcMar>
            <w:vAlign w:val="top"/>
          </w:tcPr>
          <w:p w14:paraId="26DDC4A1">
            <w:pPr>
              <w:keepNext w:val="0"/>
              <w:keepLines w:val="0"/>
              <w:pageBreakBefore w:val="0"/>
              <w:widowControl w:val="0"/>
              <w:shd w:val="clear" w:color="auto" w:fill="auto"/>
              <w:kinsoku/>
              <w:wordWrap/>
              <w:overflowPunct/>
              <w:topLinePunct w:val="0"/>
              <w:autoSpaceDE/>
              <w:autoSpaceDN/>
              <w:bidi w:val="0"/>
              <w:adjustRightInd w:val="0"/>
              <w:snapToGrid w:val="0"/>
              <w:spacing w:before="0" w:after="181" w:afterLines="50" w:line="440" w:lineRule="exact"/>
              <w:ind w:right="0"/>
              <w:jc w:val="left"/>
              <w:textAlignment w:val="auto"/>
              <w:rPr>
                <w:rFonts w:hint="eastAsia" w:ascii="宋体" w:hAnsi="宋体" w:eastAsia="宋体" w:cs="宋体"/>
                <w:b w:val="0"/>
                <w:bCs w:val="0"/>
                <w:color w:val="000000" w:themeColor="text1"/>
                <w:spacing w:val="0"/>
                <w:w w:val="100"/>
                <w:position w:val="0"/>
                <w:sz w:val="24"/>
                <w:szCs w:val="24"/>
                <w:u w:val="none"/>
                <w:shd w:val="clear" w:color="auto" w:fill="auto"/>
                <w:lang w:val="zh-TW" w:eastAsia="zh-CN" w:bidi="en-US"/>
                <w14:textFill>
                  <w14:solidFill>
                    <w14:schemeClr w14:val="tx1"/>
                  </w14:solidFill>
                </w14:textFill>
              </w:rPr>
            </w:pPr>
            <w:r>
              <w:rPr>
                <w:rFonts w:hint="eastAsia" w:ascii="宋体" w:hAnsi="宋体" w:eastAsia="宋体" w:cs="宋体"/>
                <w:b w:val="0"/>
                <w:bCs w:val="0"/>
                <w:color w:val="000000" w:themeColor="text1"/>
                <w:spacing w:val="0"/>
                <w:w w:val="100"/>
                <w:position w:val="0"/>
                <w:sz w:val="24"/>
                <w:szCs w:val="24"/>
                <w:u w:val="none"/>
                <w:shd w:val="clear" w:color="auto" w:fill="auto"/>
                <w:lang w:val="zh-TW" w:eastAsia="zh-TW" w:bidi="en-US"/>
                <w14:textFill>
                  <w14:solidFill>
                    <w14:schemeClr w14:val="tx1"/>
                  </w14:solidFill>
                </w14:textFill>
              </w:rPr>
              <w:t>招标人：</w:t>
            </w:r>
            <w:r>
              <w:rPr>
                <w:rFonts w:hint="eastAsia" w:ascii="宋体" w:hAnsi="宋体" w:eastAsia="宋体" w:cs="宋体"/>
                <w:b w:val="0"/>
                <w:bCs w:val="0"/>
                <w:color w:val="000000" w:themeColor="text1"/>
                <w:spacing w:val="0"/>
                <w:w w:val="100"/>
                <w:position w:val="0"/>
                <w:sz w:val="24"/>
                <w:szCs w:val="24"/>
                <w:u w:val="none"/>
                <w:shd w:val="clear" w:color="auto" w:fill="auto"/>
                <w:lang w:val="zh-TW" w:eastAsia="zh-CN" w:bidi="en-US"/>
                <w14:textFill>
                  <w14:solidFill>
                    <w14:schemeClr w14:val="tx1"/>
                  </w14:solidFill>
                </w14:textFill>
              </w:rPr>
              <w:t>青海民族大学</w:t>
            </w:r>
          </w:p>
          <w:p w14:paraId="0E4746EC">
            <w:pPr>
              <w:keepNext w:val="0"/>
              <w:keepLines w:val="0"/>
              <w:pageBreakBefore w:val="0"/>
              <w:widowControl w:val="0"/>
              <w:shd w:val="clear" w:color="auto" w:fill="auto"/>
              <w:kinsoku/>
              <w:wordWrap/>
              <w:overflowPunct/>
              <w:topLinePunct w:val="0"/>
              <w:autoSpaceDE/>
              <w:autoSpaceDN/>
              <w:bidi w:val="0"/>
              <w:adjustRightInd w:val="0"/>
              <w:snapToGrid w:val="0"/>
              <w:spacing w:before="0" w:after="181" w:afterLines="50" w:line="440" w:lineRule="exact"/>
              <w:ind w:right="0"/>
              <w:jc w:val="left"/>
              <w:textAlignment w:val="auto"/>
              <w:rPr>
                <w:rFonts w:hint="default" w:ascii="宋体" w:hAnsi="宋体" w:eastAsia="宋体" w:cs="宋体"/>
                <w:b w:val="0"/>
                <w:bCs w:val="0"/>
                <w:color w:val="000000" w:themeColor="text1"/>
                <w:spacing w:val="0"/>
                <w:w w:val="100"/>
                <w:position w:val="0"/>
                <w:sz w:val="24"/>
                <w:szCs w:val="24"/>
                <w:u w:val="none"/>
                <w:shd w:val="clear" w:color="auto" w:fill="auto"/>
                <w:lang w:val="en-US" w:eastAsia="zh-CN" w:bidi="en-US"/>
                <w14:textFill>
                  <w14:solidFill>
                    <w14:schemeClr w14:val="tx1"/>
                  </w14:solidFill>
                </w14:textFill>
              </w:rPr>
            </w:pPr>
          </w:p>
        </w:tc>
        <w:tc>
          <w:tcPr>
            <w:tcW w:w="5218" w:type="dxa"/>
            <w:noWrap w:val="0"/>
            <w:tcMar>
              <w:top w:w="0" w:type="dxa"/>
              <w:left w:w="108" w:type="dxa"/>
              <w:bottom w:w="0" w:type="dxa"/>
              <w:right w:w="108" w:type="dxa"/>
            </w:tcMar>
            <w:vAlign w:val="top"/>
          </w:tcPr>
          <w:p w14:paraId="152749C7">
            <w:pPr>
              <w:keepNext w:val="0"/>
              <w:keepLines w:val="0"/>
              <w:pageBreakBefore w:val="0"/>
              <w:widowControl w:val="0"/>
              <w:shd w:val="clear" w:color="auto" w:fill="auto"/>
              <w:kinsoku/>
              <w:wordWrap/>
              <w:overflowPunct/>
              <w:topLinePunct w:val="0"/>
              <w:autoSpaceDE/>
              <w:autoSpaceDN/>
              <w:bidi w:val="0"/>
              <w:adjustRightInd w:val="0"/>
              <w:snapToGrid w:val="0"/>
              <w:spacing w:before="0" w:after="181" w:afterLines="50" w:line="440" w:lineRule="exact"/>
              <w:ind w:right="0"/>
              <w:jc w:val="left"/>
              <w:textAlignment w:val="auto"/>
              <w:rPr>
                <w:rFonts w:hint="eastAsia" w:ascii="宋体" w:hAnsi="宋体" w:eastAsia="宋体" w:cs="宋体"/>
                <w:b w:val="0"/>
                <w:bCs w:val="0"/>
                <w:color w:val="000000" w:themeColor="text1"/>
                <w:spacing w:val="0"/>
                <w:w w:val="100"/>
                <w:position w:val="0"/>
                <w:sz w:val="24"/>
                <w:szCs w:val="24"/>
                <w:u w:val="none"/>
                <w:shd w:val="clear" w:color="auto" w:fill="auto"/>
                <w:lang w:val="zh-TW" w:eastAsia="zh-CN" w:bidi="en-US"/>
                <w14:textFill>
                  <w14:solidFill>
                    <w14:schemeClr w14:val="tx1"/>
                  </w14:solidFill>
                </w14:textFill>
              </w:rPr>
            </w:pPr>
            <w:r>
              <w:rPr>
                <w:rFonts w:hint="eastAsia" w:ascii="宋体" w:hAnsi="宋体" w:eastAsia="宋体" w:cs="宋体"/>
                <w:b w:val="0"/>
                <w:bCs w:val="0"/>
                <w:color w:val="000000" w:themeColor="text1"/>
                <w:spacing w:val="0"/>
                <w:w w:val="100"/>
                <w:position w:val="0"/>
                <w:sz w:val="24"/>
                <w:szCs w:val="24"/>
                <w:u w:val="none"/>
                <w:shd w:val="clear" w:color="auto" w:fill="auto"/>
                <w:lang w:val="zh-TW" w:eastAsia="zh-TW" w:bidi="en-US"/>
                <w14:textFill>
                  <w14:solidFill>
                    <w14:schemeClr w14:val="tx1"/>
                  </w14:solidFill>
                </w14:textFill>
              </w:rPr>
              <w:t>招标代理机构：</w:t>
            </w:r>
            <w:r>
              <w:rPr>
                <w:rFonts w:hint="eastAsia" w:ascii="宋体" w:hAnsi="宋体" w:eastAsia="宋体" w:cs="宋体"/>
                <w:b w:val="0"/>
                <w:bCs w:val="0"/>
                <w:color w:val="000000" w:themeColor="text1"/>
                <w:spacing w:val="0"/>
                <w:w w:val="100"/>
                <w:position w:val="0"/>
                <w:sz w:val="24"/>
                <w:szCs w:val="24"/>
                <w:u w:val="none"/>
                <w:shd w:val="clear" w:color="auto" w:fill="auto"/>
                <w:lang w:val="zh-TW" w:eastAsia="zh-CN" w:bidi="en-US"/>
                <w14:textFill>
                  <w14:solidFill>
                    <w14:schemeClr w14:val="tx1"/>
                  </w14:solidFill>
                </w14:textFill>
              </w:rPr>
              <w:t>青海璇锴工程项目管理有限公司</w:t>
            </w:r>
          </w:p>
        </w:tc>
      </w:tr>
      <w:tr w14:paraId="3B0C4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3" w:hRule="atLeast"/>
        </w:trPr>
        <w:tc>
          <w:tcPr>
            <w:tcW w:w="4430" w:type="dxa"/>
            <w:noWrap w:val="0"/>
            <w:tcMar>
              <w:top w:w="0" w:type="dxa"/>
              <w:left w:w="108" w:type="dxa"/>
              <w:bottom w:w="0" w:type="dxa"/>
              <w:right w:w="108" w:type="dxa"/>
            </w:tcMar>
            <w:vAlign w:val="top"/>
          </w:tcPr>
          <w:p w14:paraId="3AB89161">
            <w:pPr>
              <w:keepNext w:val="0"/>
              <w:keepLines w:val="0"/>
              <w:pageBreakBefore w:val="0"/>
              <w:widowControl w:val="0"/>
              <w:shd w:val="clear" w:color="auto" w:fill="auto"/>
              <w:kinsoku/>
              <w:wordWrap/>
              <w:overflowPunct/>
              <w:topLinePunct w:val="0"/>
              <w:autoSpaceDE/>
              <w:autoSpaceDN/>
              <w:bidi w:val="0"/>
              <w:adjustRightInd w:val="0"/>
              <w:snapToGrid w:val="0"/>
              <w:spacing w:before="0" w:after="181" w:afterLines="50" w:line="440" w:lineRule="exact"/>
              <w:ind w:right="0"/>
              <w:jc w:val="left"/>
              <w:textAlignment w:val="auto"/>
              <w:rPr>
                <w:rFonts w:hint="default" w:ascii="宋体" w:hAnsi="宋体" w:eastAsia="宋体" w:cs="宋体"/>
                <w:b w:val="0"/>
                <w:bCs w:val="0"/>
                <w:color w:val="000000" w:themeColor="text1"/>
                <w:spacing w:val="0"/>
                <w:w w:val="100"/>
                <w:position w:val="0"/>
                <w:sz w:val="24"/>
                <w:szCs w:val="24"/>
                <w:u w:val="none"/>
                <w:shd w:val="clear" w:color="auto" w:fill="auto"/>
                <w:lang w:val="en-US" w:eastAsia="zh-CN" w:bidi="en-US"/>
                <w14:textFill>
                  <w14:solidFill>
                    <w14:schemeClr w14:val="tx1"/>
                  </w14:solidFill>
                </w14:textFill>
              </w:rPr>
            </w:pPr>
            <w:r>
              <w:rPr>
                <w:rFonts w:hint="eastAsia" w:ascii="宋体" w:hAnsi="宋体" w:eastAsia="宋体" w:cs="宋体"/>
                <w:b w:val="0"/>
                <w:bCs w:val="0"/>
                <w:color w:val="000000" w:themeColor="text1"/>
                <w:spacing w:val="0"/>
                <w:w w:val="100"/>
                <w:position w:val="0"/>
                <w:sz w:val="24"/>
                <w:szCs w:val="24"/>
                <w:u w:val="none"/>
                <w:shd w:val="clear" w:color="auto" w:fill="auto"/>
                <w:lang w:val="zh-TW" w:eastAsia="zh-TW" w:bidi="en-US"/>
                <w14:textFill>
                  <w14:solidFill>
                    <w14:schemeClr w14:val="tx1"/>
                  </w14:solidFill>
                </w14:textFill>
              </w:rPr>
              <w:t>地  址：西宁市城东区夏都大街</w:t>
            </w:r>
          </w:p>
        </w:tc>
        <w:tc>
          <w:tcPr>
            <w:tcW w:w="5218" w:type="dxa"/>
            <w:noWrap w:val="0"/>
            <w:tcMar>
              <w:top w:w="0" w:type="dxa"/>
              <w:left w:w="108" w:type="dxa"/>
              <w:bottom w:w="0" w:type="dxa"/>
              <w:right w:w="108" w:type="dxa"/>
            </w:tcMar>
            <w:vAlign w:val="top"/>
          </w:tcPr>
          <w:p w14:paraId="0E032816">
            <w:pPr>
              <w:keepNext w:val="0"/>
              <w:keepLines w:val="0"/>
              <w:pageBreakBefore w:val="0"/>
              <w:widowControl w:val="0"/>
              <w:shd w:val="clear" w:color="auto" w:fill="auto"/>
              <w:kinsoku/>
              <w:wordWrap/>
              <w:overflowPunct/>
              <w:topLinePunct w:val="0"/>
              <w:autoSpaceDE/>
              <w:autoSpaceDN/>
              <w:bidi w:val="0"/>
              <w:adjustRightInd w:val="0"/>
              <w:snapToGrid w:val="0"/>
              <w:spacing w:before="0" w:after="181" w:afterLines="50" w:line="440" w:lineRule="exact"/>
              <w:ind w:right="0"/>
              <w:jc w:val="left"/>
              <w:textAlignment w:val="auto"/>
              <w:rPr>
                <w:rFonts w:hint="eastAsia" w:ascii="宋体" w:hAnsi="宋体" w:eastAsia="宋体" w:cs="宋体"/>
                <w:b w:val="0"/>
                <w:bCs w:val="0"/>
                <w:color w:val="000000" w:themeColor="text1"/>
                <w:spacing w:val="0"/>
                <w:w w:val="100"/>
                <w:position w:val="0"/>
                <w:sz w:val="24"/>
                <w:szCs w:val="24"/>
                <w:u w:val="none"/>
                <w:shd w:val="clear" w:color="auto" w:fill="auto"/>
                <w:lang w:val="zh-TW" w:eastAsia="zh-CN" w:bidi="en-US"/>
                <w14:textFill>
                  <w14:solidFill>
                    <w14:schemeClr w14:val="tx1"/>
                  </w14:solidFill>
                </w14:textFill>
              </w:rPr>
            </w:pPr>
            <w:r>
              <w:rPr>
                <w:rFonts w:hint="eastAsia" w:ascii="宋体" w:hAnsi="宋体" w:eastAsia="宋体" w:cs="宋体"/>
                <w:b w:val="0"/>
                <w:bCs w:val="0"/>
                <w:color w:val="000000" w:themeColor="text1"/>
                <w:spacing w:val="0"/>
                <w:w w:val="100"/>
                <w:position w:val="0"/>
                <w:sz w:val="24"/>
                <w:szCs w:val="24"/>
                <w:u w:val="none"/>
                <w:shd w:val="clear" w:color="auto" w:fill="auto"/>
                <w:lang w:val="zh-TW" w:eastAsia="zh-TW" w:bidi="en-US"/>
                <w14:textFill>
                  <w14:solidFill>
                    <w14:schemeClr w14:val="tx1"/>
                  </w14:solidFill>
                </w14:textFill>
              </w:rPr>
              <w:t>地  址：</w:t>
            </w:r>
            <w:r>
              <w:rPr>
                <w:rFonts w:hint="eastAsia" w:ascii="宋体" w:hAnsi="宋体" w:eastAsia="宋体" w:cs="宋体"/>
                <w:b w:val="0"/>
                <w:bCs w:val="0"/>
                <w:color w:val="000000" w:themeColor="text1"/>
                <w:spacing w:val="0"/>
                <w:w w:val="100"/>
                <w:position w:val="0"/>
                <w:sz w:val="24"/>
                <w:szCs w:val="24"/>
                <w:u w:val="none"/>
                <w:shd w:val="clear" w:color="auto" w:fill="auto"/>
                <w:lang w:val="en-US" w:eastAsia="zh-CN" w:bidi="en-US"/>
                <w14:textFill>
                  <w14:solidFill>
                    <w14:schemeClr w14:val="tx1"/>
                  </w14:solidFill>
                </w14:textFill>
              </w:rPr>
              <w:t>西宁市城中区长江路103号山水国际3号楼22楼</w:t>
            </w:r>
          </w:p>
        </w:tc>
      </w:tr>
      <w:tr w14:paraId="3DA32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430" w:type="dxa"/>
            <w:noWrap w:val="0"/>
            <w:tcMar>
              <w:top w:w="0" w:type="dxa"/>
              <w:left w:w="108" w:type="dxa"/>
              <w:bottom w:w="0" w:type="dxa"/>
              <w:right w:w="108" w:type="dxa"/>
            </w:tcMar>
            <w:vAlign w:val="top"/>
          </w:tcPr>
          <w:p w14:paraId="4ABDEF03">
            <w:pPr>
              <w:keepNext w:val="0"/>
              <w:keepLines w:val="0"/>
              <w:pageBreakBefore w:val="0"/>
              <w:widowControl w:val="0"/>
              <w:shd w:val="clear" w:color="auto" w:fill="auto"/>
              <w:kinsoku/>
              <w:wordWrap/>
              <w:overflowPunct/>
              <w:topLinePunct w:val="0"/>
              <w:autoSpaceDE/>
              <w:autoSpaceDN/>
              <w:bidi w:val="0"/>
              <w:adjustRightInd w:val="0"/>
              <w:snapToGrid w:val="0"/>
              <w:spacing w:before="0" w:after="181" w:afterLines="50" w:line="440" w:lineRule="exact"/>
              <w:ind w:right="0" w:rightChars="0"/>
              <w:jc w:val="left"/>
              <w:textAlignment w:val="auto"/>
              <w:rPr>
                <w:rFonts w:hint="default" w:ascii="宋体" w:hAnsi="宋体" w:eastAsia="宋体" w:cs="宋体"/>
                <w:b w:val="0"/>
                <w:bCs w:val="0"/>
                <w:color w:val="000000" w:themeColor="text1"/>
                <w:spacing w:val="0"/>
                <w:w w:val="100"/>
                <w:position w:val="0"/>
                <w:sz w:val="24"/>
                <w:szCs w:val="24"/>
                <w:u w:val="none"/>
                <w:shd w:val="clear" w:color="auto" w:fill="auto"/>
                <w:lang w:val="en-US" w:eastAsia="zh-CN" w:bidi="en-US"/>
                <w14:textFill>
                  <w14:solidFill>
                    <w14:schemeClr w14:val="tx1"/>
                  </w14:solidFill>
                </w14:textFill>
              </w:rPr>
            </w:pPr>
            <w:r>
              <w:rPr>
                <w:rFonts w:hint="eastAsia" w:ascii="宋体" w:hAnsi="宋体" w:eastAsia="宋体" w:cs="宋体"/>
                <w:b w:val="0"/>
                <w:bCs w:val="0"/>
                <w:color w:val="000000" w:themeColor="text1"/>
                <w:spacing w:val="0"/>
                <w:w w:val="100"/>
                <w:position w:val="0"/>
                <w:sz w:val="24"/>
                <w:szCs w:val="24"/>
                <w:u w:val="none"/>
                <w:shd w:val="clear" w:color="auto" w:fill="auto"/>
                <w:lang w:val="zh-TW" w:eastAsia="zh-TW" w:bidi="en-US"/>
                <w14:textFill>
                  <w14:solidFill>
                    <w14:schemeClr w14:val="tx1"/>
                  </w14:solidFill>
                </w14:textFill>
              </w:rPr>
              <w:t>项目联系人：李老师</w:t>
            </w:r>
          </w:p>
        </w:tc>
        <w:tc>
          <w:tcPr>
            <w:tcW w:w="5218" w:type="dxa"/>
            <w:noWrap w:val="0"/>
            <w:tcMar>
              <w:top w:w="0" w:type="dxa"/>
              <w:left w:w="108" w:type="dxa"/>
              <w:bottom w:w="0" w:type="dxa"/>
              <w:right w:w="108" w:type="dxa"/>
            </w:tcMar>
            <w:vAlign w:val="top"/>
          </w:tcPr>
          <w:p w14:paraId="6E587F3D">
            <w:pPr>
              <w:keepNext w:val="0"/>
              <w:keepLines w:val="0"/>
              <w:pageBreakBefore w:val="0"/>
              <w:widowControl w:val="0"/>
              <w:shd w:val="clear" w:color="auto" w:fill="auto"/>
              <w:kinsoku/>
              <w:wordWrap/>
              <w:overflowPunct/>
              <w:topLinePunct w:val="0"/>
              <w:autoSpaceDE/>
              <w:autoSpaceDN/>
              <w:bidi w:val="0"/>
              <w:adjustRightInd w:val="0"/>
              <w:snapToGrid w:val="0"/>
              <w:spacing w:before="0" w:after="181" w:afterLines="50" w:line="440" w:lineRule="exact"/>
              <w:ind w:right="0"/>
              <w:jc w:val="left"/>
              <w:textAlignment w:val="auto"/>
              <w:rPr>
                <w:rFonts w:hint="eastAsia" w:ascii="宋体" w:hAnsi="宋体" w:eastAsia="宋体" w:cs="宋体"/>
                <w:b w:val="0"/>
                <w:bCs w:val="0"/>
                <w:color w:val="000000" w:themeColor="text1"/>
                <w:spacing w:val="0"/>
                <w:w w:val="100"/>
                <w:position w:val="0"/>
                <w:sz w:val="24"/>
                <w:szCs w:val="24"/>
                <w:u w:val="none"/>
                <w:shd w:val="clear" w:color="auto" w:fill="auto"/>
                <w:lang w:val="zh-TW" w:eastAsia="zh-CN" w:bidi="en-US"/>
                <w14:textFill>
                  <w14:solidFill>
                    <w14:schemeClr w14:val="tx1"/>
                  </w14:solidFill>
                </w14:textFill>
              </w:rPr>
            </w:pPr>
            <w:r>
              <w:rPr>
                <w:rFonts w:hint="eastAsia" w:ascii="宋体" w:hAnsi="宋体" w:eastAsia="宋体" w:cs="宋体"/>
                <w:b w:val="0"/>
                <w:bCs w:val="0"/>
                <w:color w:val="000000" w:themeColor="text1"/>
                <w:spacing w:val="0"/>
                <w:w w:val="100"/>
                <w:position w:val="0"/>
                <w:sz w:val="24"/>
                <w:szCs w:val="24"/>
                <w:u w:val="none"/>
                <w:shd w:val="clear" w:color="auto" w:fill="auto"/>
                <w:lang w:val="zh-TW" w:eastAsia="zh-TW" w:bidi="en-US"/>
                <w14:textFill>
                  <w14:solidFill>
                    <w14:schemeClr w14:val="tx1"/>
                  </w14:solidFill>
                </w14:textFill>
              </w:rPr>
              <w:t>联系人：</w:t>
            </w:r>
            <w:r>
              <w:rPr>
                <w:rFonts w:hint="eastAsia" w:ascii="宋体" w:hAnsi="宋体" w:eastAsia="宋体" w:cs="宋体"/>
                <w:b w:val="0"/>
                <w:bCs w:val="0"/>
                <w:color w:val="000000" w:themeColor="text1"/>
                <w:spacing w:val="0"/>
                <w:w w:val="100"/>
                <w:position w:val="0"/>
                <w:sz w:val="24"/>
                <w:szCs w:val="24"/>
                <w:u w:val="none"/>
                <w:shd w:val="clear" w:color="auto" w:fill="auto"/>
                <w:lang w:val="en-US" w:eastAsia="zh-CN" w:bidi="en-US"/>
                <w14:textFill>
                  <w14:solidFill>
                    <w14:schemeClr w14:val="tx1"/>
                  </w14:solidFill>
                </w14:textFill>
              </w:rPr>
              <w:t>郭女士</w:t>
            </w:r>
          </w:p>
        </w:tc>
      </w:tr>
      <w:tr w14:paraId="64DA3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3" w:hRule="atLeast"/>
        </w:trPr>
        <w:tc>
          <w:tcPr>
            <w:tcW w:w="4430" w:type="dxa"/>
            <w:noWrap w:val="0"/>
            <w:tcMar>
              <w:top w:w="0" w:type="dxa"/>
              <w:left w:w="108" w:type="dxa"/>
              <w:bottom w:w="0" w:type="dxa"/>
              <w:right w:w="108" w:type="dxa"/>
            </w:tcMar>
            <w:vAlign w:val="top"/>
          </w:tcPr>
          <w:p w14:paraId="725BBAE6">
            <w:pPr>
              <w:spacing w:before="95" w:line="181" w:lineRule="auto"/>
              <w:rPr>
                <w:rFonts w:hint="default" w:ascii="宋体" w:hAnsi="宋体" w:eastAsia="宋体" w:cs="宋体"/>
                <w:b w:val="0"/>
                <w:bCs w:val="0"/>
                <w:color w:val="000000" w:themeColor="text1"/>
                <w:spacing w:val="0"/>
                <w:w w:val="100"/>
                <w:position w:val="0"/>
                <w:sz w:val="24"/>
                <w:szCs w:val="24"/>
                <w:u w:val="none"/>
                <w:shd w:val="clear" w:color="auto" w:fill="auto"/>
                <w:lang w:val="en-US" w:eastAsia="zh-CN" w:bidi="en-US"/>
                <w14:textFill>
                  <w14:solidFill>
                    <w14:schemeClr w14:val="tx1"/>
                  </w14:solidFill>
                </w14:textFill>
              </w:rPr>
            </w:pPr>
            <w:r>
              <w:rPr>
                <w:rFonts w:hint="eastAsia" w:ascii="宋体" w:hAnsi="宋体" w:eastAsia="宋体" w:cs="宋体"/>
                <w:b w:val="0"/>
                <w:bCs w:val="0"/>
                <w:color w:val="000000" w:themeColor="text1"/>
                <w:spacing w:val="0"/>
                <w:w w:val="100"/>
                <w:position w:val="0"/>
                <w:sz w:val="24"/>
                <w:szCs w:val="24"/>
                <w:u w:val="none"/>
                <w:shd w:val="clear" w:color="auto" w:fill="auto"/>
                <w:lang w:val="zh-TW" w:eastAsia="zh-TW" w:bidi="en-US"/>
                <w14:textFill>
                  <w14:solidFill>
                    <w14:schemeClr w14:val="tx1"/>
                  </w14:solidFill>
                </w14:textFill>
              </w:rPr>
              <w:t>联系方式：0971-8802687</w:t>
            </w:r>
          </w:p>
        </w:tc>
        <w:tc>
          <w:tcPr>
            <w:tcW w:w="5218" w:type="dxa"/>
            <w:noWrap w:val="0"/>
            <w:tcMar>
              <w:top w:w="0" w:type="dxa"/>
              <w:left w:w="108" w:type="dxa"/>
              <w:bottom w:w="0" w:type="dxa"/>
              <w:right w:w="108" w:type="dxa"/>
            </w:tcMar>
            <w:vAlign w:val="top"/>
          </w:tcPr>
          <w:p w14:paraId="6911725C">
            <w:pPr>
              <w:keepNext w:val="0"/>
              <w:keepLines w:val="0"/>
              <w:pageBreakBefore w:val="0"/>
              <w:widowControl w:val="0"/>
              <w:shd w:val="clear" w:color="auto" w:fill="auto"/>
              <w:kinsoku/>
              <w:wordWrap/>
              <w:overflowPunct/>
              <w:topLinePunct w:val="0"/>
              <w:autoSpaceDE/>
              <w:autoSpaceDN/>
              <w:bidi w:val="0"/>
              <w:adjustRightInd w:val="0"/>
              <w:snapToGrid w:val="0"/>
              <w:spacing w:before="0" w:after="181" w:afterLines="50" w:line="440" w:lineRule="exact"/>
              <w:ind w:right="0"/>
              <w:jc w:val="left"/>
              <w:textAlignment w:val="auto"/>
              <w:rPr>
                <w:rFonts w:hint="default" w:ascii="宋体" w:hAnsi="宋体" w:eastAsia="宋体" w:cs="宋体"/>
                <w:b w:val="0"/>
                <w:bCs w:val="0"/>
                <w:color w:val="000000" w:themeColor="text1"/>
                <w:spacing w:val="0"/>
                <w:w w:val="100"/>
                <w:position w:val="0"/>
                <w:sz w:val="24"/>
                <w:szCs w:val="24"/>
                <w:u w:val="none"/>
                <w:shd w:val="clear" w:color="auto" w:fill="auto"/>
                <w:lang w:val="en-US" w:eastAsia="zh-CN" w:bidi="en-US"/>
                <w14:textFill>
                  <w14:solidFill>
                    <w14:schemeClr w14:val="tx1"/>
                  </w14:solidFill>
                </w14:textFill>
              </w:rPr>
            </w:pPr>
            <w:r>
              <w:rPr>
                <w:rFonts w:hint="eastAsia" w:ascii="宋体" w:hAnsi="宋体" w:eastAsia="宋体" w:cs="宋体"/>
                <w:b w:val="0"/>
                <w:bCs w:val="0"/>
                <w:color w:val="000000" w:themeColor="text1"/>
                <w:spacing w:val="0"/>
                <w:w w:val="100"/>
                <w:position w:val="0"/>
                <w:sz w:val="24"/>
                <w:szCs w:val="24"/>
                <w:u w:val="none"/>
                <w:shd w:val="clear" w:color="auto" w:fill="auto"/>
                <w:lang w:val="zh-TW" w:eastAsia="zh-TW" w:bidi="en-US"/>
                <w14:textFill>
                  <w14:solidFill>
                    <w14:schemeClr w14:val="tx1"/>
                  </w14:solidFill>
                </w14:textFill>
              </w:rPr>
              <w:t>联系方式：</w:t>
            </w:r>
            <w:r>
              <w:rPr>
                <w:rFonts w:hint="eastAsia" w:ascii="宋体" w:hAnsi="宋体" w:eastAsia="宋体" w:cs="宋体"/>
                <w:b w:val="0"/>
                <w:bCs w:val="0"/>
                <w:color w:val="000000" w:themeColor="text1"/>
                <w:spacing w:val="0"/>
                <w:w w:val="100"/>
                <w:position w:val="0"/>
                <w:sz w:val="24"/>
                <w:szCs w:val="24"/>
                <w:u w:val="none"/>
                <w:shd w:val="clear" w:color="auto" w:fill="auto"/>
                <w:lang w:val="en-US" w:eastAsia="zh-CN" w:bidi="en-US"/>
                <w14:textFill>
                  <w14:solidFill>
                    <w14:schemeClr w14:val="tx1"/>
                  </w14:solidFill>
                </w14:textFill>
              </w:rPr>
              <w:t>0971-4115188</w:t>
            </w:r>
          </w:p>
        </w:tc>
      </w:tr>
    </w:tbl>
    <w:p w14:paraId="33E6A11D">
      <w:pPr>
        <w:keepNext w:val="0"/>
        <w:keepLines w:val="0"/>
        <w:widowControl w:val="0"/>
        <w:shd w:val="clear" w:color="auto" w:fill="auto"/>
        <w:bidi w:val="0"/>
        <w:spacing w:before="0" w:after="479" w:line="1" w:lineRule="exact"/>
        <w:ind w:left="0" w:right="0" w:firstLine="0"/>
        <w:jc w:val="left"/>
        <w:rPr>
          <w:rFonts w:ascii="Times New Roman" w:hAnsi="Times New Roman" w:eastAsia="Times New Roman" w:cs="Times New Roman"/>
          <w:color w:val="000000" w:themeColor="text1"/>
          <w:spacing w:val="0"/>
          <w:w w:val="100"/>
          <w:kern w:val="0"/>
          <w:position w:val="0"/>
          <w:sz w:val="24"/>
          <w:shd w:val="clear" w:color="auto" w:fill="auto"/>
          <w:lang w:eastAsia="en-US" w:bidi="en-US"/>
          <w14:textFill>
            <w14:solidFill>
              <w14:schemeClr w14:val="tx1"/>
            </w14:solidFill>
          </w14:textFill>
        </w:rPr>
      </w:pPr>
    </w:p>
    <w:p w14:paraId="485FA2AC">
      <w:pPr>
        <w:widowControl/>
        <w:spacing w:before="0" w:after="0" w:line="450" w:lineRule="atLeast"/>
        <w:ind w:left="1562"/>
        <w:jc w:val="right"/>
        <w:rPr>
          <w:rStyle w:val="25"/>
          <w:rFonts w:eastAsia="Calibri" w:cs="Calibri"/>
          <w:color w:val="000000" w:themeColor="text1"/>
          <w:kern w:val="0"/>
          <w:sz w:val="21"/>
          <w:szCs w:val="21"/>
          <w14:textFill>
            <w14:solidFill>
              <w14:schemeClr w14:val="tx1"/>
            </w14:solidFill>
          </w14:textFill>
        </w:rPr>
      </w:pPr>
    </w:p>
    <w:p w14:paraId="03FB5C0E">
      <w:pPr>
        <w:rPr>
          <w:rFonts w:ascii="宋体" w:hAnsi="宋体" w:eastAsia="宋体" w:cs="宋体"/>
          <w:b/>
          <w:bCs/>
          <w:color w:val="000000" w:themeColor="text1"/>
          <w:spacing w:val="0"/>
          <w:w w:val="100"/>
          <w:position w:val="0"/>
          <w:sz w:val="48"/>
          <w:szCs w:val="48"/>
          <w:highlight w:val="none"/>
          <w:u w:val="none"/>
          <w:shd w:val="clear" w:color="auto" w:fill="auto"/>
          <w:lang w:val="zh-TW" w:eastAsia="zh-TW" w:bidi="zh-TW"/>
          <w14:textFill>
            <w14:solidFill>
              <w14:schemeClr w14:val="tx1"/>
            </w14:solidFill>
          </w14:textFill>
        </w:rPr>
      </w:pPr>
      <w:r>
        <w:rPr>
          <w:rFonts w:hint="eastAsia" w:ascii="宋体" w:hAnsi="宋体" w:eastAsia="宋体" w:cs="宋体"/>
          <w:b/>
          <w:bCs/>
          <w:color w:val="000000" w:themeColor="text1"/>
          <w:spacing w:val="0"/>
          <w:w w:val="100"/>
          <w:position w:val="0"/>
          <w:sz w:val="28"/>
          <w:szCs w:val="28"/>
          <w:highlight w:val="none"/>
          <w:u w:val="none"/>
          <w:shd w:val="clear" w:color="auto" w:fill="auto"/>
          <w:lang w:val="zh-TW" w:eastAsia="zh-TW" w:bidi="zh-TW"/>
          <w14:textFill>
            <w14:solidFill>
              <w14:schemeClr w14:val="tx1"/>
            </w14:solidFill>
          </w14:textFill>
        </w:rPr>
        <w:br w:type="page"/>
      </w:r>
      <w:bookmarkStart w:id="15" w:name="_Toc19154"/>
    </w:p>
    <w:p w14:paraId="2366C6D0">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color w:val="000000" w:themeColor="text1"/>
          <w:sz w:val="52"/>
          <w:szCs w:val="52"/>
          <w:lang w:val="en-US" w:eastAsia="zh-CN"/>
          <w14:textFill>
            <w14:solidFill>
              <w14:schemeClr w14:val="tx1"/>
            </w14:solidFill>
          </w14:textFill>
        </w:rPr>
      </w:pPr>
      <w:bookmarkStart w:id="16" w:name="_Toc28636"/>
      <w:bookmarkStart w:id="17" w:name="_Toc3159"/>
    </w:p>
    <w:p w14:paraId="74DFF912">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color w:val="000000" w:themeColor="text1"/>
          <w:sz w:val="52"/>
          <w:szCs w:val="52"/>
          <w:lang w:val="en-US" w:eastAsia="zh-CN"/>
          <w14:textFill>
            <w14:solidFill>
              <w14:schemeClr w14:val="tx1"/>
            </w14:solidFill>
          </w14:textFill>
        </w:rPr>
      </w:pPr>
    </w:p>
    <w:p w14:paraId="4B98DB47">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color w:val="000000" w:themeColor="text1"/>
          <w:sz w:val="52"/>
          <w:szCs w:val="52"/>
          <w:lang w:val="en-US" w:eastAsia="zh-CN"/>
          <w14:textFill>
            <w14:solidFill>
              <w14:schemeClr w14:val="tx1"/>
            </w14:solidFill>
          </w14:textFill>
        </w:rPr>
      </w:pPr>
    </w:p>
    <w:p w14:paraId="35D2E9F8">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color w:val="000000" w:themeColor="text1"/>
          <w:sz w:val="52"/>
          <w:szCs w:val="52"/>
          <w:lang w:val="en-US" w:eastAsia="zh-CN"/>
          <w14:textFill>
            <w14:solidFill>
              <w14:schemeClr w14:val="tx1"/>
            </w14:solidFill>
          </w14:textFill>
        </w:rPr>
      </w:pPr>
    </w:p>
    <w:p w14:paraId="36220635">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color w:val="000000" w:themeColor="text1"/>
          <w:sz w:val="52"/>
          <w:szCs w:val="52"/>
          <w:lang w:val="en-US" w:eastAsia="zh-CN"/>
          <w14:textFill>
            <w14:solidFill>
              <w14:schemeClr w14:val="tx1"/>
            </w14:solidFill>
          </w14:textFill>
        </w:rPr>
      </w:pPr>
    </w:p>
    <w:p w14:paraId="3004C6D3">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color w:val="000000" w:themeColor="text1"/>
          <w:sz w:val="52"/>
          <w:szCs w:val="52"/>
          <w:lang w:val="en-US" w:eastAsia="zh-CN"/>
          <w14:textFill>
            <w14:solidFill>
              <w14:schemeClr w14:val="tx1"/>
            </w14:solidFill>
          </w14:textFill>
        </w:rPr>
      </w:pPr>
    </w:p>
    <w:p w14:paraId="21CE902F">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color w:val="000000" w:themeColor="text1"/>
          <w:sz w:val="52"/>
          <w:szCs w:val="52"/>
          <w:lang w:val="zh-TW" w:eastAsia="zh-TW"/>
          <w14:textFill>
            <w14:solidFill>
              <w14:schemeClr w14:val="tx1"/>
            </w14:solidFill>
          </w14:textFill>
        </w:rPr>
      </w:pPr>
      <w:bookmarkStart w:id="18" w:name="_Toc25325"/>
      <w:r>
        <w:rPr>
          <w:rFonts w:hint="eastAsia"/>
          <w:color w:val="000000" w:themeColor="text1"/>
          <w:sz w:val="52"/>
          <w:szCs w:val="52"/>
          <w:lang w:val="en-US" w:eastAsia="zh-CN"/>
          <w14:textFill>
            <w14:solidFill>
              <w14:schemeClr w14:val="tx1"/>
            </w14:solidFill>
          </w14:textFill>
        </w:rPr>
        <w:t xml:space="preserve">第二章 </w:t>
      </w:r>
      <w:r>
        <w:rPr>
          <w:rFonts w:hint="eastAsia"/>
          <w:color w:val="000000" w:themeColor="text1"/>
          <w:sz w:val="52"/>
          <w:szCs w:val="52"/>
          <w:lang w:val="zh-TW" w:eastAsia="zh-TW"/>
          <w14:textFill>
            <w14:solidFill>
              <w14:schemeClr w14:val="tx1"/>
            </w14:solidFill>
          </w14:textFill>
        </w:rPr>
        <w:t>供应商须知</w:t>
      </w:r>
      <w:bookmarkEnd w:id="15"/>
      <w:bookmarkEnd w:id="16"/>
      <w:bookmarkEnd w:id="17"/>
      <w:bookmarkEnd w:id="18"/>
      <w:bookmarkStart w:id="19" w:name="bookmark601"/>
      <w:bookmarkStart w:id="20" w:name="bookmark602"/>
      <w:bookmarkStart w:id="21" w:name="bookmark603"/>
    </w:p>
    <w:p w14:paraId="63018728">
      <w:pPr>
        <w:rPr>
          <w:rFonts w:hint="eastAsia"/>
          <w:color w:val="000000" w:themeColor="text1"/>
          <w:sz w:val="36"/>
          <w:szCs w:val="36"/>
          <w:lang w:val="zh-TW" w:eastAsia="zh-TW"/>
          <w14:textFill>
            <w14:solidFill>
              <w14:schemeClr w14:val="tx1"/>
            </w14:solidFill>
          </w14:textFill>
        </w:rPr>
      </w:pPr>
      <w:r>
        <w:rPr>
          <w:rFonts w:hint="eastAsia"/>
          <w:color w:val="000000" w:themeColor="text1"/>
          <w:sz w:val="36"/>
          <w:szCs w:val="36"/>
          <w:lang w:val="zh-TW" w:eastAsia="zh-TW"/>
          <w14:textFill>
            <w14:solidFill>
              <w14:schemeClr w14:val="tx1"/>
            </w14:solidFill>
          </w14:textFill>
        </w:rPr>
        <w:br w:type="page"/>
      </w:r>
    </w:p>
    <w:p w14:paraId="32D68B7A">
      <w:pPr>
        <w:keepNext/>
        <w:keepLines/>
        <w:pageBreakBefore w:val="0"/>
        <w:widowControl w:val="0"/>
        <w:numPr>
          <w:ilvl w:val="0"/>
          <w:numId w:val="0"/>
        </w:numPr>
        <w:shd w:val="clear" w:color="auto" w:fill="auto"/>
        <w:kinsoku/>
        <w:wordWrap/>
        <w:overflowPunct/>
        <w:topLinePunct w:val="0"/>
        <w:autoSpaceDE/>
        <w:autoSpaceDN/>
        <w:bidi w:val="0"/>
        <w:adjustRightInd w:val="0"/>
        <w:snapToGrid w:val="0"/>
        <w:spacing w:before="0" w:line="360" w:lineRule="auto"/>
        <w:ind w:right="0" w:rightChars="0"/>
        <w:jc w:val="center"/>
        <w:textAlignment w:val="auto"/>
        <w:outlineLvl w:val="0"/>
        <w:rPr>
          <w:rFonts w:hint="eastAsia" w:ascii="Arial" w:hAnsi="Arial" w:eastAsia="黑体" w:cstheme="minorBidi"/>
          <w:b/>
          <w:color w:val="000000" w:themeColor="text1"/>
          <w:kern w:val="2"/>
          <w:sz w:val="32"/>
          <w:szCs w:val="28"/>
          <w:lang w:val="zh-TW" w:eastAsia="zh-TW" w:bidi="ar-SA"/>
          <w14:textFill>
            <w14:solidFill>
              <w14:schemeClr w14:val="tx1"/>
            </w14:solidFill>
          </w14:textFill>
        </w:rPr>
      </w:pPr>
      <w:bookmarkStart w:id="22" w:name="_Toc26529"/>
      <w:bookmarkStart w:id="23" w:name="_Toc9928"/>
      <w:r>
        <w:rPr>
          <w:rFonts w:hint="eastAsia" w:ascii="Arial" w:hAnsi="Arial" w:eastAsia="黑体" w:cstheme="minorBidi"/>
          <w:b/>
          <w:color w:val="000000" w:themeColor="text1"/>
          <w:kern w:val="2"/>
          <w:sz w:val="32"/>
          <w:szCs w:val="28"/>
          <w:lang w:val="zh-TW" w:eastAsia="zh-TW" w:bidi="ar-SA"/>
          <w14:textFill>
            <w14:solidFill>
              <w14:schemeClr w14:val="tx1"/>
            </w14:solidFill>
          </w14:textFill>
        </w:rPr>
        <w:t>供应商须知前附表</w:t>
      </w:r>
      <w:bookmarkEnd w:id="19"/>
      <w:bookmarkEnd w:id="20"/>
      <w:bookmarkEnd w:id="21"/>
      <w:bookmarkEnd w:id="22"/>
      <w:bookmarkEnd w:id="23"/>
    </w:p>
    <w:tbl>
      <w:tblPr>
        <w:tblStyle w:val="24"/>
        <w:tblW w:w="50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946"/>
        <w:gridCol w:w="4511"/>
      </w:tblGrid>
      <w:tr w14:paraId="7476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77" w:type="pct"/>
            <w:vAlign w:val="center"/>
          </w:tcPr>
          <w:p w14:paraId="056EC34E">
            <w:pPr>
              <w:keepNext w:val="0"/>
              <w:keepLines w:val="0"/>
              <w:widowControl w:val="0"/>
              <w:shd w:val="clear" w:color="auto" w:fill="auto"/>
              <w:bidi w:val="0"/>
              <w:spacing w:before="8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条款号</w:t>
            </w:r>
          </w:p>
        </w:tc>
        <w:tc>
          <w:tcPr>
            <w:tcW w:w="1708" w:type="pct"/>
            <w:vAlign w:val="center"/>
          </w:tcPr>
          <w:p w14:paraId="080AAD42">
            <w:pPr>
              <w:keepNext w:val="0"/>
              <w:keepLines w:val="0"/>
              <w:widowControl w:val="0"/>
              <w:shd w:val="clear" w:color="auto" w:fill="auto"/>
              <w:bidi w:val="0"/>
              <w:spacing w:before="8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条款内容</w:t>
            </w:r>
          </w:p>
        </w:tc>
        <w:tc>
          <w:tcPr>
            <w:tcW w:w="2614" w:type="pct"/>
            <w:vAlign w:val="center"/>
          </w:tcPr>
          <w:p w14:paraId="1D878A7A">
            <w:pPr>
              <w:keepNext w:val="0"/>
              <w:keepLines w:val="0"/>
              <w:widowControl w:val="0"/>
              <w:shd w:val="clear" w:color="auto" w:fill="auto"/>
              <w:bidi w:val="0"/>
              <w:spacing w:before="8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编列内容</w:t>
            </w:r>
          </w:p>
        </w:tc>
      </w:tr>
      <w:tr w14:paraId="0DA2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5692274D">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1.7.</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1</w:t>
            </w:r>
          </w:p>
        </w:tc>
        <w:tc>
          <w:tcPr>
            <w:tcW w:w="1708" w:type="pct"/>
            <w:vAlign w:val="center"/>
          </w:tcPr>
          <w:p w14:paraId="17E3430C">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踏勘现场</w:t>
            </w:r>
          </w:p>
        </w:tc>
        <w:tc>
          <w:tcPr>
            <w:tcW w:w="2614" w:type="pct"/>
            <w:vAlign w:val="bottom"/>
          </w:tcPr>
          <w:p w14:paraId="29B98BC2">
            <w:pPr>
              <w:keepNext w:val="0"/>
              <w:keepLines/>
              <w:pageBreakBefore w:val="0"/>
              <w:widowControl w:val="0"/>
              <w:shd w:val="clear" w:color="auto" w:fill="auto"/>
              <w:kinsoku/>
              <w:wordWrap w:val="0"/>
              <w:overflowPunct/>
              <w:topLinePunct/>
              <w:autoSpaceDE/>
              <w:autoSpaceDN/>
              <w:bidi w:val="0"/>
              <w:adjustRightInd/>
              <w:snapToGrid w:val="0"/>
              <w:spacing w:before="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☑不组织</w:t>
            </w:r>
          </w:p>
          <w:p w14:paraId="51738B9B">
            <w:pPr>
              <w:keepNext w:val="0"/>
              <w:keepLines/>
              <w:pageBreakBefore w:val="0"/>
              <w:widowControl w:val="0"/>
              <w:shd w:val="clear" w:color="auto" w:fill="auto"/>
              <w:tabs>
                <w:tab w:val="left" w:leader="underscore" w:pos="4648"/>
              </w:tabs>
              <w:kinsoku/>
              <w:wordWrap w:val="0"/>
              <w:overflowPunct/>
              <w:topLinePunct/>
              <w:autoSpaceDE/>
              <w:autoSpaceDN/>
              <w:bidi w:val="0"/>
              <w:adjustRightInd/>
              <w:snapToGrid w:val="0"/>
              <w:spacing w:before="0" w:line="360" w:lineRule="auto"/>
              <w:ind w:right="0"/>
              <w:jc w:val="left"/>
              <w:textAlignment w:val="auto"/>
              <w:rPr>
                <w:rFonts w:hint="default"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组织，踏勘时间：</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w:t>
            </w:r>
          </w:p>
          <w:p w14:paraId="5DE9F7BE">
            <w:pPr>
              <w:keepNext w:val="0"/>
              <w:keepLines/>
              <w:pageBreakBefore w:val="0"/>
              <w:widowControl w:val="0"/>
              <w:shd w:val="clear" w:color="auto" w:fill="auto"/>
              <w:tabs>
                <w:tab w:val="left" w:leader="underscore" w:pos="4682"/>
              </w:tabs>
              <w:kinsoku/>
              <w:wordWrap w:val="0"/>
              <w:overflowPunct/>
              <w:topLinePunct/>
              <w:autoSpaceDE/>
              <w:autoSpaceDN/>
              <w:bidi w:val="0"/>
              <w:adjustRightInd/>
              <w:snapToGrid w:val="0"/>
              <w:spacing w:before="0" w:line="360" w:lineRule="auto"/>
              <w:ind w:left="1140" w:leftChars="0" w:right="0" w:rightChars="0" w:firstLine="0" w:firstLineChars="0"/>
              <w:jc w:val="left"/>
              <w:textAlignment w:val="auto"/>
              <w:rPr>
                <w:rFonts w:hint="default" w:ascii="宋体" w:hAnsi="宋体" w:eastAsia="宋体" w:cs="宋体"/>
                <w:color w:val="000000" w:themeColor="text1"/>
                <w:spacing w:val="0"/>
                <w:w w:val="100"/>
                <w:kern w:val="2"/>
                <w:position w:val="0"/>
                <w:sz w:val="24"/>
                <w:szCs w:val="24"/>
                <w:highlight w:val="none"/>
                <w:u w:val="singl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踏勘集中地点：</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w:t>
            </w:r>
          </w:p>
        </w:tc>
      </w:tr>
      <w:tr w14:paraId="674E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3E3A30D6">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1.8</w:t>
            </w:r>
          </w:p>
        </w:tc>
        <w:tc>
          <w:tcPr>
            <w:tcW w:w="1708" w:type="pct"/>
            <w:vAlign w:val="center"/>
          </w:tcPr>
          <w:p w14:paraId="07EDCE96">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询比釆购预备会</w:t>
            </w:r>
          </w:p>
        </w:tc>
        <w:tc>
          <w:tcPr>
            <w:tcW w:w="2614" w:type="pct"/>
            <w:vAlign w:val="center"/>
          </w:tcPr>
          <w:p w14:paraId="3B5D5D1D">
            <w:pPr>
              <w:keepNext w:val="0"/>
              <w:keepLines/>
              <w:pageBreakBefore w:val="0"/>
              <w:widowControl w:val="0"/>
              <w:shd w:val="clear" w:color="auto" w:fill="auto"/>
              <w:kinsoku/>
              <w:wordWrap w:val="0"/>
              <w:overflowPunct/>
              <w:topLinePunct/>
              <w:autoSpaceDE/>
              <w:autoSpaceDN/>
              <w:bidi w:val="0"/>
              <w:adjustRightInd/>
              <w:snapToGrid w:val="0"/>
              <w:spacing w:before="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☑不召开</w:t>
            </w:r>
          </w:p>
          <w:p w14:paraId="14AE3CB6">
            <w:pPr>
              <w:keepNext w:val="0"/>
              <w:keepLines/>
              <w:pageBreakBefore w:val="0"/>
              <w:widowControl w:val="0"/>
              <w:shd w:val="clear" w:color="auto" w:fill="auto"/>
              <w:tabs>
                <w:tab w:val="left" w:leader="underscore" w:pos="4648"/>
              </w:tabs>
              <w:kinsoku/>
              <w:wordWrap w:val="0"/>
              <w:overflowPunct/>
              <w:topLinePunct/>
              <w:autoSpaceDE/>
              <w:autoSpaceDN/>
              <w:bidi w:val="0"/>
              <w:adjustRightInd/>
              <w:snapToGrid w:val="0"/>
              <w:spacing w:before="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召开，召开时间：</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w:t>
            </w:r>
          </w:p>
          <w:p w14:paraId="59FDC61E">
            <w:pPr>
              <w:keepNext w:val="0"/>
              <w:keepLines/>
              <w:pageBreakBefore w:val="0"/>
              <w:widowControl w:val="0"/>
              <w:shd w:val="clear" w:color="auto" w:fill="auto"/>
              <w:tabs>
                <w:tab w:val="left" w:leader="underscore" w:pos="4678"/>
              </w:tabs>
              <w:kinsoku/>
              <w:wordWrap w:val="0"/>
              <w:overflowPunct/>
              <w:topLinePunct/>
              <w:autoSpaceDE/>
              <w:autoSpaceDN/>
              <w:bidi w:val="0"/>
              <w:adjustRightInd/>
              <w:snapToGrid w:val="0"/>
              <w:spacing w:before="0" w:line="360" w:lineRule="auto"/>
              <w:ind w:right="0" w:rightChars="0"/>
              <w:jc w:val="left"/>
              <w:textAlignment w:val="auto"/>
              <w:rPr>
                <w:rFonts w:hint="default" w:ascii="宋体" w:hAnsi="宋体" w:eastAsia="宋体" w:cs="宋体"/>
                <w:color w:val="000000" w:themeColor="text1"/>
                <w:spacing w:val="0"/>
                <w:w w:val="100"/>
                <w:kern w:val="2"/>
                <w:position w:val="0"/>
                <w:sz w:val="24"/>
                <w:szCs w:val="24"/>
                <w:highlight w:val="none"/>
                <w:u w:val="none"/>
                <w:shd w:val="clear" w:color="auto" w:fill="auto"/>
                <w:lang w:val="en-US"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召开地点：</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w:t>
            </w:r>
          </w:p>
        </w:tc>
      </w:tr>
      <w:tr w14:paraId="7C0B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2E685C5F">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1.9</w:t>
            </w:r>
          </w:p>
        </w:tc>
        <w:tc>
          <w:tcPr>
            <w:tcW w:w="1708" w:type="pct"/>
            <w:vAlign w:val="center"/>
          </w:tcPr>
          <w:p w14:paraId="7CA1A729">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分包</w:t>
            </w:r>
          </w:p>
        </w:tc>
        <w:tc>
          <w:tcPr>
            <w:tcW w:w="2614" w:type="pct"/>
            <w:vAlign w:val="center"/>
          </w:tcPr>
          <w:p w14:paraId="5E01DFE9">
            <w:pPr>
              <w:keepNext w:val="0"/>
              <w:keepLines/>
              <w:pageBreakBefore w:val="0"/>
              <w:widowControl w:val="0"/>
              <w:shd w:val="clear" w:color="auto" w:fill="auto"/>
              <w:kinsoku/>
              <w:wordWrap w:val="0"/>
              <w:overflowPunct/>
              <w:topLinePunct/>
              <w:autoSpaceDE/>
              <w:autoSpaceDN/>
              <w:bidi w:val="0"/>
              <w:adjustRightInd w:val="0"/>
              <w:snapToGrid w:val="0"/>
              <w:spacing w:before="0" w:after="4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☑不</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分包</w:t>
            </w:r>
          </w:p>
          <w:p w14:paraId="48DBBB59">
            <w:pPr>
              <w:keepNext w:val="0"/>
              <w:keepLines/>
              <w:pageBreakBefore w:val="0"/>
              <w:widowControl w:val="0"/>
              <w:shd w:val="clear" w:color="auto" w:fill="auto"/>
              <w:tabs>
                <w:tab w:val="left" w:leader="underscore" w:pos="4662"/>
              </w:tabs>
              <w:kinsoku/>
              <w:wordWrap w:val="0"/>
              <w:overflowPunct/>
              <w:topLinePunct/>
              <w:autoSpaceDE/>
              <w:autoSpaceDN/>
              <w:bidi w:val="0"/>
              <w:adjustRightInd w:val="0"/>
              <w:snapToGrid w:val="0"/>
              <w:spacing w:before="0" w:after="4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□分包</w:t>
            </w:r>
          </w:p>
          <w:p w14:paraId="6565351F">
            <w:pPr>
              <w:keepNext w:val="0"/>
              <w:keepLines/>
              <w:pageBreakBefore w:val="0"/>
              <w:widowControl w:val="0"/>
              <w:shd w:val="clear" w:color="auto" w:fill="auto"/>
              <w:tabs>
                <w:tab w:val="left" w:leader="underscore" w:pos="4662"/>
              </w:tabs>
              <w:kinsoku/>
              <w:wordWrap w:val="0"/>
              <w:overflowPunct/>
              <w:topLinePunct/>
              <w:autoSpaceDE/>
              <w:autoSpaceDN/>
              <w:bidi w:val="0"/>
              <w:adjustRightInd w:val="0"/>
              <w:snapToGrid w:val="0"/>
              <w:spacing w:before="0" w:after="40" w:line="360" w:lineRule="auto"/>
              <w:ind w:right="0"/>
              <w:jc w:val="left"/>
              <w:textAlignment w:val="auto"/>
              <w:rPr>
                <w:rFonts w:hint="default" w:ascii="宋体" w:hAnsi="宋体" w:eastAsia="宋体" w:cs="宋体"/>
                <w:color w:val="000000" w:themeColor="text1"/>
                <w:spacing w:val="0"/>
                <w:w w:val="100"/>
                <w:position w:val="0"/>
                <w:sz w:val="24"/>
                <w:szCs w:val="24"/>
                <w:highlight w:val="none"/>
                <w:u w:val="none"/>
                <w:shd w:val="clear" w:color="auto" w:fill="auto"/>
                <w:lang w:val="en-US"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不得分包的内容：</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w:t>
            </w:r>
          </w:p>
          <w:p w14:paraId="010DBF4E">
            <w:pPr>
              <w:keepNext w:val="0"/>
              <w:keepLines/>
              <w:pageBreakBefore w:val="0"/>
              <w:widowControl w:val="0"/>
              <w:shd w:val="clear" w:color="auto" w:fill="auto"/>
              <w:tabs>
                <w:tab w:val="left" w:leader="underscore" w:pos="4662"/>
              </w:tabs>
              <w:kinsoku/>
              <w:wordWrap w:val="0"/>
              <w:overflowPunct/>
              <w:topLinePunct/>
              <w:autoSpaceDE/>
              <w:autoSpaceDN/>
              <w:bidi w:val="0"/>
              <w:adjustRightInd w:val="0"/>
              <w:snapToGrid w:val="0"/>
              <w:spacing w:before="0" w:after="0" w:line="360" w:lineRule="auto"/>
              <w:ind w:right="0" w:rightChars="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对分包供应商的要求：</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w:t>
            </w:r>
          </w:p>
        </w:tc>
      </w:tr>
      <w:tr w14:paraId="722A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463B8DC8">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1.10.2</w:t>
            </w:r>
          </w:p>
        </w:tc>
        <w:tc>
          <w:tcPr>
            <w:tcW w:w="1708" w:type="pct"/>
            <w:vAlign w:val="center"/>
          </w:tcPr>
          <w:p w14:paraId="717F1FC9">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对非关键条款的偏差</w:t>
            </w:r>
          </w:p>
        </w:tc>
        <w:tc>
          <w:tcPr>
            <w:tcW w:w="2614" w:type="pct"/>
            <w:vAlign w:val="bottom"/>
          </w:tcPr>
          <w:p w14:paraId="36886B30">
            <w:pPr>
              <w:keepNext w:val="0"/>
              <w:keepLines/>
              <w:pageBreakBefore w:val="0"/>
              <w:widowControl w:val="0"/>
              <w:shd w:val="clear" w:color="auto" w:fill="auto"/>
              <w:kinsoku/>
              <w:wordWrap w:val="0"/>
              <w:overflowPunct/>
              <w:topLinePunct/>
              <w:autoSpaceDE/>
              <w:autoSpaceDN/>
              <w:bidi w:val="0"/>
              <w:adjustRightInd w:val="0"/>
              <w:snapToGrid w:val="0"/>
              <w:spacing w:before="0" w:after="4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☑不</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允许</w:t>
            </w:r>
          </w:p>
          <w:p w14:paraId="247F6111">
            <w:pPr>
              <w:keepNext w:val="0"/>
              <w:keepLines/>
              <w:pageBreakBefore w:val="0"/>
              <w:widowControl w:val="0"/>
              <w:shd w:val="clear" w:color="auto" w:fill="auto"/>
              <w:tabs>
                <w:tab w:val="left" w:leader="underscore" w:pos="4662"/>
              </w:tabs>
              <w:kinsoku/>
              <w:wordWrap w:val="0"/>
              <w:overflowPunct/>
              <w:topLinePunct/>
              <w:autoSpaceDE/>
              <w:autoSpaceDN/>
              <w:bidi w:val="0"/>
              <w:adjustRightInd w:val="0"/>
              <w:snapToGrid w:val="0"/>
              <w:spacing w:before="0" w:after="4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□允许</w:t>
            </w:r>
          </w:p>
          <w:p w14:paraId="5D1290E1">
            <w:pPr>
              <w:keepNext w:val="0"/>
              <w:keepLines/>
              <w:pageBreakBefore w:val="0"/>
              <w:widowControl w:val="0"/>
              <w:shd w:val="clear" w:color="auto" w:fill="auto"/>
              <w:tabs>
                <w:tab w:val="left" w:leader="underscore" w:pos="4662"/>
              </w:tabs>
              <w:kinsoku/>
              <w:wordWrap w:val="0"/>
              <w:overflowPunct/>
              <w:topLinePunct/>
              <w:autoSpaceDE/>
              <w:autoSpaceDN/>
              <w:bidi w:val="0"/>
              <w:adjustRightInd w:val="0"/>
              <w:snapToGrid w:val="0"/>
              <w:spacing w:before="0" w:after="4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允许偏差的范围：</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w:t>
            </w:r>
          </w:p>
          <w:p w14:paraId="046DF2DA">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right="0" w:rightChars="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允许偏差的项数：</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项</w:t>
            </w:r>
          </w:p>
        </w:tc>
      </w:tr>
      <w:tr w14:paraId="00B8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77" w:type="pct"/>
            <w:vAlign w:val="center"/>
          </w:tcPr>
          <w:p w14:paraId="1D916329">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2.1</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(7)</w:t>
            </w:r>
          </w:p>
        </w:tc>
        <w:tc>
          <w:tcPr>
            <w:tcW w:w="1708" w:type="pct"/>
            <w:vAlign w:val="center"/>
          </w:tcPr>
          <w:p w14:paraId="3553ED8E">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构成釆购文件的其他资料</w:t>
            </w:r>
          </w:p>
        </w:tc>
        <w:tc>
          <w:tcPr>
            <w:tcW w:w="2614" w:type="pct"/>
            <w:vAlign w:val="center"/>
          </w:tcPr>
          <w:p w14:paraId="3CF00649">
            <w:pPr>
              <w:keepNext w:val="0"/>
              <w:keepLines/>
              <w:pageBreakBefore w:val="0"/>
              <w:widowControl w:val="0"/>
              <w:shd w:val="clear" w:color="auto" w:fill="auto"/>
              <w:kinsoku/>
              <w:wordWrap w:val="0"/>
              <w:overflowPunct/>
              <w:topLinePunct/>
              <w:autoSpaceDE/>
              <w:autoSpaceDN/>
              <w:bidi w:val="0"/>
              <w:adjustRightInd w:val="0"/>
              <w:snapToGrid w:val="0"/>
              <w:spacing w:before="0" w:after="40" w:line="360" w:lineRule="auto"/>
              <w:ind w:right="0"/>
              <w:jc w:val="left"/>
              <w:textAlignment w:val="auto"/>
              <w:rPr>
                <w:rFonts w:hint="default"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技术标准和要求，</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补遗书（如果有）及通知</w:t>
            </w: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、采购人以书面形式发出的对招标文件的澄清、修改、补充内容。</w:t>
            </w:r>
          </w:p>
        </w:tc>
      </w:tr>
      <w:tr w14:paraId="497F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5" w:hRule="atLeast"/>
        </w:trPr>
        <w:tc>
          <w:tcPr>
            <w:tcW w:w="677" w:type="pct"/>
            <w:vAlign w:val="center"/>
          </w:tcPr>
          <w:p w14:paraId="44C694C1">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2.2.</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1</w:t>
            </w:r>
          </w:p>
        </w:tc>
        <w:tc>
          <w:tcPr>
            <w:tcW w:w="1708" w:type="pct"/>
            <w:vAlign w:val="center"/>
          </w:tcPr>
          <w:p w14:paraId="736B7040">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供应商要求澄清采购文件的时间</w:t>
            </w:r>
          </w:p>
        </w:tc>
        <w:tc>
          <w:tcPr>
            <w:tcW w:w="2614" w:type="pct"/>
            <w:vAlign w:val="center"/>
          </w:tcPr>
          <w:p w14:paraId="5F954087">
            <w:pPr>
              <w:keepNext w:val="0"/>
              <w:keepLines/>
              <w:pageBreakBefore w:val="0"/>
              <w:widowControl w:val="0"/>
              <w:shd w:val="clear" w:color="auto" w:fill="auto"/>
              <w:kinsoku/>
              <w:wordWrap w:val="0"/>
              <w:overflowPunct/>
              <w:topLinePunct/>
              <w:autoSpaceDE/>
              <w:autoSpaceDN/>
              <w:bidi w:val="0"/>
              <w:adjustRightInd w:val="0"/>
              <w:snapToGrid w:val="0"/>
              <w:spacing w:before="0" w:after="4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递交询比响应文件截止之日3日前</w:t>
            </w:r>
          </w:p>
          <w:p w14:paraId="110AFE76">
            <w:pPr>
              <w:keepNext w:val="0"/>
              <w:keepLines/>
              <w:pageBreakBefore w:val="0"/>
              <w:widowControl w:val="0"/>
              <w:shd w:val="clear" w:color="auto" w:fill="auto"/>
              <w:kinsoku/>
              <w:wordWrap w:val="0"/>
              <w:overflowPunct/>
              <w:topLinePunct/>
              <w:autoSpaceDE/>
              <w:autoSpaceDN/>
              <w:bidi w:val="0"/>
              <w:adjustRightInd w:val="0"/>
              <w:snapToGrid w:val="0"/>
              <w:spacing w:before="0" w:after="4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形式：书面形式</w:t>
            </w:r>
          </w:p>
          <w:p w14:paraId="36145B24">
            <w:pPr>
              <w:keepNext w:val="0"/>
              <w:keepLines/>
              <w:pageBreakBefore w:val="0"/>
              <w:widowControl w:val="0"/>
              <w:shd w:val="clear" w:color="auto" w:fill="auto"/>
              <w:kinsoku/>
              <w:wordWrap w:val="0"/>
              <w:overflowPunct/>
              <w:topLinePunct/>
              <w:autoSpaceDE/>
              <w:autoSpaceDN/>
              <w:bidi w:val="0"/>
              <w:adjustRightInd w:val="0"/>
              <w:snapToGrid w:val="0"/>
              <w:spacing w:before="0" w:after="4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若询比采购文件存在的遗漏、错误、含义不清甚至相互矛盾等问题，供应商可要求采购人、采购代理机构予以澄清，但不得向采购人、采购代理机构提出单独澄清答复的要求。</w:t>
            </w:r>
          </w:p>
          <w:p w14:paraId="29016611">
            <w:pPr>
              <w:keepNext w:val="0"/>
              <w:keepLines/>
              <w:pageBreakBefore w:val="0"/>
              <w:widowControl w:val="0"/>
              <w:shd w:val="clear" w:color="auto" w:fill="auto"/>
              <w:kinsoku/>
              <w:wordWrap w:val="0"/>
              <w:overflowPunct/>
              <w:topLinePunct/>
              <w:autoSpaceDE/>
              <w:autoSpaceDN/>
              <w:bidi w:val="0"/>
              <w:adjustRightInd w:val="0"/>
              <w:snapToGrid w:val="0"/>
              <w:spacing w:before="0" w:after="4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时间：递交询比响应文件截止之日3日前</w:t>
            </w:r>
          </w:p>
        </w:tc>
      </w:tr>
      <w:tr w14:paraId="7153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1E31EA08">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2.2.3</w:t>
            </w:r>
          </w:p>
        </w:tc>
        <w:tc>
          <w:tcPr>
            <w:tcW w:w="1708" w:type="pct"/>
            <w:vAlign w:val="center"/>
          </w:tcPr>
          <w:p w14:paraId="4337908E">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供应商确认收到釆购文件补充文件</w:t>
            </w:r>
          </w:p>
        </w:tc>
        <w:tc>
          <w:tcPr>
            <w:tcW w:w="2614" w:type="pct"/>
            <w:vAlign w:val="center"/>
          </w:tcPr>
          <w:p w14:paraId="244A490F">
            <w:pPr>
              <w:keepNext w:val="0"/>
              <w:keepLines/>
              <w:pageBreakBefore w:val="0"/>
              <w:widowControl w:val="0"/>
              <w:shd w:val="clear" w:color="auto" w:fill="auto"/>
              <w:kinsoku/>
              <w:wordWrap w:val="0"/>
              <w:overflowPunct/>
              <w:topLinePunct/>
              <w:autoSpaceDE/>
              <w:autoSpaceDN/>
              <w:bidi w:val="0"/>
              <w:adjustRightInd w:val="0"/>
              <w:snapToGrid w:val="0"/>
              <w:spacing w:before="0" w:after="4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时间：收到澄清后24小时内（以发出时间为准）</w:t>
            </w:r>
          </w:p>
          <w:p w14:paraId="2D68CED5">
            <w:pPr>
              <w:keepNext w:val="0"/>
              <w:keepLines/>
              <w:pageBreakBefore w:val="0"/>
              <w:widowControl w:val="0"/>
              <w:shd w:val="clear" w:color="auto" w:fill="auto"/>
              <w:kinsoku/>
              <w:wordWrap w:val="0"/>
              <w:overflowPunct/>
              <w:topLinePunct/>
              <w:autoSpaceDE/>
              <w:autoSpaceDN/>
              <w:bidi w:val="0"/>
              <w:adjustRightInd w:val="0"/>
              <w:snapToGrid w:val="0"/>
              <w:spacing w:before="0" w:after="40" w:line="360" w:lineRule="auto"/>
              <w:ind w:right="0"/>
              <w:jc w:val="left"/>
              <w:textAlignment w:val="auto"/>
              <w:rPr>
                <w:rFonts w:hint="default"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形式：书面形式</w:t>
            </w:r>
          </w:p>
        </w:tc>
      </w:tr>
      <w:tr w14:paraId="4D00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77" w:type="pct"/>
            <w:vAlign w:val="center"/>
          </w:tcPr>
          <w:p w14:paraId="1373EBE2">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3.1.</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1(9)</w:t>
            </w:r>
          </w:p>
        </w:tc>
        <w:tc>
          <w:tcPr>
            <w:tcW w:w="1708" w:type="pct"/>
            <w:vAlign w:val="center"/>
          </w:tcPr>
          <w:p w14:paraId="67BDA636">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构成响应文件的其他资料</w:t>
            </w:r>
          </w:p>
        </w:tc>
        <w:tc>
          <w:tcPr>
            <w:tcW w:w="2614" w:type="pct"/>
            <w:vAlign w:val="center"/>
          </w:tcPr>
          <w:p w14:paraId="554C2A89">
            <w:pPr>
              <w:keepNext w:val="0"/>
              <w:keepLines/>
              <w:pageBreakBefore w:val="0"/>
              <w:widowControl w:val="0"/>
              <w:shd w:val="clear" w:color="auto" w:fill="auto"/>
              <w:kinsoku/>
              <w:wordWrap w:val="0"/>
              <w:overflowPunct/>
              <w:topLinePunct/>
              <w:autoSpaceDE/>
              <w:autoSpaceDN/>
              <w:bidi w:val="0"/>
              <w:adjustRightInd w:val="0"/>
              <w:snapToGrid w:val="0"/>
              <w:spacing w:before="0" w:after="4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无</w:t>
            </w:r>
          </w:p>
        </w:tc>
      </w:tr>
      <w:tr w14:paraId="4CA3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77" w:type="pct"/>
            <w:vAlign w:val="center"/>
          </w:tcPr>
          <w:p w14:paraId="7F8D6626">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3.2.2</w:t>
            </w:r>
          </w:p>
        </w:tc>
        <w:tc>
          <w:tcPr>
            <w:tcW w:w="1708" w:type="pct"/>
            <w:vAlign w:val="center"/>
          </w:tcPr>
          <w:p w14:paraId="4513E90C">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采购标的数量增减幅度</w:t>
            </w:r>
          </w:p>
        </w:tc>
        <w:tc>
          <w:tcPr>
            <w:tcW w:w="2614" w:type="pct"/>
            <w:vAlign w:val="center"/>
          </w:tcPr>
          <w:p w14:paraId="5DD4E9AC">
            <w:pPr>
              <w:keepNext w:val="0"/>
              <w:keepLines/>
              <w:pageBreakBefore w:val="0"/>
              <w:widowControl w:val="0"/>
              <w:shd w:val="clear" w:color="auto" w:fill="auto"/>
              <w:tabs>
                <w:tab w:val="left" w:leader="underscore" w:pos="4653"/>
              </w:tabs>
              <w:kinsoku/>
              <w:wordWrap w:val="0"/>
              <w:overflowPunct/>
              <w:topLinePunct/>
              <w:autoSpaceDE/>
              <w:autoSpaceDN/>
              <w:bidi w:val="0"/>
              <w:adjustRightInd/>
              <w:snapToGrid w:val="0"/>
              <w:spacing w:before="0" w:after="0" w:line="360" w:lineRule="auto"/>
              <w:ind w:right="0" w:rightChars="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z w:val="24"/>
                <w:szCs w:val="24"/>
                <w:lang w:val="zh-TW" w:eastAsia="zh-TW" w:bidi="zh-TW"/>
                <w14:textFill>
                  <w14:solidFill>
                    <w14:schemeClr w14:val="tx1"/>
                  </w14:solidFill>
                </w14:textFill>
              </w:rPr>
              <w:t>釆购标的数量增减幅度</w:t>
            </w:r>
            <w:r>
              <w:rPr>
                <w:rFonts w:hint="eastAsia" w:ascii="宋体" w:hAnsi="宋体" w:eastAsia="宋体" w:cs="宋体"/>
                <w:color w:val="000000" w:themeColor="text1"/>
                <w:sz w:val="24"/>
                <w:szCs w:val="24"/>
                <w:lang w:val="zh-TW" w:eastAsia="zh-CN" w:bidi="zh-TW"/>
                <w14:textFill>
                  <w14:solidFill>
                    <w14:schemeClr w14:val="tx1"/>
                  </w14:solidFill>
                </w14:textFill>
              </w:rPr>
              <w:t>：</w:t>
            </w:r>
            <w:r>
              <w:rPr>
                <w:rFonts w:hint="eastAsia" w:ascii="宋体" w:hAnsi="宋体" w:eastAsia="宋体" w:cs="宋体"/>
                <w:color w:val="000000" w:themeColor="text1"/>
                <w:sz w:val="24"/>
                <w:szCs w:val="24"/>
                <w:u w:val="single"/>
                <w:lang w:val="en-US" w:eastAsia="zh-CN" w:bidi="zh-TW"/>
                <w14:textFill>
                  <w14:solidFill>
                    <w14:schemeClr w14:val="tx1"/>
                  </w14:solidFill>
                </w14:textFill>
              </w:rPr>
              <w:t xml:space="preserve"> /   </w:t>
            </w:r>
            <w:r>
              <w:rPr>
                <w:rFonts w:hint="eastAsia" w:ascii="宋体" w:hAnsi="宋体" w:eastAsia="宋体" w:cs="宋体"/>
                <w:color w:val="000000" w:themeColor="text1"/>
                <w:sz w:val="24"/>
                <w:szCs w:val="24"/>
                <w:u w:val="none"/>
                <w:lang w:val="zh-TW" w:eastAsia="zh-TW" w:bidi="zh-TW"/>
                <w14:textFill>
                  <w14:solidFill>
                    <w14:schemeClr w14:val="tx1"/>
                  </w14:solidFill>
                </w14:textFill>
              </w:rPr>
              <w:t>%</w:t>
            </w:r>
          </w:p>
        </w:tc>
      </w:tr>
      <w:tr w14:paraId="7FE1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7" w:type="pct"/>
            <w:vAlign w:val="center"/>
          </w:tcPr>
          <w:p w14:paraId="5EE71BB9">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3.2.3</w:t>
            </w:r>
          </w:p>
        </w:tc>
        <w:tc>
          <w:tcPr>
            <w:tcW w:w="1708" w:type="pct"/>
            <w:vAlign w:val="center"/>
          </w:tcPr>
          <w:p w14:paraId="51483718">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最高</w:t>
            </w:r>
            <w:r>
              <w:rPr>
                <w:rFonts w:hint="eastAsia" w:ascii="宋体" w:hAnsi="宋体" w:cs="宋体"/>
                <w:color w:val="000000" w:themeColor="text1"/>
                <w:kern w:val="1"/>
                <w:sz w:val="24"/>
                <w:szCs w:val="24"/>
                <w:highlight w:val="none"/>
                <w:lang w:eastAsia="zh-CN"/>
                <w14:textFill>
                  <w14:solidFill>
                    <w14:schemeClr w14:val="tx1"/>
                  </w14:solidFill>
                </w14:textFill>
              </w:rPr>
              <w:t>询比</w:t>
            </w:r>
            <w:r>
              <w:rPr>
                <w:rFonts w:hint="eastAsia" w:ascii="宋体" w:hAnsi="宋体" w:cs="宋体"/>
                <w:color w:val="000000" w:themeColor="text1"/>
                <w:kern w:val="1"/>
                <w:sz w:val="24"/>
                <w:szCs w:val="24"/>
                <w:highlight w:val="none"/>
                <w14:textFill>
                  <w14:solidFill>
                    <w14:schemeClr w14:val="tx1"/>
                  </w14:solidFill>
                </w14:textFill>
              </w:rPr>
              <w:t>限价</w:t>
            </w:r>
          </w:p>
        </w:tc>
        <w:tc>
          <w:tcPr>
            <w:tcW w:w="2614" w:type="pct"/>
            <w:vAlign w:val="center"/>
          </w:tcPr>
          <w:p w14:paraId="174896EF">
            <w:pPr>
              <w:keepNext w:val="0"/>
              <w:keepLines/>
              <w:pageBreakBefore w:val="0"/>
              <w:widowControl w:val="0"/>
              <w:shd w:val="clear" w:color="auto" w:fill="auto"/>
              <w:kinsoku/>
              <w:wordWrap w:val="0"/>
              <w:overflowPunct/>
              <w:topLinePunct/>
              <w:autoSpaceDE/>
              <w:autoSpaceDN/>
              <w:bidi w:val="0"/>
              <w:adjustRightInd/>
              <w:snapToGrid w:val="0"/>
              <w:spacing w:before="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z w:val="24"/>
                <w:szCs w:val="24"/>
                <w:lang w:val="zh-TW" w:eastAsia="zh-TW" w:bidi="zh-TW"/>
                <w14:textFill>
                  <w14:solidFill>
                    <w14:schemeClr w14:val="tx1"/>
                  </w14:solidFill>
                </w14:textFill>
              </w:rPr>
              <w:t>无</w:t>
            </w:r>
          </w:p>
          <w:p w14:paraId="392CA372">
            <w:pPr>
              <w:keepNext w:val="0"/>
              <w:keepLines/>
              <w:pageBreakBefore w:val="0"/>
              <w:widowControl w:val="0"/>
              <w:shd w:val="clear" w:color="auto" w:fill="auto"/>
              <w:tabs>
                <w:tab w:val="left" w:leader="underscore" w:pos="4653"/>
              </w:tabs>
              <w:kinsoku/>
              <w:wordWrap w:val="0"/>
              <w:overflowPunct/>
              <w:topLinePunct/>
              <w:autoSpaceDE/>
              <w:autoSpaceDN/>
              <w:bidi w:val="0"/>
              <w:adjustRightInd/>
              <w:snapToGrid w:val="0"/>
              <w:spacing w:before="0" w:after="0" w:line="360" w:lineRule="auto"/>
              <w:ind w:right="0" w:rightChars="0"/>
              <w:jc w:val="left"/>
              <w:textAlignment w:val="auto"/>
              <w:rPr>
                <w:rFonts w:hint="default" w:ascii="宋体" w:hAnsi="宋体" w:eastAsia="宋体" w:cs="宋体"/>
                <w:color w:val="000000" w:themeColor="text1"/>
                <w:spacing w:val="0"/>
                <w:w w:val="100"/>
                <w:kern w:val="2"/>
                <w:position w:val="0"/>
                <w:sz w:val="24"/>
                <w:szCs w:val="24"/>
                <w:highlight w:val="none"/>
                <w:u w:val="none"/>
                <w:shd w:val="clear" w:color="auto" w:fill="auto"/>
                <w:lang w:val="en-US"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w:t>
            </w:r>
            <w:r>
              <w:rPr>
                <w:rFonts w:hint="eastAsia" w:ascii="宋体" w:hAnsi="宋体" w:eastAsia="宋体" w:cs="宋体"/>
                <w:color w:val="000000" w:themeColor="text1"/>
                <w:sz w:val="24"/>
                <w:szCs w:val="24"/>
                <w:lang w:val="zh-TW" w:eastAsia="zh-TW" w:bidi="zh-TW"/>
                <w14:textFill>
                  <w14:solidFill>
                    <w14:schemeClr w14:val="tx1"/>
                  </w14:solidFill>
                </w14:textFill>
              </w:rPr>
              <w:t>有，最高限价或其计算方法：</w:t>
            </w:r>
            <w:r>
              <w:rPr>
                <w:rFonts w:hint="eastAsia" w:ascii="宋体" w:hAnsi="宋体" w:eastAsia="宋体" w:cs="宋体"/>
                <w:color w:val="000000" w:themeColor="text1"/>
                <w:kern w:val="1"/>
                <w:sz w:val="24"/>
                <w:szCs w:val="24"/>
                <w:highlight w:val="none"/>
                <w14:textFill>
                  <w14:solidFill>
                    <w14:schemeClr w14:val="tx1"/>
                  </w14:solidFill>
                </w14:textFill>
              </w:rPr>
              <w:t>最高</w:t>
            </w:r>
            <w:r>
              <w:rPr>
                <w:rFonts w:hint="eastAsia" w:ascii="宋体" w:hAnsi="宋体" w:eastAsia="宋体" w:cs="宋体"/>
                <w:color w:val="000000" w:themeColor="text1"/>
                <w:kern w:val="1"/>
                <w:sz w:val="24"/>
                <w:szCs w:val="24"/>
                <w:highlight w:val="none"/>
                <w:lang w:eastAsia="zh-CN"/>
                <w14:textFill>
                  <w14:solidFill>
                    <w14:schemeClr w14:val="tx1"/>
                  </w14:solidFill>
                </w14:textFill>
              </w:rPr>
              <w:t>询比</w:t>
            </w:r>
            <w:r>
              <w:rPr>
                <w:rFonts w:hint="eastAsia" w:ascii="宋体" w:hAnsi="宋体" w:eastAsia="宋体" w:cs="宋体"/>
                <w:color w:val="000000" w:themeColor="text1"/>
                <w:kern w:val="1"/>
                <w:sz w:val="24"/>
                <w:szCs w:val="24"/>
                <w:highlight w:val="none"/>
                <w14:textFill>
                  <w14:solidFill>
                    <w14:schemeClr w14:val="tx1"/>
                  </w14:solidFill>
                </w14:textFill>
              </w:rPr>
              <w:t>限价</w:t>
            </w:r>
            <w:r>
              <w:rPr>
                <w:rFonts w:hint="eastAsia" w:ascii="宋体" w:hAnsi="宋体" w:eastAsia="宋体" w:cs="宋体"/>
                <w:color w:val="000000" w:themeColor="text1"/>
                <w:sz w:val="24"/>
                <w:szCs w:val="24"/>
                <w:lang w:val="en-US" w:eastAsia="zh-CN" w:bidi="zh-TW"/>
                <w14:textFill>
                  <w14:solidFill>
                    <w14:schemeClr w14:val="tx1"/>
                  </w14:solidFill>
                </w14:textFill>
              </w:rPr>
              <w:t>为：</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¥298700.34元（大写：贰拾玖万捌仟柒佰元叁角肆分元）</w:t>
            </w:r>
          </w:p>
        </w:tc>
      </w:tr>
      <w:tr w14:paraId="02E0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77" w:type="pct"/>
            <w:vAlign w:val="center"/>
          </w:tcPr>
          <w:p w14:paraId="6114B6BE">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3.2.4</w:t>
            </w:r>
          </w:p>
        </w:tc>
        <w:tc>
          <w:tcPr>
            <w:tcW w:w="1708" w:type="pct"/>
            <w:vAlign w:val="center"/>
          </w:tcPr>
          <w:p w14:paraId="5B1E529E">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报价的其他要求</w:t>
            </w:r>
          </w:p>
        </w:tc>
        <w:tc>
          <w:tcPr>
            <w:tcW w:w="2614" w:type="pct"/>
            <w:vAlign w:val="center"/>
          </w:tcPr>
          <w:p w14:paraId="58F41C73">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left="0" w:leftChars="0" w:right="0" w:rightChars="0" w:firstLine="0" w:firstLineChars="0"/>
              <w:jc w:val="left"/>
              <w:textAlignment w:val="auto"/>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bidi="zh-TW"/>
                <w14:textFill>
                  <w14:solidFill>
                    <w14:schemeClr w14:val="tx1"/>
                  </w14:solidFill>
                </w14:textFill>
              </w:rPr>
              <w:t>本合同为总价合同</w:t>
            </w:r>
          </w:p>
        </w:tc>
      </w:tr>
      <w:tr w14:paraId="2234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7" w:type="pct"/>
            <w:vAlign w:val="center"/>
          </w:tcPr>
          <w:p w14:paraId="2E59D9C6">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3.3.</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1</w:t>
            </w:r>
          </w:p>
        </w:tc>
        <w:tc>
          <w:tcPr>
            <w:tcW w:w="1708" w:type="pct"/>
            <w:vAlign w:val="center"/>
          </w:tcPr>
          <w:p w14:paraId="38BD966A">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询比有效期</w:t>
            </w:r>
          </w:p>
        </w:tc>
        <w:tc>
          <w:tcPr>
            <w:tcW w:w="2614" w:type="pct"/>
            <w:vAlign w:val="center"/>
          </w:tcPr>
          <w:p w14:paraId="0B280CA0">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left="0" w:leftChars="0" w:right="0" w:rightChars="0" w:firstLine="0" w:firstLineChars="0"/>
              <w:jc w:val="both"/>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z w:val="24"/>
                <w:szCs w:val="24"/>
                <w:lang w:val="en-US" w:eastAsia="zh-CN" w:bidi="zh-TW"/>
                <w14:textFill>
                  <w14:solidFill>
                    <w14:schemeClr w14:val="tx1"/>
                  </w14:solidFill>
                </w14:textFill>
              </w:rPr>
              <w:t>自供应商提交询比响应文件截止之日起计算60天</w:t>
            </w:r>
          </w:p>
        </w:tc>
      </w:tr>
      <w:tr w14:paraId="106E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677" w:type="pct"/>
            <w:vAlign w:val="center"/>
          </w:tcPr>
          <w:p w14:paraId="331D53CA">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3.4.</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1</w:t>
            </w:r>
          </w:p>
        </w:tc>
        <w:tc>
          <w:tcPr>
            <w:tcW w:w="1708" w:type="pct"/>
            <w:vAlign w:val="center"/>
          </w:tcPr>
          <w:p w14:paraId="2D419328">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响应保证金</w:t>
            </w:r>
          </w:p>
        </w:tc>
        <w:tc>
          <w:tcPr>
            <w:tcW w:w="2614" w:type="pct"/>
            <w:vAlign w:val="center"/>
          </w:tcPr>
          <w:p w14:paraId="604E2F96">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left="0" w:leftChars="0" w:right="0" w:rightChars="0" w:firstLine="0" w:firstLineChars="0"/>
              <w:jc w:val="both"/>
              <w:textAlignment w:val="auto"/>
              <w:rPr>
                <w:rFonts w:hint="eastAsia" w:ascii="宋体" w:hAnsi="宋体" w:cs="宋体"/>
                <w:color w:val="000000" w:themeColor="text1"/>
                <w:sz w:val="24"/>
                <w:szCs w:val="24"/>
                <w:lang w:val="zh-TW" w:eastAsia="zh-CN" w:bidi="zh-TW"/>
                <w14:textFill>
                  <w14:solidFill>
                    <w14:schemeClr w14:val="tx1"/>
                  </w14:solidFill>
                </w14:textFill>
              </w:rPr>
            </w:pPr>
            <w:r>
              <w:rPr>
                <w:rFonts w:hint="eastAsia" w:ascii="宋体" w:hAnsi="宋体" w:cs="宋体"/>
                <w:color w:val="000000" w:themeColor="text1"/>
                <w:sz w:val="24"/>
                <w:szCs w:val="24"/>
                <w:lang w:val="zh-TW" w:eastAsia="zh-TW" w:bidi="zh-TW"/>
                <w14:textFill>
                  <w14:solidFill>
                    <w14:schemeClr w14:val="tx1"/>
                  </w14:solidFill>
                </w14:textFill>
              </w:rPr>
              <w:t>是否要求</w:t>
            </w:r>
            <w:r>
              <w:rPr>
                <w:rFonts w:hint="eastAsia" w:ascii="宋体" w:hAnsi="宋体" w:cs="宋体"/>
                <w:color w:val="000000" w:themeColor="text1"/>
                <w:sz w:val="24"/>
                <w:szCs w:val="24"/>
                <w:lang w:val="zh-TW" w:eastAsia="zh-CN" w:bidi="zh-TW"/>
                <w14:textFill>
                  <w14:solidFill>
                    <w14:schemeClr w14:val="tx1"/>
                  </w14:solidFill>
                </w14:textFill>
              </w:rPr>
              <w:t>供应商</w:t>
            </w:r>
            <w:r>
              <w:rPr>
                <w:rFonts w:hint="eastAsia" w:ascii="宋体" w:hAnsi="宋体" w:cs="宋体"/>
                <w:color w:val="000000" w:themeColor="text1"/>
                <w:sz w:val="24"/>
                <w:szCs w:val="24"/>
                <w:lang w:val="zh-TW" w:eastAsia="zh-TW" w:bidi="zh-TW"/>
                <w14:textFill>
                  <w14:solidFill>
                    <w14:schemeClr w14:val="tx1"/>
                  </w14:solidFill>
                </w14:textFill>
              </w:rPr>
              <w:t>递交</w:t>
            </w:r>
            <w:r>
              <w:rPr>
                <w:rFonts w:hint="eastAsia" w:ascii="宋体" w:hAnsi="宋体" w:cs="宋体"/>
                <w:color w:val="000000" w:themeColor="text1"/>
                <w:sz w:val="24"/>
                <w:szCs w:val="24"/>
                <w:lang w:val="zh-TW" w:eastAsia="zh-CN" w:bidi="zh-TW"/>
                <w14:textFill>
                  <w14:solidFill>
                    <w14:schemeClr w14:val="tx1"/>
                  </w14:solidFill>
                </w14:textFill>
              </w:rPr>
              <w:t>响应保证金</w:t>
            </w:r>
            <w:r>
              <w:rPr>
                <w:rFonts w:hint="eastAsia" w:ascii="宋体" w:hAnsi="宋体" w:cs="宋体"/>
                <w:color w:val="000000" w:themeColor="text1"/>
                <w:sz w:val="24"/>
                <w:szCs w:val="24"/>
                <w:lang w:val="zh-TW" w:eastAsia="zh-TW" w:bidi="zh-TW"/>
                <w14:textFill>
                  <w14:solidFill>
                    <w14:schemeClr w14:val="tx1"/>
                  </w14:solidFill>
                </w14:textFill>
              </w:rPr>
              <w:t>：</w:t>
            </w:r>
          </w:p>
          <w:p w14:paraId="4A088918">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cs="宋体"/>
                <w:color w:val="000000" w:themeColor="text1"/>
                <w:sz w:val="24"/>
                <w:szCs w:val="24"/>
                <w:lang w:val="zh-TW" w:eastAsia="zh-TW" w:bidi="zh-TW"/>
                <w14:textFill>
                  <w14:solidFill>
                    <w14:schemeClr w14:val="tx1"/>
                  </w14:solidFill>
                </w14:textFill>
              </w:rPr>
              <w:t>不要求递交</w:t>
            </w:r>
          </w:p>
          <w:p w14:paraId="4E228575">
            <w:pPr>
              <w:keepNext w:val="0"/>
              <w:keepLines w:val="0"/>
              <w:widowControl w:val="0"/>
              <w:shd w:val="clear" w:color="auto" w:fill="auto"/>
              <w:bidi w:val="0"/>
              <w:spacing w:before="0" w:after="0" w:line="360" w:lineRule="auto"/>
              <w:ind w:right="0"/>
              <w:jc w:val="both"/>
              <w:rPr>
                <w:rFonts w:hint="eastAsia" w:ascii="宋体" w:hAnsi="宋体" w:cs="宋体"/>
                <w:color w:val="000000" w:themeColor="text1"/>
                <w:sz w:val="24"/>
                <w:szCs w:val="24"/>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cs="宋体"/>
                <w:color w:val="000000" w:themeColor="text1"/>
                <w:sz w:val="24"/>
                <w:szCs w:val="24"/>
                <w:lang w:val="zh-TW" w:eastAsia="zh-TW" w:bidi="zh-TW"/>
                <w14:textFill>
                  <w14:solidFill>
                    <w14:schemeClr w14:val="tx1"/>
                  </w14:solidFill>
                </w14:textFill>
              </w:rPr>
              <w:t>要求递交</w:t>
            </w:r>
          </w:p>
          <w:p w14:paraId="284F7F9F">
            <w:pPr>
              <w:keepNext w:val="0"/>
              <w:keepLines w:val="0"/>
              <w:widowControl w:val="0"/>
              <w:shd w:val="clear" w:color="auto" w:fill="auto"/>
              <w:bidi w:val="0"/>
              <w:spacing w:before="0" w:after="0" w:line="360" w:lineRule="auto"/>
              <w:ind w:right="0"/>
              <w:jc w:val="both"/>
              <w:rPr>
                <w:rFonts w:hint="eastAsia" w:ascii="宋体" w:hAnsi="宋体" w:cs="宋体"/>
                <w:color w:val="000000" w:themeColor="text1"/>
                <w:sz w:val="24"/>
                <w:szCs w:val="24"/>
                <w:lang w:val="zh-TW" w:eastAsia="zh-TW" w:bidi="zh-TW"/>
                <w14:textFill>
                  <w14:solidFill>
                    <w14:schemeClr w14:val="tx1"/>
                  </w14:solidFill>
                </w14:textFill>
              </w:rPr>
            </w:pPr>
            <w:r>
              <w:rPr>
                <w:rFonts w:hint="eastAsia" w:ascii="宋体" w:hAnsi="宋体" w:cs="宋体"/>
                <w:color w:val="000000" w:themeColor="text1"/>
                <w:sz w:val="24"/>
                <w:szCs w:val="24"/>
                <w:lang w:val="zh-TW" w:eastAsia="zh-TW" w:bidi="zh-TW"/>
                <w14:textFill>
                  <w14:solidFill>
                    <w14:schemeClr w14:val="tx1"/>
                  </w14:solidFill>
                </w14:textFill>
              </w:rPr>
              <w:t>如果需要</w:t>
            </w:r>
            <w:r>
              <w:rPr>
                <w:rFonts w:hint="eastAsia" w:ascii="宋体" w:hAnsi="宋体" w:cs="宋体"/>
                <w:color w:val="000000" w:themeColor="text1"/>
                <w:sz w:val="24"/>
                <w:szCs w:val="24"/>
                <w:lang w:val="zh-TW" w:eastAsia="zh-CN" w:bidi="zh-TW"/>
                <w14:textFill>
                  <w14:solidFill>
                    <w14:schemeClr w14:val="tx1"/>
                  </w14:solidFill>
                </w14:textFill>
              </w:rPr>
              <w:t>供应商</w:t>
            </w:r>
            <w:r>
              <w:rPr>
                <w:rFonts w:hint="eastAsia" w:ascii="宋体" w:hAnsi="宋体" w:cs="宋体"/>
                <w:color w:val="000000" w:themeColor="text1"/>
                <w:sz w:val="24"/>
                <w:szCs w:val="24"/>
                <w:lang w:val="zh-TW" w:eastAsia="zh-TW" w:bidi="zh-TW"/>
                <w14:textFill>
                  <w14:solidFill>
                    <w14:schemeClr w14:val="tx1"/>
                  </w14:solidFill>
                </w14:textFill>
              </w:rPr>
              <w:t>递交</w:t>
            </w:r>
            <w:r>
              <w:rPr>
                <w:rFonts w:hint="eastAsia" w:ascii="宋体" w:hAnsi="宋体" w:cs="宋体"/>
                <w:color w:val="000000" w:themeColor="text1"/>
                <w:sz w:val="24"/>
                <w:szCs w:val="24"/>
                <w:lang w:val="zh-TW" w:eastAsia="zh-CN" w:bidi="zh-TW"/>
                <w14:textFill>
                  <w14:solidFill>
                    <w14:schemeClr w14:val="tx1"/>
                  </w14:solidFill>
                </w14:textFill>
              </w:rPr>
              <w:t>响应</w:t>
            </w:r>
            <w:r>
              <w:rPr>
                <w:rFonts w:hint="eastAsia" w:ascii="宋体" w:hAnsi="宋体" w:cs="宋体"/>
                <w:color w:val="000000" w:themeColor="text1"/>
                <w:sz w:val="24"/>
                <w:szCs w:val="24"/>
                <w:lang w:val="zh-TW" w:eastAsia="zh-TW" w:bidi="zh-TW"/>
                <w14:textFill>
                  <w14:solidFill>
                    <w14:schemeClr w14:val="tx1"/>
                  </w14:solidFill>
                </w14:textFill>
              </w:rPr>
              <w:t>保证金，</w:t>
            </w:r>
            <w:r>
              <w:rPr>
                <w:rFonts w:hint="eastAsia" w:ascii="宋体" w:hAnsi="宋体" w:cs="宋体"/>
                <w:color w:val="000000" w:themeColor="text1"/>
                <w:sz w:val="24"/>
                <w:szCs w:val="24"/>
                <w:lang w:val="zh-TW" w:eastAsia="zh-CN" w:bidi="zh-TW"/>
                <w14:textFill>
                  <w14:solidFill>
                    <w14:schemeClr w14:val="tx1"/>
                  </w14:solidFill>
                </w14:textFill>
              </w:rPr>
              <w:t>采购</w:t>
            </w:r>
            <w:r>
              <w:rPr>
                <w:rFonts w:hint="eastAsia" w:ascii="宋体" w:hAnsi="宋体" w:cs="宋体"/>
                <w:color w:val="000000" w:themeColor="text1"/>
                <w:sz w:val="24"/>
                <w:szCs w:val="24"/>
                <w:lang w:val="zh-TW" w:eastAsia="zh-TW" w:bidi="zh-TW"/>
                <w14:textFill>
                  <w14:solidFill>
                    <w14:schemeClr w14:val="tx1"/>
                  </w14:solidFill>
                </w14:textFill>
              </w:rPr>
              <w:t>人不得强制限定</w:t>
            </w:r>
            <w:r>
              <w:rPr>
                <w:rFonts w:hint="eastAsia" w:ascii="宋体" w:hAnsi="宋体" w:cs="宋体"/>
                <w:color w:val="000000" w:themeColor="text1"/>
                <w:sz w:val="24"/>
                <w:szCs w:val="24"/>
                <w:lang w:val="zh-TW" w:eastAsia="zh-CN" w:bidi="zh-TW"/>
                <w14:textFill>
                  <w14:solidFill>
                    <w14:schemeClr w14:val="tx1"/>
                  </w14:solidFill>
                </w14:textFill>
              </w:rPr>
              <w:t>响应</w:t>
            </w:r>
            <w:r>
              <w:rPr>
                <w:rFonts w:hint="eastAsia" w:ascii="宋体" w:hAnsi="宋体" w:cs="宋体"/>
                <w:color w:val="000000" w:themeColor="text1"/>
                <w:sz w:val="24"/>
                <w:szCs w:val="24"/>
                <w:lang w:val="zh-TW" w:eastAsia="zh-TW" w:bidi="zh-TW"/>
                <w14:textFill>
                  <w14:solidFill>
                    <w14:schemeClr w14:val="tx1"/>
                  </w14:solidFill>
                </w14:textFill>
              </w:rPr>
              <w:t>保证金缴纳方式，不得拒绝银行保函形式的</w:t>
            </w:r>
            <w:r>
              <w:rPr>
                <w:rFonts w:hint="eastAsia" w:ascii="宋体" w:hAnsi="宋体" w:cs="宋体"/>
                <w:color w:val="000000" w:themeColor="text1"/>
                <w:sz w:val="24"/>
                <w:szCs w:val="24"/>
                <w:lang w:val="zh-TW" w:eastAsia="zh-CN" w:bidi="zh-TW"/>
                <w14:textFill>
                  <w14:solidFill>
                    <w14:schemeClr w14:val="tx1"/>
                  </w14:solidFill>
                </w14:textFill>
              </w:rPr>
              <w:t>响应</w:t>
            </w:r>
            <w:r>
              <w:rPr>
                <w:rFonts w:hint="eastAsia" w:ascii="宋体" w:hAnsi="宋体" w:cs="宋体"/>
                <w:color w:val="000000" w:themeColor="text1"/>
                <w:sz w:val="24"/>
                <w:szCs w:val="24"/>
                <w:lang w:val="zh-TW" w:eastAsia="zh-TW" w:bidi="zh-TW"/>
                <w14:textFill>
                  <w14:solidFill>
                    <w14:schemeClr w14:val="tx1"/>
                  </w14:solidFill>
                </w14:textFill>
              </w:rPr>
              <w:t>保证金。</w:t>
            </w:r>
          </w:p>
          <w:p w14:paraId="19CA6859">
            <w:pPr>
              <w:keepNext w:val="0"/>
              <w:keepLines w:val="0"/>
              <w:widowControl w:val="0"/>
              <w:shd w:val="clear" w:color="auto" w:fill="auto"/>
              <w:bidi w:val="0"/>
              <w:spacing w:before="0" w:after="0" w:line="360" w:lineRule="auto"/>
              <w:ind w:right="0"/>
              <w:jc w:val="both"/>
              <w:rPr>
                <w:rFonts w:hint="default" w:ascii="宋体" w:hAnsi="宋体" w:cs="宋体" w:eastAsiaTheme="minorEastAsia"/>
                <w:color w:val="000000" w:themeColor="text1"/>
                <w:sz w:val="24"/>
                <w:szCs w:val="24"/>
                <w:lang w:val="en-US" w:eastAsia="zh-CN" w:bidi="zh-TW"/>
                <w14:textFill>
                  <w14:solidFill>
                    <w14:schemeClr w14:val="tx1"/>
                  </w14:solidFill>
                </w14:textFill>
              </w:rPr>
            </w:pPr>
            <w:r>
              <w:rPr>
                <w:rFonts w:hint="eastAsia" w:ascii="宋体" w:hAnsi="宋体" w:cs="宋体"/>
                <w:color w:val="000000" w:themeColor="text1"/>
                <w:sz w:val="24"/>
                <w:szCs w:val="24"/>
                <w:lang w:val="en-US" w:eastAsia="zh-CN" w:bidi="zh-TW"/>
                <w14:textFill>
                  <w14:solidFill>
                    <w14:schemeClr w14:val="tx1"/>
                  </w14:solidFill>
                </w14:textFill>
              </w:rPr>
              <w:t>响应</w:t>
            </w:r>
            <w:r>
              <w:rPr>
                <w:rFonts w:hint="eastAsia" w:ascii="宋体" w:hAnsi="宋体" w:cs="宋体"/>
                <w:color w:val="000000" w:themeColor="text1"/>
                <w:sz w:val="24"/>
                <w:szCs w:val="24"/>
                <w:lang w:val="zh-TW" w:eastAsia="zh-TW" w:bidi="zh-TW"/>
                <w14:textFill>
                  <w14:solidFill>
                    <w14:schemeClr w14:val="tx1"/>
                  </w14:solidFill>
                </w14:textFill>
              </w:rPr>
              <w:t>保证金的金额：</w:t>
            </w:r>
            <w:r>
              <w:rPr>
                <w:rFonts w:hint="eastAsia" w:ascii="宋体" w:hAnsi="宋体" w:cs="宋体"/>
                <w:color w:val="000000" w:themeColor="text1"/>
                <w:sz w:val="24"/>
                <w:szCs w:val="24"/>
                <w:lang w:val="en-US" w:eastAsia="zh-CN" w:bidi="zh-TW"/>
                <w14:textFill>
                  <w14:solidFill>
                    <w14:schemeClr w14:val="tx1"/>
                  </w14:solidFill>
                </w14:textFill>
              </w:rPr>
              <w:t>5</w:t>
            </w:r>
            <w:bookmarkStart w:id="314" w:name="_GoBack"/>
            <w:bookmarkEnd w:id="314"/>
            <w:r>
              <w:rPr>
                <w:rFonts w:hint="eastAsia" w:ascii="宋体" w:hAnsi="宋体" w:cs="宋体"/>
                <w:color w:val="000000" w:themeColor="text1"/>
                <w:sz w:val="24"/>
                <w:szCs w:val="24"/>
                <w:lang w:val="en-US" w:eastAsia="zh-CN" w:bidi="zh-TW"/>
                <w14:textFill>
                  <w14:solidFill>
                    <w14:schemeClr w14:val="tx1"/>
                  </w14:solidFill>
                </w14:textFill>
              </w:rPr>
              <w:t>000.00元</w:t>
            </w:r>
          </w:p>
          <w:p w14:paraId="54505165">
            <w:pPr>
              <w:keepNext w:val="0"/>
              <w:keepLines w:val="0"/>
              <w:widowControl w:val="0"/>
              <w:shd w:val="clear" w:color="auto" w:fill="auto"/>
              <w:bidi w:val="0"/>
              <w:spacing w:before="0" w:after="0" w:line="360" w:lineRule="auto"/>
              <w:ind w:right="0"/>
              <w:jc w:val="both"/>
              <w:rPr>
                <w:rFonts w:hint="eastAsia" w:ascii="宋体" w:hAnsi="宋体" w:cs="宋体"/>
                <w:color w:val="000000" w:themeColor="text1"/>
                <w:sz w:val="24"/>
                <w:szCs w:val="24"/>
                <w:lang w:val="zh-TW" w:eastAsia="zh-TW" w:bidi="zh-TW"/>
                <w14:textFill>
                  <w14:solidFill>
                    <w14:schemeClr w14:val="tx1"/>
                  </w14:solidFill>
                </w14:textFill>
              </w:rPr>
            </w:pPr>
            <w:r>
              <w:rPr>
                <w:rFonts w:hint="eastAsia" w:ascii="宋体" w:hAnsi="宋体" w:cs="宋体"/>
                <w:color w:val="000000" w:themeColor="text1"/>
                <w:sz w:val="24"/>
                <w:szCs w:val="24"/>
                <w:lang w:val="zh-TW" w:eastAsia="zh-CN" w:bidi="zh-TW"/>
                <w14:textFill>
                  <w14:solidFill>
                    <w14:schemeClr w14:val="tx1"/>
                  </w14:solidFill>
                </w14:textFill>
              </w:rPr>
              <w:t>响应</w:t>
            </w:r>
            <w:r>
              <w:rPr>
                <w:rFonts w:hint="eastAsia" w:ascii="宋体" w:hAnsi="宋体" w:cs="宋体"/>
                <w:color w:val="000000" w:themeColor="text1"/>
                <w:sz w:val="24"/>
                <w:szCs w:val="24"/>
                <w:lang w:val="zh-TW" w:eastAsia="zh-TW" w:bidi="zh-TW"/>
                <w14:textFill>
                  <w14:solidFill>
                    <w14:schemeClr w14:val="tx1"/>
                  </w14:solidFill>
                </w14:textFill>
              </w:rPr>
              <w:t xml:space="preserve">保证金缴纳方式： </w:t>
            </w:r>
          </w:p>
          <w:p w14:paraId="0B73D0EE">
            <w:pPr>
              <w:keepNext w:val="0"/>
              <w:keepLines w:val="0"/>
              <w:widowControl w:val="0"/>
              <w:shd w:val="clear" w:color="auto" w:fill="auto"/>
              <w:bidi w:val="0"/>
              <w:spacing w:before="0" w:after="0" w:line="360" w:lineRule="auto"/>
              <w:ind w:right="0"/>
              <w:jc w:val="both"/>
              <w:rPr>
                <w:rFonts w:hint="eastAsia" w:ascii="宋体" w:hAnsi="宋体" w:cs="宋体"/>
                <w:color w:val="000000" w:themeColor="text1"/>
                <w:sz w:val="24"/>
                <w:szCs w:val="24"/>
                <w:lang w:val="zh-TW" w:eastAsia="zh-TW" w:bidi="zh-TW"/>
                <w14:textFill>
                  <w14:solidFill>
                    <w14:schemeClr w14:val="tx1"/>
                  </w14:solidFill>
                </w14:textFill>
              </w:rPr>
            </w:pPr>
            <w:r>
              <w:rPr>
                <w:rFonts w:hint="eastAsia" w:ascii="宋体" w:hAnsi="宋体" w:cs="宋体"/>
                <w:color w:val="000000" w:themeColor="text1"/>
                <w:sz w:val="24"/>
                <w:szCs w:val="24"/>
                <w:lang w:val="zh-TW" w:eastAsia="zh-TW" w:bidi="zh-TW"/>
                <w14:textFill>
                  <w14:solidFill>
                    <w14:schemeClr w14:val="tx1"/>
                  </w14:solidFill>
                </w14:textFill>
              </w:rPr>
              <w:t>（1）</w:t>
            </w:r>
            <w:r>
              <w:rPr>
                <w:rFonts w:hint="eastAsia" w:ascii="宋体" w:hAnsi="宋体" w:cs="宋体"/>
                <w:color w:val="000000" w:themeColor="text1"/>
                <w:sz w:val="24"/>
                <w:szCs w:val="24"/>
                <w:lang w:val="zh-TW" w:eastAsia="zh-CN" w:bidi="zh-TW"/>
                <w14:textFill>
                  <w14:solidFill>
                    <w14:schemeClr w14:val="tx1"/>
                  </w14:solidFill>
                </w14:textFill>
              </w:rPr>
              <w:t>采购</w:t>
            </w:r>
            <w:r>
              <w:rPr>
                <w:rFonts w:hint="eastAsia" w:ascii="宋体" w:hAnsi="宋体" w:cs="宋体"/>
                <w:color w:val="000000" w:themeColor="text1"/>
                <w:sz w:val="24"/>
                <w:szCs w:val="24"/>
                <w:lang w:val="zh-TW" w:eastAsia="zh-TW" w:bidi="zh-TW"/>
                <w14:textFill>
                  <w14:solidFill>
                    <w14:schemeClr w14:val="tx1"/>
                  </w14:solidFill>
                </w14:textFill>
              </w:rPr>
              <w:t>人指定的开户银行及账号如下：</w:t>
            </w:r>
          </w:p>
          <w:p w14:paraId="783FB76A">
            <w:pPr>
              <w:keepNext w:val="0"/>
              <w:keepLines w:val="0"/>
              <w:widowControl w:val="0"/>
              <w:shd w:val="clear" w:color="auto" w:fill="auto"/>
              <w:bidi w:val="0"/>
              <w:spacing w:before="0" w:after="0" w:line="360" w:lineRule="auto"/>
              <w:ind w:right="0"/>
              <w:jc w:val="both"/>
              <w:rPr>
                <w:rFonts w:hint="eastAsia" w:ascii="宋体" w:hAnsi="宋体" w:cs="宋体"/>
                <w:color w:val="000000" w:themeColor="text1"/>
                <w:sz w:val="24"/>
                <w:szCs w:val="24"/>
                <w:lang w:val="en-US" w:eastAsia="zh-CN" w:bidi="zh-TW"/>
                <w14:textFill>
                  <w14:solidFill>
                    <w14:schemeClr w14:val="tx1"/>
                  </w14:solidFill>
                </w14:textFill>
              </w:rPr>
            </w:pPr>
            <w:r>
              <w:rPr>
                <w:rFonts w:hint="eastAsia" w:ascii="宋体" w:hAnsi="宋体" w:cs="宋体"/>
                <w:color w:val="000000" w:themeColor="text1"/>
                <w:sz w:val="24"/>
                <w:szCs w:val="24"/>
                <w:lang w:val="zh-TW" w:eastAsia="zh-TW" w:bidi="zh-TW"/>
                <w14:textFill>
                  <w14:solidFill>
                    <w14:schemeClr w14:val="tx1"/>
                  </w14:solidFill>
                </w14:textFill>
              </w:rPr>
              <w:t>开户名称：</w:t>
            </w:r>
            <w:r>
              <w:rPr>
                <w:rFonts w:hint="eastAsia" w:ascii="宋体" w:hAnsi="宋体" w:cs="宋体"/>
                <w:color w:val="000000" w:themeColor="text1"/>
                <w:sz w:val="24"/>
                <w:szCs w:val="24"/>
                <w:lang w:val="en-US" w:eastAsia="zh-CN" w:bidi="zh-TW"/>
                <w14:textFill>
                  <w14:solidFill>
                    <w14:schemeClr w14:val="tx1"/>
                  </w14:solidFill>
                </w14:textFill>
              </w:rPr>
              <w:t>青海璇锴工程项目管理有限公司</w:t>
            </w:r>
          </w:p>
          <w:p w14:paraId="3F475915">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开户银行</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招商银行西宁分行</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 xml:space="preserve">  </w:t>
            </w:r>
          </w:p>
          <w:p w14:paraId="34807517">
            <w:pPr>
              <w:keepNext w:val="0"/>
              <w:keepLines w:val="0"/>
              <w:widowControl w:val="0"/>
              <w:shd w:val="clear" w:color="auto" w:fill="auto"/>
              <w:bidi w:val="0"/>
              <w:spacing w:before="0" w:after="0" w:line="360" w:lineRule="auto"/>
              <w:ind w:right="0"/>
              <w:jc w:val="both"/>
              <w:rPr>
                <w:rFonts w:hint="eastAsia" w:ascii="宋体" w:hAnsi="宋体" w:cs="宋体"/>
                <w:color w:val="000000" w:themeColor="text1"/>
                <w:sz w:val="24"/>
                <w:szCs w:val="24"/>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账    号：</w:t>
            </w: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972901136410402</w:t>
            </w:r>
          </w:p>
          <w:p w14:paraId="28DC8AAE">
            <w:pPr>
              <w:keepNext w:val="0"/>
              <w:keepLines w:val="0"/>
              <w:widowControl w:val="0"/>
              <w:shd w:val="clear" w:color="auto" w:fill="auto"/>
              <w:bidi w:val="0"/>
              <w:spacing w:before="0" w:after="0" w:line="360" w:lineRule="auto"/>
              <w:ind w:right="0"/>
              <w:jc w:val="both"/>
              <w:rPr>
                <w:rFonts w:hint="eastAsia" w:eastAsiaTheme="minorEastAsia"/>
                <w:color w:val="000000" w:themeColor="text1"/>
                <w:sz w:val="24"/>
                <w:szCs w:val="24"/>
                <w:lang w:val="zh-TW" w:eastAsia="zh-CN"/>
                <w14:textFill>
                  <w14:solidFill>
                    <w14:schemeClr w14:val="tx1"/>
                  </w14:solidFill>
                </w14:textFill>
              </w:rPr>
            </w:pPr>
            <w:r>
              <w:rPr>
                <w:rFonts w:hint="eastAsia" w:ascii="宋体" w:hAnsi="宋体" w:cs="宋体"/>
                <w:color w:val="000000" w:themeColor="text1"/>
                <w:sz w:val="24"/>
                <w:szCs w:val="24"/>
                <w:lang w:val="zh-TW" w:eastAsia="zh-TW" w:bidi="zh-TW"/>
                <w14:textFill>
                  <w14:solidFill>
                    <w14:schemeClr w14:val="tx1"/>
                  </w14:solidFill>
                </w14:textFill>
              </w:rPr>
              <w:t>（2）采用银行保函时：应当以支票、汇票、本票或者金融机构、担保机构出具的保函等非现金形式提交</w:t>
            </w:r>
            <w:r>
              <w:rPr>
                <w:rFonts w:hint="eastAsia" w:ascii="宋体" w:hAnsi="宋体" w:cs="宋体"/>
                <w:color w:val="000000" w:themeColor="text1"/>
                <w:sz w:val="24"/>
                <w:szCs w:val="24"/>
                <w:lang w:val="zh-TW" w:eastAsia="zh-CN" w:bidi="zh-TW"/>
                <w14:textFill>
                  <w14:solidFill>
                    <w14:schemeClr w14:val="tx1"/>
                  </w14:solidFill>
                </w14:textFill>
              </w:rPr>
              <w:t>。</w:t>
            </w:r>
          </w:p>
        </w:tc>
      </w:tr>
      <w:tr w14:paraId="7FC0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trPr>
        <w:tc>
          <w:tcPr>
            <w:tcW w:w="677" w:type="pct"/>
            <w:vAlign w:val="center"/>
          </w:tcPr>
          <w:p w14:paraId="06D34665">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3.4.2</w:t>
            </w:r>
          </w:p>
        </w:tc>
        <w:tc>
          <w:tcPr>
            <w:tcW w:w="1708" w:type="pct"/>
            <w:vAlign w:val="center"/>
          </w:tcPr>
          <w:p w14:paraId="70FFDD02">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退还响应保证金的时间</w:t>
            </w:r>
          </w:p>
        </w:tc>
        <w:tc>
          <w:tcPr>
            <w:tcW w:w="2614" w:type="pct"/>
            <w:vAlign w:val="center"/>
          </w:tcPr>
          <w:p w14:paraId="2FB61BAA">
            <w:pPr>
              <w:keepNext w:val="0"/>
              <w:keepLines w:val="0"/>
              <w:widowControl w:val="0"/>
              <w:shd w:val="clear" w:color="auto" w:fill="auto"/>
              <w:bidi w:val="0"/>
              <w:spacing w:before="0" w:after="0" w:line="360" w:lineRule="auto"/>
              <w:ind w:right="0"/>
              <w:jc w:val="both"/>
              <w:rPr>
                <w:rFonts w:hint="eastAsia" w:ascii="宋体" w:hAnsi="宋体" w:cs="宋体"/>
                <w:color w:val="000000" w:themeColor="text1"/>
                <w:sz w:val="24"/>
                <w:szCs w:val="24"/>
                <w:lang w:val="zh-TW" w:eastAsia="zh-TW" w:bidi="zh-TW"/>
                <w14:textFill>
                  <w14:solidFill>
                    <w14:schemeClr w14:val="tx1"/>
                  </w14:solidFill>
                </w14:textFill>
              </w:rPr>
            </w:pPr>
            <w:r>
              <w:rPr>
                <w:rFonts w:hint="eastAsia" w:ascii="宋体" w:hAnsi="宋体" w:cs="宋体"/>
                <w:color w:val="000000" w:themeColor="text1"/>
                <w:sz w:val="24"/>
                <w:szCs w:val="24"/>
                <w:lang w:val="zh-TW" w:eastAsia="zh-TW" w:bidi="zh-TW"/>
                <w14:textFill>
                  <w14:solidFill>
                    <w14:schemeClr w14:val="tx1"/>
                  </w14:solidFill>
                </w14:textFill>
              </w:rPr>
              <w:t>若</w:t>
            </w:r>
            <w:r>
              <w:rPr>
                <w:rFonts w:hint="eastAsia" w:ascii="宋体" w:hAnsi="宋体" w:cs="宋体"/>
                <w:color w:val="000000" w:themeColor="text1"/>
                <w:sz w:val="24"/>
                <w:szCs w:val="24"/>
                <w:lang w:val="zh-TW" w:eastAsia="zh-CN" w:bidi="zh-TW"/>
                <w14:textFill>
                  <w14:solidFill>
                    <w14:schemeClr w14:val="tx1"/>
                  </w14:solidFill>
                </w14:textFill>
              </w:rPr>
              <w:t>采购</w:t>
            </w:r>
            <w:r>
              <w:rPr>
                <w:rFonts w:hint="eastAsia" w:ascii="宋体" w:hAnsi="宋体" w:cs="宋体"/>
                <w:color w:val="000000" w:themeColor="text1"/>
                <w:sz w:val="24"/>
                <w:szCs w:val="24"/>
                <w:lang w:val="zh-TW" w:eastAsia="zh-TW" w:bidi="zh-TW"/>
                <w14:textFill>
                  <w14:solidFill>
                    <w14:schemeClr w14:val="tx1"/>
                  </w14:solidFill>
                </w14:textFill>
              </w:rPr>
              <w:t>人终止</w:t>
            </w:r>
            <w:r>
              <w:rPr>
                <w:rFonts w:hint="eastAsia" w:ascii="宋体" w:hAnsi="宋体" w:cs="宋体"/>
                <w:color w:val="000000" w:themeColor="text1"/>
                <w:sz w:val="24"/>
                <w:szCs w:val="24"/>
                <w:lang w:val="zh-TW" w:eastAsia="zh-CN" w:bidi="zh-TW"/>
                <w14:textFill>
                  <w14:solidFill>
                    <w14:schemeClr w14:val="tx1"/>
                  </w14:solidFill>
                </w14:textFill>
              </w:rPr>
              <w:t>询比采购</w:t>
            </w:r>
            <w:r>
              <w:rPr>
                <w:rFonts w:hint="eastAsia" w:ascii="宋体" w:hAnsi="宋体" w:cs="宋体"/>
                <w:color w:val="000000" w:themeColor="text1"/>
                <w:sz w:val="24"/>
                <w:szCs w:val="24"/>
                <w:lang w:val="zh-TW" w:eastAsia="zh-TW" w:bidi="zh-TW"/>
                <w14:textFill>
                  <w14:solidFill>
                    <w14:schemeClr w14:val="tx1"/>
                  </w14:solidFill>
                </w14:textFill>
              </w:rPr>
              <w:t>的，</w:t>
            </w:r>
            <w:r>
              <w:rPr>
                <w:rFonts w:hint="eastAsia" w:ascii="宋体" w:hAnsi="宋体" w:cs="宋体"/>
                <w:color w:val="000000" w:themeColor="text1"/>
                <w:sz w:val="24"/>
                <w:szCs w:val="24"/>
                <w:lang w:val="zh-TW" w:eastAsia="zh-CN" w:bidi="zh-TW"/>
                <w14:textFill>
                  <w14:solidFill>
                    <w14:schemeClr w14:val="tx1"/>
                  </w14:solidFill>
                </w14:textFill>
              </w:rPr>
              <w:t>采购</w:t>
            </w:r>
            <w:r>
              <w:rPr>
                <w:rFonts w:hint="eastAsia" w:ascii="宋体" w:hAnsi="宋体" w:cs="宋体"/>
                <w:color w:val="000000" w:themeColor="text1"/>
                <w:sz w:val="24"/>
                <w:szCs w:val="24"/>
                <w:lang w:val="zh-TW" w:eastAsia="zh-TW" w:bidi="zh-TW"/>
                <w14:textFill>
                  <w14:solidFill>
                    <w14:schemeClr w14:val="tx1"/>
                  </w14:solidFill>
                </w14:textFill>
              </w:rPr>
              <w:t>人应在</w:t>
            </w:r>
            <w:r>
              <w:rPr>
                <w:rFonts w:hint="eastAsia" w:ascii="宋体" w:hAnsi="宋体" w:cs="宋体"/>
                <w:color w:val="000000" w:themeColor="text1"/>
                <w:sz w:val="24"/>
                <w:szCs w:val="24"/>
                <w:lang w:val="zh-TW" w:eastAsia="zh-CN" w:bidi="zh-TW"/>
                <w14:textFill>
                  <w14:solidFill>
                    <w14:schemeClr w14:val="tx1"/>
                  </w14:solidFill>
                </w14:textFill>
              </w:rPr>
              <w:t>成交通知书</w:t>
            </w:r>
            <w:r>
              <w:rPr>
                <w:rFonts w:hint="eastAsia" w:ascii="宋体" w:hAnsi="宋体" w:cs="宋体"/>
                <w:color w:val="000000" w:themeColor="text1"/>
                <w:sz w:val="24"/>
                <w:szCs w:val="24"/>
                <w:lang w:val="zh-TW" w:eastAsia="zh-TW" w:bidi="zh-TW"/>
                <w14:textFill>
                  <w14:solidFill>
                    <w14:schemeClr w14:val="tx1"/>
                  </w14:solidFill>
                </w14:textFill>
              </w:rPr>
              <w:t>发布后5日内向所有</w:t>
            </w:r>
            <w:r>
              <w:rPr>
                <w:rFonts w:hint="eastAsia" w:ascii="宋体" w:hAnsi="宋体" w:cs="宋体"/>
                <w:color w:val="000000" w:themeColor="text1"/>
                <w:sz w:val="24"/>
                <w:szCs w:val="24"/>
                <w:lang w:val="zh-TW" w:eastAsia="zh-CN" w:bidi="zh-TW"/>
                <w14:textFill>
                  <w14:solidFill>
                    <w14:schemeClr w14:val="tx1"/>
                  </w14:solidFill>
                </w14:textFill>
              </w:rPr>
              <w:t>供应商</w:t>
            </w:r>
            <w:r>
              <w:rPr>
                <w:rFonts w:hint="eastAsia" w:ascii="宋体" w:hAnsi="宋体" w:cs="宋体"/>
                <w:color w:val="000000" w:themeColor="text1"/>
                <w:sz w:val="24"/>
                <w:szCs w:val="24"/>
                <w:lang w:val="zh-TW" w:eastAsia="zh-TW" w:bidi="zh-TW"/>
                <w14:textFill>
                  <w14:solidFill>
                    <w14:schemeClr w14:val="tx1"/>
                  </w14:solidFill>
                </w14:textFill>
              </w:rPr>
              <w:t>退还</w:t>
            </w:r>
            <w:r>
              <w:rPr>
                <w:rFonts w:hint="eastAsia" w:ascii="宋体" w:hAnsi="宋体" w:cs="宋体"/>
                <w:color w:val="000000" w:themeColor="text1"/>
                <w:sz w:val="24"/>
                <w:szCs w:val="24"/>
                <w:lang w:val="zh-TW" w:eastAsia="zh-CN" w:bidi="zh-TW"/>
                <w14:textFill>
                  <w14:solidFill>
                    <w14:schemeClr w14:val="tx1"/>
                  </w14:solidFill>
                </w14:textFill>
              </w:rPr>
              <w:t>响应</w:t>
            </w:r>
            <w:r>
              <w:rPr>
                <w:rFonts w:hint="eastAsia" w:ascii="宋体" w:hAnsi="宋体" w:cs="宋体"/>
                <w:color w:val="000000" w:themeColor="text1"/>
                <w:sz w:val="24"/>
                <w:szCs w:val="24"/>
                <w:lang w:val="zh-TW" w:eastAsia="zh-TW" w:bidi="zh-TW"/>
                <w14:textFill>
                  <w14:solidFill>
                    <w14:schemeClr w14:val="tx1"/>
                  </w14:solidFill>
                </w14:textFill>
              </w:rPr>
              <w:t>保证金。</w:t>
            </w:r>
          </w:p>
          <w:p w14:paraId="62464F60">
            <w:pPr>
              <w:keepNext w:val="0"/>
              <w:keepLines w:val="0"/>
              <w:widowControl w:val="0"/>
              <w:shd w:val="clear" w:color="auto" w:fill="auto"/>
              <w:bidi w:val="0"/>
              <w:spacing w:before="0" w:after="0" w:line="360" w:lineRule="auto"/>
              <w:ind w:right="0"/>
              <w:jc w:val="both"/>
              <w:rPr>
                <w:rFonts w:hint="eastAsia" w:ascii="宋体" w:hAnsi="宋体" w:cs="宋体"/>
                <w:color w:val="000000" w:themeColor="text1"/>
                <w:sz w:val="24"/>
                <w:szCs w:val="24"/>
                <w:lang w:val="zh-TW" w:eastAsia="zh-TW" w:bidi="zh-TW"/>
                <w14:textFill>
                  <w14:solidFill>
                    <w14:schemeClr w14:val="tx1"/>
                  </w14:solidFill>
                </w14:textFill>
              </w:rPr>
            </w:pPr>
            <w:r>
              <w:rPr>
                <w:rFonts w:hint="eastAsia" w:ascii="宋体" w:hAnsi="宋体" w:cs="宋体"/>
                <w:color w:val="000000" w:themeColor="text1"/>
                <w:sz w:val="24"/>
                <w:szCs w:val="24"/>
                <w:lang w:val="zh-TW" w:eastAsia="zh-CN" w:bidi="zh-TW"/>
                <w14:textFill>
                  <w14:solidFill>
                    <w14:schemeClr w14:val="tx1"/>
                  </w14:solidFill>
                </w14:textFill>
              </w:rPr>
              <w:t>响应</w:t>
            </w:r>
            <w:r>
              <w:rPr>
                <w:rFonts w:hint="eastAsia" w:ascii="宋体" w:hAnsi="宋体" w:cs="宋体"/>
                <w:color w:val="000000" w:themeColor="text1"/>
                <w:sz w:val="24"/>
                <w:szCs w:val="24"/>
                <w:lang w:val="zh-TW" w:eastAsia="zh-TW" w:bidi="zh-TW"/>
                <w14:textFill>
                  <w14:solidFill>
                    <w14:schemeClr w14:val="tx1"/>
                  </w14:solidFill>
                </w14:textFill>
              </w:rPr>
              <w:t xml:space="preserve">保证金退还： </w:t>
            </w:r>
          </w:p>
          <w:p w14:paraId="68EDE7C5">
            <w:pPr>
              <w:keepNext w:val="0"/>
              <w:keepLines w:val="0"/>
              <w:widowControl w:val="0"/>
              <w:shd w:val="clear" w:color="auto" w:fill="auto"/>
              <w:bidi w:val="0"/>
              <w:spacing w:before="0" w:after="0" w:line="360" w:lineRule="auto"/>
              <w:ind w:right="0"/>
              <w:jc w:val="both"/>
              <w:rPr>
                <w:rFonts w:hint="eastAsia" w:ascii="宋体" w:hAnsi="宋体" w:cs="宋体"/>
                <w:color w:val="000000" w:themeColor="text1"/>
                <w:sz w:val="24"/>
                <w:szCs w:val="24"/>
                <w:lang w:val="zh-TW" w:eastAsia="zh-TW" w:bidi="zh-TW"/>
                <w14:textFill>
                  <w14:solidFill>
                    <w14:schemeClr w14:val="tx1"/>
                  </w14:solidFill>
                </w14:textFill>
              </w:rPr>
            </w:pPr>
            <w:r>
              <w:rPr>
                <w:rFonts w:hint="eastAsia" w:ascii="宋体" w:hAnsi="宋体" w:cs="宋体"/>
                <w:color w:val="000000" w:themeColor="text1"/>
                <w:sz w:val="24"/>
                <w:szCs w:val="24"/>
                <w:lang w:val="zh-TW" w:eastAsia="zh-TW" w:bidi="zh-TW"/>
                <w14:textFill>
                  <w14:solidFill>
                    <w14:schemeClr w14:val="tx1"/>
                  </w14:solidFill>
                </w14:textFill>
              </w:rPr>
              <w:t>1、</w:t>
            </w:r>
            <w:r>
              <w:rPr>
                <w:rFonts w:hint="eastAsia" w:ascii="宋体" w:hAnsi="宋体" w:cs="宋体"/>
                <w:color w:val="000000" w:themeColor="text1"/>
                <w:sz w:val="24"/>
                <w:szCs w:val="24"/>
                <w:lang w:val="zh-TW" w:eastAsia="zh-CN" w:bidi="zh-TW"/>
                <w14:textFill>
                  <w14:solidFill>
                    <w14:schemeClr w14:val="tx1"/>
                  </w14:solidFill>
                </w14:textFill>
              </w:rPr>
              <w:t>询比采购</w:t>
            </w:r>
            <w:r>
              <w:rPr>
                <w:rFonts w:hint="eastAsia" w:ascii="宋体" w:hAnsi="宋体" w:cs="宋体"/>
                <w:color w:val="000000" w:themeColor="text1"/>
                <w:sz w:val="24"/>
                <w:szCs w:val="24"/>
                <w:lang w:val="zh-TW" w:eastAsia="zh-TW" w:bidi="zh-TW"/>
                <w14:textFill>
                  <w14:solidFill>
                    <w14:schemeClr w14:val="tx1"/>
                  </w14:solidFill>
                </w14:textFill>
              </w:rPr>
              <w:t>保函：</w:t>
            </w:r>
            <w:r>
              <w:rPr>
                <w:rFonts w:hint="eastAsia" w:ascii="宋体" w:hAnsi="宋体" w:cs="宋体"/>
                <w:color w:val="000000" w:themeColor="text1"/>
                <w:sz w:val="24"/>
                <w:szCs w:val="24"/>
                <w:lang w:val="zh-TW" w:eastAsia="zh-CN" w:bidi="zh-TW"/>
                <w14:textFill>
                  <w14:solidFill>
                    <w14:schemeClr w14:val="tx1"/>
                  </w14:solidFill>
                </w14:textFill>
              </w:rPr>
              <w:t>采购</w:t>
            </w:r>
            <w:r>
              <w:rPr>
                <w:rFonts w:hint="eastAsia" w:ascii="宋体" w:hAnsi="宋体" w:cs="宋体"/>
                <w:color w:val="000000" w:themeColor="text1"/>
                <w:sz w:val="24"/>
                <w:szCs w:val="24"/>
                <w:lang w:val="zh-TW" w:eastAsia="zh-TW" w:bidi="zh-TW"/>
                <w14:textFill>
                  <w14:solidFill>
                    <w14:schemeClr w14:val="tx1"/>
                  </w14:solidFill>
                </w14:textFill>
              </w:rPr>
              <w:t>人与</w:t>
            </w:r>
            <w:r>
              <w:rPr>
                <w:rFonts w:hint="eastAsia" w:ascii="宋体" w:hAnsi="宋体" w:cs="宋体"/>
                <w:color w:val="000000" w:themeColor="text1"/>
                <w:sz w:val="24"/>
                <w:szCs w:val="24"/>
                <w:lang w:val="zh-TW" w:eastAsia="zh-CN" w:bidi="zh-TW"/>
                <w14:textFill>
                  <w14:solidFill>
                    <w14:schemeClr w14:val="tx1"/>
                  </w14:solidFill>
                </w14:textFill>
              </w:rPr>
              <w:t>成交供应商</w:t>
            </w:r>
            <w:r>
              <w:rPr>
                <w:rFonts w:hint="eastAsia" w:ascii="宋体" w:hAnsi="宋体" w:cs="宋体"/>
                <w:color w:val="000000" w:themeColor="text1"/>
                <w:sz w:val="24"/>
                <w:szCs w:val="24"/>
                <w:lang w:val="zh-TW" w:eastAsia="zh-TW" w:bidi="zh-TW"/>
                <w14:textFill>
                  <w14:solidFill>
                    <w14:schemeClr w14:val="tx1"/>
                  </w14:solidFill>
                </w14:textFill>
              </w:rPr>
              <w:t xml:space="preserve">签订书面合同后5日内退还。 </w:t>
            </w:r>
          </w:p>
          <w:p w14:paraId="22552E67">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kern w:val="0"/>
                <w:position w:val="0"/>
                <w:sz w:val="24"/>
                <w:szCs w:val="24"/>
                <w:highlight w:val="none"/>
                <w:shd w:val="clear" w:color="auto" w:fill="auto"/>
                <w:lang w:val="zh-TW" w:eastAsia="zh-TW" w:bidi="en-US"/>
                <w14:textFill>
                  <w14:solidFill>
                    <w14:schemeClr w14:val="tx1"/>
                  </w14:solidFill>
                </w14:textFill>
              </w:rPr>
            </w:pPr>
            <w:r>
              <w:rPr>
                <w:rFonts w:hint="eastAsia" w:ascii="宋体" w:hAnsi="宋体" w:cs="宋体"/>
                <w:color w:val="000000" w:themeColor="text1"/>
                <w:sz w:val="24"/>
                <w:szCs w:val="24"/>
                <w:lang w:val="zh-TW" w:eastAsia="zh-TW" w:bidi="zh-TW"/>
                <w14:textFill>
                  <w14:solidFill>
                    <w14:schemeClr w14:val="tx1"/>
                  </w14:solidFill>
                </w14:textFill>
              </w:rPr>
              <w:t>2、通过银行转账的保证金：</w:t>
            </w:r>
            <w:r>
              <w:rPr>
                <w:rFonts w:hint="eastAsia" w:ascii="宋体" w:hAnsi="宋体" w:cs="宋体"/>
                <w:color w:val="000000" w:themeColor="text1"/>
                <w:sz w:val="24"/>
                <w:szCs w:val="24"/>
                <w:lang w:val="zh-TW" w:eastAsia="zh-CN" w:bidi="zh-TW"/>
                <w14:textFill>
                  <w14:solidFill>
                    <w14:schemeClr w14:val="tx1"/>
                  </w14:solidFill>
                </w14:textFill>
              </w:rPr>
              <w:t>采购</w:t>
            </w:r>
            <w:r>
              <w:rPr>
                <w:rFonts w:hint="eastAsia" w:ascii="宋体" w:hAnsi="宋体" w:cs="宋体"/>
                <w:color w:val="000000" w:themeColor="text1"/>
                <w:sz w:val="24"/>
                <w:szCs w:val="24"/>
                <w:lang w:val="zh-TW" w:eastAsia="zh-TW" w:bidi="zh-TW"/>
                <w14:textFill>
                  <w14:solidFill>
                    <w14:schemeClr w14:val="tx1"/>
                  </w14:solidFill>
                </w14:textFill>
              </w:rPr>
              <w:t>人与</w:t>
            </w:r>
            <w:r>
              <w:rPr>
                <w:rFonts w:hint="eastAsia" w:ascii="宋体" w:hAnsi="宋体" w:cs="宋体"/>
                <w:color w:val="000000" w:themeColor="text1"/>
                <w:sz w:val="24"/>
                <w:szCs w:val="24"/>
                <w:lang w:val="zh-TW" w:eastAsia="zh-CN" w:bidi="zh-TW"/>
                <w14:textFill>
                  <w14:solidFill>
                    <w14:schemeClr w14:val="tx1"/>
                  </w14:solidFill>
                </w14:textFill>
              </w:rPr>
              <w:t>成交供应商</w:t>
            </w:r>
            <w:r>
              <w:rPr>
                <w:rFonts w:hint="eastAsia" w:ascii="宋体" w:hAnsi="宋体" w:cs="宋体"/>
                <w:color w:val="000000" w:themeColor="text1"/>
                <w:sz w:val="24"/>
                <w:szCs w:val="24"/>
                <w:lang w:val="zh-TW" w:eastAsia="zh-TW" w:bidi="zh-TW"/>
                <w14:textFill>
                  <w14:solidFill>
                    <w14:schemeClr w14:val="tx1"/>
                  </w14:solidFill>
                </w14:textFill>
              </w:rPr>
              <w:t>签订书面合同后5日内退还</w:t>
            </w:r>
            <w:r>
              <w:rPr>
                <w:rFonts w:hint="eastAsia" w:ascii="宋体" w:hAnsi="宋体" w:cs="宋体"/>
                <w:color w:val="000000" w:themeColor="text1"/>
                <w:sz w:val="24"/>
                <w:szCs w:val="24"/>
                <w:lang w:val="zh-TW" w:eastAsia="zh-CN" w:bidi="zh-TW"/>
                <w14:textFill>
                  <w14:solidFill>
                    <w14:schemeClr w14:val="tx1"/>
                  </w14:solidFill>
                </w14:textFill>
              </w:rPr>
              <w:t>成交供应商</w:t>
            </w:r>
            <w:r>
              <w:rPr>
                <w:rFonts w:hint="eastAsia" w:ascii="宋体" w:hAnsi="宋体" w:cs="宋体"/>
                <w:color w:val="000000" w:themeColor="text1"/>
                <w:sz w:val="24"/>
                <w:szCs w:val="24"/>
                <w:lang w:val="zh-TW" w:eastAsia="zh-TW" w:bidi="zh-TW"/>
                <w14:textFill>
                  <w14:solidFill>
                    <w14:schemeClr w14:val="tx1"/>
                  </w14:solidFill>
                </w14:textFill>
              </w:rPr>
              <w:t>与未</w:t>
            </w:r>
            <w:r>
              <w:rPr>
                <w:rFonts w:hint="eastAsia" w:ascii="宋体" w:hAnsi="宋体" w:cs="宋体"/>
                <w:color w:val="000000" w:themeColor="text1"/>
                <w:sz w:val="24"/>
                <w:szCs w:val="24"/>
                <w:lang w:val="zh-TW" w:eastAsia="zh-CN" w:bidi="zh-TW"/>
                <w14:textFill>
                  <w14:solidFill>
                    <w14:schemeClr w14:val="tx1"/>
                  </w14:solidFill>
                </w14:textFill>
              </w:rPr>
              <w:t>成交供应商</w:t>
            </w:r>
            <w:r>
              <w:rPr>
                <w:rFonts w:hint="eastAsia" w:ascii="宋体" w:hAnsi="宋体" w:cs="宋体"/>
                <w:color w:val="000000" w:themeColor="text1"/>
                <w:sz w:val="24"/>
                <w:szCs w:val="24"/>
                <w:lang w:val="zh-TW" w:eastAsia="zh-TW" w:bidi="zh-TW"/>
                <w14:textFill>
                  <w14:solidFill>
                    <w14:schemeClr w14:val="tx1"/>
                  </w14:solidFill>
                </w14:textFill>
              </w:rPr>
              <w:t>本金及银行同期利息</w:t>
            </w:r>
            <w:r>
              <w:rPr>
                <w:rFonts w:hint="eastAsia" w:ascii="宋体" w:hAnsi="宋体" w:cs="宋体"/>
                <w:color w:val="000000" w:themeColor="text1"/>
                <w:sz w:val="24"/>
                <w:szCs w:val="24"/>
                <w:lang w:val="zh-TW" w:eastAsia="zh-CN" w:bidi="zh-TW"/>
                <w14:textFill>
                  <w14:solidFill>
                    <w14:schemeClr w14:val="tx1"/>
                  </w14:solidFill>
                </w14:textFill>
              </w:rPr>
              <w:t>。</w:t>
            </w:r>
            <w:r>
              <w:rPr>
                <w:rFonts w:hint="eastAsia" w:ascii="宋体" w:hAnsi="宋体" w:cs="宋体"/>
                <w:color w:val="000000" w:themeColor="text1"/>
                <w:sz w:val="24"/>
                <w:szCs w:val="24"/>
                <w:lang w:val="zh-TW" w:eastAsia="zh-TW" w:bidi="zh-TW"/>
                <w14:textFill>
                  <w14:solidFill>
                    <w14:schemeClr w14:val="tx1"/>
                  </w14:solidFill>
                </w14:textFill>
              </w:rPr>
              <w:t xml:space="preserve"> </w:t>
            </w:r>
          </w:p>
        </w:tc>
      </w:tr>
      <w:tr w14:paraId="3EAF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502BE991">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3.4.3</w:t>
            </w:r>
          </w:p>
        </w:tc>
        <w:tc>
          <w:tcPr>
            <w:tcW w:w="1708" w:type="pct"/>
            <w:vAlign w:val="center"/>
          </w:tcPr>
          <w:p w14:paraId="5B17CB3D">
            <w:pPr>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auto"/>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不退还响应保证金的其他情形</w:t>
            </w:r>
          </w:p>
        </w:tc>
        <w:tc>
          <w:tcPr>
            <w:tcW w:w="2614" w:type="pct"/>
            <w:vAlign w:val="center"/>
          </w:tcPr>
          <w:p w14:paraId="4A48FCA6">
            <w:pPr>
              <w:keepNext w:val="0"/>
              <w:keepLines w:val="0"/>
              <w:widowControl w:val="0"/>
              <w:numPr>
                <w:ilvl w:val="0"/>
                <w:numId w:val="0"/>
              </w:numPr>
              <w:shd w:val="clear" w:color="auto" w:fill="auto"/>
              <w:bidi w:val="0"/>
              <w:spacing w:before="0" w:after="0" w:line="360" w:lineRule="auto"/>
              <w:ind w:leftChars="0" w:right="0" w:rightChars="0"/>
              <w:jc w:val="both"/>
              <w:rPr>
                <w:rFonts w:hint="eastAsia" w:ascii="宋体" w:hAnsi="宋体" w:eastAsia="宋体" w:cs="宋体"/>
                <w:color w:val="000000" w:themeColor="text1"/>
                <w:spacing w:val="0"/>
                <w:w w:val="100"/>
                <w:kern w:val="0"/>
                <w:position w:val="0"/>
                <w:sz w:val="24"/>
                <w:szCs w:val="24"/>
                <w:highlight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kern w:val="0"/>
                <w:position w:val="0"/>
                <w:sz w:val="24"/>
                <w:szCs w:val="24"/>
                <w:highlight w:val="none"/>
                <w:shd w:val="clear" w:color="auto" w:fill="auto"/>
                <w:lang w:val="zh-TW" w:eastAsia="zh-TW" w:bidi="en-US"/>
                <w14:textFill>
                  <w14:solidFill>
                    <w14:schemeClr w14:val="tx1"/>
                  </w14:solidFill>
                </w14:textFill>
              </w:rPr>
              <w:t>(1)供应商在响应文件有效期内撤销响应文件;</w:t>
            </w:r>
          </w:p>
          <w:p w14:paraId="15A778CA">
            <w:pPr>
              <w:keepNext w:val="0"/>
              <w:keepLines w:val="0"/>
              <w:widowControl w:val="0"/>
              <w:numPr>
                <w:ilvl w:val="0"/>
                <w:numId w:val="0"/>
              </w:numPr>
              <w:shd w:val="clear" w:color="auto" w:fill="auto"/>
              <w:bidi w:val="0"/>
              <w:spacing w:before="0" w:after="0" w:line="360" w:lineRule="auto"/>
              <w:ind w:leftChars="0" w:right="0" w:rightChars="0"/>
              <w:jc w:val="both"/>
              <w:rPr>
                <w:rFonts w:hint="eastAsia" w:ascii="宋体" w:hAnsi="宋体" w:eastAsia="宋体" w:cs="宋体"/>
                <w:color w:val="000000" w:themeColor="text1"/>
                <w:spacing w:val="0"/>
                <w:w w:val="100"/>
                <w:kern w:val="0"/>
                <w:position w:val="0"/>
                <w:sz w:val="24"/>
                <w:szCs w:val="24"/>
                <w:highlight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kern w:val="0"/>
                <w:position w:val="0"/>
                <w:sz w:val="24"/>
                <w:szCs w:val="24"/>
                <w:highlight w:val="none"/>
                <w:shd w:val="clear" w:color="auto" w:fill="auto"/>
                <w:lang w:val="zh-TW" w:eastAsia="zh-TW" w:bidi="en-US"/>
                <w14:textFill>
                  <w14:solidFill>
                    <w14:schemeClr w14:val="tx1"/>
                  </w14:solidFill>
                </w14:textFill>
              </w:rPr>
              <w:t>(2)成交供应商在收到成交通知书后，无正当理由不与采购人订立合同，在签订合同时向采购人提出附加条件，或者不按照采购文件要求递交履约保证金;</w:t>
            </w:r>
          </w:p>
          <w:p w14:paraId="34034CB1">
            <w:pPr>
              <w:keepNext w:val="0"/>
              <w:keepLines w:val="0"/>
              <w:widowControl w:val="0"/>
              <w:numPr>
                <w:ilvl w:val="0"/>
                <w:numId w:val="0"/>
              </w:numPr>
              <w:shd w:val="clear" w:color="auto" w:fill="auto"/>
              <w:bidi w:val="0"/>
              <w:spacing w:before="0" w:after="0" w:line="360" w:lineRule="auto"/>
              <w:ind w:leftChars="0" w:right="0" w:rightChars="0"/>
              <w:jc w:val="both"/>
              <w:rPr>
                <w:rFonts w:hint="eastAsia" w:ascii="宋体" w:hAnsi="宋体" w:eastAsia="宋体" w:cs="宋体"/>
                <w:color w:val="000000" w:themeColor="text1"/>
                <w:spacing w:val="0"/>
                <w:w w:val="100"/>
                <w:kern w:val="0"/>
                <w:position w:val="0"/>
                <w:sz w:val="24"/>
                <w:szCs w:val="24"/>
                <w:highlight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kern w:val="0"/>
                <w:position w:val="0"/>
                <w:sz w:val="24"/>
                <w:szCs w:val="24"/>
                <w:highlight w:val="none"/>
                <w:shd w:val="clear" w:color="auto" w:fill="auto"/>
                <w:lang w:val="zh-TW" w:eastAsia="zh-TW" w:bidi="en-US"/>
                <w14:textFill>
                  <w14:solidFill>
                    <w14:schemeClr w14:val="tx1"/>
                  </w14:solidFill>
                </w14:textFill>
              </w:rPr>
              <w:t>(3)发生供应商须知前附表规定的其他不予退还响应保证金的情形。</w:t>
            </w:r>
          </w:p>
        </w:tc>
      </w:tr>
      <w:tr w14:paraId="7840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677" w:type="pct"/>
            <w:vAlign w:val="center"/>
          </w:tcPr>
          <w:p w14:paraId="45BF95B3">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3.5</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(1)</w:t>
            </w:r>
          </w:p>
        </w:tc>
        <w:tc>
          <w:tcPr>
            <w:tcW w:w="1708" w:type="pct"/>
            <w:vAlign w:val="center"/>
          </w:tcPr>
          <w:p w14:paraId="672E22DC">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依法设立的证明材料</w:t>
            </w:r>
          </w:p>
        </w:tc>
        <w:tc>
          <w:tcPr>
            <w:tcW w:w="2614" w:type="pct"/>
            <w:vAlign w:val="center"/>
          </w:tcPr>
          <w:p w14:paraId="057A8231">
            <w:pPr>
              <w:keepNext w:val="0"/>
              <w:keepLines w:val="0"/>
              <w:widowControl w:val="0"/>
              <w:shd w:val="clear" w:color="auto" w:fill="auto"/>
              <w:bidi w:val="0"/>
              <w:spacing w:before="0" w:after="0" w:line="360" w:lineRule="auto"/>
              <w:ind w:right="0" w:rightChars="0"/>
              <w:jc w:val="both"/>
              <w:rPr>
                <w:rFonts w:hint="eastAsia" w:ascii="宋体" w:hAnsi="宋体" w:cs="宋体" w:eastAsiaTheme="minorEastAsia"/>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pPr>
            <w:r>
              <w:rPr>
                <w:rFonts w:hint="eastAsia" w:ascii="宋体" w:hAnsi="宋体" w:cs="宋体"/>
                <w:b w:val="0"/>
                <w:bCs/>
                <w:color w:val="000000" w:themeColor="text1"/>
                <w:kern w:val="1"/>
                <w:sz w:val="24"/>
                <w:szCs w:val="24"/>
                <w:highlight w:val="none"/>
                <w:lang w:eastAsia="zh-CN"/>
                <w14:textFill>
                  <w14:solidFill>
                    <w14:schemeClr w14:val="tx1"/>
                  </w14:solidFill>
                </w14:textFill>
              </w:rPr>
              <w:t>供应商</w:t>
            </w:r>
            <w:r>
              <w:rPr>
                <w:rFonts w:hint="eastAsia" w:ascii="宋体" w:hAnsi="宋体" w:cs="宋体"/>
                <w:b w:val="0"/>
                <w:bCs/>
                <w:color w:val="000000" w:themeColor="text1"/>
                <w:kern w:val="1"/>
                <w:sz w:val="24"/>
                <w:szCs w:val="24"/>
                <w:highlight w:val="none"/>
                <w14:textFill>
                  <w14:solidFill>
                    <w14:schemeClr w14:val="tx1"/>
                  </w14:solidFill>
                </w14:textFill>
              </w:rPr>
              <w:t>必须具有合法有效的营业执照</w:t>
            </w:r>
          </w:p>
        </w:tc>
      </w:tr>
      <w:tr w14:paraId="6AE7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1" w:hRule="atLeast"/>
        </w:trPr>
        <w:tc>
          <w:tcPr>
            <w:tcW w:w="677" w:type="pct"/>
            <w:vAlign w:val="center"/>
          </w:tcPr>
          <w:p w14:paraId="176F7670">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3.5</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(2)</w:t>
            </w:r>
          </w:p>
        </w:tc>
        <w:tc>
          <w:tcPr>
            <w:tcW w:w="1708" w:type="pct"/>
            <w:vAlign w:val="center"/>
          </w:tcPr>
          <w:p w14:paraId="4D8D0312">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资质要求证明材料</w:t>
            </w:r>
          </w:p>
        </w:tc>
        <w:tc>
          <w:tcPr>
            <w:tcW w:w="2614" w:type="pct"/>
            <w:vAlign w:val="center"/>
          </w:tcPr>
          <w:p w14:paraId="362806B4">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不适用</w:t>
            </w:r>
          </w:p>
          <w:p w14:paraId="3DD83F96">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适用。</w:t>
            </w:r>
          </w:p>
          <w:p w14:paraId="1537DBCD">
            <w:pPr>
              <w:keepNext w:val="0"/>
              <w:keepLines w:val="0"/>
              <w:widowControl w:val="0"/>
              <w:shd w:val="clear" w:color="auto" w:fill="auto"/>
              <w:tabs>
                <w:tab w:val="left" w:leader="underscore" w:pos="4687"/>
              </w:tabs>
              <w:bidi w:val="0"/>
              <w:spacing w:before="0" w:after="0" w:line="360" w:lineRule="auto"/>
              <w:ind w:right="0" w:rightChars="0"/>
              <w:jc w:val="both"/>
              <w:rPr>
                <w:rFonts w:hint="default" w:ascii="宋体" w:hAnsi="宋体" w:cs="宋体" w:eastAsiaTheme="minorEastAsia"/>
                <w:color w:val="000000" w:themeColor="text1"/>
                <w:sz w:val="24"/>
                <w:szCs w:val="24"/>
                <w:lang w:val="en-US" w:eastAsia="zh-CN" w:bidi="zh-TW"/>
                <w14:textFill>
                  <w14:solidFill>
                    <w14:schemeClr w14:val="tx1"/>
                  </w14:solidFill>
                </w14:textFill>
              </w:rPr>
            </w:pPr>
            <w:r>
              <w:rPr>
                <w:rFonts w:hint="eastAsia" w:ascii="宋体" w:hAnsi="宋体" w:cs="宋体"/>
                <w:color w:val="000000" w:themeColor="text1"/>
                <w:sz w:val="24"/>
                <w:szCs w:val="24"/>
                <w:lang w:val="en-US" w:eastAsia="zh-CN" w:bidi="zh-TW"/>
                <w14:textFill>
                  <w14:solidFill>
                    <w14:schemeClr w14:val="tx1"/>
                  </w14:solidFill>
                </w14:textFill>
              </w:rPr>
              <w:t>供应商应提供相关资质证书副本的复印件，以证明供应商具有承担本项目要求的资质</w:t>
            </w:r>
          </w:p>
          <w:p w14:paraId="49F896CB">
            <w:pPr>
              <w:keepNext w:val="0"/>
              <w:keepLines w:val="0"/>
              <w:widowControl w:val="0"/>
              <w:shd w:val="clear" w:color="auto" w:fill="auto"/>
              <w:tabs>
                <w:tab w:val="left" w:leader="underscore" w:pos="4687"/>
              </w:tabs>
              <w:bidi w:val="0"/>
              <w:spacing w:before="0" w:after="0" w:line="360" w:lineRule="auto"/>
              <w:ind w:right="0" w:rightChars="0"/>
              <w:jc w:val="both"/>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cs="宋体"/>
                <w:color w:val="000000" w:themeColor="text1"/>
                <w:sz w:val="24"/>
                <w:szCs w:val="24"/>
                <w:lang w:val="en-US" w:eastAsia="zh-CN" w:bidi="zh-TW"/>
                <w14:textFill>
                  <w14:solidFill>
                    <w14:schemeClr w14:val="tx1"/>
                  </w14:solidFill>
                </w14:textFill>
              </w:rPr>
              <w:t>资质证书包括：</w:t>
            </w:r>
            <w:r>
              <w:rPr>
                <w:rFonts w:hint="eastAsia" w:ascii="宋体" w:hAnsi="宋体" w:cs="宋体"/>
                <w:color w:val="auto"/>
                <w:sz w:val="24"/>
                <w:szCs w:val="24"/>
                <w:lang w:val="en-US" w:eastAsia="zh-CN" w:bidi="zh-TW"/>
              </w:rPr>
              <w:t>本次采购要求投标人须具备[建筑工程·建筑工程三级](含)以上资质，并在人员、设备、资金等方面具有相应的施工能力。</w:t>
            </w:r>
          </w:p>
        </w:tc>
      </w:tr>
      <w:tr w14:paraId="5CA9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677" w:type="pct"/>
            <w:vAlign w:val="center"/>
          </w:tcPr>
          <w:p w14:paraId="5640E2EA">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3.5</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(3)</w:t>
            </w:r>
          </w:p>
        </w:tc>
        <w:tc>
          <w:tcPr>
            <w:tcW w:w="1708" w:type="pct"/>
            <w:vAlign w:val="center"/>
          </w:tcPr>
          <w:p w14:paraId="4A923EBF">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财务要求证明材料</w:t>
            </w:r>
          </w:p>
        </w:tc>
        <w:tc>
          <w:tcPr>
            <w:tcW w:w="2614" w:type="pct"/>
            <w:vAlign w:val="center"/>
          </w:tcPr>
          <w:p w14:paraId="45641090">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不适用</w:t>
            </w:r>
          </w:p>
          <w:p w14:paraId="6DD8DB4B">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适用。供应商应提供经会计师事务所或审计机构审计的近年财务会计报</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告</w:t>
            </w: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复印件包括资产负债表、现金流量表、利润表</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和财务报表附注</w:t>
            </w: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等</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或企业报表</w:t>
            </w: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。近年财务会计报表年份是指：</w:t>
            </w:r>
            <w:r>
              <w:rPr>
                <w:rFonts w:hint="eastAsia" w:ascii="宋体" w:hAnsi="宋体" w:eastAsia="宋体" w:cs="宋体"/>
                <w:color w:val="000000" w:themeColor="text1"/>
                <w:spacing w:val="0"/>
                <w:w w:val="100"/>
                <w:position w:val="0"/>
                <w:sz w:val="24"/>
                <w:szCs w:val="24"/>
                <w:u w:val="single"/>
                <w:shd w:val="clear" w:color="auto" w:fill="auto"/>
                <w:lang w:val="en-US" w:eastAsia="zh-CN" w:bidi="zh-TW"/>
                <w14:textFill>
                  <w14:solidFill>
                    <w14:schemeClr w14:val="tx1"/>
                  </w14:solidFill>
                </w14:textFill>
              </w:rPr>
              <w:t>2024</w:t>
            </w: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年</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度或</w:t>
            </w:r>
            <w:r>
              <w:rPr>
                <w:rFonts w:hint="eastAsia" w:ascii="宋体" w:hAnsi="宋体" w:eastAsia="宋体" w:cs="宋体"/>
                <w:color w:val="000000" w:themeColor="text1"/>
                <w:spacing w:val="0"/>
                <w:w w:val="100"/>
                <w:position w:val="0"/>
                <w:sz w:val="24"/>
                <w:szCs w:val="24"/>
                <w:u w:val="single"/>
                <w:shd w:val="clear" w:color="auto" w:fill="auto"/>
                <w:lang w:val="en-US" w:eastAsia="zh-CN" w:bidi="zh-TW"/>
                <w14:textFill>
                  <w14:solidFill>
                    <w14:schemeClr w14:val="tx1"/>
                  </w14:solidFill>
                </w14:textFill>
              </w:rPr>
              <w:t>2025</w:t>
            </w:r>
            <w:r>
              <w:rPr>
                <w:rFonts w:hint="eastAsia" w:ascii="宋体" w:hAnsi="宋体" w:eastAsia="宋体" w:cs="宋体"/>
                <w:color w:val="000000" w:themeColor="text1"/>
                <w:spacing w:val="0"/>
                <w:w w:val="100"/>
                <w:position w:val="0"/>
                <w:sz w:val="24"/>
                <w:szCs w:val="24"/>
                <w:u w:val="none"/>
                <w:shd w:val="clear" w:color="auto" w:fill="auto"/>
                <w:lang w:val="en-US" w:eastAsia="zh-CN" w:bidi="zh-TW"/>
                <w14:textFill>
                  <w14:solidFill>
                    <w14:schemeClr w14:val="tx1"/>
                  </w14:solidFill>
                </w14:textFill>
              </w:rPr>
              <w:t>年度</w:t>
            </w: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（供应商的成立时间少于该规定年份的，应提供成立以来的财务会计报表）</w:t>
            </w:r>
          </w:p>
          <w:p w14:paraId="661C1344">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u w:val="none"/>
                <w:shd w:val="clear" w:color="auto" w:fill="auto"/>
                <w:lang w:val="zh-TW" w:eastAsia="zh-TW" w:bidi="zh-TW"/>
                <w14:textFill>
                  <w14:solidFill>
                    <w14:schemeClr w14:val="tx1"/>
                  </w14:solidFill>
                </w14:textFill>
              </w:rPr>
              <w:t>（注：有财务要求的，应选择两种财务会计报表中的一种作为财务证明资料。）</w:t>
            </w:r>
          </w:p>
        </w:tc>
      </w:tr>
      <w:tr w14:paraId="23B1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1B5E3F82">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en-US"/>
                <w14:textFill>
                  <w14:solidFill>
                    <w14:schemeClr w14:val="tx1"/>
                  </w14:solidFill>
                </w14:textFill>
              </w:rPr>
              <w:t>3.5（4）</w:t>
            </w:r>
          </w:p>
        </w:tc>
        <w:tc>
          <w:tcPr>
            <w:tcW w:w="1708" w:type="pct"/>
            <w:vAlign w:val="center"/>
          </w:tcPr>
          <w:p w14:paraId="3FE29884">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业绩</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要求证明材料</w:t>
            </w:r>
          </w:p>
        </w:tc>
        <w:tc>
          <w:tcPr>
            <w:tcW w:w="2614" w:type="pct"/>
            <w:vAlign w:val="center"/>
          </w:tcPr>
          <w:p w14:paraId="3FFBFA78">
            <w:pPr>
              <w:keepNext w:val="0"/>
              <w:keepLines w:val="0"/>
              <w:widowControl w:val="0"/>
              <w:shd w:val="clear" w:color="auto" w:fill="auto"/>
              <w:bidi w:val="0"/>
              <w:spacing w:before="0" w:after="0" w:line="360" w:lineRule="auto"/>
              <w:ind w:right="0"/>
              <w:jc w:val="left"/>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不适用</w:t>
            </w:r>
          </w:p>
          <w:p w14:paraId="5F5DD3A6">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适用。</w:t>
            </w:r>
          </w:p>
          <w:p w14:paraId="026F03DE">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供应商应提供近年的类似项目情况表（格式见第六章“响应文件格式”七、资格审查资料（三）近年的类似</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项目</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情况表）。</w:t>
            </w:r>
          </w:p>
          <w:p w14:paraId="4BE3177E">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近年是指：</w:t>
            </w:r>
            <w:r>
              <w:rPr>
                <w:rFonts w:hint="eastAsia" w:ascii="宋体" w:hAnsi="宋体" w:eastAsia="宋体" w:cs="宋体"/>
                <w:color w:val="auto"/>
                <w:spacing w:val="0"/>
                <w:w w:val="100"/>
                <w:kern w:val="2"/>
                <w:position w:val="0"/>
                <w:sz w:val="24"/>
                <w:szCs w:val="24"/>
                <w:highlight w:val="none"/>
                <w:u w:val="none"/>
                <w:shd w:val="clear" w:color="auto" w:fill="auto"/>
                <w:lang w:val="zh-TW" w:eastAsia="zh-TW" w:bidi="zh-TW"/>
              </w:rPr>
              <w:t>20</w:t>
            </w:r>
            <w:r>
              <w:rPr>
                <w:rFonts w:hint="eastAsia" w:ascii="宋体" w:hAnsi="宋体" w:eastAsia="宋体" w:cs="宋体"/>
                <w:color w:val="auto"/>
                <w:spacing w:val="0"/>
                <w:w w:val="100"/>
                <w:kern w:val="2"/>
                <w:position w:val="0"/>
                <w:sz w:val="24"/>
                <w:szCs w:val="24"/>
                <w:highlight w:val="none"/>
                <w:u w:val="none"/>
                <w:shd w:val="clear" w:color="auto" w:fill="auto"/>
                <w:lang w:val="en-US" w:eastAsia="zh-CN" w:bidi="zh-TW"/>
              </w:rPr>
              <w:t>23</w:t>
            </w:r>
            <w:r>
              <w:rPr>
                <w:rFonts w:hint="eastAsia" w:ascii="宋体" w:hAnsi="宋体" w:eastAsia="宋体" w:cs="宋体"/>
                <w:color w:val="auto"/>
                <w:spacing w:val="0"/>
                <w:w w:val="100"/>
                <w:kern w:val="2"/>
                <w:position w:val="0"/>
                <w:sz w:val="24"/>
                <w:szCs w:val="24"/>
                <w:highlight w:val="none"/>
                <w:u w:val="none"/>
                <w:shd w:val="clear" w:color="auto" w:fill="auto"/>
                <w:lang w:val="zh-TW" w:eastAsia="zh-TW" w:bidi="zh-TW"/>
              </w:rPr>
              <w:t>年</w:t>
            </w:r>
            <w:r>
              <w:rPr>
                <w:rFonts w:hint="eastAsia" w:ascii="宋体" w:hAnsi="宋体" w:eastAsia="宋体" w:cs="宋体"/>
                <w:color w:val="auto"/>
                <w:spacing w:val="0"/>
                <w:w w:val="100"/>
                <w:kern w:val="2"/>
                <w:position w:val="0"/>
                <w:sz w:val="24"/>
                <w:szCs w:val="24"/>
                <w:highlight w:val="none"/>
                <w:u w:val="none"/>
                <w:shd w:val="clear" w:color="auto" w:fill="auto"/>
                <w:lang w:val="en-US" w:eastAsia="zh-CN" w:bidi="zh-TW"/>
              </w:rPr>
              <w:t>以来的</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询比采购截止日</w:t>
            </w:r>
          </w:p>
          <w:p w14:paraId="7F371941">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业绩证明材料：</w:t>
            </w:r>
          </w:p>
          <w:p w14:paraId="403CC98E">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t>合同</w:t>
            </w:r>
          </w:p>
          <w:p w14:paraId="47983FC2">
            <w:pPr>
              <w:keepNext w:val="0"/>
              <w:keepLines w:val="0"/>
              <w:widowControl w:val="0"/>
              <w:shd w:val="clear" w:color="auto" w:fill="auto"/>
              <w:bidi w:val="0"/>
              <w:spacing w:before="0" w:after="0" w:line="360" w:lineRule="auto"/>
              <w:ind w:right="0"/>
              <w:jc w:val="both"/>
              <w:rPr>
                <w:rFonts w:hint="default" w:ascii="宋体" w:hAnsi="宋体" w:eastAsia="宋体" w:cs="宋体"/>
                <w:color w:val="000000" w:themeColor="text1"/>
                <w:spacing w:val="0"/>
                <w:w w:val="100"/>
                <w:kern w:val="2"/>
                <w:position w:val="0"/>
                <w:sz w:val="24"/>
                <w:szCs w:val="24"/>
                <w:highlight w:val="none"/>
                <w:u w:val="singl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t>中标</w:t>
            </w: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single"/>
                <w:shd w:val="clear" w:color="auto" w:fill="auto"/>
                <w:lang w:val="en-US" w:eastAsia="zh-CN" w:bidi="zh-TW"/>
                <w14:textFill>
                  <w14:solidFill>
                    <w14:schemeClr w14:val="tx1"/>
                  </w14:solidFill>
                </w14:textFill>
              </w:rPr>
              <w:t>成交）</w:t>
            </w: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t>通知书</w:t>
            </w:r>
          </w:p>
          <w:p w14:paraId="28FE1D88">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CN" w:bidi="zh-TW"/>
                <w14:textFill>
                  <w14:solidFill>
                    <w14:schemeClr w14:val="tx1"/>
                  </w14:solidFill>
                </w14:textFill>
              </w:rPr>
              <w:t>□竣工验收备案表</w:t>
            </w:r>
          </w:p>
          <w:p w14:paraId="366E92E4">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t>业主证明（如有）</w:t>
            </w:r>
          </w:p>
          <w:p w14:paraId="0309357C">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t xml:space="preserve">□其他材料： / </w:t>
            </w:r>
          </w:p>
          <w:p w14:paraId="320989F1">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t>业绩证明材料种类要求：</w:t>
            </w:r>
          </w:p>
          <w:p w14:paraId="38A064D0">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t xml:space="preserve">提供上述勾选的任一项证明材料即可； </w:t>
            </w:r>
          </w:p>
          <w:p w14:paraId="474850A8">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t>需同时提供上述勾选的所有证明材料；</w:t>
            </w:r>
          </w:p>
          <w:p w14:paraId="58BC4D0F">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t>其他要求：业绩证明材料</w:t>
            </w:r>
            <w:r>
              <w:rPr>
                <w:rFonts w:hint="eastAsia" w:ascii="宋体" w:hAnsi="宋体" w:eastAsia="宋体" w:cs="宋体"/>
                <w:color w:val="000000" w:themeColor="text1"/>
                <w:spacing w:val="0"/>
                <w:w w:val="100"/>
                <w:kern w:val="2"/>
                <w:position w:val="0"/>
                <w:sz w:val="24"/>
                <w:szCs w:val="24"/>
                <w:highlight w:val="none"/>
                <w:u w:val="single"/>
                <w:shd w:val="clear" w:color="auto" w:fill="auto"/>
                <w:lang w:val="en-US" w:eastAsia="zh-CN" w:bidi="zh-TW"/>
                <w14:textFill>
                  <w14:solidFill>
                    <w14:schemeClr w14:val="tx1"/>
                  </w14:solidFill>
                </w14:textFill>
              </w:rPr>
              <w:t>以中标通知书或合同协议书、竣(交)工验收证明材料为准。</w:t>
            </w:r>
          </w:p>
        </w:tc>
      </w:tr>
      <w:tr w14:paraId="567B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677" w:type="pct"/>
            <w:vAlign w:val="center"/>
          </w:tcPr>
          <w:p w14:paraId="117C8980">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3.5</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(5)</w:t>
            </w:r>
          </w:p>
        </w:tc>
        <w:tc>
          <w:tcPr>
            <w:tcW w:w="1708" w:type="pct"/>
            <w:vAlign w:val="center"/>
          </w:tcPr>
          <w:p w14:paraId="6FF88F80">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信誉要求证明材料</w:t>
            </w:r>
          </w:p>
        </w:tc>
        <w:tc>
          <w:tcPr>
            <w:tcW w:w="2614" w:type="pct"/>
            <w:vAlign w:val="center"/>
          </w:tcPr>
          <w:p w14:paraId="707CDC87">
            <w:pPr>
              <w:keepNext w:val="0"/>
              <w:keepLines w:val="0"/>
              <w:widowControl w:val="0"/>
              <w:shd w:val="clear" w:color="auto" w:fill="auto"/>
              <w:bidi w:val="0"/>
              <w:spacing w:before="0" w:after="0" w:line="360" w:lineRule="auto"/>
              <w:ind w:right="0"/>
              <w:jc w:val="both"/>
              <w:rPr>
                <w:rFonts w:hint="eastAsia"/>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color w:val="000000" w:themeColor="text1"/>
                <w:sz w:val="24"/>
                <w:szCs w:val="24"/>
                <w:lang w:val="zh-TW" w:eastAsia="zh-TW"/>
                <w14:textFill>
                  <w14:solidFill>
                    <w14:schemeClr w14:val="tx1"/>
                  </w14:solidFill>
                </w14:textFill>
              </w:rPr>
              <w:t>不适用</w:t>
            </w:r>
          </w:p>
          <w:p w14:paraId="29D00070">
            <w:pPr>
              <w:keepNext w:val="0"/>
              <w:keepLines/>
              <w:pageBreakBefore w:val="0"/>
              <w:widowControl w:val="0"/>
              <w:numPr>
                <w:ilvl w:val="0"/>
                <w:numId w:val="0"/>
              </w:numPr>
              <w:shd w:val="clear" w:color="auto" w:fill="auto"/>
              <w:tabs>
                <w:tab w:val="left" w:pos="930"/>
                <w:tab w:val="left" w:pos="8958"/>
              </w:tabs>
              <w:kinsoku/>
              <w:wordWrap w:val="0"/>
              <w:overflowPunct/>
              <w:topLinePunct/>
              <w:autoSpaceDE/>
              <w:autoSpaceDN/>
              <w:bidi w:val="0"/>
              <w:adjustRightInd w:val="0"/>
              <w:snapToGrid w:val="0"/>
              <w:spacing w:before="0" w:after="0" w:line="360" w:lineRule="auto"/>
              <w:ind w:right="0" w:rightChars="0"/>
              <w:jc w:val="left"/>
              <w:textAlignment w:val="auto"/>
              <w:rPr>
                <w:rFonts w:hint="eastAsia" w:eastAsia="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color w:val="000000" w:themeColor="text1"/>
                <w:sz w:val="24"/>
                <w:szCs w:val="24"/>
                <w:lang w:val="zh-TW" w:eastAsia="zh-TW"/>
                <w14:textFill>
                  <w14:solidFill>
                    <w14:schemeClr w14:val="tx1"/>
                  </w14:solidFill>
                </w14:textFill>
              </w:rPr>
              <w:t>适用</w:t>
            </w:r>
            <w:r>
              <w:rPr>
                <w:rFonts w:hint="eastAsia"/>
                <w:color w:val="000000" w:themeColor="text1"/>
                <w:sz w:val="24"/>
                <w:szCs w:val="24"/>
                <w:lang w:val="zh-TW" w:eastAsia="zh-CN"/>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中华人民共和国最高人民法院官方网址(http://www.court.gov.cn/)“全国法院失信被执行人名单信息公布与查询”（http://shixin.court.gov.cn/）栏目查询查询失信被执行人记录:经查询后，列入失信被执行人、重大税收违法案件当事人名单取消响应资格。（提供“信用中国”网站无任何不良记录的查询截图，时间为投标截止时间前10天内）。投标人应提供查询截图。</w:t>
            </w:r>
          </w:p>
        </w:tc>
      </w:tr>
      <w:tr w14:paraId="5BA4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677" w:type="pct"/>
            <w:vAlign w:val="center"/>
          </w:tcPr>
          <w:p w14:paraId="5E2E656A">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3.5</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(6)</w:t>
            </w:r>
          </w:p>
        </w:tc>
        <w:tc>
          <w:tcPr>
            <w:tcW w:w="1708" w:type="pct"/>
            <w:vAlign w:val="center"/>
          </w:tcPr>
          <w:p w14:paraId="70EC65C8">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承担本项目的主要人员要求证明材料</w:t>
            </w:r>
          </w:p>
        </w:tc>
        <w:tc>
          <w:tcPr>
            <w:tcW w:w="2614" w:type="pct"/>
            <w:vAlign w:val="center"/>
          </w:tcPr>
          <w:p w14:paraId="565BB340">
            <w:pPr>
              <w:keepNext w:val="0"/>
              <w:keepLines w:val="0"/>
              <w:widowControl w:val="0"/>
              <w:shd w:val="clear" w:color="auto" w:fill="auto"/>
              <w:bidi w:val="0"/>
              <w:spacing w:before="0" w:after="0" w:line="360" w:lineRule="auto"/>
              <w:ind w:right="0"/>
              <w:jc w:val="both"/>
              <w:rPr>
                <w:rFonts w:hint="eastAsia"/>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color w:val="000000" w:themeColor="text1"/>
                <w:sz w:val="24"/>
                <w:szCs w:val="24"/>
                <w:lang w:val="zh-TW" w:eastAsia="zh-TW"/>
                <w14:textFill>
                  <w14:solidFill>
                    <w14:schemeClr w14:val="tx1"/>
                  </w14:solidFill>
                </w14:textFill>
              </w:rPr>
              <w:t>不适用</w:t>
            </w:r>
          </w:p>
          <w:p w14:paraId="42056CC9">
            <w:pPr>
              <w:keepNext w:val="0"/>
              <w:keepLines/>
              <w:pageBreakBefore w:val="0"/>
              <w:widowControl w:val="0"/>
              <w:shd w:val="clear" w:color="auto" w:fill="auto"/>
              <w:tabs>
                <w:tab w:val="left" w:leader="underscore" w:pos="4598"/>
              </w:tabs>
              <w:kinsoku/>
              <w:wordWrap w:val="0"/>
              <w:overflowPunct/>
              <w:topLinePunct/>
              <w:autoSpaceDE/>
              <w:autoSpaceDN/>
              <w:bidi w:val="0"/>
              <w:adjustRightInd w:val="0"/>
              <w:snapToGrid w:val="0"/>
              <w:spacing w:before="0" w:after="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color w:val="000000" w:themeColor="text1"/>
                <w:sz w:val="24"/>
                <w:szCs w:val="24"/>
                <w:lang w:val="zh-TW" w:eastAsia="zh-TW"/>
                <w14:textFill>
                  <w14:solidFill>
                    <w14:schemeClr w14:val="tx1"/>
                  </w14:solidFill>
                </w14:textFill>
              </w:rPr>
              <w:t>适用</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w:t>
            </w:r>
          </w:p>
          <w:p w14:paraId="24D45CE9">
            <w:pPr>
              <w:keepNext w:val="0"/>
              <w:keepLines/>
              <w:pageBreakBefore w:val="0"/>
              <w:widowControl w:val="0"/>
              <w:numPr>
                <w:ilvl w:val="0"/>
                <w:numId w:val="0"/>
              </w:numPr>
              <w:shd w:val="clear" w:color="auto" w:fill="auto"/>
              <w:tabs>
                <w:tab w:val="left" w:pos="930"/>
                <w:tab w:val="left" w:pos="8958"/>
              </w:tabs>
              <w:kinsoku/>
              <w:wordWrap w:val="0"/>
              <w:overflowPunct/>
              <w:topLinePunct/>
              <w:autoSpaceDE/>
              <w:autoSpaceDN/>
              <w:bidi w:val="0"/>
              <w:adjustRightInd w:val="0"/>
              <w:snapToGrid w:val="0"/>
              <w:spacing w:before="0" w:after="0" w:line="360" w:lineRule="auto"/>
              <w:ind w:right="0" w:rightChars="0"/>
              <w:jc w:val="left"/>
              <w:textAlignment w:val="auto"/>
              <w:rPr>
                <w:rFonts w:hint="default" w:ascii="宋体" w:hAnsi="宋体" w:eastAsia="宋体" w:cs="宋体"/>
                <w:color w:val="000000" w:themeColor="text1"/>
                <w:spacing w:val="0"/>
                <w:w w:val="100"/>
                <w:kern w:val="2"/>
                <w:position w:val="0"/>
                <w:sz w:val="24"/>
                <w:szCs w:val="24"/>
                <w:highlight w:val="none"/>
                <w:u w:val="none"/>
                <w:shd w:val="clear" w:color="auto" w:fill="auto"/>
                <w:lang w:val="en-US"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供应商应提供拟委任的主要人员汇总表和主要人员简历表（格式见第六章</w:t>
            </w:r>
            <w:r>
              <w:rPr>
                <w:rFonts w:hint="eastAsia" w:ascii="宋体" w:hAnsi="宋体" w:eastAsia="宋体" w:cs="宋体"/>
                <w:color w:val="000000" w:themeColor="text1"/>
                <w:spacing w:val="0"/>
                <w:w w:val="100"/>
                <w:position w:val="0"/>
                <w:sz w:val="24"/>
                <w:szCs w:val="24"/>
                <w:highlight w:val="none"/>
                <w:u w:val="none"/>
                <w:shd w:val="clear" w:color="auto" w:fill="auto"/>
                <w:lang w:val="zh-CN" w:eastAsia="zh-CN" w:bidi="zh-CN"/>
                <w14:textFill>
                  <w14:solidFill>
                    <w14:schemeClr w14:val="tx1"/>
                  </w14:solidFill>
                </w14:textFill>
              </w:rPr>
              <w:t>“响应</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文件格式”七、资格审查资料主要人员简历表）。供应商应填报满足第一章</w:t>
            </w:r>
            <w:r>
              <w:rPr>
                <w:rFonts w:hint="eastAsia" w:ascii="宋体" w:hAnsi="宋体" w:eastAsia="宋体" w:cs="宋体"/>
                <w:color w:val="000000" w:themeColor="text1"/>
                <w:spacing w:val="0"/>
                <w:w w:val="100"/>
                <w:position w:val="0"/>
                <w:sz w:val="24"/>
                <w:szCs w:val="24"/>
                <w:highlight w:val="none"/>
                <w:u w:val="none"/>
                <w:shd w:val="clear" w:color="auto" w:fill="auto"/>
                <w:lang w:val="zh-CN" w:eastAsia="zh-CN" w:bidi="zh-CN"/>
                <w14:textFill>
                  <w14:solidFill>
                    <w14:schemeClr w14:val="tx1"/>
                  </w14:solidFill>
                </w14:textFill>
              </w:rPr>
              <w:t>“询</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比釆购公告/询比采购邀请书”规定的项目负责人和其他主要人员的相关信息，并按如下要求提供相关证明文件：</w:t>
            </w: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w:t>
            </w:r>
          </w:p>
        </w:tc>
      </w:tr>
      <w:tr w14:paraId="0995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77" w:type="pct"/>
            <w:vAlign w:val="center"/>
          </w:tcPr>
          <w:p w14:paraId="373E0783">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3.5</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(7)</w:t>
            </w:r>
          </w:p>
        </w:tc>
        <w:tc>
          <w:tcPr>
            <w:tcW w:w="1708" w:type="pct"/>
            <w:vAlign w:val="center"/>
          </w:tcPr>
          <w:p w14:paraId="59EB1200">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其他要求的证明材料</w:t>
            </w:r>
          </w:p>
        </w:tc>
        <w:tc>
          <w:tcPr>
            <w:tcW w:w="2614" w:type="pct"/>
            <w:vAlign w:val="center"/>
          </w:tcPr>
          <w:p w14:paraId="7DE2DE4A">
            <w:pPr>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auto"/>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w:t>
            </w:r>
          </w:p>
        </w:tc>
      </w:tr>
      <w:tr w14:paraId="65E3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6A423AA8">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3.5</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(8)</w:t>
            </w:r>
          </w:p>
        </w:tc>
        <w:tc>
          <w:tcPr>
            <w:tcW w:w="1708" w:type="pct"/>
            <w:vAlign w:val="center"/>
          </w:tcPr>
          <w:p w14:paraId="56FB0537">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供应商不存在第一章</w:t>
            </w: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2款情形的证明材料</w:t>
            </w:r>
          </w:p>
        </w:tc>
        <w:tc>
          <w:tcPr>
            <w:tcW w:w="2614" w:type="pct"/>
            <w:vAlign w:val="center"/>
          </w:tcPr>
          <w:p w14:paraId="44693D78">
            <w:pPr>
              <w:keepNext w:val="0"/>
              <w:keepLines w:val="0"/>
              <w:widowControl w:val="0"/>
              <w:shd w:val="clear" w:color="auto" w:fill="auto"/>
              <w:bidi w:val="0"/>
              <w:spacing w:before="0" w:after="0" w:line="360" w:lineRule="auto"/>
              <w:ind w:right="0" w:rightChars="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不需提供证明材料</w:t>
            </w:r>
          </w:p>
          <w:p w14:paraId="64A481F7">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right="0" w:rightChars="0"/>
              <w:jc w:val="left"/>
              <w:textAlignment w:val="auto"/>
              <w:rPr>
                <w:rFonts w:hint="eastAsia" w:ascii="宋体" w:hAnsi="宋体" w:eastAsia="宋体" w:cs="宋体"/>
                <w:color w:val="000000" w:themeColor="text1"/>
                <w:spacing w:val="0"/>
                <w:w w:val="100"/>
                <w:kern w:val="0"/>
                <w:position w:val="0"/>
                <w:sz w:val="24"/>
                <w:szCs w:val="24"/>
                <w:highlight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需要提供证明材料，包括：““中华人民共和国最高人民法院官方网址(http://www.court.gov.cn/)“全国法院失信被执行人名单信息公布与查询”（http://shixin.court.gov.cn/）栏目查询查询失信被执行人记录:经查询后，列入失信被执行人、重大税收违法案件当事人名单取消响应资格。（提供“信用中国”网站无任何不良记录的查询截图，时间为投标截止时间前10天内）。投标人应提供查询截图。</w:t>
            </w:r>
          </w:p>
        </w:tc>
      </w:tr>
      <w:tr w14:paraId="6118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24AA3BF2">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3.5</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(9)</w:t>
            </w:r>
          </w:p>
        </w:tc>
        <w:tc>
          <w:tcPr>
            <w:tcW w:w="1708" w:type="pct"/>
            <w:vAlign w:val="center"/>
          </w:tcPr>
          <w:p w14:paraId="19807A98">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联合体要求的证明材料</w:t>
            </w:r>
          </w:p>
        </w:tc>
        <w:tc>
          <w:tcPr>
            <w:tcW w:w="2614" w:type="pct"/>
            <w:vAlign w:val="center"/>
          </w:tcPr>
          <w:p w14:paraId="4CD25847">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不适用</w:t>
            </w:r>
          </w:p>
          <w:p w14:paraId="6AFBA030">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适用。</w:t>
            </w:r>
          </w:p>
          <w:p w14:paraId="7F9C8796">
            <w:pPr>
              <w:keepNext w:val="0"/>
              <w:keepLines w:val="0"/>
              <w:widowControl w:val="0"/>
              <w:shd w:val="clear" w:color="auto" w:fill="auto"/>
              <w:bidi w:val="0"/>
              <w:spacing w:before="0" w:after="0" w:line="360" w:lineRule="auto"/>
              <w:ind w:right="0" w:rightChars="0"/>
              <w:jc w:val="both"/>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供应商应按照采购文件提供的格式 （格式见第六章</w:t>
            </w:r>
            <w:r>
              <w:rPr>
                <w:rFonts w:hint="eastAsia" w:ascii="宋体" w:hAnsi="宋体" w:eastAsia="宋体" w:cs="宋体"/>
                <w:color w:val="000000" w:themeColor="text1"/>
                <w:spacing w:val="0"/>
                <w:w w:val="100"/>
                <w:position w:val="0"/>
                <w:sz w:val="24"/>
                <w:szCs w:val="24"/>
                <w:highlight w:val="none"/>
                <w:u w:val="none"/>
                <w:shd w:val="clear" w:color="auto" w:fill="auto"/>
                <w:lang w:val="zh-CN" w:eastAsia="zh-CN" w:bidi="zh-CN"/>
                <w14:textFill>
                  <w14:solidFill>
                    <w14:schemeClr w14:val="tx1"/>
                  </w14:solidFill>
                </w14:textFill>
              </w:rPr>
              <w:t>“响</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应文件格式”三、联合体协议书）拟订联合体协议书，并提供联合体协议书的原件。联合体协议书应明确联合体各方的分工</w:t>
            </w:r>
          </w:p>
        </w:tc>
      </w:tr>
      <w:tr w14:paraId="0B38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677" w:type="pct"/>
            <w:vAlign w:val="center"/>
          </w:tcPr>
          <w:p w14:paraId="6BC5747E">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3.6.</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1</w:t>
            </w:r>
          </w:p>
        </w:tc>
        <w:tc>
          <w:tcPr>
            <w:tcW w:w="1708" w:type="pct"/>
            <w:vAlign w:val="center"/>
          </w:tcPr>
          <w:p w14:paraId="6C0D758E">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对关键条款进行响应的证据或证明材料要求</w:t>
            </w:r>
          </w:p>
        </w:tc>
        <w:tc>
          <w:tcPr>
            <w:tcW w:w="2614" w:type="pct"/>
            <w:vAlign w:val="center"/>
          </w:tcPr>
          <w:p w14:paraId="342793FF">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宋体" w:hAnsi="宋体" w:eastAsia="宋体" w:cs="宋体"/>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w:t>
            </w:r>
          </w:p>
        </w:tc>
      </w:tr>
      <w:tr w14:paraId="6CE5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07D9ECC4">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3.7.5</w:t>
            </w:r>
          </w:p>
        </w:tc>
        <w:tc>
          <w:tcPr>
            <w:tcW w:w="1708" w:type="pct"/>
            <w:vAlign w:val="center"/>
          </w:tcPr>
          <w:p w14:paraId="0073492F">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响应文件</w:t>
            </w: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正</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副本份数及电子版要求</w:t>
            </w:r>
          </w:p>
        </w:tc>
        <w:tc>
          <w:tcPr>
            <w:tcW w:w="2614" w:type="pct"/>
            <w:vAlign w:val="center"/>
          </w:tcPr>
          <w:p w14:paraId="2E0E4EC7">
            <w:pPr>
              <w:keepNext w:val="0"/>
              <w:keepLines w:val="0"/>
              <w:widowControl w:val="0"/>
              <w:shd w:val="clear" w:color="auto" w:fill="auto"/>
              <w:bidi w:val="0"/>
              <w:spacing w:before="0" w:after="0" w:line="360" w:lineRule="auto"/>
              <w:ind w:right="0" w:rightChars="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响应文件</w:t>
            </w: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 xml:space="preserve">正本1份 </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副本</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2 </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份</w:t>
            </w:r>
          </w:p>
          <w:p w14:paraId="32C92F6F">
            <w:pPr>
              <w:keepNext w:val="0"/>
              <w:keepLines w:val="0"/>
              <w:widowControl w:val="0"/>
              <w:shd w:val="clear" w:color="auto" w:fill="auto"/>
              <w:bidi w:val="0"/>
              <w:spacing w:before="0" w:after="0" w:line="360" w:lineRule="auto"/>
              <w:ind w:right="0" w:rightChars="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是否要求提供电子版响应文件：</w:t>
            </w:r>
          </w:p>
          <w:p w14:paraId="2E1F2247">
            <w:pPr>
              <w:keepNext w:val="0"/>
              <w:keepLines w:val="0"/>
              <w:widowControl w:val="0"/>
              <w:shd w:val="clear" w:color="auto" w:fill="auto"/>
              <w:bidi w:val="0"/>
              <w:spacing w:before="0" w:after="0" w:line="360" w:lineRule="auto"/>
              <w:ind w:right="0" w:rightChars="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不要求</w:t>
            </w:r>
          </w:p>
          <w:p w14:paraId="7B35E0F3">
            <w:pPr>
              <w:keepNext w:val="0"/>
              <w:keepLines w:val="0"/>
              <w:widowControl w:val="0"/>
              <w:shd w:val="clear" w:color="auto" w:fill="auto"/>
              <w:bidi w:val="0"/>
              <w:spacing w:before="0" w:after="0" w:line="360" w:lineRule="auto"/>
              <w:ind w:right="0" w:rightChars="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要求，</w:t>
            </w:r>
          </w:p>
          <w:p w14:paraId="676D5B88">
            <w:pPr>
              <w:keepNext w:val="0"/>
              <w:keepLines w:val="0"/>
              <w:widowControl w:val="0"/>
              <w:shd w:val="clear" w:color="auto" w:fill="auto"/>
              <w:bidi w:val="0"/>
              <w:spacing w:before="0" w:after="0" w:line="360" w:lineRule="auto"/>
              <w:ind w:right="0" w:rightChars="0"/>
              <w:jc w:val="both"/>
              <w:rPr>
                <w:rFonts w:hint="eastAsia" w:ascii="宋体" w:hAnsi="宋体" w:eastAsia="宋体" w:cs="宋体"/>
                <w:color w:val="000000" w:themeColor="text1"/>
                <w:spacing w:val="0"/>
                <w:w w:val="100"/>
                <w:kern w:val="2"/>
                <w:position w:val="0"/>
                <w:sz w:val="24"/>
                <w:szCs w:val="24"/>
                <w:highlight w:val="none"/>
                <w:u w:val="singl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提供电子版响应文件的形式：</w:t>
            </w:r>
            <w:r>
              <w:rPr>
                <w:rFonts w:hint="eastAsia" w:ascii="宋体" w:hAnsi="宋体" w:eastAsia="宋体" w:cs="宋体"/>
                <w:color w:val="000000" w:themeColor="text1"/>
                <w:spacing w:val="0"/>
                <w:w w:val="100"/>
                <w:position w:val="0"/>
                <w:sz w:val="24"/>
                <w:szCs w:val="24"/>
                <w:highlight w:val="none"/>
                <w:u w:val="single"/>
                <w:shd w:val="clear" w:color="auto" w:fill="auto"/>
                <w:lang w:val="zh-TW" w:eastAsia="zh-TW" w:bidi="zh-TW"/>
                <w14:textFill>
                  <w14:solidFill>
                    <w14:schemeClr w14:val="tx1"/>
                  </w14:solidFill>
                </w14:textFill>
              </w:rPr>
              <w:t>电子文件采用U盘拷贝。</w:t>
            </w:r>
          </w:p>
        </w:tc>
      </w:tr>
      <w:tr w14:paraId="1F1D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015AD045">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3.7.6</w:t>
            </w:r>
          </w:p>
        </w:tc>
        <w:tc>
          <w:tcPr>
            <w:tcW w:w="1708" w:type="pct"/>
            <w:vAlign w:val="center"/>
          </w:tcPr>
          <w:p w14:paraId="3A63A340">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分册装订要求</w:t>
            </w:r>
          </w:p>
        </w:tc>
        <w:tc>
          <w:tcPr>
            <w:tcW w:w="2614" w:type="pct"/>
            <w:vAlign w:val="center"/>
          </w:tcPr>
          <w:p w14:paraId="0B140A31">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left="0" w:leftChars="0" w:right="0" w:rightChars="0" w:firstLine="0" w:firstLineChars="0"/>
              <w:jc w:val="left"/>
              <w:textAlignment w:val="auto"/>
              <w:rPr>
                <w:rFonts w:hint="eastAsia" w:ascii="宋体" w:hAnsi="宋体" w:eastAsia="宋体" w:cs="宋体"/>
                <w:color w:val="000000" w:themeColor="text1"/>
                <w:spacing w:val="0"/>
                <w:w w:val="100"/>
                <w:kern w:val="0"/>
                <w:position w:val="0"/>
                <w:sz w:val="24"/>
                <w:szCs w:val="24"/>
                <w:highlight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zh-TW"/>
                <w14:textFill>
                  <w14:solidFill>
                    <w14:schemeClr w14:val="tx1"/>
                  </w14:solidFill>
                </w14:textFill>
              </w:rPr>
              <w:t>询比响应文件用A4纸打印或复印，正、副本分别胶装订成册，不得采用活页夹装订，编制目录、页码。如有彩页须装订在文件内，不得单独成册。否则，采购人对由于询比响应文件装订松散而造成的丢失或其他后果不承担任何责任。</w:t>
            </w:r>
          </w:p>
        </w:tc>
      </w:tr>
      <w:tr w14:paraId="4F73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0B750E3B">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4.1.2</w:t>
            </w:r>
          </w:p>
        </w:tc>
        <w:tc>
          <w:tcPr>
            <w:tcW w:w="1708" w:type="pct"/>
            <w:vAlign w:val="center"/>
          </w:tcPr>
          <w:p w14:paraId="1938D630">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封套上应载明的信息</w:t>
            </w:r>
          </w:p>
        </w:tc>
        <w:tc>
          <w:tcPr>
            <w:tcW w:w="2614" w:type="pct"/>
            <w:vAlign w:val="center"/>
          </w:tcPr>
          <w:p w14:paraId="3858444F">
            <w:pPr>
              <w:keepNext w:val="0"/>
              <w:keepLines w:val="0"/>
              <w:widowControl w:val="0"/>
              <w:shd w:val="clear" w:color="auto" w:fill="auto"/>
              <w:bidi w:val="0"/>
              <w:spacing w:before="0" w:after="80" w:line="360" w:lineRule="auto"/>
              <w:ind w:right="0"/>
              <w:jc w:val="both"/>
              <w:rPr>
                <w:rFonts w:hint="default"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供应商名称：</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w:t>
            </w:r>
          </w:p>
          <w:p w14:paraId="5B9C75DD">
            <w:pPr>
              <w:keepNext w:val="0"/>
              <w:keepLines w:val="0"/>
              <w:widowControl w:val="0"/>
              <w:shd w:val="clear" w:color="auto" w:fill="auto"/>
              <w:bidi w:val="0"/>
              <w:spacing w:before="0" w:after="80" w:line="360" w:lineRule="auto"/>
              <w:ind w:right="0" w:rightChars="0"/>
              <w:jc w:val="both"/>
              <w:rPr>
                <w:rFonts w:hint="eastAsia" w:ascii="宋体" w:hAnsi="宋体" w:eastAsia="宋体" w:cs="宋体"/>
                <w:color w:val="000000" w:themeColor="text1"/>
                <w:spacing w:val="0"/>
                <w:w w:val="100"/>
                <w:kern w:val="0"/>
                <w:position w:val="0"/>
                <w:sz w:val="24"/>
                <w:szCs w:val="24"/>
                <w:highlight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（项目名称）响应文件</w:t>
            </w:r>
          </w:p>
        </w:tc>
      </w:tr>
      <w:tr w14:paraId="7803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77" w:type="pct"/>
            <w:vMerge w:val="restart"/>
            <w:vAlign w:val="center"/>
          </w:tcPr>
          <w:p w14:paraId="06FB6675">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4.2.</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1</w:t>
            </w:r>
          </w:p>
        </w:tc>
        <w:tc>
          <w:tcPr>
            <w:tcW w:w="1708" w:type="pct"/>
            <w:vMerge w:val="restart"/>
            <w:vAlign w:val="center"/>
          </w:tcPr>
          <w:p w14:paraId="3D86E4CE">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递交响应文件的截止时间和地点</w:t>
            </w:r>
          </w:p>
        </w:tc>
        <w:tc>
          <w:tcPr>
            <w:tcW w:w="2614" w:type="pct"/>
            <w:vAlign w:val="center"/>
          </w:tcPr>
          <w:p w14:paraId="34A1F846">
            <w:pPr>
              <w:keepNext w:val="0"/>
              <w:keepLines w:val="0"/>
              <w:widowControl w:val="0"/>
              <w:shd w:val="clear" w:color="auto" w:fill="auto"/>
              <w:bidi w:val="0"/>
              <w:spacing w:before="0" w:after="0" w:line="360" w:lineRule="auto"/>
              <w:ind w:right="0" w:rightChars="0"/>
              <w:jc w:val="both"/>
              <w:rPr>
                <w:rFonts w:hint="default" w:ascii="宋体" w:hAnsi="宋体" w:eastAsia="宋体" w:cs="宋体"/>
                <w:color w:val="000000" w:themeColor="text1"/>
                <w:spacing w:val="0"/>
                <w:w w:val="100"/>
                <w:kern w:val="2"/>
                <w:position w:val="0"/>
                <w:sz w:val="24"/>
                <w:szCs w:val="24"/>
                <w:highlight w:val="none"/>
                <w:u w:val="single"/>
                <w:shd w:val="clear" w:color="auto" w:fill="auto"/>
                <w:lang w:val="en-US"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截止时间：</w:t>
            </w: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2026年4月  日上午09：00</w:t>
            </w:r>
          </w:p>
        </w:tc>
      </w:tr>
      <w:tr w14:paraId="444A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7" w:type="pct"/>
            <w:vMerge w:val="continue"/>
          </w:tcPr>
          <w:p w14:paraId="6C76BF80">
            <w:pPr>
              <w:spacing w:line="360" w:lineRule="auto"/>
              <w:ind w:right="0" w:rightChars="0"/>
              <w:jc w:val="center"/>
              <w:rPr>
                <w:rFonts w:ascii="宋体" w:hAnsi="宋体" w:eastAsia="宋体" w:cs="宋体"/>
                <w:color w:val="000000" w:themeColor="text1"/>
                <w:spacing w:val="0"/>
                <w:w w:val="100"/>
                <w:position w:val="0"/>
                <w:sz w:val="24"/>
                <w:szCs w:val="24"/>
                <w:highlight w:val="none"/>
                <w:u w:val="none"/>
                <w:shd w:val="clear" w:color="auto" w:fill="auto"/>
                <w:vertAlign w:val="baseline"/>
                <w:lang w:val="zh-TW" w:eastAsia="zh-TW" w:bidi="zh-TW"/>
                <w14:textFill>
                  <w14:solidFill>
                    <w14:schemeClr w14:val="tx1"/>
                  </w14:solidFill>
                </w14:textFill>
              </w:rPr>
            </w:pPr>
          </w:p>
        </w:tc>
        <w:tc>
          <w:tcPr>
            <w:tcW w:w="1708" w:type="pct"/>
            <w:vMerge w:val="continue"/>
          </w:tcPr>
          <w:p w14:paraId="22030160">
            <w:pPr>
              <w:spacing w:line="360" w:lineRule="auto"/>
              <w:ind w:right="0" w:rightChars="0"/>
              <w:jc w:val="center"/>
              <w:rPr>
                <w:rFonts w:ascii="宋体" w:hAnsi="宋体" w:eastAsia="宋体" w:cs="宋体"/>
                <w:color w:val="000000" w:themeColor="text1"/>
                <w:spacing w:val="0"/>
                <w:w w:val="100"/>
                <w:position w:val="0"/>
                <w:sz w:val="24"/>
                <w:szCs w:val="24"/>
                <w:highlight w:val="none"/>
                <w:u w:val="none"/>
                <w:shd w:val="clear" w:color="auto" w:fill="auto"/>
                <w:vertAlign w:val="baseline"/>
                <w:lang w:val="zh-TW" w:eastAsia="zh-TW" w:bidi="zh-TW"/>
                <w14:textFill>
                  <w14:solidFill>
                    <w14:schemeClr w14:val="tx1"/>
                  </w14:solidFill>
                </w14:textFill>
              </w:rPr>
            </w:pPr>
          </w:p>
        </w:tc>
        <w:tc>
          <w:tcPr>
            <w:tcW w:w="2614" w:type="pct"/>
            <w:vAlign w:val="center"/>
          </w:tcPr>
          <w:p w14:paraId="193A4F81">
            <w:pPr>
              <w:keepNext w:val="0"/>
              <w:keepLines/>
              <w:pageBreakBefore w:val="0"/>
              <w:widowControl w:val="0"/>
              <w:shd w:val="clear" w:color="auto" w:fill="auto"/>
              <w:tabs>
                <w:tab w:val="left" w:leader="underscore" w:pos="4658"/>
              </w:tabs>
              <w:kinsoku/>
              <w:wordWrap w:val="0"/>
              <w:overflowPunct/>
              <w:topLinePunct/>
              <w:autoSpaceDE/>
              <w:autoSpaceDN/>
              <w:bidi w:val="0"/>
              <w:adjustRightInd w:val="0"/>
              <w:snapToGrid w:val="0"/>
              <w:spacing w:before="80" w:after="0" w:line="360" w:lineRule="auto"/>
              <w:ind w:right="0" w:rightChars="0"/>
              <w:jc w:val="left"/>
              <w:textAlignment w:val="auto"/>
              <w:rPr>
                <w:rFonts w:hint="eastAsia" w:ascii="宋体" w:hAnsi="宋体" w:eastAsia="宋体" w:cs="宋体"/>
                <w:color w:val="000000" w:themeColor="text1"/>
                <w:spacing w:val="0"/>
                <w:w w:val="100"/>
                <w:kern w:val="2"/>
                <w:position w:val="0"/>
                <w:sz w:val="24"/>
                <w:szCs w:val="24"/>
                <w:highlight w:val="none"/>
                <w:u w:val="singl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递交响应文件的地点</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cs="宋体"/>
                <w:color w:val="000000" w:themeColor="text1"/>
                <w:sz w:val="24"/>
                <w:szCs w:val="24"/>
                <w:lang w:val="en-US" w:eastAsia="zh-CN" w:bidi="zh-TW"/>
                <w14:textFill>
                  <w14:solidFill>
                    <w14:schemeClr w14:val="tx1"/>
                  </w14:solidFill>
                </w14:textFill>
              </w:rPr>
              <w:t>青海璇锴工程项目管理有限公司（</w:t>
            </w:r>
            <w:r>
              <w:rPr>
                <w:rFonts w:hint="eastAsia" w:ascii="宋体" w:hAnsi="宋体" w:eastAsia="宋体" w:cs="宋体"/>
                <w:b w:val="0"/>
                <w:bCs w:val="0"/>
                <w:color w:val="000000" w:themeColor="text1"/>
                <w:spacing w:val="0"/>
                <w:w w:val="100"/>
                <w:position w:val="0"/>
                <w:sz w:val="24"/>
                <w:szCs w:val="24"/>
                <w:u w:val="none"/>
                <w:shd w:val="clear" w:color="auto" w:fill="auto"/>
                <w:lang w:val="en-US" w:eastAsia="zh-CN" w:bidi="en-US"/>
                <w14:textFill>
                  <w14:solidFill>
                    <w14:schemeClr w14:val="tx1"/>
                  </w14:solidFill>
                </w14:textFill>
              </w:rPr>
              <w:t>西宁市城中区长江路103号山水国际3号楼22楼</w:t>
            </w:r>
            <w:r>
              <w:rPr>
                <w:rFonts w:hint="eastAsia" w:ascii="宋体" w:hAnsi="宋体" w:eastAsia="宋体" w:cs="宋体"/>
                <w:b w:val="0"/>
                <w:bCs w:val="0"/>
                <w:color w:val="000000" w:themeColor="text1"/>
                <w:spacing w:val="0"/>
                <w:w w:val="100"/>
                <w:position w:val="0"/>
                <w:sz w:val="24"/>
                <w:szCs w:val="24"/>
                <w:u w:val="none"/>
                <w:shd w:val="clear" w:color="auto" w:fill="auto"/>
                <w:lang w:val="zh-TW" w:eastAsia="zh-CN" w:bidi="en-US"/>
                <w14:textFill>
                  <w14:solidFill>
                    <w14:schemeClr w14:val="tx1"/>
                  </w14:solidFill>
                </w14:textFill>
              </w:rPr>
              <w:t>）</w:t>
            </w:r>
          </w:p>
        </w:tc>
      </w:tr>
      <w:tr w14:paraId="7A26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677" w:type="pct"/>
            <w:vAlign w:val="center"/>
          </w:tcPr>
          <w:p w14:paraId="2EE883E5">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4.2.2</w:t>
            </w:r>
          </w:p>
        </w:tc>
        <w:tc>
          <w:tcPr>
            <w:tcW w:w="1708" w:type="pct"/>
            <w:vAlign w:val="center"/>
          </w:tcPr>
          <w:p w14:paraId="725AD0A8">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是否退还响应文件</w:t>
            </w:r>
          </w:p>
        </w:tc>
        <w:tc>
          <w:tcPr>
            <w:tcW w:w="2614" w:type="pct"/>
            <w:vAlign w:val="center"/>
          </w:tcPr>
          <w:p w14:paraId="7FF0241D">
            <w:pPr>
              <w:keepNext w:val="0"/>
              <w:keepLines w:val="0"/>
              <w:widowControl w:val="0"/>
              <w:numPr>
                <w:ilvl w:val="0"/>
                <w:numId w:val="1"/>
              </w:numPr>
              <w:shd w:val="clear" w:color="auto" w:fill="auto"/>
              <w:bidi w:val="0"/>
              <w:spacing w:before="0" w:after="0" w:line="360" w:lineRule="auto"/>
              <w:ind w:right="0" w:rightChars="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否</w:t>
            </w:r>
          </w:p>
          <w:p w14:paraId="701E9252">
            <w:pPr>
              <w:keepNext w:val="0"/>
              <w:keepLines w:val="0"/>
              <w:widowControl w:val="0"/>
              <w:numPr>
                <w:ilvl w:val="0"/>
                <w:numId w:val="1"/>
              </w:numPr>
              <w:shd w:val="clear" w:color="auto" w:fill="auto"/>
              <w:bidi w:val="0"/>
              <w:spacing w:before="0" w:after="0" w:line="360" w:lineRule="auto"/>
              <w:ind w:right="0" w:rightChars="0"/>
              <w:jc w:val="both"/>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是，退还时间：</w:t>
            </w:r>
            <w:r>
              <w:rPr>
                <w:rFonts w:hint="eastAsia" w:ascii="宋体" w:hAnsi="宋体" w:eastAsia="宋体" w:cs="宋体"/>
                <w:color w:val="000000" w:themeColor="text1"/>
                <w:spacing w:val="0"/>
                <w:w w:val="100"/>
                <w:position w:val="0"/>
                <w:sz w:val="24"/>
                <w:szCs w:val="24"/>
                <w:highlight w:val="none"/>
                <w:u w:val="single"/>
                <w:shd w:val="clear" w:color="auto" w:fill="auto"/>
                <w:lang w:val="zh-TW" w:eastAsia="zh-TW" w:bidi="zh-TW"/>
                <w14:textFill>
                  <w14:solidFill>
                    <w14:schemeClr w14:val="tx1"/>
                  </w14:solidFill>
                </w14:textFill>
              </w:rPr>
              <w:tab/>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w:t>
            </w:r>
          </w:p>
        </w:tc>
      </w:tr>
      <w:tr w14:paraId="5636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04EE83C3">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4.3.3</w:t>
            </w:r>
          </w:p>
        </w:tc>
        <w:tc>
          <w:tcPr>
            <w:tcW w:w="1708" w:type="pct"/>
            <w:vAlign w:val="center"/>
          </w:tcPr>
          <w:p w14:paraId="419472AF">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供应商撤回响应文件情况下退还响应保证金的时间</w:t>
            </w:r>
          </w:p>
        </w:tc>
        <w:tc>
          <w:tcPr>
            <w:tcW w:w="2614" w:type="pct"/>
            <w:vAlign w:val="center"/>
          </w:tcPr>
          <w:p w14:paraId="7F988895">
            <w:pPr>
              <w:keepNext w:val="0"/>
              <w:keepLines w:val="0"/>
              <w:widowControl w:val="0"/>
              <w:shd w:val="clear" w:color="auto" w:fill="auto"/>
              <w:bidi w:val="0"/>
              <w:spacing w:before="0" w:after="0" w:line="360" w:lineRule="auto"/>
              <w:ind w:right="0" w:rightChars="0"/>
              <w:jc w:val="left"/>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自釆购人收到供应商递交的书面通知之日起</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5</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日内</w:t>
            </w:r>
          </w:p>
        </w:tc>
      </w:tr>
      <w:tr w14:paraId="36A00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2959C14C">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 xml:space="preserve">5.2 </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(4)</w:t>
            </w:r>
          </w:p>
        </w:tc>
        <w:tc>
          <w:tcPr>
            <w:tcW w:w="1708" w:type="pct"/>
            <w:vAlign w:val="center"/>
          </w:tcPr>
          <w:p w14:paraId="1AB00F2A">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开启程序</w:t>
            </w:r>
          </w:p>
        </w:tc>
        <w:tc>
          <w:tcPr>
            <w:tcW w:w="2614" w:type="pct"/>
            <w:vAlign w:val="center"/>
          </w:tcPr>
          <w:p w14:paraId="2EF0EE60">
            <w:pPr>
              <w:keepNext w:val="0"/>
              <w:keepLines w:val="0"/>
              <w:widowControl w:val="0"/>
              <w:shd w:val="clear" w:color="auto" w:fill="auto"/>
              <w:bidi w:val="0"/>
              <w:spacing w:before="0" w:after="0" w:line="360" w:lineRule="auto"/>
              <w:ind w:right="0" w:rightChars="0"/>
              <w:jc w:val="both"/>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开启顺序：</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按照随机顺序开启响应文件</w:t>
            </w:r>
          </w:p>
          <w:p w14:paraId="742E744A">
            <w:pPr>
              <w:keepNext w:val="0"/>
              <w:keepLines w:val="0"/>
              <w:widowControl w:val="0"/>
              <w:shd w:val="clear" w:color="auto" w:fill="auto"/>
              <w:bidi w:val="0"/>
              <w:spacing w:before="0" w:after="0" w:line="360" w:lineRule="auto"/>
              <w:ind w:right="0" w:rightChars="0"/>
              <w:jc w:val="both"/>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其他应公布的信息：</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公布递交响应文件的供应商名称、响应报价、</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工</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期、质量要求等相关要求，并记录在案;</w:t>
            </w:r>
          </w:p>
        </w:tc>
      </w:tr>
      <w:tr w14:paraId="5BCC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677" w:type="pct"/>
            <w:vAlign w:val="center"/>
          </w:tcPr>
          <w:p w14:paraId="12927E3D">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en-US"/>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5.3</w:t>
            </w:r>
          </w:p>
        </w:tc>
        <w:tc>
          <w:tcPr>
            <w:tcW w:w="1708" w:type="pct"/>
            <w:vAlign w:val="center"/>
          </w:tcPr>
          <w:p w14:paraId="1D308716">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递交响应文件的供应商不足的情形</w:t>
            </w:r>
          </w:p>
        </w:tc>
        <w:tc>
          <w:tcPr>
            <w:tcW w:w="2614" w:type="pct"/>
            <w:vAlign w:val="center"/>
          </w:tcPr>
          <w:p w14:paraId="27D7B799">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成交供应商为多家时，</w:t>
            </w:r>
          </w:p>
          <w:p w14:paraId="06BC2A54">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供应商不足的数量要求：</w:t>
            </w:r>
            <w:r>
              <w:rPr>
                <w:rFonts w:hint="eastAsia" w:ascii="宋体" w:hAnsi="宋体" w:eastAsia="宋体" w:cs="宋体"/>
                <w:color w:val="000000" w:themeColor="text1"/>
                <w:spacing w:val="0"/>
                <w:w w:val="100"/>
                <w:position w:val="0"/>
                <w:sz w:val="24"/>
                <w:szCs w:val="24"/>
                <w:highlight w:val="none"/>
                <w:u w:val="single"/>
                <w:shd w:val="clear" w:color="auto" w:fill="auto"/>
                <w:lang w:val="zh-TW" w:eastAsia="zh-TW" w:bidi="zh-TW"/>
                <w14:textFill>
                  <w14:solidFill>
                    <w14:schemeClr w14:val="tx1"/>
                  </w14:solidFill>
                </w14:textFill>
              </w:rPr>
              <w:t xml:space="preserve"> </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3 </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家</w:t>
            </w:r>
          </w:p>
          <w:p w14:paraId="6ED24D68">
            <w:pPr>
              <w:keepNext w:val="0"/>
              <w:keepLines w:val="0"/>
              <w:widowControl w:val="0"/>
              <w:shd w:val="clear" w:color="auto" w:fill="auto"/>
              <w:bidi w:val="0"/>
              <w:spacing w:before="0" w:after="0" w:line="360" w:lineRule="auto"/>
              <w:ind w:right="0" w:rightChars="0"/>
              <w:jc w:val="both"/>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（注：釆购人在此处填写的数量一般不少于成交供应商数量的2倍。）</w:t>
            </w:r>
          </w:p>
        </w:tc>
      </w:tr>
      <w:tr w14:paraId="5BDD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6A7E0326">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6.2.2</w:t>
            </w:r>
          </w:p>
        </w:tc>
        <w:tc>
          <w:tcPr>
            <w:tcW w:w="1708" w:type="pct"/>
            <w:vAlign w:val="center"/>
          </w:tcPr>
          <w:p w14:paraId="0CA6BB74">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推荐候选成交供应商的排序及数量</w:t>
            </w:r>
          </w:p>
        </w:tc>
        <w:tc>
          <w:tcPr>
            <w:tcW w:w="2614" w:type="pct"/>
            <w:vAlign w:val="center"/>
          </w:tcPr>
          <w:p w14:paraId="7568AE71">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是否排序：</w:t>
            </w:r>
          </w:p>
          <w:p w14:paraId="030DA5B6">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 xml:space="preserve">排序 </w:t>
            </w:r>
          </w:p>
          <w:p w14:paraId="14916CD0">
            <w:pPr>
              <w:keepNext w:val="0"/>
              <w:keepLines w:val="0"/>
              <w:widowControl w:val="0"/>
              <w:shd w:val="clear" w:color="auto" w:fill="auto"/>
              <w:bidi w:val="0"/>
              <w:spacing w:before="0" w:after="0" w:line="360" w:lineRule="auto"/>
              <w:ind w:right="0"/>
              <w:jc w:val="both"/>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 xml:space="preserve">不排序 </w:t>
            </w:r>
          </w:p>
          <w:p w14:paraId="0C39BB68">
            <w:pPr>
              <w:keepNext w:val="0"/>
              <w:keepLines w:val="0"/>
              <w:widowControl w:val="0"/>
              <w:shd w:val="clear" w:color="auto" w:fill="auto"/>
              <w:bidi w:val="0"/>
              <w:spacing w:before="0" w:after="0" w:line="360" w:lineRule="auto"/>
              <w:ind w:right="0" w:rightChars="0"/>
              <w:jc w:val="both"/>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数量：推荐的成交候选人的人数为3名（不足三名时，按实际数量推荐）。</w:t>
            </w:r>
          </w:p>
        </w:tc>
      </w:tr>
      <w:tr w14:paraId="08E4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46519F81">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7.3</w:t>
            </w:r>
          </w:p>
        </w:tc>
        <w:tc>
          <w:tcPr>
            <w:tcW w:w="1708" w:type="pct"/>
            <w:vAlign w:val="center"/>
          </w:tcPr>
          <w:p w14:paraId="1BF780EA">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预成交结果公示</w:t>
            </w:r>
          </w:p>
        </w:tc>
        <w:tc>
          <w:tcPr>
            <w:tcW w:w="2614" w:type="pct"/>
            <w:vAlign w:val="center"/>
          </w:tcPr>
          <w:p w14:paraId="395A0C5D">
            <w:pPr>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auto"/>
              <w:ind w:right="0"/>
              <w:jc w:val="left"/>
              <w:textAlignment w:val="auto"/>
              <w:rPr>
                <w:rFonts w:hint="default"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公示媒介：</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发布公告的媒介         </w:t>
            </w:r>
          </w:p>
          <w:p w14:paraId="738E5522">
            <w:pPr>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auto"/>
              <w:ind w:right="0"/>
              <w:jc w:val="left"/>
              <w:textAlignment w:val="auto"/>
              <w:rPr>
                <w:rFonts w:hint="default"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公示期限：</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3天                   </w:t>
            </w:r>
          </w:p>
          <w:p w14:paraId="58921B38">
            <w:pPr>
              <w:keepNext w:val="0"/>
              <w:keepLines w:val="0"/>
              <w:pageBreakBefore w:val="0"/>
              <w:widowControl w:val="0"/>
              <w:shd w:val="clear" w:color="auto" w:fill="auto"/>
              <w:tabs>
                <w:tab w:val="left" w:leader="underscore" w:pos="4603"/>
              </w:tabs>
              <w:kinsoku/>
              <w:wordWrap/>
              <w:overflowPunct/>
              <w:topLinePunct w:val="0"/>
              <w:autoSpaceDE/>
              <w:autoSpaceDN/>
              <w:bidi w:val="0"/>
              <w:adjustRightInd w:val="0"/>
              <w:snapToGrid w:val="0"/>
              <w:spacing w:before="0" w:after="0" w:line="360" w:lineRule="auto"/>
              <w:ind w:right="0" w:rightChars="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其他应公示的内容：</w:t>
            </w:r>
            <w:r>
              <w:rPr>
                <w:rFonts w:hint="eastAsia" w:ascii="宋体" w:hAnsi="宋体" w:eastAsia="宋体" w:cs="宋体"/>
                <w:color w:val="000000" w:themeColor="text1"/>
                <w:spacing w:val="0"/>
                <w:w w:val="100"/>
                <w:position w:val="0"/>
                <w:sz w:val="24"/>
                <w:szCs w:val="24"/>
                <w:highlight w:val="none"/>
                <w:u w:val="single"/>
                <w:shd w:val="clear" w:color="auto" w:fill="auto"/>
                <w:lang w:val="zh-TW" w:eastAsia="zh-TW" w:bidi="zh-TW"/>
                <w14:textFill>
                  <w14:solidFill>
                    <w14:schemeClr w14:val="tx1"/>
                  </w14:solidFill>
                </w14:textFill>
              </w:rPr>
              <w:t xml:space="preserve"> </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详见结果公告</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ab/>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 xml:space="preserve"> </w:t>
            </w:r>
          </w:p>
        </w:tc>
      </w:tr>
      <w:tr w14:paraId="7648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395CC361">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7.5</w:t>
            </w:r>
          </w:p>
        </w:tc>
        <w:tc>
          <w:tcPr>
            <w:tcW w:w="1708" w:type="pct"/>
            <w:vAlign w:val="center"/>
          </w:tcPr>
          <w:p w14:paraId="017BA2C5">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发布成交公告</w:t>
            </w:r>
          </w:p>
        </w:tc>
        <w:tc>
          <w:tcPr>
            <w:tcW w:w="2614" w:type="pct"/>
            <w:vAlign w:val="center"/>
          </w:tcPr>
          <w:p w14:paraId="4815FD78">
            <w:pPr>
              <w:keepNext w:val="0"/>
              <w:keepLines w:val="0"/>
              <w:widowControl w:val="0"/>
              <w:shd w:val="clear" w:color="auto" w:fill="auto"/>
              <w:bidi w:val="0"/>
              <w:spacing w:before="0" w:after="0" w:line="360" w:lineRule="auto"/>
              <w:ind w:right="0"/>
              <w:jc w:val="both"/>
              <w:rPr>
                <w:rFonts w:hint="default"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公告媒介：</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《青海项目信息网》、《中国采购与招标网》 </w:t>
            </w:r>
          </w:p>
          <w:p w14:paraId="4E255BFD">
            <w:pPr>
              <w:keepNext w:val="0"/>
              <w:keepLines w:val="0"/>
              <w:widowControl w:val="0"/>
              <w:shd w:val="clear" w:color="auto" w:fill="auto"/>
              <w:tabs>
                <w:tab w:val="left" w:leader="underscore" w:pos="4608"/>
              </w:tabs>
              <w:bidi w:val="0"/>
              <w:spacing w:before="0" w:after="0" w:line="360" w:lineRule="auto"/>
              <w:ind w:right="0"/>
              <w:jc w:val="both"/>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其他应公告的内容：</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         /          </w:t>
            </w:r>
          </w:p>
        </w:tc>
      </w:tr>
      <w:tr w14:paraId="6B37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3F242E96">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7.6</w:t>
            </w:r>
          </w:p>
        </w:tc>
        <w:tc>
          <w:tcPr>
            <w:tcW w:w="1708" w:type="pct"/>
            <w:vAlign w:val="center"/>
          </w:tcPr>
          <w:p w14:paraId="632DE844">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履约保证金</w:t>
            </w:r>
          </w:p>
        </w:tc>
        <w:tc>
          <w:tcPr>
            <w:tcW w:w="2614" w:type="pct"/>
            <w:vAlign w:val="center"/>
          </w:tcPr>
          <w:p w14:paraId="608DB899">
            <w:pPr>
              <w:keepNext w:val="0"/>
              <w:keepLines w:val="0"/>
              <w:pageBreakBefore w:val="0"/>
              <w:widowControl w:val="0"/>
              <w:shd w:val="clear" w:color="auto" w:fill="auto"/>
              <w:tabs>
                <w:tab w:val="left" w:leader="underscore" w:pos="4608"/>
              </w:tabs>
              <w:kinsoku/>
              <w:wordWrap w:val="0"/>
              <w:overflowPunct/>
              <w:topLinePunct/>
              <w:autoSpaceDE/>
              <w:autoSpaceDN/>
              <w:bidi w:val="0"/>
              <w:adjustRightInd w:val="0"/>
              <w:snapToGrid w:val="0"/>
              <w:spacing w:before="0" w:after="0" w:line="360" w:lineRule="auto"/>
              <w:ind w:right="0" w:rightChars="0"/>
              <w:jc w:val="left"/>
              <w:textAlignment w:val="auto"/>
              <w:rPr>
                <w:rFonts w:hint="eastAsia" w:asciiTheme="minorEastAsia" w:hAnsiTheme="minorEastAsia" w:eastAsiaTheme="minorEastAsia" w:cstheme="minorEastAsia"/>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不要求递交</w:t>
            </w:r>
          </w:p>
          <w:p w14:paraId="326090E9">
            <w:pPr>
              <w:keepNext w:val="0"/>
              <w:keepLines w:val="0"/>
              <w:pageBreakBefore w:val="0"/>
              <w:widowControl w:val="0"/>
              <w:shd w:val="clear" w:color="auto" w:fill="auto"/>
              <w:tabs>
                <w:tab w:val="left" w:leader="underscore" w:pos="4608"/>
              </w:tabs>
              <w:kinsoku/>
              <w:wordWrap w:val="0"/>
              <w:overflowPunct/>
              <w:topLinePunct/>
              <w:autoSpaceDE/>
              <w:autoSpaceDN/>
              <w:bidi w:val="0"/>
              <w:adjustRightInd w:val="0"/>
              <w:snapToGrid w:val="0"/>
              <w:spacing w:before="0" w:after="0" w:line="360" w:lineRule="auto"/>
              <w:ind w:right="0" w:rightChars="0"/>
              <w:jc w:val="left"/>
              <w:textAlignment w:val="auto"/>
              <w:rPr>
                <w:rFonts w:hint="eastAsia" w:asciiTheme="minorEastAsia" w:hAnsiTheme="minorEastAsia" w:eastAsiaTheme="minorEastAsia" w:cstheme="minorEastAsia"/>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要求递交</w:t>
            </w:r>
          </w:p>
          <w:p w14:paraId="3D7A7157">
            <w:pPr>
              <w:keepNext w:val="0"/>
              <w:keepLines w:val="0"/>
              <w:pageBreakBefore w:val="0"/>
              <w:widowControl w:val="0"/>
              <w:kinsoku/>
              <w:wordWrap w:val="0"/>
              <w:overflowPunct/>
              <w:topLinePunct/>
              <w:autoSpaceDE/>
              <w:autoSpaceDN/>
              <w:bidi w:val="0"/>
              <w:adjustRightInd w:val="0"/>
              <w:snapToGrid w:val="0"/>
              <w:spacing w:line="360" w:lineRule="auto"/>
              <w:jc w:val="left"/>
              <w:textAlignment w:val="auto"/>
              <w:rPr>
                <w:rFonts w:hint="default" w:asciiTheme="minorEastAsia" w:hAnsiTheme="minorEastAsia" w:eastAsiaTheme="minorEastAsia" w:cstheme="minorEastAsia"/>
                <w:color w:val="000000" w:themeColor="text1"/>
                <w:sz w:val="24"/>
                <w:szCs w:val="24"/>
                <w:highlight w:val="none"/>
                <w:u w:val="singl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履约保证金的金额：</w:t>
            </w:r>
            <w:r>
              <w:rPr>
                <w:rFonts w:hint="eastAsia" w:asciiTheme="minorEastAsia" w:hAnsiTheme="minorEastAsia" w:cstheme="minorEastAsia"/>
                <w:color w:val="000000" w:themeColor="text1"/>
                <w:sz w:val="24"/>
                <w:szCs w:val="24"/>
                <w:highlight w:val="none"/>
                <w:u w:val="single"/>
                <w:lang w:val="en-US" w:eastAsia="zh-CN"/>
                <w14:textFill>
                  <w14:solidFill>
                    <w14:schemeClr w14:val="tx1"/>
                  </w14:solidFill>
                </w14:textFill>
              </w:rPr>
              <w:t xml:space="preserve">                </w:t>
            </w:r>
          </w:p>
          <w:p w14:paraId="1C4417F3">
            <w:pPr>
              <w:keepNext w:val="0"/>
              <w:keepLines w:val="0"/>
              <w:pageBreakBefore w:val="0"/>
              <w:widowControl w:val="0"/>
              <w:kinsoku/>
              <w:wordWrap w:val="0"/>
              <w:overflowPunct/>
              <w:topLinePunct/>
              <w:autoSpaceDE/>
              <w:autoSpaceDN/>
              <w:bidi w:val="0"/>
              <w:adjustRightInd w:val="0"/>
              <w:snapToGrid w:val="0"/>
              <w:spacing w:line="360" w:lineRule="auto"/>
              <w:jc w:val="left"/>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履约保证金的形式：</w:t>
            </w:r>
            <w:r>
              <w:rPr>
                <w:rFonts w:hint="eastAsia" w:asciiTheme="minorEastAsia" w:hAnsiTheme="minorEastAsia" w:cstheme="minorEastAsia"/>
                <w:color w:val="000000" w:themeColor="text1"/>
                <w:sz w:val="24"/>
                <w:szCs w:val="24"/>
                <w:highlight w:val="none"/>
                <w:u w:val="single"/>
                <w:lang w:val="en-US" w:eastAsia="zh-CN"/>
                <w14:textFill>
                  <w14:solidFill>
                    <w14:schemeClr w14:val="tx1"/>
                  </w14:solidFill>
                </w14:textFill>
              </w:rPr>
              <w:t xml:space="preserve">                </w:t>
            </w:r>
          </w:p>
          <w:p w14:paraId="509E8BAD">
            <w:pPr>
              <w:keepNext w:val="0"/>
              <w:keepLines w:val="0"/>
              <w:pageBreakBefore w:val="0"/>
              <w:widowControl w:val="0"/>
              <w:kinsoku/>
              <w:wordWrap w:val="0"/>
              <w:overflowPunct/>
              <w:topLinePunct/>
              <w:autoSpaceDE/>
              <w:autoSpaceDN/>
              <w:bidi w:val="0"/>
              <w:adjustRightInd w:val="0"/>
              <w:snapToGrid w:val="0"/>
              <w:spacing w:line="360" w:lineRule="auto"/>
              <w:jc w:val="left"/>
              <w:textAlignment w:val="auto"/>
              <w:rPr>
                <w:rFonts w:hint="default" w:asciiTheme="minorEastAsia" w:hAnsiTheme="minorEastAsia" w:eastAsiaTheme="minorEastAsia" w:cstheme="minorEastAsia"/>
                <w:color w:val="000000" w:themeColor="text1"/>
                <w:sz w:val="24"/>
                <w:szCs w:val="24"/>
                <w:highlight w:val="none"/>
                <w:u w:val="singl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履约保证金的</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有效期</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r>
              <w:rPr>
                <w:rFonts w:hint="eastAsia" w:asciiTheme="minorEastAsia" w:hAnsiTheme="minorEastAsia" w:cstheme="minorEastAsia"/>
                <w:color w:val="000000" w:themeColor="text1"/>
                <w:sz w:val="24"/>
                <w:szCs w:val="24"/>
                <w:highlight w:val="none"/>
                <w:u w:val="single"/>
                <w:lang w:val="en-US" w:eastAsia="zh-CN"/>
                <w14:textFill>
                  <w14:solidFill>
                    <w14:schemeClr w14:val="tx1"/>
                  </w14:solidFill>
                </w14:textFill>
              </w:rPr>
              <w:t xml:space="preserve">             </w:t>
            </w:r>
          </w:p>
          <w:p w14:paraId="388B176D">
            <w:pPr>
              <w:keepNext w:val="0"/>
              <w:keepLines w:val="0"/>
              <w:pageBreakBefore w:val="0"/>
              <w:widowControl w:val="0"/>
              <w:kinsoku/>
              <w:wordWrap w:val="0"/>
              <w:overflowPunct/>
              <w:topLinePunct/>
              <w:autoSpaceDE/>
              <w:autoSpaceDN/>
              <w:bidi w:val="0"/>
              <w:adjustRightInd w:val="0"/>
              <w:snapToGrid w:val="0"/>
              <w:spacing w:line="360" w:lineRule="auto"/>
              <w:jc w:val="left"/>
              <w:textAlignment w:val="auto"/>
              <w:rPr>
                <w:rFonts w:hint="default" w:asciiTheme="minorEastAsia" w:hAnsiTheme="minorEastAsia" w:eastAsiaTheme="minorEastAsia" w:cstheme="minorEastAsia"/>
                <w:color w:val="000000" w:themeColor="text1"/>
                <w:sz w:val="24"/>
                <w:szCs w:val="24"/>
                <w:highlight w:val="none"/>
                <w:u w:val="singl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递交时间</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r>
              <w:rPr>
                <w:rFonts w:hint="eastAsia" w:asciiTheme="minorEastAsia" w:hAnsiTheme="minorEastAsia" w:cstheme="minorEastAsia"/>
                <w:color w:val="000000" w:themeColor="text1"/>
                <w:sz w:val="24"/>
                <w:szCs w:val="24"/>
                <w:highlight w:val="none"/>
                <w:u w:val="single"/>
                <w:lang w:val="en-US" w:eastAsia="zh-CN"/>
                <w14:textFill>
                  <w14:solidFill>
                    <w14:schemeClr w14:val="tx1"/>
                  </w14:solidFill>
                </w14:textFill>
              </w:rPr>
              <w:t xml:space="preserve">                        </w:t>
            </w:r>
          </w:p>
          <w:p w14:paraId="45E7E614">
            <w:pPr>
              <w:keepNext w:val="0"/>
              <w:keepLines w:val="0"/>
              <w:pageBreakBefore w:val="0"/>
              <w:widowControl w:val="0"/>
              <w:kinsoku/>
              <w:wordWrap w:val="0"/>
              <w:overflowPunct/>
              <w:topLinePunct/>
              <w:autoSpaceDE/>
              <w:autoSpaceDN/>
              <w:bidi w:val="0"/>
              <w:adjustRightInd w:val="0"/>
              <w:snapToGrid w:val="0"/>
              <w:spacing w:line="360" w:lineRule="auto"/>
              <w:jc w:val="left"/>
              <w:textAlignment w:val="auto"/>
              <w:rPr>
                <w:rFonts w:hint="default"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其他要求：</w:t>
            </w:r>
            <w:r>
              <w:rPr>
                <w:rFonts w:hint="eastAsia" w:asciiTheme="minorEastAsia" w:hAnsiTheme="minorEastAsia" w:cstheme="minorEastAsia"/>
                <w:color w:val="000000" w:themeColor="text1"/>
                <w:sz w:val="24"/>
                <w:szCs w:val="24"/>
                <w:highlight w:val="none"/>
                <w:u w:val="single"/>
                <w:lang w:val="en-US" w:eastAsia="zh-CN"/>
                <w14:textFill>
                  <w14:solidFill>
                    <w14:schemeClr w14:val="tx1"/>
                  </w14:solidFill>
                </w14:textFill>
              </w:rPr>
              <w:t xml:space="preserve">                        </w:t>
            </w:r>
          </w:p>
        </w:tc>
      </w:tr>
      <w:tr w14:paraId="0D76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58014A93">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7.7.4</w:t>
            </w:r>
          </w:p>
        </w:tc>
        <w:tc>
          <w:tcPr>
            <w:tcW w:w="1708" w:type="pct"/>
            <w:vAlign w:val="center"/>
          </w:tcPr>
          <w:p w14:paraId="2470F6E2">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签约合同价</w:t>
            </w:r>
          </w:p>
        </w:tc>
        <w:tc>
          <w:tcPr>
            <w:tcW w:w="2614" w:type="pct"/>
            <w:vAlign w:val="top"/>
          </w:tcPr>
          <w:p w14:paraId="6BE301E9">
            <w:pPr>
              <w:keepNext w:val="0"/>
              <w:keepLines w:val="0"/>
              <w:widowControl w:val="0"/>
              <w:shd w:val="clear" w:color="auto" w:fill="auto"/>
              <w:bidi w:val="0"/>
              <w:spacing w:before="0" w:after="0" w:line="360" w:lineRule="auto"/>
              <w:ind w:left="0" w:leftChars="0" w:right="0" w:rightChars="0" w:firstLine="0" w:firstLineChars="0"/>
              <w:jc w:val="left"/>
              <w:rPr>
                <w:rFonts w:hint="default" w:ascii="宋体" w:hAnsi="宋体" w:eastAsia="宋体" w:cs="宋体"/>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宋体" w:hAnsi="宋体" w:eastAsia="宋体" w:cs="宋体"/>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中标金额</w:t>
            </w:r>
          </w:p>
        </w:tc>
      </w:tr>
      <w:tr w14:paraId="1E99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0636A715">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8.</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1</w:t>
            </w:r>
          </w:p>
        </w:tc>
        <w:tc>
          <w:tcPr>
            <w:tcW w:w="1708" w:type="pct"/>
            <w:vAlign w:val="center"/>
          </w:tcPr>
          <w:p w14:paraId="7E154572">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异议渠道</w:t>
            </w:r>
          </w:p>
        </w:tc>
        <w:tc>
          <w:tcPr>
            <w:tcW w:w="2614" w:type="pct"/>
            <w:vAlign w:val="center"/>
          </w:tcPr>
          <w:p w14:paraId="44A83B15">
            <w:pPr>
              <w:keepNext w:val="0"/>
              <w:keepLines w:val="0"/>
              <w:pageBreakBefore w:val="0"/>
              <w:widowControl w:val="0"/>
              <w:kinsoku/>
              <w:wordWrap w:val="0"/>
              <w:overflowPunct/>
              <w:topLinePunct/>
              <w:autoSpaceDE/>
              <w:autoSpaceDN/>
              <w:bidi w:val="0"/>
              <w:adjustRightInd w:val="0"/>
              <w:snapToGrid w:val="0"/>
              <w:spacing w:line="360" w:lineRule="auto"/>
              <w:jc w:val="left"/>
              <w:textAlignment w:val="auto"/>
              <w:rPr>
                <w:rFonts w:hint="default"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监督部门</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青海民族大学</w:t>
            </w:r>
          </w:p>
          <w:p w14:paraId="07877AE0">
            <w:pPr>
              <w:keepNext w:val="0"/>
              <w:keepLines w:val="0"/>
              <w:pageBreakBefore w:val="0"/>
              <w:widowControl w:val="0"/>
              <w:kinsoku/>
              <w:wordWrap w:val="0"/>
              <w:overflowPunct/>
              <w:topLinePunct/>
              <w:autoSpaceDE/>
              <w:autoSpaceDN/>
              <w:bidi w:val="0"/>
              <w:adjustRightInd w:val="0"/>
              <w:snapToGrid w:val="0"/>
              <w:spacing w:line="360" w:lineRule="auto"/>
              <w:jc w:val="left"/>
              <w:textAlignment w:val="auto"/>
              <w:rPr>
                <w:rFonts w:hint="default"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zh-TW" w:eastAsia="zh-TW"/>
                <w14:textFill>
                  <w14:solidFill>
                    <w14:schemeClr w14:val="tx1"/>
                  </w14:solidFill>
                </w14:textFill>
              </w:rPr>
              <w:t xml:space="preserve">联系电话：0971-8802687 </w:t>
            </w:r>
          </w:p>
          <w:p w14:paraId="731152F8">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right="0" w:rightChars="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 xml:space="preserve">通信地址：西宁市城东区夏都大街  </w:t>
            </w:r>
          </w:p>
        </w:tc>
      </w:tr>
      <w:tr w14:paraId="73D5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419A1918">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8.2</w:t>
            </w:r>
          </w:p>
        </w:tc>
        <w:tc>
          <w:tcPr>
            <w:tcW w:w="1708" w:type="pct"/>
            <w:vAlign w:val="center"/>
          </w:tcPr>
          <w:p w14:paraId="00C09161">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可以调解异议争议的行业组织或专业咨询机构</w:t>
            </w:r>
          </w:p>
        </w:tc>
        <w:tc>
          <w:tcPr>
            <w:tcW w:w="2614" w:type="pct"/>
            <w:vAlign w:val="center"/>
          </w:tcPr>
          <w:p w14:paraId="71F98878">
            <w:pPr>
              <w:keepNext w:val="0"/>
              <w:keepLines w:val="0"/>
              <w:widowControl w:val="0"/>
              <w:shd w:val="clear" w:color="auto" w:fill="auto"/>
              <w:bidi w:val="0"/>
              <w:spacing w:before="0" w:after="0" w:line="360" w:lineRule="auto"/>
              <w:ind w:right="0" w:rightChars="0"/>
              <w:jc w:val="both"/>
              <w:rPr>
                <w:rFonts w:hint="default"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w:t>
            </w:r>
          </w:p>
        </w:tc>
      </w:tr>
      <w:tr w14:paraId="7E21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2E223201">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en-US"/>
                <w14:textFill>
                  <w14:solidFill>
                    <w14:schemeClr w14:val="tx1"/>
                  </w14:solidFill>
                </w14:textFill>
              </w:rPr>
              <w:t>10.</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1</w:t>
            </w:r>
          </w:p>
        </w:tc>
        <w:tc>
          <w:tcPr>
            <w:tcW w:w="1708" w:type="pct"/>
            <w:vAlign w:val="center"/>
          </w:tcPr>
          <w:p w14:paraId="3B23F7E5">
            <w:pPr>
              <w:keepNext w:val="0"/>
              <w:keepLines w:val="0"/>
              <w:widowControl w:val="0"/>
              <w:shd w:val="clear" w:color="auto" w:fill="auto"/>
              <w:bidi w:val="0"/>
              <w:spacing w:before="0" w:after="0" w:line="36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采购代理服务费</w:t>
            </w:r>
          </w:p>
        </w:tc>
        <w:tc>
          <w:tcPr>
            <w:tcW w:w="2614" w:type="pct"/>
            <w:vAlign w:val="center"/>
          </w:tcPr>
          <w:p w14:paraId="226FD126">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不要求承担</w:t>
            </w:r>
          </w:p>
          <w:p w14:paraId="5A098365">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要求承担</w:t>
            </w:r>
          </w:p>
          <w:p w14:paraId="770F294C">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费用标准或金额：</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4000元</w:t>
            </w:r>
            <w:r>
              <w:rPr>
                <w:rFonts w:hint="eastAsia" w:ascii="宋体" w:hAnsi="宋体" w:eastAsia="宋体" w:cs="宋体"/>
                <w:color w:val="000000" w:themeColor="text1"/>
                <w:spacing w:val="0"/>
                <w:w w:val="100"/>
                <w:position w:val="0"/>
                <w:sz w:val="24"/>
                <w:szCs w:val="24"/>
                <w:highlight w:val="none"/>
                <w:u w:val="single"/>
                <w:shd w:val="clear" w:color="auto" w:fill="auto"/>
                <w:lang w:val="zh-TW" w:eastAsia="zh-CN" w:bidi="zh-TW"/>
                <w14:textFill>
                  <w14:solidFill>
                    <w14:schemeClr w14:val="tx1"/>
                  </w14:solidFill>
                </w14:textFill>
              </w:rPr>
              <w:t>。</w:t>
            </w:r>
          </w:p>
          <w:p w14:paraId="052777C3">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right="0"/>
              <w:jc w:val="left"/>
              <w:textAlignment w:val="auto"/>
              <w:rPr>
                <w:rFonts w:hint="default"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交费时间：</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领取成交通知书前</w:t>
            </w:r>
          </w:p>
          <w:p w14:paraId="70CAB9D1">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right="0"/>
              <w:jc w:val="left"/>
              <w:textAlignment w:val="auto"/>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交费方式：</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 xml:space="preserve">现金或者转账 </w:t>
            </w:r>
          </w:p>
          <w:p w14:paraId="2C06557C">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right="0"/>
              <w:jc w:val="left"/>
              <w:textAlignment w:val="auto"/>
              <w:rPr>
                <w:rFonts w:hint="default" w:asciiTheme="minorHAnsi" w:hAnsiTheme="minorHAnsi" w:eastAsiaTheme="minorEastAsia" w:cstheme="minorBidi"/>
                <w:color w:val="000000" w:themeColor="text1"/>
                <w:kern w:val="2"/>
                <w:sz w:val="24"/>
                <w:szCs w:val="24"/>
                <w:highlight w:val="none"/>
                <w:lang w:val="en-US" w:eastAsia="zh-TW" w:bidi="ar-SA"/>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收取对象：</w:t>
            </w:r>
            <w:r>
              <w:rPr>
                <w:rFonts w:hint="eastAsia" w:ascii="宋体" w:hAnsi="宋体" w:eastAsia="宋体" w:cs="宋体"/>
                <w:color w:val="000000" w:themeColor="text1"/>
                <w:spacing w:val="0"/>
                <w:w w:val="100"/>
                <w:position w:val="0"/>
                <w:sz w:val="24"/>
                <w:szCs w:val="24"/>
                <w:highlight w:val="none"/>
                <w:u w:val="single"/>
                <w:shd w:val="clear" w:color="auto" w:fill="auto"/>
                <w:lang w:val="en-US" w:eastAsia="zh-CN" w:bidi="zh-TW"/>
                <w14:textFill>
                  <w14:solidFill>
                    <w14:schemeClr w14:val="tx1"/>
                  </w14:solidFill>
                </w14:textFill>
              </w:rPr>
              <w:t>成交单位</w:t>
            </w:r>
          </w:p>
        </w:tc>
      </w:tr>
      <w:tr w14:paraId="3973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1AA3ECDD">
            <w:pPr>
              <w:keepNext w:val="0"/>
              <w:keepLines w:val="0"/>
              <w:widowControl w:val="0"/>
              <w:shd w:val="clear" w:color="auto" w:fill="auto"/>
              <w:bidi w:val="0"/>
              <w:spacing w:before="0" w:after="0" w:line="360" w:lineRule="auto"/>
              <w:ind w:right="0" w:rightChars="0"/>
              <w:jc w:val="cente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zh-TW"/>
                <w14:textFill>
                  <w14:solidFill>
                    <w14:schemeClr w14:val="tx1"/>
                  </w14:solidFill>
                </w14:textFill>
              </w:rPr>
              <w:t>10.2</w:t>
            </w:r>
          </w:p>
        </w:tc>
        <w:tc>
          <w:tcPr>
            <w:tcW w:w="1708" w:type="pct"/>
            <w:vAlign w:val="center"/>
          </w:tcPr>
          <w:p w14:paraId="18284C2B">
            <w:pPr>
              <w:keepNext w:val="0"/>
              <w:keepLines w:val="0"/>
              <w:widowControl w:val="0"/>
              <w:shd w:val="clear" w:color="auto" w:fill="auto"/>
              <w:bidi w:val="0"/>
              <w:spacing w:before="0" w:after="0" w:line="360" w:lineRule="auto"/>
              <w:ind w:right="0" w:rightChars="0"/>
              <w:jc w:val="center"/>
              <w:rPr>
                <w:rFonts w:hint="eastAsia" w:ascii="宋体" w:hAnsi="宋体" w:eastAsia="宋体" w:cs="宋体"/>
                <w:color w:val="000000" w:themeColor="text1"/>
                <w:spacing w:val="0"/>
                <w:w w:val="100"/>
                <w:position w:val="0"/>
                <w:sz w:val="24"/>
                <w:szCs w:val="24"/>
                <w:highlight w:val="none"/>
                <w:u w:val="none"/>
                <w:shd w:val="clear" w:color="auto" w:fill="auto"/>
                <w:lang w:val="en-US" w:eastAsia="en-US" w:bidi="zh-TW"/>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zh-TW" w:eastAsia="zh-TW" w:bidi="zh-TW"/>
                <w14:textFill>
                  <w14:solidFill>
                    <w14:schemeClr w14:val="tx1"/>
                  </w14:solidFill>
                </w14:textFill>
              </w:rPr>
              <w:t>需要补充的其他内容</w:t>
            </w:r>
          </w:p>
        </w:tc>
        <w:tc>
          <w:tcPr>
            <w:tcW w:w="2614" w:type="pct"/>
            <w:vAlign w:val="center"/>
          </w:tcPr>
          <w:p w14:paraId="63930F3A">
            <w:pPr>
              <w:keepNext w:val="0"/>
              <w:keepLines/>
              <w:pageBreakBefore w:val="0"/>
              <w:widowControl w:val="0"/>
              <w:shd w:val="clear" w:color="auto" w:fill="auto"/>
              <w:kinsoku/>
              <w:wordWrap w:val="0"/>
              <w:overflowPunct/>
              <w:topLinePunct/>
              <w:autoSpaceDE/>
              <w:autoSpaceDN/>
              <w:bidi w:val="0"/>
              <w:adjustRightInd w:val="0"/>
              <w:snapToGrid w:val="0"/>
              <w:spacing w:before="0" w:after="0" w:line="360" w:lineRule="auto"/>
              <w:ind w:right="0"/>
              <w:jc w:val="left"/>
              <w:textAlignment w:val="auto"/>
              <w:rPr>
                <w:rFonts w:hint="default"/>
                <w:color w:val="000000" w:themeColor="text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4"/>
                <w:szCs w:val="24"/>
                <w:highlight w:val="none"/>
                <w:u w:val="none"/>
                <w:shd w:val="clear" w:color="auto" w:fill="auto"/>
                <w:lang w:val="en-US" w:eastAsia="zh-CN" w:bidi="zh-TW"/>
                <w14:textFill>
                  <w14:solidFill>
                    <w14:schemeClr w14:val="tx1"/>
                  </w14:solidFill>
                </w14:textFill>
              </w:rPr>
              <w:t>本项目其他事项双方协商解决</w:t>
            </w:r>
          </w:p>
        </w:tc>
      </w:tr>
    </w:tbl>
    <w:p w14:paraId="5EF442E7">
      <w:pPr>
        <w:rPr>
          <w:rFonts w:hint="eastAsia"/>
          <w:b/>
          <w:color w:val="000000" w:themeColor="text1"/>
          <w:sz w:val="28"/>
          <w:szCs w:val="18"/>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32"/>
          <w:szCs w:val="32"/>
          <w:highlight w:val="none"/>
          <w:u w:val="none"/>
          <w:shd w:val="clear" w:color="auto" w:fill="auto"/>
          <w:lang w:val="en-US" w:eastAsia="zh-CN" w:bidi="zh-TW"/>
          <w14:textFill>
            <w14:solidFill>
              <w14:schemeClr w14:val="tx1"/>
            </w14:solidFill>
          </w14:textFill>
        </w:rPr>
        <w:br w:type="page"/>
      </w:r>
      <w:bookmarkStart w:id="24" w:name="_Toc13734"/>
    </w:p>
    <w:p w14:paraId="5DC57353">
      <w:pP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pPr>
      <w:bookmarkStart w:id="25" w:name="_Toc27514"/>
      <w:bookmarkStart w:id="26" w:name="_Toc6057"/>
      <w:bookmarkStart w:id="27" w:name="_Toc18495"/>
      <w:bookmarkStart w:id="28" w:name="_Toc3093"/>
      <w: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t>1总则</w:t>
      </w:r>
      <w:bookmarkEnd w:id="25"/>
    </w:p>
    <w:p w14:paraId="5F534C48">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bookmarkStart w:id="29" w:name="_Toc15279"/>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1.1采购方式</w:t>
      </w:r>
      <w:bookmarkEnd w:id="24"/>
      <w:bookmarkEnd w:id="26"/>
      <w:bookmarkEnd w:id="27"/>
      <w:bookmarkEnd w:id="28"/>
      <w:bookmarkEnd w:id="29"/>
    </w:p>
    <w:p w14:paraId="7ECE7713">
      <w:pPr>
        <w:keepNext w:val="0"/>
        <w:keepLines/>
        <w:pageBreakBefore w:val="0"/>
        <w:widowControl w:val="0"/>
        <w:kinsoku/>
        <w:wordWrap w:val="0"/>
        <w:overflowPunct/>
        <w:topLinePunct/>
        <w:autoSpaceDE/>
        <w:autoSpaceDN/>
        <w:bidi w:val="0"/>
        <w:adjustRightInd w:val="0"/>
        <w:snapToGrid/>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本项目采用中国招标投标协会发布的《非招标方式采购代理服务规范》(T/CTBA001--2019)规定的询比采购方式。</w:t>
      </w:r>
    </w:p>
    <w:p w14:paraId="182E863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询比采购是指采购人组建评审小组对响应采购的供应商按照采购文件规定的规则和时间一次递交的响应文件进行评审，采购人根据评审小组的评审结果，选择确定成交供应商的采购方式。</w:t>
      </w:r>
    </w:p>
    <w:p w14:paraId="27671A8E">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1.2采购项目概况和供应商资格要求</w:t>
      </w:r>
    </w:p>
    <w:p w14:paraId="1F0D755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采购项目概况和供应商资格要求见第一章“询比采购邀请书”。</w:t>
      </w:r>
    </w:p>
    <w:p w14:paraId="359A515B">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1.3费用承担</w:t>
      </w:r>
    </w:p>
    <w:p w14:paraId="0DFA4145">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供应商准备和参加询比采购活动所发生的各种费用由供应商自行承担。</w:t>
      </w:r>
    </w:p>
    <w:p w14:paraId="6F12E196">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bookmarkStart w:id="30" w:name="_Toc1548"/>
      <w:bookmarkStart w:id="31" w:name="_Toc8224"/>
      <w:bookmarkStart w:id="32" w:name="_Toc24954"/>
      <w:bookmarkStart w:id="33" w:name="_Toc843"/>
      <w:bookmarkStart w:id="34" w:name="_Toc23018"/>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1.4保密</w:t>
      </w:r>
      <w:bookmarkEnd w:id="30"/>
      <w:bookmarkEnd w:id="31"/>
      <w:bookmarkEnd w:id="32"/>
      <w:bookmarkEnd w:id="33"/>
      <w:bookmarkEnd w:id="34"/>
    </w:p>
    <w:p w14:paraId="3CE71A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参加询比采购活动的各方应对采购文件和响应文件中的商业和技术等秘密保密，否则应承担相应的法律责任。</w:t>
      </w:r>
    </w:p>
    <w:p w14:paraId="63CD9008">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1.5语言文字</w:t>
      </w:r>
    </w:p>
    <w:p w14:paraId="0A7DBA0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采购文件和响应文件使用的语言文字为中文。专用术语使用外文的，应附有中文</w:t>
      </w:r>
      <w:r>
        <w:rPr>
          <w:rFonts w:hint="eastAsia" w:ascii="宋体" w:hAnsi="宋体" w:eastAsia="宋体" w:cs="宋体"/>
          <w:color w:val="000000" w:themeColor="text1"/>
          <w:sz w:val="24"/>
          <w:szCs w:val="24"/>
          <w:highlight w:val="none"/>
          <w:lang w:eastAsia="zh-CN"/>
          <w14:textFill>
            <w14:solidFill>
              <w14:schemeClr w14:val="tx1"/>
            </w14:solidFill>
          </w14:textFill>
        </w:rPr>
        <w:t>注释。</w:t>
      </w:r>
    </w:p>
    <w:p w14:paraId="593F25DC">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bookmarkStart w:id="35" w:name="_Toc32090"/>
      <w:bookmarkStart w:id="36" w:name="_Toc25077"/>
      <w:bookmarkStart w:id="37" w:name="_Toc32716"/>
      <w:bookmarkStart w:id="38" w:name="_Toc9170"/>
      <w:bookmarkStart w:id="39" w:name="_Toc30019"/>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1.6计量单位</w:t>
      </w:r>
      <w:bookmarkEnd w:id="35"/>
      <w:bookmarkEnd w:id="36"/>
      <w:bookmarkEnd w:id="37"/>
      <w:bookmarkEnd w:id="38"/>
      <w:bookmarkEnd w:id="39"/>
    </w:p>
    <w:p w14:paraId="1BB346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所有计量均采用中华人民共和国法定计量单位。</w:t>
      </w:r>
    </w:p>
    <w:p w14:paraId="0E79FF3E">
      <w:pPr>
        <w:spacing w:line="360" w:lineRule="auto"/>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pPr>
      <w:bookmarkStart w:id="40" w:name="_Toc10174"/>
      <w:bookmarkStart w:id="41" w:name="_Toc13596"/>
      <w:bookmarkStart w:id="42" w:name="_Toc7268"/>
      <w:bookmarkStart w:id="43" w:name="_Toc23130"/>
      <w:bookmarkStart w:id="44" w:name="_Toc14195"/>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1.7踏勘现场</w:t>
      </w:r>
      <w:bookmarkEnd w:id="40"/>
      <w:bookmarkEnd w:id="41"/>
      <w:bookmarkEnd w:id="42"/>
      <w:bookmarkEnd w:id="43"/>
      <w:bookmarkEnd w:id="44"/>
    </w:p>
    <w:p w14:paraId="1FE2F0C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1.7.1</w:t>
      </w:r>
      <w:r>
        <w:rPr>
          <w:rFonts w:hint="eastAsia" w:ascii="宋体" w:hAnsi="宋体" w:eastAsia="宋体" w:cs="宋体"/>
          <w:color w:val="000000" w:themeColor="text1"/>
          <w:sz w:val="24"/>
          <w:szCs w:val="24"/>
          <w:highlight w:val="none"/>
          <w14:textFill>
            <w14:solidFill>
              <w14:schemeClr w14:val="tx1"/>
            </w14:solidFill>
          </w14:textFill>
        </w:rPr>
        <w:t>供应商须知前附表规定组织踏勘现场的，采购人按供应商须知前附表规定的时间、地点组织供应商踏勘项目现场。部分供应商未按时参加踏勘现场的，不影响踏勘</w:t>
      </w:r>
      <w:r>
        <w:rPr>
          <w:rFonts w:hint="eastAsia" w:ascii="宋体" w:hAnsi="宋体" w:eastAsia="宋体" w:cs="宋体"/>
          <w:color w:val="000000" w:themeColor="text1"/>
          <w:sz w:val="24"/>
          <w:szCs w:val="24"/>
          <w:highlight w:val="none"/>
          <w:lang w:val="en-US" w:eastAsia="zh-CN"/>
          <w14:textFill>
            <w14:solidFill>
              <w14:schemeClr w14:val="tx1"/>
            </w14:solidFill>
          </w14:textFill>
        </w:rPr>
        <w:t>现场的正常进行。</w:t>
      </w:r>
    </w:p>
    <w:p w14:paraId="467E017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1.7.2供应商可自愿参加踏勘现场活动。除采购人的原因外，采购人对供应商参加踏勘现场中所发生的人员伤亡和财产损失不承担责任。</w:t>
      </w:r>
    </w:p>
    <w:p w14:paraId="5057A2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1.7.3采购人在踏勘现场中介绍的工程场地和相关的周边环境情况，仅作为供应商编制响应文件的参考，采购人不对供应商据此作出的判断和决策负责。</w:t>
      </w:r>
    </w:p>
    <w:p w14:paraId="20467F82">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bookmarkStart w:id="45" w:name="_Toc2310"/>
      <w:bookmarkStart w:id="46" w:name="_Toc13040"/>
      <w:bookmarkStart w:id="47" w:name="_Toc24013"/>
      <w:bookmarkStart w:id="48" w:name="_Toc10380"/>
      <w:bookmarkStart w:id="49" w:name="_Toc2455"/>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1.8询比采购预备会</w:t>
      </w:r>
      <w:bookmarkEnd w:id="45"/>
      <w:bookmarkEnd w:id="46"/>
      <w:bookmarkEnd w:id="47"/>
      <w:bookmarkEnd w:id="48"/>
      <w:bookmarkEnd w:id="49"/>
    </w:p>
    <w:p w14:paraId="62F1C0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供应商须知前附表规定召开询比采购预备会的，采购人按供应商须知前附表规定的时间和地点召开询比采购预备会。</w:t>
      </w:r>
    </w:p>
    <w:p w14:paraId="4A2DE326">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1.9分包</w:t>
      </w:r>
    </w:p>
    <w:p w14:paraId="62C8D2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供应商拟在成交后将成交项目的部分工作进行分包的，应符合供应商须知前附表的规定，并在响应文件中作出说明。</w:t>
      </w:r>
    </w:p>
    <w:p w14:paraId="770DFE0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分包供应商不得将分包项目再次分包。成交供应商应当就分包项目向采购人负责，分包供应商就分包项目承担连带责任。</w:t>
      </w:r>
    </w:p>
    <w:p w14:paraId="70F03901">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1.10响应和偏差</w:t>
      </w:r>
    </w:p>
    <w:p w14:paraId="641944C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1.10.1采购需求和合同条款及格式中的关键条款均以“*”符号标记。响应文件应当对采购需求和合同条款及格式中的关键条款作出满足性或更有利于采购人的响应,否则，供应商的响应文件将被视为无效。</w:t>
      </w:r>
    </w:p>
    <w:p w14:paraId="7F7460A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1.10.2供应商须知前附表规定了对非关键条款允许偏差的范围和可以偏差的项数的，如响应文件存在的偏差超出上述范围或项数,将被视为无效。</w:t>
      </w:r>
    </w:p>
    <w:p w14:paraId="68DE48D8">
      <w:pP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t>2采购文件</w:t>
      </w:r>
    </w:p>
    <w:p w14:paraId="7A3BF675">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2.1采购文件的组成</w:t>
      </w:r>
    </w:p>
    <w:p w14:paraId="57F93A8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本采购文件包括:</w:t>
      </w:r>
    </w:p>
    <w:p w14:paraId="707A396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(1)询比采购公告(或询比采购邀请书);</w:t>
      </w:r>
    </w:p>
    <w:p w14:paraId="4FBB5E1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(2)供应商须知;</w:t>
      </w:r>
    </w:p>
    <w:p w14:paraId="711437E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(3)评审办法;</w:t>
      </w:r>
    </w:p>
    <w:p w14:paraId="3D99D85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(4)合同条款及格式;</w:t>
      </w:r>
    </w:p>
    <w:p w14:paraId="7F9813C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(5)采购需求;</w:t>
      </w:r>
    </w:p>
    <w:p w14:paraId="2B3A3A9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(6)响应文件格式;</w:t>
      </w:r>
    </w:p>
    <w:p w14:paraId="614F239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(7)供应商须知前附表规定的其他资料。</w:t>
      </w:r>
    </w:p>
    <w:p w14:paraId="3839696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采购人依照本章规定，对采购文件所作的澄清、修改，构成采购文件的组成部分。</w:t>
      </w:r>
    </w:p>
    <w:p w14:paraId="6C2F4476">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bookmarkStart w:id="50" w:name="_Toc30974"/>
      <w:bookmarkStart w:id="51" w:name="_Toc7430"/>
      <w:bookmarkStart w:id="52" w:name="_Toc221"/>
      <w:bookmarkStart w:id="53" w:name="_Toc2639"/>
      <w:bookmarkStart w:id="54" w:name="_Toc7185"/>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2.2采购文件的澄清和修改</w:t>
      </w:r>
      <w:bookmarkEnd w:id="50"/>
      <w:bookmarkEnd w:id="51"/>
      <w:bookmarkEnd w:id="52"/>
      <w:bookmarkEnd w:id="53"/>
      <w:bookmarkEnd w:id="54"/>
    </w:p>
    <w:p w14:paraId="29E732B8">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2.2.1供应商应仔细阅读和检查采购文件的全部内容。如发现缺页或内容不全，应及时向采购人提出，以便补齐。如有疑问，应在供应商须知前附表规定的时间前，以书面形式要求采购人对采购文件予以澄清。</w:t>
      </w:r>
    </w:p>
    <w:p w14:paraId="094C797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2.2.2采购人可根据供应商的要求或主动对采购文件进行澄清或修改。澄清或修改的内容以补充文件的形式发给所有获取采购文件的供应商。采购人可视具体情况在补充文件中通知供应商推迟递交响应文件的截止时间。</w:t>
      </w:r>
    </w:p>
    <w:p w14:paraId="30E8ACC6">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2.2.3供应商在收到补充文件后，应按供应商须知前附表规定的时间和方式通知采购人，确认已收到该补充文件。</w:t>
      </w:r>
    </w:p>
    <w:p w14:paraId="5167A49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2.2.4除非确有必要，采购人有权拒绝回复供应商在本章第2.2.1项规定的时间后提出的任何澄清要求。</w:t>
      </w:r>
    </w:p>
    <w:p w14:paraId="7A1205C8">
      <w:pP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pPr>
      <w:bookmarkStart w:id="55" w:name="_Toc14220"/>
      <w:bookmarkStart w:id="56" w:name="_Toc9929"/>
      <w:bookmarkStart w:id="57" w:name="_Toc4378"/>
      <w:bookmarkStart w:id="58" w:name="_Toc27274"/>
      <w:bookmarkStart w:id="59" w:name="_Toc21204"/>
      <w: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t>3响应文件</w:t>
      </w:r>
      <w:bookmarkEnd w:id="55"/>
      <w:bookmarkEnd w:id="56"/>
      <w:bookmarkEnd w:id="57"/>
      <w:bookmarkEnd w:id="58"/>
      <w:bookmarkEnd w:id="59"/>
    </w:p>
    <w:p w14:paraId="5CAED806">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bookmarkStart w:id="60" w:name="_Toc2293"/>
      <w:bookmarkStart w:id="61" w:name="_Toc22194"/>
      <w:bookmarkStart w:id="62" w:name="_Toc8640"/>
      <w:bookmarkStart w:id="63" w:name="_Toc3383"/>
      <w:bookmarkStart w:id="64" w:name="_Toc9830"/>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3.1响应文件的组成</w:t>
      </w:r>
      <w:bookmarkEnd w:id="60"/>
      <w:bookmarkEnd w:id="61"/>
      <w:bookmarkEnd w:id="62"/>
      <w:bookmarkEnd w:id="63"/>
      <w:bookmarkEnd w:id="64"/>
    </w:p>
    <w:p w14:paraId="611AC0E1">
      <w:pPr>
        <w:keepNext w:val="0"/>
        <w:keepLines w:val="0"/>
        <w:pageBreakBefore w:val="0"/>
        <w:widowControl w:val="0"/>
        <w:kinsoku/>
        <w:wordWrap/>
        <w:overflowPunct/>
        <w:topLinePunct w:val="0"/>
        <w:autoSpaceDE/>
        <w:autoSpaceDN/>
        <w:bidi w:val="0"/>
        <w:adjustRightInd w:val="0"/>
        <w:snapToGrid w:val="0"/>
        <w:spacing w:line="440" w:lineRule="exact"/>
        <w:ind w:left="239" w:leftChars="114"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3.1.1年响应文件应包括下列内容:</w:t>
      </w:r>
    </w:p>
    <w:p w14:paraId="11C6E40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响应函;</w:t>
      </w:r>
    </w:p>
    <w:p w14:paraId="74DC6F9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授权委托书;</w:t>
      </w:r>
    </w:p>
    <w:p w14:paraId="5E76227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响应</w:t>
      </w:r>
      <w:r>
        <w:rPr>
          <w:rFonts w:hint="eastAsia" w:ascii="宋体" w:hAnsi="宋体" w:eastAsia="宋体" w:cs="宋体"/>
          <w:color w:val="000000" w:themeColor="text1"/>
          <w:sz w:val="24"/>
          <w:szCs w:val="24"/>
          <w:highlight w:val="none"/>
          <w:lang w:val="en-US" w:eastAsia="zh-CN"/>
          <w14:textFill>
            <w14:solidFill>
              <w14:schemeClr w14:val="tx1"/>
            </w14:solidFill>
          </w14:textFill>
        </w:rPr>
        <w:t>报价</w:t>
      </w:r>
      <w:r>
        <w:rPr>
          <w:rFonts w:hint="eastAsia" w:ascii="宋体" w:hAnsi="宋体" w:eastAsia="宋体" w:cs="宋体"/>
          <w:color w:val="000000" w:themeColor="text1"/>
          <w:sz w:val="24"/>
          <w:szCs w:val="24"/>
          <w:highlight w:val="none"/>
          <w14:textFill>
            <w14:solidFill>
              <w14:schemeClr w14:val="tx1"/>
            </w14:solidFill>
          </w14:textFill>
        </w:rPr>
        <w:t>;</w:t>
      </w:r>
    </w:p>
    <w:p w14:paraId="1241F63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eastAsia="zh-CN"/>
          <w14:textFill>
            <w14:solidFill>
              <w14:schemeClr w14:val="tx1"/>
            </w14:solidFill>
          </w14:textFill>
        </w:rPr>
        <w:t>）商务和技术偏差表;</w:t>
      </w:r>
    </w:p>
    <w:p w14:paraId="681B0C2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）资格审查资料;</w:t>
      </w:r>
    </w:p>
    <w:p w14:paraId="3C1B8E9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eastAsia="zh-CN"/>
          <w14:textFill>
            <w14:solidFill>
              <w14:schemeClr w14:val="tx1"/>
            </w14:solidFill>
          </w14:textFill>
        </w:rPr>
        <w:t>）响应方案;</w:t>
      </w:r>
    </w:p>
    <w:p w14:paraId="48E0F3D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lang w:eastAsia="zh-CN"/>
          <w14:textFill>
            <w14:solidFill>
              <w14:schemeClr w14:val="tx1"/>
            </w14:solidFill>
          </w14:textFill>
        </w:rPr>
        <w:t>）其他资料。</w:t>
      </w:r>
    </w:p>
    <w:p w14:paraId="74748D3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3.1.2供应商的法定代表人(单位负责人)亲自签署响应文件、亲自参加询比的，响应文件不包括第3.1.1(2)目所指的授权委托书。第一章“询比采购公告/询比采购邀请书”规定不接受联合体的，或供应商没有组成联合体的，响应文件不包括第3.1.1(3)目所指的联合体协议书。供应商须知前附表未要求供应商递交响应保证金的，响应文件不包括第3.1.1(4)目所指的响应保证金。</w:t>
      </w:r>
    </w:p>
    <w:p w14:paraId="698EF315">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3.2报价</w:t>
      </w:r>
    </w:p>
    <w:p w14:paraId="6DD30FE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3.2.1供应商应按采购文件提供的格式(见第六章“响应文件格式”)在响应函和报价表中进行报价。响应函中报价应为包含国家规定的增值税在内的含税价格，同时应列明不含税价格和增值税税额，采购人将根据项目情况，在第三章“评审办法”第2.2.2项中选择按照含税价格或不含税价格对供应商进行价格评审。</w:t>
      </w:r>
    </w:p>
    <w:p w14:paraId="7C94FD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17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3.2.2.供应商应充分了解采购项目的总体情况以及影响报价的其他要素。对于货物和服务采购项目，采购人在签署采购合同时及合同履行过程中，有权在供应商须知前附表规定的幅度内对采购标的的数量进行增加或减少。</w:t>
      </w:r>
    </w:p>
    <w:p w14:paraId="26AFC65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17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3.2.3采购人设有最高限价的，供应商的报价不得超过最高限价。最高限价或最高限价计算方法在供应商须知前附表中载明。</w:t>
      </w:r>
    </w:p>
    <w:p w14:paraId="246AFCF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17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3.2.4报价的其他要求见供应商须知前附表。</w:t>
      </w:r>
    </w:p>
    <w:p w14:paraId="5F96D42D">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bookmarkStart w:id="65" w:name="_Toc173"/>
      <w:bookmarkStart w:id="66" w:name="_Toc23687"/>
      <w:bookmarkStart w:id="67" w:name="_Toc13813"/>
      <w:bookmarkStart w:id="68" w:name="_Toc23421"/>
      <w:bookmarkStart w:id="69" w:name="_Toc1051"/>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3.3响应文件有效期</w:t>
      </w:r>
      <w:bookmarkEnd w:id="65"/>
      <w:bookmarkEnd w:id="66"/>
      <w:bookmarkEnd w:id="67"/>
      <w:bookmarkEnd w:id="68"/>
      <w:bookmarkEnd w:id="69"/>
    </w:p>
    <w:p w14:paraId="034859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17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3.3.1除供应商须知前附表另有规定外，响应文件有效期应为</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自供应商提交询比响应文件截止之日起计算90天</w:t>
      </w:r>
      <w:r>
        <w:rPr>
          <w:rFonts w:hint="eastAsia" w:ascii="宋体" w:hAnsi="宋体" w:eastAsia="宋体" w:cs="宋体"/>
          <w:color w:val="000000" w:themeColor="text1"/>
          <w:sz w:val="24"/>
          <w:szCs w:val="24"/>
          <w:highlight w:val="none"/>
          <w14:textFill>
            <w14:solidFill>
              <w14:schemeClr w14:val="tx1"/>
            </w14:solidFill>
          </w14:textFill>
        </w:rPr>
        <w:t>，从采购文件规定的递交响应文件的截止时间开始计算。</w:t>
      </w:r>
    </w:p>
    <w:p w14:paraId="4D5F323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3.3.2出现特殊情况需要延长响应文件有效期的，采购人以书面形式通知所有供应商延长响应文件有效期，供应商应予以书面答复。同意延长的，应相应延长其响应保证金的有效期，但不得修改其响应文件;供应商拒绝延长的，其响应文件在原有效期届满后失效，但供应商有权收回其响应保证金。</w:t>
      </w:r>
    </w:p>
    <w:p w14:paraId="11C8B177">
      <w:pPr>
        <w:spacing w:line="360" w:lineRule="auto"/>
        <w:rPr>
          <w:rFonts w:hint="eastAsia" w:asciiTheme="minorEastAsia" w:hAnsiTheme="minorEastAsia" w:eastAsiaTheme="minorEastAsia" w:cstheme="minorEastAsia"/>
          <w:b/>
          <w:bCs/>
          <w:color w:val="000000" w:themeColor="text1"/>
          <w:sz w:val="28"/>
          <w:szCs w:val="28"/>
          <w:lang w:val="zh-TW"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t>3.4响应保证金</w:t>
      </w:r>
    </w:p>
    <w:p w14:paraId="1F9B93B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3.4.1供应商须知前附表规定要求递交响应保证金的，供应商在递交响应文件的同时，应按供应商须知前附表规定的金额、形式和采购文件提供的格式(见第六章“响应文件格式”四、响应保证金)递交响应保证金，并作为其响应文件的组成部分。供应商不按要求递交响应保证金的，其响应文件将被视为无效。</w:t>
      </w:r>
    </w:p>
    <w:p w14:paraId="46DE509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3.4.2除供应商须知前附表另有规定外，采购人将在发出成交通知书后5日内向除候选成交供应商外的其他供应商原额退还响应保证金，并在采购合同签订后5日内向成交供应商和未成交的其他候选成交供应商原额退还响应保证金。采用银行保函、担保机构担保函、保险机构保险单形式递交的响应保证金，经供应商同意后采购人可以不再退还。</w:t>
      </w:r>
    </w:p>
    <w:p w14:paraId="3EE4E6B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3.4.3有下列情形之一的，响应保证金将不予退还:</w:t>
      </w:r>
    </w:p>
    <w:p w14:paraId="48C67DE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(1)供应商在响应文件有效期内撤销响应文件;</w:t>
      </w:r>
    </w:p>
    <w:p w14:paraId="153F9E4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(2)成交供应商在收到成交通知书后，无正当理由不与采购人订立合同，在签订合同时向采购人提出附加条件，或者不按照采购文件要求递交履约保证金;</w:t>
      </w:r>
    </w:p>
    <w:p w14:paraId="4A1D508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(3)发生供应商须知前附表规定的其他不予退还响应保证金的情形。</w:t>
      </w:r>
    </w:p>
    <w:p w14:paraId="723CB0AA">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3.5资格审查资料</w:t>
      </w:r>
    </w:p>
    <w:p w14:paraId="3192C98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供应商应提供供应商须知前附表3.5中规定的资格审查资料，以证明其满足第一章“询比采购公告/询比采购邀请书”对供应商的各项资格要求。</w:t>
      </w:r>
    </w:p>
    <w:p w14:paraId="3BC8231B">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3.6响应方案</w:t>
      </w:r>
    </w:p>
    <w:p w14:paraId="7BB85F3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3.6.1响应文件应当对采购文件中的实质性内容作出响应。采购需求中明确为关键条款(标记“*”)的，供应商还应按照供应商须知前附表的规定提供有关证据或证明材料。</w:t>
      </w:r>
    </w:p>
    <w:p w14:paraId="53A2425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3.6.2供应商只能提出唯</w:t>
      </w:r>
      <w:r>
        <w:rPr>
          <w:rFonts w:hint="eastAsia" w:ascii="宋体" w:hAnsi="宋体" w:eastAsia="宋体" w:cs="宋体"/>
          <w:color w:val="000000" w:themeColor="text1"/>
          <w:sz w:val="24"/>
          <w:szCs w:val="24"/>
          <w:highlight w:val="none"/>
          <w:lang w:eastAsia="zh-CN"/>
          <w14:textFill>
            <w14:solidFill>
              <w14:schemeClr w14:val="tx1"/>
            </w14:solidFill>
          </w14:textFill>
        </w:rPr>
        <w:t>一</w:t>
      </w:r>
      <w:r>
        <w:rPr>
          <w:rFonts w:hint="eastAsia" w:ascii="宋体" w:hAnsi="宋体" w:eastAsia="宋体" w:cs="宋体"/>
          <w:color w:val="000000" w:themeColor="text1"/>
          <w:sz w:val="24"/>
          <w:szCs w:val="24"/>
          <w:highlight w:val="none"/>
          <w14:textFill>
            <w14:solidFill>
              <w14:schemeClr w14:val="tx1"/>
            </w14:solidFill>
          </w14:textFill>
        </w:rPr>
        <w:t>的响应方案。供应商在响应文件中提出多个响应方案的，其响应文件将被视为无效。</w:t>
      </w:r>
    </w:p>
    <w:p w14:paraId="1D41E01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3.6.3响应文件对采购文件的全部偏差，均应在响应文件的商务和技术偏差表中列明。响应文件偏差表中未列明的内容，将视为供应商响应采购文件的要求;但如发现响应文件的其他部分与商务和技术偏差表的描述不一致或供应商的响应缺乏支持性文件，则评审小组有权要求供应商对相关问题进行澄清，并根据澄清结果对供应商的响应文件进行评审。</w:t>
      </w:r>
    </w:p>
    <w:p w14:paraId="791041E5">
      <w:pPr>
        <w:spacing w:line="360" w:lineRule="auto"/>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pPr>
      <w:bookmarkStart w:id="70" w:name="_Toc29620"/>
      <w:bookmarkStart w:id="71" w:name="_Toc3639"/>
      <w:bookmarkStart w:id="72" w:name="_Toc16155"/>
      <w:bookmarkStart w:id="73" w:name="_Toc5911"/>
      <w:bookmarkStart w:id="74" w:name="_Toc3448"/>
      <w:r>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t>3.7响应文件的编制</w:t>
      </w:r>
      <w:bookmarkEnd w:id="70"/>
      <w:bookmarkEnd w:id="71"/>
      <w:bookmarkEnd w:id="72"/>
      <w:bookmarkEnd w:id="73"/>
      <w:bookmarkEnd w:id="74"/>
    </w:p>
    <w:p w14:paraId="69C7CB4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3.7.1响应文件应按第六章“响应文件格式”进行编写，如有必要，可以增加附页，作为响应文件的组成部分。</w:t>
      </w:r>
    </w:p>
    <w:p w14:paraId="12817C3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3.7.2响应文件应用不褪色的材料书写或打印。</w:t>
      </w:r>
    </w:p>
    <w:p w14:paraId="7D2D05D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响应函应由供应商的法定代表人(单位负责人)或其授权的代理人签字并加盖单位章。</w:t>
      </w:r>
    </w:p>
    <w:p w14:paraId="2BB9FC3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联合体协议书(如有)应由联合体各方的法定代表人(单位负责人)或其授权的代理人签字并加盖单位章。</w:t>
      </w:r>
    </w:p>
    <w:p w14:paraId="1DF6985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响应函或联合体协议书(如有)由代理人签字的，应在响应文件中附授权委托书，授权委托书应由供应商或联合体各方的法定代表人(单位负责人)签字并加盖单位章。</w:t>
      </w:r>
    </w:p>
    <w:p w14:paraId="1729F33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3.7.3评审过程中供应商对响应文件的澄清、说明和补正应由供应商的法定代表人(单位负责人)或其授权的代理人签字或加盖单位章。</w:t>
      </w:r>
    </w:p>
    <w:p w14:paraId="0117B03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3.7.4响应文件应尽量避免涂改、行间插字或删除。如果出现上述情况，改动之处应由供应商的法定代表人(单位负责人)或其授权的代理人签字或加盖单位章。</w:t>
      </w:r>
    </w:p>
    <w:p w14:paraId="1025D6A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3.7.5响应文件正本</w:t>
      </w:r>
      <w:r>
        <w:rPr>
          <w:rFonts w:hint="eastAsia" w:ascii="宋体" w:hAnsi="宋体" w:eastAsia="宋体" w:cs="宋体"/>
          <w:color w:val="000000" w:themeColor="text1"/>
          <w:sz w:val="24"/>
          <w:szCs w:val="24"/>
          <w:highlight w:val="none"/>
          <w:lang w:eastAsia="zh-CN"/>
          <w14:textFill>
            <w14:solidFill>
              <w14:schemeClr w14:val="tx1"/>
            </w14:solidFill>
          </w14:textFill>
        </w:rPr>
        <w:t>一</w:t>
      </w:r>
      <w:r>
        <w:rPr>
          <w:rFonts w:hint="eastAsia" w:ascii="宋体" w:hAnsi="宋体" w:eastAsia="宋体" w:cs="宋体"/>
          <w:color w:val="000000" w:themeColor="text1"/>
          <w:sz w:val="24"/>
          <w:szCs w:val="24"/>
          <w:highlight w:val="none"/>
          <w14:textFill>
            <w14:solidFill>
              <w14:schemeClr w14:val="tx1"/>
            </w14:solidFill>
          </w14:textFill>
        </w:rPr>
        <w:t>份，副本份数见供应商须知前附表。正本和副本的封面右上角应清楚地标记“正本”或“副本”的字样。供应商应根据供应商须知前附表要求提供电子版文件。当副本和正本不一致或电子版文件和纸质正本文件不一致时，以纸质正本文件为准。</w:t>
      </w:r>
    </w:p>
    <w:p w14:paraId="1FF0E7B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3.7.6响应文件的正本与副本应分别装订，并编制目录。响应文件需分册装订的，具体分册装订要求见供应商须知前附表规定。</w:t>
      </w:r>
    </w:p>
    <w:p w14:paraId="0E148FD5">
      <w:pP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t>4响应文件的递交</w:t>
      </w:r>
    </w:p>
    <w:p w14:paraId="33B63D9A">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4.1响应文件的包装与标记</w:t>
      </w:r>
    </w:p>
    <w:p w14:paraId="05E0AEB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4.1.1响应文件应密封包装，未密封的响应文件，采购人将拒绝接收。</w:t>
      </w:r>
    </w:p>
    <w:p w14:paraId="58159D5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4.1.2响应文件封套上应载明的内容见供应商须知前附表。</w:t>
      </w:r>
    </w:p>
    <w:p w14:paraId="71B6A03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4.2响应文件的递交</w:t>
      </w:r>
    </w:p>
    <w:p w14:paraId="39BBE56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4.2.1供应商应在供应商须知前附表规定的递交响应文件的截止时间前，将响应文件递交到供应商须知前附表规定的地点。逾期送达的或者未送达指定地点的响应文件，采购人将拒绝接收。采购人收到响应文件后，向供应商出具接收凭证。</w:t>
      </w:r>
    </w:p>
    <w:p w14:paraId="4F706F4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4.2.2除供应商须知前附表另有规定外，供应商所递交的响应文件不予退还。</w:t>
      </w:r>
    </w:p>
    <w:p w14:paraId="1871FC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4.3响应文件的修改与撤回</w:t>
      </w:r>
    </w:p>
    <w:p w14:paraId="0077645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4.3.1在本章第4.2.1项规定的递交响应文件的截止时间前，供应商可以修改或撤回已递交的响应文件，但应以书面形式通知采购人。</w:t>
      </w:r>
    </w:p>
    <w:p w14:paraId="20AC40B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4.3.2响应文件的修改文件或供应商撤回已递交响应文件的书面通知应由供应商的法定代表人(单位负责人)或其授权的代理人签字并加盖单位章。采购人收到供应商修改响应文件的书面文件后，向供应商出具接收凭证;采购人收到供应商撤回响应文件的书面通知后，退回供应商的响应文件。</w:t>
      </w:r>
    </w:p>
    <w:p w14:paraId="0D1367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4.3.3除供应商须知前附表另有规定外，供应商撒回响应文件的，采购人应在5日内退还已收取的响应保证金。</w:t>
      </w:r>
    </w:p>
    <w:p w14:paraId="660CB6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4.3.4修改的内容为响应文件的组成部分。响应文件的修改文件应按照本章第3条、第4条的规定进行编制、包装、标记和递交，并标明“修改”字样。</w:t>
      </w:r>
    </w:p>
    <w:p w14:paraId="1935F0B0">
      <w:pP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t>5开启响应文件</w:t>
      </w:r>
    </w:p>
    <w:p w14:paraId="7A2D7285">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5.1开启响应文件的时间和地点</w:t>
      </w:r>
    </w:p>
    <w:p w14:paraId="652C55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采购人在本章第4.2.1项规定的递交响应文件的截止时间和地点公开开启响应文件，并邀请所有供应商的法定代表人(单位负责人)或其授权的代理人参加开启会议，供应商未派代表参加的，视为默认开启结果。</w:t>
      </w:r>
    </w:p>
    <w:p w14:paraId="6438DD75">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5.2开启程序</w:t>
      </w:r>
    </w:p>
    <w:p w14:paraId="64C5B2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主持人按下列程序公开开启响应文件:</w:t>
      </w:r>
    </w:p>
    <w:p w14:paraId="211888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（1）宣布开启会议纪律;</w:t>
      </w:r>
    </w:p>
    <w:p w14:paraId="561012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（2）宣布参加开启会议的工作人员姓名;</w:t>
      </w:r>
    </w:p>
    <w:p w14:paraId="5D91E5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供应商代表检查确认响应文件的密封情况;</w:t>
      </w:r>
    </w:p>
    <w:p w14:paraId="12C884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按照供应商须知前附表规定的开启顺序开启响应文件,公布递交响应文件的供应商名称、响应报价及供应商须知前附表规定的其他应公布的信息，并记录在案;</w:t>
      </w:r>
    </w:p>
    <w:p w14:paraId="414A7D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供应商代表及相关工作人员等在响应文件开启记录上签字确认;</w:t>
      </w:r>
    </w:p>
    <w:p w14:paraId="08BDDA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宣布有关注意事项;</w:t>
      </w:r>
    </w:p>
    <w:p w14:paraId="249FF6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开启会议结束。</w:t>
      </w:r>
    </w:p>
    <w:p w14:paraId="5B97B22F">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5.3递交响应文件的供应商不足的情形</w:t>
      </w:r>
    </w:p>
    <w:p w14:paraId="13117B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采购项目选择一家成交供应商时，递交响应文件的供应商数量不足三家的，或采购项目选择多家成交供应商时，递交响应文件的供应商数量少于供应商须知前附表规定数量的，采购人可按照下述情形分别处理:</w:t>
      </w:r>
    </w:p>
    <w:p w14:paraId="4823268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(1)终止询比并重新组织采购</w:t>
      </w:r>
    </w:p>
    <w:p w14:paraId="339829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采购项目存在影响公平竞争情形的，采购人应当终止询比采购，并根据不同情形和原因，采取相应纠正措施，重新组织采购。</w:t>
      </w:r>
    </w:p>
    <w:p w14:paraId="77674E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采购项目不存在影响公平竞争情形的，采购人也可以选择终止询比采购，采取相应完善措施，重新组织采购。</w:t>
      </w:r>
    </w:p>
    <w:p w14:paraId="14EC82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(2)继续询比采购</w:t>
      </w:r>
    </w:p>
    <w:p w14:paraId="6AC01D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项目不存在应该终止询比情形，且采购人也没有自行选择终止询比采购的，采购人应按照本章第5.2款规定的程序继续开启响应文件，并按第三章“评审办法”规定的规则组织响应文件评审，完成询比采购后续程序。</w:t>
      </w:r>
    </w:p>
    <w:p w14:paraId="626014D4">
      <w:pP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t>6评审</w:t>
      </w:r>
    </w:p>
    <w:p w14:paraId="18307F4B">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6.1评审小组</w:t>
      </w:r>
    </w:p>
    <w:p w14:paraId="60B4D8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6.1.1评审由采购人组建的评审小组负责。</w:t>
      </w:r>
    </w:p>
    <w:p w14:paraId="75EB97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6.1.2评审小组成员有下列情形之一的，应当回避:</w:t>
      </w:r>
    </w:p>
    <w:p w14:paraId="094C36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(1)供应商主要负责人或供应商主要负责人的近亲属;</w:t>
      </w:r>
    </w:p>
    <w:p w14:paraId="3FA24C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(2)与供应商有经济利益关系或其他利害关系，可能影响公正评审的。</w:t>
      </w:r>
    </w:p>
    <w:p w14:paraId="528D70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6.1.3评审小组组建后，评审小组成员共同推选或由采购人指定评审小组组长,评审小组组长负责组织评审工作。</w:t>
      </w:r>
    </w:p>
    <w:p w14:paraId="58CA28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6.1.4在评审过程中，评审小组成员对需要共同认定的事项存在争议的，将按照少数服从多数的原则作出结论。持不同意见的评审小组成员应当在评审报告上签署不同意见及理由，否则视为同意评审报告。</w:t>
      </w:r>
    </w:p>
    <w:p w14:paraId="4CE386D6">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6.2评审</w:t>
      </w:r>
    </w:p>
    <w:p w14:paraId="6B46E7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6.2.1评审小组按照第三章“评审办法”规定的评审标准和程序对响应文件进行评审和比较。</w:t>
      </w:r>
    </w:p>
    <w:p w14:paraId="5C21E9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6.2.2评审完成后，评审小组应当向采购人提交书面评审报告和候选成交供应商名单。评审小组推荐候选成交供应商的排序要求及数量见供应商须知前附表。</w:t>
      </w:r>
    </w:p>
    <w:p w14:paraId="45017C21">
      <w:pP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t>7合同授予</w:t>
      </w:r>
    </w:p>
    <w:p w14:paraId="03662F7A">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7.1候选成交供应商履约能力核查</w:t>
      </w:r>
    </w:p>
    <w:p w14:paraId="023D38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可对候选成交供应商的相关证明材料原件进行核验或组织现场考察,以确认候选成交供应商的生产经营、财务等实际状况与响应文件是否一致及是否存在其他可能影响供应商履约能力的情况。核查结果将作为采购人选择确定预成交供应商的依据之一。</w:t>
      </w:r>
    </w:p>
    <w:p w14:paraId="014B0F59">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7.2确定预成交供应商</w:t>
      </w:r>
    </w:p>
    <w:p w14:paraId="688214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采购人将根据评审报告及核查结果(如有)，对候选成交供应商综合评估后从中选择确定预成交供应商。</w:t>
      </w:r>
    </w:p>
    <w:p w14:paraId="4D50BC19">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7.3预成交结果公示</w:t>
      </w:r>
    </w:p>
    <w:p w14:paraId="5179CC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预成交供应商选定后，采购人将按照供应商须知前附表规定的公示媒介和公示期限进行公示，公示信息包括如下内容:</w:t>
      </w:r>
    </w:p>
    <w:p w14:paraId="46D9AC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所有候选成交供应商名称、响应价格及工期/交货期/服务期限;</w:t>
      </w:r>
    </w:p>
    <w:p w14:paraId="6E4E66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预成交供应商名称、预成交份额(如有)及选择原因;</w:t>
      </w:r>
    </w:p>
    <w:p w14:paraId="18B511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供应商须知前附表规定的其他内容。</w:t>
      </w:r>
    </w:p>
    <w:p w14:paraId="491169B0">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7.4发出成交通知书</w:t>
      </w:r>
    </w:p>
    <w:p w14:paraId="174FBB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公示期结束后，在本章第3.3款规定的响应文件有效期内，采购人以书面形式向预成交供应商发出成交通知书。</w:t>
      </w:r>
    </w:p>
    <w:p w14:paraId="6B306D59">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7.5发布成交公告</w:t>
      </w:r>
    </w:p>
    <w:p w14:paraId="1DEF56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在发出成交通知书的同时，采购人将在供应商须知前附表规定的公告媒介发布成交公告，公告信息包括成交供应商名称、响应价格及工期/交货期/服务期限、成交份额(如有)及供应商须知前附表规定的其他内容。</w:t>
      </w:r>
    </w:p>
    <w:p w14:paraId="06D1FF88">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7.6履约保证金</w:t>
      </w:r>
    </w:p>
    <w:p w14:paraId="6D5E51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供应商须知前附表规定递交履约保证金的，成交供应商应按供应商须知前附表规定的形式、有效期限和递交时间向采购人递交履约保证金。除供应商须知前附表另有规定外，履约保证金为采购合同金额的</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w:t>
      </w:r>
    </w:p>
    <w:p w14:paraId="6A1E0316">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7.7签订合同</w:t>
      </w:r>
    </w:p>
    <w:p w14:paraId="0BCD07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7.7.1采购人和成交供应商应当在成交通知书规定的期限内，根据采购文件和成交供应商的响应文件订立书面合同。成交供应商无正当理由拒绝签订合同，在签订合同时向采购人提出附加条件，或者不按照采购文件要求递交履约保证金的，采购人取消其成交资格，其响应保证金不予退还;给采购人造成的损失超过响应保证金数额的，成交供应商还应当对超过部分予以赔偿。</w:t>
      </w:r>
    </w:p>
    <w:p w14:paraId="75A0AB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7.7.2发出成交通知书后，采购人无正当理由拒绝签订合同，或者在签订合同时向成交供应商提出附加条件的，采购人向成交供应商退还响应保证金;给成交供应商造成损失的，还应当赔偿损失。</w:t>
      </w:r>
    </w:p>
    <w:p w14:paraId="2EEDD4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7.7.3联合体成交的，联合体各方应当共同与采购人签订合同，就成交项目向采购人承担连带责任。</w:t>
      </w:r>
    </w:p>
    <w:p w14:paraId="204CD3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7.7.4除供应商须知前附表另有规定外，按照第三章“评审办法”第2.2.3项规定对响应报价进行修正后，若修正后的响应报价小于按照第三章“评审办法”第2.2.2项规定确定的评审价格，则签订合同时以修正后的响应报价为准;若修正后的响应报价大于评审价格，则签订合同时以评审价格为准，同时按比例修正相应子目的单价或合价(采购文件不允许调整的费率和金额除外)。</w:t>
      </w:r>
    </w:p>
    <w:p w14:paraId="2E07B186">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7.8特殊情形处理</w:t>
      </w:r>
    </w:p>
    <w:p w14:paraId="499AD8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因供应商对预成交结果提出异议、成交供应商无正当理由拒绝签订合同、成交供应商在签订合同时向采购人提出附加条件或者不按照采购文件要求递交履约保证金等导致采购人变更成交结果的，采购人应按照本条规定的程序重新选择确定预成交供应商、进行公示并公告。</w:t>
      </w:r>
    </w:p>
    <w:p w14:paraId="5B8822C8">
      <w:pP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t>8异议</w:t>
      </w:r>
    </w:p>
    <w:p w14:paraId="783EBDC9">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8.1提出异议</w:t>
      </w:r>
    </w:p>
    <w:p w14:paraId="5A4153E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供应商或者其他利害关系人可以对预成交结果提出异议。异议应在预成交结果公示期间通过供应商须知前附表规定的异议渠道提出,并递交异议丽和必要的证明材料。异议函包括但不限于下列内容:</w:t>
      </w:r>
    </w:p>
    <w:p w14:paraId="383C248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(1)异议人名称、地址、邮政编码、联系人及联系电话;</w:t>
      </w:r>
    </w:p>
    <w:p w14:paraId="06D8096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(2)具体、明确的异议事项、事实依据及与异议事项相关的请求。</w:t>
      </w:r>
    </w:p>
    <w:p w14:paraId="725E43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异议函应由异议人的法定代表人(单位负责人)或其授权的代理人签字并加盖单位章。</w:t>
      </w:r>
    </w:p>
    <w:p w14:paraId="22CDDB9A">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8.2异议处理</w:t>
      </w:r>
    </w:p>
    <w:p w14:paraId="3ABC7A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将针对异议事项进行核查，经过核查，发现异议人对相关问题理解有误的，应作出解释;发现采购活动中确实存在错误或不当行为的，应及时予以改正或补救。异议人与采购人对异议事项无法达成一致的，异议人可向供应商须知前附表规定的行业组织或专业咨询机构申请调解或进行反映。</w:t>
      </w:r>
    </w:p>
    <w:p w14:paraId="0FC034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采购人认为异议不成立或不影响采购结果的，可以继续进行采购活动。</w:t>
      </w:r>
    </w:p>
    <w:p w14:paraId="24A27706">
      <w:pP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t>9纪律要求</w:t>
      </w:r>
    </w:p>
    <w:p w14:paraId="420EE5E6">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9.1对采购人的纪律要求</w:t>
      </w:r>
    </w:p>
    <w:p w14:paraId="490D42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采购人不得泄露询比采购活动中应当保密的情况和资料，不得与供应商串通损害国家利益、社会公共利益或者他人合法权益。</w:t>
      </w:r>
    </w:p>
    <w:p w14:paraId="0C0EDB4E">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9.2对供应商的纪律要求</w:t>
      </w:r>
    </w:p>
    <w:p w14:paraId="20F355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供应商不得相互串通或者与采购人串通，不得向采购人或者评审小组成员行贿谋取成交，不得以他人名义参加询比采购活动或者以其他方式弄虚作假骗取成交;供应商不得以任何方式干扰、影响评审工作。</w:t>
      </w:r>
    </w:p>
    <w:p w14:paraId="31D29444">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9.3对评审小组成员的纪律要求</w:t>
      </w:r>
    </w:p>
    <w:p w14:paraId="672A9E4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审小组成员不得收受他人的财物或者其他好处，不得向他人透露对响应文件的评审和比较、候选成交供应商的推荐情况以及评审有关的其他情况。在评审活动中,评审小组成员应当客观、公正地履行职责，遵守职业道德，不得擅离职守，影响评审工作正常进行，不得使用第三章“评审办法”没有规定的评审因素和标准进行评审。</w:t>
      </w:r>
    </w:p>
    <w:p w14:paraId="6B380B0A">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9.4对与询比活动有关的工作人员的纪律要求</w:t>
      </w:r>
    </w:p>
    <w:p w14:paraId="0307E93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与询比活动有关的工作人员不得收受他人的财物或者其他好处，不得向他人透露对响应文件的评审和比较、候选成交供应商的推荐情况以及询比有关的其他情况。在询比活动中，与询比活动有关的工作人员不得擅离职守，影响评审工作正常进行。</w:t>
      </w:r>
    </w:p>
    <w:p w14:paraId="6AAD8E28">
      <w:pP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t>10需要补充的其他内容</w:t>
      </w:r>
    </w:p>
    <w:p w14:paraId="2BA66DA0">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10.1采购代理服务费</w:t>
      </w:r>
    </w:p>
    <w:p w14:paraId="66097F1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供应商须知前附表规定由供应商承担采购代理服务费的，供应商应按照供应商须知前附表规定的费用标准或金额、交费时间和方式向采购代理机构支付代理服务费。</w:t>
      </w:r>
    </w:p>
    <w:p w14:paraId="7B04E13F">
      <w:pPr>
        <w:spacing w:line="360" w:lineRule="auto"/>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10.2其他</w:t>
      </w:r>
    </w:p>
    <w:p w14:paraId="4B4768E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需要补充的其他内容:见供应商须知前附表。</w:t>
      </w:r>
    </w:p>
    <w:p w14:paraId="2E817305">
      <w:pP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br w:type="page"/>
      </w:r>
    </w:p>
    <w:p w14:paraId="42215105">
      <w:pPr>
        <w:bidi w:val="0"/>
        <w:rPr>
          <w:rFonts w:hint="eastAsia"/>
          <w:b/>
          <w:bCs/>
          <w:color w:val="000000" w:themeColor="text1"/>
          <w:sz w:val="28"/>
          <w:szCs w:val="28"/>
          <w:highlight w:val="none"/>
          <w14:textFill>
            <w14:solidFill>
              <w14:schemeClr w14:val="tx1"/>
            </w14:solidFill>
          </w14:textFill>
        </w:rPr>
      </w:pPr>
      <w:bookmarkStart w:id="75" w:name="_Toc501257119"/>
      <w:bookmarkStart w:id="76" w:name="_Toc517377104"/>
      <w:r>
        <w:rPr>
          <w:b/>
          <w:bCs/>
          <w:color w:val="000000" w:themeColor="text1"/>
          <w:sz w:val="28"/>
          <w:szCs w:val="28"/>
          <w:highlight w:val="none"/>
          <w14:textFill>
            <w14:solidFill>
              <w14:schemeClr w14:val="tx1"/>
            </w14:solidFill>
          </w14:textFill>
        </w:rPr>
        <w:t>附件一：开</w:t>
      </w:r>
      <w:r>
        <w:rPr>
          <w:rFonts w:hint="eastAsia"/>
          <w:b/>
          <w:bCs/>
          <w:color w:val="000000" w:themeColor="text1"/>
          <w:sz w:val="28"/>
          <w:szCs w:val="28"/>
          <w:highlight w:val="none"/>
          <w:lang w:val="en-US" w:eastAsia="zh-CN"/>
          <w14:textFill>
            <w14:solidFill>
              <w14:schemeClr w14:val="tx1"/>
            </w14:solidFill>
          </w14:textFill>
        </w:rPr>
        <w:t>启</w:t>
      </w:r>
      <w:r>
        <w:rPr>
          <w:b/>
          <w:bCs/>
          <w:color w:val="000000" w:themeColor="text1"/>
          <w:sz w:val="28"/>
          <w:szCs w:val="28"/>
          <w:highlight w:val="none"/>
          <w14:textFill>
            <w14:solidFill>
              <w14:schemeClr w14:val="tx1"/>
            </w14:solidFill>
          </w14:textFill>
        </w:rPr>
        <w:t>记录表</w:t>
      </w:r>
    </w:p>
    <w:p w14:paraId="0725F4C4">
      <w:pPr>
        <w:spacing w:line="440" w:lineRule="exact"/>
        <w:ind w:firstLine="560"/>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u w:val="single"/>
          <w:lang w:val="en-US" w:eastAsia="zh-CN"/>
          <w14:textFill>
            <w14:solidFill>
              <w14:schemeClr w14:val="tx1"/>
            </w14:solidFill>
          </w14:textFill>
        </w:rPr>
        <w:t xml:space="preserve">         </w:t>
      </w:r>
      <w:r>
        <w:rPr>
          <w:rFonts w:eastAsia="黑体"/>
          <w:color w:val="000000" w:themeColor="text1"/>
          <w:sz w:val="28"/>
          <w:szCs w:val="28"/>
          <w14:textFill>
            <w14:solidFill>
              <w14:schemeClr w14:val="tx1"/>
            </w14:solidFill>
          </w14:textFill>
        </w:rPr>
        <w:t>（项目名称）</w:t>
      </w:r>
      <w:r>
        <w:rPr>
          <w:rFonts w:hint="eastAsia" w:eastAsia="黑体"/>
          <w:color w:val="000000" w:themeColor="text1"/>
          <w:sz w:val="28"/>
          <w:szCs w:val="28"/>
          <w14:textFill>
            <w14:solidFill>
              <w14:schemeClr w14:val="tx1"/>
            </w14:solidFill>
          </w14:textFill>
        </w:rPr>
        <w:t>开启</w:t>
      </w:r>
      <w:r>
        <w:rPr>
          <w:rFonts w:eastAsia="黑体"/>
          <w:color w:val="000000" w:themeColor="text1"/>
          <w:sz w:val="28"/>
          <w:szCs w:val="28"/>
          <w14:textFill>
            <w14:solidFill>
              <w14:schemeClr w14:val="tx1"/>
            </w14:solidFill>
          </w14:textFill>
        </w:rPr>
        <w:t>记录表</w:t>
      </w:r>
    </w:p>
    <w:p w14:paraId="0B7DF359">
      <w:pPr>
        <w:spacing w:line="440" w:lineRule="exact"/>
        <w:ind w:firstLine="48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开启</w:t>
      </w:r>
      <w:r>
        <w:rPr>
          <w:color w:val="000000" w:themeColor="text1"/>
          <w14:textFill>
            <w14:solidFill>
              <w14:schemeClr w14:val="tx1"/>
            </w14:solidFill>
          </w14:textFill>
        </w:rPr>
        <w:t>时间：</w:t>
      </w:r>
      <w:r>
        <w:rPr>
          <w:rFonts w:hint="eastAsia"/>
          <w:color w:val="000000" w:themeColor="text1"/>
          <w:u w:val="single"/>
          <w:lang w:val="en-US" w:eastAsia="zh-CN"/>
          <w14:textFill>
            <w14:solidFill>
              <w14:schemeClr w14:val="tx1"/>
            </w14:solidFill>
          </w14:textFill>
        </w:rPr>
        <w:t xml:space="preserve">    </w:t>
      </w:r>
      <w:r>
        <w:rPr>
          <w:color w:val="000000" w:themeColor="text1"/>
          <w14:textFill>
            <w14:solidFill>
              <w14:schemeClr w14:val="tx1"/>
            </w14:solidFill>
          </w14:textFill>
        </w:rPr>
        <w:t>年</w:t>
      </w:r>
      <w:r>
        <w:rPr>
          <w:rFonts w:hint="eastAsia"/>
          <w:color w:val="000000" w:themeColor="text1"/>
          <w:u w:val="single"/>
          <w:lang w:val="en-US" w:eastAsia="zh-CN"/>
          <w14:textFill>
            <w14:solidFill>
              <w14:schemeClr w14:val="tx1"/>
            </w14:solidFill>
          </w14:textFill>
        </w:rPr>
        <w:t xml:space="preserve">   </w:t>
      </w:r>
      <w:r>
        <w:rPr>
          <w:color w:val="000000" w:themeColor="text1"/>
          <w14:textFill>
            <w14:solidFill>
              <w14:schemeClr w14:val="tx1"/>
            </w14:solidFill>
          </w14:textFill>
        </w:rPr>
        <w:t>月</w:t>
      </w:r>
      <w:r>
        <w:rPr>
          <w:rFonts w:hint="eastAsia"/>
          <w:color w:val="000000" w:themeColor="text1"/>
          <w:u w:val="single"/>
          <w:lang w:val="en-US" w:eastAsia="zh-CN"/>
          <w14:textFill>
            <w14:solidFill>
              <w14:schemeClr w14:val="tx1"/>
            </w14:solidFill>
          </w14:textFill>
        </w:rPr>
        <w:t xml:space="preserve">   </w:t>
      </w:r>
      <w:r>
        <w:rPr>
          <w:color w:val="000000" w:themeColor="text1"/>
          <w14:textFill>
            <w14:solidFill>
              <w14:schemeClr w14:val="tx1"/>
            </w14:solidFill>
          </w14:textFill>
        </w:rPr>
        <w:t>日</w:t>
      </w:r>
      <w:r>
        <w:rPr>
          <w:rFonts w:hint="eastAsia"/>
          <w:color w:val="000000" w:themeColor="text1"/>
          <w:u w:val="single"/>
          <w:lang w:val="en-US" w:eastAsia="zh-CN"/>
          <w14:textFill>
            <w14:solidFill>
              <w14:schemeClr w14:val="tx1"/>
            </w14:solidFill>
          </w14:textFill>
        </w:rPr>
        <w:t xml:space="preserve">   </w:t>
      </w:r>
      <w:r>
        <w:rPr>
          <w:color w:val="000000" w:themeColor="text1"/>
          <w14:textFill>
            <w14:solidFill>
              <w14:schemeClr w14:val="tx1"/>
            </w14:solidFill>
          </w14:textFill>
        </w:rPr>
        <w:t>时</w:t>
      </w:r>
      <w:r>
        <w:rPr>
          <w:rFonts w:hint="eastAsia"/>
          <w:color w:val="000000" w:themeColor="text1"/>
          <w:u w:val="single"/>
          <w:lang w:val="en-US" w:eastAsia="zh-CN"/>
          <w14:textFill>
            <w14:solidFill>
              <w14:schemeClr w14:val="tx1"/>
            </w14:solidFill>
          </w14:textFill>
        </w:rPr>
        <w:t xml:space="preserve">   </w:t>
      </w:r>
      <w:r>
        <w:rPr>
          <w:color w:val="000000" w:themeColor="text1"/>
          <w14:textFill>
            <w14:solidFill>
              <w14:schemeClr w14:val="tx1"/>
            </w14:solidFill>
          </w14:textFill>
        </w:rPr>
        <w:t>分</w:t>
      </w:r>
    </w:p>
    <w:tbl>
      <w:tblPr>
        <w:tblStyle w:val="23"/>
        <w:tblW w:w="9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156"/>
        <w:gridCol w:w="1244"/>
        <w:gridCol w:w="1298"/>
        <w:gridCol w:w="1735"/>
        <w:gridCol w:w="1009"/>
        <w:gridCol w:w="818"/>
        <w:gridCol w:w="1691"/>
      </w:tblGrid>
      <w:tr w14:paraId="0A291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18" w:type="dxa"/>
            <w:vAlign w:val="center"/>
          </w:tcPr>
          <w:p w14:paraId="1048F5B9">
            <w:pPr>
              <w:spacing w:line="500" w:lineRule="exact"/>
              <w:ind w:left="0" w:leftChars="0" w:right="-105" w:rightChars="-50" w:firstLine="0" w:firstLineChars="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1156" w:type="dxa"/>
            <w:vAlign w:val="center"/>
          </w:tcPr>
          <w:p w14:paraId="04305915">
            <w:pPr>
              <w:spacing w:line="500" w:lineRule="exact"/>
              <w:ind w:left="0" w:leftChars="0" w:right="-105" w:rightChars="-50" w:firstLine="0" w:firstLineChars="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供应商</w:t>
            </w:r>
          </w:p>
        </w:tc>
        <w:tc>
          <w:tcPr>
            <w:tcW w:w="1244" w:type="dxa"/>
            <w:vAlign w:val="center"/>
          </w:tcPr>
          <w:p w14:paraId="785FAD5D">
            <w:pPr>
              <w:spacing w:line="500" w:lineRule="exact"/>
              <w:ind w:left="0" w:leftChars="0" w:right="-105" w:rightChars="-50" w:firstLine="0" w:firstLineChars="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密封情况</w:t>
            </w:r>
          </w:p>
        </w:tc>
        <w:tc>
          <w:tcPr>
            <w:tcW w:w="1298" w:type="dxa"/>
            <w:vAlign w:val="center"/>
          </w:tcPr>
          <w:p w14:paraId="4B45636E">
            <w:pPr>
              <w:spacing w:line="500" w:lineRule="exact"/>
              <w:ind w:left="0" w:leftChars="0" w:right="-105" w:rightChars="-50" w:firstLine="0" w:firstLineChars="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响应</w:t>
            </w:r>
            <w:r>
              <w:rPr>
                <w:rFonts w:hint="eastAsia"/>
                <w:color w:val="000000" w:themeColor="text1"/>
                <w:szCs w:val="21"/>
                <w:lang w:val="en-US" w:eastAsia="zh-CN"/>
                <w14:textFill>
                  <w14:solidFill>
                    <w14:schemeClr w14:val="tx1"/>
                  </w14:solidFill>
                </w14:textFill>
              </w:rPr>
              <w:t>报价</w:t>
            </w:r>
          </w:p>
        </w:tc>
        <w:tc>
          <w:tcPr>
            <w:tcW w:w="1735" w:type="dxa"/>
            <w:vAlign w:val="center"/>
          </w:tcPr>
          <w:p w14:paraId="624102E9">
            <w:pPr>
              <w:spacing w:line="500" w:lineRule="exact"/>
              <w:ind w:left="0" w:leftChars="0" w:right="-105" w:rightChars="-50" w:firstLine="0" w:firstLineChars="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是否超过最高响应限价</w:t>
            </w:r>
          </w:p>
        </w:tc>
        <w:tc>
          <w:tcPr>
            <w:tcW w:w="1009" w:type="dxa"/>
            <w:vAlign w:val="center"/>
          </w:tcPr>
          <w:p w14:paraId="17E45F98">
            <w:pPr>
              <w:spacing w:line="500" w:lineRule="exact"/>
              <w:ind w:left="0" w:leftChars="0" w:right="-105" w:rightChars="-50" w:firstLine="0" w:firstLineChars="0"/>
              <w:jc w:val="center"/>
              <w:rPr>
                <w:rFonts w:hint="eastAsia" w:eastAsiaTheme="minorEastAsia"/>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工期</w:t>
            </w:r>
          </w:p>
        </w:tc>
        <w:tc>
          <w:tcPr>
            <w:tcW w:w="818" w:type="dxa"/>
            <w:vAlign w:val="center"/>
          </w:tcPr>
          <w:p w14:paraId="1FB31F4C">
            <w:pPr>
              <w:spacing w:line="500" w:lineRule="exact"/>
              <w:ind w:left="0" w:leftChars="0" w:right="-105" w:rightChars="-50" w:firstLine="0" w:firstLineChars="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c>
          <w:tcPr>
            <w:tcW w:w="1691" w:type="dxa"/>
            <w:vAlign w:val="center"/>
          </w:tcPr>
          <w:p w14:paraId="5BE52D4F">
            <w:pPr>
              <w:spacing w:line="500" w:lineRule="exact"/>
              <w:ind w:left="0" w:leftChars="0" w:right="-105" w:rightChars="-50" w:firstLine="0" w:firstLineChars="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供应商代表</w:t>
            </w:r>
          </w:p>
          <w:p w14:paraId="6DA0100A">
            <w:pPr>
              <w:spacing w:line="500" w:lineRule="exact"/>
              <w:ind w:left="0" w:leftChars="0" w:right="-105" w:rightChars="-50" w:firstLine="0" w:firstLineChars="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签名</w:t>
            </w:r>
          </w:p>
        </w:tc>
      </w:tr>
      <w:tr w14:paraId="58C2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Pr>
          <w:p w14:paraId="38671FCC">
            <w:pPr>
              <w:spacing w:beforeLines="50" w:line="440" w:lineRule="exact"/>
              <w:ind w:firstLine="480"/>
              <w:jc w:val="right"/>
              <w:rPr>
                <w:color w:val="000000" w:themeColor="text1"/>
                <w14:textFill>
                  <w14:solidFill>
                    <w14:schemeClr w14:val="tx1"/>
                  </w14:solidFill>
                </w14:textFill>
              </w:rPr>
            </w:pPr>
          </w:p>
        </w:tc>
        <w:tc>
          <w:tcPr>
            <w:tcW w:w="1156" w:type="dxa"/>
          </w:tcPr>
          <w:p w14:paraId="6BF6FDCB">
            <w:pPr>
              <w:spacing w:beforeLines="50" w:line="440" w:lineRule="exact"/>
              <w:ind w:firstLine="480"/>
              <w:jc w:val="right"/>
              <w:rPr>
                <w:color w:val="000000" w:themeColor="text1"/>
                <w14:textFill>
                  <w14:solidFill>
                    <w14:schemeClr w14:val="tx1"/>
                  </w14:solidFill>
                </w14:textFill>
              </w:rPr>
            </w:pPr>
          </w:p>
        </w:tc>
        <w:tc>
          <w:tcPr>
            <w:tcW w:w="1244" w:type="dxa"/>
          </w:tcPr>
          <w:p w14:paraId="5B544B53">
            <w:pPr>
              <w:spacing w:beforeLines="50" w:line="440" w:lineRule="exact"/>
              <w:ind w:firstLine="480"/>
              <w:jc w:val="right"/>
              <w:rPr>
                <w:color w:val="000000" w:themeColor="text1"/>
                <w14:textFill>
                  <w14:solidFill>
                    <w14:schemeClr w14:val="tx1"/>
                  </w14:solidFill>
                </w14:textFill>
              </w:rPr>
            </w:pPr>
          </w:p>
        </w:tc>
        <w:tc>
          <w:tcPr>
            <w:tcW w:w="1298" w:type="dxa"/>
          </w:tcPr>
          <w:p w14:paraId="30EF954F">
            <w:pPr>
              <w:spacing w:beforeLines="50" w:line="440" w:lineRule="exact"/>
              <w:ind w:firstLine="480"/>
              <w:jc w:val="right"/>
              <w:rPr>
                <w:color w:val="000000" w:themeColor="text1"/>
                <w14:textFill>
                  <w14:solidFill>
                    <w14:schemeClr w14:val="tx1"/>
                  </w14:solidFill>
                </w14:textFill>
              </w:rPr>
            </w:pPr>
          </w:p>
        </w:tc>
        <w:tc>
          <w:tcPr>
            <w:tcW w:w="1735" w:type="dxa"/>
          </w:tcPr>
          <w:p w14:paraId="35AE4453">
            <w:pPr>
              <w:spacing w:beforeLines="50" w:line="440" w:lineRule="exact"/>
              <w:ind w:firstLine="480"/>
              <w:jc w:val="right"/>
              <w:rPr>
                <w:color w:val="000000" w:themeColor="text1"/>
                <w14:textFill>
                  <w14:solidFill>
                    <w14:schemeClr w14:val="tx1"/>
                  </w14:solidFill>
                </w14:textFill>
              </w:rPr>
            </w:pPr>
          </w:p>
        </w:tc>
        <w:tc>
          <w:tcPr>
            <w:tcW w:w="1009" w:type="dxa"/>
          </w:tcPr>
          <w:p w14:paraId="0E73A1F9">
            <w:pPr>
              <w:spacing w:beforeLines="50" w:line="440" w:lineRule="exact"/>
              <w:ind w:firstLine="480"/>
              <w:jc w:val="right"/>
              <w:rPr>
                <w:color w:val="000000" w:themeColor="text1"/>
                <w14:textFill>
                  <w14:solidFill>
                    <w14:schemeClr w14:val="tx1"/>
                  </w14:solidFill>
                </w14:textFill>
              </w:rPr>
            </w:pPr>
          </w:p>
        </w:tc>
        <w:tc>
          <w:tcPr>
            <w:tcW w:w="818" w:type="dxa"/>
          </w:tcPr>
          <w:p w14:paraId="2265A826">
            <w:pPr>
              <w:spacing w:beforeLines="50" w:line="440" w:lineRule="exact"/>
              <w:ind w:firstLine="480"/>
              <w:jc w:val="right"/>
              <w:rPr>
                <w:color w:val="000000" w:themeColor="text1"/>
                <w14:textFill>
                  <w14:solidFill>
                    <w14:schemeClr w14:val="tx1"/>
                  </w14:solidFill>
                </w14:textFill>
              </w:rPr>
            </w:pPr>
          </w:p>
        </w:tc>
        <w:tc>
          <w:tcPr>
            <w:tcW w:w="1691" w:type="dxa"/>
          </w:tcPr>
          <w:p w14:paraId="3AD7D9EC">
            <w:pPr>
              <w:spacing w:beforeLines="50" w:line="440" w:lineRule="exact"/>
              <w:ind w:firstLine="480"/>
              <w:jc w:val="right"/>
              <w:rPr>
                <w:color w:val="000000" w:themeColor="text1"/>
                <w14:textFill>
                  <w14:solidFill>
                    <w14:schemeClr w14:val="tx1"/>
                  </w14:solidFill>
                </w14:textFill>
              </w:rPr>
            </w:pPr>
          </w:p>
        </w:tc>
      </w:tr>
      <w:tr w14:paraId="05C7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18" w:type="dxa"/>
          </w:tcPr>
          <w:p w14:paraId="6B010DD6">
            <w:pPr>
              <w:spacing w:beforeLines="50" w:line="440" w:lineRule="exact"/>
              <w:ind w:firstLine="480"/>
              <w:jc w:val="right"/>
              <w:rPr>
                <w:color w:val="000000" w:themeColor="text1"/>
                <w14:textFill>
                  <w14:solidFill>
                    <w14:schemeClr w14:val="tx1"/>
                  </w14:solidFill>
                </w14:textFill>
              </w:rPr>
            </w:pPr>
          </w:p>
        </w:tc>
        <w:tc>
          <w:tcPr>
            <w:tcW w:w="1156" w:type="dxa"/>
          </w:tcPr>
          <w:p w14:paraId="0BE06EB8">
            <w:pPr>
              <w:spacing w:beforeLines="50" w:line="440" w:lineRule="exact"/>
              <w:ind w:firstLine="480"/>
              <w:jc w:val="right"/>
              <w:rPr>
                <w:color w:val="000000" w:themeColor="text1"/>
                <w14:textFill>
                  <w14:solidFill>
                    <w14:schemeClr w14:val="tx1"/>
                  </w14:solidFill>
                </w14:textFill>
              </w:rPr>
            </w:pPr>
          </w:p>
        </w:tc>
        <w:tc>
          <w:tcPr>
            <w:tcW w:w="1244" w:type="dxa"/>
          </w:tcPr>
          <w:p w14:paraId="78C51C16">
            <w:pPr>
              <w:spacing w:beforeLines="50" w:line="440" w:lineRule="exact"/>
              <w:ind w:firstLine="480"/>
              <w:jc w:val="right"/>
              <w:rPr>
                <w:color w:val="000000" w:themeColor="text1"/>
                <w14:textFill>
                  <w14:solidFill>
                    <w14:schemeClr w14:val="tx1"/>
                  </w14:solidFill>
                </w14:textFill>
              </w:rPr>
            </w:pPr>
          </w:p>
        </w:tc>
        <w:tc>
          <w:tcPr>
            <w:tcW w:w="1298" w:type="dxa"/>
          </w:tcPr>
          <w:p w14:paraId="29B67422">
            <w:pPr>
              <w:spacing w:beforeLines="50" w:line="440" w:lineRule="exact"/>
              <w:ind w:firstLine="480"/>
              <w:jc w:val="right"/>
              <w:rPr>
                <w:color w:val="000000" w:themeColor="text1"/>
                <w14:textFill>
                  <w14:solidFill>
                    <w14:schemeClr w14:val="tx1"/>
                  </w14:solidFill>
                </w14:textFill>
              </w:rPr>
            </w:pPr>
          </w:p>
        </w:tc>
        <w:tc>
          <w:tcPr>
            <w:tcW w:w="1735" w:type="dxa"/>
          </w:tcPr>
          <w:p w14:paraId="5D27D690">
            <w:pPr>
              <w:spacing w:beforeLines="50" w:line="440" w:lineRule="exact"/>
              <w:ind w:firstLine="480"/>
              <w:jc w:val="right"/>
              <w:rPr>
                <w:color w:val="000000" w:themeColor="text1"/>
                <w14:textFill>
                  <w14:solidFill>
                    <w14:schemeClr w14:val="tx1"/>
                  </w14:solidFill>
                </w14:textFill>
              </w:rPr>
            </w:pPr>
          </w:p>
        </w:tc>
        <w:tc>
          <w:tcPr>
            <w:tcW w:w="1009" w:type="dxa"/>
          </w:tcPr>
          <w:p w14:paraId="664D1BD4">
            <w:pPr>
              <w:spacing w:beforeLines="50" w:line="440" w:lineRule="exact"/>
              <w:ind w:firstLine="480"/>
              <w:jc w:val="right"/>
              <w:rPr>
                <w:color w:val="000000" w:themeColor="text1"/>
                <w14:textFill>
                  <w14:solidFill>
                    <w14:schemeClr w14:val="tx1"/>
                  </w14:solidFill>
                </w14:textFill>
              </w:rPr>
            </w:pPr>
          </w:p>
        </w:tc>
        <w:tc>
          <w:tcPr>
            <w:tcW w:w="818" w:type="dxa"/>
          </w:tcPr>
          <w:p w14:paraId="6B5D82D2">
            <w:pPr>
              <w:spacing w:beforeLines="50" w:line="440" w:lineRule="exact"/>
              <w:ind w:firstLine="480"/>
              <w:jc w:val="right"/>
              <w:rPr>
                <w:color w:val="000000" w:themeColor="text1"/>
                <w14:textFill>
                  <w14:solidFill>
                    <w14:schemeClr w14:val="tx1"/>
                  </w14:solidFill>
                </w14:textFill>
              </w:rPr>
            </w:pPr>
          </w:p>
        </w:tc>
        <w:tc>
          <w:tcPr>
            <w:tcW w:w="1691" w:type="dxa"/>
          </w:tcPr>
          <w:p w14:paraId="16B4B50E">
            <w:pPr>
              <w:spacing w:beforeLines="50" w:line="440" w:lineRule="exact"/>
              <w:ind w:firstLine="480"/>
              <w:jc w:val="right"/>
              <w:rPr>
                <w:color w:val="000000" w:themeColor="text1"/>
                <w14:textFill>
                  <w14:solidFill>
                    <w14:schemeClr w14:val="tx1"/>
                  </w14:solidFill>
                </w14:textFill>
              </w:rPr>
            </w:pPr>
          </w:p>
        </w:tc>
      </w:tr>
      <w:tr w14:paraId="47C8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Pr>
          <w:p w14:paraId="3FB2747C">
            <w:pPr>
              <w:spacing w:beforeLines="50" w:line="440" w:lineRule="exact"/>
              <w:ind w:firstLine="480"/>
              <w:jc w:val="right"/>
              <w:rPr>
                <w:color w:val="000000" w:themeColor="text1"/>
                <w14:textFill>
                  <w14:solidFill>
                    <w14:schemeClr w14:val="tx1"/>
                  </w14:solidFill>
                </w14:textFill>
              </w:rPr>
            </w:pPr>
          </w:p>
        </w:tc>
        <w:tc>
          <w:tcPr>
            <w:tcW w:w="1156" w:type="dxa"/>
          </w:tcPr>
          <w:p w14:paraId="2168D2C2">
            <w:pPr>
              <w:spacing w:beforeLines="50" w:line="440" w:lineRule="exact"/>
              <w:ind w:firstLine="480"/>
              <w:jc w:val="right"/>
              <w:rPr>
                <w:color w:val="000000" w:themeColor="text1"/>
                <w14:textFill>
                  <w14:solidFill>
                    <w14:schemeClr w14:val="tx1"/>
                  </w14:solidFill>
                </w14:textFill>
              </w:rPr>
            </w:pPr>
          </w:p>
        </w:tc>
        <w:tc>
          <w:tcPr>
            <w:tcW w:w="1244" w:type="dxa"/>
          </w:tcPr>
          <w:p w14:paraId="6A15B376">
            <w:pPr>
              <w:spacing w:beforeLines="50" w:line="440" w:lineRule="exact"/>
              <w:ind w:firstLine="480"/>
              <w:jc w:val="right"/>
              <w:rPr>
                <w:color w:val="000000" w:themeColor="text1"/>
                <w14:textFill>
                  <w14:solidFill>
                    <w14:schemeClr w14:val="tx1"/>
                  </w14:solidFill>
                </w14:textFill>
              </w:rPr>
            </w:pPr>
          </w:p>
        </w:tc>
        <w:tc>
          <w:tcPr>
            <w:tcW w:w="1298" w:type="dxa"/>
          </w:tcPr>
          <w:p w14:paraId="0BACC044">
            <w:pPr>
              <w:spacing w:beforeLines="50" w:line="440" w:lineRule="exact"/>
              <w:ind w:firstLine="480"/>
              <w:jc w:val="right"/>
              <w:rPr>
                <w:color w:val="000000" w:themeColor="text1"/>
                <w14:textFill>
                  <w14:solidFill>
                    <w14:schemeClr w14:val="tx1"/>
                  </w14:solidFill>
                </w14:textFill>
              </w:rPr>
            </w:pPr>
          </w:p>
        </w:tc>
        <w:tc>
          <w:tcPr>
            <w:tcW w:w="1735" w:type="dxa"/>
          </w:tcPr>
          <w:p w14:paraId="3D855FF4">
            <w:pPr>
              <w:spacing w:beforeLines="50" w:line="440" w:lineRule="exact"/>
              <w:ind w:firstLine="480"/>
              <w:jc w:val="right"/>
              <w:rPr>
                <w:color w:val="000000" w:themeColor="text1"/>
                <w14:textFill>
                  <w14:solidFill>
                    <w14:schemeClr w14:val="tx1"/>
                  </w14:solidFill>
                </w14:textFill>
              </w:rPr>
            </w:pPr>
          </w:p>
        </w:tc>
        <w:tc>
          <w:tcPr>
            <w:tcW w:w="1009" w:type="dxa"/>
          </w:tcPr>
          <w:p w14:paraId="169F7D42">
            <w:pPr>
              <w:spacing w:beforeLines="50" w:line="440" w:lineRule="exact"/>
              <w:ind w:firstLine="480"/>
              <w:jc w:val="right"/>
              <w:rPr>
                <w:color w:val="000000" w:themeColor="text1"/>
                <w14:textFill>
                  <w14:solidFill>
                    <w14:schemeClr w14:val="tx1"/>
                  </w14:solidFill>
                </w14:textFill>
              </w:rPr>
            </w:pPr>
          </w:p>
        </w:tc>
        <w:tc>
          <w:tcPr>
            <w:tcW w:w="818" w:type="dxa"/>
          </w:tcPr>
          <w:p w14:paraId="2E8DB6FA">
            <w:pPr>
              <w:spacing w:beforeLines="50" w:line="440" w:lineRule="exact"/>
              <w:ind w:firstLine="480"/>
              <w:jc w:val="right"/>
              <w:rPr>
                <w:color w:val="000000" w:themeColor="text1"/>
                <w14:textFill>
                  <w14:solidFill>
                    <w14:schemeClr w14:val="tx1"/>
                  </w14:solidFill>
                </w14:textFill>
              </w:rPr>
            </w:pPr>
          </w:p>
        </w:tc>
        <w:tc>
          <w:tcPr>
            <w:tcW w:w="1691" w:type="dxa"/>
          </w:tcPr>
          <w:p w14:paraId="6E774549">
            <w:pPr>
              <w:spacing w:beforeLines="50" w:line="440" w:lineRule="exact"/>
              <w:ind w:firstLine="480"/>
              <w:jc w:val="right"/>
              <w:rPr>
                <w:color w:val="000000" w:themeColor="text1"/>
                <w14:textFill>
                  <w14:solidFill>
                    <w14:schemeClr w14:val="tx1"/>
                  </w14:solidFill>
                </w14:textFill>
              </w:rPr>
            </w:pPr>
          </w:p>
        </w:tc>
      </w:tr>
      <w:tr w14:paraId="36A3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Pr>
          <w:p w14:paraId="3D16B4B2">
            <w:pPr>
              <w:spacing w:beforeLines="50" w:line="440" w:lineRule="exact"/>
              <w:ind w:firstLine="480"/>
              <w:jc w:val="right"/>
              <w:rPr>
                <w:color w:val="000000" w:themeColor="text1"/>
                <w14:textFill>
                  <w14:solidFill>
                    <w14:schemeClr w14:val="tx1"/>
                  </w14:solidFill>
                </w14:textFill>
              </w:rPr>
            </w:pPr>
          </w:p>
        </w:tc>
        <w:tc>
          <w:tcPr>
            <w:tcW w:w="1156" w:type="dxa"/>
          </w:tcPr>
          <w:p w14:paraId="0DB75431">
            <w:pPr>
              <w:spacing w:beforeLines="50" w:line="440" w:lineRule="exact"/>
              <w:ind w:firstLine="480"/>
              <w:jc w:val="right"/>
              <w:rPr>
                <w:color w:val="000000" w:themeColor="text1"/>
                <w14:textFill>
                  <w14:solidFill>
                    <w14:schemeClr w14:val="tx1"/>
                  </w14:solidFill>
                </w14:textFill>
              </w:rPr>
            </w:pPr>
          </w:p>
        </w:tc>
        <w:tc>
          <w:tcPr>
            <w:tcW w:w="1244" w:type="dxa"/>
          </w:tcPr>
          <w:p w14:paraId="0352AFBB">
            <w:pPr>
              <w:spacing w:beforeLines="50" w:line="440" w:lineRule="exact"/>
              <w:ind w:firstLine="480"/>
              <w:jc w:val="right"/>
              <w:rPr>
                <w:color w:val="000000" w:themeColor="text1"/>
                <w14:textFill>
                  <w14:solidFill>
                    <w14:schemeClr w14:val="tx1"/>
                  </w14:solidFill>
                </w14:textFill>
              </w:rPr>
            </w:pPr>
          </w:p>
        </w:tc>
        <w:tc>
          <w:tcPr>
            <w:tcW w:w="1298" w:type="dxa"/>
          </w:tcPr>
          <w:p w14:paraId="298804E9">
            <w:pPr>
              <w:spacing w:beforeLines="50" w:line="440" w:lineRule="exact"/>
              <w:ind w:firstLine="480"/>
              <w:jc w:val="right"/>
              <w:rPr>
                <w:color w:val="000000" w:themeColor="text1"/>
                <w14:textFill>
                  <w14:solidFill>
                    <w14:schemeClr w14:val="tx1"/>
                  </w14:solidFill>
                </w14:textFill>
              </w:rPr>
            </w:pPr>
          </w:p>
        </w:tc>
        <w:tc>
          <w:tcPr>
            <w:tcW w:w="1735" w:type="dxa"/>
          </w:tcPr>
          <w:p w14:paraId="2A101EAB">
            <w:pPr>
              <w:spacing w:beforeLines="50" w:line="440" w:lineRule="exact"/>
              <w:ind w:firstLine="480"/>
              <w:jc w:val="right"/>
              <w:rPr>
                <w:color w:val="000000" w:themeColor="text1"/>
                <w14:textFill>
                  <w14:solidFill>
                    <w14:schemeClr w14:val="tx1"/>
                  </w14:solidFill>
                </w14:textFill>
              </w:rPr>
            </w:pPr>
          </w:p>
        </w:tc>
        <w:tc>
          <w:tcPr>
            <w:tcW w:w="1009" w:type="dxa"/>
          </w:tcPr>
          <w:p w14:paraId="1F03558F">
            <w:pPr>
              <w:spacing w:beforeLines="50" w:line="440" w:lineRule="exact"/>
              <w:ind w:firstLine="480"/>
              <w:jc w:val="right"/>
              <w:rPr>
                <w:color w:val="000000" w:themeColor="text1"/>
                <w14:textFill>
                  <w14:solidFill>
                    <w14:schemeClr w14:val="tx1"/>
                  </w14:solidFill>
                </w14:textFill>
              </w:rPr>
            </w:pPr>
          </w:p>
        </w:tc>
        <w:tc>
          <w:tcPr>
            <w:tcW w:w="818" w:type="dxa"/>
          </w:tcPr>
          <w:p w14:paraId="3B63CA4C">
            <w:pPr>
              <w:spacing w:beforeLines="50" w:line="440" w:lineRule="exact"/>
              <w:ind w:firstLine="480"/>
              <w:jc w:val="right"/>
              <w:rPr>
                <w:color w:val="000000" w:themeColor="text1"/>
                <w14:textFill>
                  <w14:solidFill>
                    <w14:schemeClr w14:val="tx1"/>
                  </w14:solidFill>
                </w14:textFill>
              </w:rPr>
            </w:pPr>
          </w:p>
        </w:tc>
        <w:tc>
          <w:tcPr>
            <w:tcW w:w="1691" w:type="dxa"/>
          </w:tcPr>
          <w:p w14:paraId="353D2375">
            <w:pPr>
              <w:spacing w:beforeLines="50" w:line="440" w:lineRule="exact"/>
              <w:ind w:firstLine="480"/>
              <w:jc w:val="right"/>
              <w:rPr>
                <w:color w:val="000000" w:themeColor="text1"/>
                <w14:textFill>
                  <w14:solidFill>
                    <w14:schemeClr w14:val="tx1"/>
                  </w14:solidFill>
                </w14:textFill>
              </w:rPr>
            </w:pPr>
          </w:p>
        </w:tc>
      </w:tr>
      <w:tr w14:paraId="7DC2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Pr>
          <w:p w14:paraId="36AF1882">
            <w:pPr>
              <w:spacing w:beforeLines="50" w:line="440" w:lineRule="exact"/>
              <w:ind w:firstLine="480"/>
              <w:jc w:val="right"/>
              <w:rPr>
                <w:color w:val="000000" w:themeColor="text1"/>
                <w14:textFill>
                  <w14:solidFill>
                    <w14:schemeClr w14:val="tx1"/>
                  </w14:solidFill>
                </w14:textFill>
              </w:rPr>
            </w:pPr>
          </w:p>
        </w:tc>
        <w:tc>
          <w:tcPr>
            <w:tcW w:w="1156" w:type="dxa"/>
          </w:tcPr>
          <w:p w14:paraId="3F41D9E5">
            <w:pPr>
              <w:spacing w:beforeLines="50" w:line="440" w:lineRule="exact"/>
              <w:ind w:firstLine="480"/>
              <w:jc w:val="right"/>
              <w:rPr>
                <w:color w:val="000000" w:themeColor="text1"/>
                <w14:textFill>
                  <w14:solidFill>
                    <w14:schemeClr w14:val="tx1"/>
                  </w14:solidFill>
                </w14:textFill>
              </w:rPr>
            </w:pPr>
          </w:p>
        </w:tc>
        <w:tc>
          <w:tcPr>
            <w:tcW w:w="1244" w:type="dxa"/>
          </w:tcPr>
          <w:p w14:paraId="75FF271F">
            <w:pPr>
              <w:spacing w:beforeLines="50" w:line="440" w:lineRule="exact"/>
              <w:ind w:firstLine="480"/>
              <w:jc w:val="right"/>
              <w:rPr>
                <w:color w:val="000000" w:themeColor="text1"/>
                <w14:textFill>
                  <w14:solidFill>
                    <w14:schemeClr w14:val="tx1"/>
                  </w14:solidFill>
                </w14:textFill>
              </w:rPr>
            </w:pPr>
          </w:p>
        </w:tc>
        <w:tc>
          <w:tcPr>
            <w:tcW w:w="1298" w:type="dxa"/>
          </w:tcPr>
          <w:p w14:paraId="5B190F48">
            <w:pPr>
              <w:spacing w:beforeLines="50" w:line="440" w:lineRule="exact"/>
              <w:ind w:firstLine="480"/>
              <w:jc w:val="right"/>
              <w:rPr>
                <w:color w:val="000000" w:themeColor="text1"/>
                <w14:textFill>
                  <w14:solidFill>
                    <w14:schemeClr w14:val="tx1"/>
                  </w14:solidFill>
                </w14:textFill>
              </w:rPr>
            </w:pPr>
          </w:p>
        </w:tc>
        <w:tc>
          <w:tcPr>
            <w:tcW w:w="1735" w:type="dxa"/>
          </w:tcPr>
          <w:p w14:paraId="42C6815C">
            <w:pPr>
              <w:spacing w:beforeLines="50" w:line="440" w:lineRule="exact"/>
              <w:ind w:firstLine="480"/>
              <w:jc w:val="right"/>
              <w:rPr>
                <w:color w:val="000000" w:themeColor="text1"/>
                <w14:textFill>
                  <w14:solidFill>
                    <w14:schemeClr w14:val="tx1"/>
                  </w14:solidFill>
                </w14:textFill>
              </w:rPr>
            </w:pPr>
          </w:p>
        </w:tc>
        <w:tc>
          <w:tcPr>
            <w:tcW w:w="1009" w:type="dxa"/>
          </w:tcPr>
          <w:p w14:paraId="2AB3FB5E">
            <w:pPr>
              <w:spacing w:beforeLines="50" w:line="440" w:lineRule="exact"/>
              <w:ind w:firstLine="480"/>
              <w:jc w:val="right"/>
              <w:rPr>
                <w:color w:val="000000" w:themeColor="text1"/>
                <w14:textFill>
                  <w14:solidFill>
                    <w14:schemeClr w14:val="tx1"/>
                  </w14:solidFill>
                </w14:textFill>
              </w:rPr>
            </w:pPr>
          </w:p>
        </w:tc>
        <w:tc>
          <w:tcPr>
            <w:tcW w:w="818" w:type="dxa"/>
          </w:tcPr>
          <w:p w14:paraId="696CD5B6">
            <w:pPr>
              <w:spacing w:beforeLines="50" w:line="440" w:lineRule="exact"/>
              <w:ind w:firstLine="480"/>
              <w:jc w:val="right"/>
              <w:rPr>
                <w:color w:val="000000" w:themeColor="text1"/>
                <w14:textFill>
                  <w14:solidFill>
                    <w14:schemeClr w14:val="tx1"/>
                  </w14:solidFill>
                </w14:textFill>
              </w:rPr>
            </w:pPr>
          </w:p>
        </w:tc>
        <w:tc>
          <w:tcPr>
            <w:tcW w:w="1691" w:type="dxa"/>
          </w:tcPr>
          <w:p w14:paraId="346482FA">
            <w:pPr>
              <w:spacing w:beforeLines="50" w:line="440" w:lineRule="exact"/>
              <w:ind w:firstLine="480"/>
              <w:jc w:val="right"/>
              <w:rPr>
                <w:color w:val="000000" w:themeColor="text1"/>
                <w14:textFill>
                  <w14:solidFill>
                    <w14:schemeClr w14:val="tx1"/>
                  </w14:solidFill>
                </w14:textFill>
              </w:rPr>
            </w:pPr>
          </w:p>
        </w:tc>
      </w:tr>
      <w:tr w14:paraId="60F6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Pr>
          <w:p w14:paraId="071029AC">
            <w:pPr>
              <w:spacing w:beforeLines="50" w:line="440" w:lineRule="exact"/>
              <w:ind w:firstLine="480"/>
              <w:jc w:val="right"/>
              <w:rPr>
                <w:color w:val="000000" w:themeColor="text1"/>
                <w14:textFill>
                  <w14:solidFill>
                    <w14:schemeClr w14:val="tx1"/>
                  </w14:solidFill>
                </w14:textFill>
              </w:rPr>
            </w:pPr>
          </w:p>
        </w:tc>
        <w:tc>
          <w:tcPr>
            <w:tcW w:w="1156" w:type="dxa"/>
          </w:tcPr>
          <w:p w14:paraId="7E79766C">
            <w:pPr>
              <w:spacing w:beforeLines="50" w:line="440" w:lineRule="exact"/>
              <w:ind w:firstLine="480"/>
              <w:jc w:val="right"/>
              <w:rPr>
                <w:color w:val="000000" w:themeColor="text1"/>
                <w14:textFill>
                  <w14:solidFill>
                    <w14:schemeClr w14:val="tx1"/>
                  </w14:solidFill>
                </w14:textFill>
              </w:rPr>
            </w:pPr>
          </w:p>
        </w:tc>
        <w:tc>
          <w:tcPr>
            <w:tcW w:w="1244" w:type="dxa"/>
          </w:tcPr>
          <w:p w14:paraId="4E401955">
            <w:pPr>
              <w:spacing w:beforeLines="50" w:line="440" w:lineRule="exact"/>
              <w:ind w:firstLine="480"/>
              <w:jc w:val="right"/>
              <w:rPr>
                <w:color w:val="000000" w:themeColor="text1"/>
                <w14:textFill>
                  <w14:solidFill>
                    <w14:schemeClr w14:val="tx1"/>
                  </w14:solidFill>
                </w14:textFill>
              </w:rPr>
            </w:pPr>
          </w:p>
        </w:tc>
        <w:tc>
          <w:tcPr>
            <w:tcW w:w="1298" w:type="dxa"/>
          </w:tcPr>
          <w:p w14:paraId="10B663C1">
            <w:pPr>
              <w:spacing w:beforeLines="50" w:line="440" w:lineRule="exact"/>
              <w:ind w:firstLine="480"/>
              <w:jc w:val="right"/>
              <w:rPr>
                <w:color w:val="000000" w:themeColor="text1"/>
                <w14:textFill>
                  <w14:solidFill>
                    <w14:schemeClr w14:val="tx1"/>
                  </w14:solidFill>
                </w14:textFill>
              </w:rPr>
            </w:pPr>
          </w:p>
        </w:tc>
        <w:tc>
          <w:tcPr>
            <w:tcW w:w="1735" w:type="dxa"/>
          </w:tcPr>
          <w:p w14:paraId="19DFB4A9">
            <w:pPr>
              <w:spacing w:beforeLines="50" w:line="440" w:lineRule="exact"/>
              <w:ind w:firstLine="480"/>
              <w:jc w:val="right"/>
              <w:rPr>
                <w:color w:val="000000" w:themeColor="text1"/>
                <w14:textFill>
                  <w14:solidFill>
                    <w14:schemeClr w14:val="tx1"/>
                  </w14:solidFill>
                </w14:textFill>
              </w:rPr>
            </w:pPr>
          </w:p>
        </w:tc>
        <w:tc>
          <w:tcPr>
            <w:tcW w:w="1009" w:type="dxa"/>
          </w:tcPr>
          <w:p w14:paraId="249798C1">
            <w:pPr>
              <w:spacing w:beforeLines="50" w:line="440" w:lineRule="exact"/>
              <w:ind w:firstLine="480"/>
              <w:jc w:val="right"/>
              <w:rPr>
                <w:color w:val="000000" w:themeColor="text1"/>
                <w14:textFill>
                  <w14:solidFill>
                    <w14:schemeClr w14:val="tx1"/>
                  </w14:solidFill>
                </w14:textFill>
              </w:rPr>
            </w:pPr>
          </w:p>
        </w:tc>
        <w:tc>
          <w:tcPr>
            <w:tcW w:w="818" w:type="dxa"/>
          </w:tcPr>
          <w:p w14:paraId="2523D86F">
            <w:pPr>
              <w:spacing w:beforeLines="50" w:line="440" w:lineRule="exact"/>
              <w:ind w:firstLine="480"/>
              <w:jc w:val="right"/>
              <w:rPr>
                <w:color w:val="000000" w:themeColor="text1"/>
                <w14:textFill>
                  <w14:solidFill>
                    <w14:schemeClr w14:val="tx1"/>
                  </w14:solidFill>
                </w14:textFill>
              </w:rPr>
            </w:pPr>
          </w:p>
        </w:tc>
        <w:tc>
          <w:tcPr>
            <w:tcW w:w="1691" w:type="dxa"/>
          </w:tcPr>
          <w:p w14:paraId="0FE6D0AE">
            <w:pPr>
              <w:spacing w:beforeLines="50" w:line="440" w:lineRule="exact"/>
              <w:ind w:firstLine="480"/>
              <w:jc w:val="right"/>
              <w:rPr>
                <w:color w:val="000000" w:themeColor="text1"/>
                <w14:textFill>
                  <w14:solidFill>
                    <w14:schemeClr w14:val="tx1"/>
                  </w14:solidFill>
                </w14:textFill>
              </w:rPr>
            </w:pPr>
          </w:p>
        </w:tc>
      </w:tr>
      <w:tr w14:paraId="6433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Pr>
          <w:p w14:paraId="344F5C1E">
            <w:pPr>
              <w:spacing w:beforeLines="50" w:line="440" w:lineRule="exact"/>
              <w:ind w:firstLine="480"/>
              <w:jc w:val="right"/>
              <w:rPr>
                <w:color w:val="000000" w:themeColor="text1"/>
                <w14:textFill>
                  <w14:solidFill>
                    <w14:schemeClr w14:val="tx1"/>
                  </w14:solidFill>
                </w14:textFill>
              </w:rPr>
            </w:pPr>
          </w:p>
        </w:tc>
        <w:tc>
          <w:tcPr>
            <w:tcW w:w="1156" w:type="dxa"/>
          </w:tcPr>
          <w:p w14:paraId="236B067A">
            <w:pPr>
              <w:spacing w:beforeLines="50" w:line="440" w:lineRule="exact"/>
              <w:ind w:firstLine="480"/>
              <w:jc w:val="right"/>
              <w:rPr>
                <w:color w:val="000000" w:themeColor="text1"/>
                <w14:textFill>
                  <w14:solidFill>
                    <w14:schemeClr w14:val="tx1"/>
                  </w14:solidFill>
                </w14:textFill>
              </w:rPr>
            </w:pPr>
          </w:p>
        </w:tc>
        <w:tc>
          <w:tcPr>
            <w:tcW w:w="1244" w:type="dxa"/>
          </w:tcPr>
          <w:p w14:paraId="213A60F6">
            <w:pPr>
              <w:spacing w:beforeLines="50" w:line="440" w:lineRule="exact"/>
              <w:ind w:firstLine="480"/>
              <w:jc w:val="right"/>
              <w:rPr>
                <w:color w:val="000000" w:themeColor="text1"/>
                <w14:textFill>
                  <w14:solidFill>
                    <w14:schemeClr w14:val="tx1"/>
                  </w14:solidFill>
                </w14:textFill>
              </w:rPr>
            </w:pPr>
          </w:p>
        </w:tc>
        <w:tc>
          <w:tcPr>
            <w:tcW w:w="1298" w:type="dxa"/>
          </w:tcPr>
          <w:p w14:paraId="33D7F9B7">
            <w:pPr>
              <w:spacing w:beforeLines="50" w:line="440" w:lineRule="exact"/>
              <w:ind w:firstLine="480"/>
              <w:jc w:val="right"/>
              <w:rPr>
                <w:color w:val="000000" w:themeColor="text1"/>
                <w14:textFill>
                  <w14:solidFill>
                    <w14:schemeClr w14:val="tx1"/>
                  </w14:solidFill>
                </w14:textFill>
              </w:rPr>
            </w:pPr>
          </w:p>
        </w:tc>
        <w:tc>
          <w:tcPr>
            <w:tcW w:w="1735" w:type="dxa"/>
          </w:tcPr>
          <w:p w14:paraId="481D0C76">
            <w:pPr>
              <w:spacing w:beforeLines="50" w:line="440" w:lineRule="exact"/>
              <w:ind w:firstLine="480"/>
              <w:jc w:val="right"/>
              <w:rPr>
                <w:color w:val="000000" w:themeColor="text1"/>
                <w14:textFill>
                  <w14:solidFill>
                    <w14:schemeClr w14:val="tx1"/>
                  </w14:solidFill>
                </w14:textFill>
              </w:rPr>
            </w:pPr>
          </w:p>
        </w:tc>
        <w:tc>
          <w:tcPr>
            <w:tcW w:w="1009" w:type="dxa"/>
          </w:tcPr>
          <w:p w14:paraId="0A484E95">
            <w:pPr>
              <w:spacing w:beforeLines="50" w:line="440" w:lineRule="exact"/>
              <w:ind w:firstLine="480"/>
              <w:jc w:val="right"/>
              <w:rPr>
                <w:color w:val="000000" w:themeColor="text1"/>
                <w14:textFill>
                  <w14:solidFill>
                    <w14:schemeClr w14:val="tx1"/>
                  </w14:solidFill>
                </w14:textFill>
              </w:rPr>
            </w:pPr>
          </w:p>
        </w:tc>
        <w:tc>
          <w:tcPr>
            <w:tcW w:w="818" w:type="dxa"/>
          </w:tcPr>
          <w:p w14:paraId="368BF7E3">
            <w:pPr>
              <w:spacing w:beforeLines="50" w:line="440" w:lineRule="exact"/>
              <w:ind w:firstLine="480"/>
              <w:jc w:val="right"/>
              <w:rPr>
                <w:color w:val="000000" w:themeColor="text1"/>
                <w14:textFill>
                  <w14:solidFill>
                    <w14:schemeClr w14:val="tx1"/>
                  </w14:solidFill>
                </w14:textFill>
              </w:rPr>
            </w:pPr>
          </w:p>
        </w:tc>
        <w:tc>
          <w:tcPr>
            <w:tcW w:w="1691" w:type="dxa"/>
          </w:tcPr>
          <w:p w14:paraId="6D97EF7F">
            <w:pPr>
              <w:spacing w:beforeLines="50" w:line="440" w:lineRule="exact"/>
              <w:ind w:firstLine="480"/>
              <w:jc w:val="right"/>
              <w:rPr>
                <w:color w:val="000000" w:themeColor="text1"/>
                <w14:textFill>
                  <w14:solidFill>
                    <w14:schemeClr w14:val="tx1"/>
                  </w14:solidFill>
                </w14:textFill>
              </w:rPr>
            </w:pPr>
          </w:p>
        </w:tc>
      </w:tr>
      <w:tr w14:paraId="453B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Pr>
          <w:p w14:paraId="04C5A0BC">
            <w:pPr>
              <w:spacing w:beforeLines="50" w:line="440" w:lineRule="exact"/>
              <w:ind w:firstLine="480"/>
              <w:jc w:val="right"/>
              <w:rPr>
                <w:color w:val="000000" w:themeColor="text1"/>
                <w14:textFill>
                  <w14:solidFill>
                    <w14:schemeClr w14:val="tx1"/>
                  </w14:solidFill>
                </w14:textFill>
              </w:rPr>
            </w:pPr>
          </w:p>
        </w:tc>
        <w:tc>
          <w:tcPr>
            <w:tcW w:w="1156" w:type="dxa"/>
          </w:tcPr>
          <w:p w14:paraId="16A6F359">
            <w:pPr>
              <w:spacing w:beforeLines="50" w:line="440" w:lineRule="exact"/>
              <w:ind w:firstLine="480"/>
              <w:jc w:val="right"/>
              <w:rPr>
                <w:color w:val="000000" w:themeColor="text1"/>
                <w14:textFill>
                  <w14:solidFill>
                    <w14:schemeClr w14:val="tx1"/>
                  </w14:solidFill>
                </w14:textFill>
              </w:rPr>
            </w:pPr>
          </w:p>
        </w:tc>
        <w:tc>
          <w:tcPr>
            <w:tcW w:w="1244" w:type="dxa"/>
          </w:tcPr>
          <w:p w14:paraId="77FC9D72">
            <w:pPr>
              <w:spacing w:beforeLines="50" w:line="440" w:lineRule="exact"/>
              <w:ind w:firstLine="480"/>
              <w:jc w:val="right"/>
              <w:rPr>
                <w:color w:val="000000" w:themeColor="text1"/>
                <w14:textFill>
                  <w14:solidFill>
                    <w14:schemeClr w14:val="tx1"/>
                  </w14:solidFill>
                </w14:textFill>
              </w:rPr>
            </w:pPr>
          </w:p>
        </w:tc>
        <w:tc>
          <w:tcPr>
            <w:tcW w:w="1298" w:type="dxa"/>
          </w:tcPr>
          <w:p w14:paraId="54FDF799">
            <w:pPr>
              <w:spacing w:beforeLines="50" w:line="440" w:lineRule="exact"/>
              <w:ind w:firstLine="480"/>
              <w:jc w:val="right"/>
              <w:rPr>
                <w:color w:val="000000" w:themeColor="text1"/>
                <w14:textFill>
                  <w14:solidFill>
                    <w14:schemeClr w14:val="tx1"/>
                  </w14:solidFill>
                </w14:textFill>
              </w:rPr>
            </w:pPr>
          </w:p>
        </w:tc>
        <w:tc>
          <w:tcPr>
            <w:tcW w:w="1735" w:type="dxa"/>
          </w:tcPr>
          <w:p w14:paraId="5BDC271F">
            <w:pPr>
              <w:spacing w:beforeLines="50" w:line="440" w:lineRule="exact"/>
              <w:ind w:firstLine="480"/>
              <w:jc w:val="right"/>
              <w:rPr>
                <w:color w:val="000000" w:themeColor="text1"/>
                <w14:textFill>
                  <w14:solidFill>
                    <w14:schemeClr w14:val="tx1"/>
                  </w14:solidFill>
                </w14:textFill>
              </w:rPr>
            </w:pPr>
          </w:p>
        </w:tc>
        <w:tc>
          <w:tcPr>
            <w:tcW w:w="1009" w:type="dxa"/>
          </w:tcPr>
          <w:p w14:paraId="02F37EE3">
            <w:pPr>
              <w:spacing w:beforeLines="50" w:line="440" w:lineRule="exact"/>
              <w:ind w:firstLine="480"/>
              <w:jc w:val="right"/>
              <w:rPr>
                <w:color w:val="000000" w:themeColor="text1"/>
                <w14:textFill>
                  <w14:solidFill>
                    <w14:schemeClr w14:val="tx1"/>
                  </w14:solidFill>
                </w14:textFill>
              </w:rPr>
            </w:pPr>
          </w:p>
        </w:tc>
        <w:tc>
          <w:tcPr>
            <w:tcW w:w="818" w:type="dxa"/>
          </w:tcPr>
          <w:p w14:paraId="2B70AC57">
            <w:pPr>
              <w:spacing w:beforeLines="50" w:line="440" w:lineRule="exact"/>
              <w:ind w:firstLine="480"/>
              <w:jc w:val="right"/>
              <w:rPr>
                <w:color w:val="000000" w:themeColor="text1"/>
                <w14:textFill>
                  <w14:solidFill>
                    <w14:schemeClr w14:val="tx1"/>
                  </w14:solidFill>
                </w14:textFill>
              </w:rPr>
            </w:pPr>
          </w:p>
        </w:tc>
        <w:tc>
          <w:tcPr>
            <w:tcW w:w="1691" w:type="dxa"/>
          </w:tcPr>
          <w:p w14:paraId="6CE5D793">
            <w:pPr>
              <w:spacing w:beforeLines="50" w:line="440" w:lineRule="exact"/>
              <w:ind w:firstLine="480"/>
              <w:jc w:val="right"/>
              <w:rPr>
                <w:color w:val="000000" w:themeColor="text1"/>
                <w14:textFill>
                  <w14:solidFill>
                    <w14:schemeClr w14:val="tx1"/>
                  </w14:solidFill>
                </w14:textFill>
              </w:rPr>
            </w:pPr>
          </w:p>
        </w:tc>
      </w:tr>
      <w:tr w14:paraId="554B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Pr>
          <w:p w14:paraId="502B95D6">
            <w:pPr>
              <w:spacing w:beforeLines="50" w:line="440" w:lineRule="exact"/>
              <w:ind w:firstLine="480"/>
              <w:jc w:val="right"/>
              <w:rPr>
                <w:color w:val="000000" w:themeColor="text1"/>
                <w14:textFill>
                  <w14:solidFill>
                    <w14:schemeClr w14:val="tx1"/>
                  </w14:solidFill>
                </w14:textFill>
              </w:rPr>
            </w:pPr>
          </w:p>
        </w:tc>
        <w:tc>
          <w:tcPr>
            <w:tcW w:w="1156" w:type="dxa"/>
          </w:tcPr>
          <w:p w14:paraId="1B0F4DCA">
            <w:pPr>
              <w:spacing w:beforeLines="50" w:line="440" w:lineRule="exact"/>
              <w:ind w:firstLine="480"/>
              <w:jc w:val="right"/>
              <w:rPr>
                <w:color w:val="000000" w:themeColor="text1"/>
                <w14:textFill>
                  <w14:solidFill>
                    <w14:schemeClr w14:val="tx1"/>
                  </w14:solidFill>
                </w14:textFill>
              </w:rPr>
            </w:pPr>
          </w:p>
        </w:tc>
        <w:tc>
          <w:tcPr>
            <w:tcW w:w="1244" w:type="dxa"/>
          </w:tcPr>
          <w:p w14:paraId="4B2B2D16">
            <w:pPr>
              <w:spacing w:beforeLines="50" w:line="440" w:lineRule="exact"/>
              <w:ind w:firstLine="480"/>
              <w:jc w:val="right"/>
              <w:rPr>
                <w:color w:val="000000" w:themeColor="text1"/>
                <w14:textFill>
                  <w14:solidFill>
                    <w14:schemeClr w14:val="tx1"/>
                  </w14:solidFill>
                </w14:textFill>
              </w:rPr>
            </w:pPr>
          </w:p>
        </w:tc>
        <w:tc>
          <w:tcPr>
            <w:tcW w:w="1298" w:type="dxa"/>
          </w:tcPr>
          <w:p w14:paraId="564C10ED">
            <w:pPr>
              <w:spacing w:beforeLines="50" w:line="440" w:lineRule="exact"/>
              <w:ind w:firstLine="480"/>
              <w:jc w:val="right"/>
              <w:rPr>
                <w:color w:val="000000" w:themeColor="text1"/>
                <w14:textFill>
                  <w14:solidFill>
                    <w14:schemeClr w14:val="tx1"/>
                  </w14:solidFill>
                </w14:textFill>
              </w:rPr>
            </w:pPr>
          </w:p>
        </w:tc>
        <w:tc>
          <w:tcPr>
            <w:tcW w:w="1735" w:type="dxa"/>
          </w:tcPr>
          <w:p w14:paraId="5F5AFDBE">
            <w:pPr>
              <w:spacing w:beforeLines="50" w:line="440" w:lineRule="exact"/>
              <w:ind w:firstLine="480"/>
              <w:jc w:val="right"/>
              <w:rPr>
                <w:color w:val="000000" w:themeColor="text1"/>
                <w14:textFill>
                  <w14:solidFill>
                    <w14:schemeClr w14:val="tx1"/>
                  </w14:solidFill>
                </w14:textFill>
              </w:rPr>
            </w:pPr>
          </w:p>
        </w:tc>
        <w:tc>
          <w:tcPr>
            <w:tcW w:w="1009" w:type="dxa"/>
          </w:tcPr>
          <w:p w14:paraId="58619257">
            <w:pPr>
              <w:spacing w:beforeLines="50" w:line="440" w:lineRule="exact"/>
              <w:ind w:firstLine="480"/>
              <w:jc w:val="right"/>
              <w:rPr>
                <w:color w:val="000000" w:themeColor="text1"/>
                <w14:textFill>
                  <w14:solidFill>
                    <w14:schemeClr w14:val="tx1"/>
                  </w14:solidFill>
                </w14:textFill>
              </w:rPr>
            </w:pPr>
          </w:p>
        </w:tc>
        <w:tc>
          <w:tcPr>
            <w:tcW w:w="818" w:type="dxa"/>
          </w:tcPr>
          <w:p w14:paraId="0F91E456">
            <w:pPr>
              <w:spacing w:beforeLines="50" w:line="440" w:lineRule="exact"/>
              <w:ind w:firstLine="480"/>
              <w:jc w:val="right"/>
              <w:rPr>
                <w:color w:val="000000" w:themeColor="text1"/>
                <w14:textFill>
                  <w14:solidFill>
                    <w14:schemeClr w14:val="tx1"/>
                  </w14:solidFill>
                </w14:textFill>
              </w:rPr>
            </w:pPr>
          </w:p>
        </w:tc>
        <w:tc>
          <w:tcPr>
            <w:tcW w:w="1691" w:type="dxa"/>
          </w:tcPr>
          <w:p w14:paraId="04E522FE">
            <w:pPr>
              <w:spacing w:beforeLines="50" w:line="440" w:lineRule="exact"/>
              <w:ind w:firstLine="480"/>
              <w:jc w:val="right"/>
              <w:rPr>
                <w:color w:val="000000" w:themeColor="text1"/>
                <w14:textFill>
                  <w14:solidFill>
                    <w14:schemeClr w14:val="tx1"/>
                  </w14:solidFill>
                </w14:textFill>
              </w:rPr>
            </w:pPr>
          </w:p>
        </w:tc>
      </w:tr>
      <w:tr w14:paraId="1434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Pr>
          <w:p w14:paraId="01FC0501">
            <w:pPr>
              <w:spacing w:beforeLines="50" w:line="440" w:lineRule="exact"/>
              <w:ind w:firstLine="480"/>
              <w:jc w:val="right"/>
              <w:rPr>
                <w:color w:val="000000" w:themeColor="text1"/>
                <w14:textFill>
                  <w14:solidFill>
                    <w14:schemeClr w14:val="tx1"/>
                  </w14:solidFill>
                </w14:textFill>
              </w:rPr>
            </w:pPr>
          </w:p>
        </w:tc>
        <w:tc>
          <w:tcPr>
            <w:tcW w:w="1156" w:type="dxa"/>
          </w:tcPr>
          <w:p w14:paraId="26055EBD">
            <w:pPr>
              <w:spacing w:beforeLines="50" w:line="440" w:lineRule="exact"/>
              <w:ind w:firstLine="480"/>
              <w:jc w:val="right"/>
              <w:rPr>
                <w:color w:val="000000" w:themeColor="text1"/>
                <w14:textFill>
                  <w14:solidFill>
                    <w14:schemeClr w14:val="tx1"/>
                  </w14:solidFill>
                </w14:textFill>
              </w:rPr>
            </w:pPr>
          </w:p>
        </w:tc>
        <w:tc>
          <w:tcPr>
            <w:tcW w:w="1244" w:type="dxa"/>
          </w:tcPr>
          <w:p w14:paraId="6C8201D0">
            <w:pPr>
              <w:spacing w:beforeLines="50" w:line="440" w:lineRule="exact"/>
              <w:ind w:firstLine="480"/>
              <w:jc w:val="right"/>
              <w:rPr>
                <w:color w:val="000000" w:themeColor="text1"/>
                <w14:textFill>
                  <w14:solidFill>
                    <w14:schemeClr w14:val="tx1"/>
                  </w14:solidFill>
                </w14:textFill>
              </w:rPr>
            </w:pPr>
          </w:p>
        </w:tc>
        <w:tc>
          <w:tcPr>
            <w:tcW w:w="1298" w:type="dxa"/>
          </w:tcPr>
          <w:p w14:paraId="2245630C">
            <w:pPr>
              <w:spacing w:beforeLines="50" w:line="440" w:lineRule="exact"/>
              <w:ind w:firstLine="480"/>
              <w:jc w:val="right"/>
              <w:rPr>
                <w:color w:val="000000" w:themeColor="text1"/>
                <w14:textFill>
                  <w14:solidFill>
                    <w14:schemeClr w14:val="tx1"/>
                  </w14:solidFill>
                </w14:textFill>
              </w:rPr>
            </w:pPr>
          </w:p>
        </w:tc>
        <w:tc>
          <w:tcPr>
            <w:tcW w:w="1735" w:type="dxa"/>
          </w:tcPr>
          <w:p w14:paraId="1AEA90DB">
            <w:pPr>
              <w:spacing w:beforeLines="50" w:line="440" w:lineRule="exact"/>
              <w:ind w:firstLine="480"/>
              <w:jc w:val="right"/>
              <w:rPr>
                <w:color w:val="000000" w:themeColor="text1"/>
                <w14:textFill>
                  <w14:solidFill>
                    <w14:schemeClr w14:val="tx1"/>
                  </w14:solidFill>
                </w14:textFill>
              </w:rPr>
            </w:pPr>
          </w:p>
        </w:tc>
        <w:tc>
          <w:tcPr>
            <w:tcW w:w="1009" w:type="dxa"/>
          </w:tcPr>
          <w:p w14:paraId="02816CDA">
            <w:pPr>
              <w:spacing w:beforeLines="50" w:line="440" w:lineRule="exact"/>
              <w:ind w:firstLine="480"/>
              <w:jc w:val="right"/>
              <w:rPr>
                <w:color w:val="000000" w:themeColor="text1"/>
                <w14:textFill>
                  <w14:solidFill>
                    <w14:schemeClr w14:val="tx1"/>
                  </w14:solidFill>
                </w14:textFill>
              </w:rPr>
            </w:pPr>
          </w:p>
        </w:tc>
        <w:tc>
          <w:tcPr>
            <w:tcW w:w="818" w:type="dxa"/>
          </w:tcPr>
          <w:p w14:paraId="544D47D6">
            <w:pPr>
              <w:spacing w:beforeLines="50" w:line="440" w:lineRule="exact"/>
              <w:ind w:firstLine="480"/>
              <w:jc w:val="right"/>
              <w:rPr>
                <w:color w:val="000000" w:themeColor="text1"/>
                <w14:textFill>
                  <w14:solidFill>
                    <w14:schemeClr w14:val="tx1"/>
                  </w14:solidFill>
                </w14:textFill>
              </w:rPr>
            </w:pPr>
          </w:p>
        </w:tc>
        <w:tc>
          <w:tcPr>
            <w:tcW w:w="1691" w:type="dxa"/>
          </w:tcPr>
          <w:p w14:paraId="4E6B24E8">
            <w:pPr>
              <w:spacing w:beforeLines="50" w:line="440" w:lineRule="exact"/>
              <w:ind w:firstLine="480"/>
              <w:jc w:val="right"/>
              <w:rPr>
                <w:color w:val="000000" w:themeColor="text1"/>
                <w14:textFill>
                  <w14:solidFill>
                    <w14:schemeClr w14:val="tx1"/>
                  </w14:solidFill>
                </w14:textFill>
              </w:rPr>
            </w:pPr>
          </w:p>
        </w:tc>
      </w:tr>
      <w:tr w14:paraId="4C47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gridSpan w:val="3"/>
            <w:vAlign w:val="center"/>
          </w:tcPr>
          <w:p w14:paraId="5DDABEF7">
            <w:pPr>
              <w:spacing w:beforeLines="50" w:line="440" w:lineRule="exact"/>
              <w:ind w:firstLine="48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采购人</w:t>
            </w:r>
            <w:r>
              <w:rPr>
                <w:color w:val="000000" w:themeColor="text1"/>
                <w:szCs w:val="21"/>
                <w14:textFill>
                  <w14:solidFill>
                    <w14:schemeClr w14:val="tx1"/>
                  </w14:solidFill>
                </w14:textFill>
              </w:rPr>
              <w:t>编制的或根据约定的计算方法计算的</w:t>
            </w:r>
            <w:r>
              <w:rPr>
                <w:rFonts w:hint="eastAsia"/>
                <w:color w:val="000000" w:themeColor="text1"/>
                <w:szCs w:val="21"/>
                <w14:textFill>
                  <w14:solidFill>
                    <w14:schemeClr w14:val="tx1"/>
                  </w14:solidFill>
                </w14:textFill>
              </w:rPr>
              <w:t>最高响应限价</w:t>
            </w:r>
            <w:r>
              <w:rPr>
                <w:color w:val="000000" w:themeColor="text1"/>
                <w:szCs w:val="21"/>
                <w14:textFill>
                  <w14:solidFill>
                    <w14:schemeClr w14:val="tx1"/>
                  </w14:solidFill>
                </w14:textFill>
              </w:rPr>
              <w:t>（如有）</w:t>
            </w:r>
          </w:p>
        </w:tc>
        <w:tc>
          <w:tcPr>
            <w:tcW w:w="3033" w:type="dxa"/>
            <w:gridSpan w:val="2"/>
          </w:tcPr>
          <w:p w14:paraId="447CD462">
            <w:pPr>
              <w:spacing w:beforeLines="50" w:line="440" w:lineRule="exact"/>
              <w:ind w:firstLine="480"/>
              <w:jc w:val="right"/>
              <w:rPr>
                <w:color w:val="000000" w:themeColor="text1"/>
                <w14:textFill>
                  <w14:solidFill>
                    <w14:schemeClr w14:val="tx1"/>
                  </w14:solidFill>
                </w14:textFill>
              </w:rPr>
            </w:pPr>
          </w:p>
        </w:tc>
        <w:tc>
          <w:tcPr>
            <w:tcW w:w="3518" w:type="dxa"/>
            <w:gridSpan w:val="3"/>
          </w:tcPr>
          <w:p w14:paraId="7D44E467">
            <w:pPr>
              <w:spacing w:beforeLines="50" w:line="440" w:lineRule="exact"/>
              <w:ind w:firstLine="480"/>
              <w:jc w:val="right"/>
              <w:rPr>
                <w:color w:val="000000" w:themeColor="text1"/>
                <w14:textFill>
                  <w14:solidFill>
                    <w14:schemeClr w14:val="tx1"/>
                  </w14:solidFill>
                </w14:textFill>
              </w:rPr>
            </w:pPr>
          </w:p>
        </w:tc>
      </w:tr>
    </w:tbl>
    <w:p w14:paraId="134D8266">
      <w:pPr>
        <w:spacing w:line="440" w:lineRule="exact"/>
        <w:ind w:firstLine="480"/>
        <w:jc w:val="right"/>
        <w:rPr>
          <w:color w:val="000000" w:themeColor="text1"/>
          <w14:textFill>
            <w14:solidFill>
              <w14:schemeClr w14:val="tx1"/>
            </w14:solidFill>
          </w14:textFill>
        </w:rPr>
      </w:pPr>
    </w:p>
    <w:p w14:paraId="15E6B894">
      <w:pPr>
        <w:spacing w:line="620" w:lineRule="exact"/>
        <w:ind w:firstLine="480"/>
        <w:rPr>
          <w:color w:val="000000" w:themeColor="text1"/>
          <w:szCs w:val="21"/>
          <w:u w:val="single"/>
          <w14:textFill>
            <w14:solidFill>
              <w14:schemeClr w14:val="tx1"/>
            </w14:solidFill>
          </w14:textFill>
        </w:rPr>
      </w:pPr>
      <w:r>
        <w:rPr>
          <w:rFonts w:hint="eastAsia"/>
          <w:color w:val="000000" w:themeColor="text1"/>
          <w:szCs w:val="21"/>
          <w14:textFill>
            <w14:solidFill>
              <w14:schemeClr w14:val="tx1"/>
            </w14:solidFill>
          </w14:textFill>
        </w:rPr>
        <w:t>采购人</w:t>
      </w:r>
      <w:r>
        <w:rPr>
          <w:color w:val="000000" w:themeColor="text1"/>
          <w:szCs w:val="21"/>
          <w14:textFill>
            <w14:solidFill>
              <w14:schemeClr w14:val="tx1"/>
            </w14:solidFill>
          </w14:textFill>
        </w:rPr>
        <w:t xml:space="preserve">代表：                 </w:t>
      </w:r>
      <w:r>
        <w:rPr>
          <w:rFonts w:hint="eastAsia"/>
          <w:color w:val="000000" w:themeColor="text1"/>
          <w:szCs w:val="21"/>
          <w:lang w:val="en-US" w:eastAsia="zh-CN"/>
          <w14:textFill>
            <w14:solidFill>
              <w14:schemeClr w14:val="tx1"/>
            </w14:solidFill>
          </w14:textFill>
        </w:rPr>
        <w:t xml:space="preserve">                    </w:t>
      </w:r>
      <w:r>
        <w:rPr>
          <w:color w:val="000000" w:themeColor="text1"/>
          <w:szCs w:val="21"/>
          <w14:textFill>
            <w14:solidFill>
              <w14:schemeClr w14:val="tx1"/>
            </w14:solidFill>
          </w14:textFill>
        </w:rPr>
        <w:t xml:space="preserve">     记录人：</w:t>
      </w:r>
    </w:p>
    <w:p w14:paraId="0FBEC35D">
      <w:pPr>
        <w:spacing w:line="620" w:lineRule="exact"/>
        <w:ind w:firstLine="480"/>
        <w:jc w:val="righ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p w14:paraId="6BDB5952">
      <w:pPr>
        <w:spacing w:line="620" w:lineRule="exact"/>
        <w:ind w:firstLine="480"/>
        <w:jc w:val="right"/>
        <w:rPr>
          <w:color w:val="000000" w:themeColor="text1"/>
          <w:szCs w:val="21"/>
          <w14:textFill>
            <w14:solidFill>
              <w14:schemeClr w14:val="tx1"/>
            </w14:solidFill>
          </w14:textFill>
        </w:rPr>
      </w:pPr>
      <w:r>
        <w:rPr>
          <w:rFonts w:hint="eastAsia"/>
          <w:color w:val="000000" w:themeColor="text1"/>
          <w:u w:val="single"/>
          <w:lang w:val="en-US" w:eastAsia="zh-CN"/>
          <w14:textFill>
            <w14:solidFill>
              <w14:schemeClr w14:val="tx1"/>
            </w14:solidFill>
          </w14:textFill>
        </w:rPr>
        <w:t xml:space="preserve">     </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 xml:space="preserve"> </w:t>
      </w:r>
      <w:r>
        <w:rPr>
          <w:rFonts w:hint="eastAsia"/>
          <w:color w:val="000000" w:themeColor="text1"/>
          <w:u w:val="single"/>
          <w:lang w:val="en-US" w:eastAsia="zh-CN"/>
          <w14:textFill>
            <w14:solidFill>
              <w14:schemeClr w14:val="tx1"/>
            </w14:solidFill>
          </w14:textFill>
        </w:rPr>
        <w:t xml:space="preserve">   </w:t>
      </w:r>
      <w:r>
        <w:rPr>
          <w:color w:val="000000" w:themeColor="text1"/>
          <w14:textFill>
            <w14:solidFill>
              <w14:schemeClr w14:val="tx1"/>
            </w14:solidFill>
          </w14:textFill>
        </w:rPr>
        <w:t>月</w:t>
      </w:r>
      <w:r>
        <w:rPr>
          <w:rFonts w:hint="eastAsia"/>
          <w:color w:val="000000" w:themeColor="text1"/>
          <w:u w:val="single"/>
          <w:lang w:val="en-US" w:eastAsia="zh-CN"/>
          <w14:textFill>
            <w14:solidFill>
              <w14:schemeClr w14:val="tx1"/>
            </w14:solidFill>
          </w14:textFill>
        </w:rPr>
        <w:t xml:space="preserve">   </w:t>
      </w:r>
      <w:r>
        <w:rPr>
          <w:color w:val="000000" w:themeColor="text1"/>
          <w14:textFill>
            <w14:solidFill>
              <w14:schemeClr w14:val="tx1"/>
            </w14:solidFill>
          </w14:textFill>
        </w:rPr>
        <w:t>日</w:t>
      </w:r>
    </w:p>
    <w:p w14:paraId="0AEBECD3">
      <w:pPr>
        <w:spacing w:line="0" w:lineRule="atLeast"/>
        <w:ind w:left="260"/>
        <w:rPr>
          <w:rFonts w:hint="eastAsia" w:ascii="宋体" w:hAnsi="宋体" w:eastAsia="宋体" w:cs="Times New Roman"/>
          <w:color w:val="000000" w:themeColor="text1"/>
          <w:kern w:val="0"/>
          <w:szCs w:val="21"/>
          <w:highlight w:val="none"/>
          <w:u w:val="single"/>
          <w14:textFill>
            <w14:solidFill>
              <w14:schemeClr w14:val="tx1"/>
            </w14:solidFill>
          </w14:textFill>
        </w:rPr>
      </w:pPr>
      <w:r>
        <w:rPr>
          <w:color w:val="000000" w:themeColor="text1"/>
          <w:szCs w:val="21"/>
          <w14:textFill>
            <w14:solidFill>
              <w14:schemeClr w14:val="tx1"/>
            </w14:solidFill>
          </w14:textFill>
        </w:rPr>
        <w:br w:type="page"/>
      </w:r>
    </w:p>
    <w:p w14:paraId="3C1C0E76">
      <w:pPr>
        <w:rPr>
          <w:b/>
          <w:bCs/>
          <w:color w:val="000000" w:themeColor="text1"/>
          <w:sz w:val="28"/>
          <w:szCs w:val="28"/>
          <w:highlight w:val="none"/>
          <w14:textFill>
            <w14:solidFill>
              <w14:schemeClr w14:val="tx1"/>
            </w14:solidFill>
          </w14:textFill>
        </w:rPr>
      </w:pPr>
    </w:p>
    <w:p w14:paraId="6639AB91">
      <w:pPr>
        <w:spacing w:line="0" w:lineRule="atLeast"/>
        <w:rPr>
          <w:rFonts w:ascii="宋体" w:hAnsi="宋体" w:eastAsia="宋体" w:cs="Times New Roman"/>
          <w:color w:val="000000" w:themeColor="text1"/>
          <w:kern w:val="0"/>
          <w:szCs w:val="21"/>
          <w:highlight w:val="none"/>
          <w14:textFill>
            <w14:solidFill>
              <w14:schemeClr w14:val="tx1"/>
            </w14:solidFill>
          </w14:textFill>
        </w:rPr>
      </w:pPr>
      <w:r>
        <w:rPr>
          <w:b/>
          <w:bCs/>
          <w:color w:val="000000" w:themeColor="text1"/>
          <w:sz w:val="28"/>
          <w:szCs w:val="28"/>
          <w:highlight w:val="none"/>
          <w14:textFill>
            <w14:solidFill>
              <w14:schemeClr w14:val="tx1"/>
            </w14:solidFill>
          </w14:textFill>
        </w:rPr>
        <w:t>附件二：问题澄清通知</w:t>
      </w:r>
    </w:p>
    <w:p w14:paraId="36200513">
      <w:pPr>
        <w:spacing w:line="0" w:lineRule="atLeast"/>
        <w:ind w:left="3480"/>
        <w:rPr>
          <w:rFonts w:hint="eastAsia" w:ascii="宋体" w:hAnsi="宋体" w:eastAsia="宋体" w:cs="Times New Roman"/>
          <w:color w:val="000000" w:themeColor="text1"/>
          <w:kern w:val="0"/>
          <w:szCs w:val="21"/>
          <w:highlight w:val="none"/>
          <w14:textFill>
            <w14:solidFill>
              <w14:schemeClr w14:val="tx1"/>
            </w14:solidFill>
          </w14:textFill>
        </w:rPr>
      </w:pPr>
    </w:p>
    <w:p w14:paraId="34243298">
      <w:pPr>
        <w:spacing w:line="0" w:lineRule="atLeast"/>
        <w:jc w:val="center"/>
        <w:rPr>
          <w:rFonts w:ascii="宋体" w:hAnsi="宋体" w:eastAsia="宋体" w:cs="Times New Roman"/>
          <w:b/>
          <w:color w:val="000000" w:themeColor="text1"/>
          <w:kern w:val="0"/>
          <w:sz w:val="28"/>
          <w:szCs w:val="28"/>
          <w:highlight w:val="none"/>
          <w14:textFill>
            <w14:solidFill>
              <w14:schemeClr w14:val="tx1"/>
            </w14:solidFill>
          </w14:textFill>
        </w:rPr>
      </w:pPr>
      <w:r>
        <w:rPr>
          <w:rFonts w:ascii="宋体" w:hAnsi="宋体" w:eastAsia="宋体" w:cs="Times New Roman"/>
          <w:b/>
          <w:color w:val="000000" w:themeColor="text1"/>
          <w:kern w:val="0"/>
          <w:sz w:val="28"/>
          <w:szCs w:val="28"/>
          <w:highlight w:val="none"/>
          <w14:textFill>
            <w14:solidFill>
              <w14:schemeClr w14:val="tx1"/>
            </w14:solidFill>
          </w14:textFill>
        </w:rPr>
        <w:t>问题澄清通知</w:t>
      </w:r>
    </w:p>
    <w:p w14:paraId="24DBC5E3">
      <w:pPr>
        <w:keepNext w:val="0"/>
        <w:keepLines w:val="0"/>
        <w:pageBreakBefore w:val="0"/>
        <w:widowControl w:val="0"/>
        <w:tabs>
          <w:tab w:val="left" w:pos="5660"/>
        </w:tabs>
        <w:kinsoku/>
        <w:wordWrap/>
        <w:overflowPunct/>
        <w:topLinePunct w:val="0"/>
        <w:autoSpaceDE/>
        <w:autoSpaceDN/>
        <w:bidi w:val="0"/>
        <w:adjustRightInd/>
        <w:snapToGrid/>
        <w:spacing w:before="287" w:beforeLines="100" w:line="360" w:lineRule="auto"/>
        <w:jc w:val="center"/>
        <w:textAlignment w:val="auto"/>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（编号：</w:t>
      </w:r>
      <w:r>
        <w:rPr>
          <w:rFonts w:hint="eastAsia" w:ascii="宋体" w:hAnsi="宋体" w:eastAsia="宋体" w:cs="Times New Roman"/>
          <w:color w:val="000000" w:themeColor="text1"/>
          <w:kern w:val="0"/>
          <w:szCs w:val="21"/>
          <w:highlight w:val="none"/>
          <w:u w:val="single"/>
          <w:lang w:val="en-US" w:eastAsia="zh-CN"/>
          <w14:textFill>
            <w14:solidFill>
              <w14:schemeClr w14:val="tx1"/>
            </w14:solidFill>
          </w14:textFill>
        </w:rPr>
        <w:t xml:space="preserve">        </w:t>
      </w:r>
      <w:r>
        <w:rPr>
          <w:rFonts w:ascii="宋体" w:hAnsi="宋体" w:eastAsia="宋体" w:cs="Times New Roman"/>
          <w:color w:val="000000" w:themeColor="text1"/>
          <w:kern w:val="0"/>
          <w:szCs w:val="21"/>
          <w:highlight w:val="none"/>
          <w14:textFill>
            <w14:solidFill>
              <w14:schemeClr w14:val="tx1"/>
            </w14:solidFill>
          </w14:textFill>
        </w:rPr>
        <w:t>）</w:t>
      </w:r>
    </w:p>
    <w:p w14:paraId="1409FBB8">
      <w:pPr>
        <w:spacing w:line="360" w:lineRule="auto"/>
        <w:ind w:left="140"/>
        <w:jc w:val="left"/>
        <w:rPr>
          <w:rFonts w:hint="eastAsia"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Times New Roman"/>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kern w:val="0"/>
          <w:szCs w:val="21"/>
          <w:highlight w:val="none"/>
          <w:lang w:eastAsia="zh-CN"/>
          <w14:textFill>
            <w14:solidFill>
              <w14:schemeClr w14:val="tx1"/>
            </w14:solidFill>
          </w14:textFill>
        </w:rPr>
        <w:t>供应商</w:t>
      </w:r>
      <w:r>
        <w:rPr>
          <w:rFonts w:hint="eastAsia" w:ascii="宋体" w:hAnsi="宋体" w:eastAsia="宋体" w:cs="Times New Roman"/>
          <w:color w:val="000000" w:themeColor="text1"/>
          <w:kern w:val="0"/>
          <w:szCs w:val="21"/>
          <w:highlight w:val="none"/>
          <w14:textFill>
            <w14:solidFill>
              <w14:schemeClr w14:val="tx1"/>
            </w14:solidFill>
          </w14:textFill>
        </w:rPr>
        <w:t>名称）：</w:t>
      </w:r>
    </w:p>
    <w:p w14:paraId="71FC4522">
      <w:pPr>
        <w:spacing w:line="360" w:lineRule="auto"/>
        <w:ind w:left="140"/>
        <w:jc w:val="left"/>
        <w:rPr>
          <w:rFonts w:hint="eastAsia"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 xml:space="preserve">    </w:t>
      </w:r>
    </w:p>
    <w:p w14:paraId="42F84123">
      <w:pPr>
        <w:keepNext w:val="0"/>
        <w:keepLines w:val="0"/>
        <w:pageBreakBefore w:val="0"/>
        <w:widowControl w:val="0"/>
        <w:kinsoku/>
        <w:wordWrap/>
        <w:overflowPunct/>
        <w:topLinePunct w:val="0"/>
        <w:autoSpaceDE/>
        <w:autoSpaceDN/>
        <w:bidi w:val="0"/>
        <w:adjustRightInd/>
        <w:snapToGrid/>
        <w:spacing w:line="480" w:lineRule="auto"/>
        <w:ind w:left="140"/>
        <w:jc w:val="left"/>
        <w:textAlignment w:val="auto"/>
        <w:rPr>
          <w:rFonts w:hint="eastAsia"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 xml:space="preserve">        </w:t>
      </w:r>
      <w:r>
        <w:rPr>
          <w:rFonts w:hint="eastAsia"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Times New Roman"/>
          <w:color w:val="000000" w:themeColor="text1"/>
          <w:kern w:val="0"/>
          <w:szCs w:val="21"/>
          <w:highlight w:val="none"/>
          <w14:textFill>
            <w14:solidFill>
              <w14:schemeClr w14:val="tx1"/>
            </w14:solidFill>
          </w14:textFill>
        </w:rPr>
        <w:t>（项目名称）</w:t>
      </w:r>
      <w:r>
        <w:rPr>
          <w:rFonts w:hint="eastAsia" w:ascii="宋体" w:hAnsi="宋体" w:eastAsia="宋体" w:cs="Times New Roman"/>
          <w:color w:val="000000" w:themeColor="text1"/>
          <w:kern w:val="0"/>
          <w:szCs w:val="21"/>
          <w:highlight w:val="none"/>
          <w:lang w:eastAsia="zh-CN"/>
          <w14:textFill>
            <w14:solidFill>
              <w14:schemeClr w14:val="tx1"/>
            </w14:solidFill>
          </w14:textFill>
        </w:rPr>
        <w:t>采购</w:t>
      </w:r>
      <w:r>
        <w:rPr>
          <w:rFonts w:hint="eastAsia" w:ascii="宋体" w:hAnsi="宋体" w:eastAsia="宋体" w:cs="Times New Roman"/>
          <w:color w:val="000000" w:themeColor="text1"/>
          <w:kern w:val="0"/>
          <w:szCs w:val="21"/>
          <w:highlight w:val="none"/>
          <w14:textFill>
            <w14:solidFill>
              <w14:schemeClr w14:val="tx1"/>
            </w14:solidFill>
          </w14:textFill>
        </w:rPr>
        <w:t>的评</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审</w:t>
      </w:r>
      <w:r>
        <w:rPr>
          <w:rFonts w:hint="eastAsia" w:ascii="宋体" w:hAnsi="宋体" w:eastAsia="宋体" w:cs="Times New Roman"/>
          <w:color w:val="000000" w:themeColor="text1"/>
          <w:kern w:val="0"/>
          <w:szCs w:val="21"/>
          <w:highlight w:val="none"/>
          <w14:textFill>
            <w14:solidFill>
              <w14:schemeClr w14:val="tx1"/>
            </w14:solidFill>
          </w14:textFill>
        </w:rPr>
        <w:t>委员会，对你方的</w:t>
      </w:r>
      <w:r>
        <w:rPr>
          <w:rFonts w:hint="eastAsia" w:ascii="宋体" w:hAnsi="宋体" w:eastAsia="宋体" w:cs="Times New Roman"/>
          <w:color w:val="000000" w:themeColor="text1"/>
          <w:kern w:val="0"/>
          <w:szCs w:val="21"/>
          <w:highlight w:val="none"/>
          <w:lang w:eastAsia="zh-CN"/>
          <w14:textFill>
            <w14:solidFill>
              <w14:schemeClr w14:val="tx1"/>
            </w14:solidFill>
          </w14:textFill>
        </w:rPr>
        <w:t>响应</w:t>
      </w:r>
      <w:r>
        <w:rPr>
          <w:rFonts w:hint="eastAsia" w:ascii="宋体" w:hAnsi="宋体" w:eastAsia="宋体" w:cs="Times New Roman"/>
          <w:color w:val="000000" w:themeColor="text1"/>
          <w:kern w:val="0"/>
          <w:szCs w:val="21"/>
          <w:highlight w:val="none"/>
          <w14:textFill>
            <w14:solidFill>
              <w14:schemeClr w14:val="tx1"/>
            </w14:solidFill>
          </w14:textFill>
        </w:rPr>
        <w:t>文件进行了仔细的审查，现需你方对下列问题以书面形式予以澄清或说明：</w:t>
      </w:r>
    </w:p>
    <w:p w14:paraId="74371094">
      <w:pPr>
        <w:keepNext w:val="0"/>
        <w:keepLines w:val="0"/>
        <w:pageBreakBefore w:val="0"/>
        <w:widowControl w:val="0"/>
        <w:kinsoku/>
        <w:wordWrap/>
        <w:overflowPunct/>
        <w:topLinePunct w:val="0"/>
        <w:autoSpaceDE/>
        <w:autoSpaceDN/>
        <w:bidi w:val="0"/>
        <w:adjustRightInd/>
        <w:snapToGrid/>
        <w:spacing w:line="480" w:lineRule="auto"/>
        <w:ind w:left="140"/>
        <w:jc w:val="left"/>
        <w:textAlignment w:val="auto"/>
        <w:rPr>
          <w:rFonts w:hint="eastAsia"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 xml:space="preserve">        1.</w:t>
      </w:r>
    </w:p>
    <w:p w14:paraId="66EEBC62">
      <w:pPr>
        <w:keepNext w:val="0"/>
        <w:keepLines w:val="0"/>
        <w:pageBreakBefore w:val="0"/>
        <w:widowControl w:val="0"/>
        <w:kinsoku/>
        <w:wordWrap/>
        <w:overflowPunct/>
        <w:topLinePunct w:val="0"/>
        <w:autoSpaceDE/>
        <w:autoSpaceDN/>
        <w:bidi w:val="0"/>
        <w:adjustRightInd/>
        <w:snapToGrid/>
        <w:spacing w:line="480" w:lineRule="auto"/>
        <w:ind w:left="140"/>
        <w:jc w:val="left"/>
        <w:textAlignment w:val="auto"/>
        <w:rPr>
          <w:rFonts w:hint="eastAsia"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 xml:space="preserve">        2.</w:t>
      </w:r>
    </w:p>
    <w:p w14:paraId="30B1AB2B">
      <w:pPr>
        <w:keepNext w:val="0"/>
        <w:keepLines w:val="0"/>
        <w:pageBreakBefore w:val="0"/>
        <w:widowControl w:val="0"/>
        <w:kinsoku/>
        <w:wordWrap/>
        <w:overflowPunct/>
        <w:topLinePunct w:val="0"/>
        <w:autoSpaceDE/>
        <w:autoSpaceDN/>
        <w:bidi w:val="0"/>
        <w:adjustRightInd/>
        <w:snapToGrid/>
        <w:spacing w:line="480" w:lineRule="auto"/>
        <w:ind w:left="140"/>
        <w:jc w:val="left"/>
        <w:textAlignment w:val="auto"/>
        <w:rPr>
          <w:rFonts w:hint="eastAsia"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 xml:space="preserve">        </w:t>
      </w:r>
      <w:r>
        <w:rPr>
          <w:rFonts w:ascii="宋体" w:hAnsi="宋体" w:eastAsia="宋体" w:cs="Times New Roman"/>
          <w:color w:val="000000" w:themeColor="text1"/>
          <w:kern w:val="0"/>
          <w:szCs w:val="21"/>
          <w:highlight w:val="none"/>
          <w14:textFill>
            <w14:solidFill>
              <w14:schemeClr w14:val="tx1"/>
            </w14:solidFill>
          </w14:textFill>
        </w:rPr>
        <w:t>……</w:t>
      </w:r>
    </w:p>
    <w:p w14:paraId="74B3B6DD">
      <w:pPr>
        <w:keepNext w:val="0"/>
        <w:keepLines w:val="0"/>
        <w:pageBreakBefore w:val="0"/>
        <w:widowControl w:val="0"/>
        <w:kinsoku/>
        <w:wordWrap/>
        <w:overflowPunct/>
        <w:topLinePunct w:val="0"/>
        <w:autoSpaceDE/>
        <w:autoSpaceDN/>
        <w:bidi w:val="0"/>
        <w:adjustRightInd/>
        <w:snapToGrid/>
        <w:spacing w:line="480" w:lineRule="auto"/>
        <w:ind w:left="142" w:firstLine="420" w:firstLineChars="200"/>
        <w:jc w:val="left"/>
        <w:textAlignment w:val="auto"/>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p>
    <w:p w14:paraId="52711993">
      <w:pPr>
        <w:spacing w:line="360" w:lineRule="auto"/>
        <w:rPr>
          <w:rFonts w:hint="eastAsia" w:ascii="宋体" w:hAnsi="宋体" w:eastAsia="宋体" w:cs="Times New Roman"/>
          <w:color w:val="000000" w:themeColor="text1"/>
          <w:kern w:val="0"/>
          <w:szCs w:val="21"/>
          <w:highlight w:val="none"/>
          <w14:textFill>
            <w14:solidFill>
              <w14:schemeClr w14:val="tx1"/>
            </w14:solidFill>
          </w14:textFill>
        </w:rPr>
      </w:pPr>
    </w:p>
    <w:p w14:paraId="0F13CD52">
      <w:pPr>
        <w:spacing w:line="360" w:lineRule="auto"/>
        <w:rPr>
          <w:rFonts w:hint="eastAsia" w:ascii="宋体" w:hAnsi="宋体" w:eastAsia="宋体" w:cs="Times New Roman"/>
          <w:color w:val="000000" w:themeColor="text1"/>
          <w:kern w:val="0"/>
          <w:szCs w:val="21"/>
          <w:highlight w:val="none"/>
          <w14:textFill>
            <w14:solidFill>
              <w14:schemeClr w14:val="tx1"/>
            </w14:solidFill>
          </w14:textFill>
        </w:rPr>
      </w:pPr>
    </w:p>
    <w:p w14:paraId="2F293F5B">
      <w:pPr>
        <w:spacing w:line="360" w:lineRule="auto"/>
        <w:rPr>
          <w:rFonts w:hint="eastAsia" w:ascii="宋体" w:hAnsi="宋体" w:eastAsia="宋体" w:cs="Times New Roman"/>
          <w:color w:val="000000" w:themeColor="text1"/>
          <w:kern w:val="0"/>
          <w:szCs w:val="21"/>
          <w:highlight w:val="none"/>
          <w14:textFill>
            <w14:solidFill>
              <w14:schemeClr w14:val="tx1"/>
            </w14:solidFill>
          </w14:textFill>
        </w:rPr>
      </w:pPr>
    </w:p>
    <w:p w14:paraId="2F9C5F33">
      <w:pPr>
        <w:spacing w:line="360" w:lineRule="auto"/>
        <w:rPr>
          <w:rFonts w:hint="eastAsia" w:ascii="宋体" w:hAnsi="宋体" w:eastAsia="宋体" w:cs="Times New Roman"/>
          <w:color w:val="000000" w:themeColor="text1"/>
          <w:kern w:val="0"/>
          <w:szCs w:val="21"/>
          <w:highlight w:val="none"/>
          <w14:textFill>
            <w14:solidFill>
              <w14:schemeClr w14:val="tx1"/>
            </w14:solidFill>
          </w14:textFill>
        </w:rPr>
      </w:pPr>
    </w:p>
    <w:p w14:paraId="6A3DDBE7">
      <w:pPr>
        <w:spacing w:line="360" w:lineRule="auto"/>
        <w:rPr>
          <w:rFonts w:hint="eastAsia" w:ascii="宋体" w:hAnsi="宋体" w:eastAsia="宋体" w:cs="Times New Roman"/>
          <w:color w:val="000000" w:themeColor="text1"/>
          <w:kern w:val="0"/>
          <w:szCs w:val="21"/>
          <w:highlight w:val="none"/>
          <w14:textFill>
            <w14:solidFill>
              <w14:schemeClr w14:val="tx1"/>
            </w14:solidFill>
          </w14:textFill>
        </w:rPr>
      </w:pPr>
    </w:p>
    <w:p w14:paraId="4CCA229B">
      <w:pPr>
        <w:spacing w:line="360" w:lineRule="auto"/>
        <w:jc w:val="right"/>
        <w:rPr>
          <w:rFonts w:hint="eastAsia"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评标委员会授权的</w:t>
      </w:r>
      <w:r>
        <w:rPr>
          <w:rFonts w:hint="eastAsia" w:ascii="宋体" w:hAnsi="宋体" w:eastAsia="宋体" w:cs="Times New Roman"/>
          <w:color w:val="000000" w:themeColor="text1"/>
          <w:kern w:val="0"/>
          <w:szCs w:val="21"/>
          <w:highlight w:val="none"/>
          <w:lang w:eastAsia="zh-CN"/>
          <w14:textFill>
            <w14:solidFill>
              <w14:schemeClr w14:val="tx1"/>
            </w14:solidFill>
          </w14:textFill>
        </w:rPr>
        <w:t>采购人</w:t>
      </w:r>
      <w:r>
        <w:rPr>
          <w:rFonts w:ascii="宋体" w:hAnsi="宋体" w:eastAsia="宋体" w:cs="Times New Roman"/>
          <w:color w:val="000000" w:themeColor="text1"/>
          <w:kern w:val="0"/>
          <w:szCs w:val="21"/>
          <w:highlight w:val="none"/>
          <w14:textFill>
            <w14:solidFill>
              <w14:schemeClr w14:val="tx1"/>
            </w14:solidFill>
          </w14:textFill>
        </w:rPr>
        <w:t>或招标代理机构：</w:t>
      </w:r>
      <w:r>
        <w:rPr>
          <w:rFonts w:hint="eastAsia" w:ascii="宋体" w:hAnsi="宋体" w:eastAsia="宋体" w:cs="Times New Roman"/>
          <w:color w:val="000000" w:themeColor="text1"/>
          <w:kern w:val="0"/>
          <w:szCs w:val="21"/>
          <w:highlight w:val="none"/>
          <w14:textFill>
            <w14:solidFill>
              <w14:schemeClr w14:val="tx1"/>
            </w14:solidFill>
          </w14:textFill>
        </w:rPr>
        <w:t xml:space="preserve">__________(签字或盖章)  </w:t>
      </w:r>
    </w:p>
    <w:p w14:paraId="6EDBE6F7">
      <w:pPr>
        <w:spacing w:line="360" w:lineRule="auto"/>
        <w:rPr>
          <w:rFonts w:hint="eastAsia" w:ascii="宋体" w:hAnsi="宋体" w:eastAsia="宋体" w:cs="Times New Roman"/>
          <w:color w:val="000000" w:themeColor="text1"/>
          <w:kern w:val="0"/>
          <w:szCs w:val="21"/>
          <w:highlight w:val="none"/>
          <w14:textFill>
            <w14:solidFill>
              <w14:schemeClr w14:val="tx1"/>
            </w14:solidFill>
          </w14:textFill>
        </w:rPr>
      </w:pPr>
    </w:p>
    <w:p w14:paraId="49FB4AA1">
      <w:pPr>
        <w:spacing w:line="0" w:lineRule="atLeast"/>
        <w:ind w:left="140"/>
        <w:rPr>
          <w:rFonts w:hint="eastAsia"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 xml:space="preserve">                                                    </w:t>
      </w:r>
      <w:r>
        <w:rPr>
          <w:rFonts w:hint="eastAsia"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Times New Roman"/>
          <w:color w:val="000000" w:themeColor="text1"/>
          <w:kern w:val="0"/>
          <w:szCs w:val="21"/>
          <w:highlight w:val="none"/>
          <w14:textFill>
            <w14:solidFill>
              <w14:schemeClr w14:val="tx1"/>
            </w14:solidFill>
          </w14:textFill>
        </w:rPr>
        <w:t>年</w:t>
      </w:r>
      <w:r>
        <w:rPr>
          <w:rFonts w:hint="eastAsia"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Times New Roman"/>
          <w:color w:val="000000" w:themeColor="text1"/>
          <w:kern w:val="0"/>
          <w:szCs w:val="21"/>
          <w:highlight w:val="none"/>
          <w14:textFill>
            <w14:solidFill>
              <w14:schemeClr w14:val="tx1"/>
            </w14:solidFill>
          </w14:textFill>
        </w:rPr>
        <w:t>月</w:t>
      </w:r>
      <w:r>
        <w:rPr>
          <w:rFonts w:hint="eastAsia"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Times New Roman"/>
          <w:color w:val="000000" w:themeColor="text1"/>
          <w:kern w:val="0"/>
          <w:szCs w:val="21"/>
          <w:highlight w:val="none"/>
          <w14:textFill>
            <w14:solidFill>
              <w14:schemeClr w14:val="tx1"/>
            </w14:solidFill>
          </w14:textFill>
        </w:rPr>
        <w:t>日</w:t>
      </w:r>
    </w:p>
    <w:p w14:paraId="181EC671">
      <w:pPr>
        <w:spacing w:line="0" w:lineRule="atLeast"/>
        <w:ind w:left="260"/>
        <w:rPr>
          <w:rFonts w:hint="eastAsia" w:ascii="宋体" w:hAnsi="宋体" w:eastAsia="宋体" w:cs="Times New Roman"/>
          <w:color w:val="000000" w:themeColor="text1"/>
          <w:kern w:val="0"/>
          <w:szCs w:val="21"/>
          <w:highlight w:val="none"/>
          <w:u w:val="single"/>
          <w14:textFill>
            <w14:solidFill>
              <w14:schemeClr w14:val="tx1"/>
            </w14:solidFill>
          </w14:textFill>
        </w:rPr>
      </w:pPr>
    </w:p>
    <w:p w14:paraId="1EA0BFE6">
      <w:pPr>
        <w:spacing w:line="0" w:lineRule="atLeast"/>
        <w:ind w:left="260"/>
        <w:rPr>
          <w:rFonts w:hint="eastAsia" w:ascii="宋体" w:hAnsi="宋体" w:eastAsia="宋体" w:cs="Times New Roman"/>
          <w:color w:val="000000" w:themeColor="text1"/>
          <w:kern w:val="0"/>
          <w:szCs w:val="21"/>
          <w:highlight w:val="none"/>
          <w:u w:val="single"/>
          <w14:textFill>
            <w14:solidFill>
              <w14:schemeClr w14:val="tx1"/>
            </w14:solidFill>
          </w14:textFill>
        </w:rPr>
      </w:pPr>
    </w:p>
    <w:p w14:paraId="16F830AC">
      <w:pPr>
        <w:spacing w:line="0" w:lineRule="atLeast"/>
        <w:ind w:left="260"/>
        <w:rPr>
          <w:rFonts w:hint="eastAsia" w:ascii="宋体" w:hAnsi="宋体" w:eastAsia="宋体" w:cs="Times New Roman"/>
          <w:color w:val="000000" w:themeColor="text1"/>
          <w:kern w:val="0"/>
          <w:szCs w:val="21"/>
          <w:highlight w:val="none"/>
          <w:u w:val="single"/>
          <w14:textFill>
            <w14:solidFill>
              <w14:schemeClr w14:val="tx1"/>
            </w14:solidFill>
          </w14:textFill>
        </w:rPr>
      </w:pPr>
    </w:p>
    <w:p w14:paraId="4B13FA71">
      <w:pPr>
        <w:spacing w:line="0" w:lineRule="atLeast"/>
        <w:ind w:left="260"/>
        <w:rPr>
          <w:rFonts w:hint="eastAsia" w:ascii="宋体" w:hAnsi="宋体" w:eastAsia="宋体" w:cs="Times New Roman"/>
          <w:color w:val="000000" w:themeColor="text1"/>
          <w:kern w:val="0"/>
          <w:szCs w:val="21"/>
          <w:highlight w:val="none"/>
          <w:u w:val="single"/>
          <w14:textFill>
            <w14:solidFill>
              <w14:schemeClr w14:val="tx1"/>
            </w14:solidFill>
          </w14:textFill>
        </w:rPr>
      </w:pPr>
    </w:p>
    <w:p w14:paraId="22FB6335">
      <w:pPr>
        <w:spacing w:line="0" w:lineRule="atLeast"/>
        <w:ind w:left="260"/>
        <w:rPr>
          <w:rFonts w:hint="eastAsia" w:ascii="宋体" w:hAnsi="宋体" w:eastAsia="宋体" w:cs="Times New Roman"/>
          <w:color w:val="000000" w:themeColor="text1"/>
          <w:kern w:val="0"/>
          <w:szCs w:val="21"/>
          <w:highlight w:val="none"/>
          <w:u w:val="single"/>
          <w14:textFill>
            <w14:solidFill>
              <w14:schemeClr w14:val="tx1"/>
            </w14:solidFill>
          </w14:textFill>
        </w:rPr>
      </w:pPr>
    </w:p>
    <w:p w14:paraId="2B29FA52">
      <w:pPr>
        <w:spacing w:line="0" w:lineRule="atLeast"/>
        <w:ind w:left="260"/>
        <w:rPr>
          <w:rFonts w:hint="eastAsia" w:ascii="宋体" w:hAnsi="宋体" w:eastAsia="宋体" w:cs="Times New Roman"/>
          <w:color w:val="000000" w:themeColor="text1"/>
          <w:kern w:val="0"/>
          <w:szCs w:val="21"/>
          <w:highlight w:val="none"/>
          <w:u w:val="single"/>
          <w14:textFill>
            <w14:solidFill>
              <w14:schemeClr w14:val="tx1"/>
            </w14:solidFill>
          </w14:textFill>
        </w:rPr>
      </w:pPr>
    </w:p>
    <w:p w14:paraId="5D6B8651">
      <w:pPr>
        <w:spacing w:line="0" w:lineRule="atLeast"/>
        <w:ind w:left="260"/>
        <w:rPr>
          <w:rFonts w:hint="eastAsia" w:ascii="宋体" w:hAnsi="宋体" w:eastAsia="宋体" w:cs="Times New Roman"/>
          <w:color w:val="000000" w:themeColor="text1"/>
          <w:kern w:val="0"/>
          <w:szCs w:val="21"/>
          <w:highlight w:val="none"/>
          <w:u w:val="single"/>
          <w14:textFill>
            <w14:solidFill>
              <w14:schemeClr w14:val="tx1"/>
            </w14:solidFill>
          </w14:textFill>
        </w:rPr>
      </w:pPr>
    </w:p>
    <w:p w14:paraId="12E22CEA">
      <w:pPr>
        <w:spacing w:line="0" w:lineRule="atLeast"/>
        <w:ind w:left="260"/>
        <w:rPr>
          <w:rFonts w:hint="eastAsia" w:ascii="宋体" w:hAnsi="宋体" w:eastAsia="宋体" w:cs="Times New Roman"/>
          <w:color w:val="000000" w:themeColor="text1"/>
          <w:kern w:val="0"/>
          <w:szCs w:val="21"/>
          <w:highlight w:val="none"/>
          <w:u w:val="single"/>
          <w14:textFill>
            <w14:solidFill>
              <w14:schemeClr w14:val="tx1"/>
            </w14:solidFill>
          </w14:textFill>
        </w:rPr>
      </w:pPr>
    </w:p>
    <w:p w14:paraId="0DE4FB7F">
      <w:pPr>
        <w:spacing w:line="0" w:lineRule="atLeast"/>
        <w:ind w:left="260"/>
        <w:rPr>
          <w:rFonts w:hint="eastAsia" w:ascii="宋体" w:hAnsi="宋体" w:eastAsia="宋体" w:cs="Times New Roman"/>
          <w:color w:val="000000" w:themeColor="text1"/>
          <w:kern w:val="0"/>
          <w:szCs w:val="21"/>
          <w:highlight w:val="none"/>
          <w:u w:val="single"/>
          <w14:textFill>
            <w14:solidFill>
              <w14:schemeClr w14:val="tx1"/>
            </w14:solidFill>
          </w14:textFill>
        </w:rPr>
      </w:pPr>
    </w:p>
    <w:p w14:paraId="6A80E16A">
      <w:pPr>
        <w:spacing w:line="0" w:lineRule="atLeast"/>
        <w:ind w:left="260"/>
        <w:rPr>
          <w:rFonts w:hint="eastAsia" w:ascii="宋体" w:hAnsi="宋体" w:eastAsia="宋体" w:cs="Times New Roman"/>
          <w:color w:val="000000" w:themeColor="text1"/>
          <w:kern w:val="0"/>
          <w:szCs w:val="21"/>
          <w:highlight w:val="none"/>
          <w:u w:val="single"/>
          <w14:textFill>
            <w14:solidFill>
              <w14:schemeClr w14:val="tx1"/>
            </w14:solidFill>
          </w14:textFill>
        </w:rPr>
      </w:pPr>
    </w:p>
    <w:p w14:paraId="009FC227">
      <w:pPr>
        <w:spacing w:line="0" w:lineRule="atLeast"/>
        <w:ind w:left="260"/>
        <w:rPr>
          <w:rFonts w:hint="eastAsia" w:ascii="宋体" w:hAnsi="宋体" w:eastAsia="宋体" w:cs="Times New Roman"/>
          <w:color w:val="000000" w:themeColor="text1"/>
          <w:kern w:val="0"/>
          <w:szCs w:val="21"/>
          <w:highlight w:val="none"/>
          <w:u w:val="single"/>
          <w14:textFill>
            <w14:solidFill>
              <w14:schemeClr w14:val="tx1"/>
            </w14:solidFill>
          </w14:textFill>
        </w:rPr>
      </w:pPr>
    </w:p>
    <w:p w14:paraId="6E183C15">
      <w:pPr>
        <w:spacing w:line="0" w:lineRule="atLeast"/>
        <w:ind w:left="260"/>
        <w:rPr>
          <w:rFonts w:hint="eastAsia" w:ascii="宋体" w:hAnsi="宋体" w:eastAsia="宋体" w:cs="Times New Roman"/>
          <w:color w:val="000000" w:themeColor="text1"/>
          <w:kern w:val="0"/>
          <w:szCs w:val="21"/>
          <w:highlight w:val="none"/>
          <w:u w:val="single"/>
          <w14:textFill>
            <w14:solidFill>
              <w14:schemeClr w14:val="tx1"/>
            </w14:solidFill>
          </w14:textFill>
        </w:rPr>
      </w:pPr>
    </w:p>
    <w:p w14:paraId="09411A8E">
      <w:pPr>
        <w:spacing w:line="0" w:lineRule="atLeast"/>
        <w:rPr>
          <w:rFonts w:ascii="宋体" w:hAnsi="宋体" w:eastAsia="宋体" w:cs="Times New Roman"/>
          <w:color w:val="000000" w:themeColor="text1"/>
          <w:kern w:val="0"/>
          <w:szCs w:val="21"/>
          <w:highlight w:val="none"/>
          <w14:textFill>
            <w14:solidFill>
              <w14:schemeClr w14:val="tx1"/>
            </w14:solidFill>
          </w14:textFill>
        </w:rPr>
      </w:pPr>
      <w:r>
        <w:rPr>
          <w:b/>
          <w:bCs/>
          <w:color w:val="000000" w:themeColor="text1"/>
          <w:sz w:val="28"/>
          <w:szCs w:val="28"/>
          <w:highlight w:val="none"/>
          <w14:textFill>
            <w14:solidFill>
              <w14:schemeClr w14:val="tx1"/>
            </w14:solidFill>
          </w14:textFill>
        </w:rPr>
        <w:t>附件三：问题的澄清</w:t>
      </w:r>
    </w:p>
    <w:p w14:paraId="152AC446">
      <w:pPr>
        <w:spacing w:line="201" w:lineRule="exact"/>
        <w:rPr>
          <w:rFonts w:ascii="Times New Roman" w:hAnsi="Times New Roman" w:eastAsia="Times New Roman" w:cs="Times New Roman"/>
          <w:color w:val="000000" w:themeColor="text1"/>
          <w:kern w:val="0"/>
          <w:szCs w:val="21"/>
          <w:highlight w:val="none"/>
          <w14:textFill>
            <w14:solidFill>
              <w14:schemeClr w14:val="tx1"/>
            </w14:solidFill>
          </w14:textFill>
        </w:rPr>
      </w:pPr>
    </w:p>
    <w:p w14:paraId="289BBD3D">
      <w:pPr>
        <w:spacing w:line="0" w:lineRule="atLeast"/>
        <w:jc w:val="center"/>
        <w:rPr>
          <w:rFonts w:ascii="宋体" w:hAnsi="宋体" w:eastAsia="宋体" w:cs="Times New Roman"/>
          <w:b/>
          <w:color w:val="000000" w:themeColor="text1"/>
          <w:kern w:val="0"/>
          <w:sz w:val="28"/>
          <w:szCs w:val="28"/>
          <w:highlight w:val="none"/>
          <w14:textFill>
            <w14:solidFill>
              <w14:schemeClr w14:val="tx1"/>
            </w14:solidFill>
          </w14:textFill>
        </w:rPr>
      </w:pPr>
      <w:r>
        <w:rPr>
          <w:rFonts w:ascii="宋体" w:hAnsi="宋体" w:eastAsia="宋体" w:cs="Times New Roman"/>
          <w:b/>
          <w:color w:val="000000" w:themeColor="text1"/>
          <w:kern w:val="0"/>
          <w:sz w:val="28"/>
          <w:szCs w:val="28"/>
          <w:highlight w:val="none"/>
          <w14:textFill>
            <w14:solidFill>
              <w14:schemeClr w14:val="tx1"/>
            </w14:solidFill>
          </w14:textFill>
        </w:rPr>
        <w:t>问题的澄清</w:t>
      </w:r>
    </w:p>
    <w:p w14:paraId="50C0A91E">
      <w:pPr>
        <w:spacing w:line="149" w:lineRule="exact"/>
        <w:rPr>
          <w:rFonts w:ascii="Times New Roman" w:hAnsi="Times New Roman" w:eastAsia="Times New Roman" w:cs="Times New Roman"/>
          <w:color w:val="000000" w:themeColor="text1"/>
          <w:kern w:val="0"/>
          <w:szCs w:val="21"/>
          <w:highlight w:val="none"/>
          <w14:textFill>
            <w14:solidFill>
              <w14:schemeClr w14:val="tx1"/>
            </w14:solidFill>
          </w14:textFill>
        </w:rPr>
      </w:pPr>
    </w:p>
    <w:p w14:paraId="6C0E7FD1">
      <w:pPr>
        <w:jc w:val="center"/>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（编号：</w:t>
      </w:r>
      <w:r>
        <w:rPr>
          <w:rFonts w:hint="eastAsia" w:ascii="宋体" w:hAnsi="宋体" w:eastAsia="宋体" w:cs="宋体"/>
          <w:color w:val="000000" w:themeColor="text1"/>
          <w:kern w:val="0"/>
          <w:szCs w:val="21"/>
          <w:highlight w:val="none"/>
          <w:u w:val="single"/>
          <w14:textFill>
            <w14:solidFill>
              <w14:schemeClr w14:val="tx1"/>
            </w14:solidFill>
          </w14:textFill>
        </w:rPr>
        <w:tab/>
      </w:r>
      <w:r>
        <w:rPr>
          <w:rFonts w:hint="eastAsia" w:ascii="宋体" w:hAnsi="宋体" w:eastAsia="宋体" w:cs="宋体"/>
          <w:color w:val="000000" w:themeColor="text1"/>
          <w:kern w:val="0"/>
          <w:szCs w:val="21"/>
          <w:highlight w:val="none"/>
          <w14:textFill>
            <w14:solidFill>
              <w14:schemeClr w14:val="tx1"/>
            </w14:solidFill>
          </w14:textFill>
        </w:rPr>
        <w:t>）</w:t>
      </w:r>
    </w:p>
    <w:p w14:paraId="43FAA713">
      <w:pPr>
        <w:tabs>
          <w:tab w:val="left" w:pos="5820"/>
        </w:tabs>
        <w:spacing w:line="239" w:lineRule="auto"/>
        <w:ind w:left="3460"/>
        <w:rPr>
          <w:rFonts w:hint="eastAsia" w:ascii="宋体" w:hAnsi="宋体" w:eastAsia="宋体" w:cs="宋体"/>
          <w:color w:val="000000" w:themeColor="text1"/>
          <w:kern w:val="0"/>
          <w:szCs w:val="21"/>
          <w:highlight w:val="none"/>
          <w14:textFill>
            <w14:solidFill>
              <w14:schemeClr w14:val="tx1"/>
            </w14:solidFill>
          </w14:textFill>
        </w:rPr>
      </w:pPr>
    </w:p>
    <w:p w14:paraId="224064F7">
      <w:pPr>
        <w:spacing w:line="200" w:lineRule="exac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mc:AlternateContent>
          <mc:Choice Requires="wps">
            <w:drawing>
              <wp:anchor distT="0" distB="0" distL="114300" distR="114300" simplePos="0" relativeHeight="251660288" behindDoc="1" locked="0" layoutInCell="0" allowOverlap="1">
                <wp:simplePos x="0" y="0"/>
                <wp:positionH relativeFrom="column">
                  <wp:posOffset>2736215</wp:posOffset>
                </wp:positionH>
                <wp:positionV relativeFrom="paragraph">
                  <wp:posOffset>6985</wp:posOffset>
                </wp:positionV>
                <wp:extent cx="976630" cy="0"/>
                <wp:effectExtent l="0" t="0" r="0" b="0"/>
                <wp:wrapNone/>
                <wp:docPr id="2" name="直线 76"/>
                <wp:cNvGraphicFramePr/>
                <a:graphic xmlns:a="http://schemas.openxmlformats.org/drawingml/2006/main">
                  <a:graphicData uri="http://schemas.microsoft.com/office/word/2010/wordprocessingShape">
                    <wps:wsp>
                      <wps:cNvCnPr/>
                      <wps:spPr>
                        <a:xfrm>
                          <a:off x="0" y="0"/>
                          <a:ext cx="97663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76" o:spid="_x0000_s1026" o:spt="20" style="position:absolute;left:0pt;margin-left:215.45pt;margin-top:0.55pt;height:0pt;width:76.9pt;z-index:-251656192;mso-width-relative:page;mso-height-relative:page;" filled="f" stroked="t" coordsize="21600,21600" o:allowincell="f" o:gfxdata="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GstozUAAAA&#10;BwEAAA8AAAAAAAAAAQAgAAAAIgAAAGRycy9kb3ducmV2LnhtbFBLAQIUABQAAAAIAIdO4kCYGZ6l&#10;6AEAANsDAAAOAAAAAAAAAAEAIAAAACMBAABkcnMvZTJvRG9jLnhtbFBLBQYAAAAABgAGAFkBAAB9&#10;BQAAAAA=&#10;">
                <v:fill on="f" focussize="0,0"/>
                <v:stroke weight="0.72pt" color="#000000" joinstyle="round"/>
                <v:imagedata o:title=""/>
                <o:lock v:ext="edit" aspectratio="f"/>
              </v:line>
            </w:pict>
          </mc:Fallback>
        </mc:AlternateContent>
      </w:r>
    </w:p>
    <w:p w14:paraId="5837F0F6">
      <w:pPr>
        <w:spacing w:line="360" w:lineRule="auto"/>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（项目名称）</w:t>
      </w:r>
      <w:r>
        <w:rPr>
          <w:rFonts w:hint="eastAsia" w:ascii="宋体" w:hAnsi="宋体" w:eastAsia="宋体" w:cs="宋体"/>
          <w:color w:val="000000" w:themeColor="text1"/>
          <w:kern w:val="0"/>
          <w:szCs w:val="21"/>
          <w:highlight w:val="none"/>
          <w:lang w:eastAsia="zh-CN"/>
          <w14:textFill>
            <w14:solidFill>
              <w14:schemeClr w14:val="tx1"/>
            </w14:solidFill>
          </w14:textFill>
        </w:rPr>
        <w:t>采购</w:t>
      </w:r>
      <w:r>
        <w:rPr>
          <w:rFonts w:hint="eastAsia" w:ascii="宋体" w:hAnsi="宋体" w:eastAsia="宋体" w:cs="宋体"/>
          <w:color w:val="000000" w:themeColor="text1"/>
          <w:kern w:val="0"/>
          <w:szCs w:val="21"/>
          <w:highlight w:val="none"/>
          <w14:textFill>
            <w14:solidFill>
              <w14:schemeClr w14:val="tx1"/>
            </w14:solidFill>
          </w14:textFill>
        </w:rPr>
        <w:t>评</w:t>
      </w:r>
      <w:r>
        <w:rPr>
          <w:rFonts w:hint="eastAsia" w:ascii="宋体" w:hAnsi="宋体" w:eastAsia="宋体" w:cs="宋体"/>
          <w:color w:val="000000" w:themeColor="text1"/>
          <w:kern w:val="0"/>
          <w:szCs w:val="21"/>
          <w:highlight w:val="none"/>
          <w:lang w:val="en-US" w:eastAsia="zh-CN"/>
          <w14:textFill>
            <w14:solidFill>
              <w14:schemeClr w14:val="tx1"/>
            </w14:solidFill>
          </w14:textFill>
        </w:rPr>
        <w:t>审</w:t>
      </w:r>
      <w:r>
        <w:rPr>
          <w:rFonts w:hint="eastAsia" w:ascii="宋体" w:hAnsi="宋体" w:eastAsia="宋体" w:cs="宋体"/>
          <w:color w:val="000000" w:themeColor="text1"/>
          <w:kern w:val="0"/>
          <w:szCs w:val="21"/>
          <w:highlight w:val="none"/>
          <w14:textFill>
            <w14:solidFill>
              <w14:schemeClr w14:val="tx1"/>
            </w14:solidFill>
          </w14:textFill>
        </w:rPr>
        <w:t>委员会：</w:t>
      </w:r>
    </w:p>
    <w:p w14:paraId="17A1161A">
      <w:pPr>
        <w:spacing w:line="360" w:lineRule="auto"/>
        <w:rPr>
          <w:rFonts w:hint="eastAsia" w:ascii="宋体" w:hAnsi="宋体" w:eastAsia="宋体" w:cs="宋体"/>
          <w:color w:val="000000" w:themeColor="text1"/>
          <w:kern w:val="0"/>
          <w:szCs w:val="21"/>
          <w:highlight w:val="none"/>
          <w14:textFill>
            <w14:solidFill>
              <w14:schemeClr w14:val="tx1"/>
            </w14:solidFill>
          </w14:textFill>
        </w:rPr>
      </w:pPr>
    </w:p>
    <w:p w14:paraId="279AA556">
      <w:pPr>
        <w:tabs>
          <w:tab w:val="left" w:pos="3340"/>
        </w:tabs>
        <w:spacing w:line="360" w:lineRule="auto"/>
        <w:ind w:left="42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问题澄清通知（编号：</w:t>
      </w:r>
      <w:r>
        <w:rPr>
          <w:rFonts w:hint="eastAsia" w:ascii="宋体" w:hAnsi="宋体" w:eastAsia="宋体" w:cs="宋体"/>
          <w:color w:val="000000" w:themeColor="text1"/>
          <w:kern w:val="0"/>
          <w:szCs w:val="21"/>
          <w:highlight w:val="none"/>
          <w14:textFill>
            <w14:solidFill>
              <w14:schemeClr w14:val="tx1"/>
            </w14:solidFill>
          </w14:textFill>
        </w:rPr>
        <w:tab/>
      </w:r>
      <w:r>
        <w:rPr>
          <w:rFonts w:hint="eastAsia" w:ascii="宋体" w:hAnsi="宋体" w:eastAsia="宋体" w:cs="宋体"/>
          <w:color w:val="000000" w:themeColor="text1"/>
          <w:kern w:val="0"/>
          <w:szCs w:val="21"/>
          <w:highlight w:val="none"/>
          <w14:textFill>
            <w14:solidFill>
              <w14:schemeClr w14:val="tx1"/>
            </w14:solidFill>
          </w14:textFill>
        </w:rPr>
        <w:t>）已收悉，现澄清、说明如下：</w:t>
      </w:r>
    </w:p>
    <w:p w14:paraId="3F4E39B8">
      <w:pPr>
        <w:spacing w:line="217" w:lineRule="exac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mc:AlternateContent>
          <mc:Choice Requires="wps">
            <w:drawing>
              <wp:anchor distT="0" distB="0" distL="114300" distR="114300" simplePos="0" relativeHeight="251661312" behindDoc="1" locked="0" layoutInCell="0" allowOverlap="1">
                <wp:simplePos x="0" y="0"/>
                <wp:positionH relativeFrom="column">
                  <wp:posOffset>1602105</wp:posOffset>
                </wp:positionH>
                <wp:positionV relativeFrom="paragraph">
                  <wp:posOffset>6985</wp:posOffset>
                </wp:positionV>
                <wp:extent cx="531495" cy="0"/>
                <wp:effectExtent l="0" t="0" r="0" b="0"/>
                <wp:wrapNone/>
                <wp:docPr id="3" name="直线 77"/>
                <wp:cNvGraphicFramePr/>
                <a:graphic xmlns:a="http://schemas.openxmlformats.org/drawingml/2006/main">
                  <a:graphicData uri="http://schemas.microsoft.com/office/word/2010/wordprocessingShape">
                    <wps:wsp>
                      <wps:cNvCnPr/>
                      <wps:spPr>
                        <a:xfrm>
                          <a:off x="0" y="0"/>
                          <a:ext cx="53149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77" o:spid="_x0000_s1026" o:spt="20" style="position:absolute;left:0pt;margin-left:126.15pt;margin-top:0.55pt;height:0pt;width:41.85pt;z-index:-251655168;mso-width-relative:page;mso-height-relative:page;" filled="f" stroked="t" coordsize="21600,21600" o:allowincell="f" o:gfxdata="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ZZKWK0wAA&#10;AAcBAAAPAAAAAAAAAAEAIAAAACIAAABkcnMvZG93bnJldi54bWxQSwECFAAUAAAACACHTuJAZsVI&#10;y+oBAADbAwAADgAAAAAAAAABACAAAAAiAQAAZHJzL2Uyb0RvYy54bWxQSwUGAAAAAAYABgBZAQAA&#10;fgUAAAAA&#10;">
                <v:fill on="f" focussize="0,0"/>
                <v:stroke weight="0.72pt" color="#000000" joinstyle="round"/>
                <v:imagedata o:title=""/>
                <o:lock v:ext="edit" aspectratio="f"/>
              </v:line>
            </w:pict>
          </mc:Fallback>
        </mc:AlternateContent>
      </w:r>
    </w:p>
    <w:p w14:paraId="676D7EC2">
      <w:pPr>
        <w:spacing w:line="0" w:lineRule="atLeast"/>
        <w:ind w:left="74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w:t>
      </w:r>
    </w:p>
    <w:p w14:paraId="19211C77">
      <w:pPr>
        <w:spacing w:line="198" w:lineRule="exact"/>
        <w:rPr>
          <w:rFonts w:hint="eastAsia" w:ascii="宋体" w:hAnsi="宋体" w:eastAsia="宋体" w:cs="宋体"/>
          <w:color w:val="000000" w:themeColor="text1"/>
          <w:kern w:val="0"/>
          <w:szCs w:val="21"/>
          <w:highlight w:val="none"/>
          <w14:textFill>
            <w14:solidFill>
              <w14:schemeClr w14:val="tx1"/>
            </w14:solidFill>
          </w14:textFill>
        </w:rPr>
      </w:pPr>
    </w:p>
    <w:p w14:paraId="6847F3AB">
      <w:pPr>
        <w:spacing w:line="239" w:lineRule="auto"/>
        <w:ind w:left="74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w:t>
      </w:r>
    </w:p>
    <w:p w14:paraId="1276A6EB">
      <w:pPr>
        <w:spacing w:line="199" w:lineRule="exact"/>
        <w:rPr>
          <w:rFonts w:hint="eastAsia" w:ascii="宋体" w:hAnsi="宋体" w:eastAsia="宋体" w:cs="宋体"/>
          <w:color w:val="000000" w:themeColor="text1"/>
          <w:kern w:val="0"/>
          <w:szCs w:val="21"/>
          <w:highlight w:val="none"/>
          <w14:textFill>
            <w14:solidFill>
              <w14:schemeClr w14:val="tx1"/>
            </w14:solidFill>
          </w14:textFill>
        </w:rPr>
      </w:pPr>
    </w:p>
    <w:p w14:paraId="7875D4F6">
      <w:pPr>
        <w:spacing w:line="239" w:lineRule="auto"/>
        <w:ind w:left="64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p>
    <w:p w14:paraId="77020530">
      <w:pPr>
        <w:spacing w:line="200" w:lineRule="exact"/>
        <w:rPr>
          <w:rFonts w:hint="eastAsia" w:ascii="宋体" w:hAnsi="宋体" w:eastAsia="宋体" w:cs="宋体"/>
          <w:color w:val="000000" w:themeColor="text1"/>
          <w:kern w:val="0"/>
          <w:szCs w:val="21"/>
          <w:highlight w:val="none"/>
          <w14:textFill>
            <w14:solidFill>
              <w14:schemeClr w14:val="tx1"/>
            </w14:solidFill>
          </w14:textFill>
        </w:rPr>
      </w:pPr>
    </w:p>
    <w:p w14:paraId="36AC6896">
      <w:pPr>
        <w:spacing w:line="200" w:lineRule="exact"/>
        <w:rPr>
          <w:rFonts w:hint="eastAsia" w:ascii="宋体" w:hAnsi="宋体" w:eastAsia="宋体" w:cs="宋体"/>
          <w:color w:val="000000" w:themeColor="text1"/>
          <w:kern w:val="0"/>
          <w:szCs w:val="21"/>
          <w:highlight w:val="none"/>
          <w14:textFill>
            <w14:solidFill>
              <w14:schemeClr w14:val="tx1"/>
            </w14:solidFill>
          </w14:textFill>
        </w:rPr>
      </w:pPr>
    </w:p>
    <w:p w14:paraId="078314F2">
      <w:pPr>
        <w:spacing w:line="200" w:lineRule="exact"/>
        <w:rPr>
          <w:rFonts w:hint="eastAsia" w:ascii="宋体" w:hAnsi="宋体" w:eastAsia="宋体" w:cs="宋体"/>
          <w:color w:val="000000" w:themeColor="text1"/>
          <w:kern w:val="0"/>
          <w:szCs w:val="21"/>
          <w:highlight w:val="none"/>
          <w14:textFill>
            <w14:solidFill>
              <w14:schemeClr w14:val="tx1"/>
            </w14:solidFill>
          </w14:textFill>
        </w:rPr>
      </w:pPr>
    </w:p>
    <w:p w14:paraId="18709D13">
      <w:pPr>
        <w:spacing w:line="200" w:lineRule="exact"/>
        <w:rPr>
          <w:rFonts w:hint="eastAsia" w:ascii="宋体" w:hAnsi="宋体" w:eastAsia="宋体" w:cs="宋体"/>
          <w:color w:val="000000" w:themeColor="text1"/>
          <w:kern w:val="0"/>
          <w:szCs w:val="21"/>
          <w:highlight w:val="none"/>
          <w14:textFill>
            <w14:solidFill>
              <w14:schemeClr w14:val="tx1"/>
            </w14:solidFill>
          </w14:textFill>
        </w:rPr>
      </w:pPr>
    </w:p>
    <w:p w14:paraId="19F8A579">
      <w:pPr>
        <w:spacing w:line="307" w:lineRule="exact"/>
        <w:rPr>
          <w:rFonts w:hint="eastAsia" w:ascii="宋体" w:hAnsi="宋体" w:eastAsia="宋体" w:cs="宋体"/>
          <w:color w:val="000000" w:themeColor="text1"/>
          <w:kern w:val="0"/>
          <w:szCs w:val="21"/>
          <w:highlight w:val="none"/>
          <w14:textFill>
            <w14:solidFill>
              <w14:schemeClr w14:val="tx1"/>
            </w14:solidFill>
          </w14:textFill>
        </w:rPr>
      </w:pPr>
    </w:p>
    <w:p w14:paraId="18DB9E54">
      <w:pPr>
        <w:spacing w:line="239" w:lineRule="auto"/>
        <w:ind w:left="42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上述问题澄清或说明，不改变我方</w:t>
      </w:r>
      <w:r>
        <w:rPr>
          <w:rFonts w:hint="eastAsia" w:ascii="宋体" w:hAnsi="宋体" w:eastAsia="宋体" w:cs="宋体"/>
          <w:color w:val="000000" w:themeColor="text1"/>
          <w:kern w:val="0"/>
          <w:szCs w:val="21"/>
          <w:highlight w:val="none"/>
          <w:lang w:eastAsia="zh-CN"/>
          <w14:textFill>
            <w14:solidFill>
              <w14:schemeClr w14:val="tx1"/>
            </w14:solidFill>
          </w14:textFill>
        </w:rPr>
        <w:t>响应</w:t>
      </w:r>
      <w:r>
        <w:rPr>
          <w:rFonts w:hint="eastAsia" w:ascii="宋体" w:hAnsi="宋体" w:eastAsia="宋体" w:cs="宋体"/>
          <w:color w:val="000000" w:themeColor="text1"/>
          <w:kern w:val="0"/>
          <w:szCs w:val="21"/>
          <w:highlight w:val="none"/>
          <w14:textFill>
            <w14:solidFill>
              <w14:schemeClr w14:val="tx1"/>
            </w14:solidFill>
          </w14:textFill>
        </w:rPr>
        <w:t>文件实质性内容，构成我方</w:t>
      </w:r>
      <w:r>
        <w:rPr>
          <w:rFonts w:hint="eastAsia" w:ascii="宋体" w:hAnsi="宋体" w:eastAsia="宋体" w:cs="宋体"/>
          <w:color w:val="000000" w:themeColor="text1"/>
          <w:kern w:val="0"/>
          <w:szCs w:val="21"/>
          <w:highlight w:val="none"/>
          <w:lang w:eastAsia="zh-CN"/>
          <w14:textFill>
            <w14:solidFill>
              <w14:schemeClr w14:val="tx1"/>
            </w14:solidFill>
          </w14:textFill>
        </w:rPr>
        <w:t>响应</w:t>
      </w:r>
      <w:r>
        <w:rPr>
          <w:rFonts w:hint="eastAsia" w:ascii="宋体" w:hAnsi="宋体" w:eastAsia="宋体" w:cs="宋体"/>
          <w:color w:val="000000" w:themeColor="text1"/>
          <w:kern w:val="0"/>
          <w:szCs w:val="21"/>
          <w:highlight w:val="none"/>
          <w14:textFill>
            <w14:solidFill>
              <w14:schemeClr w14:val="tx1"/>
            </w14:solidFill>
          </w14:textFill>
        </w:rPr>
        <w:t>文件的组成部分。</w:t>
      </w:r>
    </w:p>
    <w:p w14:paraId="481B3CA7">
      <w:pPr>
        <w:spacing w:line="200" w:lineRule="exact"/>
        <w:rPr>
          <w:rFonts w:hint="eastAsia" w:ascii="宋体" w:hAnsi="宋体" w:eastAsia="宋体" w:cs="宋体"/>
          <w:color w:val="000000" w:themeColor="text1"/>
          <w:kern w:val="0"/>
          <w:szCs w:val="21"/>
          <w:highlight w:val="none"/>
          <w14:textFill>
            <w14:solidFill>
              <w14:schemeClr w14:val="tx1"/>
            </w14:solidFill>
          </w14:textFill>
        </w:rPr>
      </w:pPr>
    </w:p>
    <w:p w14:paraId="4AA19DFF">
      <w:pPr>
        <w:spacing w:line="200" w:lineRule="exact"/>
        <w:rPr>
          <w:rFonts w:hint="eastAsia" w:ascii="宋体" w:hAnsi="宋体" w:eastAsia="宋体" w:cs="宋体"/>
          <w:color w:val="000000" w:themeColor="text1"/>
          <w:kern w:val="0"/>
          <w:szCs w:val="21"/>
          <w:highlight w:val="none"/>
          <w14:textFill>
            <w14:solidFill>
              <w14:schemeClr w14:val="tx1"/>
            </w14:solidFill>
          </w14:textFill>
        </w:rPr>
      </w:pPr>
    </w:p>
    <w:p w14:paraId="392222E8">
      <w:pPr>
        <w:spacing w:line="200" w:lineRule="exact"/>
        <w:rPr>
          <w:rFonts w:hint="eastAsia" w:ascii="宋体" w:hAnsi="宋体" w:eastAsia="宋体" w:cs="宋体"/>
          <w:color w:val="000000" w:themeColor="text1"/>
          <w:kern w:val="0"/>
          <w:szCs w:val="21"/>
          <w:highlight w:val="none"/>
          <w14:textFill>
            <w14:solidFill>
              <w14:schemeClr w14:val="tx1"/>
            </w14:solidFill>
          </w14:textFill>
        </w:rPr>
      </w:pPr>
    </w:p>
    <w:p w14:paraId="60BCF5D9">
      <w:pPr>
        <w:spacing w:line="340" w:lineRule="exact"/>
        <w:rPr>
          <w:rFonts w:hint="eastAsia" w:ascii="宋体" w:hAnsi="宋体" w:eastAsia="宋体" w:cs="宋体"/>
          <w:color w:val="000000" w:themeColor="text1"/>
          <w:kern w:val="0"/>
          <w:szCs w:val="21"/>
          <w:highlight w:val="none"/>
          <w14:textFill>
            <w14:solidFill>
              <w14:schemeClr w14:val="tx1"/>
            </w14:solidFill>
          </w14:textFill>
        </w:rPr>
      </w:pPr>
    </w:p>
    <w:p w14:paraId="71F51651">
      <w:pPr>
        <w:tabs>
          <w:tab w:val="left" w:pos="7260"/>
        </w:tabs>
        <w:spacing w:line="239" w:lineRule="auto"/>
        <w:ind w:left="294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供应商</w:t>
      </w: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ab/>
      </w:r>
      <w:r>
        <w:rPr>
          <w:rFonts w:hint="eastAsia" w:ascii="宋体" w:hAnsi="宋体" w:eastAsia="宋体" w:cs="宋体"/>
          <w:color w:val="000000" w:themeColor="text1"/>
          <w:kern w:val="0"/>
          <w:szCs w:val="21"/>
          <w:highlight w:val="none"/>
          <w14:textFill>
            <w14:solidFill>
              <w14:schemeClr w14:val="tx1"/>
            </w14:solidFill>
          </w14:textFill>
        </w:rPr>
        <w:t>（盖单位章）</w:t>
      </w:r>
    </w:p>
    <w:p w14:paraId="2091BC26">
      <w:pPr>
        <w:spacing w:line="306" w:lineRule="exac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mc:AlternateContent>
          <mc:Choice Requires="wps">
            <w:drawing>
              <wp:anchor distT="0" distB="0" distL="114300" distR="114300" simplePos="0" relativeHeight="251662336" behindDoc="1" locked="0" layoutInCell="0" allowOverlap="1">
                <wp:simplePos x="0" y="0"/>
                <wp:positionH relativeFrom="column">
                  <wp:posOffset>2403475</wp:posOffset>
                </wp:positionH>
                <wp:positionV relativeFrom="paragraph">
                  <wp:posOffset>6985</wp:posOffset>
                </wp:positionV>
                <wp:extent cx="2220595" cy="0"/>
                <wp:effectExtent l="0" t="0" r="0" b="0"/>
                <wp:wrapNone/>
                <wp:docPr id="4" name="直线 78"/>
                <wp:cNvGraphicFramePr/>
                <a:graphic xmlns:a="http://schemas.openxmlformats.org/drawingml/2006/main">
                  <a:graphicData uri="http://schemas.microsoft.com/office/word/2010/wordprocessingShape">
                    <wps:wsp>
                      <wps:cNvCnPr/>
                      <wps:spPr>
                        <a:xfrm>
                          <a:off x="0" y="0"/>
                          <a:ext cx="222059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78" o:spid="_x0000_s1026" o:spt="20" style="position:absolute;left:0pt;margin-left:189.25pt;margin-top:0.55pt;height:0pt;width:174.85pt;z-index:-251654144;mso-width-relative:page;mso-height-relative:page;" filled="f" stroked="t" coordsize="21600,21600" o:allowincell="f" o:gfxdata="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0JXXr0wAA&#10;AAcBAAAPAAAAAAAAAAEAIAAAACIAAABkcnMvZG93bnJldi54bWxQSwECFAAUAAAACACHTuJA98FN&#10;lOoBAADcAwAADgAAAAAAAAABACAAAAAiAQAAZHJzL2Uyb0RvYy54bWxQSwUGAAAAAAYABgBZAQAA&#10;fgUAAAAA&#10;">
                <v:fill on="f" focussize="0,0"/>
                <v:stroke weight="0.72pt" color="#000000" joinstyle="round"/>
                <v:imagedata o:title=""/>
                <o:lock v:ext="edit" aspectratio="f"/>
              </v:line>
            </w:pict>
          </mc:Fallback>
        </mc:AlternateContent>
      </w:r>
    </w:p>
    <w:p w14:paraId="0B1585B3">
      <w:pPr>
        <w:tabs>
          <w:tab w:val="left" w:pos="6500"/>
        </w:tabs>
        <w:spacing w:line="239" w:lineRule="auto"/>
        <w:ind w:left="294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法定代表人或其委托代理人：</w:t>
      </w:r>
      <w:r>
        <w:rPr>
          <w:rFonts w:hint="eastAsia" w:ascii="宋体" w:hAnsi="宋体" w:eastAsia="宋体" w:cs="宋体"/>
          <w:color w:val="000000" w:themeColor="text1"/>
          <w:kern w:val="0"/>
          <w:szCs w:val="21"/>
          <w:highlight w:val="none"/>
          <w14:textFill>
            <w14:solidFill>
              <w14:schemeClr w14:val="tx1"/>
            </w14:solidFill>
          </w14:textFill>
        </w:rPr>
        <w:tab/>
      </w:r>
      <w:r>
        <w:rPr>
          <w:rFonts w:hint="eastAsia" w:ascii="宋体" w:hAnsi="宋体" w:eastAsia="宋体" w:cs="宋体"/>
          <w:color w:val="000000" w:themeColor="text1"/>
          <w:kern w:val="0"/>
          <w:szCs w:val="21"/>
          <w:highlight w:val="none"/>
          <w14:textFill>
            <w14:solidFill>
              <w14:schemeClr w14:val="tx1"/>
            </w14:solidFill>
          </w14:textFill>
        </w:rPr>
        <w:t>（签字）</w:t>
      </w:r>
    </w:p>
    <w:p w14:paraId="7A8B0FE3">
      <w:pPr>
        <w:spacing w:line="200" w:lineRule="exac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mc:AlternateContent>
          <mc:Choice Requires="wps">
            <w:drawing>
              <wp:anchor distT="0" distB="0" distL="114300" distR="114300" simplePos="0" relativeHeight="251663360" behindDoc="1" locked="0" layoutInCell="0" allowOverlap="1">
                <wp:simplePos x="0" y="0"/>
                <wp:positionH relativeFrom="column">
                  <wp:posOffset>3601720</wp:posOffset>
                </wp:positionH>
                <wp:positionV relativeFrom="paragraph">
                  <wp:posOffset>635</wp:posOffset>
                </wp:positionV>
                <wp:extent cx="533400" cy="0"/>
                <wp:effectExtent l="0" t="0" r="0" b="0"/>
                <wp:wrapNone/>
                <wp:docPr id="5" name="直线 79"/>
                <wp:cNvGraphicFramePr/>
                <a:graphic xmlns:a="http://schemas.openxmlformats.org/drawingml/2006/main">
                  <a:graphicData uri="http://schemas.microsoft.com/office/word/2010/wordprocessingShape">
                    <wps:wsp>
                      <wps:cNvCnPr/>
                      <wps:spPr>
                        <a:xfrm>
                          <a:off x="0" y="0"/>
                          <a:ext cx="533400" cy="0"/>
                        </a:xfrm>
                        <a:prstGeom prst="line">
                          <a:avLst/>
                        </a:prstGeom>
                        <a:ln w="6095" cap="flat" cmpd="sng">
                          <a:solidFill>
                            <a:srgbClr val="000000"/>
                          </a:solidFill>
                          <a:prstDash val="solid"/>
                          <a:headEnd type="none" w="med" len="med"/>
                          <a:tailEnd type="none" w="med" len="med"/>
                        </a:ln>
                      </wps:spPr>
                      <wps:bodyPr upright="1"/>
                    </wps:wsp>
                  </a:graphicData>
                </a:graphic>
              </wp:anchor>
            </w:drawing>
          </mc:Choice>
          <mc:Fallback>
            <w:pict>
              <v:line id="直线 79" o:spid="_x0000_s1026" o:spt="20" style="position:absolute;left:0pt;margin-left:283.6pt;margin-top:0.05pt;height:0pt;width:42pt;z-index:-251653120;mso-width-relative:page;mso-height-relative:page;" filled="f" stroked="t" coordsize="21600,21600" o:allowincell="f" o:gfxdata="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x8S8rQAAAABQEA&#10;AA8AAAAAAAAAAQAgAAAAIgAAAGRycy9kb3ducmV2LnhtbFBLAQIUABQAAAAIAIdO4kDMC5AU6QEA&#10;ANsDAAAOAAAAAAAAAAEAIAAAAB8BAABkcnMvZTJvRG9jLnhtbFBLBQYAAAAABgAGAFkBAAB6BQAA&#10;AAA=&#10;">
                <v:fill on="f" focussize="0,0"/>
                <v:stroke weight="0.47992125984252pt" color="#000000" joinstyle="round"/>
                <v:imagedata o:title=""/>
                <o:lock v:ext="edit" aspectratio="f"/>
              </v:line>
            </w:pict>
          </mc:Fallback>
        </mc:AlternateContent>
      </w:r>
    </w:p>
    <w:p w14:paraId="71E4D23E">
      <w:pPr>
        <w:spacing w:line="200" w:lineRule="exact"/>
        <w:rPr>
          <w:rFonts w:hint="eastAsia" w:ascii="宋体" w:hAnsi="宋体" w:eastAsia="宋体" w:cs="宋体"/>
          <w:color w:val="000000" w:themeColor="text1"/>
          <w:kern w:val="0"/>
          <w:szCs w:val="21"/>
          <w:highlight w:val="none"/>
          <w14:textFill>
            <w14:solidFill>
              <w14:schemeClr w14:val="tx1"/>
            </w14:solidFill>
          </w14:textFill>
        </w:rPr>
      </w:pPr>
    </w:p>
    <w:p w14:paraId="57E94EAE">
      <w:pPr>
        <w:spacing w:line="200" w:lineRule="exact"/>
        <w:rPr>
          <w:rFonts w:hint="eastAsia" w:ascii="宋体" w:hAnsi="宋体" w:eastAsia="宋体" w:cs="宋体"/>
          <w:color w:val="000000" w:themeColor="text1"/>
          <w:kern w:val="0"/>
          <w:szCs w:val="21"/>
          <w:highlight w:val="none"/>
          <w14:textFill>
            <w14:solidFill>
              <w14:schemeClr w14:val="tx1"/>
            </w14:solidFill>
          </w14:textFill>
        </w:rPr>
      </w:pPr>
    </w:p>
    <w:p w14:paraId="59A6C951">
      <w:pPr>
        <w:spacing w:line="288" w:lineRule="exact"/>
        <w:rPr>
          <w:rFonts w:hint="eastAsia" w:ascii="宋体" w:hAnsi="宋体" w:eastAsia="宋体" w:cs="宋体"/>
          <w:color w:val="000000" w:themeColor="text1"/>
          <w:kern w:val="0"/>
          <w:szCs w:val="21"/>
          <w:highlight w:val="none"/>
          <w14:textFill>
            <w14:solidFill>
              <w14:schemeClr w14:val="tx1"/>
            </w14:solidFill>
          </w14:textFill>
        </w:rPr>
      </w:pPr>
    </w:p>
    <w:p w14:paraId="71E83E0B">
      <w:pPr>
        <w:tabs>
          <w:tab w:val="left" w:pos="7360"/>
          <w:tab w:val="left" w:pos="8420"/>
        </w:tabs>
        <w:spacing w:line="0" w:lineRule="atLeast"/>
        <w:ind w:left="634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年</w:t>
      </w:r>
      <w:r>
        <w:rPr>
          <w:rFonts w:hint="eastAsia" w:ascii="宋体" w:hAnsi="宋体" w:eastAsia="宋体" w:cs="宋体"/>
          <w:color w:val="000000" w:themeColor="text1"/>
          <w:kern w:val="0"/>
          <w:szCs w:val="21"/>
          <w:highlight w:val="none"/>
          <w14:textFill>
            <w14:solidFill>
              <w14:schemeClr w14:val="tx1"/>
            </w14:solidFill>
          </w14:textFill>
        </w:rPr>
        <w:tab/>
      </w:r>
      <w:r>
        <w:rPr>
          <w:rFonts w:hint="eastAsia" w:ascii="宋体" w:hAnsi="宋体" w:eastAsia="宋体" w:cs="宋体"/>
          <w:color w:val="000000" w:themeColor="text1"/>
          <w:kern w:val="0"/>
          <w:szCs w:val="21"/>
          <w:highlight w:val="none"/>
          <w14:textFill>
            <w14:solidFill>
              <w14:schemeClr w14:val="tx1"/>
            </w14:solidFill>
          </w14:textFill>
        </w:rPr>
        <w:t>月</w:t>
      </w:r>
      <w:r>
        <w:rPr>
          <w:rFonts w:hint="eastAsia" w:ascii="宋体" w:hAnsi="宋体" w:eastAsia="宋体" w:cs="宋体"/>
          <w:color w:val="000000" w:themeColor="text1"/>
          <w:kern w:val="0"/>
          <w:szCs w:val="21"/>
          <w:highlight w:val="none"/>
          <w14:textFill>
            <w14:solidFill>
              <w14:schemeClr w14:val="tx1"/>
            </w14:solidFill>
          </w14:textFill>
        </w:rPr>
        <w:tab/>
      </w:r>
      <w:r>
        <w:rPr>
          <w:rFonts w:hint="eastAsia" w:ascii="宋体" w:hAnsi="宋体" w:eastAsia="宋体" w:cs="宋体"/>
          <w:color w:val="000000" w:themeColor="text1"/>
          <w:kern w:val="0"/>
          <w:szCs w:val="21"/>
          <w:highlight w:val="none"/>
          <w14:textFill>
            <w14:solidFill>
              <w14:schemeClr w14:val="tx1"/>
            </w14:solidFill>
          </w14:textFill>
        </w:rPr>
        <w:t>日</w:t>
      </w:r>
    </w:p>
    <w:p w14:paraId="57C38B21">
      <w:pPr>
        <w:spacing w:line="200" w:lineRule="exac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mc:AlternateContent>
          <mc:Choice Requires="wps">
            <w:drawing>
              <wp:anchor distT="0" distB="0" distL="114300" distR="114300" simplePos="0" relativeHeight="251664384" behindDoc="1" locked="0" layoutInCell="0" allowOverlap="1">
                <wp:simplePos x="0" y="0"/>
                <wp:positionH relativeFrom="column">
                  <wp:posOffset>3489325</wp:posOffset>
                </wp:positionH>
                <wp:positionV relativeFrom="paragraph">
                  <wp:posOffset>0</wp:posOffset>
                </wp:positionV>
                <wp:extent cx="533400" cy="0"/>
                <wp:effectExtent l="0" t="0" r="0" b="0"/>
                <wp:wrapNone/>
                <wp:docPr id="13" name="直线 80"/>
                <wp:cNvGraphicFramePr/>
                <a:graphic xmlns:a="http://schemas.openxmlformats.org/drawingml/2006/main">
                  <a:graphicData uri="http://schemas.microsoft.com/office/word/2010/wordprocessingShape">
                    <wps:wsp>
                      <wps:cNvCnPr/>
                      <wps:spPr>
                        <a:xfrm>
                          <a:off x="0" y="0"/>
                          <a:ext cx="533400" cy="0"/>
                        </a:xfrm>
                        <a:prstGeom prst="line">
                          <a:avLst/>
                        </a:prstGeom>
                        <a:ln w="6095" cap="flat" cmpd="sng">
                          <a:solidFill>
                            <a:srgbClr val="000000"/>
                          </a:solidFill>
                          <a:prstDash val="solid"/>
                          <a:headEnd type="none" w="med" len="med"/>
                          <a:tailEnd type="none" w="med" len="med"/>
                        </a:ln>
                      </wps:spPr>
                      <wps:bodyPr upright="1"/>
                    </wps:wsp>
                  </a:graphicData>
                </a:graphic>
              </wp:anchor>
            </w:drawing>
          </mc:Choice>
          <mc:Fallback>
            <w:pict>
              <v:line id="直线 80" o:spid="_x0000_s1026" o:spt="20" style="position:absolute;left:0pt;margin-left:274.75pt;margin-top:0pt;height:0pt;width:42pt;z-index:-251652096;mso-width-relative:page;mso-height-relative:page;" filled="f" stroked="t" coordsize="21600,21600" o:allowincell="f" o:gfxdata="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FOzQ3RAAAABQEA&#10;AA8AAAAAAAAAAQAgAAAAIgAAAGRycy9kb3ducmV2LnhtbFBLAQIUABQAAAAIAIdO4kDLP+N76AEA&#10;ANwDAAAOAAAAAAAAAAEAIAAAACABAABkcnMvZTJvRG9jLnhtbFBLBQYAAAAABgAGAFkBAAB6BQAA&#10;AAA=&#10;">
                <v:fill on="f" focussize="0,0"/>
                <v:stroke weight="0.47992125984252pt" color="#000000" joinstyle="round"/>
                <v:imagedata o:title=""/>
                <o:lock v:ext="edit" aspectratio="f"/>
              </v:line>
            </w:pict>
          </mc:Fallback>
        </mc:AlternateContent>
      </w:r>
      <w:r>
        <w:rPr>
          <w:rFonts w:hint="eastAsia" w:ascii="宋体" w:hAnsi="宋体" w:eastAsia="宋体" w:cs="宋体"/>
          <w:color w:val="000000" w:themeColor="text1"/>
          <w:kern w:val="0"/>
          <w:szCs w:val="21"/>
          <w:highlight w:val="none"/>
          <w14:textFill>
            <w14:solidFill>
              <w14:schemeClr w14:val="tx1"/>
            </w14:solidFill>
          </w14:textFill>
        </w:rPr>
        <mc:AlternateContent>
          <mc:Choice Requires="wps">
            <w:drawing>
              <wp:anchor distT="0" distB="0" distL="114300" distR="114300" simplePos="0" relativeHeight="251665408" behindDoc="1" locked="0" layoutInCell="0" allowOverlap="1">
                <wp:simplePos x="0" y="0"/>
                <wp:positionH relativeFrom="column">
                  <wp:posOffset>4154805</wp:posOffset>
                </wp:positionH>
                <wp:positionV relativeFrom="paragraph">
                  <wp:posOffset>0</wp:posOffset>
                </wp:positionV>
                <wp:extent cx="533400" cy="0"/>
                <wp:effectExtent l="0" t="0" r="0" b="0"/>
                <wp:wrapNone/>
                <wp:docPr id="14" name="直线 81"/>
                <wp:cNvGraphicFramePr/>
                <a:graphic xmlns:a="http://schemas.openxmlformats.org/drawingml/2006/main">
                  <a:graphicData uri="http://schemas.microsoft.com/office/word/2010/wordprocessingShape">
                    <wps:wsp>
                      <wps:cNvCnPr/>
                      <wps:spPr>
                        <a:xfrm>
                          <a:off x="0" y="0"/>
                          <a:ext cx="533400" cy="0"/>
                        </a:xfrm>
                        <a:prstGeom prst="line">
                          <a:avLst/>
                        </a:prstGeom>
                        <a:ln w="6095" cap="flat" cmpd="sng">
                          <a:solidFill>
                            <a:srgbClr val="000000"/>
                          </a:solidFill>
                          <a:prstDash val="solid"/>
                          <a:headEnd type="none" w="med" len="med"/>
                          <a:tailEnd type="none" w="med" len="med"/>
                        </a:ln>
                      </wps:spPr>
                      <wps:bodyPr upright="1"/>
                    </wps:wsp>
                  </a:graphicData>
                </a:graphic>
              </wp:anchor>
            </w:drawing>
          </mc:Choice>
          <mc:Fallback>
            <w:pict>
              <v:line id="直线 81" o:spid="_x0000_s1026" o:spt="20" style="position:absolute;left:0pt;margin-left:327.15pt;margin-top:0pt;height:0pt;width:42pt;z-index:-251651072;mso-width-relative:page;mso-height-relative:page;" filled="f" stroked="t" coordsize="21600,21600" o:allowincell="f" o:gfxdata="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ajei7RAAAABQEA&#10;AA8AAAAAAAAAAQAgAAAAIgAAAGRycy9kb3ducmV2LnhtbFBLAQIUABQAAAAIAIdO4kDf6i1J6AEA&#10;ANwDAAAOAAAAAAAAAAEAIAAAACABAABkcnMvZTJvRG9jLnhtbFBLBQYAAAAABgAGAFkBAAB6BQAA&#10;AAA=&#10;">
                <v:fill on="f" focussize="0,0"/>
                <v:stroke weight="0.47992125984252pt" color="#000000" joinstyle="round"/>
                <v:imagedata o:title=""/>
                <o:lock v:ext="edit" aspectratio="f"/>
              </v:line>
            </w:pict>
          </mc:Fallback>
        </mc:AlternateContent>
      </w:r>
      <w:r>
        <w:rPr>
          <w:rFonts w:hint="eastAsia" w:ascii="宋体" w:hAnsi="宋体" w:eastAsia="宋体" w:cs="宋体"/>
          <w:color w:val="000000" w:themeColor="text1"/>
          <w:kern w:val="0"/>
          <w:szCs w:val="21"/>
          <w:highlight w:val="none"/>
          <w14:textFill>
            <w14:solidFill>
              <w14:schemeClr w14:val="tx1"/>
            </w14:solidFill>
          </w14:textFill>
        </w:rPr>
        <mc:AlternateContent>
          <mc:Choice Requires="wps">
            <w:drawing>
              <wp:anchor distT="0" distB="0" distL="114300" distR="114300" simplePos="0" relativeHeight="251666432" behindDoc="1" locked="0" layoutInCell="0" allowOverlap="1">
                <wp:simplePos x="0" y="0"/>
                <wp:positionH relativeFrom="column">
                  <wp:posOffset>4822825</wp:posOffset>
                </wp:positionH>
                <wp:positionV relativeFrom="paragraph">
                  <wp:posOffset>0</wp:posOffset>
                </wp:positionV>
                <wp:extent cx="532130" cy="0"/>
                <wp:effectExtent l="0" t="0" r="0" b="0"/>
                <wp:wrapNone/>
                <wp:docPr id="15" name="直线 82"/>
                <wp:cNvGraphicFramePr/>
                <a:graphic xmlns:a="http://schemas.openxmlformats.org/drawingml/2006/main">
                  <a:graphicData uri="http://schemas.microsoft.com/office/word/2010/wordprocessingShape">
                    <wps:wsp>
                      <wps:cNvCnPr/>
                      <wps:spPr>
                        <a:xfrm>
                          <a:off x="0" y="0"/>
                          <a:ext cx="532130" cy="0"/>
                        </a:xfrm>
                        <a:prstGeom prst="line">
                          <a:avLst/>
                        </a:prstGeom>
                        <a:ln w="6095" cap="flat" cmpd="sng">
                          <a:solidFill>
                            <a:srgbClr val="000000"/>
                          </a:solidFill>
                          <a:prstDash val="solid"/>
                          <a:headEnd type="none" w="med" len="med"/>
                          <a:tailEnd type="none" w="med" len="med"/>
                        </a:ln>
                      </wps:spPr>
                      <wps:bodyPr upright="1"/>
                    </wps:wsp>
                  </a:graphicData>
                </a:graphic>
              </wp:anchor>
            </w:drawing>
          </mc:Choice>
          <mc:Fallback>
            <w:pict>
              <v:line id="直线 82" o:spid="_x0000_s1026" o:spt="20" style="position:absolute;left:0pt;margin-left:379.75pt;margin-top:0pt;height:0pt;width:41.9pt;z-index:-251650048;mso-width-relative:page;mso-height-relative:page;" filled="f" stroked="t" coordsize="21600,21600" o:allowincell="f" o:gfxdata="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rzpPTAAAA&#10;BQEAAA8AAAAAAAAAAQAgAAAAIgAAAGRycy9kb3ducmV2LnhtbFBLAQIUABQAAAAIAIdO4kAZP1CE&#10;6QEAANwDAAAOAAAAAAAAAAEAIAAAACIBAABkcnMvZTJvRG9jLnhtbFBLBQYAAAAABgAGAFkBAAB9&#10;BQAAAAA=&#10;">
                <v:fill on="f" focussize="0,0"/>
                <v:stroke weight="0.47992125984252pt" color="#000000" joinstyle="round"/>
                <v:imagedata o:title=""/>
                <o:lock v:ext="edit" aspectratio="f"/>
              </v:line>
            </w:pict>
          </mc:Fallback>
        </mc:AlternateContent>
      </w:r>
    </w:p>
    <w:p w14:paraId="787D92E0">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185EDAF0">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0E2A7EA0">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020E176E">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7E86E8E8">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1ECA043E">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2C5EBD89">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0042345C">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419AA9E8">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4654C8DF">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050DAAE0">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658147D1">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79F44B8D">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4CFFF49F">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00FA9833">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7FBB31EC">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0C9E444D">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1E996206">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145775C5">
      <w:pPr>
        <w:spacing w:line="20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5B78F145">
      <w:pPr>
        <w:spacing w:line="0" w:lineRule="atLeast"/>
        <w:rPr>
          <w:rFonts w:ascii="宋体" w:hAnsi="宋体" w:eastAsia="宋体" w:cs="Times New Roman"/>
          <w:color w:val="000000" w:themeColor="text1"/>
          <w:kern w:val="0"/>
          <w:szCs w:val="21"/>
          <w:highlight w:val="none"/>
          <w14:textFill>
            <w14:solidFill>
              <w14:schemeClr w14:val="tx1"/>
            </w14:solidFill>
          </w14:textFill>
        </w:rPr>
      </w:pPr>
    </w:p>
    <w:p w14:paraId="5AE68D9C">
      <w:pPr>
        <w:spacing w:line="0" w:lineRule="atLeast"/>
        <w:rPr>
          <w:rFonts w:ascii="宋体" w:hAnsi="宋体" w:eastAsia="宋体" w:cs="Times New Roman"/>
          <w:color w:val="000000" w:themeColor="text1"/>
          <w:kern w:val="0"/>
          <w:szCs w:val="21"/>
          <w:highlight w:val="none"/>
          <w14:textFill>
            <w14:solidFill>
              <w14:schemeClr w14:val="tx1"/>
            </w14:solidFill>
          </w14:textFill>
        </w:rPr>
      </w:pPr>
    </w:p>
    <w:p w14:paraId="310BAAD3">
      <w:pPr>
        <w:rPr>
          <w:b/>
          <w:bCs/>
          <w:color w:val="000000" w:themeColor="text1"/>
          <w:sz w:val="28"/>
          <w:szCs w:val="28"/>
          <w:highlight w:val="none"/>
          <w14:textFill>
            <w14:solidFill>
              <w14:schemeClr w14:val="tx1"/>
            </w14:solidFill>
          </w14:textFill>
        </w:rPr>
      </w:pPr>
    </w:p>
    <w:p w14:paraId="575C7625">
      <w:pPr>
        <w:bidi w:val="0"/>
        <w:rPr>
          <w:rFonts w:hint="eastAsia" w:ascii="Times New Roman" w:hAnsi="Times New Roman" w:eastAsia="宋体" w:cs="Times New Roman"/>
          <w:color w:val="000000" w:themeColor="text1"/>
          <w:kern w:val="0"/>
          <w:szCs w:val="21"/>
          <w:highlight w:val="none"/>
          <w14:textFill>
            <w14:solidFill>
              <w14:schemeClr w14:val="tx1"/>
            </w14:solidFill>
          </w14:textFill>
        </w:rPr>
      </w:pPr>
      <w:r>
        <w:rPr>
          <w:b/>
          <w:bCs/>
          <w:color w:val="000000" w:themeColor="text1"/>
          <w:sz w:val="28"/>
          <w:szCs w:val="28"/>
          <w:highlight w:val="none"/>
          <w14:textFill>
            <w14:solidFill>
              <w14:schemeClr w14:val="tx1"/>
            </w14:solidFill>
          </w14:textFill>
        </w:rPr>
        <w:t>附件四：</w:t>
      </w:r>
      <w:r>
        <w:rPr>
          <w:rFonts w:hint="eastAsia"/>
          <w:b/>
          <w:bCs/>
          <w:color w:val="000000" w:themeColor="text1"/>
          <w:sz w:val="28"/>
          <w:szCs w:val="28"/>
          <w:highlight w:val="none"/>
          <w:lang w:eastAsia="zh-CN"/>
          <w14:textFill>
            <w14:solidFill>
              <w14:schemeClr w14:val="tx1"/>
            </w14:solidFill>
          </w14:textFill>
        </w:rPr>
        <w:t>成交</w:t>
      </w:r>
      <w:r>
        <w:rPr>
          <w:b/>
          <w:bCs/>
          <w:color w:val="000000" w:themeColor="text1"/>
          <w:sz w:val="28"/>
          <w:szCs w:val="28"/>
          <w:highlight w:val="none"/>
          <w14:textFill>
            <w14:solidFill>
              <w14:schemeClr w14:val="tx1"/>
            </w14:solidFill>
          </w14:textFill>
        </w:rPr>
        <w:t>通知书</w:t>
      </w:r>
    </w:p>
    <w:p w14:paraId="00F20EBE">
      <w:pPr>
        <w:spacing w:line="0" w:lineRule="atLeast"/>
        <w:ind w:left="3620"/>
        <w:rPr>
          <w:rFonts w:hint="eastAsia"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 w:val="28"/>
          <w:szCs w:val="28"/>
          <w:highlight w:val="none"/>
          <w:lang w:eastAsia="zh-CN"/>
          <w14:textFill>
            <w14:solidFill>
              <w14:schemeClr w14:val="tx1"/>
            </w14:solidFill>
          </w14:textFill>
        </w:rPr>
        <w:t>成交</w:t>
      </w:r>
      <w:r>
        <w:rPr>
          <w:rFonts w:ascii="宋体" w:hAnsi="宋体" w:eastAsia="宋体" w:cs="Times New Roman"/>
          <w:b/>
          <w:color w:val="000000" w:themeColor="text1"/>
          <w:kern w:val="0"/>
          <w:sz w:val="28"/>
          <w:szCs w:val="28"/>
          <w:highlight w:val="none"/>
          <w14:textFill>
            <w14:solidFill>
              <w14:schemeClr w14:val="tx1"/>
            </w14:solidFill>
          </w14:textFill>
        </w:rPr>
        <w:t>通知书</w:t>
      </w:r>
    </w:p>
    <w:p w14:paraId="4C45A6FE">
      <w:pPr>
        <w:spacing w:line="200" w:lineRule="exact"/>
        <w:rPr>
          <w:rFonts w:ascii="Times New Roman" w:hAnsi="Times New Roman" w:eastAsia="Times New Roman" w:cs="Times New Roman"/>
          <w:color w:val="000000" w:themeColor="text1"/>
          <w:kern w:val="0"/>
          <w:szCs w:val="21"/>
          <w:highlight w:val="none"/>
          <w14:textFill>
            <w14:solidFill>
              <w14:schemeClr w14:val="tx1"/>
            </w14:solidFill>
          </w14:textFill>
        </w:rPr>
      </w:pPr>
    </w:p>
    <w:p w14:paraId="3AE9820E">
      <w:pPr>
        <w:spacing w:line="26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成交供应商</w:t>
      </w:r>
      <w:r>
        <w:rPr>
          <w:rFonts w:hint="eastAsia" w:ascii="Times New Roman" w:hAnsi="Times New Roman" w:eastAsia="宋体" w:cs="Times New Roman"/>
          <w:color w:val="000000" w:themeColor="text1"/>
          <w:kern w:val="0"/>
          <w:szCs w:val="21"/>
          <w:highlight w:val="none"/>
          <w14:textFill>
            <w14:solidFill>
              <w14:schemeClr w14:val="tx1"/>
            </w14:solidFill>
          </w14:textFill>
        </w:rPr>
        <w:t>名称）：</w:t>
      </w:r>
    </w:p>
    <w:p w14:paraId="46F60917">
      <w:pPr>
        <w:spacing w:line="26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73F747C6">
      <w:pPr>
        <w:spacing w:line="260" w:lineRule="exact"/>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49B0951A">
      <w:pPr>
        <w:spacing w:line="360" w:lineRule="auto"/>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你方于</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询比采购</w:t>
      </w:r>
      <w:r>
        <w:rPr>
          <w:rFonts w:hint="eastAsia" w:ascii="Times New Roman" w:hAnsi="Times New Roman" w:eastAsia="宋体" w:cs="Times New Roman"/>
          <w:color w:val="000000" w:themeColor="text1"/>
          <w:kern w:val="0"/>
          <w:szCs w:val="21"/>
          <w:highlight w:val="none"/>
          <w14:textFill>
            <w14:solidFill>
              <w14:schemeClr w14:val="tx1"/>
            </w14:solidFill>
          </w14:textFill>
        </w:rPr>
        <w:t>日期）所递交的</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（项目名称）</w:t>
      </w:r>
      <w:r>
        <w:rPr>
          <w:rFonts w:hint="eastAsia" w:ascii="Times New Roman" w:hAnsi="Times New Roman" w:eastAsia="宋体" w:cs="Times New Roman"/>
          <w:color w:val="000000" w:themeColor="text1"/>
          <w:kern w:val="0"/>
          <w:szCs w:val="21"/>
          <w:highlight w:val="none"/>
          <w:u w:val="none"/>
          <w:lang w:val="en-US" w:eastAsia="zh-CN"/>
          <w14:textFill>
            <w14:solidFill>
              <w14:schemeClr w14:val="tx1"/>
            </w14:solidFill>
          </w14:textFill>
        </w:rPr>
        <w:t>响应</w:t>
      </w:r>
      <w:r>
        <w:rPr>
          <w:rFonts w:hint="eastAsia" w:ascii="Times New Roman" w:hAnsi="Times New Roman" w:eastAsia="宋体" w:cs="Times New Roman"/>
          <w:color w:val="000000" w:themeColor="text1"/>
          <w:kern w:val="0"/>
          <w:szCs w:val="21"/>
          <w:highlight w:val="none"/>
          <w14:textFill>
            <w14:solidFill>
              <w14:schemeClr w14:val="tx1"/>
            </w14:solidFill>
          </w14:textFill>
        </w:rPr>
        <w:t>文件已被我方接受，被确定为</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成交供应商</w:t>
      </w:r>
      <w:r>
        <w:rPr>
          <w:rFonts w:hint="eastAsia" w:ascii="Times New Roman" w:hAnsi="Times New Roman" w:eastAsia="宋体" w:cs="Times New Roman"/>
          <w:color w:val="000000" w:themeColor="text1"/>
          <w:kern w:val="0"/>
          <w:szCs w:val="21"/>
          <w:highlight w:val="none"/>
          <w14:textFill>
            <w14:solidFill>
              <w14:schemeClr w14:val="tx1"/>
            </w14:solidFill>
          </w14:textFill>
        </w:rPr>
        <w:t>。</w:t>
      </w:r>
    </w:p>
    <w:p w14:paraId="7F998715">
      <w:pPr>
        <w:spacing w:line="360" w:lineRule="auto"/>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7E4BAEBA">
      <w:pPr>
        <w:spacing w:line="360" w:lineRule="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成交</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价：</w:t>
      </w:r>
      <w:r>
        <w:rPr>
          <w:rFonts w:hint="eastAsia" w:asciiTheme="minorEastAsia" w:hAnsiTheme="minorEastAsia" w:eastAsiaTheme="minorEastAsia" w:cstheme="minorEastAsia"/>
          <w:color w:val="000000" w:themeColor="text1"/>
          <w:kern w:val="0"/>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元。</w:t>
      </w:r>
    </w:p>
    <w:p w14:paraId="7F547D66">
      <w:pPr>
        <w:spacing w:line="360" w:lineRule="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 xml:space="preserve">      </w:t>
      </w:r>
      <w:r>
        <w:rPr>
          <w:rFonts w:hint="eastAsia" w:asciiTheme="minorEastAsia" w:hAnsiTheme="minorEastAsia" w:cstheme="minorEastAsia"/>
          <w:color w:val="000000" w:themeColor="text1"/>
          <w:kern w:val="0"/>
          <w:szCs w:val="21"/>
          <w:highlight w:val="none"/>
          <w:lang w:val="en-US" w:eastAsia="zh-CN"/>
          <w14:textFill>
            <w14:solidFill>
              <w14:schemeClr w14:val="tx1"/>
            </w14:solidFill>
          </w14:textFill>
        </w:rPr>
        <w:t>工期</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w:t>
      </w:r>
      <w:r>
        <w:rPr>
          <w:rFonts w:hint="eastAsia" w:asciiTheme="minorEastAsia" w:hAnsiTheme="minorEastAsia" w:eastAsiaTheme="minorEastAsia" w:cstheme="minorEastAsia"/>
          <w:color w:val="000000" w:themeColor="text1"/>
          <w:kern w:val="0"/>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w:t>
      </w:r>
    </w:p>
    <w:p w14:paraId="5937FD17">
      <w:pPr>
        <w:spacing w:line="360" w:lineRule="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 xml:space="preserve">      项目</w:t>
      </w:r>
      <w:r>
        <w:rPr>
          <w:rFonts w:hint="eastAsia" w:asciiTheme="minorEastAsia" w:hAnsiTheme="minorEastAsia" w:cstheme="minorEastAsia"/>
          <w:color w:val="000000" w:themeColor="text1"/>
          <w:kern w:val="0"/>
          <w:szCs w:val="21"/>
          <w:highlight w:val="none"/>
          <w:lang w:val="en-US" w:eastAsia="zh-CN"/>
          <w14:textFill>
            <w14:solidFill>
              <w14:schemeClr w14:val="tx1"/>
            </w14:solidFill>
          </w14:textFill>
        </w:rPr>
        <w:t>经理</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w:t>
      </w:r>
      <w:r>
        <w:rPr>
          <w:rFonts w:hint="eastAsia" w:asciiTheme="minorEastAsia" w:hAnsiTheme="minorEastAsia" w:eastAsiaTheme="minorEastAsia" w:cstheme="minorEastAsia"/>
          <w:color w:val="000000" w:themeColor="text1"/>
          <w:kern w:val="0"/>
          <w:szCs w:val="21"/>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（姓名）。</w:t>
      </w:r>
    </w:p>
    <w:p w14:paraId="05DFA713">
      <w:pPr>
        <w:spacing w:line="360" w:lineRule="auto"/>
        <w:ind w:firstLine="420" w:firstLineChars="200"/>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请你方在接到本通知书后的</w:t>
      </w:r>
      <w:r>
        <w:rPr>
          <w:rFonts w:hint="eastAsia" w:ascii="Times New Roman" w:hAnsi="Times New Roman" w:eastAsia="宋体" w:cs="Times New Roman"/>
          <w:color w:val="000000" w:themeColor="text1"/>
          <w:kern w:val="0"/>
          <w:szCs w:val="21"/>
          <w:highlight w:val="none"/>
          <w:u w:val="singl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日内到 </w:t>
      </w:r>
      <w:r>
        <w:rPr>
          <w:rFonts w:hint="eastAsia" w:ascii="Times New Roman" w:hAnsi="Times New Roman" w:eastAsia="宋体" w:cs="Times New Roman"/>
          <w:color w:val="000000" w:themeColor="text1"/>
          <w:kern w:val="0"/>
          <w:szCs w:val="21"/>
          <w:highlight w:val="none"/>
          <w:u w:val="singl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（指定地点）与我方签订</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施工</w:t>
      </w:r>
      <w:r>
        <w:rPr>
          <w:rFonts w:hint="eastAsia" w:ascii="Times New Roman" w:hAnsi="Times New Roman" w:eastAsia="宋体" w:cs="Times New Roman"/>
          <w:color w:val="000000" w:themeColor="text1"/>
          <w:kern w:val="0"/>
          <w:szCs w:val="21"/>
          <w:highlight w:val="none"/>
          <w14:textFill>
            <w14:solidFill>
              <w14:schemeClr w14:val="tx1"/>
            </w14:solidFill>
          </w14:textFill>
        </w:rPr>
        <w:t>合同，并按</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采购</w:t>
      </w:r>
      <w:r>
        <w:rPr>
          <w:rFonts w:hint="eastAsia" w:ascii="Times New Roman" w:hAnsi="Times New Roman" w:eastAsia="宋体" w:cs="Times New Roman"/>
          <w:color w:val="000000" w:themeColor="text1"/>
          <w:kern w:val="0"/>
          <w:szCs w:val="21"/>
          <w:highlight w:val="none"/>
          <w14:textFill>
            <w14:solidFill>
              <w14:schemeClr w14:val="tx1"/>
            </w14:solidFill>
          </w14:textFill>
        </w:rPr>
        <w:t>文件第二章“</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供应商</w:t>
      </w:r>
      <w:r>
        <w:rPr>
          <w:rFonts w:hint="eastAsia" w:ascii="Times New Roman" w:hAnsi="Times New Roman" w:eastAsia="宋体" w:cs="Times New Roman"/>
          <w:color w:val="000000" w:themeColor="text1"/>
          <w:kern w:val="0"/>
          <w:szCs w:val="21"/>
          <w:highlight w:val="none"/>
          <w14:textFill>
            <w14:solidFill>
              <w14:schemeClr w14:val="tx1"/>
            </w14:solidFill>
          </w14:textFill>
        </w:rPr>
        <w:t>须知”第 7.6 款规定向我方提交履约保证金。 特此通知。</w:t>
      </w:r>
    </w:p>
    <w:p w14:paraId="26A148F3">
      <w:pPr>
        <w:spacing w:line="360" w:lineRule="auto"/>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w:t>
      </w:r>
    </w:p>
    <w:p w14:paraId="6D53F53A">
      <w:pPr>
        <w:spacing w:line="360" w:lineRule="auto"/>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7680E9DA">
      <w:pPr>
        <w:spacing w:line="360" w:lineRule="auto"/>
        <w:ind w:firstLine="2730" w:firstLineChars="1300"/>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采购人</w:t>
      </w:r>
      <w:r>
        <w:rPr>
          <w:rFonts w:hint="eastAsia" w:ascii="Times New Roman" w:hAnsi="Times New Roman" w:eastAsia="宋体" w:cs="Times New Roman"/>
          <w:color w:val="000000" w:themeColor="text1"/>
          <w:kern w:val="0"/>
          <w:szCs w:val="21"/>
          <w:highlight w:val="none"/>
          <w14:textFill>
            <w14:solidFill>
              <w14:schemeClr w14:val="tx1"/>
            </w14:solidFill>
          </w14:textFill>
        </w:rPr>
        <w:t>：</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（盖单位章）</w:t>
      </w:r>
    </w:p>
    <w:p w14:paraId="23CFFFA5">
      <w:pPr>
        <w:spacing w:line="360" w:lineRule="auto"/>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3873A417">
      <w:pPr>
        <w:spacing w:line="360" w:lineRule="auto"/>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采购</w:t>
      </w:r>
      <w:r>
        <w:rPr>
          <w:rFonts w:hint="eastAsia" w:ascii="Times New Roman" w:hAnsi="Times New Roman" w:eastAsia="宋体" w:cs="Times New Roman"/>
          <w:color w:val="000000" w:themeColor="text1"/>
          <w:kern w:val="0"/>
          <w:szCs w:val="21"/>
          <w:highlight w:val="none"/>
          <w14:textFill>
            <w14:solidFill>
              <w14:schemeClr w14:val="tx1"/>
            </w14:solidFill>
          </w14:textFill>
        </w:rPr>
        <w:t>代理机构：</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（盖单位章）</w:t>
      </w:r>
    </w:p>
    <w:p w14:paraId="03535919">
      <w:pPr>
        <w:spacing w:line="360" w:lineRule="auto"/>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4F5D41AC">
      <w:pPr>
        <w:spacing w:line="360" w:lineRule="auto"/>
        <w:rPr>
          <w:rFonts w:hint="eastAsia" w:ascii="Arial" w:hAnsi="Arial" w:eastAsia="黑体" w:cs="Arial"/>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年</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月</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日</w:t>
      </w:r>
    </w:p>
    <w:p w14:paraId="576F8D4D">
      <w:pPr>
        <w:spacing w:line="0" w:lineRule="atLeast"/>
        <w:rPr>
          <w:rFonts w:hint="eastAsia" w:ascii="宋体" w:hAnsi="宋体" w:eastAsia="宋体" w:cs="Times New Roman"/>
          <w:color w:val="000000" w:themeColor="text1"/>
          <w:kern w:val="0"/>
          <w:szCs w:val="21"/>
          <w:highlight w:val="none"/>
          <w14:textFill>
            <w14:solidFill>
              <w14:schemeClr w14:val="tx1"/>
            </w14:solidFill>
          </w14:textFill>
        </w:rPr>
      </w:pPr>
    </w:p>
    <w:p w14:paraId="78694729">
      <w:pPr>
        <w:spacing w:line="0" w:lineRule="atLeast"/>
        <w:rPr>
          <w:rFonts w:hint="eastAsia" w:ascii="宋体" w:hAnsi="宋体" w:eastAsia="宋体" w:cs="Times New Roman"/>
          <w:color w:val="000000" w:themeColor="text1"/>
          <w:kern w:val="0"/>
          <w:szCs w:val="21"/>
          <w:highlight w:val="none"/>
          <w14:textFill>
            <w14:solidFill>
              <w14:schemeClr w14:val="tx1"/>
            </w14:solidFill>
          </w14:textFill>
        </w:rPr>
      </w:pPr>
    </w:p>
    <w:p w14:paraId="29533A0A">
      <w:pPr>
        <w:spacing w:line="0" w:lineRule="atLeast"/>
        <w:rPr>
          <w:rFonts w:hint="eastAsia" w:ascii="宋体" w:hAnsi="宋体" w:eastAsia="宋体" w:cs="Times New Roman"/>
          <w:color w:val="000000" w:themeColor="text1"/>
          <w:kern w:val="0"/>
          <w:szCs w:val="21"/>
          <w:highlight w:val="none"/>
          <w14:textFill>
            <w14:solidFill>
              <w14:schemeClr w14:val="tx1"/>
            </w14:solidFill>
          </w14:textFill>
        </w:rPr>
      </w:pPr>
    </w:p>
    <w:p w14:paraId="4AB9B861">
      <w:pPr>
        <w:spacing w:line="0" w:lineRule="atLeast"/>
        <w:rPr>
          <w:rFonts w:hint="eastAsia" w:ascii="宋体" w:hAnsi="宋体" w:eastAsia="宋体" w:cs="Times New Roman"/>
          <w:color w:val="000000" w:themeColor="text1"/>
          <w:kern w:val="0"/>
          <w:szCs w:val="21"/>
          <w:highlight w:val="none"/>
          <w14:textFill>
            <w14:solidFill>
              <w14:schemeClr w14:val="tx1"/>
            </w14:solidFill>
          </w14:textFill>
        </w:rPr>
      </w:pPr>
    </w:p>
    <w:p w14:paraId="78552C08">
      <w:pPr>
        <w:spacing w:line="0" w:lineRule="atLeast"/>
        <w:rPr>
          <w:rFonts w:hint="eastAsia" w:ascii="宋体" w:hAnsi="宋体" w:eastAsia="宋体" w:cs="Times New Roman"/>
          <w:color w:val="000000" w:themeColor="text1"/>
          <w:kern w:val="0"/>
          <w:szCs w:val="21"/>
          <w:highlight w:val="none"/>
          <w14:textFill>
            <w14:solidFill>
              <w14:schemeClr w14:val="tx1"/>
            </w14:solidFill>
          </w14:textFill>
        </w:rPr>
      </w:pPr>
    </w:p>
    <w:p w14:paraId="19434C99">
      <w:pPr>
        <w:spacing w:line="0" w:lineRule="atLeast"/>
        <w:rPr>
          <w:rFonts w:hint="eastAsia" w:ascii="宋体" w:hAnsi="宋体" w:eastAsia="宋体" w:cs="Times New Roman"/>
          <w:color w:val="000000" w:themeColor="text1"/>
          <w:kern w:val="0"/>
          <w:szCs w:val="21"/>
          <w:highlight w:val="none"/>
          <w14:textFill>
            <w14:solidFill>
              <w14:schemeClr w14:val="tx1"/>
            </w14:solidFill>
          </w14:textFill>
        </w:rPr>
      </w:pPr>
    </w:p>
    <w:p w14:paraId="1EFA6A3B">
      <w:pPr>
        <w:spacing w:line="0" w:lineRule="atLeast"/>
        <w:rPr>
          <w:rFonts w:hint="eastAsia" w:ascii="宋体" w:hAnsi="宋体" w:eastAsia="宋体" w:cs="Times New Roman"/>
          <w:color w:val="000000" w:themeColor="text1"/>
          <w:kern w:val="0"/>
          <w:szCs w:val="21"/>
          <w:highlight w:val="none"/>
          <w14:textFill>
            <w14:solidFill>
              <w14:schemeClr w14:val="tx1"/>
            </w14:solidFill>
          </w14:textFill>
        </w:rPr>
      </w:pPr>
    </w:p>
    <w:p w14:paraId="04E162BF">
      <w:pPr>
        <w:spacing w:line="0" w:lineRule="atLeast"/>
        <w:rPr>
          <w:rFonts w:hint="eastAsia" w:ascii="宋体" w:hAnsi="宋体" w:eastAsia="宋体" w:cs="Times New Roman"/>
          <w:color w:val="000000" w:themeColor="text1"/>
          <w:kern w:val="0"/>
          <w:szCs w:val="21"/>
          <w:highlight w:val="none"/>
          <w14:textFill>
            <w14:solidFill>
              <w14:schemeClr w14:val="tx1"/>
            </w14:solidFill>
          </w14:textFill>
        </w:rPr>
      </w:pPr>
    </w:p>
    <w:p w14:paraId="0E6B576B">
      <w:pPr>
        <w:spacing w:line="0" w:lineRule="atLeast"/>
        <w:rPr>
          <w:rFonts w:hint="eastAsia" w:ascii="宋体" w:hAnsi="宋体" w:eastAsia="宋体" w:cs="Times New Roman"/>
          <w:color w:val="000000" w:themeColor="text1"/>
          <w:kern w:val="0"/>
          <w:szCs w:val="21"/>
          <w:highlight w:val="none"/>
          <w14:textFill>
            <w14:solidFill>
              <w14:schemeClr w14:val="tx1"/>
            </w14:solidFill>
          </w14:textFill>
        </w:rPr>
      </w:pPr>
    </w:p>
    <w:p w14:paraId="2EFDD451">
      <w:pPr>
        <w:spacing w:line="0" w:lineRule="atLeast"/>
        <w:rPr>
          <w:rFonts w:hint="eastAsia" w:ascii="宋体" w:hAnsi="宋体" w:eastAsia="宋体" w:cs="Times New Roman"/>
          <w:color w:val="000000" w:themeColor="text1"/>
          <w:kern w:val="0"/>
          <w:szCs w:val="21"/>
          <w:highlight w:val="none"/>
          <w14:textFill>
            <w14:solidFill>
              <w14:schemeClr w14:val="tx1"/>
            </w14:solidFill>
          </w14:textFill>
        </w:rPr>
      </w:pPr>
    </w:p>
    <w:p w14:paraId="05D019E1">
      <w:pPr>
        <w:spacing w:line="0" w:lineRule="atLeast"/>
        <w:rPr>
          <w:rFonts w:hint="eastAsia" w:ascii="宋体" w:hAnsi="宋体" w:eastAsia="宋体" w:cs="Times New Roman"/>
          <w:color w:val="000000" w:themeColor="text1"/>
          <w:kern w:val="0"/>
          <w:szCs w:val="21"/>
          <w:highlight w:val="none"/>
          <w14:textFill>
            <w14:solidFill>
              <w14:schemeClr w14:val="tx1"/>
            </w14:solidFill>
          </w14:textFill>
        </w:rPr>
      </w:pPr>
    </w:p>
    <w:p w14:paraId="66F582DD">
      <w:pPr>
        <w:spacing w:line="0" w:lineRule="atLeast"/>
        <w:rPr>
          <w:rFonts w:hint="eastAsia" w:ascii="宋体" w:hAnsi="宋体" w:eastAsia="宋体" w:cs="Times New Roman"/>
          <w:color w:val="000000" w:themeColor="text1"/>
          <w:kern w:val="0"/>
          <w:szCs w:val="21"/>
          <w:highlight w:val="none"/>
          <w14:textFill>
            <w14:solidFill>
              <w14:schemeClr w14:val="tx1"/>
            </w14:solidFill>
          </w14:textFill>
        </w:rPr>
      </w:pPr>
    </w:p>
    <w:p w14:paraId="77E67127">
      <w:pPr>
        <w:spacing w:line="0" w:lineRule="atLeast"/>
        <w:rPr>
          <w:rFonts w:hint="eastAsia" w:ascii="宋体" w:hAnsi="宋体" w:eastAsia="宋体" w:cs="Times New Roman"/>
          <w:color w:val="000000" w:themeColor="text1"/>
          <w:kern w:val="0"/>
          <w:szCs w:val="21"/>
          <w:highlight w:val="none"/>
          <w14:textFill>
            <w14:solidFill>
              <w14:schemeClr w14:val="tx1"/>
            </w14:solidFill>
          </w14:textFill>
        </w:rPr>
      </w:pPr>
    </w:p>
    <w:p w14:paraId="7328939A">
      <w:pPr>
        <w:spacing w:line="0" w:lineRule="atLeast"/>
        <w:rPr>
          <w:rFonts w:hint="eastAsia" w:ascii="宋体" w:hAnsi="宋体" w:eastAsia="宋体" w:cs="Times New Roman"/>
          <w:color w:val="000000" w:themeColor="text1"/>
          <w:kern w:val="0"/>
          <w:szCs w:val="21"/>
          <w:highlight w:val="none"/>
          <w14:textFill>
            <w14:solidFill>
              <w14:schemeClr w14:val="tx1"/>
            </w14:solidFill>
          </w14:textFill>
        </w:rPr>
      </w:pPr>
    </w:p>
    <w:p w14:paraId="2CCB8ED7">
      <w:pPr>
        <w:spacing w:line="0" w:lineRule="atLeast"/>
        <w:rPr>
          <w:rFonts w:hint="eastAsia" w:ascii="宋体" w:hAnsi="宋体" w:eastAsia="宋体" w:cs="Times New Roman"/>
          <w:color w:val="000000" w:themeColor="text1"/>
          <w:kern w:val="0"/>
          <w:szCs w:val="21"/>
          <w:highlight w:val="none"/>
          <w14:textFill>
            <w14:solidFill>
              <w14:schemeClr w14:val="tx1"/>
            </w14:solidFill>
          </w14:textFill>
        </w:rPr>
      </w:pPr>
    </w:p>
    <w:p w14:paraId="20CADE04">
      <w:pPr>
        <w:rPr>
          <w:b/>
          <w:bCs/>
          <w:color w:val="000000" w:themeColor="text1"/>
          <w:sz w:val="28"/>
          <w:szCs w:val="28"/>
          <w:highlight w:val="none"/>
          <w14:textFill>
            <w14:solidFill>
              <w14:schemeClr w14:val="tx1"/>
            </w14:solidFill>
          </w14:textFill>
        </w:rPr>
      </w:pPr>
    </w:p>
    <w:p w14:paraId="639F7C33">
      <w:pPr>
        <w:bidi w:val="0"/>
        <w:rPr>
          <w:rFonts w:ascii="Times New Roman" w:hAnsi="Times New Roman" w:eastAsia="Times New Roman" w:cs="Times New Roman"/>
          <w:color w:val="000000" w:themeColor="text1"/>
          <w:kern w:val="0"/>
          <w:szCs w:val="21"/>
          <w:highlight w:val="none"/>
          <w14:textFill>
            <w14:solidFill>
              <w14:schemeClr w14:val="tx1"/>
            </w14:solidFill>
          </w14:textFill>
        </w:rPr>
      </w:pPr>
      <w:r>
        <w:rPr>
          <w:b/>
          <w:bCs/>
          <w:color w:val="000000" w:themeColor="text1"/>
          <w:sz w:val="28"/>
          <w:szCs w:val="28"/>
          <w:highlight w:val="none"/>
          <w14:textFill>
            <w14:solidFill>
              <w14:schemeClr w14:val="tx1"/>
            </w14:solidFill>
          </w14:textFill>
        </w:rPr>
        <w:t>附件五：</w:t>
      </w:r>
      <w:r>
        <w:rPr>
          <w:rFonts w:hint="eastAsia"/>
          <w:b/>
          <w:bCs/>
          <w:color w:val="000000" w:themeColor="text1"/>
          <w:sz w:val="28"/>
          <w:szCs w:val="28"/>
          <w:highlight w:val="none"/>
          <w:lang w:eastAsia="zh-CN"/>
          <w14:textFill>
            <w14:solidFill>
              <w14:schemeClr w14:val="tx1"/>
            </w14:solidFill>
          </w14:textFill>
        </w:rPr>
        <w:t>成交</w:t>
      </w:r>
      <w:r>
        <w:rPr>
          <w:b/>
          <w:bCs/>
          <w:color w:val="000000" w:themeColor="text1"/>
          <w:sz w:val="28"/>
          <w:szCs w:val="28"/>
          <w:highlight w:val="none"/>
          <w14:textFill>
            <w14:solidFill>
              <w14:schemeClr w14:val="tx1"/>
            </w14:solidFill>
          </w14:textFill>
        </w:rPr>
        <w:t>结果通知书</w:t>
      </w:r>
    </w:p>
    <w:p w14:paraId="3A6DC433">
      <w:pPr>
        <w:spacing w:line="201" w:lineRule="exact"/>
        <w:rPr>
          <w:rFonts w:ascii="Times New Roman" w:hAnsi="Times New Roman" w:eastAsia="Times New Roman" w:cs="Times New Roman"/>
          <w:color w:val="000000" w:themeColor="text1"/>
          <w:kern w:val="0"/>
          <w:szCs w:val="21"/>
          <w:highlight w:val="none"/>
          <w14:textFill>
            <w14:solidFill>
              <w14:schemeClr w14:val="tx1"/>
            </w14:solidFill>
          </w14:textFill>
        </w:rPr>
      </w:pPr>
    </w:p>
    <w:p w14:paraId="56AE979F">
      <w:pPr>
        <w:spacing w:line="0" w:lineRule="atLeast"/>
        <w:ind w:left="3340"/>
        <w:rPr>
          <w:rFonts w:ascii="宋体" w:hAnsi="宋体" w:eastAsia="宋体" w:cs="Times New Roman"/>
          <w:b/>
          <w:color w:val="000000" w:themeColor="text1"/>
          <w:kern w:val="0"/>
          <w:sz w:val="28"/>
          <w:szCs w:val="28"/>
          <w:highlight w:val="none"/>
          <w14:textFill>
            <w14:solidFill>
              <w14:schemeClr w14:val="tx1"/>
            </w14:solidFill>
          </w14:textFill>
        </w:rPr>
      </w:pPr>
      <w:r>
        <w:rPr>
          <w:rFonts w:hint="eastAsia" w:ascii="宋体" w:hAnsi="宋体" w:eastAsia="宋体" w:cs="Times New Roman"/>
          <w:b/>
          <w:color w:val="000000" w:themeColor="text1"/>
          <w:kern w:val="0"/>
          <w:sz w:val="28"/>
          <w:szCs w:val="28"/>
          <w:highlight w:val="none"/>
          <w:lang w:eastAsia="zh-CN"/>
          <w14:textFill>
            <w14:solidFill>
              <w14:schemeClr w14:val="tx1"/>
            </w14:solidFill>
          </w14:textFill>
        </w:rPr>
        <w:t>成交</w:t>
      </w:r>
      <w:r>
        <w:rPr>
          <w:rFonts w:ascii="宋体" w:hAnsi="宋体" w:eastAsia="宋体" w:cs="Times New Roman"/>
          <w:b/>
          <w:color w:val="000000" w:themeColor="text1"/>
          <w:kern w:val="0"/>
          <w:sz w:val="28"/>
          <w:szCs w:val="28"/>
          <w:highlight w:val="none"/>
          <w14:textFill>
            <w14:solidFill>
              <w14:schemeClr w14:val="tx1"/>
            </w14:solidFill>
          </w14:textFill>
        </w:rPr>
        <w:t>结果通知书</w:t>
      </w:r>
    </w:p>
    <w:p w14:paraId="319BE878">
      <w:pPr>
        <w:spacing w:line="500" w:lineRule="exact"/>
        <w:ind w:firstLine="420" w:firstLineChars="200"/>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（未</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成交供应商</w:t>
      </w:r>
      <w:r>
        <w:rPr>
          <w:rFonts w:hint="eastAsia" w:ascii="Times New Roman" w:hAnsi="Times New Roman" w:eastAsia="宋体" w:cs="Times New Roman"/>
          <w:color w:val="000000" w:themeColor="text1"/>
          <w:kern w:val="0"/>
          <w:szCs w:val="21"/>
          <w:highlight w:val="none"/>
          <w14:textFill>
            <w14:solidFill>
              <w14:schemeClr w14:val="tx1"/>
            </w14:solidFill>
          </w14:textFill>
        </w:rPr>
        <w:t>名称）：</w:t>
      </w:r>
    </w:p>
    <w:p w14:paraId="48570BC5">
      <w:pPr>
        <w:spacing w:line="500" w:lineRule="exact"/>
        <w:ind w:firstLine="420" w:firstLineChars="200"/>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6D755A94">
      <w:pPr>
        <w:spacing w:line="500" w:lineRule="exact"/>
        <w:ind w:firstLine="420" w:firstLineChars="200"/>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我方已接受</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成交供应商</w:t>
      </w:r>
      <w:r>
        <w:rPr>
          <w:rFonts w:hint="eastAsia" w:ascii="Times New Roman" w:hAnsi="Times New Roman" w:eastAsia="宋体" w:cs="Times New Roman"/>
          <w:color w:val="000000" w:themeColor="text1"/>
          <w:kern w:val="0"/>
          <w:szCs w:val="21"/>
          <w:highlight w:val="none"/>
          <w14:textFill>
            <w14:solidFill>
              <w14:schemeClr w14:val="tx1"/>
            </w14:solidFill>
          </w14:textFill>
        </w:rPr>
        <w:t>名称）于</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询比采购</w:t>
      </w:r>
      <w:r>
        <w:rPr>
          <w:rFonts w:hint="eastAsia" w:ascii="Times New Roman" w:hAnsi="Times New Roman" w:eastAsia="宋体" w:cs="Times New Roman"/>
          <w:color w:val="000000" w:themeColor="text1"/>
          <w:kern w:val="0"/>
          <w:szCs w:val="21"/>
          <w:highlight w:val="none"/>
          <w14:textFill>
            <w14:solidFill>
              <w14:schemeClr w14:val="tx1"/>
            </w14:solidFill>
          </w14:textFill>
        </w:rPr>
        <w:t>日期）所递交的</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（项目名称）</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响应</w:t>
      </w:r>
      <w:r>
        <w:rPr>
          <w:rFonts w:hint="eastAsia" w:ascii="Times New Roman" w:hAnsi="Times New Roman" w:eastAsia="宋体" w:cs="Times New Roman"/>
          <w:color w:val="000000" w:themeColor="text1"/>
          <w:kern w:val="0"/>
          <w:szCs w:val="21"/>
          <w:highlight w:val="none"/>
          <w14:textFill>
            <w14:solidFill>
              <w14:schemeClr w14:val="tx1"/>
            </w14:solidFill>
          </w14:textFill>
        </w:rPr>
        <w:t>文件，确定</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成交供应商</w:t>
      </w:r>
      <w:r>
        <w:rPr>
          <w:rFonts w:hint="eastAsia" w:ascii="Times New Roman" w:hAnsi="Times New Roman" w:eastAsia="宋体" w:cs="Times New Roman"/>
          <w:color w:val="000000" w:themeColor="text1"/>
          <w:kern w:val="0"/>
          <w:szCs w:val="21"/>
          <w:highlight w:val="none"/>
          <w14:textFill>
            <w14:solidFill>
              <w14:schemeClr w14:val="tx1"/>
            </w14:solidFill>
          </w14:textFill>
        </w:rPr>
        <w:t>名称）为</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成交供应商</w:t>
      </w:r>
      <w:r>
        <w:rPr>
          <w:rFonts w:hint="eastAsia" w:ascii="Times New Roman" w:hAnsi="Times New Roman" w:eastAsia="宋体" w:cs="Times New Roman"/>
          <w:color w:val="000000" w:themeColor="text1"/>
          <w:kern w:val="0"/>
          <w:szCs w:val="21"/>
          <w:highlight w:val="none"/>
          <w14:textFill>
            <w14:solidFill>
              <w14:schemeClr w14:val="tx1"/>
            </w14:solidFill>
          </w14:textFill>
        </w:rPr>
        <w:t>。</w:t>
      </w:r>
    </w:p>
    <w:p w14:paraId="1CA22589">
      <w:pPr>
        <w:spacing w:line="500" w:lineRule="exact"/>
        <w:ind w:firstLine="420" w:firstLineChars="200"/>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673CFAA0">
      <w:pPr>
        <w:spacing w:line="500" w:lineRule="exact"/>
        <w:ind w:firstLine="420" w:firstLineChars="200"/>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感谢你单位对</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采购</w:t>
      </w:r>
      <w:r>
        <w:rPr>
          <w:rFonts w:hint="eastAsia" w:ascii="Times New Roman" w:hAnsi="Times New Roman" w:eastAsia="宋体" w:cs="Times New Roman"/>
          <w:color w:val="000000" w:themeColor="text1"/>
          <w:kern w:val="0"/>
          <w:szCs w:val="21"/>
          <w:highlight w:val="none"/>
          <w14:textFill>
            <w14:solidFill>
              <w14:schemeClr w14:val="tx1"/>
            </w14:solidFill>
          </w14:textFill>
        </w:rPr>
        <w:t>项目的参与!</w:t>
      </w:r>
    </w:p>
    <w:p w14:paraId="7E680FEC">
      <w:pPr>
        <w:spacing w:line="500" w:lineRule="exact"/>
        <w:ind w:firstLine="420" w:firstLineChars="200"/>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3D2E9E5D">
      <w:pPr>
        <w:spacing w:line="500" w:lineRule="exact"/>
        <w:ind w:firstLine="420" w:firstLineChars="200"/>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52A401BE">
      <w:pPr>
        <w:spacing w:line="500" w:lineRule="exact"/>
        <w:ind w:firstLine="420" w:firstLineChars="200"/>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5B5D9F32">
      <w:pPr>
        <w:spacing w:line="500" w:lineRule="exact"/>
        <w:ind w:firstLine="3150" w:firstLineChars="1500"/>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采购人</w:t>
      </w:r>
      <w:r>
        <w:rPr>
          <w:rFonts w:hint="eastAsia" w:ascii="Times New Roman" w:hAnsi="Times New Roman" w:eastAsia="宋体" w:cs="Times New Roman"/>
          <w:color w:val="000000" w:themeColor="text1"/>
          <w:kern w:val="0"/>
          <w:szCs w:val="21"/>
          <w:highlight w:val="none"/>
          <w14:textFill>
            <w14:solidFill>
              <w14:schemeClr w14:val="tx1"/>
            </w14:solidFill>
          </w14:textFill>
        </w:rPr>
        <w:t>：</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（盖单位章）</w:t>
      </w:r>
    </w:p>
    <w:p w14:paraId="302AB254">
      <w:pPr>
        <w:spacing w:line="500" w:lineRule="exact"/>
        <w:ind w:firstLine="3150" w:firstLineChars="1500"/>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采购</w:t>
      </w:r>
      <w:r>
        <w:rPr>
          <w:rFonts w:hint="eastAsia" w:ascii="Times New Roman" w:hAnsi="Times New Roman" w:eastAsia="宋体" w:cs="Times New Roman"/>
          <w:color w:val="000000" w:themeColor="text1"/>
          <w:kern w:val="0"/>
          <w:szCs w:val="21"/>
          <w:highlight w:val="none"/>
          <w14:textFill>
            <w14:solidFill>
              <w14:schemeClr w14:val="tx1"/>
            </w14:solidFill>
          </w14:textFill>
        </w:rPr>
        <w:t>代理机构：</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（盖单位章）</w:t>
      </w:r>
    </w:p>
    <w:p w14:paraId="78BDFC95">
      <w:pPr>
        <w:spacing w:line="500" w:lineRule="exact"/>
        <w:ind w:firstLine="4515" w:firstLineChars="2150"/>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年</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月</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日</w:t>
      </w:r>
    </w:p>
    <w:p w14:paraId="0D7C4BBB">
      <w:pPr>
        <w:keepNext/>
        <w:keepLines/>
        <w:widowControl w:val="0"/>
        <w:spacing w:before="0" w:after="0" w:line="600" w:lineRule="auto"/>
        <w:jc w:val="center"/>
        <w:outlineLvl w:val="9"/>
        <w:rPr>
          <w:rFonts w:hint="eastAsia" w:ascii="Arial" w:hAnsi="Arial" w:eastAsia="黑体" w:cs="Arial"/>
          <w:b/>
          <w:color w:val="000000" w:themeColor="text1"/>
          <w:sz w:val="21"/>
          <w:szCs w:val="21"/>
          <w:highlight w:val="none"/>
          <w:lang w:val="en-US" w:eastAsia="zh-CN" w:bidi="ar-SA"/>
          <w14:textFill>
            <w14:solidFill>
              <w14:schemeClr w14:val="tx1"/>
            </w14:solidFill>
          </w14:textFill>
        </w:rPr>
      </w:pPr>
    </w:p>
    <w:p w14:paraId="0D9EAEF2">
      <w:pPr>
        <w:keepNext/>
        <w:keepLines/>
        <w:widowControl w:val="0"/>
        <w:spacing w:before="0" w:after="0" w:line="600" w:lineRule="auto"/>
        <w:jc w:val="center"/>
        <w:outlineLvl w:val="9"/>
        <w:rPr>
          <w:rFonts w:hint="eastAsia" w:ascii="Arial" w:hAnsi="Arial" w:eastAsia="黑体" w:cs="Arial"/>
          <w:b/>
          <w:color w:val="000000" w:themeColor="text1"/>
          <w:sz w:val="21"/>
          <w:szCs w:val="21"/>
          <w:highlight w:val="none"/>
          <w:lang w:val="en-US" w:eastAsia="zh-CN" w:bidi="ar-SA"/>
          <w14:textFill>
            <w14:solidFill>
              <w14:schemeClr w14:val="tx1"/>
            </w14:solidFill>
          </w14:textFill>
        </w:rPr>
      </w:pPr>
    </w:p>
    <w:p w14:paraId="1E01FF53">
      <w:pPr>
        <w:keepNext/>
        <w:keepLines/>
        <w:widowControl w:val="0"/>
        <w:spacing w:before="0" w:after="0" w:line="600" w:lineRule="auto"/>
        <w:jc w:val="center"/>
        <w:outlineLvl w:val="9"/>
        <w:rPr>
          <w:rFonts w:hint="eastAsia" w:ascii="Arial" w:hAnsi="Arial" w:eastAsia="黑体" w:cs="Arial"/>
          <w:b/>
          <w:color w:val="000000" w:themeColor="text1"/>
          <w:sz w:val="21"/>
          <w:szCs w:val="21"/>
          <w:highlight w:val="none"/>
          <w:lang w:val="en-US" w:eastAsia="zh-CN" w:bidi="ar-SA"/>
          <w14:textFill>
            <w14:solidFill>
              <w14:schemeClr w14:val="tx1"/>
            </w14:solidFill>
          </w14:textFill>
        </w:rPr>
      </w:pPr>
    </w:p>
    <w:p w14:paraId="6131EC78">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48ADC487">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4489E3EE">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174ABCAB">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18CEACF8">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26C3429C">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0A404D7B">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0EFF85F1">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01270461">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4900E42B">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7C15ABE3">
      <w:pPr>
        <w:rPr>
          <w:b/>
          <w:bCs/>
          <w:color w:val="000000" w:themeColor="text1"/>
          <w:sz w:val="28"/>
          <w:szCs w:val="28"/>
          <w:highlight w:val="none"/>
          <w14:textFill>
            <w14:solidFill>
              <w14:schemeClr w14:val="tx1"/>
            </w14:solidFill>
          </w14:textFill>
        </w:rPr>
      </w:pPr>
    </w:p>
    <w:p w14:paraId="612D8130">
      <w:pPr>
        <w:spacing w:line="0" w:lineRule="atLeast"/>
        <w:ind w:left="140"/>
        <w:rPr>
          <w:rFonts w:hint="eastAsia" w:ascii="宋体" w:hAnsi="宋体" w:eastAsia="宋体" w:cs="Arial"/>
          <w:b w:val="0"/>
          <w:bCs/>
          <w:color w:val="000000" w:themeColor="text1"/>
          <w:sz w:val="21"/>
          <w:szCs w:val="21"/>
          <w:highlight w:val="none"/>
          <w:lang w:val="en-US" w:eastAsia="zh-CN" w:bidi="ar-SA"/>
          <w14:textFill>
            <w14:solidFill>
              <w14:schemeClr w14:val="tx1"/>
            </w14:solidFill>
          </w14:textFill>
        </w:rPr>
      </w:pPr>
      <w:r>
        <w:rPr>
          <w:b/>
          <w:bCs/>
          <w:color w:val="000000" w:themeColor="text1"/>
          <w:sz w:val="28"/>
          <w:szCs w:val="28"/>
          <w:highlight w:val="none"/>
          <w14:textFill>
            <w14:solidFill>
              <w14:schemeClr w14:val="tx1"/>
            </w14:solidFill>
          </w14:textFill>
        </w:rPr>
        <w:t>附件六：确认通知</w:t>
      </w:r>
    </w:p>
    <w:p w14:paraId="510A7444">
      <w:pPr>
        <w:keepNext/>
        <w:keepLines/>
        <w:widowControl w:val="0"/>
        <w:spacing w:before="260" w:after="260" w:line="415" w:lineRule="auto"/>
        <w:jc w:val="center"/>
        <w:outlineLvl w:val="1"/>
        <w:rPr>
          <w:rFonts w:hint="eastAsia" w:ascii="宋体" w:hAnsi="宋体" w:eastAsia="宋体" w:cs="Arial"/>
          <w:b/>
          <w:bCs/>
          <w:color w:val="000000" w:themeColor="text1"/>
          <w:sz w:val="28"/>
          <w:szCs w:val="28"/>
          <w:highlight w:val="none"/>
          <w:lang w:val="en-US" w:eastAsia="zh-CN" w:bidi="ar-SA"/>
          <w14:textFill>
            <w14:solidFill>
              <w14:schemeClr w14:val="tx1"/>
            </w14:solidFill>
          </w14:textFill>
        </w:rPr>
      </w:pPr>
      <w:bookmarkStart w:id="77" w:name="_Toc8724"/>
      <w:bookmarkStart w:id="78" w:name="_Toc18898"/>
      <w:bookmarkStart w:id="79" w:name="_Toc7751"/>
      <w:r>
        <w:rPr>
          <w:rFonts w:ascii="宋体" w:hAnsi="宋体" w:eastAsia="宋体" w:cs="Arial"/>
          <w:b/>
          <w:bCs/>
          <w:color w:val="000000" w:themeColor="text1"/>
          <w:sz w:val="28"/>
          <w:szCs w:val="28"/>
          <w:highlight w:val="none"/>
          <w:lang w:val="en-US" w:eastAsia="zh-CN" w:bidi="ar-SA"/>
          <w14:textFill>
            <w14:solidFill>
              <w14:schemeClr w14:val="tx1"/>
            </w14:solidFill>
          </w14:textFill>
        </w:rPr>
        <w:t>确认通知</w:t>
      </w:r>
      <w:bookmarkEnd w:id="77"/>
      <w:bookmarkEnd w:id="78"/>
      <w:bookmarkEnd w:id="79"/>
    </w:p>
    <w:p w14:paraId="0FB6C07A">
      <w:pPr>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采购人</w:t>
      </w:r>
      <w:r>
        <w:rPr>
          <w:rFonts w:hint="eastAsia" w:ascii="Times New Roman" w:hAnsi="Times New Roman" w:eastAsia="宋体" w:cs="Times New Roman"/>
          <w:color w:val="000000" w:themeColor="text1"/>
          <w:kern w:val="0"/>
          <w:szCs w:val="21"/>
          <w:highlight w:val="none"/>
          <w14:textFill>
            <w14:solidFill>
              <w14:schemeClr w14:val="tx1"/>
            </w14:solidFill>
          </w14:textFill>
        </w:rPr>
        <w:t>名称）：</w:t>
      </w:r>
    </w:p>
    <w:p w14:paraId="29A19CB6">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4A0EF008">
      <w:pPr>
        <w:keepNext w:val="0"/>
        <w:keepLines w:val="0"/>
        <w:pageBreakBefore w:val="0"/>
        <w:widowControl w:val="0"/>
        <w:kinsoku/>
        <w:wordWrap/>
        <w:overflowPunct/>
        <w:topLinePunct w:val="0"/>
        <w:autoSpaceDE/>
        <w:autoSpaceDN/>
        <w:bidi w:val="0"/>
        <w:adjustRightInd w:val="0"/>
        <w:snapToGrid w:val="0"/>
        <w:spacing w:before="87" w:beforeLines="30" w:after="87" w:afterLines="30" w:line="500" w:lineRule="exact"/>
        <w:ind w:firstLine="420" w:firstLineChars="200"/>
        <w:jc w:val="left"/>
        <w:textAlignment w:val="auto"/>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你方于</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年</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月 </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日发出的</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（项目名称）</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询比采购</w:t>
      </w:r>
      <w:r>
        <w:rPr>
          <w:rFonts w:hint="eastAsia" w:ascii="Times New Roman" w:hAnsi="Times New Roman" w:eastAsia="宋体" w:cs="Times New Roman"/>
          <w:color w:val="000000" w:themeColor="text1"/>
          <w:kern w:val="0"/>
          <w:szCs w:val="21"/>
          <w:highlight w:val="none"/>
          <w14:textFill>
            <w14:solidFill>
              <w14:schemeClr w14:val="tx1"/>
            </w14:solidFill>
          </w14:textFill>
        </w:rPr>
        <w:t>关于</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询比采购</w:t>
      </w:r>
      <w:r>
        <w:rPr>
          <w:rFonts w:hint="eastAsia" w:ascii="Times New Roman" w:hAnsi="Times New Roman" w:eastAsia="宋体" w:cs="Times New Roman"/>
          <w:color w:val="000000" w:themeColor="text1"/>
          <w:kern w:val="0"/>
          <w:szCs w:val="21"/>
          <w:highlight w:val="none"/>
          <w14:textFill>
            <w14:solidFill>
              <w14:schemeClr w14:val="tx1"/>
            </w14:solidFill>
          </w14:textFill>
        </w:rPr>
        <w:t>文件澄清/修改的通知（第</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号补遗书，正文共</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页），我方已于</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年</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月</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日收到。</w:t>
      </w:r>
    </w:p>
    <w:p w14:paraId="4D962B87">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3432796F">
      <w:pPr>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特此确认。</w:t>
      </w:r>
    </w:p>
    <w:p w14:paraId="37DB4191">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68EFF2E1">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42223EC7">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7687063C">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2524F88C">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2A7685DA">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53F8121E">
      <w:pPr>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供应商</w:t>
      </w:r>
      <w:r>
        <w:rPr>
          <w:rFonts w:hint="eastAsia" w:ascii="Times New Roman" w:hAnsi="Times New Roman" w:eastAsia="宋体" w:cs="Times New Roman"/>
          <w:color w:val="000000" w:themeColor="text1"/>
          <w:kern w:val="0"/>
          <w:szCs w:val="21"/>
          <w:highlight w:val="none"/>
          <w14:textFill>
            <w14:solidFill>
              <w14:schemeClr w14:val="tx1"/>
            </w14:solidFill>
          </w14:textFill>
        </w:rPr>
        <w:t>：</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（盖单位章）</w:t>
      </w:r>
    </w:p>
    <w:p w14:paraId="476E12CA">
      <w:pPr>
        <w:rPr>
          <w:rFonts w:hint="eastAsia" w:ascii="Times New Roman" w:hAnsi="Times New Roman" w:eastAsia="宋体" w:cs="Times New Roman"/>
          <w:color w:val="000000" w:themeColor="text1"/>
          <w:kern w:val="0"/>
          <w:szCs w:val="21"/>
          <w:highlight w:val="none"/>
          <w14:textFill>
            <w14:solidFill>
              <w14:schemeClr w14:val="tx1"/>
            </w14:solidFill>
          </w14:textFill>
        </w:rPr>
      </w:pPr>
    </w:p>
    <w:p w14:paraId="64CF70FA">
      <w:pPr>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年</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月</w:t>
      </w:r>
      <w:r>
        <w:rPr>
          <w:rFonts w:hint="eastAsia" w:ascii="Times New Roman" w:hAnsi="Times New Roman" w:eastAsia="宋体" w:cs="Times New Roman"/>
          <w:color w:val="000000" w:themeColor="text1"/>
          <w:kern w:val="0"/>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14:textFill>
            <w14:solidFill>
              <w14:schemeClr w14:val="tx1"/>
            </w14:solidFill>
          </w14:textFill>
        </w:rPr>
        <w:t>日</w:t>
      </w:r>
    </w:p>
    <w:bookmarkEnd w:id="75"/>
    <w:bookmarkEnd w:id="76"/>
    <w:p w14:paraId="23E197B0">
      <w:pP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br w:type="page"/>
      </w:r>
    </w:p>
    <w:p w14:paraId="757D8BD5">
      <w:pPr>
        <w:rPr>
          <w:rFonts w:hint="eastAsia" w:ascii="宋体" w:hAnsi="宋体" w:eastAsia="宋体" w:cs="宋体"/>
          <w:b/>
          <w:bCs/>
          <w:color w:val="000000" w:themeColor="text1"/>
          <w:spacing w:val="0"/>
          <w:w w:val="100"/>
          <w:position w:val="0"/>
          <w:sz w:val="48"/>
          <w:szCs w:val="48"/>
          <w:highlight w:val="none"/>
          <w:u w:val="none"/>
          <w:shd w:val="clear" w:color="auto" w:fill="auto"/>
          <w:lang w:val="en-US" w:eastAsia="zh-CN" w:bidi="zh-TW"/>
          <w14:textFill>
            <w14:solidFill>
              <w14:schemeClr w14:val="tx1"/>
            </w14:solidFill>
          </w14:textFill>
        </w:rPr>
      </w:pPr>
      <w:bookmarkStart w:id="80" w:name="_Toc24021"/>
    </w:p>
    <w:p w14:paraId="5AF6BA89">
      <w:pPr>
        <w:rPr>
          <w:rFonts w:hint="eastAsia" w:ascii="宋体" w:hAnsi="宋体" w:eastAsia="宋体" w:cs="宋体"/>
          <w:b/>
          <w:bCs/>
          <w:color w:val="000000" w:themeColor="text1"/>
          <w:spacing w:val="0"/>
          <w:w w:val="100"/>
          <w:position w:val="0"/>
          <w:sz w:val="48"/>
          <w:szCs w:val="48"/>
          <w:highlight w:val="none"/>
          <w:u w:val="none"/>
          <w:shd w:val="clear" w:color="auto" w:fill="auto"/>
          <w:lang w:val="en-US" w:eastAsia="zh-CN" w:bidi="zh-TW"/>
          <w14:textFill>
            <w14:solidFill>
              <w14:schemeClr w14:val="tx1"/>
            </w14:solidFill>
          </w14:textFill>
        </w:rPr>
      </w:pPr>
    </w:p>
    <w:p w14:paraId="74BAE321">
      <w:pPr>
        <w:rPr>
          <w:rFonts w:hint="eastAsia" w:ascii="宋体" w:hAnsi="宋体" w:eastAsia="宋体" w:cs="宋体"/>
          <w:b/>
          <w:bCs/>
          <w:color w:val="000000" w:themeColor="text1"/>
          <w:spacing w:val="0"/>
          <w:w w:val="100"/>
          <w:position w:val="0"/>
          <w:sz w:val="48"/>
          <w:szCs w:val="48"/>
          <w:highlight w:val="none"/>
          <w:u w:val="none"/>
          <w:shd w:val="clear" w:color="auto" w:fill="auto"/>
          <w:lang w:val="en-US" w:eastAsia="zh-CN" w:bidi="zh-TW"/>
          <w14:textFill>
            <w14:solidFill>
              <w14:schemeClr w14:val="tx1"/>
            </w14:solidFill>
          </w14:textFill>
        </w:rPr>
      </w:pPr>
    </w:p>
    <w:p w14:paraId="10797131">
      <w:pPr>
        <w:rPr>
          <w:rFonts w:hint="eastAsia" w:ascii="宋体" w:hAnsi="宋体" w:eastAsia="宋体" w:cs="宋体"/>
          <w:b/>
          <w:bCs/>
          <w:color w:val="000000" w:themeColor="text1"/>
          <w:spacing w:val="0"/>
          <w:w w:val="100"/>
          <w:position w:val="0"/>
          <w:sz w:val="48"/>
          <w:szCs w:val="48"/>
          <w:highlight w:val="none"/>
          <w:u w:val="none"/>
          <w:shd w:val="clear" w:color="auto" w:fill="auto"/>
          <w:lang w:val="en-US" w:eastAsia="zh-CN" w:bidi="zh-TW"/>
          <w14:textFill>
            <w14:solidFill>
              <w14:schemeClr w14:val="tx1"/>
            </w14:solidFill>
          </w14:textFill>
        </w:rPr>
      </w:pPr>
    </w:p>
    <w:p w14:paraId="47DC5A44">
      <w:pPr>
        <w:rPr>
          <w:rFonts w:hint="eastAsia" w:ascii="宋体" w:hAnsi="宋体" w:eastAsia="宋体" w:cs="宋体"/>
          <w:b/>
          <w:bCs/>
          <w:color w:val="000000" w:themeColor="text1"/>
          <w:spacing w:val="0"/>
          <w:w w:val="100"/>
          <w:position w:val="0"/>
          <w:sz w:val="48"/>
          <w:szCs w:val="48"/>
          <w:highlight w:val="none"/>
          <w:u w:val="none"/>
          <w:shd w:val="clear" w:color="auto" w:fill="auto"/>
          <w:lang w:val="en-US" w:eastAsia="zh-CN" w:bidi="zh-TW"/>
          <w14:textFill>
            <w14:solidFill>
              <w14:schemeClr w14:val="tx1"/>
            </w14:solidFill>
          </w14:textFill>
        </w:rPr>
      </w:pPr>
    </w:p>
    <w:p w14:paraId="34898232">
      <w:pPr>
        <w:rPr>
          <w:rFonts w:hint="eastAsia" w:ascii="宋体" w:hAnsi="宋体" w:eastAsia="宋体" w:cs="宋体"/>
          <w:b/>
          <w:bCs/>
          <w:color w:val="000000" w:themeColor="text1"/>
          <w:spacing w:val="0"/>
          <w:w w:val="100"/>
          <w:position w:val="0"/>
          <w:sz w:val="48"/>
          <w:szCs w:val="48"/>
          <w:highlight w:val="none"/>
          <w:u w:val="none"/>
          <w:shd w:val="clear" w:color="auto" w:fill="auto"/>
          <w:lang w:val="en-US" w:eastAsia="zh-CN" w:bidi="zh-TW"/>
          <w14:textFill>
            <w14:solidFill>
              <w14:schemeClr w14:val="tx1"/>
            </w14:solidFill>
          </w14:textFill>
        </w:rPr>
      </w:pPr>
    </w:p>
    <w:p w14:paraId="17D827CC">
      <w:pPr>
        <w:rPr>
          <w:rFonts w:hint="eastAsia" w:ascii="宋体" w:hAnsi="宋体" w:eastAsia="宋体" w:cs="宋体"/>
          <w:b/>
          <w:bCs/>
          <w:color w:val="000000" w:themeColor="text1"/>
          <w:spacing w:val="0"/>
          <w:w w:val="100"/>
          <w:position w:val="0"/>
          <w:sz w:val="48"/>
          <w:szCs w:val="48"/>
          <w:highlight w:val="none"/>
          <w:u w:val="none"/>
          <w:shd w:val="clear" w:color="auto" w:fill="auto"/>
          <w:lang w:val="en-US" w:eastAsia="zh-CN" w:bidi="zh-TW"/>
          <w14:textFill>
            <w14:solidFill>
              <w14:schemeClr w14:val="tx1"/>
            </w14:solidFill>
          </w14:textFill>
        </w:rPr>
      </w:pPr>
    </w:p>
    <w:p w14:paraId="11B5AB70">
      <w:pPr>
        <w:rPr>
          <w:rFonts w:hint="eastAsia" w:ascii="宋体" w:hAnsi="宋体" w:eastAsia="宋体" w:cs="宋体"/>
          <w:b/>
          <w:bCs/>
          <w:color w:val="000000" w:themeColor="text1"/>
          <w:spacing w:val="0"/>
          <w:w w:val="100"/>
          <w:position w:val="0"/>
          <w:sz w:val="48"/>
          <w:szCs w:val="48"/>
          <w:highlight w:val="none"/>
          <w:u w:val="none"/>
          <w:shd w:val="clear" w:color="auto" w:fill="auto"/>
          <w:lang w:val="en-US" w:eastAsia="zh-CN" w:bidi="zh-TW"/>
          <w14:textFill>
            <w14:solidFill>
              <w14:schemeClr w14:val="tx1"/>
            </w14:solidFill>
          </w14:textFill>
        </w:rPr>
      </w:pPr>
    </w:p>
    <w:p w14:paraId="049E9F13">
      <w:pPr>
        <w:rPr>
          <w:rFonts w:hint="eastAsia" w:ascii="宋体" w:hAnsi="宋体" w:eastAsia="宋体" w:cs="宋体"/>
          <w:b/>
          <w:bCs/>
          <w:color w:val="000000" w:themeColor="text1"/>
          <w:spacing w:val="0"/>
          <w:w w:val="100"/>
          <w:position w:val="0"/>
          <w:sz w:val="48"/>
          <w:szCs w:val="48"/>
          <w:highlight w:val="none"/>
          <w:u w:val="none"/>
          <w:shd w:val="clear" w:color="auto" w:fill="auto"/>
          <w:lang w:val="en-US" w:eastAsia="zh-CN" w:bidi="zh-TW"/>
          <w14:textFill>
            <w14:solidFill>
              <w14:schemeClr w14:val="tx1"/>
            </w14:solidFill>
          </w14:textFill>
        </w:rPr>
      </w:pPr>
    </w:p>
    <w:p w14:paraId="067AA63E">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color w:val="000000" w:themeColor="text1"/>
          <w:sz w:val="52"/>
          <w:szCs w:val="52"/>
          <w:lang w:val="en-US" w:eastAsia="zh-CN"/>
          <w14:textFill>
            <w14:solidFill>
              <w14:schemeClr w14:val="tx1"/>
            </w14:solidFill>
          </w14:textFill>
        </w:rPr>
      </w:pPr>
      <w:bookmarkStart w:id="81" w:name="_Toc16153"/>
      <w:bookmarkStart w:id="82" w:name="_Toc8648"/>
      <w:bookmarkStart w:id="83" w:name="_Toc23762"/>
      <w:r>
        <w:rPr>
          <w:rFonts w:hint="eastAsia"/>
          <w:color w:val="000000" w:themeColor="text1"/>
          <w:sz w:val="52"/>
          <w:szCs w:val="52"/>
          <w:lang w:val="en-US" w:eastAsia="zh-CN"/>
          <w14:textFill>
            <w14:solidFill>
              <w14:schemeClr w14:val="tx1"/>
            </w14:solidFill>
          </w14:textFill>
        </w:rPr>
        <w:t>第三章   评审办法</w:t>
      </w:r>
      <w:bookmarkEnd w:id="80"/>
      <w:bookmarkEnd w:id="81"/>
      <w:bookmarkEnd w:id="82"/>
      <w:bookmarkEnd w:id="83"/>
    </w:p>
    <w:p w14:paraId="11EDE7BC">
      <w:pPr>
        <w:rPr>
          <w:rFonts w:hint="eastAsia" w:ascii="宋体" w:hAnsi="宋体" w:eastAsia="宋体" w:cs="宋体"/>
          <w:b/>
          <w:bCs/>
          <w:color w:val="000000" w:themeColor="text1"/>
          <w:spacing w:val="0"/>
          <w:w w:val="100"/>
          <w:position w:val="0"/>
          <w:sz w:val="48"/>
          <w:szCs w:val="48"/>
          <w:highlight w:val="none"/>
          <w:u w:val="none"/>
          <w:shd w:val="clear" w:color="auto" w:fill="auto"/>
          <w:lang w:val="en-US" w:eastAsia="zh-CN" w:bidi="zh-TW"/>
          <w14:textFill>
            <w14:solidFill>
              <w14:schemeClr w14:val="tx1"/>
            </w14:solidFill>
          </w14:textFill>
        </w:rPr>
      </w:pPr>
      <w:r>
        <w:rPr>
          <w:rFonts w:hint="eastAsia" w:ascii="宋体" w:hAnsi="宋体" w:eastAsia="宋体" w:cs="宋体"/>
          <w:b/>
          <w:bCs/>
          <w:color w:val="000000" w:themeColor="text1"/>
          <w:spacing w:val="0"/>
          <w:w w:val="100"/>
          <w:position w:val="0"/>
          <w:sz w:val="48"/>
          <w:szCs w:val="48"/>
          <w:highlight w:val="none"/>
          <w:u w:val="none"/>
          <w:shd w:val="clear" w:color="auto" w:fill="auto"/>
          <w:lang w:val="en-US" w:eastAsia="zh-CN" w:bidi="zh-TW"/>
          <w14:textFill>
            <w14:solidFill>
              <w14:schemeClr w14:val="tx1"/>
            </w14:solidFill>
          </w14:textFill>
        </w:rPr>
        <w:br w:type="page"/>
      </w:r>
    </w:p>
    <w:p w14:paraId="77C6132B">
      <w:pPr>
        <w:pStyle w:val="5"/>
        <w:keepNext/>
        <w:keepLines/>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评审办法前附表</w:t>
      </w:r>
    </w:p>
    <w:tbl>
      <w:tblPr>
        <w:tblStyle w:val="24"/>
        <w:tblW w:w="9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1210"/>
        <w:gridCol w:w="2160"/>
        <w:gridCol w:w="5276"/>
      </w:tblGrid>
      <w:tr w14:paraId="4072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0" w:type="dxa"/>
            <w:gridSpan w:val="2"/>
            <w:noWrap w:val="0"/>
            <w:vAlign w:val="center"/>
          </w:tcPr>
          <w:p w14:paraId="5CA02BA2">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条款号及名称</w:t>
            </w:r>
          </w:p>
        </w:tc>
        <w:tc>
          <w:tcPr>
            <w:tcW w:w="2160" w:type="dxa"/>
            <w:noWrap w:val="0"/>
            <w:vAlign w:val="center"/>
          </w:tcPr>
          <w:p w14:paraId="1AC762B8">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评审因素</w:t>
            </w:r>
          </w:p>
        </w:tc>
        <w:tc>
          <w:tcPr>
            <w:tcW w:w="5276" w:type="dxa"/>
            <w:noWrap w:val="0"/>
            <w:vAlign w:val="center"/>
          </w:tcPr>
          <w:p w14:paraId="2DD9E4E0">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评审标准</w:t>
            </w:r>
          </w:p>
        </w:tc>
      </w:tr>
      <w:tr w14:paraId="482C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noWrap w:val="0"/>
            <w:vAlign w:val="center"/>
          </w:tcPr>
          <w:p w14:paraId="78F152EC">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w:t>
            </w:r>
          </w:p>
        </w:tc>
        <w:tc>
          <w:tcPr>
            <w:tcW w:w="1210" w:type="dxa"/>
            <w:noWrap w:val="0"/>
            <w:vAlign w:val="center"/>
          </w:tcPr>
          <w:p w14:paraId="55870961">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评审方法</w:t>
            </w:r>
          </w:p>
        </w:tc>
        <w:tc>
          <w:tcPr>
            <w:tcW w:w="2160" w:type="dxa"/>
            <w:noWrap w:val="0"/>
            <w:vAlign w:val="center"/>
          </w:tcPr>
          <w:p w14:paraId="68D13CC9">
            <w:pPr>
              <w:spacing w:line="360" w:lineRule="auto"/>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评审方法</w:t>
            </w:r>
          </w:p>
        </w:tc>
        <w:tc>
          <w:tcPr>
            <w:tcW w:w="5276" w:type="dxa"/>
            <w:noWrap w:val="0"/>
            <w:vAlign w:val="top"/>
          </w:tcPr>
          <w:p w14:paraId="1E1D6065">
            <w:pPr>
              <w:spacing w:line="360" w:lineRule="auto"/>
              <w:rPr>
                <w:rFonts w:hint="eastAsia" w:ascii="宋体" w:hAnsi="宋体" w:eastAsia="宋体" w:cs="宋体"/>
                <w:color w:val="000000" w:themeColor="text1"/>
                <w:sz w:val="24"/>
                <w:szCs w:val="24"/>
                <w:lang w:val="zh-TW" w:eastAsia="zh-CN" w:bidi="zh-TW"/>
                <w14:textFill>
                  <w14:solidFill>
                    <w14:schemeClr w14:val="tx1"/>
                  </w14:solidFill>
                </w14:textFill>
              </w:rPr>
            </w:pPr>
            <w:r>
              <w:rPr>
                <w:rFonts w:hint="eastAsia" w:ascii="宋体" w:hAnsi="宋体" w:eastAsia="宋体" w:cs="宋体"/>
                <w:color w:val="000000" w:themeColor="text1"/>
                <w:sz w:val="24"/>
                <w:szCs w:val="24"/>
                <w:lang w:val="zh-TW" w:eastAsia="zh-CN" w:bidi="zh-TW"/>
                <w14:textFill>
                  <w14:solidFill>
                    <w14:schemeClr w14:val="tx1"/>
                  </w14:solidFill>
                </w14:textFill>
              </w:rPr>
              <w:t>□</w:t>
            </w:r>
            <w:r>
              <w:rPr>
                <w:rFonts w:hint="eastAsia" w:ascii="宋体" w:hAnsi="宋体" w:eastAsia="宋体" w:cs="宋体"/>
                <w:color w:val="000000" w:themeColor="text1"/>
                <w:sz w:val="24"/>
                <w:szCs w:val="24"/>
                <w:lang w:val="en-US" w:eastAsia="zh-CN" w:bidi="zh-TW"/>
                <w14:textFill>
                  <w14:solidFill>
                    <w14:schemeClr w14:val="tx1"/>
                  </w14:solidFill>
                </w14:textFill>
              </w:rPr>
              <w:t>最低价法</w:t>
            </w:r>
          </w:p>
          <w:p w14:paraId="70CC9D30">
            <w:pPr>
              <w:spacing w:line="360" w:lineRule="auto"/>
              <w:rPr>
                <w:rFonts w:hint="eastAsia" w:ascii="宋体" w:hAnsi="宋体" w:eastAsia="宋体" w:cs="宋体"/>
                <w:color w:val="000000" w:themeColor="text1"/>
                <w:sz w:val="24"/>
                <w:szCs w:val="24"/>
                <w:lang w:val="en-US" w:eastAsia="zh-CN" w:bidi="zh-TW"/>
                <w14:textFill>
                  <w14:solidFill>
                    <w14:schemeClr w14:val="tx1"/>
                  </w14:solidFill>
                </w14:textFill>
              </w:rPr>
            </w:pPr>
            <w:r>
              <w:rPr>
                <w:rFonts w:hint="eastAsia" w:ascii="宋体" w:hAnsi="宋体" w:eastAsia="宋体" w:cs="宋体"/>
                <w:color w:val="000000" w:themeColor="text1"/>
                <w:sz w:val="24"/>
                <w:szCs w:val="24"/>
                <w:lang w:val="zh-TW" w:eastAsia="zh-CN" w:bidi="zh-TW"/>
                <w14:textFill>
                  <w14:solidFill>
                    <w14:schemeClr w14:val="tx1"/>
                  </w14:solidFill>
                </w14:textFill>
              </w:rPr>
              <w:t>☑</w:t>
            </w:r>
            <w:r>
              <w:rPr>
                <w:rFonts w:hint="eastAsia" w:ascii="宋体" w:hAnsi="宋体" w:eastAsia="宋体" w:cs="宋体"/>
                <w:color w:val="000000" w:themeColor="text1"/>
                <w:sz w:val="24"/>
                <w:szCs w:val="24"/>
                <w:lang w:val="en-US" w:eastAsia="zh-CN" w:bidi="zh-TW"/>
                <w14:textFill>
                  <w14:solidFill>
                    <w14:schemeClr w14:val="tx1"/>
                  </w14:solidFill>
                </w14:textFill>
              </w:rPr>
              <w:t>综合评分法</w:t>
            </w:r>
          </w:p>
        </w:tc>
      </w:tr>
      <w:tr w14:paraId="3E57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restart"/>
            <w:noWrap w:val="0"/>
            <w:vAlign w:val="center"/>
          </w:tcPr>
          <w:p w14:paraId="4BAE188F">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2.1.1</w:t>
            </w:r>
          </w:p>
        </w:tc>
        <w:tc>
          <w:tcPr>
            <w:tcW w:w="1210" w:type="dxa"/>
            <w:vMerge w:val="restart"/>
            <w:noWrap w:val="0"/>
            <w:vAlign w:val="center"/>
          </w:tcPr>
          <w:p w14:paraId="24DFBEAF">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形式评审标准</w:t>
            </w:r>
          </w:p>
        </w:tc>
        <w:tc>
          <w:tcPr>
            <w:tcW w:w="2160" w:type="dxa"/>
            <w:noWrap w:val="0"/>
            <w:vAlign w:val="center"/>
          </w:tcPr>
          <w:p w14:paraId="649835B0">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供应商名称</w:t>
            </w:r>
          </w:p>
        </w:tc>
        <w:tc>
          <w:tcPr>
            <w:tcW w:w="5276" w:type="dxa"/>
            <w:noWrap w:val="0"/>
            <w:vAlign w:val="top"/>
          </w:tcPr>
          <w:p w14:paraId="13C253A3">
            <w:pPr>
              <w:spacing w:line="360" w:lineRule="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与市场监督部门或其他行政机关颁发的可以合法开展业务的执照或证书一致</w:t>
            </w:r>
          </w:p>
        </w:tc>
      </w:tr>
      <w:tr w14:paraId="1630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top"/>
          </w:tcPr>
          <w:p w14:paraId="76A06C86">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p>
        </w:tc>
        <w:tc>
          <w:tcPr>
            <w:tcW w:w="1210" w:type="dxa"/>
            <w:vMerge w:val="continue"/>
            <w:noWrap w:val="0"/>
            <w:vAlign w:val="top"/>
          </w:tcPr>
          <w:p w14:paraId="71CCB170">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p>
        </w:tc>
        <w:tc>
          <w:tcPr>
            <w:tcW w:w="2160" w:type="dxa"/>
            <w:noWrap w:val="0"/>
            <w:vAlign w:val="center"/>
          </w:tcPr>
          <w:p w14:paraId="41D2D5D0">
            <w:pPr>
              <w:spacing w:line="360" w:lineRule="auto"/>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响应文件签字盖章</w:t>
            </w:r>
          </w:p>
        </w:tc>
        <w:tc>
          <w:tcPr>
            <w:tcW w:w="5276" w:type="dxa"/>
            <w:noWrap w:val="0"/>
            <w:vAlign w:val="top"/>
          </w:tcPr>
          <w:p w14:paraId="415732DF">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符合第二章第</w:t>
            </w:r>
            <w:r>
              <w:rPr>
                <w:rFonts w:hint="eastAsia" w:ascii="宋体" w:hAnsi="宋体" w:eastAsia="宋体" w:cs="宋体"/>
                <w:color w:val="000000" w:themeColor="text1"/>
                <w:sz w:val="24"/>
                <w:szCs w:val="24"/>
                <w:lang w:eastAsia="en-US"/>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en-US"/>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.2项及第</w:t>
            </w:r>
            <w:r>
              <w:rPr>
                <w:rFonts w:hint="eastAsia" w:ascii="宋体" w:hAnsi="宋体" w:eastAsia="宋体" w:cs="宋体"/>
                <w:color w:val="000000" w:themeColor="text1"/>
                <w:sz w:val="24"/>
                <w:szCs w:val="24"/>
                <w:lang w:eastAsia="en-US"/>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en-US"/>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.3项的规定</w:t>
            </w:r>
          </w:p>
        </w:tc>
      </w:tr>
      <w:tr w14:paraId="7EE3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top"/>
          </w:tcPr>
          <w:p w14:paraId="206809D8">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p>
        </w:tc>
        <w:tc>
          <w:tcPr>
            <w:tcW w:w="1210" w:type="dxa"/>
            <w:vMerge w:val="continue"/>
            <w:noWrap w:val="0"/>
            <w:vAlign w:val="top"/>
          </w:tcPr>
          <w:p w14:paraId="5BB1E054">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p>
        </w:tc>
        <w:tc>
          <w:tcPr>
            <w:tcW w:w="2160" w:type="dxa"/>
            <w:noWrap w:val="0"/>
            <w:vAlign w:val="center"/>
          </w:tcPr>
          <w:p w14:paraId="49D245CB">
            <w:pPr>
              <w:spacing w:line="360" w:lineRule="auto"/>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响应</w:t>
            </w:r>
            <w:r>
              <w:rPr>
                <w:rFonts w:hint="eastAsia" w:ascii="宋体" w:hAnsi="宋体" w:eastAsia="宋体" w:cs="宋体"/>
                <w:color w:val="000000" w:themeColor="text1"/>
                <w:sz w:val="24"/>
                <w:szCs w:val="24"/>
                <w14:textFill>
                  <w14:solidFill>
                    <w14:schemeClr w14:val="tx1"/>
                  </w14:solidFill>
                </w14:textFill>
              </w:rPr>
              <w:t>文件格式</w:t>
            </w:r>
          </w:p>
        </w:tc>
        <w:tc>
          <w:tcPr>
            <w:tcW w:w="5276" w:type="dxa"/>
            <w:noWrap w:val="0"/>
            <w:vAlign w:val="top"/>
          </w:tcPr>
          <w:p w14:paraId="2BDFE51F">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符合第六章“响应文件格式”的要求</w:t>
            </w:r>
          </w:p>
        </w:tc>
      </w:tr>
      <w:tr w14:paraId="6AEC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top"/>
          </w:tcPr>
          <w:p w14:paraId="3EA1F76F">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p>
        </w:tc>
        <w:tc>
          <w:tcPr>
            <w:tcW w:w="1210" w:type="dxa"/>
            <w:vMerge w:val="continue"/>
            <w:noWrap w:val="0"/>
            <w:vAlign w:val="top"/>
          </w:tcPr>
          <w:p w14:paraId="52042A3B">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p>
        </w:tc>
        <w:tc>
          <w:tcPr>
            <w:tcW w:w="2160" w:type="dxa"/>
            <w:noWrap w:val="0"/>
            <w:vAlign w:val="center"/>
          </w:tcPr>
          <w:p w14:paraId="700C489D">
            <w:pPr>
              <w:spacing w:line="360" w:lineRule="auto"/>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电子采购文件</w:t>
            </w:r>
          </w:p>
        </w:tc>
        <w:tc>
          <w:tcPr>
            <w:tcW w:w="5276" w:type="dxa"/>
            <w:noWrap w:val="0"/>
            <w:vAlign w:val="top"/>
          </w:tcPr>
          <w:p w14:paraId="5A99699E">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按询比采购文件规定提交电子版响应文件</w:t>
            </w:r>
          </w:p>
        </w:tc>
      </w:tr>
      <w:tr w14:paraId="7428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top"/>
          </w:tcPr>
          <w:p w14:paraId="1BD80730">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p>
        </w:tc>
        <w:tc>
          <w:tcPr>
            <w:tcW w:w="1210" w:type="dxa"/>
            <w:vMerge w:val="continue"/>
            <w:noWrap w:val="0"/>
            <w:vAlign w:val="top"/>
          </w:tcPr>
          <w:p w14:paraId="5744879D">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p>
        </w:tc>
        <w:tc>
          <w:tcPr>
            <w:tcW w:w="2160" w:type="dxa"/>
            <w:noWrap w:val="0"/>
            <w:vAlign w:val="center"/>
          </w:tcPr>
          <w:p w14:paraId="3190CC03">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响应函中实质内容</w:t>
            </w:r>
          </w:p>
        </w:tc>
        <w:tc>
          <w:tcPr>
            <w:tcW w:w="5276" w:type="dxa"/>
            <w:noWrap w:val="0"/>
            <w:vAlign w:val="top"/>
          </w:tcPr>
          <w:p w14:paraId="06D209EB">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符合</w:t>
            </w:r>
            <w:r>
              <w:rPr>
                <w:rFonts w:hint="eastAsia" w:ascii="宋体" w:hAnsi="宋体" w:eastAsia="宋体" w:cs="宋体"/>
                <w:color w:val="000000" w:themeColor="text1"/>
                <w:sz w:val="24"/>
                <w:szCs w:val="24"/>
                <w14:textFill>
                  <w14:solidFill>
                    <w14:schemeClr w14:val="tx1"/>
                  </w14:solidFill>
                </w14:textFill>
              </w:rPr>
              <w:t>询比采购文件规定</w:t>
            </w:r>
          </w:p>
        </w:tc>
      </w:tr>
      <w:tr w14:paraId="10EE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top"/>
          </w:tcPr>
          <w:p w14:paraId="7ED96D2E">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p>
        </w:tc>
        <w:tc>
          <w:tcPr>
            <w:tcW w:w="1210" w:type="dxa"/>
            <w:vMerge w:val="continue"/>
            <w:noWrap w:val="0"/>
            <w:vAlign w:val="top"/>
          </w:tcPr>
          <w:p w14:paraId="349DE7A6">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p>
        </w:tc>
        <w:tc>
          <w:tcPr>
            <w:tcW w:w="2160" w:type="dxa"/>
            <w:noWrap w:val="0"/>
            <w:vAlign w:val="center"/>
          </w:tcPr>
          <w:p w14:paraId="35565AF4">
            <w:pPr>
              <w:spacing w:line="360" w:lineRule="auto"/>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联合体协议书</w:t>
            </w:r>
          </w:p>
        </w:tc>
        <w:tc>
          <w:tcPr>
            <w:tcW w:w="5276" w:type="dxa"/>
            <w:noWrap w:val="0"/>
            <w:vAlign w:val="top"/>
          </w:tcPr>
          <w:p w14:paraId="2A4CCF55">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不适用</w:t>
            </w:r>
          </w:p>
        </w:tc>
      </w:tr>
      <w:tr w14:paraId="29E5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40" w:type="dxa"/>
            <w:vMerge w:val="restart"/>
            <w:noWrap w:val="0"/>
            <w:vAlign w:val="center"/>
          </w:tcPr>
          <w:p w14:paraId="220F1970">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2.1.2</w:t>
            </w:r>
          </w:p>
        </w:tc>
        <w:tc>
          <w:tcPr>
            <w:tcW w:w="1210" w:type="dxa"/>
            <w:vMerge w:val="restart"/>
            <w:noWrap w:val="0"/>
            <w:vAlign w:val="center"/>
          </w:tcPr>
          <w:p w14:paraId="54C9E7CE">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资格评审标准</w:t>
            </w:r>
          </w:p>
        </w:tc>
        <w:tc>
          <w:tcPr>
            <w:tcW w:w="2160" w:type="dxa"/>
            <w:noWrap w:val="0"/>
            <w:vAlign w:val="center"/>
          </w:tcPr>
          <w:p w14:paraId="1528C0DB">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依法设立</w:t>
            </w:r>
          </w:p>
        </w:tc>
        <w:tc>
          <w:tcPr>
            <w:tcW w:w="5276" w:type="dxa"/>
            <w:noWrap w:val="0"/>
            <w:vAlign w:val="top"/>
          </w:tcPr>
          <w:p w14:paraId="0E703880">
            <w:pPr>
              <w:spacing w:line="360" w:lineRule="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符合第一章第3.1款及供应商须知前附表第3.5.</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款规定</w:t>
            </w:r>
          </w:p>
        </w:tc>
      </w:tr>
      <w:tr w14:paraId="6B15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center"/>
          </w:tcPr>
          <w:p w14:paraId="7B2AE960">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continue"/>
            <w:noWrap w:val="0"/>
            <w:vAlign w:val="center"/>
          </w:tcPr>
          <w:p w14:paraId="266C2AA1">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2160" w:type="dxa"/>
            <w:noWrap w:val="0"/>
            <w:vAlign w:val="center"/>
          </w:tcPr>
          <w:p w14:paraId="7EDE06FA">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资质要求</w:t>
            </w:r>
          </w:p>
        </w:tc>
        <w:tc>
          <w:tcPr>
            <w:tcW w:w="5276" w:type="dxa"/>
            <w:noWrap w:val="0"/>
            <w:vAlign w:val="top"/>
          </w:tcPr>
          <w:p w14:paraId="401A5BBA">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符合第一章第3.1款及供应商须知前附表第3.5.</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款规定</w:t>
            </w:r>
          </w:p>
        </w:tc>
      </w:tr>
      <w:tr w14:paraId="42AF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center"/>
          </w:tcPr>
          <w:p w14:paraId="0B5DCD92">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continue"/>
            <w:noWrap w:val="0"/>
            <w:vAlign w:val="top"/>
          </w:tcPr>
          <w:p w14:paraId="3F58999D">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2160" w:type="dxa"/>
            <w:noWrap w:val="0"/>
            <w:vAlign w:val="center"/>
          </w:tcPr>
          <w:p w14:paraId="4C0CE51D">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财务要求</w:t>
            </w:r>
          </w:p>
        </w:tc>
        <w:tc>
          <w:tcPr>
            <w:tcW w:w="5276" w:type="dxa"/>
            <w:noWrap w:val="0"/>
            <w:vAlign w:val="top"/>
          </w:tcPr>
          <w:p w14:paraId="4B8A9B1F">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符合第一章第3.1款及供应商须知前附表第3.5.</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款规定</w:t>
            </w:r>
          </w:p>
        </w:tc>
      </w:tr>
      <w:tr w14:paraId="5217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center"/>
          </w:tcPr>
          <w:p w14:paraId="5AEE1C4E">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continue"/>
            <w:noWrap w:val="0"/>
            <w:vAlign w:val="top"/>
          </w:tcPr>
          <w:p w14:paraId="69F861B3">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2160" w:type="dxa"/>
            <w:noWrap w:val="0"/>
            <w:vAlign w:val="center"/>
          </w:tcPr>
          <w:p w14:paraId="34527E72">
            <w:pPr>
              <w:spacing w:line="360" w:lineRule="auto"/>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vertAlign w:val="baseline"/>
                <w14:textFill>
                  <w14:solidFill>
                    <w14:schemeClr w14:val="tx1"/>
                  </w14:solidFill>
                </w14:textFill>
              </w:rPr>
              <w:t>信誉要求</w:t>
            </w:r>
          </w:p>
        </w:tc>
        <w:tc>
          <w:tcPr>
            <w:tcW w:w="5276" w:type="dxa"/>
            <w:noWrap w:val="0"/>
            <w:vAlign w:val="top"/>
          </w:tcPr>
          <w:p w14:paraId="79B9091F">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符合第一章第3.1款及供应商须知前附表第3.5.</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款规定</w:t>
            </w:r>
          </w:p>
        </w:tc>
      </w:tr>
      <w:tr w14:paraId="3C18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center"/>
          </w:tcPr>
          <w:p w14:paraId="103796E2">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continue"/>
            <w:noWrap w:val="0"/>
            <w:vAlign w:val="top"/>
          </w:tcPr>
          <w:p w14:paraId="183A2F0B">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2160" w:type="dxa"/>
            <w:noWrap w:val="0"/>
            <w:vAlign w:val="center"/>
          </w:tcPr>
          <w:p w14:paraId="6DC97605">
            <w:pPr>
              <w:spacing w:line="360" w:lineRule="auto"/>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vertAlign w:val="baseline"/>
                <w14:textFill>
                  <w14:solidFill>
                    <w14:schemeClr w14:val="tx1"/>
                  </w14:solidFill>
                </w14:textFill>
              </w:rPr>
              <w:t>人员要求</w:t>
            </w:r>
          </w:p>
        </w:tc>
        <w:tc>
          <w:tcPr>
            <w:tcW w:w="5276" w:type="dxa"/>
            <w:noWrap w:val="0"/>
            <w:vAlign w:val="top"/>
          </w:tcPr>
          <w:p w14:paraId="0A0A2A02">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符合第一章第3.1款及供应商须知前附表第3.5.</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款规定</w:t>
            </w:r>
          </w:p>
        </w:tc>
      </w:tr>
      <w:tr w14:paraId="78B5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center"/>
          </w:tcPr>
          <w:p w14:paraId="2716734A">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continue"/>
            <w:noWrap w:val="0"/>
            <w:vAlign w:val="top"/>
          </w:tcPr>
          <w:p w14:paraId="7F4CF33C">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2160" w:type="dxa"/>
            <w:noWrap w:val="0"/>
            <w:vAlign w:val="center"/>
          </w:tcPr>
          <w:p w14:paraId="7F849444">
            <w:pPr>
              <w:spacing w:line="360" w:lineRule="auto"/>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不存在第一章第3.2款情形</w:t>
            </w:r>
          </w:p>
        </w:tc>
        <w:tc>
          <w:tcPr>
            <w:tcW w:w="5276" w:type="dxa"/>
            <w:noWrap w:val="0"/>
            <w:vAlign w:val="top"/>
          </w:tcPr>
          <w:p w14:paraId="3ACFA72A">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符合第一章第3.1款及供应商须知前附表第3.5.</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款规定</w:t>
            </w:r>
          </w:p>
        </w:tc>
      </w:tr>
      <w:tr w14:paraId="28DD2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center"/>
          </w:tcPr>
          <w:p w14:paraId="7373DE4F">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continue"/>
            <w:noWrap w:val="0"/>
            <w:vAlign w:val="top"/>
          </w:tcPr>
          <w:p w14:paraId="52F93449">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2160" w:type="dxa"/>
            <w:noWrap w:val="0"/>
            <w:vAlign w:val="center"/>
          </w:tcPr>
          <w:p w14:paraId="3BEDD2A2">
            <w:pPr>
              <w:spacing w:line="360" w:lineRule="auto"/>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联合体供应商</w:t>
            </w:r>
          </w:p>
        </w:tc>
        <w:tc>
          <w:tcPr>
            <w:tcW w:w="5276" w:type="dxa"/>
            <w:noWrap w:val="0"/>
            <w:vAlign w:val="top"/>
          </w:tcPr>
          <w:p w14:paraId="639C1DFC">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符合第一章第3.1款及供应商须知前附表第3.5.</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款规定</w:t>
            </w:r>
          </w:p>
        </w:tc>
      </w:tr>
      <w:tr w14:paraId="5C50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top"/>
          </w:tcPr>
          <w:p w14:paraId="0CA79B88">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restart"/>
            <w:noWrap w:val="0"/>
            <w:vAlign w:val="center"/>
          </w:tcPr>
          <w:p w14:paraId="2E84451A">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响应性</w:t>
            </w:r>
            <w:r>
              <w:rPr>
                <w:rFonts w:hint="eastAsia" w:ascii="宋体" w:hAnsi="宋体" w:eastAsia="宋体" w:cs="宋体"/>
                <w:color w:val="000000" w:themeColor="text1"/>
                <w:sz w:val="24"/>
                <w:szCs w:val="24"/>
                <w14:textFill>
                  <w14:solidFill>
                    <w14:schemeClr w14:val="tx1"/>
                  </w14:solidFill>
                </w14:textFill>
              </w:rPr>
              <w:t>评审标准</w:t>
            </w:r>
          </w:p>
        </w:tc>
        <w:tc>
          <w:tcPr>
            <w:tcW w:w="2160" w:type="dxa"/>
            <w:noWrap w:val="0"/>
            <w:vAlign w:val="center"/>
          </w:tcPr>
          <w:p w14:paraId="6DD00D11">
            <w:pPr>
              <w:spacing w:line="360" w:lineRule="auto"/>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报价</w:t>
            </w:r>
          </w:p>
        </w:tc>
        <w:tc>
          <w:tcPr>
            <w:tcW w:w="5276" w:type="dxa"/>
            <w:noWrap w:val="0"/>
            <w:vAlign w:val="top"/>
          </w:tcPr>
          <w:p w14:paraId="4274260C">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符合第二章第</w:t>
            </w:r>
            <w:r>
              <w:rPr>
                <w:rFonts w:hint="eastAsia" w:ascii="宋体" w:hAnsi="宋体" w:eastAsia="宋体" w:cs="宋体"/>
                <w:color w:val="000000" w:themeColor="text1"/>
                <w:sz w:val="24"/>
                <w:szCs w:val="24"/>
                <w:lang w:eastAsia="en-US"/>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.2款规定</w:t>
            </w:r>
          </w:p>
        </w:tc>
      </w:tr>
      <w:tr w14:paraId="797B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top"/>
          </w:tcPr>
          <w:p w14:paraId="77BA1747">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continue"/>
            <w:noWrap w:val="0"/>
            <w:vAlign w:val="top"/>
          </w:tcPr>
          <w:p w14:paraId="5E50F661">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2160" w:type="dxa"/>
            <w:noWrap w:val="0"/>
            <w:vAlign w:val="center"/>
          </w:tcPr>
          <w:p w14:paraId="56032DE1">
            <w:pPr>
              <w:spacing w:line="360" w:lineRule="auto"/>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响应文件有效期</w:t>
            </w:r>
          </w:p>
        </w:tc>
        <w:tc>
          <w:tcPr>
            <w:tcW w:w="5276" w:type="dxa"/>
            <w:noWrap w:val="0"/>
            <w:vAlign w:val="top"/>
          </w:tcPr>
          <w:p w14:paraId="00BBC00F">
            <w:pPr>
              <w:spacing w:line="360" w:lineRule="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符合第二章第</w:t>
            </w:r>
            <w:r>
              <w:rPr>
                <w:rFonts w:hint="eastAsia" w:ascii="宋体" w:hAnsi="宋体" w:eastAsia="宋体" w:cs="宋体"/>
                <w:color w:val="000000" w:themeColor="text1"/>
                <w:sz w:val="24"/>
                <w:szCs w:val="24"/>
                <w:lang w:eastAsia="en-US"/>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en-US"/>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.1项</w:t>
            </w:r>
            <w:r>
              <w:rPr>
                <w:rFonts w:hint="eastAsia" w:ascii="宋体" w:hAnsi="宋体" w:eastAsia="宋体" w:cs="宋体"/>
                <w:color w:val="000000" w:themeColor="text1"/>
                <w:sz w:val="24"/>
                <w:szCs w:val="24"/>
                <w:lang w:val="en-US" w:eastAsia="zh-CN"/>
                <w14:textFill>
                  <w14:solidFill>
                    <w14:schemeClr w14:val="tx1"/>
                  </w14:solidFill>
                </w14:textFill>
              </w:rPr>
              <w:t>规定</w:t>
            </w:r>
          </w:p>
        </w:tc>
      </w:tr>
      <w:tr w14:paraId="350A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top"/>
          </w:tcPr>
          <w:p w14:paraId="278F1144">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continue"/>
            <w:noWrap w:val="0"/>
            <w:vAlign w:val="top"/>
          </w:tcPr>
          <w:p w14:paraId="5A87AE81">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2160" w:type="dxa"/>
            <w:noWrap w:val="0"/>
            <w:vAlign w:val="center"/>
          </w:tcPr>
          <w:p w14:paraId="7DD2CFF1">
            <w:pPr>
              <w:spacing w:line="360" w:lineRule="auto"/>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响应方案</w:t>
            </w:r>
          </w:p>
        </w:tc>
        <w:tc>
          <w:tcPr>
            <w:tcW w:w="5276" w:type="dxa"/>
            <w:noWrap w:val="0"/>
            <w:vAlign w:val="top"/>
          </w:tcPr>
          <w:p w14:paraId="0DB86F06">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符合第二章第</w:t>
            </w:r>
            <w:r>
              <w:rPr>
                <w:rFonts w:hint="eastAsia" w:ascii="宋体" w:hAnsi="宋体" w:eastAsia="宋体" w:cs="宋体"/>
                <w:color w:val="000000" w:themeColor="text1"/>
                <w:sz w:val="24"/>
                <w:szCs w:val="24"/>
                <w:lang w:eastAsia="en-US"/>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.6款规定</w:t>
            </w:r>
          </w:p>
        </w:tc>
      </w:tr>
      <w:tr w14:paraId="0858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top"/>
          </w:tcPr>
          <w:p w14:paraId="3DF28992">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continue"/>
            <w:noWrap w:val="0"/>
            <w:vAlign w:val="top"/>
          </w:tcPr>
          <w:p w14:paraId="1CD653A0">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2160" w:type="dxa"/>
            <w:noWrap w:val="0"/>
            <w:vAlign w:val="center"/>
          </w:tcPr>
          <w:p w14:paraId="75C1B391">
            <w:pPr>
              <w:spacing w:line="360" w:lineRule="auto"/>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质量</w:t>
            </w:r>
            <w:r>
              <w:rPr>
                <w:rFonts w:hint="eastAsia" w:ascii="宋体" w:hAnsi="宋体" w:eastAsia="宋体" w:cs="宋体"/>
                <w:color w:val="000000" w:themeColor="text1"/>
                <w:sz w:val="24"/>
                <w:szCs w:val="24"/>
                <w:lang w:val="en-US" w:eastAsia="zh-CN"/>
                <w14:textFill>
                  <w14:solidFill>
                    <w14:schemeClr w14:val="tx1"/>
                  </w14:solidFill>
                </w14:textFill>
              </w:rPr>
              <w:t>标准</w:t>
            </w:r>
          </w:p>
        </w:tc>
        <w:tc>
          <w:tcPr>
            <w:tcW w:w="5276" w:type="dxa"/>
            <w:noWrap w:val="0"/>
            <w:vAlign w:val="top"/>
          </w:tcPr>
          <w:p w14:paraId="08A3B2DA">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符合第一章第2条规定</w:t>
            </w:r>
          </w:p>
        </w:tc>
      </w:tr>
      <w:tr w14:paraId="0372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top"/>
          </w:tcPr>
          <w:p w14:paraId="6EF8C627">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continue"/>
            <w:noWrap w:val="0"/>
            <w:vAlign w:val="top"/>
          </w:tcPr>
          <w:p w14:paraId="1309D7D9">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2160" w:type="dxa"/>
            <w:noWrap w:val="0"/>
            <w:vAlign w:val="center"/>
          </w:tcPr>
          <w:p w14:paraId="1C18DEFB">
            <w:pPr>
              <w:spacing w:line="360" w:lineRule="auto"/>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完成期限</w:t>
            </w:r>
          </w:p>
        </w:tc>
        <w:tc>
          <w:tcPr>
            <w:tcW w:w="5276" w:type="dxa"/>
            <w:noWrap w:val="0"/>
            <w:vAlign w:val="top"/>
          </w:tcPr>
          <w:p w14:paraId="4A91FDC5">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符合第一章第2条规定</w:t>
            </w:r>
          </w:p>
        </w:tc>
      </w:tr>
      <w:tr w14:paraId="2112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top"/>
          </w:tcPr>
          <w:p w14:paraId="2494ADA1">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continue"/>
            <w:noWrap w:val="0"/>
            <w:vAlign w:val="top"/>
          </w:tcPr>
          <w:p w14:paraId="27BF0772">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2160" w:type="dxa"/>
            <w:noWrap w:val="0"/>
            <w:vAlign w:val="center"/>
          </w:tcPr>
          <w:p w14:paraId="639B4EC8">
            <w:pPr>
              <w:spacing w:line="360" w:lineRule="auto"/>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合同条款</w:t>
            </w:r>
          </w:p>
        </w:tc>
        <w:tc>
          <w:tcPr>
            <w:tcW w:w="5276" w:type="dxa"/>
            <w:noWrap w:val="0"/>
            <w:vAlign w:val="top"/>
          </w:tcPr>
          <w:p w14:paraId="369CACB8">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符合第二章第</w:t>
            </w:r>
            <w:r>
              <w:rPr>
                <w:rFonts w:hint="eastAsia" w:ascii="宋体" w:hAnsi="宋体" w:eastAsia="宋体" w:cs="宋体"/>
                <w:color w:val="000000" w:themeColor="text1"/>
                <w:sz w:val="24"/>
                <w:szCs w:val="24"/>
                <w:lang w:eastAsia="en-US"/>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en-US"/>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.1项规定</w:t>
            </w:r>
          </w:p>
        </w:tc>
      </w:tr>
      <w:tr w14:paraId="4CF3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top"/>
          </w:tcPr>
          <w:p w14:paraId="40B2BC5C">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continue"/>
            <w:noWrap w:val="0"/>
            <w:vAlign w:val="top"/>
          </w:tcPr>
          <w:p w14:paraId="36170417">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2160" w:type="dxa"/>
            <w:noWrap w:val="0"/>
            <w:vAlign w:val="center"/>
          </w:tcPr>
          <w:p w14:paraId="22A26E10">
            <w:pPr>
              <w:spacing w:line="360" w:lineRule="auto"/>
              <w:jc w:val="center"/>
              <w:rPr>
                <w:rFonts w:hint="eastAsia" w:ascii="宋体" w:hAnsi="宋体" w:eastAsia="宋体" w:cs="宋体"/>
                <w:color w:val="000000" w:themeColor="text1"/>
                <w:sz w:val="24"/>
                <w:szCs w:val="24"/>
                <w:vertAlign w:val="baseline"/>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对非关键条款的</w:t>
            </w:r>
            <w:r>
              <w:rPr>
                <w:rFonts w:hint="eastAsia" w:ascii="宋体" w:hAnsi="宋体" w:eastAsia="宋体" w:cs="宋体"/>
                <w:color w:val="000000" w:themeColor="text1"/>
                <w:sz w:val="24"/>
                <w:szCs w:val="24"/>
                <w:lang w:val="en-US" w:eastAsia="zh-CN"/>
                <w14:textFill>
                  <w14:solidFill>
                    <w14:schemeClr w14:val="tx1"/>
                  </w14:solidFill>
                </w14:textFill>
              </w:rPr>
              <w:t>偏差</w:t>
            </w:r>
          </w:p>
        </w:tc>
        <w:tc>
          <w:tcPr>
            <w:tcW w:w="5276" w:type="dxa"/>
            <w:noWrap w:val="0"/>
            <w:vAlign w:val="top"/>
          </w:tcPr>
          <w:p w14:paraId="7B5F6CC8">
            <w:pPr>
              <w:spacing w:line="360" w:lineRule="auto"/>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偏差范围和偏差项数符合第二章第</w:t>
            </w:r>
            <w:r>
              <w:rPr>
                <w:rFonts w:hint="eastAsia" w:ascii="宋体" w:hAnsi="宋体" w:eastAsia="宋体" w:cs="宋体"/>
                <w:color w:val="000000" w:themeColor="text1"/>
                <w:sz w:val="24"/>
                <w:szCs w:val="24"/>
                <w:lang w:eastAsia="en-US"/>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en-US"/>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.2项的规定</w:t>
            </w:r>
          </w:p>
        </w:tc>
      </w:tr>
      <w:tr w14:paraId="4A7C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0" w:type="dxa"/>
            <w:gridSpan w:val="2"/>
            <w:noWrap w:val="0"/>
            <w:vAlign w:val="top"/>
          </w:tcPr>
          <w:p w14:paraId="611EBD6A">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2.2.2</w:t>
            </w:r>
          </w:p>
        </w:tc>
        <w:tc>
          <w:tcPr>
            <w:tcW w:w="2160" w:type="dxa"/>
            <w:noWrap w:val="0"/>
            <w:vAlign w:val="center"/>
          </w:tcPr>
          <w:p w14:paraId="2C6090D0">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评审价格</w:t>
            </w:r>
          </w:p>
        </w:tc>
        <w:tc>
          <w:tcPr>
            <w:tcW w:w="5276" w:type="dxa"/>
            <w:noWrap w:val="0"/>
            <w:vAlign w:val="top"/>
          </w:tcPr>
          <w:p w14:paraId="507B981D">
            <w:pPr>
              <w:spacing w:line="360" w:lineRule="auto"/>
              <w:rPr>
                <w:rFonts w:hint="eastAsia" w:ascii="宋体" w:hAnsi="宋体" w:eastAsia="宋体" w:cs="宋体"/>
                <w:color w:val="000000" w:themeColor="text1"/>
                <w:sz w:val="24"/>
                <w:szCs w:val="24"/>
                <w14:textFill>
                  <w14:solidFill>
                    <w14:schemeClr w14:val="tx1"/>
                  </w14:solidFill>
                </w14:textFill>
              </w:rPr>
            </w:pPr>
          </w:p>
        </w:tc>
      </w:tr>
      <w:tr w14:paraId="5CDA9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6" w:type="dxa"/>
            <w:gridSpan w:val="4"/>
            <w:noWrap w:val="0"/>
            <w:vAlign w:val="top"/>
          </w:tcPr>
          <w:p w14:paraId="48D286F5">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en-US"/>
                <w14:textFill>
                  <w14:solidFill>
                    <w14:schemeClr w14:val="tx1"/>
                  </w14:solidFill>
                </w14:textFill>
              </w:rPr>
              <w:t>3详细评审标准和程序(综合评分法)</w:t>
            </w:r>
          </w:p>
        </w:tc>
      </w:tr>
      <w:tr w14:paraId="1E0D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0" w:type="dxa"/>
            <w:gridSpan w:val="2"/>
            <w:noWrap w:val="0"/>
            <w:vAlign w:val="top"/>
          </w:tcPr>
          <w:p w14:paraId="0B118859">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条款号</w:t>
            </w:r>
          </w:p>
        </w:tc>
        <w:tc>
          <w:tcPr>
            <w:tcW w:w="2160" w:type="dxa"/>
            <w:noWrap w:val="0"/>
            <w:vAlign w:val="center"/>
          </w:tcPr>
          <w:p w14:paraId="6AB22552">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条款内容</w:t>
            </w:r>
          </w:p>
        </w:tc>
        <w:tc>
          <w:tcPr>
            <w:tcW w:w="5276" w:type="dxa"/>
            <w:noWrap w:val="0"/>
            <w:vAlign w:val="top"/>
          </w:tcPr>
          <w:p w14:paraId="36554273">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编列内容</w:t>
            </w:r>
          </w:p>
        </w:tc>
      </w:tr>
      <w:tr w14:paraId="13FC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0" w:type="dxa"/>
            <w:gridSpan w:val="2"/>
            <w:noWrap w:val="0"/>
            <w:vAlign w:val="center"/>
          </w:tcPr>
          <w:p w14:paraId="184E2A45">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3.1</w:t>
            </w:r>
          </w:p>
        </w:tc>
        <w:tc>
          <w:tcPr>
            <w:tcW w:w="2160" w:type="dxa"/>
            <w:noWrap w:val="0"/>
            <w:vAlign w:val="center"/>
          </w:tcPr>
          <w:p w14:paraId="7007C593">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分值构成（总分100分）</w:t>
            </w:r>
          </w:p>
        </w:tc>
        <w:tc>
          <w:tcPr>
            <w:tcW w:w="5276" w:type="dxa"/>
            <w:noWrap w:val="0"/>
            <w:vAlign w:val="top"/>
          </w:tcPr>
          <w:p w14:paraId="1A319DA5">
            <w:pPr>
              <w:numPr>
                <w:ilvl w:val="0"/>
                <w:numId w:val="0"/>
              </w:num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（1）商务部分：</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2</w:t>
            </w:r>
            <w:r>
              <w:rPr>
                <w:rStyle w:val="25"/>
                <w:rFonts w:hint="eastAsia" w:ascii="宋体" w:hAnsi="宋体" w:eastAsia="宋体" w:cs="宋体"/>
                <w:b w:val="0"/>
                <w:color w:val="000000" w:themeColor="text1"/>
                <w:sz w:val="24"/>
                <w:szCs w:val="24"/>
                <w:u w:val="single"/>
                <w14:textFill>
                  <w14:solidFill>
                    <w14:schemeClr w14:val="tx1"/>
                  </w14:solidFill>
                </w14:textFill>
              </w:rPr>
              <w:t>0.0</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1E60FD88">
            <w:pPr>
              <w:numPr>
                <w:ilvl w:val="0"/>
                <w:numId w:val="0"/>
              </w:numPr>
              <w:spacing w:line="360" w:lineRule="auto"/>
              <w:rPr>
                <w:rFonts w:hint="eastAsia"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（2）技术部分：</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5</w:t>
            </w:r>
            <w:r>
              <w:rPr>
                <w:rStyle w:val="25"/>
                <w:rFonts w:hint="eastAsia" w:ascii="宋体" w:hAnsi="宋体" w:eastAsia="宋体" w:cs="宋体"/>
                <w:b w:val="0"/>
                <w:color w:val="000000" w:themeColor="text1"/>
                <w:sz w:val="24"/>
                <w:szCs w:val="24"/>
                <w:u w:val="single"/>
                <w14:textFill>
                  <w14:solidFill>
                    <w14:schemeClr w14:val="tx1"/>
                  </w14:solidFill>
                </w14:textFill>
              </w:rPr>
              <w:t>0.0</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405AF600">
            <w:pPr>
              <w:numPr>
                <w:ilvl w:val="0"/>
                <w:numId w:val="0"/>
              </w:numPr>
              <w:spacing w:line="360" w:lineRule="auto"/>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（3）报价：</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3</w:t>
            </w:r>
            <w:r>
              <w:rPr>
                <w:rStyle w:val="25"/>
                <w:rFonts w:hint="eastAsia" w:ascii="宋体" w:hAnsi="宋体" w:eastAsia="宋体" w:cs="宋体"/>
                <w:b w:val="0"/>
                <w:color w:val="000000" w:themeColor="text1"/>
                <w:sz w:val="24"/>
                <w:szCs w:val="24"/>
                <w:u w:val="single"/>
                <w14:textFill>
                  <w14:solidFill>
                    <w14:schemeClr w14:val="tx1"/>
                  </w14:solidFill>
                </w14:textFill>
              </w:rPr>
              <w:t>0.0</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none"/>
                <w:lang w:val="en-US" w:eastAsia="zh-CN"/>
                <w14:textFill>
                  <w14:solidFill>
                    <w14:schemeClr w14:val="tx1"/>
                  </w14:solidFill>
                </w14:textFill>
              </w:rPr>
              <w:t>分</w:t>
            </w:r>
          </w:p>
          <w:p w14:paraId="3170C721">
            <w:pPr>
              <w:pStyle w:val="41"/>
              <w:widowControl w:val="0"/>
              <w:spacing w:line="360" w:lineRule="auto"/>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（4）其他评分因素：</w:t>
            </w:r>
            <w:r>
              <w:rPr>
                <w:rFonts w:hint="eastAsia" w:ascii="宋体" w:hAnsi="宋体" w:eastAsia="宋体" w:cs="宋体"/>
                <w:color w:val="000000" w:themeColor="text1"/>
                <w:kern w:val="2"/>
                <w:sz w:val="24"/>
                <w:szCs w:val="24"/>
                <w:u w:val="single"/>
                <w:lang w:val="en-US" w:eastAsia="zh-CN" w:bidi="ar-SA"/>
                <w14:textFill>
                  <w14:solidFill>
                    <w14:schemeClr w14:val="tx1"/>
                  </w14:solidFill>
                </w14:textFill>
              </w:rPr>
              <w:t xml:space="preserve">    0.0    </w:t>
            </w:r>
            <w:r>
              <w:rPr>
                <w:rFonts w:hint="eastAsia" w:ascii="宋体" w:hAnsi="宋体" w:eastAsia="宋体" w:cs="宋体"/>
                <w:color w:val="000000" w:themeColor="text1"/>
                <w:kern w:val="2"/>
                <w:sz w:val="24"/>
                <w:szCs w:val="24"/>
                <w:lang w:val="en-US" w:eastAsia="zh-CN" w:bidi="ar-SA"/>
                <w14:textFill>
                  <w14:solidFill>
                    <w14:schemeClr w14:val="tx1"/>
                  </w14:solidFill>
                </w14:textFill>
              </w:rPr>
              <w:t>分（如有）</w:t>
            </w:r>
          </w:p>
        </w:tc>
      </w:tr>
      <w:tr w14:paraId="039E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50" w:type="dxa"/>
            <w:gridSpan w:val="2"/>
            <w:noWrap w:val="0"/>
            <w:vAlign w:val="center"/>
          </w:tcPr>
          <w:p w14:paraId="4B940A97">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3.2（2）</w:t>
            </w:r>
          </w:p>
        </w:tc>
        <w:tc>
          <w:tcPr>
            <w:tcW w:w="2160" w:type="dxa"/>
            <w:noWrap w:val="0"/>
            <w:vAlign w:val="center"/>
          </w:tcPr>
          <w:p w14:paraId="3304C814">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评审基准价计算方法</w:t>
            </w:r>
          </w:p>
        </w:tc>
        <w:tc>
          <w:tcPr>
            <w:tcW w:w="5276" w:type="dxa"/>
            <w:noWrap w:val="0"/>
            <w:vAlign w:val="top"/>
          </w:tcPr>
          <w:p w14:paraId="44A129A4">
            <w:pPr>
              <w:keepNext w:val="0"/>
              <w:keepLines w:val="0"/>
              <w:pageBreakBefore w:val="0"/>
              <w:widowControl w:val="0"/>
              <w:kinsoku/>
              <w:wordWrap w:val="0"/>
              <w:overflowPunct/>
              <w:topLinePunct/>
              <w:autoSpaceDE/>
              <w:autoSpaceDN/>
              <w:bidi w:val="0"/>
              <w:adjustRightInd w:val="0"/>
              <w:snapToGrid w:val="0"/>
              <w:spacing w:line="360" w:lineRule="auto"/>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zh-TW" w:eastAsia="zh-TW"/>
                <w14:textFill>
                  <w14:solidFill>
                    <w14:schemeClr w14:val="tx1"/>
                  </w14:solidFill>
                </w14:textFill>
              </w:rPr>
              <w:t>评审基准价=评审价格平均值(即通过初步评审的所有供应商评审价格的算术平均值)。</w:t>
            </w:r>
          </w:p>
        </w:tc>
      </w:tr>
      <w:tr w14:paraId="0AE6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0" w:type="dxa"/>
            <w:gridSpan w:val="2"/>
            <w:noWrap w:val="0"/>
            <w:vAlign w:val="top"/>
          </w:tcPr>
          <w:p w14:paraId="587C5952">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评审价的偏差率计算公式</w:t>
            </w:r>
          </w:p>
        </w:tc>
        <w:tc>
          <w:tcPr>
            <w:tcW w:w="7436" w:type="dxa"/>
            <w:gridSpan w:val="2"/>
            <w:noWrap w:val="0"/>
            <w:vAlign w:val="center"/>
          </w:tcPr>
          <w:p w14:paraId="1BCDE345">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偏差率=100% ×（供应商评审价－评审基准价）/评审基准价</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偏差率保留</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 xml:space="preserve"> 位小数,小数点后第五位“四舍五入”。</w:t>
            </w:r>
          </w:p>
        </w:tc>
      </w:tr>
      <w:tr w14:paraId="20CC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150" w:type="dxa"/>
            <w:gridSpan w:val="2"/>
            <w:noWrap w:val="0"/>
            <w:vAlign w:val="center"/>
          </w:tcPr>
          <w:p w14:paraId="02685CD4">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条款号及名称</w:t>
            </w:r>
          </w:p>
        </w:tc>
        <w:tc>
          <w:tcPr>
            <w:tcW w:w="2160" w:type="dxa"/>
            <w:noWrap w:val="0"/>
            <w:vAlign w:val="center"/>
          </w:tcPr>
          <w:p w14:paraId="2D9C1B21">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评分因素</w:t>
            </w:r>
          </w:p>
        </w:tc>
        <w:tc>
          <w:tcPr>
            <w:tcW w:w="5276" w:type="dxa"/>
            <w:noWrap w:val="0"/>
            <w:vAlign w:val="center"/>
          </w:tcPr>
          <w:p w14:paraId="13996D03">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评分标准</w:t>
            </w:r>
          </w:p>
        </w:tc>
      </w:tr>
      <w:tr w14:paraId="1714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restart"/>
            <w:noWrap w:val="0"/>
            <w:vAlign w:val="center"/>
          </w:tcPr>
          <w:p w14:paraId="1DAF59D8">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3.3（1）</w:t>
            </w:r>
          </w:p>
        </w:tc>
        <w:tc>
          <w:tcPr>
            <w:tcW w:w="1210" w:type="dxa"/>
            <w:vMerge w:val="restart"/>
            <w:noWrap w:val="0"/>
            <w:vAlign w:val="center"/>
          </w:tcPr>
          <w:p w14:paraId="27DB1A15">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商务评分标准</w:t>
            </w:r>
          </w:p>
          <w:p w14:paraId="496594A3">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（20）分</w:t>
            </w:r>
          </w:p>
        </w:tc>
        <w:tc>
          <w:tcPr>
            <w:tcW w:w="2160" w:type="dxa"/>
            <w:noWrap w:val="0"/>
            <w:vAlign w:val="center"/>
          </w:tcPr>
          <w:p w14:paraId="776FE1EE">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类似项目业绩（10）分</w:t>
            </w:r>
          </w:p>
        </w:tc>
        <w:tc>
          <w:tcPr>
            <w:tcW w:w="5276" w:type="dxa"/>
            <w:noWrap w:val="0"/>
            <w:vAlign w:val="top"/>
          </w:tcPr>
          <w:p w14:paraId="79E13865">
            <w:pPr>
              <w:spacing w:line="360" w:lineRule="auto"/>
              <w:jc w:val="left"/>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提供近三年（2023---至今）类似项目有效业绩证明材料（以中标通知书或合同协议书)提供每一项给2分，最高得10分。</w:t>
            </w:r>
          </w:p>
        </w:tc>
      </w:tr>
      <w:tr w14:paraId="417B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center"/>
          </w:tcPr>
          <w:p w14:paraId="3D1EC141">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continue"/>
            <w:noWrap w:val="0"/>
            <w:vAlign w:val="center"/>
          </w:tcPr>
          <w:p w14:paraId="2E934AD8">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2160" w:type="dxa"/>
            <w:noWrap w:val="0"/>
            <w:vAlign w:val="center"/>
          </w:tcPr>
          <w:p w14:paraId="0D20D49A">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项目经理业绩</w:t>
            </w:r>
          </w:p>
          <w:p w14:paraId="437BC959">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lang w:val="en-US" w:eastAsia="zh-CN"/>
              </w:rPr>
              <w:t>（10分）</w:t>
            </w:r>
          </w:p>
        </w:tc>
        <w:tc>
          <w:tcPr>
            <w:tcW w:w="5276" w:type="dxa"/>
            <w:noWrap w:val="0"/>
            <w:vAlign w:val="top"/>
          </w:tcPr>
          <w:p w14:paraId="7DBC92CF">
            <w:pPr>
              <w:widowControl/>
              <w:topLinePunct/>
              <w:adjustRightInd w:val="0"/>
              <w:spacing w:line="360" w:lineRule="auto"/>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auto"/>
                <w:sz w:val="24"/>
                <w:szCs w:val="24"/>
                <w:vertAlign w:val="baseline"/>
                <w:lang w:val="en-US" w:eastAsia="zh-CN"/>
              </w:rPr>
              <w:t>提供拟任本项目的项目经理的业绩，2023年-至今承建的类似工程每承建一个得2分，最高10分，以承建的类似业绩中标通知书或施工合同和竣工验收资料复印件为准。满足条件的项目经理业绩和企业业绩可以重复计分。</w:t>
            </w:r>
          </w:p>
        </w:tc>
      </w:tr>
      <w:tr w14:paraId="091E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restart"/>
            <w:noWrap w:val="0"/>
            <w:vAlign w:val="center"/>
          </w:tcPr>
          <w:p w14:paraId="0CDF68A6">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auto"/>
                <w:sz w:val="24"/>
                <w:szCs w:val="24"/>
                <w:vertAlign w:val="baseline"/>
                <w:lang w:val="en-US" w:eastAsia="zh-CN"/>
              </w:rPr>
              <w:t>3.3（2）</w:t>
            </w:r>
          </w:p>
        </w:tc>
        <w:tc>
          <w:tcPr>
            <w:tcW w:w="1210" w:type="dxa"/>
            <w:vMerge w:val="restart"/>
            <w:noWrap w:val="0"/>
            <w:vAlign w:val="center"/>
          </w:tcPr>
          <w:p w14:paraId="6E3AAB0C">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技术评分标准</w:t>
            </w:r>
          </w:p>
          <w:p w14:paraId="7D9D6833">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auto"/>
                <w:sz w:val="24"/>
                <w:szCs w:val="24"/>
                <w:vertAlign w:val="baseline"/>
                <w:lang w:val="en-US" w:eastAsia="zh-CN"/>
              </w:rPr>
              <w:t>（50)分</w:t>
            </w:r>
          </w:p>
        </w:tc>
        <w:tc>
          <w:tcPr>
            <w:tcW w:w="2160" w:type="dxa"/>
            <w:noWrap w:val="0"/>
            <w:vAlign w:val="center"/>
          </w:tcPr>
          <w:p w14:paraId="23F1FC80">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施工方案与技术措施（20分）</w:t>
            </w:r>
          </w:p>
          <w:p w14:paraId="47AF303E">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5276" w:type="dxa"/>
            <w:noWrap w:val="0"/>
            <w:vAlign w:val="top"/>
          </w:tcPr>
          <w:p w14:paraId="37D2929C">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auto"/>
                <w:sz w:val="24"/>
                <w:szCs w:val="24"/>
                <w:vertAlign w:val="baseline"/>
                <w:lang w:val="en-US" w:eastAsia="zh-CN"/>
              </w:rPr>
              <w:t>施工方案内容完整科学、部署合理，施工顺序及方案切实可行、针对性强、各项管理目标明确，技术措施完全满足工期、质量、安全生产及文明施工要求的得15-20分；方案内容合理、可行、针对性较强、技术措施满足工期、质量、安全生产及文明施工要求的得10-14.9分；方案内容基本可行、技术措施基本满足工期、质量、安全生产及文明施工要求的得5-9.9分；提供了施工方案，但内容不够具体、无技术措施的得1-4.9分；未提供或其他情况不得分。</w:t>
            </w:r>
            <w:r>
              <w:rPr>
                <w:rFonts w:hint="eastAsia" w:ascii="宋体" w:hAnsi="宋体" w:eastAsia="宋体" w:cs="宋体"/>
                <w:color w:val="auto"/>
                <w:sz w:val="24"/>
                <w:szCs w:val="24"/>
                <w:lang w:val="en-US" w:eastAsia="zh-CN"/>
              </w:rPr>
              <w:t xml:space="preserve"> </w:t>
            </w:r>
          </w:p>
        </w:tc>
      </w:tr>
      <w:tr w14:paraId="0C95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noWrap w:val="0"/>
            <w:vAlign w:val="top"/>
          </w:tcPr>
          <w:p w14:paraId="4C8B2E36">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continue"/>
            <w:noWrap w:val="0"/>
            <w:vAlign w:val="top"/>
          </w:tcPr>
          <w:p w14:paraId="7697D415">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2160" w:type="dxa"/>
            <w:noWrap w:val="0"/>
            <w:vAlign w:val="center"/>
          </w:tcPr>
          <w:p w14:paraId="2085D90E">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工程进度计划与措施</w:t>
            </w:r>
          </w:p>
          <w:p w14:paraId="57AC09FB">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（10分）</w:t>
            </w:r>
          </w:p>
          <w:p w14:paraId="101166B7">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5276" w:type="dxa"/>
            <w:noWrap w:val="0"/>
            <w:vAlign w:val="top"/>
          </w:tcPr>
          <w:p w14:paraId="599A2170">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auto"/>
                <w:sz w:val="24"/>
                <w:szCs w:val="24"/>
                <w:vertAlign w:val="baseline"/>
                <w:lang w:val="en-US" w:eastAsia="zh-CN"/>
              </w:rPr>
              <w:t>进度计划合理性、节点时间及完成期限控制优秀，保证措施明确、周密的得7-10分，进度计划能保证施工连续、均衡进行，保证措施合理、可行的得4-6.9分的；进度计划欠妥，措施无针对性的得1-3.9分；未提供或其他情况不得分。</w:t>
            </w:r>
          </w:p>
        </w:tc>
      </w:tr>
      <w:tr w14:paraId="0E0C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940" w:type="dxa"/>
            <w:vMerge w:val="continue"/>
            <w:noWrap w:val="0"/>
            <w:vAlign w:val="top"/>
          </w:tcPr>
          <w:p w14:paraId="29186A9C">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continue"/>
            <w:noWrap w:val="0"/>
            <w:vAlign w:val="top"/>
          </w:tcPr>
          <w:p w14:paraId="4AD82069">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2160" w:type="dxa"/>
            <w:noWrap w:val="0"/>
            <w:vAlign w:val="center"/>
          </w:tcPr>
          <w:p w14:paraId="2FEFB459">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应急处理预案</w:t>
            </w:r>
          </w:p>
          <w:p w14:paraId="1CFFA16A">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lang w:val="en-US" w:eastAsia="zh-CN"/>
              </w:rPr>
              <w:t>（10分）</w:t>
            </w:r>
          </w:p>
        </w:tc>
        <w:tc>
          <w:tcPr>
            <w:tcW w:w="5276" w:type="dxa"/>
            <w:noWrap w:val="0"/>
            <w:vAlign w:val="top"/>
          </w:tcPr>
          <w:p w14:paraId="2A1159B9">
            <w:pPr>
              <w:spacing w:line="360" w:lineRule="auto"/>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sz w:val="24"/>
                <w:szCs w:val="24"/>
                <w:lang w:val="en-US" w:eastAsia="zh-CN"/>
              </w:rPr>
              <w:t>根据供应商危机处理能力及处理预案，从应急预案、措施， 人员救治，危害控制，事故调查，善后处理等方面进行评分。应急预案、措施，人员救治，危害控制，事故调查，善后处理等方面完整详细的得7-10分；应急预案、措施，人员救治，危害控制，事故调查，善后处理等方面一般的得4-6.9分；应急预案、措施，人员救治，危害控制，事故调查，善后处理等方面欠缺的得 1-3.9 分；未提供的不得分。</w:t>
            </w:r>
          </w:p>
        </w:tc>
      </w:tr>
      <w:tr w14:paraId="783E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940" w:type="dxa"/>
            <w:vMerge w:val="continue"/>
            <w:noWrap w:val="0"/>
            <w:vAlign w:val="top"/>
          </w:tcPr>
          <w:p w14:paraId="7F52DFBB">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1210" w:type="dxa"/>
            <w:vMerge w:val="continue"/>
            <w:noWrap w:val="0"/>
            <w:vAlign w:val="top"/>
          </w:tcPr>
          <w:p w14:paraId="2B98D9E6">
            <w:pPr>
              <w:spacing w:line="360" w:lineRule="auto"/>
              <w:jc w:val="center"/>
              <w:rPr>
                <w:rFonts w:hint="eastAsia" w:ascii="宋体" w:hAnsi="宋体" w:eastAsia="宋体" w:cs="宋体"/>
                <w:color w:val="000000" w:themeColor="text1"/>
                <w:sz w:val="24"/>
                <w:szCs w:val="24"/>
                <w:vertAlign w:val="baseline"/>
                <w:lang w:val="en-US" w:eastAsia="zh-CN"/>
                <w14:textFill>
                  <w14:solidFill>
                    <w14:schemeClr w14:val="tx1"/>
                  </w14:solidFill>
                </w14:textFill>
              </w:rPr>
            </w:pPr>
          </w:p>
        </w:tc>
        <w:tc>
          <w:tcPr>
            <w:tcW w:w="2160" w:type="dxa"/>
            <w:noWrap w:val="0"/>
            <w:vAlign w:val="center"/>
          </w:tcPr>
          <w:p w14:paraId="20F388BC">
            <w:pPr>
              <w:spacing w:line="360" w:lineRule="auto"/>
              <w:jc w:val="center"/>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进度、质量、安全保证措施（10</w:t>
            </w:r>
            <w:r>
              <w:rPr>
                <w:rFonts w:hint="eastAsia" w:ascii="宋体" w:hAnsi="宋体" w:eastAsia="宋体" w:cs="宋体"/>
                <w:color w:val="000000"/>
                <w:sz w:val="24"/>
                <w:szCs w:val="24"/>
              </w:rPr>
              <w:t>分</w:t>
            </w:r>
            <w:r>
              <w:rPr>
                <w:rFonts w:hint="eastAsia" w:ascii="宋体" w:hAnsi="宋体" w:eastAsia="宋体" w:cs="宋体"/>
                <w:color w:val="000000"/>
                <w:sz w:val="24"/>
                <w:szCs w:val="24"/>
                <w:lang w:eastAsia="zh-CN"/>
              </w:rPr>
              <w:t>）</w:t>
            </w:r>
          </w:p>
        </w:tc>
        <w:tc>
          <w:tcPr>
            <w:tcW w:w="5276" w:type="dxa"/>
            <w:noWrap w:val="0"/>
            <w:vAlign w:val="top"/>
          </w:tcPr>
          <w:p w14:paraId="157DCF03">
            <w:pPr>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进度、</w:t>
            </w:r>
            <w:r>
              <w:rPr>
                <w:rFonts w:hint="eastAsia" w:ascii="宋体" w:hAnsi="宋体" w:eastAsia="宋体" w:cs="宋体"/>
                <w:color w:val="000000"/>
                <w:kern w:val="0"/>
                <w:sz w:val="24"/>
                <w:szCs w:val="24"/>
                <w:lang w:val="en-US" w:eastAsia="zh-CN" w:bidi="ar"/>
              </w:rPr>
              <w:t>质量、安全保障措施完善，有相关技术和服务保障方案，有完善的计划和可靠的服务响应体系，完全满足釆购文件需求得7-10分；</w:t>
            </w:r>
            <w:r>
              <w:rPr>
                <w:rFonts w:hint="eastAsia" w:ascii="宋体" w:hAnsi="宋体" w:eastAsia="宋体" w:cs="宋体"/>
                <w:color w:val="000000"/>
                <w:sz w:val="24"/>
                <w:szCs w:val="24"/>
                <w:lang w:val="en-US" w:eastAsia="zh-CN"/>
              </w:rPr>
              <w:t>进度、</w:t>
            </w:r>
            <w:r>
              <w:rPr>
                <w:rFonts w:hint="eastAsia" w:ascii="宋体" w:hAnsi="宋体" w:eastAsia="宋体" w:cs="宋体"/>
                <w:color w:val="000000"/>
                <w:kern w:val="0"/>
                <w:sz w:val="24"/>
                <w:szCs w:val="24"/>
                <w:lang w:val="en-US" w:eastAsia="zh-CN" w:bidi="ar"/>
              </w:rPr>
              <w:t>质量、安全保障措施中有详细的相关技术和服务保障方案，满足釆购文件需求得4-6.9分；</w:t>
            </w:r>
            <w:r>
              <w:rPr>
                <w:rFonts w:hint="eastAsia" w:ascii="宋体" w:hAnsi="宋体" w:eastAsia="宋体" w:cs="宋体"/>
                <w:color w:val="000000"/>
                <w:sz w:val="24"/>
                <w:szCs w:val="24"/>
                <w:lang w:val="en-US" w:eastAsia="zh-CN"/>
              </w:rPr>
              <w:t>进度、</w:t>
            </w:r>
            <w:r>
              <w:rPr>
                <w:rFonts w:hint="eastAsia" w:ascii="宋体" w:hAnsi="宋体" w:eastAsia="宋体" w:cs="宋体"/>
                <w:color w:val="000000"/>
                <w:kern w:val="0"/>
                <w:sz w:val="24"/>
                <w:szCs w:val="24"/>
                <w:lang w:val="en-US" w:eastAsia="zh-CN" w:bidi="ar"/>
              </w:rPr>
              <w:t>质量、安全保障措施内容不够完善但基本满足采购文件需求得1-3.9分； 未提供不得分。</w:t>
            </w:r>
          </w:p>
        </w:tc>
      </w:tr>
      <w:tr w14:paraId="48B3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8" w:hRule="atLeast"/>
          <w:jc w:val="center"/>
        </w:trPr>
        <w:tc>
          <w:tcPr>
            <w:tcW w:w="940" w:type="dxa"/>
            <w:noWrap w:val="0"/>
            <w:vAlign w:val="center"/>
          </w:tcPr>
          <w:p w14:paraId="40F954F7">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3.3（3）</w:t>
            </w:r>
          </w:p>
        </w:tc>
        <w:tc>
          <w:tcPr>
            <w:tcW w:w="1210" w:type="dxa"/>
            <w:noWrap w:val="0"/>
            <w:vAlign w:val="center"/>
          </w:tcPr>
          <w:p w14:paraId="6815CE2B">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报价评分标准</w:t>
            </w:r>
          </w:p>
          <w:p w14:paraId="10A968FB">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（30分）</w:t>
            </w:r>
          </w:p>
        </w:tc>
        <w:tc>
          <w:tcPr>
            <w:tcW w:w="7436" w:type="dxa"/>
            <w:gridSpan w:val="2"/>
            <w:noWrap w:val="0"/>
            <w:vAlign w:val="center"/>
          </w:tcPr>
          <w:p w14:paraId="4FCCEEF9">
            <w:pPr>
              <w:spacing w:line="360" w:lineRule="auto"/>
              <w:jc w:val="left"/>
              <w:rPr>
                <w:rFonts w:hint="eastAsia" w:ascii="宋体" w:hAnsi="宋体" w:eastAsia="宋体" w:cs="宋体"/>
                <w:color w:val="000000"/>
                <w:sz w:val="24"/>
                <w:szCs w:val="24"/>
                <w:lang w:val="en-US" w:eastAsia="zh-CN"/>
              </w:rPr>
            </w:pPr>
          </w:p>
          <w:p w14:paraId="2815C807">
            <w:pPr>
              <w:spacing w:line="360" w:lineRule="auto"/>
              <w:jc w:val="center"/>
              <w:rPr>
                <w:rFonts w:hint="eastAsia" w:ascii="宋体" w:hAnsi="宋体" w:eastAsia="宋体" w:cs="宋体"/>
                <w:color w:val="000000"/>
                <w:sz w:val="24"/>
                <w:szCs w:val="24"/>
                <w:lang w:val="en-US" w:eastAsia="en-US"/>
              </w:rPr>
            </w:pPr>
            <w:r>
              <w:rPr>
                <w:rFonts w:hint="eastAsia" w:ascii="宋体" w:hAnsi="宋体" w:eastAsia="宋体" w:cs="宋体"/>
                <w:color w:val="000000"/>
                <w:sz w:val="24"/>
                <w:szCs w:val="24"/>
                <w:lang w:val="zh-TW" w:eastAsia="zh-TW"/>
              </w:rPr>
              <w:t>如果供应商的评审</w:t>
            </w:r>
            <w:r>
              <w:rPr>
                <w:rFonts w:hint="eastAsia" w:ascii="宋体" w:hAnsi="宋体" w:eastAsia="宋体" w:cs="宋体"/>
                <w:color w:val="000000"/>
                <w:sz w:val="24"/>
                <w:szCs w:val="24"/>
                <w:lang w:val="zh-CN" w:eastAsia="zh-CN"/>
              </w:rPr>
              <w:t>价格﹥</w:t>
            </w:r>
            <w:r>
              <w:rPr>
                <w:rFonts w:hint="eastAsia" w:ascii="宋体" w:hAnsi="宋体" w:eastAsia="宋体" w:cs="宋体"/>
                <w:color w:val="000000"/>
                <w:sz w:val="24"/>
                <w:szCs w:val="24"/>
                <w:lang w:val="zh-TW" w:eastAsia="zh-TW"/>
              </w:rPr>
              <w:t>评审基准价，则报价得分</w:t>
            </w:r>
            <w:r>
              <w:rPr>
                <w:rFonts w:hint="eastAsia" w:ascii="宋体" w:hAnsi="宋体" w:eastAsia="宋体" w:cs="宋体"/>
                <w:color w:val="000000"/>
                <w:sz w:val="24"/>
                <w:szCs w:val="24"/>
                <w:lang w:val="en-US" w:eastAsia="en-US"/>
              </w:rPr>
              <w:t>=</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lang w:val="zh-TW" w:eastAsia="zh-TW"/>
              </w:rPr>
              <w:t>偏差率</w:t>
            </w:r>
            <w:r>
              <w:rPr>
                <w:rFonts w:hint="eastAsia" w:ascii="宋体" w:hAnsi="宋体" w:eastAsia="宋体" w:cs="宋体"/>
                <w:color w:val="000000"/>
                <w:sz w:val="24"/>
                <w:szCs w:val="24"/>
                <w:lang w:val="en-US" w:eastAsia="en-US"/>
              </w:rPr>
              <w:t>×lOO</w:t>
            </w:r>
          </w:p>
          <w:p w14:paraId="186175ED">
            <w:pPr>
              <w:spacing w:line="360" w:lineRule="auto"/>
              <w:jc w:val="both"/>
              <w:rPr>
                <w:rFonts w:hint="eastAsia" w:ascii="宋体" w:hAnsi="宋体" w:eastAsia="宋体" w:cs="宋体"/>
                <w:color w:val="000000"/>
                <w:sz w:val="24"/>
                <w:szCs w:val="24"/>
                <w:lang w:val="zh-TW" w:eastAsia="zh-TW"/>
              </w:rPr>
            </w:pPr>
            <w:r>
              <w:rPr>
                <w:rFonts w:hint="eastAsia" w:ascii="宋体" w:hAnsi="宋体" w:eastAsia="宋体" w:cs="宋体"/>
                <w:color w:val="000000"/>
                <w:sz w:val="24"/>
                <w:szCs w:val="24"/>
                <w:lang w:val="en-US" w:eastAsia="en-US"/>
              </w:rPr>
              <w:t>×E1</w:t>
            </w:r>
            <w:r>
              <w:rPr>
                <w:rFonts w:hint="eastAsia" w:ascii="宋体" w:hAnsi="宋体" w:eastAsia="宋体" w:cs="宋体"/>
                <w:color w:val="000000"/>
                <w:sz w:val="24"/>
                <w:szCs w:val="24"/>
                <w:lang w:val="zh-TW" w:eastAsia="zh-TW"/>
              </w:rPr>
              <w:t>；</w:t>
            </w:r>
          </w:p>
          <w:p w14:paraId="26C203F0">
            <w:pPr>
              <w:spacing w:line="360" w:lineRule="auto"/>
              <w:jc w:val="center"/>
              <w:rPr>
                <w:rFonts w:hint="eastAsia" w:ascii="宋体" w:hAnsi="宋体" w:eastAsia="宋体" w:cs="宋体"/>
                <w:color w:val="000000"/>
                <w:sz w:val="24"/>
                <w:szCs w:val="24"/>
                <w:lang w:val="en-US" w:eastAsia="en-US"/>
              </w:rPr>
            </w:pPr>
            <w:r>
              <w:rPr>
                <w:rFonts w:hint="eastAsia" w:ascii="宋体" w:hAnsi="宋体" w:eastAsia="宋体" w:cs="宋体"/>
                <w:color w:val="000000"/>
                <w:sz w:val="24"/>
                <w:szCs w:val="24"/>
                <w:lang w:val="zh-TW" w:eastAsia="zh-TW"/>
              </w:rPr>
              <w:t>如果供应商的评审价格</w:t>
            </w:r>
            <w:r>
              <w:rPr>
                <w:rFonts w:hint="eastAsia" w:ascii="宋体" w:hAnsi="宋体" w:eastAsia="宋体" w:cs="宋体"/>
                <w:color w:val="000000"/>
                <w:sz w:val="24"/>
                <w:szCs w:val="24"/>
                <w:lang w:val="en-US" w:eastAsia="en-US"/>
              </w:rPr>
              <w:t>≤</w:t>
            </w:r>
            <w:r>
              <w:rPr>
                <w:rFonts w:hint="eastAsia" w:ascii="宋体" w:hAnsi="宋体" w:eastAsia="宋体" w:cs="宋体"/>
                <w:color w:val="000000"/>
                <w:sz w:val="24"/>
                <w:szCs w:val="24"/>
                <w:lang w:val="zh-TW" w:eastAsia="zh-TW"/>
              </w:rPr>
              <w:t>评审基准价，则报价得分</w:t>
            </w:r>
            <w:r>
              <w:rPr>
                <w:rFonts w:hint="eastAsia" w:ascii="宋体" w:hAnsi="宋体" w:eastAsia="宋体" w:cs="宋体"/>
                <w:color w:val="000000"/>
                <w:sz w:val="24"/>
                <w:szCs w:val="24"/>
                <w:lang w:val="en-US" w:eastAsia="en-US"/>
              </w:rPr>
              <w:t>=</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lang w:val="en-US" w:eastAsia="en-US"/>
              </w:rPr>
              <w:t>+</w:t>
            </w:r>
            <w:r>
              <w:rPr>
                <w:rFonts w:hint="eastAsia" w:ascii="宋体" w:hAnsi="宋体" w:eastAsia="宋体" w:cs="宋体"/>
                <w:color w:val="000000"/>
                <w:sz w:val="24"/>
                <w:szCs w:val="24"/>
                <w:lang w:val="zh-TW" w:eastAsia="zh-TW"/>
              </w:rPr>
              <w:t>偏差率</w:t>
            </w:r>
            <w:r>
              <w:rPr>
                <w:rFonts w:hint="eastAsia" w:ascii="宋体" w:hAnsi="宋体" w:eastAsia="宋体" w:cs="宋体"/>
                <w:color w:val="000000"/>
                <w:sz w:val="24"/>
                <w:szCs w:val="24"/>
                <w:lang w:val="en-US" w:eastAsia="en-US"/>
              </w:rPr>
              <w:t>×100</w:t>
            </w:r>
          </w:p>
          <w:p w14:paraId="41816A0C">
            <w:pPr>
              <w:spacing w:line="360" w:lineRule="auto"/>
              <w:jc w:val="both"/>
              <w:rPr>
                <w:rFonts w:hint="eastAsia" w:ascii="宋体" w:hAnsi="宋体" w:eastAsia="宋体" w:cs="宋体"/>
                <w:color w:val="000000"/>
                <w:sz w:val="24"/>
                <w:szCs w:val="24"/>
                <w:lang w:val="zh-TW" w:eastAsia="zh-TW"/>
              </w:rPr>
            </w:pPr>
            <w:r>
              <w:rPr>
                <w:rFonts w:hint="eastAsia" w:ascii="宋体" w:hAnsi="宋体" w:eastAsia="宋体" w:cs="宋体"/>
                <w:color w:val="000000"/>
                <w:sz w:val="24"/>
                <w:szCs w:val="24"/>
                <w:lang w:val="en-US" w:eastAsia="en-US"/>
              </w:rPr>
              <w:t>×E2</w:t>
            </w:r>
            <w:r>
              <w:rPr>
                <w:rFonts w:hint="eastAsia" w:ascii="宋体" w:hAnsi="宋体" w:eastAsia="宋体" w:cs="宋体"/>
                <w:color w:val="000000"/>
                <w:sz w:val="24"/>
                <w:szCs w:val="24"/>
                <w:lang w:val="zh-TW" w:eastAsia="zh-TW"/>
              </w:rPr>
              <w:t>。</w:t>
            </w:r>
          </w:p>
          <w:p w14:paraId="07419EF8">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zh-TW" w:eastAsia="zh-TW"/>
              </w:rPr>
              <w:t>其中</w:t>
            </w:r>
            <w:r>
              <w:rPr>
                <w:rFonts w:hint="eastAsia" w:ascii="宋体" w:hAnsi="宋体" w:eastAsia="宋体" w:cs="宋体"/>
                <w:color w:val="000000"/>
                <w:sz w:val="24"/>
                <w:szCs w:val="24"/>
                <w:lang w:val="en-US" w:eastAsia="en-US"/>
              </w:rPr>
              <w:t>F</w:t>
            </w:r>
            <w:r>
              <w:rPr>
                <w:rFonts w:hint="eastAsia" w:ascii="宋体" w:hAnsi="宋体" w:eastAsia="宋体" w:cs="宋体"/>
                <w:color w:val="000000"/>
                <w:sz w:val="24"/>
                <w:szCs w:val="24"/>
                <w:lang w:val="zh-TW" w:eastAsia="zh-TW"/>
              </w:rPr>
              <w:t>为本章前附表第3.1(3)项规定的报价所占的分值</w:t>
            </w:r>
            <w:r>
              <w:rPr>
                <w:rFonts w:hint="eastAsia" w:ascii="宋体" w:hAnsi="宋体" w:eastAsia="宋体" w:cs="宋体"/>
                <w:color w:val="000000"/>
                <w:sz w:val="24"/>
                <w:szCs w:val="24"/>
                <w:lang w:val="zh-TW" w:eastAsia="zh-CN"/>
              </w:rPr>
              <w:t>，</w:t>
            </w:r>
            <w:r>
              <w:rPr>
                <w:rFonts w:hint="eastAsia" w:ascii="宋体" w:hAnsi="宋体" w:eastAsia="宋体" w:cs="宋体"/>
                <w:color w:val="000000"/>
                <w:sz w:val="24"/>
                <w:szCs w:val="24"/>
                <w:lang w:val="en-US" w:eastAsia="zh-CN"/>
              </w:rPr>
              <w:t>即30分</w:t>
            </w:r>
            <w:r>
              <w:rPr>
                <w:rFonts w:hint="eastAsia" w:ascii="宋体" w:hAnsi="宋体" w:eastAsia="宋体" w:cs="宋体"/>
                <w:color w:val="000000"/>
                <w:sz w:val="24"/>
                <w:szCs w:val="24"/>
                <w:lang w:val="zh-TW" w:eastAsia="zh-TW"/>
              </w:rPr>
              <w:t>；</w:t>
            </w:r>
            <w:r>
              <w:rPr>
                <w:rFonts w:hint="eastAsia" w:ascii="宋体" w:hAnsi="宋体" w:eastAsia="宋体" w:cs="宋体"/>
                <w:color w:val="000000"/>
                <w:sz w:val="24"/>
                <w:szCs w:val="24"/>
                <w:lang w:val="en-US" w:eastAsia="en-US"/>
              </w:rPr>
              <w:t>E1</w:t>
            </w:r>
            <w:r>
              <w:rPr>
                <w:rFonts w:hint="eastAsia" w:ascii="宋体" w:hAnsi="宋体" w:eastAsia="宋体" w:cs="宋体"/>
                <w:color w:val="000000"/>
                <w:sz w:val="24"/>
                <w:szCs w:val="24"/>
                <w:lang w:val="zh-TW" w:eastAsia="zh-TW"/>
              </w:rPr>
              <w:t>是评审价格每高于评审基准价一个百分点的扣分值、</w:t>
            </w:r>
            <w:r>
              <w:rPr>
                <w:rFonts w:hint="eastAsia" w:ascii="宋体" w:hAnsi="宋体" w:eastAsia="宋体" w:cs="宋体"/>
                <w:color w:val="000000"/>
                <w:sz w:val="24"/>
                <w:szCs w:val="24"/>
                <w:lang w:val="en-US" w:eastAsia="en-US"/>
              </w:rPr>
              <w:t>E2</w:t>
            </w:r>
            <w:r>
              <w:rPr>
                <w:rFonts w:hint="eastAsia" w:ascii="宋体" w:hAnsi="宋体" w:eastAsia="宋体" w:cs="宋体"/>
                <w:color w:val="000000"/>
                <w:sz w:val="24"/>
                <w:szCs w:val="24"/>
                <w:lang w:val="zh-TW" w:eastAsia="zh-TW"/>
              </w:rPr>
              <w:t>是评审价格每低于评审基准价一个百分点的扣分值，</w:t>
            </w:r>
            <w:r>
              <w:rPr>
                <w:rFonts w:hint="eastAsia" w:ascii="宋体" w:hAnsi="宋体" w:eastAsia="宋体" w:cs="宋体"/>
                <w:color w:val="000000"/>
                <w:sz w:val="24"/>
                <w:szCs w:val="24"/>
                <w:lang w:val="en-US" w:eastAsia="en-US"/>
              </w:rPr>
              <w:t>E1</w:t>
            </w:r>
            <w:r>
              <w:rPr>
                <w:rFonts w:hint="eastAsia" w:ascii="宋体" w:hAnsi="宋体" w:eastAsia="宋体" w:cs="宋体"/>
                <w:color w:val="000000"/>
                <w:sz w:val="24"/>
                <w:szCs w:val="24"/>
                <w:lang w:val="zh-TW" w:eastAsia="zh-TW"/>
              </w:rPr>
              <w:t>可大于或等于</w:t>
            </w:r>
            <w:r>
              <w:rPr>
                <w:rFonts w:hint="eastAsia" w:ascii="宋体" w:hAnsi="宋体" w:eastAsia="宋体" w:cs="宋体"/>
                <w:color w:val="000000"/>
                <w:sz w:val="24"/>
                <w:szCs w:val="24"/>
                <w:lang w:val="en-US" w:eastAsia="en-US"/>
              </w:rPr>
              <w:t>E2</w:t>
            </w:r>
            <w:r>
              <w:rPr>
                <w:rFonts w:hint="eastAsia" w:ascii="宋体" w:hAnsi="宋体" w:eastAsia="宋体" w:cs="宋体"/>
                <w:color w:val="000000"/>
                <w:sz w:val="24"/>
                <w:szCs w:val="24"/>
                <w:lang w:val="en-US" w:eastAsia="zh-CN"/>
              </w:rPr>
              <w:t>。</w:t>
            </w:r>
          </w:p>
          <w:p w14:paraId="36B251EC">
            <w:pPr>
              <w:spacing w:line="360" w:lineRule="auto"/>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en-US"/>
              </w:rPr>
              <w:t>E1</w:t>
            </w:r>
            <w:r>
              <w:rPr>
                <w:rFonts w:hint="eastAsia" w:ascii="宋体" w:hAnsi="宋体" w:eastAsia="宋体" w:cs="宋体"/>
                <w:color w:val="000000"/>
                <w:sz w:val="24"/>
                <w:szCs w:val="24"/>
                <w:lang w:val="en-US" w:eastAsia="zh-CN"/>
              </w:rPr>
              <w:t xml:space="preserve">：1   </w:t>
            </w:r>
            <w:r>
              <w:rPr>
                <w:rFonts w:hint="eastAsia" w:ascii="宋体" w:hAnsi="宋体" w:eastAsia="宋体" w:cs="宋体"/>
                <w:color w:val="000000"/>
                <w:sz w:val="24"/>
                <w:szCs w:val="24"/>
                <w:lang w:val="en-US" w:eastAsia="en-US"/>
              </w:rPr>
              <w:t>E2</w:t>
            </w:r>
            <w:r>
              <w:rPr>
                <w:rFonts w:hint="eastAsia" w:ascii="宋体" w:hAnsi="宋体" w:eastAsia="宋体" w:cs="宋体"/>
                <w:color w:val="000000"/>
                <w:sz w:val="24"/>
                <w:szCs w:val="24"/>
                <w:lang w:val="en-US" w:eastAsia="zh-CN"/>
              </w:rPr>
              <w:t>：0.5</w:t>
            </w:r>
          </w:p>
        </w:tc>
      </w:tr>
      <w:tr w14:paraId="5278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940" w:type="dxa"/>
            <w:noWrap w:val="0"/>
            <w:vAlign w:val="center"/>
          </w:tcPr>
          <w:p w14:paraId="1E701E79">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3.3（4）</w:t>
            </w:r>
          </w:p>
        </w:tc>
        <w:tc>
          <w:tcPr>
            <w:tcW w:w="1210" w:type="dxa"/>
            <w:noWrap w:val="0"/>
            <w:vAlign w:val="top"/>
          </w:tcPr>
          <w:p w14:paraId="0CD48E05">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其他因素评分标准</w:t>
            </w:r>
          </w:p>
        </w:tc>
        <w:tc>
          <w:tcPr>
            <w:tcW w:w="2160" w:type="dxa"/>
            <w:noWrap w:val="0"/>
            <w:vAlign w:val="center"/>
          </w:tcPr>
          <w:p w14:paraId="79E86728">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w:t>
            </w:r>
          </w:p>
        </w:tc>
        <w:tc>
          <w:tcPr>
            <w:tcW w:w="5276" w:type="dxa"/>
            <w:noWrap w:val="0"/>
            <w:vAlign w:val="center"/>
          </w:tcPr>
          <w:p w14:paraId="3DDDE931">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w:t>
            </w:r>
          </w:p>
        </w:tc>
      </w:tr>
      <w:tr w14:paraId="2A8E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150" w:type="dxa"/>
            <w:gridSpan w:val="2"/>
            <w:noWrap w:val="0"/>
            <w:vAlign w:val="top"/>
          </w:tcPr>
          <w:p w14:paraId="257E910D">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条款号</w:t>
            </w:r>
          </w:p>
        </w:tc>
        <w:tc>
          <w:tcPr>
            <w:tcW w:w="2160" w:type="dxa"/>
            <w:noWrap w:val="0"/>
            <w:vAlign w:val="center"/>
          </w:tcPr>
          <w:p w14:paraId="2433FC89">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条款内容</w:t>
            </w:r>
          </w:p>
        </w:tc>
        <w:tc>
          <w:tcPr>
            <w:tcW w:w="5276" w:type="dxa"/>
            <w:noWrap w:val="0"/>
            <w:vAlign w:val="center"/>
          </w:tcPr>
          <w:p w14:paraId="3A676217">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编列内容</w:t>
            </w:r>
          </w:p>
        </w:tc>
      </w:tr>
      <w:tr w14:paraId="4BDD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0" w:type="dxa"/>
            <w:gridSpan w:val="2"/>
            <w:noWrap w:val="0"/>
            <w:vAlign w:val="center"/>
          </w:tcPr>
          <w:p w14:paraId="099EA857">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3.6</w:t>
            </w:r>
          </w:p>
        </w:tc>
        <w:tc>
          <w:tcPr>
            <w:tcW w:w="2160" w:type="dxa"/>
            <w:noWrap w:val="0"/>
            <w:vAlign w:val="center"/>
          </w:tcPr>
          <w:p w14:paraId="4E2D8D67">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供应商并列时确定供应商优先顺序的规则</w:t>
            </w:r>
          </w:p>
        </w:tc>
        <w:tc>
          <w:tcPr>
            <w:tcW w:w="5276" w:type="dxa"/>
            <w:noWrap w:val="0"/>
            <w:vAlign w:val="center"/>
          </w:tcPr>
          <w:p w14:paraId="0399B54F">
            <w:pPr>
              <w:spacing w:line="360" w:lineRule="auto"/>
              <w:jc w:val="both"/>
              <w:rPr>
                <w:rFonts w:hint="eastAsia" w:ascii="宋体" w:hAnsi="宋体" w:eastAsia="宋体" w:cs="宋体"/>
                <w:color w:val="000000"/>
                <w:sz w:val="24"/>
                <w:szCs w:val="24"/>
                <w:lang w:val="zh-TW" w:eastAsia="zh-TW"/>
              </w:rPr>
            </w:pPr>
            <w:r>
              <w:rPr>
                <w:rFonts w:hint="eastAsia" w:ascii="宋体" w:hAnsi="宋体" w:eastAsia="宋体" w:cs="宋体"/>
                <w:color w:val="000000"/>
                <w:sz w:val="24"/>
                <w:szCs w:val="24"/>
                <w:lang w:val="zh-TW" w:eastAsia="zh-TW"/>
              </w:rPr>
              <w:t>（1）</w:t>
            </w:r>
            <w:r>
              <w:rPr>
                <w:rFonts w:hint="eastAsia" w:ascii="宋体" w:hAnsi="宋体" w:eastAsia="宋体" w:cs="宋体"/>
                <w:color w:val="000000"/>
                <w:sz w:val="24"/>
                <w:szCs w:val="24"/>
                <w:lang w:val="en-US" w:eastAsia="zh-CN"/>
              </w:rPr>
              <w:t>报价低</w:t>
            </w:r>
            <w:r>
              <w:rPr>
                <w:rFonts w:hint="eastAsia" w:ascii="宋体" w:hAnsi="宋体" w:eastAsia="宋体" w:cs="宋体"/>
                <w:color w:val="000000"/>
                <w:sz w:val="24"/>
                <w:szCs w:val="24"/>
                <w:lang w:val="zh-TW" w:eastAsia="zh-TW"/>
              </w:rPr>
              <w:t>的优先；</w:t>
            </w:r>
          </w:p>
          <w:p w14:paraId="1C6E6C4E">
            <w:pPr>
              <w:spacing w:line="360" w:lineRule="auto"/>
              <w:jc w:val="both"/>
              <w:rPr>
                <w:rFonts w:hint="eastAsia" w:ascii="宋体" w:hAnsi="宋体" w:eastAsia="宋体" w:cs="宋体"/>
                <w:color w:val="000000"/>
                <w:sz w:val="24"/>
                <w:szCs w:val="24"/>
                <w:lang w:val="zh-TW" w:eastAsia="zh-TW"/>
              </w:rPr>
            </w:pPr>
            <w:r>
              <w:rPr>
                <w:rFonts w:hint="eastAsia" w:ascii="宋体" w:hAnsi="宋体" w:eastAsia="宋体" w:cs="宋体"/>
                <w:color w:val="000000"/>
                <w:sz w:val="24"/>
                <w:szCs w:val="24"/>
                <w:lang w:val="zh-TW" w:eastAsia="zh-TW"/>
              </w:rPr>
              <w:t>（2）商务和技术得分较高的供应商优先；</w:t>
            </w:r>
          </w:p>
          <w:p w14:paraId="41C6411F">
            <w:pPr>
              <w:spacing w:line="360" w:lineRule="auto"/>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zh-TW" w:eastAsia="zh-TW"/>
              </w:rPr>
              <w:t>（3）递交询比响应文件时间较早的优先。</w:t>
            </w:r>
          </w:p>
        </w:tc>
      </w:tr>
    </w:tbl>
    <w:p w14:paraId="3923E7AB">
      <w:pPr>
        <w:jc w:val="center"/>
        <w:rPr>
          <w:rFonts w:hint="eastAsia" w:ascii="宋体" w:hAnsi="宋体" w:eastAsia="宋体" w:cs="宋体"/>
          <w:color w:val="000000"/>
          <w:sz w:val="24"/>
          <w:szCs w:val="24"/>
          <w:lang w:val="en-US" w:eastAsia="zh-CN"/>
        </w:rPr>
      </w:pPr>
    </w:p>
    <w:p w14:paraId="34D45AF4">
      <w:pPr>
        <w:rPr>
          <w:rFonts w:hint="eastAsia"/>
          <w:color w:val="000000" w:themeColor="text1"/>
          <w:lang w:val="en-US" w:eastAsia="zh-CN"/>
          <w14:textFill>
            <w14:solidFill>
              <w14:schemeClr w14:val="tx1"/>
            </w14:solidFill>
          </w14:textFill>
        </w:rPr>
      </w:pPr>
    </w:p>
    <w:p w14:paraId="4AA32204">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pPr>
      <w:bookmarkStart w:id="84" w:name="_Toc14193"/>
      <w:bookmarkStart w:id="85" w:name="_Toc19804"/>
      <w:bookmarkStart w:id="86" w:name="_Toc19371"/>
      <w:bookmarkStart w:id="87" w:name="_Toc25725"/>
      <w:bookmarkStart w:id="88" w:name="_Toc13646"/>
      <w:r>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t>1评审方法（综合评分法）</w:t>
      </w:r>
      <w:bookmarkEnd w:id="84"/>
      <w:bookmarkEnd w:id="85"/>
      <w:bookmarkEnd w:id="86"/>
      <w:bookmarkEnd w:id="87"/>
      <w:bookmarkEnd w:id="88"/>
    </w:p>
    <w:p w14:paraId="2E6CCC63">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kern w:val="2"/>
          <w:sz w:val="21"/>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本次评审釆用综合评分法。评审小组对满足采购文件实质性要求的响应文件，按照本章第</w:t>
      </w:r>
      <w:r>
        <w:rPr>
          <w:rFonts w:ascii="Times New Roman" w:hAnsi="Times New Roman" w:eastAsia="Times New Roman" w:cs="Times New Roman"/>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3</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条规定的评分标准进行打分，并按得分由高到低的顺序推荐候选成交供应商。</w:t>
      </w:r>
    </w:p>
    <w:p w14:paraId="2BD914DC">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pPr>
      <w:bookmarkStart w:id="89" w:name="_Toc13417"/>
      <w:bookmarkStart w:id="90" w:name="_Toc29998"/>
      <w:bookmarkStart w:id="91" w:name="_Toc16243"/>
      <w:bookmarkStart w:id="92" w:name="_Toc7828"/>
      <w:bookmarkStart w:id="93" w:name="_Toc3893"/>
      <w:r>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t>2初步评审标准和程序</w:t>
      </w:r>
      <w:bookmarkEnd w:id="89"/>
      <w:bookmarkEnd w:id="90"/>
      <w:bookmarkEnd w:id="91"/>
      <w:bookmarkEnd w:id="92"/>
      <w:bookmarkEnd w:id="93"/>
    </w:p>
    <w:p w14:paraId="5C8416E2">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pPr>
      <w:bookmarkStart w:id="94" w:name="_Toc28827"/>
      <w:bookmarkStart w:id="95" w:name="_Toc28798"/>
      <w:bookmarkStart w:id="96" w:name="_Toc5769"/>
      <w:bookmarkStart w:id="97" w:name="_Toc20071"/>
      <w:bookmarkStart w:id="98" w:name="_Toc20230"/>
      <w:r>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t>2.1初步评审标准</w:t>
      </w:r>
      <w:bookmarkEnd w:id="94"/>
      <w:bookmarkEnd w:id="95"/>
      <w:bookmarkEnd w:id="96"/>
      <w:bookmarkEnd w:id="97"/>
      <w:bookmarkEnd w:id="98"/>
    </w:p>
    <w:p w14:paraId="20FE1CC4">
      <w:pPr>
        <w:keepNext w:val="0"/>
        <w:keepLines w:val="0"/>
        <w:pageBreakBefore w:val="0"/>
        <w:widowControl w:val="0"/>
        <w:shd w:val="clear" w:color="auto" w:fill="auto"/>
        <w:kinsoku/>
        <w:wordWrap/>
        <w:overflowPunct/>
        <w:topLinePunct w:val="0"/>
        <w:autoSpaceDE/>
        <w:autoSpaceDN/>
        <w:bidi w:val="0"/>
        <w:adjustRightInd/>
        <w:snapToGrid/>
        <w:spacing w:before="0" w:after="60" w:line="400" w:lineRule="exact"/>
        <w:ind w:left="0" w:right="0" w:firstLine="480" w:firstLineChars="200"/>
        <w:jc w:val="left"/>
        <w:textAlignment w:val="auto"/>
        <w:rPr>
          <w:rFonts w:ascii="Times New Roman" w:hAnsi="Times New Roman" w:eastAsia="Times New Roman" w:cs="Times New Roman"/>
          <w:color w:val="000000" w:themeColor="text1"/>
          <w:spacing w:val="0"/>
          <w:w w:val="100"/>
          <w:kern w:val="2"/>
          <w:position w:val="0"/>
          <w:sz w:val="24"/>
          <w:szCs w:val="24"/>
          <w:highlight w:val="none"/>
          <w:u w:val="none"/>
          <w:shd w:val="clear" w:color="auto" w:fill="auto"/>
          <w:lang w:val="en-US" w:eastAsia="en-US" w:bidi="en-US"/>
          <w14:textFill>
            <w14:solidFill>
              <w14:schemeClr w14:val="tx1"/>
            </w14:solidFill>
          </w14:textFill>
        </w:rPr>
      </w:pPr>
      <w:r>
        <w:rPr>
          <w:rFonts w:ascii="Times New Roman" w:hAnsi="Times New Roman" w:eastAsia="Times New Roman" w:cs="Times New Roman"/>
          <w:color w:val="000000" w:themeColor="text1"/>
          <w:spacing w:val="0"/>
          <w:w w:val="100"/>
          <w:kern w:val="2"/>
          <w:position w:val="0"/>
          <w:sz w:val="24"/>
          <w:szCs w:val="24"/>
          <w:highlight w:val="none"/>
          <w:u w:val="none"/>
          <w:shd w:val="clear" w:color="auto" w:fill="auto"/>
          <w:lang w:val="en-US" w:eastAsia="en-US" w:bidi="en-US"/>
          <w14:textFill>
            <w14:solidFill>
              <w14:schemeClr w14:val="tx1"/>
            </w14:solidFill>
          </w14:textFill>
        </w:rPr>
        <w:t>2.1.1形式评审标准：见评审办法前附表</w:t>
      </w:r>
    </w:p>
    <w:p w14:paraId="0EF8645D">
      <w:pPr>
        <w:keepNext w:val="0"/>
        <w:keepLines w:val="0"/>
        <w:pageBreakBefore w:val="0"/>
        <w:widowControl w:val="0"/>
        <w:shd w:val="clear" w:color="auto" w:fill="auto"/>
        <w:kinsoku/>
        <w:wordWrap/>
        <w:overflowPunct/>
        <w:topLinePunct w:val="0"/>
        <w:autoSpaceDE/>
        <w:autoSpaceDN/>
        <w:bidi w:val="0"/>
        <w:adjustRightInd/>
        <w:snapToGrid/>
        <w:spacing w:before="0" w:after="60" w:line="400" w:lineRule="exact"/>
        <w:ind w:left="0" w:right="0" w:firstLine="480" w:firstLineChars="200"/>
        <w:jc w:val="left"/>
        <w:textAlignment w:val="auto"/>
        <w:rPr>
          <w:rFonts w:ascii="宋体" w:hAnsi="宋体" w:eastAsia="宋体" w:cs="宋体"/>
          <w:color w:val="000000" w:themeColor="text1"/>
          <w:kern w:val="2"/>
          <w:sz w:val="21"/>
          <w:szCs w:val="24"/>
          <w:highlight w:val="none"/>
          <w:u w:val="none"/>
          <w:shd w:val="clear" w:color="auto" w:fill="auto"/>
          <w:lang w:val="zh-TW" w:eastAsia="zh-TW" w:bidi="zh-TW"/>
          <w14:textFill>
            <w14:solidFill>
              <w14:schemeClr w14:val="tx1"/>
            </w14:solidFill>
          </w14:textFill>
        </w:rPr>
      </w:pPr>
      <w:r>
        <w:rPr>
          <w:rFonts w:ascii="Times New Roman" w:hAnsi="Times New Roman" w:eastAsia="Times New Roman" w:cs="Times New Roman"/>
          <w:color w:val="000000" w:themeColor="text1"/>
          <w:spacing w:val="0"/>
          <w:w w:val="100"/>
          <w:kern w:val="2"/>
          <w:position w:val="0"/>
          <w:sz w:val="24"/>
          <w:szCs w:val="24"/>
          <w:highlight w:val="none"/>
          <w:u w:val="none"/>
          <w:shd w:val="clear" w:color="auto" w:fill="auto"/>
          <w:lang w:val="en-US" w:eastAsia="en-US" w:bidi="en-US"/>
          <w14:textFill>
            <w14:solidFill>
              <w14:schemeClr w14:val="tx1"/>
            </w14:solidFill>
          </w14:textFill>
        </w:rPr>
        <w:t>2.1.2</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资格评审标准：见评审办法前附表。</w:t>
      </w:r>
    </w:p>
    <w:p w14:paraId="57664A12">
      <w:pPr>
        <w:keepNext w:val="0"/>
        <w:keepLines w:val="0"/>
        <w:pageBreakBefore w:val="0"/>
        <w:widowControl w:val="0"/>
        <w:shd w:val="clear" w:color="auto" w:fill="auto"/>
        <w:kinsoku/>
        <w:wordWrap/>
        <w:overflowPunct/>
        <w:topLinePunct w:val="0"/>
        <w:autoSpaceDE/>
        <w:autoSpaceDN/>
        <w:bidi w:val="0"/>
        <w:adjustRightInd/>
        <w:snapToGrid/>
        <w:spacing w:before="0" w:after="60" w:line="400" w:lineRule="exact"/>
        <w:ind w:left="0" w:right="0" w:firstLine="480" w:firstLineChars="200"/>
        <w:jc w:val="left"/>
        <w:textAlignment w:val="auto"/>
        <w:rPr>
          <w:rFonts w:ascii="宋体" w:hAnsi="宋体" w:eastAsia="宋体" w:cs="宋体"/>
          <w:color w:val="000000" w:themeColor="text1"/>
          <w:kern w:val="2"/>
          <w:sz w:val="21"/>
          <w:szCs w:val="24"/>
          <w:highlight w:val="none"/>
          <w:u w:val="none"/>
          <w:shd w:val="clear" w:color="auto" w:fill="auto"/>
          <w:lang w:val="zh-TW" w:eastAsia="zh-TW" w:bidi="zh-TW"/>
          <w14:textFill>
            <w14:solidFill>
              <w14:schemeClr w14:val="tx1"/>
            </w14:solidFill>
          </w14:textFill>
        </w:rPr>
      </w:pPr>
      <w:r>
        <w:rPr>
          <w:rFonts w:ascii="Times New Roman" w:hAnsi="Times New Roman" w:eastAsia="Times New Roman" w:cs="Times New Roman"/>
          <w:color w:val="000000" w:themeColor="text1"/>
          <w:spacing w:val="0"/>
          <w:w w:val="100"/>
          <w:kern w:val="2"/>
          <w:position w:val="0"/>
          <w:sz w:val="24"/>
          <w:szCs w:val="24"/>
          <w:highlight w:val="none"/>
          <w:u w:val="none"/>
          <w:shd w:val="clear" w:color="auto" w:fill="auto"/>
          <w:lang w:val="en-US" w:eastAsia="en-US" w:bidi="en-US"/>
          <w14:textFill>
            <w14:solidFill>
              <w14:schemeClr w14:val="tx1"/>
            </w14:solidFill>
          </w14:textFill>
        </w:rPr>
        <w:t>2. 1.3</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响应性评审标准：见评审办法前附表。</w:t>
      </w:r>
    </w:p>
    <w:p w14:paraId="657EDF3A">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pPr>
      <w:bookmarkStart w:id="99" w:name="_Toc15957"/>
      <w:bookmarkStart w:id="100" w:name="_Toc3764"/>
      <w:bookmarkStart w:id="101" w:name="_Toc8822"/>
      <w:bookmarkStart w:id="102" w:name="_Toc27741"/>
      <w:bookmarkStart w:id="103" w:name="_Toc18601"/>
      <w:r>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t>2.2初步评审程序</w:t>
      </w:r>
      <w:bookmarkEnd w:id="99"/>
      <w:bookmarkEnd w:id="100"/>
      <w:bookmarkEnd w:id="101"/>
      <w:bookmarkEnd w:id="102"/>
      <w:bookmarkEnd w:id="103"/>
    </w:p>
    <w:p w14:paraId="66D60DBC">
      <w:pPr>
        <w:keepNext w:val="0"/>
        <w:keepLines w:val="0"/>
        <w:pageBreakBefore w:val="0"/>
        <w:widowControl w:val="0"/>
        <w:shd w:val="clear" w:color="auto" w:fill="auto"/>
        <w:kinsoku/>
        <w:wordWrap/>
        <w:overflowPunct/>
        <w:topLinePunct w:val="0"/>
        <w:autoSpaceDE/>
        <w:autoSpaceDN/>
        <w:bidi w:val="0"/>
        <w:adjustRightInd w:val="0"/>
        <w:snapToGrid w:val="0"/>
        <w:spacing w:before="0" w:after="0" w:line="400" w:lineRule="exact"/>
        <w:ind w:left="0" w:right="0" w:firstLine="480" w:firstLineChars="200"/>
        <w:jc w:val="left"/>
        <w:textAlignment w:val="auto"/>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2.2.1评审小组依据本章第2.1款规定的标准对供应商递交的响应文件进行初步评审，判断响应文件的形式是否符合要求、供应商是否符合资格条件、响应文件是否实质性响应釆购文件的要求。只有以上评审合格的响应文件才可通过初步评审。</w:t>
      </w:r>
    </w:p>
    <w:p w14:paraId="6D8CDB4F">
      <w:pPr>
        <w:keepNext w:val="0"/>
        <w:keepLines w:val="0"/>
        <w:pageBreakBefore w:val="0"/>
        <w:widowControl w:val="0"/>
        <w:shd w:val="clear" w:color="auto" w:fill="auto"/>
        <w:kinsoku/>
        <w:wordWrap/>
        <w:overflowPunct/>
        <w:topLinePunct w:val="0"/>
        <w:autoSpaceDE/>
        <w:autoSpaceDN/>
        <w:bidi w:val="0"/>
        <w:adjustRightInd w:val="0"/>
        <w:snapToGrid w:val="0"/>
        <w:spacing w:before="0" w:after="0" w:line="400" w:lineRule="exact"/>
        <w:ind w:left="0" w:right="0" w:firstLine="480" w:firstLineChars="200"/>
        <w:jc w:val="left"/>
        <w:textAlignment w:val="auto"/>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2.2.2除评审办法前附表另有规定外，评审价格为供应商在响应函中填报的大写含税价格。</w:t>
      </w:r>
    </w:p>
    <w:p w14:paraId="68EB35C2">
      <w:pPr>
        <w:keepNext w:val="0"/>
        <w:keepLines w:val="0"/>
        <w:pageBreakBefore w:val="0"/>
        <w:widowControl w:val="0"/>
        <w:shd w:val="clear" w:color="auto" w:fill="auto"/>
        <w:kinsoku/>
        <w:overflowPunct/>
        <w:autoSpaceDE/>
        <w:autoSpaceDN/>
        <w:bidi w:val="0"/>
        <w:spacing w:before="0" w:after="0" w:line="400" w:lineRule="exact"/>
        <w:ind w:left="0" w:right="0" w:firstLine="480" w:firstLineChars="200"/>
        <w:jc w:val="left"/>
        <w:textAlignment w:val="auto"/>
        <w:rPr>
          <w:rFonts w:ascii="宋体" w:hAnsi="宋体" w:eastAsia="宋体" w:cs="宋体"/>
          <w:color w:val="000000" w:themeColor="text1"/>
          <w:kern w:val="2"/>
          <w:sz w:val="21"/>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评审价格若超过最高限价(如有)，其响应文件将被视为无效。</w:t>
      </w:r>
    </w:p>
    <w:p w14:paraId="27977275">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评审小组经过对供应商的报价进行比较或基于专业经验认为某一供应商的报价异常 过低，可能对其履约造成影响时，应当要求该供应商作出书面说明并提供相应的证明材 料。供应商不能合理说明或者不能提供相应证明材料的，其响应文件将被视为无效。</w:t>
      </w:r>
    </w:p>
    <w:p w14:paraId="5B9D0ED0">
      <w:pPr>
        <w:keepNext w:val="0"/>
        <w:keepLines w:val="0"/>
        <w:pageBreakBefore w:val="0"/>
        <w:widowControl w:val="0"/>
        <w:shd w:val="clear" w:color="auto" w:fill="auto"/>
        <w:kinsoku/>
        <w:wordWrap/>
        <w:overflowPunct/>
        <w:topLinePunct w:val="0"/>
        <w:autoSpaceDE/>
        <w:autoSpaceDN/>
        <w:bidi w:val="0"/>
        <w:adjustRightInd w:val="0"/>
        <w:snapToGrid w:val="0"/>
        <w:spacing w:before="0" w:after="0" w:line="400" w:lineRule="exact"/>
        <w:ind w:left="0"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2.2.3</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响应文件中有含义不明确、同类问题表述不一致或有明显文字和计算错误的内 容，评审小组可要求供应商在规定时间内进行澄清、说明和补正。供应商澄清、说明和补正的内容应由法定代表人(单位负责人)或其授权的代理人签字或加盖单位章。 澄清、说明和补正不得超出响应文件的范围且不得改变响应文件的实质性内容，并构成响应文件的组成部分。</w:t>
      </w:r>
    </w:p>
    <w:p w14:paraId="3ED04E01">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响应报价有算术错误及其他错误的，评审小组按以下原则要求供应商对响应报价进行修正，并要求供应商书面澄清确认。供应商拒不澄清确认的，其响应文件将被视为无效：</w:t>
      </w:r>
    </w:p>
    <w:p w14:paraId="24EDA5D9">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（1）大写金额与小写金额不一致的，以大写金额为准；</w:t>
      </w:r>
    </w:p>
    <w:p w14:paraId="7E3F0FA4">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（2）总价金额与单价金额不一致的，以单价金额为准，但单价金额小数点有明显错误的除外；</w:t>
      </w:r>
      <w:bookmarkStart w:id="104" w:name="bookmark675"/>
      <w:bookmarkEnd w:id="104"/>
    </w:p>
    <w:p w14:paraId="0CBD6868">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（3）</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报价表合计报价与分项报价的合计不一致的，以各分项报价的合价累计数为准；</w:t>
      </w:r>
      <w:bookmarkStart w:id="105" w:name="bookmark676"/>
      <w:bookmarkEnd w:id="105"/>
    </w:p>
    <w:p w14:paraId="289694F1">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（4）</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如果分项报价中存在缺漏项，且缺漏项内容不属于实质性偏差的，则视为缺漏项内已包含在其他容的价格分项报价之中。</w:t>
      </w:r>
    </w:p>
    <w:p w14:paraId="610441B3">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响应报价的算术错误修正不改变评审依据的响应总报价。当修正后的总报价高于 原响应报价时，视同供应商响应报价错误产生少漏计费用，签订合同时由供应商承担, 如评审小组认为供应商无法承受少漏计费用，可以将响应报价作为异常低价处理；当修正后的总报价低于原响应报价时，签订合同时以修正后的报价为准。</w:t>
      </w:r>
    </w:p>
    <w:p w14:paraId="5ED5B187">
      <w:pPr>
        <w:keepNext w:val="0"/>
        <w:keepLines w:val="0"/>
        <w:pageBreakBefore w:val="0"/>
        <w:widowControl w:val="0"/>
        <w:shd w:val="clear" w:color="auto" w:fill="auto"/>
        <w:kinsoku/>
        <w:wordWrap/>
        <w:overflowPunct/>
        <w:topLinePunct w:val="0"/>
        <w:autoSpaceDE/>
        <w:autoSpaceDN/>
        <w:bidi w:val="0"/>
        <w:adjustRightInd w:val="0"/>
        <w:snapToGrid w:val="0"/>
        <w:spacing w:before="0" w:after="0" w:line="400" w:lineRule="exact"/>
        <w:ind w:left="0" w:right="0" w:firstLine="480" w:firstLineChars="200"/>
        <w:jc w:val="left"/>
        <w:textAlignment w:val="auto"/>
        <w:rPr>
          <w:rFonts w:hint="eastAsia" w:asciiTheme="minorEastAsia" w:hAnsiTheme="minorEastAsia" w:eastAsiaTheme="minorEastAsia" w:cstheme="minorEastAsia"/>
          <w:color w:val="000000" w:themeColor="text1"/>
          <w:kern w:val="2"/>
          <w:sz w:val="21"/>
          <w:szCs w:val="24"/>
          <w:highlight w:val="none"/>
          <w:u w:val="none"/>
          <w:shd w:val="clear" w:color="auto" w:fill="auto"/>
          <w:lang w:val="zh-TW" w:eastAsia="zh-TW" w:bidi="zh-TW"/>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en-US" w:eastAsia="en-US" w:bidi="en-US"/>
          <w14:textFill>
            <w14:solidFill>
              <w14:schemeClr w14:val="tx1"/>
            </w14:solidFill>
          </w14:textFill>
        </w:rPr>
        <w:t>2.2.4</w:t>
      </w: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供应商有串通、弄虚作假、行贿等违法行为的，其响应文件将被视为无效。</w:t>
      </w:r>
    </w:p>
    <w:p w14:paraId="3C5866CD">
      <w:pPr>
        <w:keepNext w:val="0"/>
        <w:keepLines w:val="0"/>
        <w:pageBreakBefore w:val="0"/>
        <w:widowControl w:val="0"/>
        <w:shd w:val="clear" w:color="auto" w:fill="auto"/>
        <w:kinsoku/>
        <w:wordWrap/>
        <w:overflowPunct/>
        <w:topLinePunct w:val="0"/>
        <w:autoSpaceDE/>
        <w:autoSpaceDN/>
        <w:bidi w:val="0"/>
        <w:adjustRightInd w:val="0"/>
        <w:snapToGrid w:val="0"/>
        <w:spacing w:before="0" w:after="0" w:line="400" w:lineRule="exact"/>
        <w:ind w:left="0" w:right="0" w:firstLine="480" w:firstLineChars="200"/>
        <w:jc w:val="left"/>
        <w:textAlignment w:val="auto"/>
        <w:rPr>
          <w:rFonts w:hint="eastAsia" w:asciiTheme="minorEastAsia" w:hAnsiTheme="minorEastAsia" w:eastAsiaTheme="minorEastAsia" w:cstheme="minorEastAsia"/>
          <w:color w:val="000000" w:themeColor="text1"/>
          <w:kern w:val="2"/>
          <w:sz w:val="21"/>
          <w:szCs w:val="24"/>
          <w:highlight w:val="none"/>
          <w:u w:val="none"/>
          <w:shd w:val="clear" w:color="auto" w:fill="auto"/>
          <w:lang w:val="zh-TW" w:eastAsia="zh-TW" w:bidi="zh-TW"/>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en-US" w:eastAsia="en-US" w:bidi="en-US"/>
          <w14:textFill>
            <w14:solidFill>
              <w14:schemeClr w14:val="tx1"/>
            </w14:solidFill>
          </w14:textFill>
        </w:rPr>
        <w:t>2.2.5</w:t>
      </w: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特殊情形处理</w:t>
      </w:r>
    </w:p>
    <w:p w14:paraId="6199BD4B">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初步评审后，如评审小组认为所有响应文件均无效，或者所有响应报价竞争性不足，高于市场预期价格，评审小组应当终止评审，或经采购人同意，直接转换选择其他采购方式，与原供应商共同完成后续采购程序。</w:t>
      </w:r>
    </w:p>
    <w:p w14:paraId="0517C7B2">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mc:AlternateContent>
          <mc:Choice Requires="wps">
            <w:drawing>
              <wp:anchor distT="0" distB="0" distL="0" distR="0" simplePos="0" relativeHeight="251659264" behindDoc="0" locked="0" layoutInCell="1" allowOverlap="1">
                <wp:simplePos x="0" y="0"/>
                <wp:positionH relativeFrom="page">
                  <wp:posOffset>9331960</wp:posOffset>
                </wp:positionH>
                <wp:positionV relativeFrom="paragraph">
                  <wp:posOffset>276860</wp:posOffset>
                </wp:positionV>
                <wp:extent cx="1071245" cy="1475105"/>
                <wp:effectExtent l="0" t="0" r="0" b="0"/>
                <wp:wrapNone/>
                <wp:docPr id="527" name="Shape 527"/>
                <wp:cNvGraphicFramePr/>
                <a:graphic xmlns:a="http://schemas.openxmlformats.org/drawingml/2006/main">
                  <a:graphicData uri="http://schemas.microsoft.com/office/word/2010/wordprocessingShape">
                    <wps:wsp>
                      <wps:cNvSpPr txBox="1"/>
                      <wps:spPr>
                        <a:xfrm>
                          <a:off x="0" y="0"/>
                          <a:ext cx="1071245" cy="1475105"/>
                        </a:xfrm>
                        <a:prstGeom prst="rect">
                          <a:avLst/>
                        </a:prstGeom>
                        <a:noFill/>
                      </wps:spPr>
                      <wps:txbx>
                        <w:txbxContent>
                          <w:p w14:paraId="0DE715BA">
                            <w:pPr>
                              <w:spacing w:line="300" w:lineRule="auto"/>
                              <w:rPr>
                                <w:rFonts w:asciiTheme="minorAscii" w:hAnsiTheme="minorAscii"/>
                              </w:rPr>
                            </w:pPr>
                            <w:r>
                              <w:rPr>
                                <w:rFonts w:asciiTheme="minorAscii" w:hAnsiTheme="minorAscii"/>
                              </w:rPr>
                              <w:t>响应报价有算术错误及其他错误的, 进行修正，并要求供应商书面澄清确认。 为无效：</w:t>
                            </w:r>
                          </w:p>
                          <w:p w14:paraId="146588FF">
                            <w:pPr>
                              <w:spacing w:line="300" w:lineRule="auto"/>
                              <w:rPr>
                                <w:rFonts w:asciiTheme="minorAscii" w:hAnsiTheme="minorAscii"/>
                              </w:rPr>
                            </w:pPr>
                            <w:bookmarkStart w:id="312" w:name="bookmark670"/>
                            <w:bookmarkEnd w:id="312"/>
                            <w:r>
                              <w:rPr>
                                <w:rFonts w:asciiTheme="minorAscii" w:hAnsiTheme="minorAscii"/>
                              </w:rPr>
                              <w:t>大写金额与小写金额不一致的,</w:t>
                            </w:r>
                          </w:p>
                          <w:p w14:paraId="01ECA412">
                            <w:pPr>
                              <w:spacing w:line="300" w:lineRule="auto"/>
                              <w:rPr>
                                <w:rFonts w:asciiTheme="minorAscii" w:hAnsiTheme="minorAscii"/>
                              </w:rPr>
                            </w:pPr>
                            <w:bookmarkStart w:id="313" w:name="bookmark671"/>
                            <w:bookmarkEnd w:id="313"/>
                            <w:r>
                              <w:rPr>
                                <w:rFonts w:asciiTheme="minorAscii" w:hAnsiTheme="minorAscii"/>
                              </w:rPr>
                              <w:t>总价金额与单价金额不一致的, 错误的除外；</w:t>
                            </w:r>
                          </w:p>
                        </w:txbxContent>
                      </wps:txbx>
                      <wps:bodyPr lIns="0" tIns="0" rIns="0" bIns="0">
                        <a:noAutofit/>
                      </wps:bodyPr>
                    </wps:wsp>
                  </a:graphicData>
                </a:graphic>
              </wp:anchor>
            </w:drawing>
          </mc:Choice>
          <mc:Fallback>
            <w:pict>
              <v:shape id="Shape 527" o:spid="_x0000_s1026" o:spt="202" type="#_x0000_t202" style="position:absolute;left:0pt;margin-left:734.8pt;margin-top:21.8pt;height:116.15pt;width:84.35pt;mso-position-horizontal-relative:page;z-index:251659264;mso-width-relative:page;mso-height-relative:page;" filled="f" stroked="f" coordsize="21600,21600" o:gfxdata="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j/3SdsAAAAM&#10;AQAADwAAAAAAAAABACAAAAAiAAAAZHJzL2Rvd25yZXYueG1sUEsBAhQAFAAAAAgAh07iQJ2smFGn&#10;AQAAaQMAAA4AAAAAAAAAAQAgAAAAKgEAAGRycy9lMm9Eb2MueG1sUEsFBgAAAAAGAAYAWQEAAEMF&#10;AAAAAA==&#10;">
                <v:fill on="f" focussize="0,0"/>
                <v:stroke on="f"/>
                <v:imagedata o:title=""/>
                <o:lock v:ext="edit" aspectratio="f"/>
                <v:textbox inset="0mm,0mm,0mm,0mm">
                  <w:txbxContent>
                    <w:p w14:paraId="0DE715BA">
                      <w:pPr>
                        <w:spacing w:line="300" w:lineRule="auto"/>
                        <w:rPr>
                          <w:rFonts w:asciiTheme="minorAscii" w:hAnsiTheme="minorAscii"/>
                        </w:rPr>
                      </w:pPr>
                      <w:r>
                        <w:rPr>
                          <w:rFonts w:asciiTheme="minorAscii" w:hAnsiTheme="minorAscii"/>
                        </w:rPr>
                        <w:t>响应报价有算术错误及其他错误的, 进行修正，并要求供应商书面澄清确认。 为无效：</w:t>
                      </w:r>
                    </w:p>
                    <w:p w14:paraId="146588FF">
                      <w:pPr>
                        <w:spacing w:line="300" w:lineRule="auto"/>
                        <w:rPr>
                          <w:rFonts w:asciiTheme="minorAscii" w:hAnsiTheme="minorAscii"/>
                        </w:rPr>
                      </w:pPr>
                      <w:bookmarkStart w:id="312" w:name="bookmark670"/>
                      <w:bookmarkEnd w:id="312"/>
                      <w:r>
                        <w:rPr>
                          <w:rFonts w:asciiTheme="minorAscii" w:hAnsiTheme="minorAscii"/>
                        </w:rPr>
                        <w:t>大写金额与小写金额不一致的,</w:t>
                      </w:r>
                    </w:p>
                    <w:p w14:paraId="01ECA412">
                      <w:pPr>
                        <w:spacing w:line="300" w:lineRule="auto"/>
                        <w:rPr>
                          <w:rFonts w:asciiTheme="minorAscii" w:hAnsiTheme="minorAscii"/>
                        </w:rPr>
                      </w:pPr>
                      <w:bookmarkStart w:id="313" w:name="bookmark671"/>
                      <w:bookmarkEnd w:id="313"/>
                      <w:r>
                        <w:rPr>
                          <w:rFonts w:asciiTheme="minorAscii" w:hAnsiTheme="minorAscii"/>
                        </w:rPr>
                        <w:t>总价金额与单价金额不一致的, 错误的除外；</w:t>
                      </w:r>
                    </w:p>
                  </w:txbxContent>
                </v:textbox>
              </v:shape>
            </w:pict>
          </mc:Fallback>
        </mc:AlternateConten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选择直接转换采购方式采购的，评审小组按照本章第5条</w:t>
      </w:r>
      <w:r>
        <w:rPr>
          <w:rFonts w:ascii="宋体" w:hAnsi="宋体" w:eastAsia="宋体" w:cs="宋体"/>
          <w:color w:val="000000" w:themeColor="text1"/>
          <w:spacing w:val="0"/>
          <w:w w:val="100"/>
          <w:kern w:val="2"/>
          <w:position w:val="0"/>
          <w:sz w:val="24"/>
          <w:szCs w:val="24"/>
          <w:highlight w:val="none"/>
          <w:u w:val="none"/>
          <w:shd w:val="clear" w:color="auto" w:fill="auto"/>
          <w:lang w:val="zh-CN" w:eastAsia="zh-CN" w:bidi="zh-TW"/>
          <w14:textFill>
            <w14:solidFill>
              <w14:schemeClr w14:val="tx1"/>
            </w14:solidFill>
          </w14:textFill>
        </w:rPr>
        <w:t>“直</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接转换采购方式评审程序”重新评审。除了釆购人与供应商双方提出修改补充并接受新的条件和要求外, 原采购文件与原响应文件对采购人和供应商仍然具有相应约束力。</w:t>
      </w:r>
    </w:p>
    <w:p w14:paraId="622246E1">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pPr>
      <w:bookmarkStart w:id="106" w:name="_Toc9251"/>
      <w:bookmarkStart w:id="107" w:name="_Toc15718"/>
      <w:bookmarkStart w:id="108" w:name="_Toc32320"/>
      <w:bookmarkStart w:id="109" w:name="_Toc6886"/>
      <w:bookmarkStart w:id="110" w:name="_Toc23336"/>
      <w:r>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t>3</w:t>
      </w: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t>详细评审标准和程序(综合评分法)</w:t>
      </w:r>
      <w:bookmarkEnd w:id="106"/>
      <w:bookmarkEnd w:id="107"/>
      <w:bookmarkEnd w:id="108"/>
      <w:bookmarkEnd w:id="109"/>
      <w:bookmarkEnd w:id="110"/>
    </w:p>
    <w:p w14:paraId="7D98A0CC">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pPr>
      <w:bookmarkStart w:id="111" w:name="_Toc9736"/>
      <w:bookmarkStart w:id="112" w:name="_Toc14790"/>
      <w:bookmarkStart w:id="113" w:name="_Toc3905"/>
      <w:bookmarkStart w:id="114" w:name="_Toc27592"/>
      <w:bookmarkStart w:id="115" w:name="_Toc3429"/>
      <w:r>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t>3.1分值构成</w:t>
      </w:r>
      <w:bookmarkEnd w:id="111"/>
      <w:bookmarkEnd w:id="112"/>
      <w:bookmarkEnd w:id="113"/>
      <w:bookmarkEnd w:id="114"/>
      <w:bookmarkEnd w:id="115"/>
    </w:p>
    <w:p w14:paraId="3BC76388">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bookmarkStart w:id="116" w:name="bookmark677"/>
      <w:bookmarkEnd w:id="116"/>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1</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商务部分：见评审办法前附表；</w:t>
      </w:r>
    </w:p>
    <w:p w14:paraId="536AF30F">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bookmarkStart w:id="117" w:name="bookmark678"/>
      <w:bookmarkEnd w:id="117"/>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2</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技术部分：见评审办法前附表；</w:t>
      </w:r>
    </w:p>
    <w:p w14:paraId="5DB57A3F">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pPr>
      <w:bookmarkStart w:id="118" w:name="bookmark679"/>
      <w:bookmarkEnd w:id="118"/>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3</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）报价：见评审办法前附表；</w:t>
      </w:r>
    </w:p>
    <w:p w14:paraId="03AEBCE2">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pPr>
      <w:bookmarkStart w:id="119" w:name="bookmark680"/>
      <w:bookmarkEnd w:id="119"/>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4</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）其他评分因素：见评审办法前附表。</w:t>
      </w:r>
    </w:p>
    <w:p w14:paraId="409D88FF">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pPr>
      <w:bookmarkStart w:id="120" w:name="_Toc11342"/>
      <w:bookmarkStart w:id="121" w:name="_Toc13000"/>
      <w:bookmarkStart w:id="122" w:name="_Toc25021"/>
      <w:bookmarkStart w:id="123" w:name="_Toc24836"/>
      <w:bookmarkStart w:id="124" w:name="_Toc3039"/>
      <w:r>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t>3.2评审基准价计算</w:t>
      </w:r>
      <w:bookmarkEnd w:id="120"/>
      <w:bookmarkEnd w:id="121"/>
      <w:bookmarkEnd w:id="122"/>
      <w:bookmarkEnd w:id="123"/>
      <w:bookmarkEnd w:id="124"/>
    </w:p>
    <w:p w14:paraId="0363F818">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bookmarkStart w:id="125" w:name="bookmark681"/>
      <w:bookmarkEnd w:id="125"/>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1</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评审价格：评审价格为按照本章第</w:t>
      </w:r>
      <w:r>
        <w:rPr>
          <w:rFonts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2.2.2</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项规定确定的价格；</w:t>
      </w:r>
    </w:p>
    <w:p w14:paraId="666FEC0F">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bookmarkStart w:id="126" w:name="bookmark682"/>
      <w:bookmarkEnd w:id="126"/>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2</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评审基准价计算方法：</w:t>
      </w:r>
    </w:p>
    <w:p w14:paraId="1E5C7891">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方法一：评审基准价=评审价格平均值(即通过初步评审的所有供应商评审价格的算术平均值)。</w:t>
      </w:r>
    </w:p>
    <w:p w14:paraId="796B09F0">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方法二：评审基准价=评审价格平均值(即通过初步评审的所有供应商评审价格的算术平均值)</w:t>
      </w:r>
      <w:r>
        <w:rPr>
          <w:rFonts w:hint="default"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评审基准价系数，评审基准价系数的取值见评审办法前附表。</w:t>
      </w:r>
    </w:p>
    <w:p w14:paraId="389A9E5B">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方法三：评审基准价=通过初步评审的所有供应商的最低评审价格。</w:t>
      </w:r>
    </w:p>
    <w:p w14:paraId="2E42899B">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方法四：采购人确定的其他方法。</w:t>
      </w:r>
    </w:p>
    <w:p w14:paraId="6685A46F">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评审基准价计算方法的选择见评审办法前附表。</w:t>
      </w:r>
    </w:p>
    <w:p w14:paraId="571EC324">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pPr>
      <w:bookmarkStart w:id="127" w:name="_Toc9265"/>
      <w:bookmarkStart w:id="128" w:name="_Toc18406"/>
      <w:bookmarkStart w:id="129" w:name="_Toc8790"/>
      <w:bookmarkStart w:id="130" w:name="_Toc22976"/>
      <w:bookmarkStart w:id="131" w:name="_Toc28687"/>
      <w:r>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t>3.3评分标准</w:t>
      </w:r>
      <w:bookmarkEnd w:id="127"/>
      <w:bookmarkEnd w:id="128"/>
      <w:bookmarkEnd w:id="129"/>
      <w:bookmarkEnd w:id="130"/>
      <w:bookmarkEnd w:id="131"/>
    </w:p>
    <w:p w14:paraId="06E0E8CA">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bookmarkStart w:id="132" w:name="bookmark683"/>
      <w:bookmarkEnd w:id="132"/>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1</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商务评分标准：见评审办法前附表；</w:t>
      </w:r>
    </w:p>
    <w:p w14:paraId="30B358AC">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bookmarkStart w:id="133" w:name="bookmark684"/>
      <w:bookmarkEnd w:id="133"/>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2</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技术评分标准：见评审办法前附表；</w:t>
      </w:r>
    </w:p>
    <w:p w14:paraId="43D73F36">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bookmarkStart w:id="134" w:name="bookmark685"/>
      <w:bookmarkEnd w:id="134"/>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3</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报价评分标准：</w:t>
      </w:r>
    </w:p>
    <w:p w14:paraId="5A5C3225">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报价得分可采用如下方法计算:</w:t>
      </w:r>
    </w:p>
    <w:p w14:paraId="2DA3340B">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方法一：偏差率=(供应商评审价格-评审基准价)/评审基准价</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×lOO%</w:t>
      </w:r>
    </w:p>
    <w:p w14:paraId="150C6B22">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bookmarkStart w:id="135" w:name="bookmark686"/>
      <w:bookmarkEnd w:id="135"/>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如果供应商的评审</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CN" w:eastAsia="zh-CN" w:bidi="zh-TW"/>
          <w14:textFill>
            <w14:solidFill>
              <w14:schemeClr w14:val="tx1"/>
            </w14:solidFill>
          </w14:textFill>
        </w:rPr>
        <w:t>价格﹥</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评审基准价，则报价得分</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=F</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偏差率</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×lOO×E1</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p>
    <w:p w14:paraId="06C4C730">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bookmarkStart w:id="136" w:name="bookmark687"/>
      <w:bookmarkEnd w:id="136"/>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如果供应商的评审价格</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评审基准价，则报价得分</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=F+</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偏差率</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×100×E2</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p>
    <w:p w14:paraId="75A7DFA8">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其中</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F</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为本章前附表第</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3</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1(3)项规定的报价所占的分值；</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E1</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是评审价格每高于评审基准价一个百分点的扣分值、</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E2</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是评审价格每低于评审基准价一个百分点的扣分值，</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E1</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可大于或等于</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E2</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w:t>
      </w:r>
    </w:p>
    <w:p w14:paraId="25CF78BB">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E1、E2</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的取值见评审办法前附表。</w:t>
      </w:r>
    </w:p>
    <w:p w14:paraId="564023D5">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方法二：报价得分=(通过初步评审的所有供应商的最低评审价格/供应商评审价 格)</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F, F</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为本章前附表第</w:t>
      </w:r>
      <w:r>
        <w:rPr>
          <w:rFonts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 xml:space="preserve">3.1 </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(3)项规定的报价所占的分值。</w:t>
      </w:r>
    </w:p>
    <w:p w14:paraId="5344B709">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方法三：采购人确定的其他方法。</w:t>
      </w:r>
    </w:p>
    <w:p w14:paraId="04AE64D6">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报价得分计算方法见评审办法前附表。</w:t>
      </w:r>
    </w:p>
    <w:p w14:paraId="7476888B">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4</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）其他因素评分标准：见评审办法前附表。</w:t>
      </w:r>
    </w:p>
    <w:p w14:paraId="14C05C9D">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pPr>
      <w:bookmarkStart w:id="137" w:name="_Toc11755"/>
      <w:bookmarkStart w:id="138" w:name="_Toc29249"/>
      <w:bookmarkStart w:id="139" w:name="_Toc29100"/>
      <w:bookmarkStart w:id="140" w:name="_Toc10665"/>
      <w:bookmarkStart w:id="141" w:name="_Toc6514"/>
      <w:r>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t>3.4评分</w:t>
      </w:r>
      <w:bookmarkEnd w:id="137"/>
      <w:bookmarkEnd w:id="138"/>
      <w:bookmarkEnd w:id="139"/>
      <w:bookmarkEnd w:id="140"/>
      <w:bookmarkEnd w:id="141"/>
    </w:p>
    <w:p w14:paraId="7E56694D">
      <w:pPr>
        <w:keepNext w:val="0"/>
        <w:keepLines/>
        <w:pageBreakBefore w:val="0"/>
        <w:widowControl/>
        <w:shd w:val="clear" w:color="auto" w:fill="auto"/>
        <w:kinsoku/>
        <w:wordWrap w:val="0"/>
        <w:overflowPunct/>
        <w:topLinePunct/>
        <w:autoSpaceDE/>
        <w:autoSpaceDN/>
        <w:bidi w:val="0"/>
        <w:adjustRightInd w:val="0"/>
        <w:snapToGrid w:val="0"/>
        <w:spacing w:before="0" w:after="80" w:line="400" w:lineRule="exact"/>
        <w:ind w:left="0" w:right="0" w:firstLine="480" w:firstLineChars="200"/>
        <w:jc w:val="left"/>
        <w:textAlignment w:val="auto"/>
        <w:rPr>
          <w:rFonts w:ascii="宋体" w:hAnsi="宋体" w:eastAsia="宋体" w:cs="宋体"/>
          <w:color w:val="000000" w:themeColor="text1"/>
          <w:kern w:val="2"/>
          <w:sz w:val="21"/>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评审小组成员按照评分标准独立对供应商的商务、技术和其他因素进行评分。报价评分由评审小组统一计算。各项得分汇总后为该成员给供应商的评分总分。评分分值计算保留小数点后两位，小数点后第三位</w:t>
      </w:r>
      <w:r>
        <w:rPr>
          <w:rFonts w:ascii="宋体" w:hAnsi="宋体" w:eastAsia="宋体" w:cs="宋体"/>
          <w:color w:val="000000" w:themeColor="text1"/>
          <w:spacing w:val="0"/>
          <w:w w:val="100"/>
          <w:kern w:val="2"/>
          <w:position w:val="0"/>
          <w:sz w:val="24"/>
          <w:szCs w:val="24"/>
          <w:highlight w:val="none"/>
          <w:u w:val="none"/>
          <w:shd w:val="clear" w:color="auto" w:fill="auto"/>
          <w:lang w:val="zh-CN" w:eastAsia="zh-CN" w:bidi="zh-TW"/>
          <w14:textFill>
            <w14:solidFill>
              <w14:schemeClr w14:val="tx1"/>
            </w14:solidFill>
          </w14:textFill>
        </w:rPr>
        <w:t>“四</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舍五入”。</w:t>
      </w:r>
    </w:p>
    <w:p w14:paraId="0105B679">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pPr>
      <w:bookmarkStart w:id="142" w:name="_Toc26984"/>
      <w:bookmarkStart w:id="143" w:name="_Toc26991"/>
      <w:bookmarkStart w:id="144" w:name="_Toc3745"/>
      <w:bookmarkStart w:id="145" w:name="_Toc798"/>
      <w:bookmarkStart w:id="146" w:name="_Toc32221"/>
      <w:r>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t>3.5汇总</w:t>
      </w:r>
      <w:bookmarkEnd w:id="142"/>
      <w:bookmarkEnd w:id="143"/>
      <w:bookmarkEnd w:id="144"/>
      <w:bookmarkEnd w:id="145"/>
      <w:bookmarkEnd w:id="146"/>
    </w:p>
    <w:p w14:paraId="3B98B290">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评审小组汇总每个成员对供应商的评分总分。</w:t>
      </w:r>
    </w:p>
    <w:p w14:paraId="70556F4D">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pPr>
      <w:bookmarkStart w:id="147" w:name="_Toc5206"/>
      <w:bookmarkStart w:id="148" w:name="_Toc15476"/>
      <w:bookmarkStart w:id="149" w:name="_Toc31365"/>
      <w:bookmarkStart w:id="150" w:name="_Toc6003"/>
      <w:bookmarkStart w:id="151" w:name="_Toc8939"/>
      <w:r>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t>3.6排序</w:t>
      </w:r>
      <w:bookmarkEnd w:id="147"/>
      <w:bookmarkEnd w:id="148"/>
      <w:bookmarkEnd w:id="149"/>
      <w:bookmarkEnd w:id="150"/>
      <w:bookmarkEnd w:id="151"/>
    </w:p>
    <w:p w14:paraId="0BD5A094">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小组对供应商最终得分进行比较后，可以按照供应商最终得分由高到低的顺序对供应商排序。最终得分相等时，以评审价格低的优先；评审价格也相等的，以技术得分高的优先；如果技术得分也相等，按照评审办法前附表的规定确定供应商优先 顺序。</w:t>
      </w:r>
    </w:p>
    <w:p w14:paraId="1458333B">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pPr>
      <w:bookmarkStart w:id="152" w:name="_Toc4331"/>
      <w:bookmarkStart w:id="153" w:name="_Toc13907"/>
      <w:bookmarkStart w:id="154" w:name="_Toc8463"/>
      <w:bookmarkStart w:id="155" w:name="_Toc16417"/>
      <w:bookmarkStart w:id="156" w:name="_Toc19525"/>
      <w:r>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t>3.7特殊情形处理</w:t>
      </w:r>
      <w:bookmarkEnd w:id="152"/>
      <w:bookmarkEnd w:id="153"/>
      <w:bookmarkEnd w:id="154"/>
      <w:bookmarkEnd w:id="155"/>
      <w:bookmarkEnd w:id="156"/>
    </w:p>
    <w:p w14:paraId="47E76D4C">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当通过初步评审的供应商数量未超过询比釆购邀请书第</w:t>
      </w:r>
      <w:r>
        <w:rPr>
          <w:rFonts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1.</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6款规定的成交供应商数量、评审小组认为供应商的响应报价合理且物有所值时，不再进行详细评审，直接推荐上述供应商为候选成交供应商。</w:t>
      </w:r>
    </w:p>
    <w:p w14:paraId="61C374FD">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pPr>
      <w:bookmarkStart w:id="157" w:name="_Toc29184"/>
      <w:bookmarkStart w:id="158" w:name="_Toc9657"/>
      <w:bookmarkStart w:id="159" w:name="_Toc16702"/>
      <w:bookmarkStart w:id="160" w:name="_Toc19618"/>
      <w:bookmarkStart w:id="161" w:name="_Toc1054"/>
      <w:r>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t>4评审结果</w:t>
      </w:r>
      <w:bookmarkEnd w:id="157"/>
      <w:bookmarkEnd w:id="158"/>
      <w:bookmarkEnd w:id="159"/>
      <w:bookmarkEnd w:id="160"/>
      <w:bookmarkEnd w:id="161"/>
    </w:p>
    <w:p w14:paraId="3A2EE6FF">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pPr>
      <w:bookmarkStart w:id="162" w:name="_Toc22074"/>
      <w:bookmarkStart w:id="163" w:name="_Toc9085"/>
      <w:bookmarkStart w:id="164" w:name="_Toc31670"/>
      <w:bookmarkStart w:id="165" w:name="_Toc2318"/>
      <w:bookmarkStart w:id="166" w:name="_Toc8556"/>
      <w:r>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t>4.1提交书面评审报告</w:t>
      </w:r>
      <w:bookmarkEnd w:id="162"/>
      <w:bookmarkEnd w:id="163"/>
      <w:bookmarkEnd w:id="164"/>
      <w:bookmarkEnd w:id="165"/>
      <w:bookmarkEnd w:id="166"/>
    </w:p>
    <w:p w14:paraId="7CCE261B">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评审小组完成评审后，应当向采购人提交书面评审报告。</w:t>
      </w:r>
    </w:p>
    <w:p w14:paraId="0512F184">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pPr>
      <w:bookmarkStart w:id="167" w:name="bookmark688"/>
      <w:bookmarkEnd w:id="167"/>
      <w:bookmarkStart w:id="168" w:name="_Toc3999"/>
      <w:bookmarkStart w:id="169" w:name="_Toc15497"/>
      <w:bookmarkStart w:id="170" w:name="_Toc19045"/>
      <w:bookmarkStart w:id="171" w:name="_Toc24652"/>
      <w:bookmarkStart w:id="172" w:name="_Toc29805"/>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4.</w:t>
      </w:r>
      <w:r>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t>2推荐候选成交供应商排序要求及数量</w:t>
      </w:r>
      <w:bookmarkEnd w:id="168"/>
      <w:bookmarkEnd w:id="169"/>
      <w:bookmarkEnd w:id="170"/>
      <w:bookmarkEnd w:id="171"/>
      <w:bookmarkEnd w:id="172"/>
    </w:p>
    <w:p w14:paraId="2D4AB46D">
      <w:pPr>
        <w:keepNext w:val="0"/>
        <w:keepLines w:val="0"/>
        <w:pageBreakBefore w:val="0"/>
        <w:widowControl w:val="0"/>
        <w:shd w:val="clear" w:color="auto" w:fill="auto"/>
        <w:kinsoku/>
        <w:wordWrap/>
        <w:overflowPunct/>
        <w:topLinePunct w:val="0"/>
        <w:autoSpaceDE/>
        <w:autoSpaceDN/>
        <w:bidi w:val="0"/>
        <w:adjustRightInd/>
        <w:snapToGrid/>
        <w:spacing w:before="0" w:line="400" w:lineRule="exact"/>
        <w:ind w:left="0" w:right="0" w:firstLine="480" w:firstLineChars="200"/>
        <w:jc w:val="left"/>
        <w:textAlignment w:val="auto"/>
        <w:rPr>
          <w:rFonts w:ascii="宋体" w:hAnsi="宋体" w:eastAsia="宋体" w:cs="宋体"/>
          <w:color w:val="000000" w:themeColor="text1"/>
          <w:kern w:val="2"/>
          <w:sz w:val="21"/>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评审小组应在书面评审报告中按照供应商排列的优先顺序向采购人推荐候选成交供应商(排序或不排序)。候选成交供应商的排序要求及数量见第二章</w:t>
      </w:r>
      <w:r>
        <w:rPr>
          <w:rFonts w:ascii="宋体" w:hAnsi="宋体" w:eastAsia="宋体" w:cs="宋体"/>
          <w:color w:val="000000" w:themeColor="text1"/>
          <w:spacing w:val="0"/>
          <w:w w:val="100"/>
          <w:kern w:val="2"/>
          <w:position w:val="0"/>
          <w:sz w:val="24"/>
          <w:szCs w:val="24"/>
          <w:highlight w:val="none"/>
          <w:u w:val="none"/>
          <w:shd w:val="clear" w:color="auto" w:fill="auto"/>
          <w:lang w:val="zh-CN" w:eastAsia="zh-CN" w:bidi="zh-TW"/>
          <w14:textFill>
            <w14:solidFill>
              <w14:schemeClr w14:val="tx1"/>
            </w14:solidFill>
          </w14:textFill>
        </w:rPr>
        <w:t>“供</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应商须知”。</w:t>
      </w:r>
    </w:p>
    <w:p w14:paraId="6889CCDA">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pPr>
      <w:bookmarkStart w:id="173" w:name="_Toc9658"/>
      <w:bookmarkStart w:id="174" w:name="_Toc9246"/>
      <w:bookmarkStart w:id="175" w:name="_Toc1240"/>
      <w:bookmarkStart w:id="176" w:name="_Toc28934"/>
      <w:bookmarkStart w:id="177" w:name="_Toc13966"/>
      <w:r>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t>5直接转换采购方式评审程序</w:t>
      </w:r>
      <w:bookmarkEnd w:id="173"/>
      <w:bookmarkEnd w:id="174"/>
      <w:bookmarkEnd w:id="175"/>
      <w:bookmarkEnd w:id="176"/>
      <w:bookmarkEnd w:id="177"/>
    </w:p>
    <w:p w14:paraId="3CA0FD4B">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pPr>
      <w:bookmarkStart w:id="178" w:name="_Toc22113"/>
      <w:bookmarkStart w:id="179" w:name="_Toc29963"/>
      <w:bookmarkStart w:id="180" w:name="_Toc32429"/>
      <w:bookmarkStart w:id="181" w:name="_Toc12825"/>
      <w:bookmarkStart w:id="182" w:name="_Toc27891"/>
      <w:r>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t>5.1初步评审</w:t>
      </w:r>
      <w:bookmarkEnd w:id="178"/>
      <w:bookmarkEnd w:id="179"/>
      <w:bookmarkEnd w:id="180"/>
      <w:bookmarkEnd w:id="181"/>
      <w:bookmarkEnd w:id="182"/>
    </w:p>
    <w:p w14:paraId="35320EF9">
      <w:pPr>
        <w:keepNext w:val="0"/>
        <w:keepLines w:val="0"/>
        <w:pageBreakBefore w:val="0"/>
        <w:widowControl w:val="0"/>
        <w:shd w:val="clear" w:color="auto" w:fill="auto"/>
        <w:kinsoku/>
        <w:wordWrap/>
        <w:overflowPunct/>
        <w:topLinePunct w:val="0"/>
        <w:autoSpaceDE/>
        <w:autoSpaceDN/>
        <w:bidi w:val="0"/>
        <w:adjustRightInd w:val="0"/>
        <w:snapToGrid w:val="0"/>
        <w:spacing w:before="0" w:after="0" w:line="400" w:lineRule="exact"/>
        <w:ind w:left="0"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pPr>
      <w:bookmarkStart w:id="183" w:name="bookmark689"/>
      <w:bookmarkEnd w:id="183"/>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5.1.1</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评审小组依据本章第2.1款规定的标准对供应商递交的响应文件进行初步评审，判断响应文件的形式是否符合要求，供应商是否符合资格条件，响应文件是否实质性响应采购文件的要求。只有以上评审合格的响应文件才可通过初步评审。</w:t>
      </w:r>
    </w:p>
    <w:p w14:paraId="34B4D630">
      <w:pPr>
        <w:keepNext w:val="0"/>
        <w:keepLines w:val="0"/>
        <w:pageBreakBefore w:val="0"/>
        <w:widowControl w:val="0"/>
        <w:shd w:val="clear" w:color="auto" w:fill="auto"/>
        <w:kinsoku/>
        <w:wordWrap/>
        <w:overflowPunct/>
        <w:topLinePunct w:val="0"/>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kern w:val="2"/>
          <w:sz w:val="21"/>
          <w:szCs w:val="24"/>
          <w:highlight w:val="none"/>
          <w:u w:val="none"/>
          <w:shd w:val="clear" w:color="auto" w:fill="auto"/>
          <w:lang w:val="zh-TW" w:eastAsia="zh-TW"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5.1.2</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响应文件的形式或供应商资格不符合采购文件的要求、响应文件未实质性响应采购文件的要求，或响应文件中有含义不明确、同类问题表述不一致或有明显文字和计算错误的内容，评审小组应要求供应商在规定时间内进行澄清、说明和补正。供应商澄清、说明和补正的内容应由法定代表人（单位负责人）或其授权的代理人签字或 加盖单位章。澄清、说明和补正的内容作为响应文件的组成部分。</w:t>
      </w:r>
    </w:p>
    <w:p w14:paraId="23DB2145">
      <w:pPr>
        <w:keepNext w:val="0"/>
        <w:keepLines w:val="0"/>
        <w:pageBreakBefore w:val="0"/>
        <w:widowControl w:val="0"/>
        <w:shd w:val="clear" w:color="auto" w:fill="auto"/>
        <w:kinsoku/>
        <w:wordWrap/>
        <w:overflowPunct/>
        <w:topLinePunct w:val="0"/>
        <w:autoSpaceDE/>
        <w:autoSpaceDN/>
        <w:bidi w:val="0"/>
        <w:adjustRightInd w:val="0"/>
        <w:snapToGrid w:val="0"/>
        <w:spacing w:before="0" w:after="0" w:line="400" w:lineRule="exact"/>
        <w:ind w:left="0"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5.1.3</w:t>
      </w: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只有形式评审和资格评审合格且实质性响应采购文件要求的供应商才可通过初步评审。经供应商澄清、说明和补正后仍未通过初步评审的响应文件将被视为无效, 评审小组应告知有关供应商。</w:t>
      </w:r>
    </w:p>
    <w:p w14:paraId="0DA7AF8C">
      <w:pPr>
        <w:keepNext w:val="0"/>
        <w:keepLines w:val="0"/>
        <w:pageBreakBefore w:val="0"/>
        <w:widowControl w:val="0"/>
        <w:shd w:val="clear" w:color="auto" w:fill="auto"/>
        <w:kinsoku/>
        <w:wordWrap/>
        <w:overflowPunct/>
        <w:topLinePunct w:val="0"/>
        <w:autoSpaceDE/>
        <w:autoSpaceDN/>
        <w:bidi w:val="0"/>
        <w:adjustRightInd w:val="0"/>
        <w:snapToGrid w:val="0"/>
        <w:spacing w:before="0" w:after="0" w:line="400" w:lineRule="exact"/>
        <w:ind w:left="0" w:right="0" w:firstLine="480" w:firstLineChars="200"/>
        <w:jc w:val="left"/>
        <w:textAlignment w:val="auto"/>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pPr>
      <w:r>
        <w:rPr>
          <w:rFonts w:hint="eastAsia"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5.1.4当通过初步评审的供应商数量大于询比采购公告/询比采购邀请书第1.6款规 定的成交供应商数量时，可以改为参照谈判方式继续评审选择成交供应商。</w:t>
      </w:r>
    </w:p>
    <w:p w14:paraId="0368E389">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当通过初步评审的供应商数量等于询比釆购公告/询比采购邀请书第</w:t>
      </w:r>
      <w:r>
        <w:rPr>
          <w:rFonts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1.</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6款规定的 成交供应商数量时，可以改为参照直接采购方式继续评审选择成交供应商。</w:t>
      </w:r>
    </w:p>
    <w:p w14:paraId="30CB9BEA">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当询比采购公告/询比采购邀请书第</w:t>
      </w:r>
      <w:r>
        <w:rPr>
          <w:rFonts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1.6</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款选择多家成交供应商，通过初步评审的 供应商数量小于约定成交供应商数量且大于等于一家的，可以改为参照直接采购方式 继续评审选择一部分成交供应商，或者终止全部采购，重新组织釆购选择全部成交供 应商。</w:t>
      </w:r>
    </w:p>
    <w:p w14:paraId="34B867E3">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初步评审后，当所有响应文件均无效时，应重新组织采购。</w:t>
      </w:r>
    </w:p>
    <w:p w14:paraId="736964F2">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pPr>
      <w:bookmarkStart w:id="184" w:name="_Toc18006"/>
      <w:bookmarkStart w:id="185" w:name="_Toc26592"/>
      <w:bookmarkStart w:id="186" w:name="_Toc32271"/>
      <w:bookmarkStart w:id="187" w:name="_Toc17204"/>
      <w:bookmarkStart w:id="188" w:name="_Toc5109"/>
      <w:r>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t>5.2转换采购方式</w:t>
      </w:r>
      <w:bookmarkEnd w:id="184"/>
      <w:bookmarkEnd w:id="185"/>
      <w:bookmarkEnd w:id="186"/>
      <w:bookmarkEnd w:id="187"/>
      <w:bookmarkEnd w:id="188"/>
    </w:p>
    <w:p w14:paraId="115D63A9">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pPr>
      <w:bookmarkStart w:id="189" w:name="_Toc27141"/>
      <w:bookmarkStart w:id="190" w:name="_Toc2901"/>
      <w:bookmarkStart w:id="191" w:name="_Toc20102"/>
      <w:bookmarkStart w:id="192" w:name="_Toc27724"/>
      <w:bookmarkStart w:id="193" w:name="_Toc24678"/>
      <w:r>
        <w:rPr>
          <w:rFonts w:hint="eastAsia" w:asciiTheme="minorEastAsia" w:hAnsiTheme="minorEastAsia" w:eastAsiaTheme="minorEastAsia" w:cstheme="minorEastAsia"/>
          <w:b/>
          <w:bCs/>
          <w:color w:val="000000" w:themeColor="text1"/>
          <w:sz w:val="28"/>
          <w:szCs w:val="28"/>
          <w:lang w:val="en-US" w:eastAsia="en-US"/>
          <w14:textFill>
            <w14:solidFill>
              <w14:schemeClr w14:val="tx1"/>
            </w14:solidFill>
          </w14:textFill>
        </w:rPr>
        <w:t>5.2.1</w:t>
      </w:r>
      <w:r>
        <w:rPr>
          <w:rFonts w:hint="eastAsia" w:asciiTheme="minorEastAsia" w:hAnsiTheme="minorEastAsia" w:eastAsiaTheme="minorEastAsia" w:cstheme="minorEastAsia"/>
          <w:b/>
          <w:bCs/>
          <w:color w:val="000000" w:themeColor="text1"/>
          <w:sz w:val="28"/>
          <w:szCs w:val="28"/>
          <w:lang w:val="zh-TW" w:eastAsia="zh-TW"/>
          <w14:textFill>
            <w14:solidFill>
              <w14:schemeClr w14:val="tx1"/>
            </w14:solidFill>
          </w14:textFill>
        </w:rPr>
        <w:t>参照谈判采购方式评审</w:t>
      </w:r>
      <w:bookmarkEnd w:id="189"/>
      <w:bookmarkEnd w:id="190"/>
      <w:bookmarkEnd w:id="191"/>
      <w:bookmarkEnd w:id="192"/>
      <w:bookmarkEnd w:id="193"/>
    </w:p>
    <w:p w14:paraId="6175DCC5">
      <w:pPr>
        <w:keepNext w:val="0"/>
        <w:keepLines w:val="0"/>
        <w:pageBreakBefore w:val="0"/>
        <w:widowControl w:val="0"/>
        <w:shd w:val="clear" w:color="auto" w:fill="auto"/>
        <w:kinsoku/>
        <w:wordWrap/>
        <w:overflowPunct/>
        <w:topLinePunct w:val="0"/>
        <w:autoSpaceDE/>
        <w:autoSpaceDN/>
        <w:bidi w:val="0"/>
        <w:adjustRightInd w:val="0"/>
        <w:snapToGrid w:val="0"/>
        <w:spacing w:before="0" w:after="0" w:line="400" w:lineRule="exact"/>
        <w:ind w:right="0" w:firstLine="480" w:firstLineChars="200"/>
        <w:jc w:val="left"/>
        <w:textAlignment w:val="auto"/>
        <w:rPr>
          <w:rFonts w:ascii="宋体" w:hAnsi="宋体" w:eastAsia="宋体" w:cs="宋体"/>
          <w:color w:val="000000" w:themeColor="text1"/>
          <w:kern w:val="2"/>
          <w:sz w:val="21"/>
          <w:szCs w:val="24"/>
          <w:highlight w:val="none"/>
          <w:u w:val="none"/>
          <w:shd w:val="clear" w:color="auto" w:fill="auto"/>
          <w:lang w:val="zh-TW" w:eastAsia="zh-TW" w:bidi="zh-TW"/>
          <w14:textFill>
            <w14:solidFill>
              <w14:schemeClr w14:val="tx1"/>
            </w14:solidFill>
          </w14:textFill>
        </w:rPr>
      </w:pPr>
      <w:bookmarkStart w:id="194" w:name="bookmark690"/>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bookmarkEnd w:id="194"/>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1）</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谈判。</w:t>
      </w:r>
    </w:p>
    <w:p w14:paraId="0F41CE0F">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bookmarkStart w:id="195" w:name="bookmark691"/>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1</w:t>
      </w:r>
      <w:bookmarkEnd w:id="195"/>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评审小组应按照供应商递交响应文件的顺序或评审小组抽签确定的顺序与通过 初步评审的供应商逐一进行谈判。评审小组可以根据谈判情况决定谈判轮次，并给予 所有参加谈判的供应商平等的谈判机会。在谈判过程中，评审小组可根据谈判情况修 改和补充釆购文件中的非实质性内容，但不得改变评审标准或可能影响初步评审结果 的内容。</w:t>
      </w:r>
    </w:p>
    <w:p w14:paraId="3C4E4DE8">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bookmarkStart w:id="196" w:name="bookmark692"/>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2</w:t>
      </w:r>
      <w:bookmarkEnd w:id="196"/>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供应商的法定代表人（单位负责人）或其授权的代理人应参加谈判。供应商 的法定代表人（单位负责人）或其授权的代理人在谈判中作出的承诺构成响应文件的 组成部分。</w:t>
      </w:r>
      <w:bookmarkStart w:id="197" w:name="bookmark693"/>
    </w:p>
    <w:p w14:paraId="0831B6B4">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3</w:t>
      </w:r>
      <w:bookmarkEnd w:id="197"/>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谈判结束后，评审小组将要求所有参加谈判的供应商在规定时间内递交最终报价。最终报价应由供应商的法定代表人（单位负责人）或其授权的代理人签字或加盖单位章。最终报价是供应商响应文件的组成部分。</w:t>
      </w:r>
    </w:p>
    <w:p w14:paraId="28A3D86B">
      <w:pPr>
        <w:keepNext w:val="0"/>
        <w:keepLines w:val="0"/>
        <w:pageBreakBefore w:val="0"/>
        <w:widowControl w:val="0"/>
        <w:numPr>
          <w:ilvl w:val="0"/>
          <w:numId w:val="0"/>
        </w:numPr>
        <w:shd w:val="clear" w:color="auto" w:fill="auto"/>
        <w:tabs>
          <w:tab w:val="left" w:pos="991"/>
        </w:tabs>
        <w:kinsoku/>
        <w:overflowPunct/>
        <w:autoSpaceDE/>
        <w:autoSpaceDN/>
        <w:bidi w:val="0"/>
        <w:spacing w:before="0" w:after="0" w:line="400" w:lineRule="exact"/>
        <w:ind w:right="0" w:rightChars="0" w:firstLine="480" w:firstLineChars="200"/>
        <w:jc w:val="left"/>
        <w:textAlignment w:val="auto"/>
        <w:rPr>
          <w:rFonts w:ascii="宋体" w:hAnsi="宋体" w:eastAsia="宋体" w:cs="宋体"/>
          <w:color w:val="000000" w:themeColor="text1"/>
          <w:kern w:val="2"/>
          <w:sz w:val="21"/>
          <w:szCs w:val="24"/>
          <w:highlight w:val="none"/>
          <w:u w:val="none"/>
          <w:shd w:val="clear" w:color="auto" w:fill="auto"/>
          <w:lang w:val="zh-TW" w:eastAsia="zh-TW" w:bidi="zh-TW"/>
          <w14:textFill>
            <w14:solidFill>
              <w14:schemeClr w14:val="tx1"/>
            </w14:solidFill>
          </w14:textFill>
        </w:rPr>
      </w:pPr>
      <w:bookmarkStart w:id="198" w:name="bookmark694"/>
      <w:bookmarkEnd w:id="198"/>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公开开启最终报价。</w:t>
      </w:r>
    </w:p>
    <w:p w14:paraId="680DE1EB">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评审小组将在递交最终报价的截止时间公开开启最终报价，供应商未派代表参加开启会议的，视为默认开启结果。</w:t>
      </w:r>
    </w:p>
    <w:p w14:paraId="68FE1CA1">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bookmarkStart w:id="199" w:name="bookmark695"/>
      <w:bookmarkEnd w:id="199"/>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详细评审。</w:t>
      </w:r>
    </w:p>
    <w:p w14:paraId="7E1EB23A">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评审小组将按本章第3条规定对响应文件及其最终报价进行详细评审。采用综合评分法的，评审小组有权对本章第</w:t>
      </w:r>
      <w:r>
        <w:rPr>
          <w:rFonts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3.</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2项规定的评审基准价和第</w:t>
      </w:r>
      <w:r>
        <w:rPr>
          <w:rFonts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3.</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3(3)目规定的报价评分标准进行调整，但评审小组应在谈判开始前向供应商公布，未公布的，视为评审基准价和报价评分标准不作调整；详细评审标准中除报价评审标准外的其他评审标准不作调整。</w:t>
      </w:r>
    </w:p>
    <w:p w14:paraId="20FFBFAD">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通过谈判后，评审小组认为所有供应商的最终报价仍然不合理的，应向釆购人提出终止采购建议。</w:t>
      </w:r>
    </w:p>
    <w:p w14:paraId="0B3F1CD7">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bookmarkStart w:id="200" w:name="bookmark696"/>
      <w:bookmarkEnd w:id="200"/>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4</w:t>
      </w: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编写评审报告。</w:t>
      </w:r>
    </w:p>
    <w:p w14:paraId="6152481B">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评审小组按本章第</w:t>
      </w:r>
      <w:r>
        <w:rPr>
          <w:rFonts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4.</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2款规定推荐候选成交供应商或按本章第</w:t>
      </w:r>
      <w:r>
        <w:rPr>
          <w:rFonts w:ascii="宋体" w:hAnsi="宋体" w:eastAsia="宋体" w:cs="宋体"/>
          <w:color w:val="000000" w:themeColor="text1"/>
          <w:spacing w:val="0"/>
          <w:w w:val="100"/>
          <w:kern w:val="2"/>
          <w:position w:val="0"/>
          <w:sz w:val="24"/>
          <w:szCs w:val="24"/>
          <w:highlight w:val="none"/>
          <w:u w:val="none"/>
          <w:shd w:val="clear" w:color="auto" w:fill="auto"/>
          <w:lang w:val="en-US" w:eastAsia="en-US" w:bidi="zh-TW"/>
          <w14:textFill>
            <w14:solidFill>
              <w14:schemeClr w14:val="tx1"/>
            </w14:solidFill>
          </w14:textFill>
        </w:rPr>
        <w:t>5.2.</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1(3)规定提</w:t>
      </w:r>
      <w:r>
        <w:rPr>
          <w:rFonts w:hint="eastAsia" w:ascii="宋体" w:hAnsi="宋体" w:eastAsia="宋体" w:cs="宋体"/>
          <w:color w:val="000000" w:themeColor="text1"/>
          <w:spacing w:val="0"/>
          <w:w w:val="100"/>
          <w:kern w:val="2"/>
          <w:position w:val="0"/>
          <w:sz w:val="24"/>
          <w:szCs w:val="24"/>
          <w:highlight w:val="none"/>
          <w:u w:val="none"/>
          <w:shd w:val="clear" w:color="auto" w:fill="auto"/>
          <w:lang w:val="zh-TW" w:eastAsia="zh-CN"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出终止采购建议，并向采购人提交书面评审报告。</w:t>
      </w:r>
    </w:p>
    <w:p w14:paraId="42F320B3">
      <w:pPr>
        <w:keepNext w:val="0"/>
        <w:keepLines w:val="0"/>
        <w:pageBreakBefore w:val="0"/>
        <w:widowControl w:val="0"/>
        <w:shd w:val="clear" w:color="auto" w:fill="auto"/>
        <w:kinsoku/>
        <w:overflowPunct/>
        <w:autoSpaceDE/>
        <w:autoSpaceDN/>
        <w:bidi w:val="0"/>
        <w:spacing w:before="0" w:after="0" w:line="400" w:lineRule="exact"/>
        <w:ind w:left="0" w:right="0" w:firstLine="480" w:firstLineChars="200"/>
        <w:jc w:val="left"/>
        <w:textAlignment w:val="auto"/>
        <w:rPr>
          <w:rFonts w:ascii="Times New Roman" w:hAnsi="Times New Roman" w:eastAsia="Times New Roman" w:cs="Times New Roman"/>
          <w:color w:val="000000" w:themeColor="text1"/>
          <w:spacing w:val="0"/>
          <w:w w:val="100"/>
          <w:kern w:val="2"/>
          <w:position w:val="0"/>
          <w:sz w:val="24"/>
          <w:szCs w:val="24"/>
          <w:highlight w:val="none"/>
          <w:u w:val="none"/>
          <w:shd w:val="clear" w:color="auto" w:fill="auto"/>
          <w:lang w:val="en-US" w:eastAsia="en-US" w:bidi="en-US"/>
          <w14:textFill>
            <w14:solidFill>
              <w14:schemeClr w14:val="tx1"/>
            </w14:solidFill>
          </w14:textFill>
        </w:rPr>
      </w:pPr>
      <w:r>
        <w:rPr>
          <w:rFonts w:ascii="Times New Roman" w:hAnsi="Times New Roman" w:eastAsia="Times New Roman" w:cs="Times New Roman"/>
          <w:color w:val="000000" w:themeColor="text1"/>
          <w:spacing w:val="0"/>
          <w:w w:val="100"/>
          <w:kern w:val="2"/>
          <w:position w:val="0"/>
          <w:sz w:val="24"/>
          <w:szCs w:val="24"/>
          <w:highlight w:val="none"/>
          <w:u w:val="none"/>
          <w:shd w:val="clear" w:color="auto" w:fill="auto"/>
          <w:lang w:val="en-US" w:eastAsia="en-US" w:bidi="en-US"/>
          <w14:textFill>
            <w14:solidFill>
              <w14:schemeClr w14:val="tx1"/>
            </w14:solidFill>
          </w14:textFill>
        </w:rPr>
        <w:t>5.2.2参照直接采购方式评审</w:t>
      </w:r>
    </w:p>
    <w:p w14:paraId="16A325B2">
      <w:pPr>
        <w:keepNext w:val="0"/>
        <w:keepLines w:val="0"/>
        <w:pageBreakBefore w:val="0"/>
        <w:widowControl w:val="0"/>
        <w:numPr>
          <w:ilvl w:val="0"/>
          <w:numId w:val="0"/>
        </w:numPr>
        <w:shd w:val="clear" w:color="auto" w:fill="auto"/>
        <w:tabs>
          <w:tab w:val="left" w:pos="986"/>
        </w:tabs>
        <w:kinsoku/>
        <w:overflowPunct/>
        <w:autoSpaceDE/>
        <w:autoSpaceDN/>
        <w:bidi w:val="0"/>
        <w:spacing w:before="0" w:after="0" w:line="400" w:lineRule="exact"/>
        <w:ind w:right="0" w:rightChars="0" w:firstLine="480" w:firstLineChars="200"/>
        <w:jc w:val="left"/>
        <w:textAlignment w:val="auto"/>
        <w:rPr>
          <w:rFonts w:ascii="宋体" w:hAnsi="宋体" w:eastAsia="宋体" w:cs="宋体"/>
          <w:color w:val="000000" w:themeColor="text1"/>
          <w:kern w:val="2"/>
          <w:sz w:val="21"/>
          <w:szCs w:val="24"/>
          <w:highlight w:val="none"/>
          <w:u w:val="none"/>
          <w:shd w:val="clear" w:color="auto" w:fill="auto"/>
          <w:lang w:val="zh-TW" w:eastAsia="zh-TW" w:bidi="zh-TW"/>
          <w14:textFill>
            <w14:solidFill>
              <w14:schemeClr w14:val="tx1"/>
            </w14:solidFill>
          </w14:textFill>
        </w:rPr>
      </w:pPr>
      <w:bookmarkStart w:id="201" w:name="bookmark697"/>
      <w:bookmarkEnd w:id="201"/>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谈判。</w:t>
      </w:r>
    </w:p>
    <w:p w14:paraId="303E5EB4">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评审小组所有成员集中与供应商进行谈判，供应商的法定代表人(单位负责人) 或其授权的代理人应参加谈判。在谈判过程中，评审小组可根据谈判情况修改和补充 釆购文件中的非实质性内容，但不得改变可能影响初步评审结果的内容。供应商的法 定代表人(单位负责人或其授权的代理人)在谈判中作出的承诺构成响应文件的组成 部分。评审小组可根据需要，安排多轮谈判。</w:t>
      </w:r>
    </w:p>
    <w:p w14:paraId="72B7A29F">
      <w:pPr>
        <w:keepNext w:val="0"/>
        <w:keepLines w:val="0"/>
        <w:pageBreakBefore w:val="0"/>
        <w:widowControl w:val="0"/>
        <w:numPr>
          <w:ilvl w:val="0"/>
          <w:numId w:val="0"/>
        </w:numPr>
        <w:shd w:val="clear" w:color="auto" w:fill="auto"/>
        <w:tabs>
          <w:tab w:val="left" w:pos="1006"/>
        </w:tabs>
        <w:kinsoku/>
        <w:overflowPunct/>
        <w:autoSpaceDE/>
        <w:autoSpaceDN/>
        <w:bidi w:val="0"/>
        <w:spacing w:before="0" w:after="0" w:line="400" w:lineRule="exact"/>
        <w:ind w:right="0" w:rightChars="0" w:firstLine="480" w:firstLineChars="200"/>
        <w:jc w:val="left"/>
        <w:textAlignment w:val="auto"/>
        <w:rPr>
          <w:rFonts w:ascii="宋体" w:hAnsi="宋体" w:eastAsia="宋体" w:cs="宋体"/>
          <w:color w:val="000000" w:themeColor="text1"/>
          <w:kern w:val="2"/>
          <w:sz w:val="21"/>
          <w:szCs w:val="24"/>
          <w:highlight w:val="none"/>
          <w:u w:val="none"/>
          <w:shd w:val="clear" w:color="auto" w:fill="auto"/>
          <w:lang w:val="zh-TW" w:eastAsia="zh-TW" w:bidi="zh-TW"/>
          <w14:textFill>
            <w14:solidFill>
              <w14:schemeClr w14:val="tx1"/>
            </w14:solidFill>
          </w14:textFill>
        </w:rPr>
      </w:pPr>
      <w:bookmarkStart w:id="202" w:name="bookmark698"/>
      <w:bookmarkEnd w:id="202"/>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详细评审。</w:t>
      </w:r>
    </w:p>
    <w:p w14:paraId="6AF49280">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评审小组通过对采购成本、供应能力、风险管控、采购目标等的分析，对供应商拟提供标的的技术、商务进行物有所值综合评价。</w:t>
      </w:r>
    </w:p>
    <w:p w14:paraId="409905CD">
      <w:pPr>
        <w:keepNext w:val="0"/>
        <w:keepLines w:val="0"/>
        <w:pageBreakBefore w:val="0"/>
        <w:widowControl w:val="0"/>
        <w:numPr>
          <w:ilvl w:val="0"/>
          <w:numId w:val="0"/>
        </w:numPr>
        <w:shd w:val="clear" w:color="auto" w:fill="auto"/>
        <w:tabs>
          <w:tab w:val="left" w:pos="986"/>
        </w:tabs>
        <w:kinsoku/>
        <w:overflowPunct/>
        <w:autoSpaceDE/>
        <w:autoSpaceDN/>
        <w:bidi w:val="0"/>
        <w:spacing w:before="0" w:after="0" w:line="400" w:lineRule="exact"/>
        <w:ind w:right="0" w:rightChars="0" w:firstLine="240" w:firstLineChars="100"/>
        <w:jc w:val="left"/>
        <w:textAlignment w:val="auto"/>
        <w:rPr>
          <w:rFonts w:ascii="宋体" w:hAnsi="宋体" w:eastAsia="宋体" w:cs="宋体"/>
          <w:color w:val="000000" w:themeColor="text1"/>
          <w:kern w:val="2"/>
          <w:sz w:val="21"/>
          <w:szCs w:val="24"/>
          <w:highlight w:val="none"/>
          <w:u w:val="none"/>
          <w:shd w:val="clear" w:color="auto" w:fill="auto"/>
          <w:lang w:val="zh-TW" w:eastAsia="zh-TW" w:bidi="zh-TW"/>
          <w14:textFill>
            <w14:solidFill>
              <w14:schemeClr w14:val="tx1"/>
            </w14:solidFill>
          </w14:textFill>
        </w:rPr>
      </w:pPr>
      <w:bookmarkStart w:id="203" w:name="bookmark699"/>
      <w:bookmarkEnd w:id="203"/>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en-US" w:eastAsia="zh-CN" w:bidi="zh-TW"/>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w:t>
      </w: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编写评审报告。</w:t>
      </w:r>
    </w:p>
    <w:p w14:paraId="79B621E6">
      <w:pPr>
        <w:keepNext w:val="0"/>
        <w:keepLines/>
        <w:pageBreakBefore w:val="0"/>
        <w:widowControl w:val="0"/>
        <w:shd w:val="clear" w:color="auto" w:fill="auto"/>
        <w:kinsoku/>
        <w:wordWrap w:val="0"/>
        <w:overflowPunct/>
        <w:topLinePunct/>
        <w:autoSpaceDE/>
        <w:autoSpaceDN/>
        <w:bidi w:val="0"/>
        <w:adjustRightInd w:val="0"/>
        <w:snapToGrid w:val="0"/>
        <w:spacing w:before="0" w:after="0" w:line="400" w:lineRule="exact"/>
        <w:ind w:left="0" w:right="0" w:firstLine="480" w:firstLineChars="200"/>
        <w:jc w:val="left"/>
        <w:textAlignment w:val="auto"/>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pPr>
      <w:r>
        <w:rPr>
          <w:rFonts w:ascii="宋体" w:hAnsi="宋体" w:eastAsia="宋体" w:cs="宋体"/>
          <w:color w:val="000000" w:themeColor="text1"/>
          <w:spacing w:val="0"/>
          <w:w w:val="100"/>
          <w:kern w:val="2"/>
          <w:position w:val="0"/>
          <w:sz w:val="24"/>
          <w:szCs w:val="24"/>
          <w:highlight w:val="none"/>
          <w:u w:val="none"/>
          <w:shd w:val="clear" w:color="auto" w:fill="auto"/>
          <w:lang w:val="zh-TW" w:eastAsia="zh-TW" w:bidi="zh-TW"/>
          <w14:textFill>
            <w14:solidFill>
              <w14:schemeClr w14:val="tx1"/>
            </w14:solidFill>
          </w14:textFill>
        </w:rPr>
        <w:t>评审小组根据预期的谈判目标综合谈判纪要编写评审报告，推荐候选成交供应商或提出谈判终止建议。</w:t>
      </w:r>
    </w:p>
    <w:p w14:paraId="573627F5">
      <w:pPr>
        <w:rPr>
          <w:color w:val="000000" w:themeColor="text1"/>
          <w14:textFill>
            <w14:solidFill>
              <w14:schemeClr w14:val="tx1"/>
            </w14:solidFill>
          </w14:textFill>
        </w:rPr>
      </w:pPr>
    </w:p>
    <w:p w14:paraId="7625FD48">
      <w:pPr>
        <w:rPr>
          <w:rFonts w:hint="eastAsia" w:ascii="宋体" w:hAnsi="宋体" w:eastAsia="宋体" w:cs="宋体"/>
          <w:b/>
          <w:bCs/>
          <w:color w:val="000000" w:themeColor="text1"/>
          <w:spacing w:val="0"/>
          <w:w w:val="100"/>
          <w:position w:val="0"/>
          <w:sz w:val="48"/>
          <w:szCs w:val="48"/>
          <w:highlight w:val="none"/>
          <w:u w:val="none"/>
          <w:shd w:val="clear" w:color="auto" w:fill="auto"/>
          <w:lang w:val="en-US" w:eastAsia="zh-CN" w:bidi="zh-TW"/>
          <w14:textFill>
            <w14:solidFill>
              <w14:schemeClr w14:val="tx1"/>
            </w14:solidFill>
          </w14:textFill>
        </w:rPr>
      </w:pPr>
      <w:bookmarkStart w:id="204" w:name="_Toc28402"/>
      <w:r>
        <w:rPr>
          <w:rFonts w:hint="eastAsia" w:ascii="宋体" w:hAnsi="宋体" w:eastAsia="宋体" w:cs="宋体"/>
          <w:b/>
          <w:bCs/>
          <w:color w:val="000000" w:themeColor="text1"/>
          <w:spacing w:val="0"/>
          <w:w w:val="100"/>
          <w:position w:val="0"/>
          <w:sz w:val="48"/>
          <w:szCs w:val="48"/>
          <w:highlight w:val="none"/>
          <w:u w:val="none"/>
          <w:shd w:val="clear" w:color="auto" w:fill="auto"/>
          <w:lang w:val="en-US" w:eastAsia="zh-CN" w:bidi="zh-TW"/>
          <w14:textFill>
            <w14:solidFill>
              <w14:schemeClr w14:val="tx1"/>
            </w14:solidFill>
          </w14:textFill>
        </w:rPr>
        <w:br w:type="page"/>
      </w:r>
    </w:p>
    <w:p w14:paraId="5462631C">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color w:val="000000" w:themeColor="text1"/>
          <w:sz w:val="52"/>
          <w:szCs w:val="52"/>
          <w:lang w:val="en-US" w:eastAsia="zh-CN"/>
          <w14:textFill>
            <w14:solidFill>
              <w14:schemeClr w14:val="tx1"/>
            </w14:solidFill>
          </w14:textFill>
        </w:rPr>
      </w:pPr>
      <w:bookmarkStart w:id="205" w:name="_Toc29158"/>
      <w:bookmarkStart w:id="206" w:name="_Toc4453"/>
      <w:bookmarkStart w:id="207" w:name="_Toc19788"/>
      <w:r>
        <w:rPr>
          <w:rFonts w:hint="eastAsia"/>
          <w:color w:val="000000" w:themeColor="text1"/>
          <w:sz w:val="52"/>
          <w:szCs w:val="52"/>
          <w:lang w:val="en-US" w:eastAsia="zh-CN"/>
          <w14:textFill>
            <w14:solidFill>
              <w14:schemeClr w14:val="tx1"/>
            </w14:solidFill>
          </w14:textFill>
        </w:rPr>
        <w:t>第四章 合同条款及格式</w:t>
      </w:r>
      <w:bookmarkEnd w:id="204"/>
      <w:bookmarkEnd w:id="205"/>
      <w:bookmarkEnd w:id="206"/>
      <w:bookmarkEnd w:id="207"/>
    </w:p>
    <w:p w14:paraId="43130685">
      <w:pPr>
        <w:pStyle w:val="45"/>
        <w:jc w:val="center"/>
        <w:rPr>
          <w:rStyle w:val="25"/>
          <w:kern w:val="2"/>
          <w:lang w:val="en-US" w:eastAsia="zh-CN" w:bidi="ar-SA"/>
        </w:rPr>
      </w:pPr>
      <w:bookmarkStart w:id="208" w:name="_Toc256000022"/>
      <w:r>
        <w:rPr>
          <w:rStyle w:val="25"/>
          <w:rFonts w:hint="eastAsia"/>
          <w:kern w:val="2"/>
          <w:lang w:val="en-US" w:eastAsia="zh-CN" w:bidi="ar-SA"/>
        </w:rPr>
        <w:t>第一节</w:t>
      </w:r>
      <w:r>
        <w:rPr>
          <w:rStyle w:val="25"/>
          <w:kern w:val="2"/>
          <w:lang w:val="en-US" w:eastAsia="zh-CN" w:bidi="ar-SA"/>
        </w:rPr>
        <w:t xml:space="preserve">    </w:t>
      </w:r>
      <w:r>
        <w:rPr>
          <w:rStyle w:val="25"/>
          <w:rFonts w:hint="eastAsia"/>
          <w:kern w:val="2"/>
          <w:lang w:val="en-US" w:eastAsia="zh-CN" w:bidi="ar-SA"/>
        </w:rPr>
        <w:t>通用合同条款</w:t>
      </w:r>
      <w:bookmarkEnd w:id="208"/>
    </w:p>
    <w:p w14:paraId="2097AAF8">
      <w:pPr>
        <w:pStyle w:val="47"/>
        <w:rPr>
          <w:rStyle w:val="25"/>
          <w:kern w:val="2"/>
          <w:lang w:val="en-US" w:eastAsia="zh-CN" w:bidi="ar-SA"/>
        </w:rPr>
      </w:pPr>
      <w:r>
        <w:rPr>
          <w:rStyle w:val="25"/>
          <w:rFonts w:hint="eastAsia"/>
          <w:kern w:val="2"/>
          <w:lang w:val="en-US" w:eastAsia="zh-CN" w:bidi="ar-SA"/>
        </w:rPr>
        <w:t>1 一般约定</w:t>
      </w:r>
    </w:p>
    <w:p w14:paraId="2D4D25F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1.1词语定义</w:t>
      </w:r>
    </w:p>
    <w:p w14:paraId="01AE5C0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通用合同条款、专用合同条款中的下列词语应具有本款所赋予的含义。</w:t>
      </w:r>
    </w:p>
    <w:p w14:paraId="3D8AAD7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1.1.1合同</w:t>
      </w:r>
    </w:p>
    <w:p w14:paraId="737BCBA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1.1.1.1合同文件(或称合同)：指合同协议书、中标通知书、投标函及投标函附录、专用合同条款、通用合同条款、技术标准和要求、图纸、己标价工程量清单，以及其他合同文件。</w:t>
      </w:r>
    </w:p>
    <w:p w14:paraId="2261523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1.1.1.2合同协议书：指第1.5款所指的合同协议书。</w:t>
      </w:r>
    </w:p>
    <w:p w14:paraId="086DEF4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1.1.1.3中标通知书：指发包人通知承包人中标的函件。</w:t>
      </w:r>
    </w:p>
    <w:p w14:paraId="0A2D1D2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1.1.1.4投标函：指构成合同文件组成部分的由承包人填写并签署的投标函。</w:t>
      </w:r>
    </w:p>
    <w:p w14:paraId="204B52D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1.1.1.5投标函附录：指附在投标函后构成合同文件的投标函附录。</w:t>
      </w:r>
    </w:p>
    <w:p w14:paraId="3BCF794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1.1.1.6技术标准和要求：指构成合同文件组成部分的名为技术标准和要求(合同技术条款)的文件，包括合同双方当事人约定对其所作的修改或补充。</w:t>
      </w:r>
    </w:p>
    <w:p w14:paraId="7ACBD1F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1.1.1.7图纸：指列入合同的招标图纸、投标图纸和发包人按合同约定向承包人提供的施工图纸和其它图纸(包括配套说明和有关资料)。列入合同的招标图纸已成为合同文件的 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14:paraId="2882946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1.1.1.8己标价工程量清单：指构成合同文件组成部分的由承包人按照规定的格式和要求填写并标明价格的工程量清单。    </w:t>
      </w:r>
    </w:p>
    <w:p w14:paraId="2A05DA8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1.1.1.9其他合同文件：指经合同双方当事人确认构成合同文件的其他文件。</w:t>
      </w:r>
    </w:p>
    <w:p w14:paraId="1301D54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1.1.2合同当事人和人员</w:t>
      </w:r>
    </w:p>
    <w:p w14:paraId="4B18A64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1.1.2.1合同当事人：指发包人和(或)承包人。</w:t>
      </w:r>
    </w:p>
    <w:p w14:paraId="01EE9C2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1.1.2.2发包人：指专用合同条款中指明并与承包人在合同协议书中签字的当事人。</w:t>
      </w:r>
    </w:p>
    <w:p w14:paraId="3C6C460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1.1.2.3承包人：指专用合同条款中指明并与发包人在合同协、议书中签字的当事人。</w:t>
      </w:r>
    </w:p>
    <w:p w14:paraId="7D27659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1.1.2.4承包人项目经理：指承包人派驻施工场地的全权负责人。</w:t>
      </w:r>
    </w:p>
    <w:p w14:paraId="4F55614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1.1.2.5分包人：指专用合同条款中指明的，从承包人处分包合同中某一部分工程，并与其签订分包合同的分包人。</w:t>
      </w:r>
    </w:p>
    <w:p w14:paraId="151B8FB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1.1.2.6监理人：指在专用合同条款中指明的，受发包人委托对合同履行实施管理的法人或其他组织。   </w:t>
      </w:r>
    </w:p>
    <w:p w14:paraId="239BC2B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1.1.2.7总监理工程师(总监)：指由监理人委派常驻施工场地对合同履行实施管理的全权负责人。    </w:t>
      </w:r>
    </w:p>
    <w:p w14:paraId="71BD636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1.1.3工程和设备    </w:t>
      </w:r>
    </w:p>
    <w:p w14:paraId="7F8DE1B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1.1.3.1工程：指永久工程和(或)临时工程。    </w:t>
      </w:r>
    </w:p>
    <w:p w14:paraId="4B8E26D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1.1.3.2永久工程：指按合同约定建造并移交给发包人的工程，包括工程设备。</w:t>
      </w:r>
    </w:p>
    <w:p w14:paraId="2A5335D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1.1.3.3临时工程：指为完成合同约定的永久工程所修建的各类临时性工程，不包括施工设备。    </w:t>
      </w:r>
    </w:p>
    <w:p w14:paraId="4B94EA3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1.1.3.4单位工程：指专用合同条款中指明特定范围的永久工程。</w:t>
      </w:r>
    </w:p>
    <w:p w14:paraId="333210E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1.1.3.5工程设备：指构成或计划构成永久工程一部分的机电设备、金属结构设备、仪器装置及其他类似的设备和装置。</w:t>
      </w:r>
    </w:p>
    <w:p w14:paraId="498D380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1.1.3.6施工设备：指为完成合同约定的各项工作所需的设备、器具和其他物品，不包括临时工程和材料。    </w:t>
      </w:r>
    </w:p>
    <w:p w14:paraId="7C251C8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1.1.3.7临时设施：指为完成合同约定的各项工作所服务的临时性生产和生活设施。</w:t>
      </w:r>
    </w:p>
    <w:p w14:paraId="3ADB710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1.1.3.8承包人设备：指承包人自带的施工设备。    </w:t>
      </w:r>
    </w:p>
    <w:p w14:paraId="671BBF2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1.1.3.9施工场地(或称工地、现场)：指用于合同工程施工的场所，以及在合同中指定作为施工场地组成部分的其他场所，包括永久占地和临时占地。</w:t>
      </w:r>
    </w:p>
    <w:p w14:paraId="4F6B6AB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1.1.3.10永久占地：指发包人为建设本合同工程临时征用的场地。</w:t>
      </w:r>
    </w:p>
    <w:p w14:paraId="17DBD42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1.1.3.11临时占地：指发包人为建设本合同工程临时征用，承包人在完工后须按合同要求退还的场地。</w:t>
      </w:r>
    </w:p>
    <w:p w14:paraId="199EC13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1.1.4日期   </w:t>
      </w:r>
    </w:p>
    <w:p w14:paraId="3D36151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1.1.4.4开工通知：指监理人按第11.1款通知承包人开工的函件。</w:t>
      </w:r>
    </w:p>
    <w:p w14:paraId="60152CB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1.1.4.2开工日期：指监理人按第11.1款发出的开工通知中写明的开工日期。</w:t>
      </w:r>
    </w:p>
    <w:p w14:paraId="75BBE0F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1.1.4.3工期：指承包人在投标函中承诺的完成合同工程所需的期限，包括按第11.3款、第11.4款和第11.6款约定所作的变更。</w:t>
      </w:r>
    </w:p>
    <w:p w14:paraId="27F236E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1.1.4.4竣工日期：即合同工程完工日期，指第1.1.4.3目约定工期届满时的日期。实际完工日期以合同工程完工证书中写明的日期为准。  </w:t>
      </w:r>
    </w:p>
    <w:p w14:paraId="3249270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1.1.4.5缺陷责任期：即工程质量保修期，指履行第17.2款约定的缺陷责任的期限，包括根据第17.3款约定所作的延长，具体期限由专用合同条款约定。</w:t>
      </w:r>
    </w:p>
    <w:p w14:paraId="425EEFD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1.1.4.6基准日期：指投标截止时间前18天的日期。</w:t>
      </w:r>
    </w:p>
    <w:p w14:paraId="0A3C874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1.1.4.7天：除特别指明外，指日历天。合同中按天计算时间的，开始当天不计入，从次日开始计算。期限最后一天的截止时间为当天。</w:t>
      </w:r>
    </w:p>
    <w:p w14:paraId="09C795B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1.1.5合同价格和费用</w:t>
      </w:r>
    </w:p>
    <w:p w14:paraId="384AE95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1.1.5.1签约合同价：指签定合同时合同协议书中写明的合同总金额。</w:t>
      </w:r>
    </w:p>
    <w:p w14:paraId="731566A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1.1.5.2合同价格：指承 包人按合同约定完成了包括缺陷责任期内的全部承包工作后，发包人应付给承包人的金额，包括在履行合同过程中按合同约定进行的变更和调整。</w:t>
      </w:r>
    </w:p>
    <w:p w14:paraId="754E343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1.1.5.3费用：指为履行合同所发生的或将要发生的所有合理开支，包括管理费和应分摊的其他费用，但不包括利润。   </w:t>
      </w:r>
    </w:p>
    <w:p w14:paraId="0412DBC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1.1.5.7质量保证金(或称保留金)：指按第16.4.1项约定用于保证在缺陷责任期内履行缺陷修复义务的金额。</w:t>
      </w:r>
    </w:p>
    <w:p w14:paraId="79459D1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1.1.6其他    </w:t>
      </w:r>
    </w:p>
    <w:p w14:paraId="0C5C1C2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spacing w:val="-4"/>
          <w:kern w:val="2"/>
          <w:sz w:val="21"/>
          <w:szCs w:val="21"/>
          <w:lang w:val="en-US" w:eastAsia="zh-CN" w:bidi="ar-SA"/>
        </w:rPr>
      </w:pPr>
      <w:r>
        <w:rPr>
          <w:rStyle w:val="25"/>
          <w:rFonts w:hint="eastAsia" w:ascii="宋体" w:hAnsi="宋体" w:eastAsia="宋体" w:cs="Times New Roman"/>
          <w:kern w:val="2"/>
          <w:sz w:val="21"/>
          <w:szCs w:val="21"/>
          <w:lang w:val="en-US" w:eastAsia="zh-CN" w:bidi="ar-SA"/>
        </w:rPr>
        <w:t>1.1.6.1书面形式：指合同文</w:t>
      </w:r>
      <w:r>
        <w:rPr>
          <w:rStyle w:val="25"/>
          <w:rFonts w:hint="eastAsia" w:ascii="宋体" w:hAnsi="宋体" w:eastAsia="宋体" w:cs="Times New Roman"/>
          <w:spacing w:val="-4"/>
          <w:kern w:val="2"/>
          <w:sz w:val="21"/>
          <w:szCs w:val="21"/>
          <w:lang w:val="en-US" w:eastAsia="zh-CN" w:bidi="ar-SA"/>
        </w:rPr>
        <w:t>件、信函、电报、传真等可以有形地表现所载内容的形式。</w:t>
      </w:r>
    </w:p>
    <w:p w14:paraId="0A1D0CED">
      <w:pPr>
        <w:pStyle w:val="46"/>
        <w:widowControl/>
        <w:snapToGrid w:val="0"/>
        <w:spacing w:line="360" w:lineRule="auto"/>
        <w:jc w:val="left"/>
        <w:rPr>
          <w:rStyle w:val="25"/>
          <w:rFonts w:ascii="宋体" w:hAnsi="宋体" w:eastAsia="宋体" w:cs="宋体"/>
          <w:b/>
          <w:kern w:val="0"/>
          <w:sz w:val="24"/>
          <w:szCs w:val="24"/>
          <w:lang w:val="en-US" w:eastAsia="zh-CN" w:bidi="ar-SA"/>
        </w:rPr>
      </w:pPr>
      <w:r>
        <w:rPr>
          <w:rStyle w:val="25"/>
          <w:rFonts w:ascii="宋体" w:hAnsi="宋体" w:eastAsia="宋体" w:cs="宋体"/>
          <w:b/>
          <w:kern w:val="0"/>
          <w:sz w:val="24"/>
          <w:szCs w:val="24"/>
          <w:lang w:val="en-US" w:eastAsia="zh-CN" w:bidi="ar-SA"/>
        </w:rPr>
        <w:t>1.2</w:t>
      </w:r>
      <w:r>
        <w:rPr>
          <w:rStyle w:val="25"/>
          <w:rFonts w:hint="eastAsia" w:ascii="宋体" w:hAnsi="宋体" w:eastAsia="宋体" w:cs="宋体"/>
          <w:b/>
          <w:kern w:val="0"/>
          <w:sz w:val="24"/>
          <w:szCs w:val="24"/>
          <w:lang w:val="en-US" w:eastAsia="zh-CN" w:bidi="ar-SA"/>
        </w:rPr>
        <w:t>语言文字</w:t>
      </w:r>
    </w:p>
    <w:p w14:paraId="395B2522">
      <w:pPr>
        <w:pStyle w:val="46"/>
        <w:tabs>
          <w:tab w:val="left" w:pos="8280"/>
        </w:tabs>
        <w:spacing w:line="360" w:lineRule="auto"/>
        <w:ind w:firstLine="315" w:firstLineChars="150"/>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除专用术语外，合同使用的语言文字为中文。必要时专用术语应附有中文注释。</w:t>
      </w:r>
    </w:p>
    <w:p w14:paraId="58669DAD">
      <w:pPr>
        <w:pStyle w:val="46"/>
        <w:widowControl/>
        <w:snapToGrid w:val="0"/>
        <w:spacing w:line="360" w:lineRule="auto"/>
        <w:jc w:val="left"/>
        <w:rPr>
          <w:rStyle w:val="25"/>
          <w:rFonts w:ascii="宋体" w:hAnsi="宋体" w:eastAsia="宋体" w:cs="宋体"/>
          <w:b/>
          <w:kern w:val="0"/>
          <w:sz w:val="24"/>
          <w:szCs w:val="24"/>
          <w:lang w:val="en-US" w:eastAsia="zh-CN" w:bidi="ar-SA"/>
        </w:rPr>
      </w:pPr>
      <w:r>
        <w:rPr>
          <w:rStyle w:val="25"/>
          <w:rFonts w:ascii="宋体" w:hAnsi="宋体" w:eastAsia="宋体" w:cs="宋体"/>
          <w:b/>
          <w:kern w:val="0"/>
          <w:sz w:val="24"/>
          <w:szCs w:val="24"/>
          <w:lang w:val="en-US" w:eastAsia="zh-CN" w:bidi="ar-SA"/>
        </w:rPr>
        <w:t>1.3</w:t>
      </w:r>
      <w:r>
        <w:rPr>
          <w:rStyle w:val="25"/>
          <w:rFonts w:hint="eastAsia" w:ascii="宋体" w:hAnsi="宋体" w:eastAsia="宋体" w:cs="宋体"/>
          <w:b/>
          <w:kern w:val="0"/>
          <w:sz w:val="24"/>
          <w:szCs w:val="24"/>
          <w:lang w:val="en-US" w:eastAsia="zh-CN" w:bidi="ar-SA"/>
        </w:rPr>
        <w:t>法律</w:t>
      </w:r>
    </w:p>
    <w:p w14:paraId="66A728E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适用于合同的法律包括中华人民共和国法律、行政法规、部门规章，以及工程所在地的地方法规、自治条例、单行条例和地方政府规章。</w:t>
      </w:r>
    </w:p>
    <w:p w14:paraId="56525AAC">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1.4</w:t>
      </w:r>
      <w:r>
        <w:rPr>
          <w:rStyle w:val="25"/>
          <w:rFonts w:hint="eastAsia" w:ascii="宋体" w:hAnsi="宋体" w:eastAsia="宋体" w:cs="Times New Roman"/>
          <w:b/>
          <w:kern w:val="2"/>
          <w:sz w:val="24"/>
          <w:szCs w:val="24"/>
          <w:lang w:val="en-US" w:eastAsia="zh-CN" w:bidi="ar-SA"/>
        </w:rPr>
        <w:t>合同文件的优先顺序</w:t>
      </w:r>
    </w:p>
    <w:p w14:paraId="3CBBAF3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组成合同的各项文件应互相解释，互为说明。除专用合同条款另有约定外，解释合同文件的优先顺序如下：</w:t>
      </w:r>
    </w:p>
    <w:p w14:paraId="6260F36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(1)合同协议书；</w:t>
      </w:r>
    </w:p>
    <w:p w14:paraId="68B6BDE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(2)中标通知书；    </w:t>
      </w:r>
    </w:p>
    <w:p w14:paraId="567BC34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(3)投标函及投标函附录；</w:t>
      </w:r>
    </w:p>
    <w:p w14:paraId="4370458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(4)专用合同条款；</w:t>
      </w:r>
    </w:p>
    <w:p w14:paraId="5273D85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(5)通用合同条款；    </w:t>
      </w:r>
    </w:p>
    <w:p w14:paraId="3DBD272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(6)技术标准和要求；</w:t>
      </w:r>
    </w:p>
    <w:p w14:paraId="0555634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(7)图纸；</w:t>
      </w:r>
    </w:p>
    <w:p w14:paraId="6A21D95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(8)己标价工程量清单；   </w:t>
      </w:r>
    </w:p>
    <w:p w14:paraId="1EB9013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(9)其他合同文件。</w:t>
      </w:r>
    </w:p>
    <w:p w14:paraId="417B3FC8">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1.5</w:t>
      </w:r>
      <w:r>
        <w:rPr>
          <w:rStyle w:val="25"/>
          <w:rFonts w:hint="eastAsia" w:ascii="宋体" w:hAnsi="宋体" w:eastAsia="宋体" w:cs="Times New Roman"/>
          <w:b/>
          <w:kern w:val="2"/>
          <w:sz w:val="24"/>
          <w:szCs w:val="24"/>
          <w:lang w:val="en-US" w:eastAsia="zh-CN" w:bidi="ar-SA"/>
        </w:rPr>
        <w:t>合同协议书</w:t>
      </w:r>
    </w:p>
    <w:p w14:paraId="6B839E4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承包人按中标通知书规定的时间与发包人签订合同协议书。除法律另有规定或合同另有约定外，发包人和承包人的法定代表人或其委托代理人在合同协议书上签字并盖单位章。</w:t>
      </w:r>
    </w:p>
    <w:p w14:paraId="1AAFD301">
      <w:pPr>
        <w:pStyle w:val="46"/>
        <w:tabs>
          <w:tab w:val="left" w:pos="8280"/>
        </w:tabs>
        <w:spacing w:line="360" w:lineRule="auto"/>
        <w:ind w:right="-315" w:rightChars="-150"/>
        <w:rPr>
          <w:rStyle w:val="25"/>
          <w:rFonts w:ascii="宋体" w:hAnsi="宋体" w:eastAsia="宋体" w:cs="Times New Roman"/>
          <w:kern w:val="2"/>
          <w:sz w:val="24"/>
          <w:szCs w:val="24"/>
          <w:lang w:val="en-US" w:eastAsia="zh-CN" w:bidi="ar-SA"/>
        </w:rPr>
      </w:pPr>
      <w:r>
        <w:rPr>
          <w:rStyle w:val="25"/>
          <w:rFonts w:ascii="宋体" w:hAnsi="宋体" w:eastAsia="宋体" w:cs="Times New Roman"/>
          <w:b/>
          <w:kern w:val="2"/>
          <w:sz w:val="24"/>
          <w:szCs w:val="24"/>
          <w:lang w:val="en-US" w:eastAsia="zh-CN" w:bidi="ar-SA"/>
        </w:rPr>
        <w:t>1.6</w:t>
      </w:r>
      <w:r>
        <w:rPr>
          <w:rStyle w:val="25"/>
          <w:rFonts w:hint="eastAsia" w:ascii="宋体" w:hAnsi="宋体" w:eastAsia="宋体" w:cs="Times New Roman"/>
          <w:b/>
          <w:kern w:val="2"/>
          <w:sz w:val="24"/>
          <w:szCs w:val="24"/>
          <w:lang w:val="en-US" w:eastAsia="zh-CN" w:bidi="ar-SA"/>
        </w:rPr>
        <w:t>图纸和承包人文件</w:t>
      </w:r>
    </w:p>
    <w:p w14:paraId="5388AD5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发包人应按技术标准和要求(合同技术条款)约定的期限和数量将施工图纸以及其它图纸(包括配套说明和有关资料</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提供给承包人。由于发包人未按时提供图纸造成工期延误的，按第</w:t>
      </w:r>
      <w:r>
        <w:rPr>
          <w:rStyle w:val="25"/>
          <w:rFonts w:ascii="宋体" w:hAnsi="宋体" w:eastAsia="宋体" w:cs="Times New Roman"/>
          <w:kern w:val="2"/>
          <w:sz w:val="21"/>
          <w:szCs w:val="21"/>
          <w:lang w:val="en-US" w:eastAsia="zh-CN" w:bidi="ar-SA"/>
        </w:rPr>
        <w:t>11.3</w:t>
      </w:r>
      <w:r>
        <w:rPr>
          <w:rStyle w:val="25"/>
          <w:rFonts w:hint="eastAsia" w:ascii="宋体" w:hAnsi="宋体" w:eastAsia="宋体" w:cs="Times New Roman"/>
          <w:kern w:val="2"/>
          <w:sz w:val="21"/>
          <w:szCs w:val="21"/>
          <w:lang w:val="en-US" w:eastAsia="zh-CN" w:bidi="ar-SA"/>
        </w:rPr>
        <w:t>款的约定办理。</w:t>
      </w:r>
      <w:r>
        <w:rPr>
          <w:rStyle w:val="25"/>
          <w:rFonts w:ascii="宋体" w:hAnsi="宋体" w:eastAsia="宋体" w:cs="Times New Roman"/>
          <w:kern w:val="2"/>
          <w:sz w:val="21"/>
          <w:szCs w:val="21"/>
          <w:lang w:val="en-US" w:eastAsia="zh-CN" w:bidi="ar-SA"/>
        </w:rPr>
        <w:t xml:space="preserve">   </w:t>
      </w:r>
    </w:p>
    <w:p w14:paraId="5990297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1.6.1承包人提供的文件</w:t>
      </w:r>
    </w:p>
    <w:p w14:paraId="03831F1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承包人提供的文件应按技术标准和要求(合同技术条款)约定的期限和数量提供给监理人。监理人应按技术标准和要求(合同技术条款)约定的期限批复承包人。</w:t>
      </w:r>
    </w:p>
    <w:p w14:paraId="029E0BA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1.6.2图纸的修改</w:t>
      </w:r>
    </w:p>
    <w:p w14:paraId="16C41AE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设计人需要对已发给承包人的施工图纸进行修改时，监理人应在技术标准和要求(合同技术条款)约定的期限内签发施工图纸的修改图给承包人。承包人应按技术标准和要求 (合同技术条款)的约定编制一份承包人实施计划提交监理人批准后执行。</w:t>
      </w:r>
    </w:p>
    <w:p w14:paraId="483F6D6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1.6.3图纸的错误</w:t>
      </w:r>
    </w:p>
    <w:p w14:paraId="535E258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承包人发现发包人提供的图纸存在明显错误或疏忽，应及时通知监理人。</w:t>
      </w:r>
    </w:p>
    <w:p w14:paraId="0FA44B9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1.6.4图纸和承包人文件的保管</w:t>
      </w:r>
    </w:p>
    <w:p w14:paraId="719E8F6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监理人和承包人均应在施工场地各保存一套完整的包含第1.6.1项、第1.6.2项、第1.6.3项约定内容的图纸和承包人文件。</w:t>
      </w:r>
    </w:p>
    <w:p w14:paraId="34F32FB9">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1.7</w:t>
      </w:r>
      <w:r>
        <w:rPr>
          <w:rStyle w:val="25"/>
          <w:rFonts w:hint="eastAsia" w:ascii="宋体" w:hAnsi="宋体" w:eastAsia="宋体" w:cs="Times New Roman"/>
          <w:b/>
          <w:kern w:val="2"/>
          <w:sz w:val="24"/>
          <w:szCs w:val="24"/>
          <w:lang w:val="en-US" w:eastAsia="zh-CN" w:bidi="ar-SA"/>
        </w:rPr>
        <w:t>联络</w:t>
      </w:r>
    </w:p>
    <w:p w14:paraId="24FD1B6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1.7.1与合同有关的通知、批准、证明、证书、指示、要求、请求、同意、意见、确定和决定等，均应采用书面形式。</w:t>
      </w:r>
    </w:p>
    <w:p w14:paraId="09F79BF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1.7.2第1.7.1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14:paraId="2052027B">
      <w:pPr>
        <w:pStyle w:val="46"/>
        <w:tabs>
          <w:tab w:val="left" w:pos="8280"/>
        </w:tabs>
        <w:spacing w:line="360" w:lineRule="auto"/>
        <w:rPr>
          <w:rStyle w:val="25"/>
          <w:rFonts w:ascii="宋体" w:hAnsi="宋体" w:eastAsia="宋体" w:cs="Times New Roman"/>
          <w:kern w:val="2"/>
          <w:sz w:val="24"/>
          <w:szCs w:val="24"/>
          <w:lang w:val="en-US" w:eastAsia="zh-CN" w:bidi="ar-SA"/>
        </w:rPr>
      </w:pPr>
      <w:r>
        <w:rPr>
          <w:rStyle w:val="25"/>
          <w:rFonts w:ascii="宋体" w:hAnsi="宋体" w:eastAsia="宋体" w:cs="Times New Roman"/>
          <w:b/>
          <w:kern w:val="2"/>
          <w:sz w:val="24"/>
          <w:szCs w:val="24"/>
          <w:lang w:val="en-US" w:eastAsia="zh-CN" w:bidi="ar-SA"/>
        </w:rPr>
        <w:t>1.8</w:t>
      </w:r>
      <w:r>
        <w:rPr>
          <w:rStyle w:val="25"/>
          <w:rFonts w:hint="eastAsia" w:ascii="宋体" w:hAnsi="宋体" w:eastAsia="宋体" w:cs="Times New Roman"/>
          <w:b/>
          <w:kern w:val="2"/>
          <w:sz w:val="24"/>
          <w:szCs w:val="24"/>
          <w:lang w:val="en-US" w:eastAsia="zh-CN" w:bidi="ar-SA"/>
        </w:rPr>
        <w:t>转让</w:t>
      </w:r>
    </w:p>
    <w:p w14:paraId="1D473EA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除合同另有约定外，未经对方当事人同意，一方当事人不得将合同权利全部或部分转让给第三人，也不得全部或部分转移合同义务。</w:t>
      </w:r>
    </w:p>
    <w:p w14:paraId="03B4C1D6">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1.9</w:t>
      </w:r>
      <w:r>
        <w:rPr>
          <w:rStyle w:val="25"/>
          <w:rFonts w:hint="eastAsia" w:ascii="宋体" w:hAnsi="宋体" w:eastAsia="宋体" w:cs="Times New Roman"/>
          <w:b/>
          <w:kern w:val="2"/>
          <w:sz w:val="24"/>
          <w:szCs w:val="24"/>
          <w:lang w:val="en-US" w:eastAsia="zh-CN" w:bidi="ar-SA"/>
        </w:rPr>
        <w:t>严禁贿赂</w:t>
      </w:r>
    </w:p>
    <w:p w14:paraId="068B66F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合同双方当事人不得以贿赂或变相贿赂的方式，谋取不当利益或损害对方权益。因贿赂造成对方损失的应当赔偿损失。</w:t>
      </w:r>
    </w:p>
    <w:p w14:paraId="64D9E09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1.9.1图纸和文件的保密。</w:t>
      </w:r>
    </w:p>
    <w:p w14:paraId="23B4352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1.9.2发包人提供的图纸和文件，未经发包人同意，承包人不得为合同以外的目的泄露给他人或公开发表与引用。</w:t>
      </w:r>
    </w:p>
    <w:p w14:paraId="6B840AF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1.9.3承包人提供的文件，未经承包人同意，发包人和监理人不得为合同以外的目的泄露给他人或公开发表与引用。  </w:t>
      </w:r>
    </w:p>
    <w:p w14:paraId="4C19B2FD">
      <w:pPr>
        <w:pStyle w:val="46"/>
        <w:tabs>
          <w:tab w:val="left" w:pos="8280"/>
        </w:tabs>
        <w:spacing w:line="360" w:lineRule="auto"/>
        <w:ind w:right="-315" w:rightChars="-150"/>
        <w:rPr>
          <w:rStyle w:val="25"/>
          <w:rFonts w:hint="eastAsia" w:ascii="宋体" w:hAnsi="宋体" w:eastAsia="宋体" w:cs="Times New Roman"/>
          <w:b/>
          <w:kern w:val="2"/>
          <w:sz w:val="24"/>
          <w:szCs w:val="24"/>
          <w:lang w:val="en-US" w:eastAsia="zh-CN" w:bidi="ar-SA"/>
        </w:rPr>
      </w:pPr>
      <w:r>
        <w:rPr>
          <w:rStyle w:val="25"/>
          <w:rFonts w:hint="eastAsia" w:ascii="宋体" w:hAnsi="宋体" w:eastAsia="宋体" w:cs="Times New Roman"/>
          <w:b/>
          <w:kern w:val="2"/>
          <w:sz w:val="24"/>
          <w:szCs w:val="24"/>
          <w:lang w:val="en-US" w:eastAsia="zh-CN" w:bidi="ar-SA"/>
        </w:rPr>
        <w:t>1.10 化石、文物</w:t>
      </w:r>
    </w:p>
    <w:p w14:paraId="1CBFF73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31221AA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1.10.2 承包人发现文物后不及时报告或隐瞒不报，致使文物丢失或损坏的，应赔偿损失，并承担相应的法律责任。</w:t>
      </w:r>
    </w:p>
    <w:p w14:paraId="4913F5D7">
      <w:pPr>
        <w:pStyle w:val="46"/>
        <w:tabs>
          <w:tab w:val="left" w:pos="8280"/>
        </w:tabs>
        <w:spacing w:line="360" w:lineRule="auto"/>
        <w:ind w:right="-315" w:rightChars="-150"/>
        <w:rPr>
          <w:rStyle w:val="25"/>
          <w:rFonts w:hint="eastAsia" w:ascii="宋体" w:hAnsi="宋体" w:eastAsia="宋体" w:cs="Times New Roman"/>
          <w:b/>
          <w:kern w:val="2"/>
          <w:sz w:val="24"/>
          <w:szCs w:val="24"/>
          <w:lang w:val="en-US" w:eastAsia="zh-CN" w:bidi="ar-SA"/>
        </w:rPr>
      </w:pPr>
      <w:r>
        <w:rPr>
          <w:rStyle w:val="25"/>
          <w:rFonts w:hint="eastAsia" w:ascii="宋体" w:hAnsi="宋体" w:eastAsia="宋体" w:cs="Times New Roman"/>
          <w:b/>
          <w:kern w:val="2"/>
          <w:sz w:val="24"/>
          <w:szCs w:val="24"/>
          <w:lang w:val="en-US" w:eastAsia="zh-CN" w:bidi="ar-SA"/>
        </w:rPr>
        <w:t>1.11 专利技术</w:t>
      </w:r>
    </w:p>
    <w:p w14:paraId="226B884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1.11.1 承包人在使用任何材料、承包人设备、工程设备或采用施工工艺时，因侵犯专利权或其他知识产权所引起的责任，由承包人承担，但由于遵照发包人提供的设计或技术标准和要求引起的除外。</w:t>
      </w:r>
    </w:p>
    <w:p w14:paraId="147168A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1.11.2 承包人在投标文件中采用专利技术的，专利技术的使用费包含在投标报价内。</w:t>
      </w:r>
    </w:p>
    <w:p w14:paraId="5ED425B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1.11.3 承包人的技术秘密和声明需要保密的资料和信息，发包人和监理人不得为合同以外的目的泄露给他人。</w:t>
      </w:r>
    </w:p>
    <w:p w14:paraId="19A168A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1.11.4　合同实施过程中，发包人要求承包人采用专利技术的，发包人应办理相应的使用手续，承包人应按发包人约定的条件使用，并承担使用专利技术的相关试验工作，所需费用由发包人承担。    </w:t>
      </w:r>
    </w:p>
    <w:p w14:paraId="7A2E8FB3">
      <w:pPr>
        <w:pStyle w:val="46"/>
        <w:tabs>
          <w:tab w:val="left" w:pos="8280"/>
        </w:tabs>
        <w:spacing w:line="360" w:lineRule="auto"/>
        <w:ind w:right="-315" w:rightChars="-150"/>
        <w:rPr>
          <w:rStyle w:val="25"/>
          <w:rFonts w:hint="eastAsia" w:ascii="宋体" w:hAnsi="宋体" w:eastAsia="宋体" w:cs="Times New Roman"/>
          <w:b/>
          <w:kern w:val="2"/>
          <w:sz w:val="24"/>
          <w:szCs w:val="24"/>
          <w:lang w:val="en-US" w:eastAsia="zh-CN" w:bidi="ar-SA"/>
        </w:rPr>
      </w:pPr>
      <w:r>
        <w:rPr>
          <w:rStyle w:val="25"/>
          <w:rFonts w:hint="eastAsia" w:ascii="宋体" w:hAnsi="宋体" w:eastAsia="宋体" w:cs="Times New Roman"/>
          <w:b/>
          <w:kern w:val="2"/>
          <w:sz w:val="24"/>
          <w:szCs w:val="24"/>
          <w:lang w:val="en-US" w:eastAsia="zh-CN" w:bidi="ar-SA"/>
        </w:rPr>
        <w:t>1.12 图纸和文件的保密</w:t>
      </w:r>
    </w:p>
    <w:p w14:paraId="2994FD1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1.12.1 发包人提供的图纸和文件，未经发包人同意，承包人不得为合同以外的目的泄露给他人或公开发表与引用。</w:t>
      </w:r>
    </w:p>
    <w:p w14:paraId="00C1480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1.12.2 承包人提供的文件，未经承包人同意，发包人和监理人不得为合同以外的目的泄露给他人或公开发表与引用。</w:t>
      </w:r>
    </w:p>
    <w:p w14:paraId="3AA702A9">
      <w:pPr>
        <w:pStyle w:val="47"/>
        <w:rPr>
          <w:rStyle w:val="25"/>
          <w:kern w:val="2"/>
          <w:lang w:val="en-US" w:eastAsia="zh-CN" w:bidi="ar-SA"/>
        </w:rPr>
      </w:pPr>
      <w:r>
        <w:rPr>
          <w:rStyle w:val="25"/>
          <w:rFonts w:hint="eastAsia"/>
          <w:kern w:val="2"/>
          <w:lang w:val="en-US" w:eastAsia="zh-CN" w:bidi="ar-SA"/>
        </w:rPr>
        <w:t xml:space="preserve">2 发包人义务   </w:t>
      </w:r>
    </w:p>
    <w:p w14:paraId="50FF7660">
      <w:pPr>
        <w:pStyle w:val="46"/>
        <w:tabs>
          <w:tab w:val="left" w:pos="8280"/>
        </w:tabs>
        <w:spacing w:line="360" w:lineRule="auto"/>
        <w:rPr>
          <w:rStyle w:val="25"/>
          <w:rFonts w:hint="eastAsia" w:ascii="宋体" w:hAnsi="宋体" w:eastAsia="宋体" w:cs="Times New Roman"/>
          <w:kern w:val="2"/>
          <w:sz w:val="24"/>
          <w:szCs w:val="24"/>
          <w:lang w:val="en-US" w:eastAsia="zh-CN" w:bidi="ar-SA"/>
        </w:rPr>
      </w:pPr>
      <w:r>
        <w:rPr>
          <w:rStyle w:val="25"/>
          <w:rFonts w:ascii="宋体" w:hAnsi="宋体" w:eastAsia="宋体" w:cs="Times New Roman"/>
          <w:b/>
          <w:kern w:val="2"/>
          <w:sz w:val="24"/>
          <w:szCs w:val="24"/>
          <w:lang w:val="en-US" w:eastAsia="zh-CN" w:bidi="ar-SA"/>
        </w:rPr>
        <w:t>2.1</w:t>
      </w:r>
      <w:r>
        <w:rPr>
          <w:rStyle w:val="25"/>
          <w:rFonts w:hint="eastAsia" w:ascii="宋体" w:hAnsi="宋体" w:eastAsia="宋体" w:cs="Times New Roman"/>
          <w:b/>
          <w:kern w:val="2"/>
          <w:sz w:val="24"/>
          <w:szCs w:val="24"/>
          <w:lang w:val="en-US" w:eastAsia="zh-CN" w:bidi="ar-SA"/>
        </w:rPr>
        <w:t>遵守法律</w:t>
      </w:r>
      <w:r>
        <w:rPr>
          <w:rStyle w:val="25"/>
          <w:rFonts w:ascii="宋体" w:hAnsi="宋体" w:eastAsia="宋体" w:cs="Times New Roman"/>
          <w:kern w:val="2"/>
          <w:sz w:val="24"/>
          <w:szCs w:val="24"/>
          <w:lang w:val="en-US" w:eastAsia="zh-CN" w:bidi="ar-SA"/>
        </w:rPr>
        <w:t xml:space="preserve">    </w:t>
      </w:r>
    </w:p>
    <w:p w14:paraId="0F7F763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发包人在履行合同过程中应遵守法律，并保证承包人免于承担因发包人违反法律而引起的任何责任。</w:t>
      </w:r>
    </w:p>
    <w:p w14:paraId="144EF7A6">
      <w:pPr>
        <w:pStyle w:val="46"/>
        <w:tabs>
          <w:tab w:val="left" w:pos="8280"/>
        </w:tabs>
        <w:spacing w:line="360" w:lineRule="auto"/>
        <w:rPr>
          <w:rStyle w:val="25"/>
          <w:rFonts w:ascii="宋体" w:hAnsi="宋体" w:eastAsia="宋体" w:cs="Times New Roman"/>
          <w:kern w:val="2"/>
          <w:sz w:val="24"/>
          <w:szCs w:val="24"/>
          <w:lang w:val="en-US" w:eastAsia="zh-CN" w:bidi="ar-SA"/>
        </w:rPr>
      </w:pPr>
      <w:r>
        <w:rPr>
          <w:rStyle w:val="25"/>
          <w:rFonts w:ascii="宋体" w:hAnsi="宋体" w:eastAsia="宋体" w:cs="Times New Roman"/>
          <w:b/>
          <w:kern w:val="2"/>
          <w:sz w:val="24"/>
          <w:szCs w:val="24"/>
          <w:lang w:val="en-US" w:eastAsia="zh-CN" w:bidi="ar-SA"/>
        </w:rPr>
        <w:t>2.2</w:t>
      </w:r>
      <w:r>
        <w:rPr>
          <w:rStyle w:val="25"/>
          <w:rFonts w:hint="eastAsia" w:ascii="宋体" w:hAnsi="宋体" w:eastAsia="宋体" w:cs="Times New Roman"/>
          <w:b/>
          <w:kern w:val="2"/>
          <w:sz w:val="24"/>
          <w:szCs w:val="24"/>
          <w:lang w:val="en-US" w:eastAsia="zh-CN" w:bidi="ar-SA"/>
        </w:rPr>
        <w:t>发出开工通知</w:t>
      </w:r>
    </w:p>
    <w:p w14:paraId="585AFA7A">
      <w:pPr>
        <w:pStyle w:val="46"/>
        <w:tabs>
          <w:tab w:val="left" w:pos="8280"/>
        </w:tabs>
        <w:spacing w:line="360" w:lineRule="auto"/>
        <w:ind w:firstLine="315" w:firstLineChars="150"/>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发包人应委托监理人按第11.1款的约定向承包人发出开工通知。</w:t>
      </w:r>
    </w:p>
    <w:p w14:paraId="0A27A906">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2.3</w:t>
      </w:r>
      <w:r>
        <w:rPr>
          <w:rStyle w:val="25"/>
          <w:rFonts w:hint="eastAsia" w:ascii="宋体" w:hAnsi="宋体" w:eastAsia="宋体" w:cs="Times New Roman"/>
          <w:b/>
          <w:kern w:val="2"/>
          <w:sz w:val="24"/>
          <w:szCs w:val="24"/>
          <w:lang w:val="en-US" w:eastAsia="zh-CN" w:bidi="ar-SA"/>
        </w:rPr>
        <w:t>提供施工场地</w:t>
      </w:r>
    </w:p>
    <w:p w14:paraId="4B1C62F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2.3.1发包人应在合同双方签订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p>
    <w:p w14:paraId="73A71E7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2.3.2发包人提供的施工用地范围在专用合同条款中约定。</w:t>
      </w:r>
    </w:p>
    <w:p w14:paraId="4CAD306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2.3.3除专用合同条款另有约定外，发包人应按技术标淮和要求(合同技术条款)的约定，向承包人提供施工场地内的工程地质图纸和报告，以及地下障碍物图纸等施工场地有关资料，并保证资料的真实、准确、完整。</w:t>
      </w:r>
    </w:p>
    <w:p w14:paraId="715DCD97">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2.4</w:t>
      </w:r>
      <w:r>
        <w:rPr>
          <w:rStyle w:val="25"/>
          <w:rFonts w:hint="eastAsia" w:ascii="宋体" w:hAnsi="宋体" w:eastAsia="宋体" w:cs="Times New Roman"/>
          <w:b/>
          <w:kern w:val="2"/>
          <w:sz w:val="24"/>
          <w:szCs w:val="24"/>
          <w:lang w:val="en-US" w:eastAsia="zh-CN" w:bidi="ar-SA"/>
        </w:rPr>
        <w:t>协助承包人办理证件和批件</w:t>
      </w:r>
    </w:p>
    <w:p w14:paraId="0ABAE11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发包人应协助承包人办理法律规定的有关施工证件和批件。</w:t>
      </w:r>
    </w:p>
    <w:p w14:paraId="73C4A6E6">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2.5</w:t>
      </w:r>
      <w:r>
        <w:rPr>
          <w:rStyle w:val="25"/>
          <w:rFonts w:hint="eastAsia" w:ascii="宋体" w:hAnsi="宋体" w:eastAsia="宋体" w:cs="Times New Roman"/>
          <w:b/>
          <w:kern w:val="2"/>
          <w:sz w:val="24"/>
          <w:szCs w:val="24"/>
          <w:lang w:val="en-US" w:eastAsia="zh-CN" w:bidi="ar-SA"/>
        </w:rPr>
        <w:t>组织设计交底</w:t>
      </w:r>
      <w:r>
        <w:rPr>
          <w:rStyle w:val="25"/>
          <w:rFonts w:ascii="宋体" w:hAnsi="宋体" w:eastAsia="宋体" w:cs="Times New Roman"/>
          <w:b/>
          <w:kern w:val="2"/>
          <w:sz w:val="24"/>
          <w:szCs w:val="24"/>
          <w:lang w:val="en-US" w:eastAsia="zh-CN" w:bidi="ar-SA"/>
        </w:rPr>
        <w:t xml:space="preserve"> </w:t>
      </w:r>
    </w:p>
    <w:p w14:paraId="0346712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发包人应根据合同进度计划，组织设计单位向承包人进行设计交底。</w:t>
      </w:r>
    </w:p>
    <w:p w14:paraId="7740E604">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2.6</w:t>
      </w:r>
      <w:r>
        <w:rPr>
          <w:rStyle w:val="25"/>
          <w:rFonts w:hint="eastAsia" w:ascii="宋体" w:hAnsi="宋体" w:eastAsia="宋体" w:cs="Times New Roman"/>
          <w:b/>
          <w:kern w:val="2"/>
          <w:sz w:val="24"/>
          <w:szCs w:val="24"/>
          <w:lang w:val="en-US" w:eastAsia="zh-CN" w:bidi="ar-SA"/>
        </w:rPr>
        <w:t>支付合同价款</w:t>
      </w:r>
    </w:p>
    <w:p w14:paraId="1897D9E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发包人应按合同约定向承包人及时支付合同价款。</w:t>
      </w:r>
    </w:p>
    <w:p w14:paraId="7F18B876">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2.7</w:t>
      </w:r>
      <w:r>
        <w:rPr>
          <w:rStyle w:val="25"/>
          <w:rFonts w:hint="eastAsia" w:ascii="宋体" w:hAnsi="宋体" w:eastAsia="宋体" w:cs="Times New Roman"/>
          <w:b/>
          <w:kern w:val="2"/>
          <w:sz w:val="24"/>
          <w:szCs w:val="24"/>
          <w:lang w:val="en-US" w:eastAsia="zh-CN" w:bidi="ar-SA"/>
        </w:rPr>
        <w:t>组织竣工验收</w:t>
      </w:r>
      <w:r>
        <w:rPr>
          <w:rStyle w:val="25"/>
          <w:rFonts w:ascii="宋体" w:hAnsi="宋体" w:eastAsia="宋体" w:cs="Times New Roman"/>
          <w:b/>
          <w:kern w:val="2"/>
          <w:sz w:val="24"/>
          <w:szCs w:val="24"/>
          <w:lang w:val="en-US" w:eastAsia="zh-CN" w:bidi="ar-SA"/>
        </w:rPr>
        <w:t>(</w:t>
      </w:r>
      <w:r>
        <w:rPr>
          <w:rStyle w:val="25"/>
          <w:rFonts w:hint="eastAsia" w:ascii="宋体" w:hAnsi="宋体" w:eastAsia="宋体" w:cs="Times New Roman"/>
          <w:b/>
          <w:kern w:val="2"/>
          <w:sz w:val="24"/>
          <w:szCs w:val="24"/>
          <w:lang w:val="en-US" w:eastAsia="zh-CN" w:bidi="ar-SA"/>
        </w:rPr>
        <w:t>组织法人验收</w:t>
      </w:r>
      <w:r>
        <w:rPr>
          <w:rStyle w:val="25"/>
          <w:rFonts w:ascii="宋体" w:hAnsi="宋体" w:eastAsia="宋体" w:cs="Times New Roman"/>
          <w:b/>
          <w:kern w:val="2"/>
          <w:sz w:val="24"/>
          <w:szCs w:val="24"/>
          <w:lang w:val="en-US" w:eastAsia="zh-CN" w:bidi="ar-SA"/>
        </w:rPr>
        <w:t>)</w:t>
      </w:r>
    </w:p>
    <w:p w14:paraId="2DE726C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发包人应按合同约定及时组织竣工验收。</w:t>
      </w:r>
    </w:p>
    <w:p w14:paraId="1E4EC8D4">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2.8</w:t>
      </w:r>
      <w:r>
        <w:rPr>
          <w:rStyle w:val="25"/>
          <w:rFonts w:hint="eastAsia" w:ascii="宋体" w:hAnsi="宋体" w:eastAsia="宋体" w:cs="Times New Roman"/>
          <w:b/>
          <w:kern w:val="2"/>
          <w:sz w:val="24"/>
          <w:szCs w:val="24"/>
          <w:lang w:val="en-US" w:eastAsia="zh-CN" w:bidi="ar-SA"/>
        </w:rPr>
        <w:t>其他义务</w:t>
      </w:r>
    </w:p>
    <w:p w14:paraId="365CB10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其它义务在专用合同条款中补充约定。</w:t>
      </w:r>
    </w:p>
    <w:p w14:paraId="32BA08B9">
      <w:pPr>
        <w:pStyle w:val="47"/>
        <w:rPr>
          <w:rStyle w:val="25"/>
          <w:kern w:val="2"/>
          <w:lang w:val="en-US" w:eastAsia="zh-CN" w:bidi="ar-SA"/>
        </w:rPr>
      </w:pPr>
      <w:r>
        <w:rPr>
          <w:rStyle w:val="25"/>
          <w:rFonts w:hint="eastAsia"/>
          <w:kern w:val="2"/>
          <w:lang w:val="en-US" w:eastAsia="zh-CN" w:bidi="ar-SA"/>
        </w:rPr>
        <w:t>3 监理人</w:t>
      </w:r>
    </w:p>
    <w:p w14:paraId="09D9E5CF">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3</w:t>
      </w:r>
      <w:r>
        <w:rPr>
          <w:rStyle w:val="25"/>
          <w:rFonts w:hint="eastAsia" w:ascii="宋体" w:hAnsi="宋体" w:eastAsia="宋体" w:cs="Times New Roman"/>
          <w:b/>
          <w:kern w:val="2"/>
          <w:sz w:val="24"/>
          <w:szCs w:val="24"/>
          <w:lang w:val="en-US" w:eastAsia="zh-CN" w:bidi="ar-SA"/>
        </w:rPr>
        <w:t>．</w:t>
      </w: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监理人的职责和权力</w:t>
      </w:r>
    </w:p>
    <w:p w14:paraId="6D0B19F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3.1.1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14:paraId="1E6FD1E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3.1.2监理人发出的任何指示应视为已得到发包人的批准，但监理人无权免除或变更合同约定的发包人和承包人的权利、义务和责任。</w:t>
      </w:r>
    </w:p>
    <w:p w14:paraId="52889D7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4"/>
          <w:szCs w:val="24"/>
          <w:lang w:val="en-US" w:eastAsia="zh-CN" w:bidi="ar-SA"/>
        </w:rPr>
      </w:pPr>
      <w:r>
        <w:rPr>
          <w:rStyle w:val="25"/>
          <w:rFonts w:hint="eastAsia" w:ascii="宋体" w:hAnsi="宋体" w:eastAsia="宋体" w:cs="Times New Roman"/>
          <w:kern w:val="2"/>
          <w:sz w:val="21"/>
          <w:szCs w:val="21"/>
          <w:lang w:val="en-US" w:eastAsia="zh-CN" w:bidi="ar-SA"/>
        </w:rPr>
        <w:t xml:space="preserve">3.1.3合同约定应由承包人承担的义务和责任，不因监理人对承包人提交文件的审查或批准，对工程、材料和设备的检查和检验，以及为实施监理作出的指示等职务行为而减轻或解除。 </w:t>
      </w:r>
      <w:r>
        <w:rPr>
          <w:rStyle w:val="25"/>
          <w:rFonts w:ascii="宋体" w:hAnsi="宋体" w:eastAsia="宋体" w:cs="Times New Roman"/>
          <w:kern w:val="2"/>
          <w:sz w:val="24"/>
          <w:szCs w:val="24"/>
          <w:lang w:val="en-US" w:eastAsia="zh-CN" w:bidi="ar-SA"/>
        </w:rPr>
        <w:t xml:space="preserve">  </w:t>
      </w:r>
    </w:p>
    <w:p w14:paraId="67C082F3">
      <w:pPr>
        <w:pStyle w:val="46"/>
        <w:tabs>
          <w:tab w:val="left" w:pos="8280"/>
        </w:tabs>
        <w:spacing w:line="360" w:lineRule="auto"/>
        <w:rPr>
          <w:rStyle w:val="25"/>
          <w:rFonts w:ascii="宋体" w:hAnsi="宋体" w:eastAsia="宋体" w:cs="Times New Roman"/>
          <w:kern w:val="2"/>
          <w:sz w:val="24"/>
          <w:szCs w:val="24"/>
          <w:lang w:val="en-US" w:eastAsia="zh-CN" w:bidi="ar-SA"/>
        </w:rPr>
      </w:pPr>
      <w:r>
        <w:rPr>
          <w:rStyle w:val="25"/>
          <w:rFonts w:ascii="宋体" w:hAnsi="宋体" w:eastAsia="宋体" w:cs="Times New Roman"/>
          <w:b/>
          <w:kern w:val="2"/>
          <w:sz w:val="24"/>
          <w:szCs w:val="24"/>
          <w:lang w:val="en-US" w:eastAsia="zh-CN" w:bidi="ar-SA"/>
        </w:rPr>
        <w:t>3.2</w:t>
      </w:r>
      <w:r>
        <w:rPr>
          <w:rStyle w:val="25"/>
          <w:rFonts w:hint="eastAsia" w:ascii="宋体" w:hAnsi="宋体" w:eastAsia="宋体" w:cs="Times New Roman"/>
          <w:b/>
          <w:kern w:val="2"/>
          <w:sz w:val="24"/>
          <w:szCs w:val="24"/>
          <w:lang w:val="en-US" w:eastAsia="zh-CN" w:bidi="ar-SA"/>
        </w:rPr>
        <w:t>总监理工程师</w:t>
      </w:r>
    </w:p>
    <w:p w14:paraId="32FA7B8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发包人应在发出开工通知前将总监理工程师的任命通知承包人。总监理工程师更换时，应在调离14天前通知承包人。总监理工程师短期离开施工场地的，应委派代表代行其职责，并通知承包人。</w:t>
      </w:r>
    </w:p>
    <w:p w14:paraId="674646E8">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3.3</w:t>
      </w:r>
      <w:r>
        <w:rPr>
          <w:rStyle w:val="25"/>
          <w:rFonts w:hint="eastAsia" w:ascii="宋体" w:hAnsi="宋体" w:eastAsia="宋体" w:cs="Times New Roman"/>
          <w:b/>
          <w:kern w:val="2"/>
          <w:sz w:val="24"/>
          <w:szCs w:val="24"/>
          <w:lang w:val="en-US" w:eastAsia="zh-CN" w:bidi="ar-SA"/>
        </w:rPr>
        <w:t>监理人员</w:t>
      </w:r>
    </w:p>
    <w:p w14:paraId="73940A1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3.3.1总监理工程师可以授权其他监理人员负责执行其指派的一项或多项监理工作。总监理工程师应将被援权监理人员的姓名及其授权范围通知承包人。被授权的监理人员在授权范围内发出的指示视为己得到总监理工程师的同意，与总监理工程师发出的指示具有同等效力。总监理工程师撤销某项授权时，应将撤销授权的决定及时通知承包人。</w:t>
      </w:r>
    </w:p>
    <w:p w14:paraId="4CBACC8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3.3.2监理入员对承包入的任何工作、工程或其采用的材料和工程设备未在约定的或合理的期限内提出否定意见的，视为已获批准，但不影响监理人在以后拒绝该项工作、工程、材料或工程设备的权利。</w:t>
      </w:r>
    </w:p>
    <w:p w14:paraId="00A9009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3.3.3承包人对总监理工程师授权的监理人员发出的指示有疑问的，可向总监理工程师提出书面异议，总监理工程师应在48小时内对该指示予以确认、更改或撤销。</w:t>
      </w:r>
    </w:p>
    <w:p w14:paraId="031D7CC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3.3.4除专用合同条款另有约定外，总监理工程师不应将第3.5款约定应由总监理工程师作出确定的权力授权或委托给其他监理人员。</w:t>
      </w:r>
    </w:p>
    <w:p w14:paraId="6AEB7898">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3.4</w:t>
      </w:r>
      <w:r>
        <w:rPr>
          <w:rStyle w:val="25"/>
          <w:rFonts w:hint="eastAsia" w:ascii="宋体" w:hAnsi="宋体" w:eastAsia="宋体" w:cs="Times New Roman"/>
          <w:b/>
          <w:kern w:val="2"/>
          <w:sz w:val="24"/>
          <w:szCs w:val="24"/>
          <w:lang w:val="en-US" w:eastAsia="zh-CN" w:bidi="ar-SA"/>
        </w:rPr>
        <w:t>监理人的指示</w:t>
      </w:r>
    </w:p>
    <w:p w14:paraId="143115B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3.4.1监理人应按第3.1款的约定向承包人发出指示，监理入的指示应盖有监理人授权的施工场地机构章，并由总监理工程师或总监理工程师按第3.3.1项约定授权的监理人员签字。    </w:t>
      </w:r>
    </w:p>
    <w:p w14:paraId="26A0542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3.4.2承包人收到监理人按第3.4.1项作出的指示后应遵照执行。指示构成变更的，应按第23条处理。</w:t>
      </w:r>
    </w:p>
    <w:p w14:paraId="329299C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3.4.3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298E0FC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3.4.4除合同另有约定外，承包入只从总监理工程师或按第3.3..1项被授权的l监理人员处取得指示。</w:t>
      </w:r>
    </w:p>
    <w:p w14:paraId="30A9EAB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3.4.5由于监理人未能按合同约定发出指示、指示延误或指示错误而导致承包人费用增加和(或)工期延误的，由发包人承担赔偿责任。</w:t>
      </w:r>
    </w:p>
    <w:p w14:paraId="2C0C1CF7">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3.5</w:t>
      </w:r>
      <w:r>
        <w:rPr>
          <w:rStyle w:val="25"/>
          <w:rFonts w:hint="eastAsia" w:ascii="宋体" w:hAnsi="宋体" w:eastAsia="宋体" w:cs="Times New Roman"/>
          <w:b/>
          <w:kern w:val="2"/>
          <w:sz w:val="24"/>
          <w:szCs w:val="24"/>
          <w:lang w:val="en-US" w:eastAsia="zh-CN" w:bidi="ar-SA"/>
        </w:rPr>
        <w:t>商定或确定</w:t>
      </w:r>
    </w:p>
    <w:p w14:paraId="5B3A347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3.5.1合同约定总监理工程师应按照本款对任何事项进行商定或确定时，总监理工程师应与合同当事人协商，尽量达成一致。不能达成一致的，总监理工程师应认真研究后审慎确定。   </w:t>
      </w:r>
    </w:p>
    <w:p w14:paraId="053D92C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3.5.2总监理工程币应将商定或确定的事项通知合同当事人，并附详细依据。对总监理工程师的确定有异议的，构成争议，按照第22条的约定处理。在争议解决前，双方应暂按总监理工程师的确定执行，按照第22条的约定对总监理工程师的确定作出修改的，按修改后的结果执行。</w:t>
      </w:r>
    </w:p>
    <w:p w14:paraId="1FF3BC1E">
      <w:pPr>
        <w:pStyle w:val="47"/>
        <w:rPr>
          <w:rStyle w:val="25"/>
          <w:kern w:val="2"/>
          <w:lang w:val="en-US" w:eastAsia="zh-CN" w:bidi="ar-SA"/>
        </w:rPr>
      </w:pPr>
      <w:r>
        <w:rPr>
          <w:rStyle w:val="25"/>
          <w:rFonts w:hint="eastAsia"/>
          <w:kern w:val="2"/>
          <w:lang w:val="en-US" w:eastAsia="zh-CN" w:bidi="ar-SA"/>
        </w:rPr>
        <w:t xml:space="preserve">4 承包人   </w:t>
      </w:r>
    </w:p>
    <w:p w14:paraId="6186F2C8">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4.1</w:t>
      </w:r>
      <w:r>
        <w:rPr>
          <w:rStyle w:val="25"/>
          <w:rFonts w:hint="eastAsia" w:ascii="宋体" w:hAnsi="宋体" w:eastAsia="宋体" w:cs="Times New Roman"/>
          <w:b/>
          <w:kern w:val="2"/>
          <w:sz w:val="24"/>
          <w:szCs w:val="24"/>
          <w:lang w:val="en-US" w:eastAsia="zh-CN" w:bidi="ar-SA"/>
        </w:rPr>
        <w:t>承包人的一般义务</w:t>
      </w:r>
    </w:p>
    <w:p w14:paraId="3098383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4.1.1遵守法律</w:t>
      </w:r>
    </w:p>
    <w:p w14:paraId="0E55462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承包人在履行合同过程中应遵守法律，并保证发包人免于承担因承包人违反法律而引起的任何责任。 </w:t>
      </w:r>
    </w:p>
    <w:p w14:paraId="19B16F6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4.1.2依法纳税</w:t>
      </w:r>
    </w:p>
    <w:p w14:paraId="5C5F3A4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承包人应按有关法律规定纳税，应缴纳的税金包括在合同价格内。</w:t>
      </w:r>
    </w:p>
    <w:p w14:paraId="0A1BD40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4.1.3完成各项承包工作</w:t>
      </w:r>
    </w:p>
    <w:p w14:paraId="5B0D660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应按合同约定以及监理人根据第3.4款作出的指示，实施、完成全部工程，并修补工程中的任何缺陷。除第5.2款、第6.2款另有约定外，承包人应提供为完成合同工作所需的劳务、材料、施工设备、工程设备和其它物品，并按合同约定负责临时设施的设计、建造、运行、维护、管理和拆除。</w:t>
      </w:r>
    </w:p>
    <w:p w14:paraId="6DFEB8B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4.1.4对施工作业和施工方法的完备性负责</w:t>
      </w:r>
    </w:p>
    <w:p w14:paraId="6178385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承包人应按合同约定的工作内容和工 进度要求，编制  组织设计和施工措施计划，并对所有施工作业和施工方法的完备性和安全可靠性负责。</w:t>
      </w:r>
    </w:p>
    <w:p w14:paraId="633BD48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4.1.5保证工程施工和人员的安全</w:t>
      </w:r>
    </w:p>
    <w:p w14:paraId="6CAB8AA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承包人应按第9.2款约定采取施工安全措施，确保工程及其人员、材料、设备和设施的安全，防止因工程施工造成的人身伤害和财产损失。</w:t>
      </w:r>
    </w:p>
    <w:p w14:paraId="7AA8402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4.1.6负责施工场地及其周边环境与生态的保护工作</w:t>
      </w:r>
    </w:p>
    <w:p w14:paraId="694CFB2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承包人应按照第9.4款约定负责施工场地及其周边环境与生态的保护工作。</w:t>
      </w:r>
    </w:p>
    <w:p w14:paraId="64739D8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4.1.7避免施工对公众与他人的利益造成损害</w:t>
      </w:r>
    </w:p>
    <w:p w14:paraId="144124F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入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5481B77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4.1.8为他人提供方便</w:t>
      </w:r>
    </w:p>
    <w:p w14:paraId="252C9EE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承包人应按监理人的指示为他人在施工场地或附近实施与工程有关的其他各项工作提供可能的条件。除合同另有约定外，提供有关条件的内容和可能发生的费用，由监理人按第3.5款商定或确定。</w:t>
      </w:r>
    </w:p>
    <w:p w14:paraId="7CD52B2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4.1.9工程的维护和照管</w:t>
      </w:r>
    </w:p>
    <w:p w14:paraId="32085F7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除合同另有约定外，合同工程完工证书颁发前，承包人应负责照管和维护工程。合同工程完工证书颁发时尚有部分未完工程的，承包人还应负责该未完工程的照管和维护工作，直至完工后移交给发包人为止。</w:t>
      </w:r>
    </w:p>
    <w:p w14:paraId="09C51EE6">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4.2</w:t>
      </w:r>
      <w:r>
        <w:rPr>
          <w:rStyle w:val="25"/>
          <w:rFonts w:hint="eastAsia" w:ascii="宋体" w:hAnsi="宋体" w:eastAsia="宋体" w:cs="Times New Roman"/>
          <w:b/>
          <w:kern w:val="2"/>
          <w:sz w:val="24"/>
          <w:szCs w:val="24"/>
          <w:lang w:val="en-US" w:eastAsia="zh-CN" w:bidi="ar-SA"/>
        </w:rPr>
        <w:t>履约担保</w:t>
      </w:r>
      <w:r>
        <w:rPr>
          <w:rStyle w:val="25"/>
          <w:rFonts w:ascii="宋体" w:hAnsi="宋体" w:eastAsia="宋体" w:cs="Times New Roman"/>
          <w:b/>
          <w:kern w:val="2"/>
          <w:sz w:val="24"/>
          <w:szCs w:val="24"/>
          <w:lang w:val="en-US" w:eastAsia="zh-CN" w:bidi="ar-SA"/>
        </w:rPr>
        <w:t xml:space="preserve">  </w:t>
      </w:r>
    </w:p>
    <w:p w14:paraId="372B2CB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承包人应保证其履约担保在发包入颁发合同工程完工证书前一直有效发包入应在合同工程完工证书颁发后28天内将履约担保退还给承包人。</w:t>
      </w:r>
    </w:p>
    <w:p w14:paraId="75AC1292">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4.3</w:t>
      </w:r>
      <w:r>
        <w:rPr>
          <w:rStyle w:val="25"/>
          <w:rFonts w:hint="eastAsia" w:ascii="宋体" w:hAnsi="宋体" w:eastAsia="宋体" w:cs="Times New Roman"/>
          <w:b/>
          <w:kern w:val="2"/>
          <w:sz w:val="24"/>
          <w:szCs w:val="24"/>
          <w:lang w:val="en-US" w:eastAsia="zh-CN" w:bidi="ar-SA"/>
        </w:rPr>
        <w:t>分包</w:t>
      </w:r>
    </w:p>
    <w:p w14:paraId="6807C25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4.3.1承包人不得将其承包的全部工程转包给第三人，或将其承包的全部工程肢解后以分包的名义转包给。    </w:t>
      </w:r>
    </w:p>
    <w:p w14:paraId="3400203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4.3.2承包人不得将工程主体、关键性工作分包给第三人。除专用合同条款另有约定外，未经发包人同意，承包人不得将工程的其他部分或工作分包给第三人。</w:t>
      </w:r>
    </w:p>
    <w:p w14:paraId="6B75C321">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4.4</w:t>
      </w:r>
      <w:r>
        <w:rPr>
          <w:rStyle w:val="25"/>
          <w:rFonts w:hint="eastAsia" w:ascii="宋体" w:hAnsi="宋体" w:eastAsia="宋体" w:cs="Times New Roman"/>
          <w:b/>
          <w:kern w:val="2"/>
          <w:sz w:val="24"/>
          <w:szCs w:val="24"/>
          <w:lang w:val="en-US" w:eastAsia="zh-CN" w:bidi="ar-SA"/>
        </w:rPr>
        <w:t>承包人项目经理</w:t>
      </w:r>
    </w:p>
    <w:p w14:paraId="383CEC0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4.4.1承包人应按合同约定指派项目经理，并在约定的期限内到位。承包人更换项目经理应事先征得发包人同意，并应在更换14天前通知发包人和监理人。承包人项目经理短期离开施工场地，应事先征得监理人同意，并委派代表代行其职责。</w:t>
      </w:r>
    </w:p>
    <w:p w14:paraId="6FCD96D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4.4.2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551F492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4.4.3承包人为履行合同发出的一切函件均应盖有承包人授权的施工场地管理机构章，并由承包人项目经理或其授权代表签字。</w:t>
      </w:r>
    </w:p>
    <w:p w14:paraId="0E9E955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4.4.4承包人项目经理可以授权其下属人员履行其某项职责，但事先应将这些人员的姓名和授权范围通知监理人。    </w:t>
      </w:r>
    </w:p>
    <w:p w14:paraId="67B62600">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4.6</w:t>
      </w:r>
      <w:r>
        <w:rPr>
          <w:rStyle w:val="25"/>
          <w:rFonts w:hint="eastAsia" w:ascii="宋体" w:hAnsi="宋体" w:eastAsia="宋体" w:cs="Times New Roman"/>
          <w:b/>
          <w:kern w:val="2"/>
          <w:sz w:val="24"/>
          <w:szCs w:val="24"/>
          <w:lang w:val="en-US" w:eastAsia="zh-CN" w:bidi="ar-SA"/>
        </w:rPr>
        <w:t>承包人人员的管理</w:t>
      </w:r>
    </w:p>
    <w:p w14:paraId="3F7417F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4.6.1承包入应在接到开工通知后28天内，向监理入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350CAB2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4.6.2为完成合同约定的各项工作，承包人应向施工场地派遣或雇佣足够数量的下列人员：</w:t>
      </w:r>
    </w:p>
    <w:p w14:paraId="3159508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(1)具有相应资格的专业技工和合格的普工；    </w:t>
      </w:r>
    </w:p>
    <w:p w14:paraId="0371716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(2)具有相应施工经验的技术人员；</w:t>
      </w:r>
    </w:p>
    <w:p w14:paraId="14A0212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(3)具有相应岗位资格的各级管理入员。</w:t>
      </w:r>
    </w:p>
    <w:p w14:paraId="26AC9FB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4.6.3承包人安排在施工场地的主要管理人员和技术骨干应相对稳定。承包人更换主要管理人员和技术骨干时，应取得监理人的同意。</w:t>
      </w:r>
    </w:p>
    <w:p w14:paraId="3C32600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4.6.4特殊岗位的工作人员均应持有相应的资格证明，监理人有权随时检查。监理人认为有必要时，可进行现场考核。</w:t>
      </w:r>
    </w:p>
    <w:p w14:paraId="28BADF71">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4.7</w:t>
      </w:r>
      <w:r>
        <w:rPr>
          <w:rStyle w:val="25"/>
          <w:rFonts w:hint="eastAsia" w:ascii="宋体" w:hAnsi="宋体" w:eastAsia="宋体" w:cs="Times New Roman"/>
          <w:b/>
          <w:kern w:val="2"/>
          <w:sz w:val="24"/>
          <w:szCs w:val="24"/>
          <w:lang w:val="en-US" w:eastAsia="zh-CN" w:bidi="ar-SA"/>
        </w:rPr>
        <w:t>撤换承包人项目经理和其他人员</w:t>
      </w:r>
    </w:p>
    <w:p w14:paraId="4C119C7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承包人应对其项目经理和其他人员进行有效管理。监理人要求撤换不能胜任本职工作、行为不端或玩忽职守的承包人项目经理和其他人员的，承包人应予以撤换。</w:t>
      </w:r>
    </w:p>
    <w:p w14:paraId="733E7C3F">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4.8</w:t>
      </w:r>
      <w:r>
        <w:rPr>
          <w:rStyle w:val="25"/>
          <w:rFonts w:hint="eastAsia" w:ascii="宋体" w:hAnsi="宋体" w:eastAsia="宋体" w:cs="Times New Roman"/>
          <w:b/>
          <w:kern w:val="2"/>
          <w:sz w:val="24"/>
          <w:szCs w:val="24"/>
          <w:lang w:val="en-US" w:eastAsia="zh-CN" w:bidi="ar-SA"/>
        </w:rPr>
        <w:t>保障承包人人员的合法权益</w:t>
      </w:r>
    </w:p>
    <w:p w14:paraId="461A0F8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4.8.1承包人应与其雇佣的人员签订劳动合同，并按时发放工资。</w:t>
      </w:r>
    </w:p>
    <w:p w14:paraId="3F149CD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4.8.2承包人应按劳动法的规定安排工作时间，保证其雇佣人员享有休息和休假的权利。因工程施工的特殊需要占用休假日或延长工作时间的，应不超过法律规定的限度，并按法律规定给予补休或付酬。</w:t>
      </w:r>
    </w:p>
    <w:p w14:paraId="52D1CDB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4.8.3承包人应为其雇佣人员提供必要的食宿条件，以及符合环境保护和卫生要求的生活环境，在远离城镇的施工场地，还应配备必要的伤病防治和急救的医务人员与医疗设施。</w:t>
      </w:r>
    </w:p>
    <w:p w14:paraId="68A87CA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4.8.4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48AD1CB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4.8.5承包人应按有关法律规定和合同约定，为其雇佣人员办理保险。</w:t>
      </w:r>
    </w:p>
    <w:p w14:paraId="178F42D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4.8.6承包人应负责处理其雇佣人员因工伤亡事故的善后事宜。</w:t>
      </w:r>
    </w:p>
    <w:p w14:paraId="4DAAC872">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4.9</w:t>
      </w:r>
      <w:r>
        <w:rPr>
          <w:rStyle w:val="25"/>
          <w:rFonts w:hint="eastAsia" w:ascii="宋体" w:hAnsi="宋体" w:eastAsia="宋体" w:cs="Times New Roman"/>
          <w:b/>
          <w:kern w:val="2"/>
          <w:sz w:val="24"/>
          <w:szCs w:val="24"/>
          <w:lang w:val="en-US" w:eastAsia="zh-CN" w:bidi="ar-SA"/>
        </w:rPr>
        <w:t>工程价款应专款专用</w:t>
      </w:r>
      <w:r>
        <w:rPr>
          <w:rStyle w:val="25"/>
          <w:rFonts w:ascii="宋体" w:hAnsi="宋体" w:eastAsia="宋体" w:cs="Times New Roman"/>
          <w:b/>
          <w:kern w:val="2"/>
          <w:sz w:val="24"/>
          <w:szCs w:val="24"/>
          <w:lang w:val="en-US" w:eastAsia="zh-CN" w:bidi="ar-SA"/>
        </w:rPr>
        <w:t xml:space="preserve">   </w:t>
      </w:r>
    </w:p>
    <w:p w14:paraId="19EA09F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发包人按合同约定支付给承包人的各项价款应专用于合同工程。</w:t>
      </w:r>
    </w:p>
    <w:p w14:paraId="158C6E13">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4.10</w:t>
      </w:r>
      <w:r>
        <w:rPr>
          <w:rStyle w:val="25"/>
          <w:rFonts w:hint="eastAsia" w:ascii="宋体" w:hAnsi="宋体" w:eastAsia="宋体" w:cs="Times New Roman"/>
          <w:b/>
          <w:kern w:val="2"/>
          <w:sz w:val="24"/>
          <w:szCs w:val="24"/>
          <w:lang w:val="en-US" w:eastAsia="zh-CN" w:bidi="ar-SA"/>
        </w:rPr>
        <w:t>承包人现场查勘</w:t>
      </w:r>
    </w:p>
    <w:p w14:paraId="3FFC452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4.10.1发包人应将其持有的现场地质勘探资料、水文气象资料提供给承包人并对其准确性负责。但承包人应对其阅读上述有关资料后所作出的解释和推断负责。</w:t>
      </w:r>
    </w:p>
    <w:p w14:paraId="46B55E2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4.10.2承包人应对施工场地和周围环境进行查勘，并收集有关地质、水文、气象条件、交通条件、风俗习惯以及其他为完成合同工作有关的当地资料。在全部合同工作中，应视为承包人己充分估计了应承担的责任和风险。</w:t>
      </w:r>
    </w:p>
    <w:p w14:paraId="712E7A28">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4.11</w:t>
      </w:r>
      <w:r>
        <w:rPr>
          <w:rStyle w:val="25"/>
          <w:rFonts w:hint="eastAsia" w:ascii="宋体" w:hAnsi="宋体" w:eastAsia="宋体" w:cs="Times New Roman"/>
          <w:b/>
          <w:kern w:val="2"/>
          <w:sz w:val="24"/>
          <w:szCs w:val="24"/>
          <w:lang w:val="en-US" w:eastAsia="zh-CN" w:bidi="ar-SA"/>
        </w:rPr>
        <w:t>不利物质条件</w:t>
      </w:r>
      <w:r>
        <w:rPr>
          <w:rStyle w:val="25"/>
          <w:rFonts w:ascii="宋体" w:hAnsi="宋体" w:eastAsia="宋体" w:cs="Times New Roman"/>
          <w:b/>
          <w:kern w:val="2"/>
          <w:sz w:val="24"/>
          <w:szCs w:val="24"/>
          <w:lang w:val="en-US" w:eastAsia="zh-CN" w:bidi="ar-SA"/>
        </w:rPr>
        <w:t xml:space="preserve">    </w:t>
      </w:r>
    </w:p>
    <w:p w14:paraId="0711CBC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4.11.1除专用合同条款另有约定外，不利物质条件是指在施工中遭遇不可预见的外界障碍或自然条件造成施工受阻。</w:t>
      </w:r>
    </w:p>
    <w:p w14:paraId="366636F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4.11.2承包人遇到不利物质条件时，应采取适应不利物质条件的合理措施继续施工，并及时通知监理人。承包人有权根据第21.1款的约定，，要求延长工期及增加费用。监理人收到此类要求后，应在分析上述外界障碍或自然条件是否不可预见及不可预见程度的基础上，按照通用合同条款第15条的约定办理。</w:t>
      </w:r>
    </w:p>
    <w:p w14:paraId="01EAEAAF">
      <w:pPr>
        <w:pStyle w:val="47"/>
        <w:rPr>
          <w:rStyle w:val="25"/>
          <w:kern w:val="2"/>
          <w:lang w:val="en-US" w:eastAsia="zh-CN" w:bidi="ar-SA"/>
        </w:rPr>
      </w:pPr>
      <w:r>
        <w:rPr>
          <w:rStyle w:val="25"/>
          <w:rFonts w:hint="eastAsia"/>
          <w:kern w:val="2"/>
          <w:lang w:val="en-US" w:eastAsia="zh-CN" w:bidi="ar-SA"/>
        </w:rPr>
        <w:t xml:space="preserve">5 材料和工程设备    </w:t>
      </w:r>
    </w:p>
    <w:p w14:paraId="775D7903">
      <w:pPr>
        <w:pStyle w:val="46"/>
        <w:tabs>
          <w:tab w:val="left" w:pos="8280"/>
        </w:tabs>
        <w:spacing w:line="360" w:lineRule="auto"/>
        <w:ind w:right="-315" w:rightChars="-150"/>
        <w:rPr>
          <w:rStyle w:val="25"/>
          <w:rFonts w:hint="eastAsia"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5.1</w:t>
      </w:r>
      <w:r>
        <w:rPr>
          <w:rStyle w:val="25"/>
          <w:rFonts w:hint="eastAsia" w:ascii="宋体" w:hAnsi="宋体" w:eastAsia="宋体" w:cs="Times New Roman"/>
          <w:b/>
          <w:kern w:val="2"/>
          <w:sz w:val="24"/>
          <w:szCs w:val="24"/>
          <w:lang w:val="en-US" w:eastAsia="zh-CN" w:bidi="ar-SA"/>
        </w:rPr>
        <w:t>承包人提供的材料和工程设备</w:t>
      </w:r>
    </w:p>
    <w:p w14:paraId="68D5BC8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5.1.1除第5.2款约定由发包人提供的材料和工程设备外，承包人负责采购、运输和保管完成本合同工作所需的材料和工程设备。承包人应对其采购的材料和工程设备负责。</w:t>
      </w:r>
    </w:p>
    <w:p w14:paraId="2E1069C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5.1.2承包人应按专用合同条款的约定，将各项材料和工程设备的供货人及品种、规格、数量和供货时间等报送监理人审批。承包人应向监理人提交其负责提供的材料和工程设备的量证明文件，并满足合同约定的质量标准。</w:t>
      </w:r>
    </w:p>
    <w:p w14:paraId="0CC0226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4373000D">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5.2</w:t>
      </w:r>
      <w:r>
        <w:rPr>
          <w:rStyle w:val="25"/>
          <w:rFonts w:hint="eastAsia" w:ascii="宋体" w:hAnsi="宋体" w:eastAsia="宋体" w:cs="Times New Roman"/>
          <w:b/>
          <w:kern w:val="2"/>
          <w:sz w:val="24"/>
          <w:szCs w:val="24"/>
          <w:lang w:val="en-US" w:eastAsia="zh-CN" w:bidi="ar-SA"/>
        </w:rPr>
        <w:t>禁止使用不合格的材料和工程设备</w:t>
      </w:r>
    </w:p>
    <w:p w14:paraId="4EFAF75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5.2.1监理人有权拒绝承包人提供的不合格材料或工程设备，并要求承包人立即进行更换。监理人应在更换后再次进行检查和检验，由此增加的费用和(或)工期延误由承包人承担。</w:t>
      </w:r>
    </w:p>
    <w:p w14:paraId="58A7A49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5.2.2监理人发现承包人使用了不合格的材料和工程设备，应即时发出指示要求承包人立即改正，并禁止在工程中继续使用不合格的材料和工程设备。</w:t>
      </w:r>
    </w:p>
    <w:p w14:paraId="5B28D302">
      <w:pPr>
        <w:pStyle w:val="47"/>
        <w:rPr>
          <w:rStyle w:val="25"/>
          <w:kern w:val="2"/>
          <w:lang w:val="en-US" w:eastAsia="zh-CN" w:bidi="ar-SA"/>
        </w:rPr>
      </w:pPr>
      <w:r>
        <w:rPr>
          <w:rStyle w:val="25"/>
          <w:rFonts w:hint="eastAsia"/>
          <w:kern w:val="2"/>
          <w:lang w:val="en-US" w:eastAsia="zh-CN" w:bidi="ar-SA"/>
        </w:rPr>
        <w:t>6 施工设备和临时设施</w:t>
      </w:r>
    </w:p>
    <w:p w14:paraId="385E3C77">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6.1</w:t>
      </w:r>
      <w:r>
        <w:rPr>
          <w:rStyle w:val="25"/>
          <w:rFonts w:hint="eastAsia" w:ascii="宋体" w:hAnsi="宋体" w:eastAsia="宋体" w:cs="Times New Roman"/>
          <w:b/>
          <w:kern w:val="2"/>
          <w:sz w:val="24"/>
          <w:szCs w:val="24"/>
          <w:lang w:val="en-US" w:eastAsia="zh-CN" w:bidi="ar-SA"/>
        </w:rPr>
        <w:t>承包人提供的施工设备和临时设施</w:t>
      </w:r>
    </w:p>
    <w:p w14:paraId="24A2165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6.1.1承包人应按合同进度计划的要求，及时配置施工设备和修建临时设施。进入施工场地的承包人设备需经监理人核查后才能投入使用。承包人更换合同约定的承包人设备的，立即报监理人批准。</w:t>
      </w:r>
    </w:p>
    <w:p w14:paraId="298753A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6.1.2除专用合同条款另有约定外，承包人应自行承担修建临时设施的费用，需要临时占地的，应由发包人办理申请手续并承担相应费用。</w:t>
      </w:r>
    </w:p>
    <w:p w14:paraId="2F61DD1F">
      <w:pPr>
        <w:pStyle w:val="46"/>
        <w:tabs>
          <w:tab w:val="left" w:pos="8280"/>
        </w:tabs>
        <w:spacing w:line="360" w:lineRule="auto"/>
        <w:rPr>
          <w:rStyle w:val="25"/>
          <w:rFonts w:ascii="宋体" w:hAnsi="宋体" w:eastAsia="宋体" w:cs="Times New Roman"/>
          <w:kern w:val="2"/>
          <w:sz w:val="24"/>
          <w:szCs w:val="24"/>
          <w:lang w:val="en-US" w:eastAsia="zh-CN" w:bidi="ar-SA"/>
        </w:rPr>
      </w:pPr>
      <w:r>
        <w:rPr>
          <w:rStyle w:val="25"/>
          <w:rFonts w:ascii="宋体" w:hAnsi="宋体" w:eastAsia="宋体" w:cs="Times New Roman"/>
          <w:b/>
          <w:kern w:val="2"/>
          <w:sz w:val="24"/>
          <w:szCs w:val="24"/>
          <w:lang w:val="en-US" w:eastAsia="zh-CN" w:bidi="ar-SA"/>
        </w:rPr>
        <w:t>6.3</w:t>
      </w:r>
      <w:r>
        <w:rPr>
          <w:rStyle w:val="25"/>
          <w:rFonts w:hint="eastAsia" w:ascii="宋体" w:hAnsi="宋体" w:eastAsia="宋体" w:cs="Times New Roman"/>
          <w:b/>
          <w:kern w:val="2"/>
          <w:sz w:val="24"/>
          <w:szCs w:val="24"/>
          <w:lang w:val="en-US" w:eastAsia="zh-CN" w:bidi="ar-SA"/>
        </w:rPr>
        <w:t>要求承包人增加或更换施工设备</w:t>
      </w:r>
    </w:p>
    <w:p w14:paraId="74E4A1B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承包人使用的施工设备不能满足合同进度计划和(或)质量要求时，监理人有权要求承包人增加或更换施工设备，承包人应及时增加或更换，由此增加的费用和(或)工期延误由承包人承担。</w:t>
      </w:r>
    </w:p>
    <w:p w14:paraId="5E653A71">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6.4</w:t>
      </w:r>
      <w:r>
        <w:rPr>
          <w:rStyle w:val="25"/>
          <w:rFonts w:hint="eastAsia" w:ascii="宋体" w:hAnsi="宋体" w:eastAsia="宋体" w:cs="Times New Roman"/>
          <w:b/>
          <w:kern w:val="2"/>
          <w:sz w:val="24"/>
          <w:szCs w:val="24"/>
          <w:lang w:val="en-US" w:eastAsia="zh-CN" w:bidi="ar-SA"/>
        </w:rPr>
        <w:t>施工设备和临时设施专用于合同工程</w:t>
      </w:r>
    </w:p>
    <w:p w14:paraId="6505879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6.4.1除合同另有约定外，运入施工场地的所有施工设备以及在施工场地建设的临时设施应专用于合同工程。未经监理人同意，不得将上述施工设备和临时设施中的任何部分运出施工场地或挪作他用。</w:t>
      </w:r>
    </w:p>
    <w:p w14:paraId="2ED772F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6.4.2经监理人同意，承包人可根据合同进度计划撤走闲置的施工设备。</w:t>
      </w:r>
    </w:p>
    <w:p w14:paraId="49B0C1AA">
      <w:pPr>
        <w:pStyle w:val="47"/>
        <w:rPr>
          <w:rStyle w:val="25"/>
          <w:kern w:val="2"/>
          <w:lang w:val="en-US" w:eastAsia="zh-CN" w:bidi="ar-SA"/>
        </w:rPr>
      </w:pPr>
      <w:r>
        <w:rPr>
          <w:rStyle w:val="25"/>
          <w:rFonts w:hint="eastAsia"/>
          <w:kern w:val="2"/>
          <w:lang w:val="en-US" w:eastAsia="zh-CN" w:bidi="ar-SA"/>
        </w:rPr>
        <w:t xml:space="preserve">7 交通运输    </w:t>
      </w:r>
    </w:p>
    <w:p w14:paraId="3D283738">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7.1</w:t>
      </w:r>
      <w:r>
        <w:rPr>
          <w:rStyle w:val="25"/>
          <w:rFonts w:hint="eastAsia" w:ascii="宋体" w:hAnsi="宋体" w:eastAsia="宋体" w:cs="Times New Roman"/>
          <w:b/>
          <w:kern w:val="2"/>
          <w:sz w:val="24"/>
          <w:szCs w:val="24"/>
          <w:lang w:val="en-US" w:eastAsia="zh-CN" w:bidi="ar-SA"/>
        </w:rPr>
        <w:t>道路通行权和场外设施</w:t>
      </w:r>
      <w:r>
        <w:rPr>
          <w:rStyle w:val="25"/>
          <w:rFonts w:ascii="宋体" w:hAnsi="宋体" w:eastAsia="宋体" w:cs="Times New Roman"/>
          <w:b/>
          <w:kern w:val="2"/>
          <w:sz w:val="24"/>
          <w:szCs w:val="24"/>
          <w:lang w:val="en-US" w:eastAsia="zh-CN" w:bidi="ar-SA"/>
        </w:rPr>
        <w:t xml:space="preserve">   </w:t>
      </w:r>
    </w:p>
    <w:p w14:paraId="63A2F08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14:paraId="74A26F32">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7.2</w:t>
      </w:r>
      <w:r>
        <w:rPr>
          <w:rStyle w:val="25"/>
          <w:rFonts w:hint="eastAsia" w:ascii="宋体" w:hAnsi="宋体" w:eastAsia="宋体" w:cs="Times New Roman"/>
          <w:b/>
          <w:kern w:val="2"/>
          <w:sz w:val="24"/>
          <w:szCs w:val="24"/>
          <w:lang w:val="en-US" w:eastAsia="zh-CN" w:bidi="ar-SA"/>
        </w:rPr>
        <w:t>场内施工道路</w:t>
      </w:r>
    </w:p>
    <w:p w14:paraId="09A0F6A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承包人修建的临时道路和交通设施，应免费提供发包人、监理人以及与本合同有关的其他承包人使用。</w:t>
      </w:r>
    </w:p>
    <w:p w14:paraId="162922C7">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7.3</w:t>
      </w:r>
      <w:r>
        <w:rPr>
          <w:rStyle w:val="25"/>
          <w:rFonts w:hint="eastAsia" w:ascii="宋体" w:hAnsi="宋体" w:eastAsia="宋体" w:cs="Times New Roman"/>
          <w:b/>
          <w:kern w:val="2"/>
          <w:sz w:val="24"/>
          <w:szCs w:val="24"/>
          <w:lang w:val="en-US" w:eastAsia="zh-CN" w:bidi="ar-SA"/>
        </w:rPr>
        <w:t>场外交通</w:t>
      </w:r>
    </w:p>
    <w:p w14:paraId="65EECC6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7.3.1承包人车辆外出行驶所需的场外公共道路的通行费、养路费和税款等由承包人承担。</w:t>
      </w:r>
    </w:p>
    <w:p w14:paraId="426A839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7.3.2承包人应遵守有关交通法规，严格按照道路和桥梁的限制荷重安全行驶，并服从交通管理部门的检查和监督。</w:t>
      </w:r>
    </w:p>
    <w:p w14:paraId="5129816E">
      <w:pPr>
        <w:pStyle w:val="47"/>
        <w:rPr>
          <w:rStyle w:val="25"/>
          <w:kern w:val="2"/>
          <w:lang w:val="en-US" w:eastAsia="zh-CN" w:bidi="ar-SA"/>
        </w:rPr>
      </w:pPr>
      <w:r>
        <w:rPr>
          <w:rStyle w:val="25"/>
          <w:rFonts w:hint="eastAsia"/>
          <w:kern w:val="2"/>
          <w:lang w:val="en-US" w:eastAsia="zh-CN" w:bidi="ar-SA"/>
        </w:rPr>
        <w:t>8 测量放线</w:t>
      </w:r>
    </w:p>
    <w:p w14:paraId="7C27C62D">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8.1</w:t>
      </w:r>
      <w:r>
        <w:rPr>
          <w:rStyle w:val="25"/>
          <w:rFonts w:hint="eastAsia" w:ascii="宋体" w:hAnsi="宋体" w:eastAsia="宋体" w:cs="Times New Roman"/>
          <w:b/>
          <w:kern w:val="2"/>
          <w:sz w:val="24"/>
          <w:szCs w:val="24"/>
          <w:lang w:val="en-US" w:eastAsia="zh-CN" w:bidi="ar-SA"/>
        </w:rPr>
        <w:t>施工控制网</w:t>
      </w:r>
      <w:r>
        <w:rPr>
          <w:rStyle w:val="25"/>
          <w:rFonts w:ascii="宋体" w:hAnsi="宋体" w:eastAsia="宋体" w:cs="Times New Roman"/>
          <w:b/>
          <w:kern w:val="2"/>
          <w:sz w:val="24"/>
          <w:szCs w:val="24"/>
          <w:lang w:val="en-US" w:eastAsia="zh-CN" w:bidi="ar-SA"/>
        </w:rPr>
        <w:t xml:space="preserve"> </w:t>
      </w:r>
    </w:p>
    <w:p w14:paraId="59E7745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 </w:t>
      </w:r>
    </w:p>
    <w:p w14:paraId="40FEA47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8.1.2承包人应负责管理施工控制网点。施工控制网点丢失或损坏的，承包人应及时修复。承包人应承担施工控制网点的管理与修复费用，并在工程竣工后将施工控制网点移交发包人。</w:t>
      </w:r>
      <w:r>
        <w:rPr>
          <w:rStyle w:val="25"/>
          <w:rFonts w:ascii="宋体" w:hAnsi="宋体" w:eastAsia="宋体" w:cs="Times New Roman"/>
          <w:kern w:val="2"/>
          <w:sz w:val="21"/>
          <w:szCs w:val="21"/>
          <w:lang w:val="en-US" w:eastAsia="zh-CN" w:bidi="ar-SA"/>
        </w:rPr>
        <w:t xml:space="preserve">   </w:t>
      </w:r>
    </w:p>
    <w:p w14:paraId="3B053A51">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8.2</w:t>
      </w:r>
      <w:r>
        <w:rPr>
          <w:rStyle w:val="25"/>
          <w:rFonts w:hint="eastAsia" w:ascii="宋体" w:hAnsi="宋体" w:eastAsia="宋体" w:cs="Times New Roman"/>
          <w:b/>
          <w:kern w:val="2"/>
          <w:sz w:val="24"/>
          <w:szCs w:val="24"/>
          <w:lang w:val="en-US" w:eastAsia="zh-CN" w:bidi="ar-SA"/>
        </w:rPr>
        <w:t>施工测量</w:t>
      </w:r>
    </w:p>
    <w:p w14:paraId="3B3BCF9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8.2.1</w:t>
      </w:r>
      <w:r>
        <w:rPr>
          <w:rStyle w:val="25"/>
          <w:rFonts w:hint="eastAsia" w:ascii="宋体" w:hAnsi="宋体" w:eastAsia="宋体" w:cs="Times New Roman"/>
          <w:kern w:val="2"/>
          <w:sz w:val="21"/>
          <w:szCs w:val="21"/>
          <w:lang w:val="en-US" w:eastAsia="zh-CN" w:bidi="ar-SA"/>
        </w:rPr>
        <w:t>承包人应负责施工过程中的全部施工测量放线工作，并配置合格的人员、仪器、设备和其他物品。</w:t>
      </w:r>
    </w:p>
    <w:p w14:paraId="1C697EA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8.2.2</w:t>
      </w:r>
      <w:r>
        <w:rPr>
          <w:rStyle w:val="25"/>
          <w:rFonts w:hint="eastAsia" w:ascii="宋体" w:hAnsi="宋体" w:eastAsia="宋体" w:cs="Times New Roman"/>
          <w:kern w:val="2"/>
          <w:sz w:val="21"/>
          <w:szCs w:val="21"/>
          <w:lang w:val="en-US" w:eastAsia="zh-CN" w:bidi="ar-SA"/>
        </w:rPr>
        <w:t>监理人可以指示承包人进行抽样复测，当复测中发现错误或出现超过合同约定的误差时，承包人应按监理人指示进行修正或补测，并承担相应的复测费用。</w:t>
      </w:r>
    </w:p>
    <w:p w14:paraId="3981EA2F">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8.3</w:t>
      </w:r>
      <w:r>
        <w:rPr>
          <w:rStyle w:val="25"/>
          <w:rFonts w:hint="eastAsia" w:ascii="宋体" w:hAnsi="宋体" w:eastAsia="宋体" w:cs="Times New Roman"/>
          <w:b/>
          <w:kern w:val="2"/>
          <w:sz w:val="24"/>
          <w:szCs w:val="24"/>
          <w:lang w:val="en-US" w:eastAsia="zh-CN" w:bidi="ar-SA"/>
        </w:rPr>
        <w:t>基准资料错误的责任</w:t>
      </w:r>
    </w:p>
    <w:p w14:paraId="5BFA4B0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发包人应对其提供的测量基准点、基准线和水准点及其书面资料的真实性、准确性和完整性负责。发包人提供上述基准资料错误导致承包人测量放线工作的返工或造成工程损失的，发包人应当承担由此增加的费用和</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或</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工期延误，并向承包人支付合理利润。承包人发现发包人提供的上述基准资料存在明显错误或疏忽的，应及时通知监理人。</w:t>
      </w:r>
    </w:p>
    <w:p w14:paraId="4BFB0825">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8.4</w:t>
      </w:r>
      <w:r>
        <w:rPr>
          <w:rStyle w:val="25"/>
          <w:rFonts w:hint="eastAsia" w:ascii="宋体" w:hAnsi="宋体" w:eastAsia="宋体" w:cs="Times New Roman"/>
          <w:b/>
          <w:kern w:val="2"/>
          <w:sz w:val="24"/>
          <w:szCs w:val="24"/>
          <w:lang w:val="en-US" w:eastAsia="zh-CN" w:bidi="ar-SA"/>
        </w:rPr>
        <w:t>监理人使用施工控制网</w:t>
      </w:r>
    </w:p>
    <w:p w14:paraId="389048D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监理人需要使用施工控制网的，承包人应提供必要的协助，发包人不再为此支付费用。</w:t>
      </w:r>
    </w:p>
    <w:p w14:paraId="778C5FC4">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8.5</w:t>
      </w:r>
      <w:r>
        <w:rPr>
          <w:rStyle w:val="25"/>
          <w:rFonts w:hint="eastAsia" w:ascii="宋体" w:hAnsi="宋体" w:eastAsia="宋体" w:cs="Times New Roman"/>
          <w:b/>
          <w:kern w:val="2"/>
          <w:sz w:val="24"/>
          <w:szCs w:val="24"/>
          <w:lang w:val="en-US" w:eastAsia="zh-CN" w:bidi="ar-SA"/>
        </w:rPr>
        <w:t>补充地址勘探</w:t>
      </w:r>
    </w:p>
    <w:p w14:paraId="7C42EEC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在合同实施期间，监理人可以指示承包人进行必要的补充地址勘探并提供有关资料。承包人为本合同永久工程的需要进行补充地址勘探时，须经监理人批准，并向监理人提交有关资料，上述补充勘探的费用由发包人承担。承包人为其峰时工程设计及施工的需要进行的补充地质勘探，其费用由承包人承担。</w:t>
      </w:r>
    </w:p>
    <w:p w14:paraId="5C8007A3">
      <w:pPr>
        <w:pStyle w:val="47"/>
        <w:rPr>
          <w:rStyle w:val="25"/>
          <w:kern w:val="2"/>
          <w:lang w:val="en-US" w:eastAsia="zh-CN" w:bidi="ar-SA"/>
        </w:rPr>
      </w:pPr>
      <w:r>
        <w:rPr>
          <w:rStyle w:val="25"/>
          <w:rFonts w:hint="eastAsia"/>
          <w:kern w:val="2"/>
          <w:lang w:val="en-US" w:eastAsia="zh-CN" w:bidi="ar-SA"/>
        </w:rPr>
        <w:t>9 施工安全、治安保卫和环境保护</w:t>
      </w:r>
    </w:p>
    <w:p w14:paraId="01765939">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9.1</w:t>
      </w:r>
      <w:r>
        <w:rPr>
          <w:rStyle w:val="25"/>
          <w:rFonts w:hint="eastAsia" w:ascii="宋体" w:hAnsi="宋体" w:eastAsia="宋体" w:cs="Times New Roman"/>
          <w:b/>
          <w:kern w:val="2"/>
          <w:sz w:val="24"/>
          <w:szCs w:val="24"/>
          <w:lang w:val="en-US" w:eastAsia="zh-CN" w:bidi="ar-SA"/>
        </w:rPr>
        <w:t>发包人的施工安全责任</w:t>
      </w:r>
    </w:p>
    <w:p w14:paraId="7B4090F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9.1.1</w:t>
      </w:r>
      <w:r>
        <w:rPr>
          <w:rStyle w:val="25"/>
          <w:rFonts w:hint="eastAsia" w:ascii="宋体" w:hAnsi="宋体" w:eastAsia="宋体" w:cs="Times New Roman"/>
          <w:kern w:val="2"/>
          <w:sz w:val="21"/>
          <w:szCs w:val="21"/>
          <w:lang w:val="en-US" w:eastAsia="zh-CN" w:bidi="ar-SA"/>
        </w:rPr>
        <w:t>发包人应按合同约定履行安全职责。发包人委托代理人根据国家有关安全的法律、法规、强制性标准以及部门规章，对承包人的安全责任履行情况进行监督和检查。监理人的监督检查不减轻承包人应负的安全责任。</w:t>
      </w:r>
    </w:p>
    <w:p w14:paraId="43E03AB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9.1.2</w:t>
      </w:r>
      <w:r>
        <w:rPr>
          <w:rStyle w:val="25"/>
          <w:rFonts w:hint="eastAsia" w:ascii="宋体" w:hAnsi="宋体" w:eastAsia="宋体" w:cs="Times New Roman"/>
          <w:kern w:val="2"/>
          <w:sz w:val="21"/>
          <w:szCs w:val="21"/>
          <w:lang w:val="en-US" w:eastAsia="zh-CN" w:bidi="ar-SA"/>
        </w:rPr>
        <w:t>发包人应对其现场机构雇佣的全部人员的工伤事故承担责任，但由于承包人原因造成发包人人员工伤的，应由承包人承担责任。</w:t>
      </w:r>
    </w:p>
    <w:p w14:paraId="56C7D02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9.1.3</w:t>
      </w:r>
      <w:r>
        <w:rPr>
          <w:rStyle w:val="25"/>
          <w:rFonts w:hint="eastAsia" w:ascii="宋体" w:hAnsi="宋体" w:eastAsia="宋体" w:cs="Times New Roman"/>
          <w:kern w:val="2"/>
          <w:sz w:val="21"/>
          <w:szCs w:val="21"/>
          <w:lang w:val="en-US" w:eastAsia="zh-CN" w:bidi="ar-SA"/>
        </w:rPr>
        <w:t>发包人应负责赔偿以下各种情况造成的第三者人身伤亡和财产损失；</w:t>
      </w:r>
    </w:p>
    <w:p w14:paraId="18D6707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（1）工程或工程的任何部分对土地的占用所造成的第三者财产损失；</w:t>
      </w:r>
    </w:p>
    <w:p w14:paraId="5840B9B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（2）由于发包人原因在施工场及其毗邻地带造成的第三者人身伤亡和财产损失。</w:t>
      </w:r>
    </w:p>
    <w:p w14:paraId="425FD2E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9.1.4除专用合同条款另有约定外，发包人负责向承包人提供施工现场及施工可能影响的毗邻区域供水、排水、供电、供气、供热、通信、广播电视等地下管线资料，气象和水文观测资料，拟建工程可能影响的相邻建筑物地下工程的有关资料，并保证有关资料在真实、准确、完整，满足有关技术规程的要求。</w:t>
      </w:r>
    </w:p>
    <w:p w14:paraId="451D6FA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9.1.5发包人按照已标价工程量清单所列金额和合同约定的计量支付规定，支付安全作业环境及安全施工措施所有费用。</w:t>
      </w:r>
    </w:p>
    <w:p w14:paraId="74FE5CC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9.1.6发包人负责组织工程参建单位编制保证安全生产的措施方案。工程开工前，就落实保证安全生产的措施进行全面系统的布置，进一步明确承包人的安全生产责任。</w:t>
      </w:r>
    </w:p>
    <w:p w14:paraId="2DB9138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9.1.7发包人负责在拆除工程和爆破工程施工14天前向有关部门或机构报送相关备案资料。</w:t>
      </w:r>
    </w:p>
    <w:p w14:paraId="3A74F782">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9.2</w:t>
      </w:r>
      <w:r>
        <w:rPr>
          <w:rStyle w:val="25"/>
          <w:rFonts w:hint="eastAsia" w:ascii="宋体" w:hAnsi="宋体" w:eastAsia="宋体" w:cs="Times New Roman"/>
          <w:b/>
          <w:kern w:val="2"/>
          <w:sz w:val="24"/>
          <w:szCs w:val="24"/>
          <w:lang w:val="en-US" w:eastAsia="zh-CN" w:bidi="ar-SA"/>
        </w:rPr>
        <w:t>承包人的施工安全责任</w:t>
      </w:r>
    </w:p>
    <w:p w14:paraId="0CBB8C4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9.2.1承包人应按合同约定履行安全职责，执行监理人有关安全工作指示。承包人应按技术标准和要求（合同技术条款）约定的内容和期限，以及监理人的指示，编制施工安全技术措施提交监理人审批。监理人应在技术标准和要求（合同技术条款）约定的期限内批复承包人。</w:t>
      </w:r>
    </w:p>
    <w:p w14:paraId="62AC23E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9.2.2承包人应加强施工作业安全管理，特别应加强易爆、易爆材料、火工器材、有毒与腐蚀材料和其他危险品管理，以及对爆破作业和地下工程施工危险作业的管理。</w:t>
      </w:r>
    </w:p>
    <w:p w14:paraId="55FFEB2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9.2.3承包人应严格按照国家安全标准制定施工安全操作规程，配备必要的安全生产和劳动保护设施，加强对承包人人员的安全教育，并发放安全工作手册和劳动保护用具。</w:t>
      </w:r>
    </w:p>
    <w:p w14:paraId="3D807E1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9.2.4承包人应按监理人的指示制定应对灾害的紧急预案，报送监理人审批。承包人还应按预案做好安全监察，配置必要的救助物资和器材，切实保护好有关人员的人身和财产安全。</w:t>
      </w:r>
    </w:p>
    <w:p w14:paraId="3AD8A7B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9.2.5合同约定的安全作业环境及安全施工措施所需费用应遵守有关规定，并包括在相关工作合同价格中。因采取合同未约定的安全作业环境及安全施工措施增加的费用，由监理人按第</w:t>
      </w:r>
      <w:r>
        <w:rPr>
          <w:rStyle w:val="25"/>
          <w:rFonts w:ascii="宋体" w:hAnsi="宋体" w:eastAsia="宋体" w:cs="Times New Roman"/>
          <w:kern w:val="2"/>
          <w:sz w:val="21"/>
          <w:szCs w:val="21"/>
          <w:lang w:val="en-US" w:eastAsia="zh-CN" w:bidi="ar-SA"/>
        </w:rPr>
        <w:t>3.5</w:t>
      </w:r>
      <w:r>
        <w:rPr>
          <w:rStyle w:val="25"/>
          <w:rFonts w:hint="eastAsia" w:ascii="宋体" w:hAnsi="宋体" w:eastAsia="宋体" w:cs="Times New Roman"/>
          <w:kern w:val="2"/>
          <w:sz w:val="21"/>
          <w:szCs w:val="21"/>
          <w:lang w:val="en-US" w:eastAsia="zh-CN" w:bidi="ar-SA"/>
        </w:rPr>
        <w:t>款商定或确定</w:t>
      </w:r>
    </w:p>
    <w:p w14:paraId="382059E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9.2.6</w:t>
      </w:r>
      <w:r>
        <w:rPr>
          <w:rStyle w:val="25"/>
          <w:rFonts w:hint="eastAsia" w:ascii="宋体" w:hAnsi="宋体" w:eastAsia="宋体" w:cs="Times New Roman"/>
          <w:kern w:val="2"/>
          <w:sz w:val="21"/>
          <w:szCs w:val="21"/>
          <w:lang w:val="en-US" w:eastAsia="zh-CN" w:bidi="ar-SA"/>
        </w:rPr>
        <w:t>承包人应对其履行合同所雇用的全部人员，包括分包人人员的工伤事故承担责任，但由于发包人原因造成承包人人员工伤事故的，应由发包人承担责任。</w:t>
      </w:r>
    </w:p>
    <w:p w14:paraId="157FB9A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9.2.7</w:t>
      </w:r>
      <w:r>
        <w:rPr>
          <w:rStyle w:val="25"/>
          <w:rFonts w:hint="eastAsia" w:ascii="宋体" w:hAnsi="宋体" w:eastAsia="宋体" w:cs="Times New Roman"/>
          <w:kern w:val="2"/>
          <w:sz w:val="21"/>
          <w:szCs w:val="21"/>
          <w:lang w:val="en-US" w:eastAsia="zh-CN" w:bidi="ar-SA"/>
        </w:rPr>
        <w:t>由于承包人原因在施工地内及其毗邻地带造成的第三者人员伤亡和财产损失，由承包人负责赔偿。</w:t>
      </w:r>
    </w:p>
    <w:p w14:paraId="0EC890E5">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9. 3</w:t>
      </w:r>
      <w:r>
        <w:rPr>
          <w:rStyle w:val="25"/>
          <w:rFonts w:hint="eastAsia" w:ascii="宋体" w:hAnsi="宋体" w:eastAsia="宋体" w:cs="Times New Roman"/>
          <w:b/>
          <w:kern w:val="2"/>
          <w:sz w:val="24"/>
          <w:szCs w:val="24"/>
          <w:lang w:val="en-US" w:eastAsia="zh-CN" w:bidi="ar-SA"/>
        </w:rPr>
        <w:t>治安保卫</w:t>
      </w:r>
    </w:p>
    <w:p w14:paraId="46DAB40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9.3.1</w:t>
      </w:r>
      <w:r>
        <w:rPr>
          <w:rStyle w:val="25"/>
          <w:rFonts w:hint="eastAsia" w:ascii="宋体" w:hAnsi="宋体" w:eastAsia="宋体" w:cs="Times New Roman"/>
          <w:kern w:val="2"/>
          <w:sz w:val="21"/>
          <w:szCs w:val="21"/>
          <w:lang w:val="en-US" w:eastAsia="zh-CN" w:bidi="ar-SA"/>
        </w:rPr>
        <w:t>除合同另有约定外，发包人应与当地公安部门协商，在现场建立治安管理机构或联络组织，统一管理施工场地的治安保卫事项，履行合同工程的治安保卫职责。</w:t>
      </w:r>
    </w:p>
    <w:p w14:paraId="5FA8171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9.3.2</w:t>
      </w:r>
      <w:r>
        <w:rPr>
          <w:rStyle w:val="25"/>
          <w:rFonts w:hint="eastAsia" w:ascii="宋体" w:hAnsi="宋体" w:eastAsia="宋体" w:cs="Times New Roman"/>
          <w:kern w:val="2"/>
          <w:sz w:val="21"/>
          <w:szCs w:val="21"/>
          <w:lang w:val="en-US" w:eastAsia="zh-CN" w:bidi="ar-SA"/>
        </w:rPr>
        <w:t>发包人和承包人除应协助现场治安管理机构联络组织维护施工场地的社会治安外，还应做好包括生活区在内的各自管辖区的治安保卫工作。</w:t>
      </w:r>
    </w:p>
    <w:p w14:paraId="4DB04D5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9.3.3</w:t>
      </w:r>
      <w:r>
        <w:rPr>
          <w:rStyle w:val="25"/>
          <w:rFonts w:hint="eastAsia" w:ascii="宋体" w:hAnsi="宋体" w:eastAsia="宋体" w:cs="Times New Roman"/>
          <w:kern w:val="2"/>
          <w:sz w:val="21"/>
          <w:szCs w:val="21"/>
          <w:lang w:val="en-US" w:eastAsia="zh-CN" w:bidi="ar-SA"/>
        </w:rPr>
        <w:t>除合同另有约定外，发包人金额承包人应在工程开工后，共同编制施工场地治安管理计划，并制定应对突发治安事件的紧急预案。在工程施工过程中，发生暴乱、爆炸等恐怖事件，以及群殴、械斗等群体性突发治安事件的，发包人和承包人应在立即向当地政府报告。发包人和承包人应积极协助当地协助当地有关部门采取措施平息事态，防止事态扩大，尽量减少财产损失和避免人员伤亡。</w:t>
      </w:r>
    </w:p>
    <w:p w14:paraId="6FFA2842">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9.4</w:t>
      </w:r>
      <w:r>
        <w:rPr>
          <w:rStyle w:val="25"/>
          <w:rFonts w:hint="eastAsia" w:ascii="宋体" w:hAnsi="宋体" w:eastAsia="宋体" w:cs="Times New Roman"/>
          <w:b/>
          <w:kern w:val="2"/>
          <w:sz w:val="24"/>
          <w:szCs w:val="24"/>
          <w:lang w:val="en-US" w:eastAsia="zh-CN" w:bidi="ar-SA"/>
        </w:rPr>
        <w:t>环境保护</w:t>
      </w:r>
    </w:p>
    <w:p w14:paraId="2F03DB4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9.4.1</w:t>
      </w:r>
      <w:r>
        <w:rPr>
          <w:rStyle w:val="25"/>
          <w:rFonts w:hint="eastAsia" w:ascii="宋体" w:hAnsi="宋体" w:eastAsia="宋体" w:cs="Times New Roman"/>
          <w:kern w:val="2"/>
          <w:sz w:val="21"/>
          <w:szCs w:val="21"/>
          <w:lang w:val="en-US" w:eastAsia="zh-CN" w:bidi="ar-SA"/>
        </w:rPr>
        <w:t>承包人在施工过程中，应遵守有关环境保护的法律，履行合同约定的环境保护义务，并对违反法律和合同约定义务所造成的环境破坏、人身伤害和财产损失负责。</w:t>
      </w:r>
    </w:p>
    <w:p w14:paraId="66E413A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9.4.2</w:t>
      </w:r>
      <w:r>
        <w:rPr>
          <w:rStyle w:val="25"/>
          <w:rFonts w:hint="eastAsia" w:ascii="宋体" w:hAnsi="宋体" w:eastAsia="宋体" w:cs="Times New Roman"/>
          <w:kern w:val="2"/>
          <w:sz w:val="21"/>
          <w:szCs w:val="21"/>
          <w:lang w:val="en-US" w:eastAsia="zh-CN" w:bidi="ar-SA"/>
        </w:rPr>
        <w:t>承包人应按合同约定的环保工作内容，编制施工环保措施计划，报送监理人审批。</w:t>
      </w:r>
    </w:p>
    <w:p w14:paraId="28B3992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9.4.3</w:t>
      </w:r>
      <w:r>
        <w:rPr>
          <w:rStyle w:val="25"/>
          <w:rFonts w:hint="eastAsia" w:ascii="宋体" w:hAnsi="宋体" w:eastAsia="宋体" w:cs="Times New Roman"/>
          <w:kern w:val="2"/>
          <w:sz w:val="21"/>
          <w:szCs w:val="21"/>
          <w:lang w:val="en-US" w:eastAsia="zh-CN" w:bidi="ar-SA"/>
        </w:rPr>
        <w:t>承包人应按照批准的施工环保工作措施计划有序地堆放和处理施工废弃物，避免对环境造成破坏。因承包人任意堆放或弃置施工废弃物造成妨碍公共交通、影响城镇居民生活、降低河流排洪能力、危机居民安全、破坏周边环境，或者影响其他承包人施工等后果的，承包人承担责任。</w:t>
      </w:r>
    </w:p>
    <w:p w14:paraId="31B9AB5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9.4.4</w:t>
      </w:r>
      <w:r>
        <w:rPr>
          <w:rStyle w:val="25"/>
          <w:rFonts w:hint="eastAsia" w:ascii="宋体" w:hAnsi="宋体" w:eastAsia="宋体" w:cs="Times New Roman"/>
          <w:kern w:val="2"/>
          <w:sz w:val="21"/>
          <w:szCs w:val="21"/>
          <w:lang w:val="en-US" w:eastAsia="zh-CN" w:bidi="ar-SA"/>
        </w:rPr>
        <w:t>承包人应按合同约定采取措施，对施工开挖的边坡及时进行支护，维护排水设施，并进行水土保护，避免应施工造成的地质灾害。</w:t>
      </w:r>
    </w:p>
    <w:p w14:paraId="48CCB3B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9.4.5</w:t>
      </w:r>
      <w:r>
        <w:rPr>
          <w:rStyle w:val="25"/>
          <w:rFonts w:hint="eastAsia" w:ascii="宋体" w:hAnsi="宋体" w:eastAsia="宋体" w:cs="Times New Roman"/>
          <w:kern w:val="2"/>
          <w:sz w:val="21"/>
          <w:szCs w:val="21"/>
          <w:lang w:val="en-US" w:eastAsia="zh-CN" w:bidi="ar-SA"/>
        </w:rPr>
        <w:t>承包人应按国家饮用水管理标准定期对饮用进行检测，防止施工活动污染饮用水源。</w:t>
      </w:r>
    </w:p>
    <w:p w14:paraId="29488D3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9.4.6</w:t>
      </w:r>
      <w:r>
        <w:rPr>
          <w:rStyle w:val="25"/>
          <w:rFonts w:hint="eastAsia" w:ascii="宋体" w:hAnsi="宋体" w:eastAsia="宋体" w:cs="Times New Roman"/>
          <w:kern w:val="2"/>
          <w:sz w:val="21"/>
          <w:szCs w:val="21"/>
          <w:lang w:val="en-US" w:eastAsia="zh-CN" w:bidi="ar-SA"/>
        </w:rPr>
        <w:t>承包人应按合同约定，加强对嗓声、粉尘、废弃、废水和废油的控制，努力降低嗓声，控制粉尘和废气浓度，做好废水和废油的治理和排放。</w:t>
      </w:r>
    </w:p>
    <w:p w14:paraId="77EE26B4">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9.5</w:t>
      </w:r>
      <w:r>
        <w:rPr>
          <w:rStyle w:val="25"/>
          <w:rFonts w:hint="eastAsia" w:ascii="宋体" w:hAnsi="宋体" w:eastAsia="宋体" w:cs="Times New Roman"/>
          <w:b/>
          <w:kern w:val="2"/>
          <w:sz w:val="24"/>
          <w:szCs w:val="24"/>
          <w:lang w:val="en-US" w:eastAsia="zh-CN" w:bidi="ar-SA"/>
        </w:rPr>
        <w:t>事故处理</w:t>
      </w:r>
    </w:p>
    <w:p w14:paraId="257E837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9.5.1发包人负责组织参建单位制定本工程的质量与安全事故应急预案，建立质量与安全事故应急处置指挥部。</w:t>
      </w:r>
    </w:p>
    <w:p w14:paraId="34E0950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9.5.2承包人应对施工现场易发生重大事故的部位、环节进行监控，配备救援器材、设备，并定期组织检查。</w:t>
      </w:r>
    </w:p>
    <w:p w14:paraId="2C6D0BC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9.5.3工程开工前，承包人应根据本工程的特点制定施工现场施工质量与安全事故应急预案，并报发包人备案。</w:t>
      </w:r>
    </w:p>
    <w:p w14:paraId="2C918AE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9.5.4施工过程中发生事故时，发包人、承包人应立即启动应急预案。</w:t>
      </w:r>
    </w:p>
    <w:p w14:paraId="7008837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9.5.5事故调查处理理由发包人按相关规定履行手续，承包人应配合。</w:t>
      </w:r>
    </w:p>
    <w:p w14:paraId="1ACDBC94">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9.6</w:t>
      </w:r>
      <w:r>
        <w:rPr>
          <w:rStyle w:val="25"/>
          <w:rFonts w:hint="eastAsia" w:ascii="宋体" w:hAnsi="宋体" w:eastAsia="宋体" w:cs="Times New Roman"/>
          <w:b/>
          <w:kern w:val="2"/>
          <w:sz w:val="24"/>
          <w:szCs w:val="24"/>
          <w:lang w:val="en-US" w:eastAsia="zh-CN" w:bidi="ar-SA"/>
        </w:rPr>
        <w:t>水土保持</w:t>
      </w:r>
    </w:p>
    <w:p w14:paraId="0843918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9.6.1发包人应及时向承包人提供水土保持方案。</w:t>
      </w:r>
    </w:p>
    <w:p w14:paraId="2488ACA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9.6.2承包人在施工过程中，应遵守有关水土保持的法律法规和规章，履行合同约定的水土保持义务，并对其违反法律和合同约定义务所造成的水土流失灾害、人身伤害和财产损失负责。</w:t>
      </w:r>
    </w:p>
    <w:p w14:paraId="1A6C75B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9.6.3承包人的水土保持措施计划，应满足技术标准和要求（合同技术条款）约定的要求。</w:t>
      </w:r>
    </w:p>
    <w:p w14:paraId="53FE78E0">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9.7</w:t>
      </w:r>
      <w:r>
        <w:rPr>
          <w:rStyle w:val="25"/>
          <w:rFonts w:hint="eastAsia" w:ascii="宋体" w:hAnsi="宋体" w:eastAsia="宋体" w:cs="Times New Roman"/>
          <w:b/>
          <w:kern w:val="2"/>
          <w:sz w:val="24"/>
          <w:szCs w:val="24"/>
          <w:lang w:val="en-US" w:eastAsia="zh-CN" w:bidi="ar-SA"/>
        </w:rPr>
        <w:t>文明工地</w:t>
      </w:r>
    </w:p>
    <w:p w14:paraId="6B633F2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9.7.1发包人应按专用合同条款的约定，负责建立创建文明建设工地的组织机构，制定创建文明建设工地的规划和办法。</w:t>
      </w:r>
    </w:p>
    <w:p w14:paraId="5EE2C02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9.7.2承包人应按创建文明建设工地的规划和办法，履行职责，一承担相应责任。所需费用应含在已标价工程量清单中。</w:t>
      </w:r>
    </w:p>
    <w:p w14:paraId="6A137D55">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9.8</w:t>
      </w:r>
      <w:r>
        <w:rPr>
          <w:rStyle w:val="25"/>
          <w:rFonts w:hint="eastAsia" w:ascii="宋体" w:hAnsi="宋体" w:eastAsia="宋体" w:cs="Times New Roman"/>
          <w:b/>
          <w:kern w:val="2"/>
          <w:sz w:val="24"/>
          <w:szCs w:val="24"/>
          <w:lang w:val="en-US" w:eastAsia="zh-CN" w:bidi="ar-SA"/>
        </w:rPr>
        <w:t>防汛度汛</w:t>
      </w:r>
    </w:p>
    <w:p w14:paraId="41D8F69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9.8.1发包人负责组织工程参建单位编制本工程的防讯有案和措施。</w:t>
      </w:r>
    </w:p>
    <w:p w14:paraId="71091D5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9.8.2承包人应根据发包人编制的本工程度汛方案和措施，制定相应的度汛方案，报发包人批准后实施。</w:t>
      </w:r>
    </w:p>
    <w:p w14:paraId="4736948D">
      <w:pPr>
        <w:pStyle w:val="47"/>
        <w:rPr>
          <w:rStyle w:val="25"/>
          <w:kern w:val="2"/>
          <w:lang w:val="en-US" w:eastAsia="zh-CN" w:bidi="ar-SA"/>
        </w:rPr>
      </w:pPr>
      <w:r>
        <w:rPr>
          <w:rStyle w:val="25"/>
          <w:rFonts w:hint="eastAsia"/>
          <w:kern w:val="2"/>
          <w:lang w:val="en-US" w:eastAsia="zh-CN" w:bidi="ar-SA"/>
        </w:rPr>
        <w:t>10 进度计划</w:t>
      </w:r>
    </w:p>
    <w:p w14:paraId="0EEDE34B">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10.1</w:t>
      </w:r>
      <w:r>
        <w:rPr>
          <w:rStyle w:val="25"/>
          <w:rFonts w:hint="eastAsia" w:ascii="宋体" w:hAnsi="宋体" w:eastAsia="宋体" w:cs="Times New Roman"/>
          <w:b/>
          <w:kern w:val="2"/>
          <w:sz w:val="24"/>
          <w:szCs w:val="24"/>
          <w:lang w:val="en-US" w:eastAsia="zh-CN" w:bidi="ar-SA"/>
        </w:rPr>
        <w:t>合同进度计划</w:t>
      </w:r>
    </w:p>
    <w:p w14:paraId="6864897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14:paraId="0F5D79F0">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10.2</w:t>
      </w:r>
      <w:r>
        <w:rPr>
          <w:rStyle w:val="25"/>
          <w:rFonts w:hint="eastAsia" w:ascii="宋体" w:hAnsi="宋体" w:eastAsia="宋体" w:cs="Times New Roman"/>
          <w:b/>
          <w:kern w:val="2"/>
          <w:sz w:val="24"/>
          <w:szCs w:val="24"/>
          <w:lang w:val="en-US" w:eastAsia="zh-CN" w:bidi="ar-SA"/>
        </w:rPr>
        <w:t>合同进度计划的修订</w:t>
      </w:r>
    </w:p>
    <w:p w14:paraId="71FECA9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p>
    <w:p w14:paraId="7D1521D5">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10.3</w:t>
      </w:r>
      <w:r>
        <w:rPr>
          <w:rStyle w:val="25"/>
          <w:rFonts w:hint="eastAsia" w:ascii="宋体" w:hAnsi="宋体" w:eastAsia="宋体" w:cs="Times New Roman"/>
          <w:b/>
          <w:kern w:val="2"/>
          <w:sz w:val="24"/>
          <w:szCs w:val="24"/>
          <w:lang w:val="en-US" w:eastAsia="zh-CN" w:bidi="ar-SA"/>
        </w:rPr>
        <w:t>单位工程进度计划</w:t>
      </w:r>
    </w:p>
    <w:p w14:paraId="57E528C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监理人认为有必要时，承包人应按监理人指示的内容和期限，并根据合同进度计划的进度控制要求，编制单位工程进度计划，提交监理人审批。</w:t>
      </w:r>
    </w:p>
    <w:p w14:paraId="53444767">
      <w:pPr>
        <w:pStyle w:val="46"/>
        <w:tabs>
          <w:tab w:val="left" w:pos="8280"/>
        </w:tabs>
        <w:spacing w:line="360" w:lineRule="auto"/>
        <w:rPr>
          <w:rStyle w:val="25"/>
          <w:rFonts w:ascii="宋体" w:hAnsi="宋体" w:eastAsia="宋体" w:cs="Times New Roman"/>
          <w:kern w:val="2"/>
          <w:sz w:val="24"/>
          <w:szCs w:val="24"/>
          <w:lang w:val="en-US" w:eastAsia="zh-CN" w:bidi="ar-SA"/>
        </w:rPr>
      </w:pPr>
      <w:r>
        <w:rPr>
          <w:rStyle w:val="25"/>
          <w:rFonts w:ascii="宋体" w:hAnsi="宋体" w:eastAsia="宋体" w:cs="Times New Roman"/>
          <w:b/>
          <w:kern w:val="2"/>
          <w:sz w:val="24"/>
          <w:szCs w:val="24"/>
          <w:lang w:val="en-US" w:eastAsia="zh-CN" w:bidi="ar-SA"/>
        </w:rPr>
        <w:t>10.4</w:t>
      </w:r>
      <w:r>
        <w:rPr>
          <w:rStyle w:val="25"/>
          <w:rFonts w:hint="eastAsia" w:ascii="宋体" w:hAnsi="宋体" w:eastAsia="宋体" w:cs="Times New Roman"/>
          <w:b/>
          <w:kern w:val="2"/>
          <w:sz w:val="24"/>
          <w:szCs w:val="24"/>
          <w:lang w:val="en-US" w:eastAsia="zh-CN" w:bidi="ar-SA"/>
        </w:rPr>
        <w:t>提交资金流估算表</w:t>
      </w:r>
      <w:r>
        <w:rPr>
          <w:rStyle w:val="25"/>
          <w:rFonts w:ascii="宋体" w:hAnsi="宋体" w:eastAsia="宋体" w:cs="Times New Roman"/>
          <w:b/>
          <w:kern w:val="2"/>
          <w:sz w:val="24"/>
          <w:szCs w:val="24"/>
          <w:lang w:val="en-US" w:eastAsia="zh-CN" w:bidi="ar-SA"/>
        </w:rPr>
        <w:t xml:space="preserve">  </w:t>
      </w:r>
      <w:r>
        <w:rPr>
          <w:rStyle w:val="25"/>
          <w:rFonts w:ascii="宋体" w:hAnsi="宋体" w:eastAsia="宋体" w:cs="Times New Roman"/>
          <w:kern w:val="2"/>
          <w:sz w:val="24"/>
          <w:szCs w:val="24"/>
          <w:lang w:val="en-US" w:eastAsia="zh-CN" w:bidi="ar-SA"/>
        </w:rPr>
        <w:t xml:space="preserve"> </w:t>
      </w:r>
    </w:p>
    <w:p w14:paraId="7AE4DD9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14:paraId="36CBB168">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 xml:space="preserve">                </w:t>
      </w:r>
      <w:r>
        <w:rPr>
          <w:rStyle w:val="25"/>
          <w:rFonts w:hint="eastAsia" w:ascii="宋体" w:hAnsi="宋体" w:eastAsia="宋体" w:cs="Times New Roman"/>
          <w:b/>
          <w:kern w:val="2"/>
          <w:sz w:val="24"/>
          <w:szCs w:val="24"/>
          <w:lang w:val="en-US" w:eastAsia="zh-CN" w:bidi="ar-SA"/>
        </w:rPr>
        <w:t>资金流估算表</w:t>
      </w:r>
      <w:r>
        <w:rPr>
          <w:rStyle w:val="25"/>
          <w:rFonts w:ascii="宋体" w:hAnsi="宋体" w:eastAsia="宋体" w:cs="Times New Roman"/>
          <w:b/>
          <w:kern w:val="2"/>
          <w:sz w:val="24"/>
          <w:szCs w:val="24"/>
          <w:lang w:val="en-US" w:eastAsia="zh-CN" w:bidi="ar-SA"/>
        </w:rPr>
        <w:t>(</w:t>
      </w:r>
      <w:r>
        <w:rPr>
          <w:rStyle w:val="25"/>
          <w:rFonts w:hint="eastAsia" w:ascii="宋体" w:hAnsi="宋体" w:eastAsia="宋体" w:cs="Times New Roman"/>
          <w:b/>
          <w:kern w:val="2"/>
          <w:sz w:val="24"/>
          <w:szCs w:val="24"/>
          <w:lang w:val="en-US" w:eastAsia="zh-CN" w:bidi="ar-SA"/>
        </w:rPr>
        <w:t>参考格式</w:t>
      </w:r>
      <w:r>
        <w:rPr>
          <w:rStyle w:val="25"/>
          <w:rFonts w:ascii="宋体" w:hAnsi="宋体" w:eastAsia="宋体" w:cs="Times New Roman"/>
          <w:b/>
          <w:kern w:val="2"/>
          <w:sz w:val="24"/>
          <w:szCs w:val="24"/>
          <w:lang w:val="en-US" w:eastAsia="zh-CN" w:bidi="ar-SA"/>
        </w:rPr>
        <w:t xml:space="preserve">)                     </w:t>
      </w:r>
      <w:r>
        <w:rPr>
          <w:rStyle w:val="25"/>
          <w:rFonts w:hint="eastAsia" w:ascii="宋体" w:hAnsi="宋体" w:eastAsia="宋体" w:cs="Times New Roman"/>
          <w:b/>
          <w:kern w:val="2"/>
          <w:sz w:val="24"/>
          <w:szCs w:val="24"/>
          <w:lang w:val="en-US" w:eastAsia="zh-CN" w:bidi="ar-SA"/>
        </w:rPr>
        <w:t>金额单位</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472"/>
        <w:gridCol w:w="1259"/>
        <w:gridCol w:w="1416"/>
        <w:gridCol w:w="1416"/>
        <w:gridCol w:w="1101"/>
        <w:gridCol w:w="944"/>
        <w:gridCol w:w="472"/>
        <w:gridCol w:w="836"/>
        <w:gridCol w:w="1052"/>
      </w:tblGrid>
      <w:tr w14:paraId="17F0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72" w:type="dxa"/>
            <w:tcBorders>
              <w:top w:val="single" w:color="auto" w:sz="4" w:space="0"/>
              <w:left w:val="single" w:color="auto" w:sz="4" w:space="0"/>
              <w:bottom w:val="single" w:color="auto" w:sz="4" w:space="0"/>
              <w:right w:val="single" w:color="auto" w:sz="4" w:space="0"/>
            </w:tcBorders>
            <w:noWrap w:val="0"/>
            <w:vAlign w:val="center"/>
          </w:tcPr>
          <w:p w14:paraId="748C6BC9">
            <w:pPr>
              <w:pStyle w:val="46"/>
              <w:tabs>
                <w:tab w:val="left" w:pos="8280"/>
              </w:tabs>
              <w:spacing w:line="360" w:lineRule="auto"/>
              <w:ind w:left="-288" w:leftChars="-137"/>
              <w:jc w:val="center"/>
              <w:rPr>
                <w:rStyle w:val="25"/>
                <w:rFonts w:ascii="宋体" w:hAnsi="宋体" w:eastAsia="宋体" w:cs="Times New Roman"/>
                <w:kern w:val="2"/>
                <w:sz w:val="18"/>
                <w:szCs w:val="18"/>
                <w:lang w:val="en-US" w:eastAsia="zh-CN" w:bidi="ar-SA"/>
              </w:rPr>
            </w:pPr>
            <w:r>
              <w:rPr>
                <w:rStyle w:val="25"/>
                <w:rFonts w:ascii="宋体" w:hAnsi="宋体" w:eastAsia="宋体" w:cs="Times New Roman"/>
                <w:kern w:val="2"/>
                <w:sz w:val="18"/>
                <w:szCs w:val="18"/>
                <w:lang w:val="en-US" w:eastAsia="zh-CN" w:bidi="ar-SA"/>
              </w:rPr>
              <w:t xml:space="preserve">   </w:t>
            </w:r>
            <w:r>
              <w:rPr>
                <w:rStyle w:val="25"/>
                <w:rFonts w:hint="eastAsia" w:ascii="宋体" w:hAnsi="宋体" w:eastAsia="宋体" w:cs="Times New Roman"/>
                <w:kern w:val="2"/>
                <w:sz w:val="18"/>
                <w:szCs w:val="18"/>
                <w:lang w:val="en-US" w:eastAsia="zh-CN" w:bidi="ar-SA"/>
              </w:rPr>
              <w:t>年</w:t>
            </w:r>
          </w:p>
        </w:tc>
        <w:tc>
          <w:tcPr>
            <w:tcW w:w="472" w:type="dxa"/>
            <w:tcBorders>
              <w:top w:val="single" w:color="auto" w:sz="4" w:space="0"/>
              <w:left w:val="single" w:color="auto" w:sz="4" w:space="0"/>
              <w:bottom w:val="single" w:color="auto" w:sz="4" w:space="0"/>
              <w:right w:val="single" w:color="auto" w:sz="4" w:space="0"/>
            </w:tcBorders>
            <w:noWrap w:val="0"/>
            <w:vAlign w:val="center"/>
          </w:tcPr>
          <w:p w14:paraId="7AE44DBB">
            <w:pPr>
              <w:pStyle w:val="46"/>
              <w:tabs>
                <w:tab w:val="left" w:pos="8280"/>
              </w:tabs>
              <w:spacing w:line="360" w:lineRule="auto"/>
              <w:jc w:val="center"/>
              <w:rPr>
                <w:rStyle w:val="25"/>
                <w:rFonts w:ascii="宋体" w:hAnsi="宋体" w:eastAsia="宋体" w:cs="Times New Roman"/>
                <w:kern w:val="2"/>
                <w:sz w:val="18"/>
                <w:szCs w:val="18"/>
                <w:lang w:val="en-US" w:eastAsia="zh-CN" w:bidi="ar-SA"/>
              </w:rPr>
            </w:pPr>
            <w:r>
              <w:rPr>
                <w:rStyle w:val="25"/>
                <w:rFonts w:hint="eastAsia" w:ascii="宋体" w:hAnsi="宋体" w:eastAsia="宋体" w:cs="Times New Roman"/>
                <w:kern w:val="2"/>
                <w:sz w:val="18"/>
                <w:szCs w:val="18"/>
                <w:lang w:val="en-US" w:eastAsia="zh-CN" w:bidi="ar-SA"/>
              </w:rPr>
              <w:t>月</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6FF4531C">
            <w:pPr>
              <w:pStyle w:val="46"/>
              <w:tabs>
                <w:tab w:val="left" w:pos="8280"/>
              </w:tabs>
              <w:spacing w:line="360" w:lineRule="auto"/>
              <w:jc w:val="center"/>
              <w:rPr>
                <w:rStyle w:val="25"/>
                <w:rFonts w:ascii="宋体" w:hAnsi="宋体" w:eastAsia="宋体" w:cs="Times New Roman"/>
                <w:kern w:val="2"/>
                <w:sz w:val="18"/>
                <w:szCs w:val="18"/>
                <w:lang w:val="en-US" w:eastAsia="zh-CN" w:bidi="ar-SA"/>
              </w:rPr>
            </w:pPr>
            <w:r>
              <w:rPr>
                <w:rStyle w:val="25"/>
                <w:rFonts w:hint="eastAsia" w:ascii="宋体" w:hAnsi="宋体" w:eastAsia="宋体" w:cs="Times New Roman"/>
                <w:kern w:val="2"/>
                <w:sz w:val="18"/>
                <w:szCs w:val="18"/>
                <w:lang w:val="en-US" w:eastAsia="zh-CN" w:bidi="ar-SA"/>
              </w:rPr>
              <w:t>工程工作</w:t>
            </w:r>
          </w:p>
          <w:p w14:paraId="52CF020E">
            <w:pPr>
              <w:pStyle w:val="46"/>
              <w:tabs>
                <w:tab w:val="left" w:pos="8280"/>
              </w:tabs>
              <w:spacing w:line="360" w:lineRule="auto"/>
              <w:jc w:val="center"/>
              <w:rPr>
                <w:rStyle w:val="25"/>
                <w:rFonts w:ascii="宋体" w:hAnsi="宋体" w:eastAsia="宋体" w:cs="Times New Roman"/>
                <w:kern w:val="2"/>
                <w:sz w:val="18"/>
                <w:szCs w:val="18"/>
                <w:lang w:val="en-US" w:eastAsia="zh-CN" w:bidi="ar-SA"/>
              </w:rPr>
            </w:pPr>
            <w:r>
              <w:rPr>
                <w:rStyle w:val="25"/>
                <w:rFonts w:hint="eastAsia" w:ascii="宋体" w:hAnsi="宋体" w:eastAsia="宋体" w:cs="Times New Roman"/>
                <w:kern w:val="2"/>
                <w:sz w:val="18"/>
                <w:szCs w:val="18"/>
                <w:lang w:val="en-US" w:eastAsia="zh-CN" w:bidi="ar-SA"/>
              </w:rPr>
              <w:t>付款</w:t>
            </w:r>
          </w:p>
        </w:tc>
        <w:tc>
          <w:tcPr>
            <w:tcW w:w="1416" w:type="dxa"/>
            <w:tcBorders>
              <w:top w:val="single" w:color="auto" w:sz="4" w:space="0"/>
              <w:left w:val="single" w:color="auto" w:sz="4" w:space="0"/>
              <w:bottom w:val="single" w:color="auto" w:sz="4" w:space="0"/>
              <w:right w:val="single" w:color="auto" w:sz="4" w:space="0"/>
            </w:tcBorders>
            <w:noWrap w:val="0"/>
            <w:vAlign w:val="center"/>
          </w:tcPr>
          <w:p w14:paraId="5B9D5066">
            <w:pPr>
              <w:pStyle w:val="46"/>
              <w:tabs>
                <w:tab w:val="left" w:pos="8280"/>
              </w:tabs>
              <w:spacing w:line="360" w:lineRule="auto"/>
              <w:jc w:val="center"/>
              <w:rPr>
                <w:rStyle w:val="25"/>
                <w:rFonts w:ascii="宋体" w:hAnsi="宋体" w:eastAsia="宋体" w:cs="Times New Roman"/>
                <w:kern w:val="2"/>
                <w:sz w:val="18"/>
                <w:szCs w:val="18"/>
                <w:lang w:val="en-US" w:eastAsia="zh-CN" w:bidi="ar-SA"/>
              </w:rPr>
            </w:pPr>
            <w:r>
              <w:rPr>
                <w:rStyle w:val="25"/>
                <w:rFonts w:hint="eastAsia" w:ascii="宋体" w:hAnsi="宋体" w:eastAsia="宋体" w:cs="Times New Roman"/>
                <w:kern w:val="2"/>
                <w:sz w:val="18"/>
                <w:szCs w:val="18"/>
                <w:lang w:val="en-US" w:eastAsia="zh-CN" w:bidi="ar-SA"/>
              </w:rPr>
              <w:t>完成工作量</w:t>
            </w:r>
          </w:p>
          <w:p w14:paraId="48D7D554">
            <w:pPr>
              <w:pStyle w:val="46"/>
              <w:tabs>
                <w:tab w:val="left" w:pos="8280"/>
              </w:tabs>
              <w:spacing w:line="360" w:lineRule="auto"/>
              <w:jc w:val="center"/>
              <w:rPr>
                <w:rStyle w:val="25"/>
                <w:rFonts w:ascii="宋体" w:hAnsi="宋体" w:eastAsia="宋体" w:cs="Times New Roman"/>
                <w:kern w:val="2"/>
                <w:sz w:val="18"/>
                <w:szCs w:val="18"/>
                <w:lang w:val="en-US" w:eastAsia="zh-CN" w:bidi="ar-SA"/>
              </w:rPr>
            </w:pPr>
            <w:r>
              <w:rPr>
                <w:rStyle w:val="25"/>
                <w:rFonts w:hint="eastAsia" w:ascii="宋体" w:hAnsi="宋体" w:eastAsia="宋体" w:cs="Times New Roman"/>
                <w:kern w:val="2"/>
                <w:sz w:val="18"/>
                <w:szCs w:val="18"/>
                <w:lang w:val="en-US" w:eastAsia="zh-CN" w:bidi="ar-SA"/>
              </w:rPr>
              <w:t>付款</w:t>
            </w:r>
          </w:p>
        </w:tc>
        <w:tc>
          <w:tcPr>
            <w:tcW w:w="1416" w:type="dxa"/>
            <w:tcBorders>
              <w:top w:val="single" w:color="auto" w:sz="4" w:space="0"/>
              <w:left w:val="single" w:color="auto" w:sz="4" w:space="0"/>
              <w:bottom w:val="single" w:color="auto" w:sz="4" w:space="0"/>
              <w:right w:val="single" w:color="auto" w:sz="4" w:space="0"/>
            </w:tcBorders>
            <w:noWrap w:val="0"/>
            <w:vAlign w:val="center"/>
          </w:tcPr>
          <w:p w14:paraId="32B49F09">
            <w:pPr>
              <w:pStyle w:val="46"/>
              <w:tabs>
                <w:tab w:val="left" w:pos="8280"/>
              </w:tabs>
              <w:spacing w:line="360" w:lineRule="auto"/>
              <w:jc w:val="center"/>
              <w:rPr>
                <w:rStyle w:val="25"/>
                <w:rFonts w:ascii="宋体" w:hAnsi="宋体" w:eastAsia="宋体" w:cs="Times New Roman"/>
                <w:kern w:val="2"/>
                <w:sz w:val="18"/>
                <w:szCs w:val="18"/>
                <w:lang w:val="en-US" w:eastAsia="zh-CN" w:bidi="ar-SA"/>
              </w:rPr>
            </w:pPr>
            <w:r>
              <w:rPr>
                <w:rStyle w:val="25"/>
                <w:rFonts w:hint="eastAsia" w:ascii="宋体" w:hAnsi="宋体" w:eastAsia="宋体" w:cs="Times New Roman"/>
                <w:kern w:val="2"/>
                <w:sz w:val="18"/>
                <w:szCs w:val="18"/>
                <w:lang w:val="en-US" w:eastAsia="zh-CN" w:bidi="ar-SA"/>
              </w:rPr>
              <w:t>质量保证金</w:t>
            </w:r>
          </w:p>
          <w:p w14:paraId="271E8AFF">
            <w:pPr>
              <w:pStyle w:val="46"/>
              <w:tabs>
                <w:tab w:val="left" w:pos="8280"/>
              </w:tabs>
              <w:spacing w:line="360" w:lineRule="auto"/>
              <w:jc w:val="center"/>
              <w:rPr>
                <w:rStyle w:val="25"/>
                <w:rFonts w:ascii="宋体" w:hAnsi="宋体" w:eastAsia="宋体" w:cs="Times New Roman"/>
                <w:kern w:val="2"/>
                <w:sz w:val="18"/>
                <w:szCs w:val="18"/>
                <w:lang w:val="en-US" w:eastAsia="zh-CN" w:bidi="ar-SA"/>
              </w:rPr>
            </w:pPr>
            <w:r>
              <w:rPr>
                <w:rStyle w:val="25"/>
                <w:rFonts w:hint="eastAsia" w:ascii="宋体" w:hAnsi="宋体" w:eastAsia="宋体" w:cs="Times New Roman"/>
                <w:kern w:val="2"/>
                <w:sz w:val="18"/>
                <w:szCs w:val="18"/>
                <w:lang w:val="en-US" w:eastAsia="zh-CN" w:bidi="ar-SA"/>
              </w:rPr>
              <w:t>扣留</w:t>
            </w:r>
          </w:p>
        </w:tc>
        <w:tc>
          <w:tcPr>
            <w:tcW w:w="1101" w:type="dxa"/>
            <w:tcBorders>
              <w:top w:val="single" w:color="auto" w:sz="4" w:space="0"/>
              <w:left w:val="single" w:color="auto" w:sz="4" w:space="0"/>
              <w:bottom w:val="single" w:color="auto" w:sz="4" w:space="0"/>
              <w:right w:val="single" w:color="auto" w:sz="4" w:space="0"/>
            </w:tcBorders>
            <w:noWrap w:val="0"/>
            <w:vAlign w:val="center"/>
          </w:tcPr>
          <w:p w14:paraId="47902E67">
            <w:pPr>
              <w:pStyle w:val="46"/>
              <w:tabs>
                <w:tab w:val="left" w:pos="8280"/>
              </w:tabs>
              <w:spacing w:line="360" w:lineRule="auto"/>
              <w:jc w:val="center"/>
              <w:rPr>
                <w:rStyle w:val="25"/>
                <w:rFonts w:ascii="宋体" w:hAnsi="宋体" w:eastAsia="宋体" w:cs="Times New Roman"/>
                <w:kern w:val="2"/>
                <w:sz w:val="18"/>
                <w:szCs w:val="18"/>
                <w:lang w:val="en-US" w:eastAsia="zh-CN" w:bidi="ar-SA"/>
              </w:rPr>
            </w:pPr>
            <w:r>
              <w:rPr>
                <w:rStyle w:val="25"/>
                <w:rFonts w:hint="eastAsia" w:ascii="宋体" w:hAnsi="宋体" w:eastAsia="宋体" w:cs="Times New Roman"/>
                <w:kern w:val="2"/>
                <w:sz w:val="18"/>
                <w:szCs w:val="18"/>
                <w:lang w:val="en-US" w:eastAsia="zh-CN" w:bidi="ar-SA"/>
              </w:rPr>
              <w:t>材料款</w:t>
            </w:r>
          </w:p>
          <w:p w14:paraId="3B609ABF">
            <w:pPr>
              <w:pStyle w:val="46"/>
              <w:tabs>
                <w:tab w:val="left" w:pos="8280"/>
              </w:tabs>
              <w:spacing w:line="360" w:lineRule="auto"/>
              <w:jc w:val="center"/>
              <w:rPr>
                <w:rStyle w:val="25"/>
                <w:rFonts w:ascii="宋体" w:hAnsi="宋体" w:eastAsia="宋体" w:cs="Times New Roman"/>
                <w:kern w:val="2"/>
                <w:sz w:val="18"/>
                <w:szCs w:val="18"/>
                <w:lang w:val="en-US" w:eastAsia="zh-CN" w:bidi="ar-SA"/>
              </w:rPr>
            </w:pPr>
            <w:r>
              <w:rPr>
                <w:rStyle w:val="25"/>
                <w:rFonts w:hint="eastAsia" w:ascii="宋体" w:hAnsi="宋体" w:eastAsia="宋体" w:cs="Times New Roman"/>
                <w:kern w:val="2"/>
                <w:sz w:val="18"/>
                <w:szCs w:val="18"/>
                <w:lang w:val="en-US" w:eastAsia="zh-CN" w:bidi="ar-SA"/>
              </w:rPr>
              <w:t>扣除</w:t>
            </w:r>
          </w:p>
        </w:tc>
        <w:tc>
          <w:tcPr>
            <w:tcW w:w="944" w:type="dxa"/>
            <w:tcBorders>
              <w:top w:val="single" w:color="auto" w:sz="4" w:space="0"/>
              <w:left w:val="single" w:color="auto" w:sz="4" w:space="0"/>
              <w:bottom w:val="single" w:color="auto" w:sz="4" w:space="0"/>
              <w:right w:val="single" w:color="auto" w:sz="4" w:space="0"/>
            </w:tcBorders>
            <w:noWrap w:val="0"/>
            <w:vAlign w:val="center"/>
          </w:tcPr>
          <w:p w14:paraId="1627E3E3">
            <w:pPr>
              <w:pStyle w:val="46"/>
              <w:tabs>
                <w:tab w:val="left" w:pos="8280"/>
              </w:tabs>
              <w:spacing w:line="360" w:lineRule="auto"/>
              <w:jc w:val="center"/>
              <w:rPr>
                <w:rStyle w:val="25"/>
                <w:rFonts w:ascii="宋体" w:hAnsi="宋体" w:eastAsia="宋体" w:cs="Times New Roman"/>
                <w:kern w:val="2"/>
                <w:sz w:val="18"/>
                <w:szCs w:val="18"/>
                <w:lang w:val="en-US" w:eastAsia="zh-CN" w:bidi="ar-SA"/>
              </w:rPr>
            </w:pPr>
            <w:r>
              <w:rPr>
                <w:rStyle w:val="25"/>
                <w:rFonts w:hint="eastAsia" w:ascii="宋体" w:hAnsi="宋体" w:eastAsia="宋体" w:cs="Times New Roman"/>
                <w:kern w:val="2"/>
                <w:sz w:val="18"/>
                <w:szCs w:val="18"/>
                <w:lang w:val="en-US" w:eastAsia="zh-CN" w:bidi="ar-SA"/>
              </w:rPr>
              <w:t>预款扣还</w:t>
            </w:r>
          </w:p>
        </w:tc>
        <w:tc>
          <w:tcPr>
            <w:tcW w:w="472" w:type="dxa"/>
            <w:tcBorders>
              <w:top w:val="single" w:color="auto" w:sz="4" w:space="0"/>
              <w:left w:val="single" w:color="auto" w:sz="4" w:space="0"/>
              <w:bottom w:val="single" w:color="auto" w:sz="4" w:space="0"/>
              <w:right w:val="single" w:color="auto" w:sz="4" w:space="0"/>
            </w:tcBorders>
            <w:noWrap w:val="0"/>
            <w:vAlign w:val="center"/>
          </w:tcPr>
          <w:p w14:paraId="2495E663">
            <w:pPr>
              <w:pStyle w:val="46"/>
              <w:tabs>
                <w:tab w:val="left" w:pos="8280"/>
              </w:tabs>
              <w:spacing w:line="360" w:lineRule="auto"/>
              <w:jc w:val="center"/>
              <w:rPr>
                <w:rStyle w:val="25"/>
                <w:rFonts w:ascii="宋体" w:hAnsi="宋体" w:eastAsia="宋体" w:cs="Times New Roman"/>
                <w:kern w:val="2"/>
                <w:sz w:val="18"/>
                <w:szCs w:val="18"/>
                <w:lang w:val="en-US" w:eastAsia="zh-CN" w:bidi="ar-SA"/>
              </w:rPr>
            </w:pPr>
            <w:r>
              <w:rPr>
                <w:rStyle w:val="25"/>
                <w:rFonts w:hint="eastAsia" w:ascii="宋体" w:hAnsi="宋体" w:eastAsia="宋体" w:cs="Times New Roman"/>
                <w:kern w:val="2"/>
                <w:sz w:val="18"/>
                <w:szCs w:val="18"/>
                <w:lang w:val="en-US" w:eastAsia="zh-CN" w:bidi="ar-SA"/>
              </w:rPr>
              <w:t>其它</w:t>
            </w:r>
          </w:p>
        </w:tc>
        <w:tc>
          <w:tcPr>
            <w:tcW w:w="836" w:type="dxa"/>
            <w:tcBorders>
              <w:top w:val="single" w:color="auto" w:sz="4" w:space="0"/>
              <w:left w:val="single" w:color="auto" w:sz="4" w:space="0"/>
              <w:bottom w:val="single" w:color="auto" w:sz="4" w:space="0"/>
              <w:right w:val="single" w:color="auto" w:sz="4" w:space="0"/>
            </w:tcBorders>
            <w:noWrap w:val="0"/>
            <w:vAlign w:val="center"/>
          </w:tcPr>
          <w:p w14:paraId="3794C016">
            <w:pPr>
              <w:pStyle w:val="46"/>
              <w:tabs>
                <w:tab w:val="left" w:pos="8280"/>
              </w:tabs>
              <w:spacing w:line="360" w:lineRule="auto"/>
              <w:jc w:val="center"/>
              <w:rPr>
                <w:rStyle w:val="25"/>
                <w:rFonts w:ascii="宋体" w:hAnsi="宋体" w:eastAsia="宋体" w:cs="Times New Roman"/>
                <w:kern w:val="2"/>
                <w:sz w:val="18"/>
                <w:szCs w:val="18"/>
                <w:lang w:val="en-US" w:eastAsia="zh-CN" w:bidi="ar-SA"/>
              </w:rPr>
            </w:pPr>
            <w:r>
              <w:rPr>
                <w:rStyle w:val="25"/>
                <w:rFonts w:hint="eastAsia" w:ascii="宋体" w:hAnsi="宋体" w:eastAsia="宋体" w:cs="Times New Roman"/>
                <w:kern w:val="2"/>
                <w:sz w:val="18"/>
                <w:szCs w:val="18"/>
                <w:lang w:val="en-US" w:eastAsia="zh-CN" w:bidi="ar-SA"/>
              </w:rPr>
              <w:t>应收款</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2E717F07">
            <w:pPr>
              <w:pStyle w:val="46"/>
              <w:tabs>
                <w:tab w:val="left" w:pos="1734"/>
                <w:tab w:val="left" w:pos="8280"/>
              </w:tabs>
              <w:spacing w:line="360" w:lineRule="auto"/>
              <w:jc w:val="center"/>
              <w:rPr>
                <w:rStyle w:val="25"/>
                <w:rFonts w:ascii="宋体" w:hAnsi="宋体" w:eastAsia="宋体" w:cs="Times New Roman"/>
                <w:kern w:val="2"/>
                <w:sz w:val="18"/>
                <w:szCs w:val="18"/>
                <w:lang w:val="en-US" w:eastAsia="zh-CN" w:bidi="ar-SA"/>
              </w:rPr>
            </w:pPr>
            <w:r>
              <w:rPr>
                <w:rStyle w:val="25"/>
                <w:rFonts w:hint="eastAsia" w:ascii="宋体" w:hAnsi="宋体" w:eastAsia="宋体" w:cs="Times New Roman"/>
                <w:kern w:val="2"/>
                <w:sz w:val="18"/>
                <w:szCs w:val="18"/>
                <w:lang w:val="en-US" w:eastAsia="zh-CN" w:bidi="ar-SA"/>
              </w:rPr>
              <w:t>累计应</w:t>
            </w:r>
          </w:p>
          <w:p w14:paraId="6D1AD1C0">
            <w:pPr>
              <w:pStyle w:val="46"/>
              <w:tabs>
                <w:tab w:val="left" w:pos="1734"/>
                <w:tab w:val="left" w:pos="8280"/>
              </w:tabs>
              <w:spacing w:line="360" w:lineRule="auto"/>
              <w:jc w:val="center"/>
              <w:rPr>
                <w:rStyle w:val="25"/>
                <w:rFonts w:ascii="宋体" w:hAnsi="宋体" w:eastAsia="宋体" w:cs="Times New Roman"/>
                <w:kern w:val="2"/>
                <w:sz w:val="18"/>
                <w:szCs w:val="18"/>
                <w:lang w:val="en-US" w:eastAsia="zh-CN" w:bidi="ar-SA"/>
              </w:rPr>
            </w:pPr>
            <w:r>
              <w:rPr>
                <w:rStyle w:val="25"/>
                <w:rFonts w:hint="eastAsia" w:ascii="宋体" w:hAnsi="宋体" w:eastAsia="宋体" w:cs="Times New Roman"/>
                <w:kern w:val="2"/>
                <w:sz w:val="18"/>
                <w:szCs w:val="18"/>
                <w:lang w:val="en-US" w:eastAsia="zh-CN" w:bidi="ar-SA"/>
              </w:rPr>
              <w:t>收款</w:t>
            </w:r>
          </w:p>
        </w:tc>
      </w:tr>
      <w:tr w14:paraId="4713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72" w:type="dxa"/>
            <w:tcBorders>
              <w:top w:val="single" w:color="auto" w:sz="4" w:space="0"/>
              <w:left w:val="single" w:color="auto" w:sz="4" w:space="0"/>
              <w:bottom w:val="single" w:color="auto" w:sz="4" w:space="0"/>
              <w:right w:val="single" w:color="auto" w:sz="4" w:space="0"/>
            </w:tcBorders>
            <w:noWrap w:val="0"/>
            <w:vAlign w:val="top"/>
          </w:tcPr>
          <w:p w14:paraId="2F9F873F">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472" w:type="dxa"/>
            <w:tcBorders>
              <w:top w:val="single" w:color="auto" w:sz="4" w:space="0"/>
              <w:left w:val="single" w:color="auto" w:sz="4" w:space="0"/>
              <w:bottom w:val="single" w:color="auto" w:sz="4" w:space="0"/>
              <w:right w:val="single" w:color="auto" w:sz="4" w:space="0"/>
            </w:tcBorders>
            <w:noWrap w:val="0"/>
            <w:vAlign w:val="top"/>
          </w:tcPr>
          <w:p w14:paraId="15CD6E96">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20E90678">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1416" w:type="dxa"/>
            <w:tcBorders>
              <w:top w:val="single" w:color="auto" w:sz="4" w:space="0"/>
              <w:left w:val="single" w:color="auto" w:sz="4" w:space="0"/>
              <w:bottom w:val="single" w:color="auto" w:sz="4" w:space="0"/>
              <w:right w:val="single" w:color="auto" w:sz="4" w:space="0"/>
            </w:tcBorders>
            <w:noWrap w:val="0"/>
            <w:vAlign w:val="top"/>
          </w:tcPr>
          <w:p w14:paraId="66FABD65">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1416" w:type="dxa"/>
            <w:tcBorders>
              <w:top w:val="single" w:color="auto" w:sz="4" w:space="0"/>
              <w:left w:val="single" w:color="auto" w:sz="4" w:space="0"/>
              <w:bottom w:val="single" w:color="auto" w:sz="4" w:space="0"/>
              <w:right w:val="single" w:color="auto" w:sz="4" w:space="0"/>
            </w:tcBorders>
            <w:noWrap w:val="0"/>
            <w:vAlign w:val="top"/>
          </w:tcPr>
          <w:p w14:paraId="50C21856">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1101" w:type="dxa"/>
            <w:tcBorders>
              <w:top w:val="single" w:color="auto" w:sz="4" w:space="0"/>
              <w:left w:val="single" w:color="auto" w:sz="4" w:space="0"/>
              <w:bottom w:val="single" w:color="auto" w:sz="4" w:space="0"/>
              <w:right w:val="single" w:color="auto" w:sz="4" w:space="0"/>
            </w:tcBorders>
            <w:noWrap w:val="0"/>
            <w:vAlign w:val="top"/>
          </w:tcPr>
          <w:p w14:paraId="3B456BDF">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944" w:type="dxa"/>
            <w:tcBorders>
              <w:top w:val="single" w:color="auto" w:sz="4" w:space="0"/>
              <w:left w:val="single" w:color="auto" w:sz="4" w:space="0"/>
              <w:bottom w:val="single" w:color="auto" w:sz="4" w:space="0"/>
              <w:right w:val="single" w:color="auto" w:sz="4" w:space="0"/>
            </w:tcBorders>
            <w:noWrap w:val="0"/>
            <w:vAlign w:val="top"/>
          </w:tcPr>
          <w:p w14:paraId="24CDE71B">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472" w:type="dxa"/>
            <w:tcBorders>
              <w:top w:val="single" w:color="auto" w:sz="4" w:space="0"/>
              <w:left w:val="single" w:color="auto" w:sz="4" w:space="0"/>
              <w:bottom w:val="single" w:color="auto" w:sz="4" w:space="0"/>
              <w:right w:val="single" w:color="auto" w:sz="4" w:space="0"/>
            </w:tcBorders>
            <w:noWrap w:val="0"/>
            <w:vAlign w:val="top"/>
          </w:tcPr>
          <w:p w14:paraId="29C71092">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836" w:type="dxa"/>
            <w:tcBorders>
              <w:top w:val="single" w:color="auto" w:sz="4" w:space="0"/>
              <w:left w:val="single" w:color="auto" w:sz="4" w:space="0"/>
              <w:bottom w:val="single" w:color="auto" w:sz="4" w:space="0"/>
              <w:right w:val="single" w:color="auto" w:sz="4" w:space="0"/>
            </w:tcBorders>
            <w:noWrap w:val="0"/>
            <w:vAlign w:val="top"/>
          </w:tcPr>
          <w:p w14:paraId="1A201486">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1052" w:type="dxa"/>
            <w:tcBorders>
              <w:top w:val="single" w:color="auto" w:sz="4" w:space="0"/>
              <w:left w:val="single" w:color="auto" w:sz="4" w:space="0"/>
              <w:bottom w:val="single" w:color="auto" w:sz="4" w:space="0"/>
              <w:right w:val="single" w:color="auto" w:sz="4" w:space="0"/>
            </w:tcBorders>
            <w:noWrap w:val="0"/>
            <w:vAlign w:val="top"/>
          </w:tcPr>
          <w:p w14:paraId="07FA7D63">
            <w:pPr>
              <w:pStyle w:val="46"/>
              <w:tabs>
                <w:tab w:val="left" w:pos="8280"/>
              </w:tabs>
              <w:spacing w:line="360" w:lineRule="auto"/>
              <w:rPr>
                <w:rStyle w:val="25"/>
                <w:rFonts w:ascii="宋体" w:hAnsi="宋体" w:eastAsia="宋体" w:cs="Times New Roman"/>
                <w:kern w:val="2"/>
                <w:sz w:val="21"/>
                <w:szCs w:val="21"/>
                <w:lang w:val="en-US" w:eastAsia="zh-CN" w:bidi="ar-SA"/>
              </w:rPr>
            </w:pPr>
          </w:p>
        </w:tc>
      </w:tr>
      <w:tr w14:paraId="3A26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72" w:type="dxa"/>
            <w:tcBorders>
              <w:top w:val="single" w:color="auto" w:sz="4" w:space="0"/>
              <w:left w:val="single" w:color="auto" w:sz="4" w:space="0"/>
              <w:bottom w:val="single" w:color="auto" w:sz="4" w:space="0"/>
              <w:right w:val="single" w:color="auto" w:sz="4" w:space="0"/>
            </w:tcBorders>
            <w:noWrap w:val="0"/>
            <w:vAlign w:val="top"/>
          </w:tcPr>
          <w:p w14:paraId="0922FEA5">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472" w:type="dxa"/>
            <w:tcBorders>
              <w:top w:val="single" w:color="auto" w:sz="4" w:space="0"/>
              <w:left w:val="single" w:color="auto" w:sz="4" w:space="0"/>
              <w:bottom w:val="single" w:color="auto" w:sz="4" w:space="0"/>
              <w:right w:val="single" w:color="auto" w:sz="4" w:space="0"/>
            </w:tcBorders>
            <w:noWrap w:val="0"/>
            <w:vAlign w:val="top"/>
          </w:tcPr>
          <w:p w14:paraId="62FA235D">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32C99812">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1416" w:type="dxa"/>
            <w:tcBorders>
              <w:top w:val="single" w:color="auto" w:sz="4" w:space="0"/>
              <w:left w:val="single" w:color="auto" w:sz="4" w:space="0"/>
              <w:bottom w:val="single" w:color="auto" w:sz="4" w:space="0"/>
              <w:right w:val="single" w:color="auto" w:sz="4" w:space="0"/>
            </w:tcBorders>
            <w:noWrap w:val="0"/>
            <w:vAlign w:val="top"/>
          </w:tcPr>
          <w:p w14:paraId="520A4C2A">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1416" w:type="dxa"/>
            <w:tcBorders>
              <w:top w:val="single" w:color="auto" w:sz="4" w:space="0"/>
              <w:left w:val="single" w:color="auto" w:sz="4" w:space="0"/>
              <w:bottom w:val="single" w:color="auto" w:sz="4" w:space="0"/>
              <w:right w:val="single" w:color="auto" w:sz="4" w:space="0"/>
            </w:tcBorders>
            <w:noWrap w:val="0"/>
            <w:vAlign w:val="top"/>
          </w:tcPr>
          <w:p w14:paraId="283F0059">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1101" w:type="dxa"/>
            <w:tcBorders>
              <w:top w:val="single" w:color="auto" w:sz="4" w:space="0"/>
              <w:left w:val="single" w:color="auto" w:sz="4" w:space="0"/>
              <w:bottom w:val="single" w:color="auto" w:sz="4" w:space="0"/>
              <w:right w:val="single" w:color="auto" w:sz="4" w:space="0"/>
            </w:tcBorders>
            <w:noWrap w:val="0"/>
            <w:vAlign w:val="top"/>
          </w:tcPr>
          <w:p w14:paraId="01439219">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944" w:type="dxa"/>
            <w:tcBorders>
              <w:top w:val="single" w:color="auto" w:sz="4" w:space="0"/>
              <w:left w:val="single" w:color="auto" w:sz="4" w:space="0"/>
              <w:bottom w:val="single" w:color="auto" w:sz="4" w:space="0"/>
              <w:right w:val="single" w:color="auto" w:sz="4" w:space="0"/>
            </w:tcBorders>
            <w:noWrap w:val="0"/>
            <w:vAlign w:val="top"/>
          </w:tcPr>
          <w:p w14:paraId="4DFBFE17">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472" w:type="dxa"/>
            <w:tcBorders>
              <w:top w:val="single" w:color="auto" w:sz="4" w:space="0"/>
              <w:left w:val="single" w:color="auto" w:sz="4" w:space="0"/>
              <w:bottom w:val="single" w:color="auto" w:sz="4" w:space="0"/>
              <w:right w:val="single" w:color="auto" w:sz="4" w:space="0"/>
            </w:tcBorders>
            <w:noWrap w:val="0"/>
            <w:vAlign w:val="top"/>
          </w:tcPr>
          <w:p w14:paraId="7196C8E7">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836" w:type="dxa"/>
            <w:tcBorders>
              <w:top w:val="single" w:color="auto" w:sz="4" w:space="0"/>
              <w:left w:val="single" w:color="auto" w:sz="4" w:space="0"/>
              <w:bottom w:val="single" w:color="auto" w:sz="4" w:space="0"/>
              <w:right w:val="single" w:color="auto" w:sz="4" w:space="0"/>
            </w:tcBorders>
            <w:noWrap w:val="0"/>
            <w:vAlign w:val="top"/>
          </w:tcPr>
          <w:p w14:paraId="7A061974">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1052" w:type="dxa"/>
            <w:tcBorders>
              <w:top w:val="single" w:color="auto" w:sz="4" w:space="0"/>
              <w:left w:val="single" w:color="auto" w:sz="4" w:space="0"/>
              <w:bottom w:val="single" w:color="auto" w:sz="4" w:space="0"/>
              <w:right w:val="single" w:color="auto" w:sz="4" w:space="0"/>
            </w:tcBorders>
            <w:noWrap w:val="0"/>
            <w:vAlign w:val="top"/>
          </w:tcPr>
          <w:p w14:paraId="529A1CC7">
            <w:pPr>
              <w:pStyle w:val="46"/>
              <w:tabs>
                <w:tab w:val="left" w:pos="8280"/>
              </w:tabs>
              <w:spacing w:line="360" w:lineRule="auto"/>
              <w:rPr>
                <w:rStyle w:val="25"/>
                <w:rFonts w:ascii="宋体" w:hAnsi="宋体" w:eastAsia="宋体" w:cs="Times New Roman"/>
                <w:kern w:val="2"/>
                <w:sz w:val="21"/>
                <w:szCs w:val="21"/>
                <w:lang w:val="en-US" w:eastAsia="zh-CN" w:bidi="ar-SA"/>
              </w:rPr>
            </w:pPr>
          </w:p>
        </w:tc>
      </w:tr>
      <w:tr w14:paraId="427B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472" w:type="dxa"/>
            <w:tcBorders>
              <w:top w:val="single" w:color="auto" w:sz="4" w:space="0"/>
              <w:left w:val="single" w:color="auto" w:sz="4" w:space="0"/>
              <w:bottom w:val="single" w:color="auto" w:sz="4" w:space="0"/>
              <w:right w:val="single" w:color="auto" w:sz="4" w:space="0"/>
            </w:tcBorders>
            <w:noWrap w:val="0"/>
            <w:vAlign w:val="top"/>
          </w:tcPr>
          <w:p w14:paraId="1C535D99">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472" w:type="dxa"/>
            <w:tcBorders>
              <w:top w:val="single" w:color="auto" w:sz="4" w:space="0"/>
              <w:left w:val="single" w:color="auto" w:sz="4" w:space="0"/>
              <w:bottom w:val="single" w:color="auto" w:sz="4" w:space="0"/>
              <w:right w:val="single" w:color="auto" w:sz="4" w:space="0"/>
            </w:tcBorders>
            <w:noWrap w:val="0"/>
            <w:vAlign w:val="top"/>
          </w:tcPr>
          <w:p w14:paraId="0B0A14E8">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59410FF5">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1416" w:type="dxa"/>
            <w:tcBorders>
              <w:top w:val="single" w:color="auto" w:sz="4" w:space="0"/>
              <w:left w:val="single" w:color="auto" w:sz="4" w:space="0"/>
              <w:bottom w:val="single" w:color="auto" w:sz="4" w:space="0"/>
              <w:right w:val="single" w:color="auto" w:sz="4" w:space="0"/>
            </w:tcBorders>
            <w:noWrap w:val="0"/>
            <w:vAlign w:val="top"/>
          </w:tcPr>
          <w:p w14:paraId="1B216854">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1416" w:type="dxa"/>
            <w:tcBorders>
              <w:top w:val="single" w:color="auto" w:sz="4" w:space="0"/>
              <w:left w:val="single" w:color="auto" w:sz="4" w:space="0"/>
              <w:bottom w:val="single" w:color="auto" w:sz="4" w:space="0"/>
              <w:right w:val="single" w:color="auto" w:sz="4" w:space="0"/>
            </w:tcBorders>
            <w:noWrap w:val="0"/>
            <w:vAlign w:val="top"/>
          </w:tcPr>
          <w:p w14:paraId="350576EB">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1101" w:type="dxa"/>
            <w:tcBorders>
              <w:top w:val="single" w:color="auto" w:sz="4" w:space="0"/>
              <w:left w:val="single" w:color="auto" w:sz="4" w:space="0"/>
              <w:bottom w:val="single" w:color="auto" w:sz="4" w:space="0"/>
              <w:right w:val="single" w:color="auto" w:sz="4" w:space="0"/>
            </w:tcBorders>
            <w:noWrap w:val="0"/>
            <w:vAlign w:val="top"/>
          </w:tcPr>
          <w:p w14:paraId="783D5FE9">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944" w:type="dxa"/>
            <w:tcBorders>
              <w:top w:val="single" w:color="auto" w:sz="4" w:space="0"/>
              <w:left w:val="single" w:color="auto" w:sz="4" w:space="0"/>
              <w:bottom w:val="single" w:color="auto" w:sz="4" w:space="0"/>
              <w:right w:val="single" w:color="auto" w:sz="4" w:space="0"/>
            </w:tcBorders>
            <w:noWrap w:val="0"/>
            <w:vAlign w:val="top"/>
          </w:tcPr>
          <w:p w14:paraId="11ABF467">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472" w:type="dxa"/>
            <w:tcBorders>
              <w:top w:val="single" w:color="auto" w:sz="4" w:space="0"/>
              <w:left w:val="single" w:color="auto" w:sz="4" w:space="0"/>
              <w:bottom w:val="single" w:color="auto" w:sz="4" w:space="0"/>
              <w:right w:val="single" w:color="auto" w:sz="4" w:space="0"/>
            </w:tcBorders>
            <w:noWrap w:val="0"/>
            <w:vAlign w:val="top"/>
          </w:tcPr>
          <w:p w14:paraId="6D9E341E">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836" w:type="dxa"/>
            <w:tcBorders>
              <w:top w:val="single" w:color="auto" w:sz="4" w:space="0"/>
              <w:left w:val="single" w:color="auto" w:sz="4" w:space="0"/>
              <w:bottom w:val="single" w:color="auto" w:sz="4" w:space="0"/>
              <w:right w:val="single" w:color="auto" w:sz="4" w:space="0"/>
            </w:tcBorders>
            <w:noWrap w:val="0"/>
            <w:vAlign w:val="top"/>
          </w:tcPr>
          <w:p w14:paraId="2B424451">
            <w:pPr>
              <w:pStyle w:val="46"/>
              <w:tabs>
                <w:tab w:val="left" w:pos="8280"/>
              </w:tabs>
              <w:spacing w:line="360" w:lineRule="auto"/>
              <w:rPr>
                <w:rStyle w:val="25"/>
                <w:rFonts w:ascii="宋体" w:hAnsi="宋体" w:eastAsia="宋体" w:cs="Times New Roman"/>
                <w:kern w:val="2"/>
                <w:sz w:val="21"/>
                <w:szCs w:val="21"/>
                <w:lang w:val="en-US" w:eastAsia="zh-CN" w:bidi="ar-SA"/>
              </w:rPr>
            </w:pPr>
          </w:p>
        </w:tc>
        <w:tc>
          <w:tcPr>
            <w:tcW w:w="1052" w:type="dxa"/>
            <w:tcBorders>
              <w:top w:val="single" w:color="auto" w:sz="4" w:space="0"/>
              <w:left w:val="single" w:color="auto" w:sz="4" w:space="0"/>
              <w:bottom w:val="single" w:color="auto" w:sz="4" w:space="0"/>
              <w:right w:val="single" w:color="auto" w:sz="4" w:space="0"/>
            </w:tcBorders>
            <w:noWrap w:val="0"/>
            <w:vAlign w:val="top"/>
          </w:tcPr>
          <w:p w14:paraId="2D00B81D">
            <w:pPr>
              <w:pStyle w:val="46"/>
              <w:tabs>
                <w:tab w:val="left" w:pos="8280"/>
              </w:tabs>
              <w:spacing w:line="360" w:lineRule="auto"/>
              <w:rPr>
                <w:rStyle w:val="25"/>
                <w:rFonts w:ascii="宋体" w:hAnsi="宋体" w:eastAsia="宋体" w:cs="Times New Roman"/>
                <w:kern w:val="2"/>
                <w:sz w:val="21"/>
                <w:szCs w:val="21"/>
                <w:lang w:val="en-US" w:eastAsia="zh-CN" w:bidi="ar-SA"/>
              </w:rPr>
            </w:pPr>
          </w:p>
        </w:tc>
      </w:tr>
    </w:tbl>
    <w:p w14:paraId="0DD1929E">
      <w:pPr>
        <w:pStyle w:val="47"/>
        <w:rPr>
          <w:rStyle w:val="25"/>
          <w:kern w:val="2"/>
          <w:lang w:val="en-US" w:eastAsia="zh-CN" w:bidi="ar-SA"/>
        </w:rPr>
      </w:pPr>
      <w:r>
        <w:rPr>
          <w:rStyle w:val="25"/>
          <w:rFonts w:hint="eastAsia"/>
          <w:kern w:val="2"/>
          <w:lang w:val="en-US" w:eastAsia="zh-CN" w:bidi="ar-SA"/>
        </w:rPr>
        <w:t>11 开工和竣工</w:t>
      </w:r>
    </w:p>
    <w:p w14:paraId="270A4D72">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11.1</w:t>
      </w:r>
      <w:r>
        <w:rPr>
          <w:rStyle w:val="25"/>
          <w:rFonts w:hint="eastAsia" w:ascii="宋体" w:hAnsi="宋体" w:eastAsia="宋体" w:cs="Times New Roman"/>
          <w:b/>
          <w:kern w:val="2"/>
          <w:sz w:val="24"/>
          <w:szCs w:val="24"/>
          <w:lang w:val="en-US" w:eastAsia="zh-CN" w:bidi="ar-SA"/>
        </w:rPr>
        <w:t>开工</w:t>
      </w:r>
    </w:p>
    <w:p w14:paraId="4F5A82F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11.1.1监理人应在开工日期7天前向承包人发出开工通知。监理人在发出开工通知前应获得发包人同意。工期自监理人发出的开工通知中载明的开工日期起计算。承包人应在开工日期后尽快施工。   </w:t>
      </w:r>
    </w:p>
    <w:p w14:paraId="5E8946E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11.1.2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0679349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11.1.3若发包人未能按合同约定向承包人提供开工的必要条件，承包人有权要求延长工期。监理人应在收到承包人的书面要求后，按第3.5款的约定，与合同双方商定或确定增加的费用和延长的工期。</w:t>
      </w:r>
    </w:p>
    <w:p w14:paraId="3D8E51D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11.1.4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p>
    <w:p w14:paraId="295333DE">
      <w:pPr>
        <w:pStyle w:val="46"/>
        <w:tabs>
          <w:tab w:val="left" w:pos="8280"/>
        </w:tabs>
        <w:spacing w:line="360" w:lineRule="auto"/>
        <w:rPr>
          <w:rStyle w:val="25"/>
          <w:rFonts w:ascii="宋体" w:hAnsi="宋体" w:eastAsia="宋体" w:cs="Times New Roman"/>
          <w:kern w:val="2"/>
          <w:sz w:val="24"/>
          <w:szCs w:val="24"/>
          <w:lang w:val="en-US" w:eastAsia="zh-CN" w:bidi="ar-SA"/>
        </w:rPr>
      </w:pPr>
      <w:r>
        <w:rPr>
          <w:rStyle w:val="25"/>
          <w:rFonts w:ascii="宋体" w:hAnsi="宋体" w:eastAsia="宋体" w:cs="Times New Roman"/>
          <w:b/>
          <w:kern w:val="2"/>
          <w:sz w:val="24"/>
          <w:szCs w:val="24"/>
          <w:lang w:val="en-US" w:eastAsia="zh-CN" w:bidi="ar-SA"/>
        </w:rPr>
        <w:t>11.2</w:t>
      </w:r>
      <w:r>
        <w:rPr>
          <w:rStyle w:val="25"/>
          <w:rFonts w:hint="eastAsia" w:ascii="宋体" w:hAnsi="宋体" w:eastAsia="宋体" w:cs="Times New Roman"/>
          <w:b/>
          <w:kern w:val="2"/>
          <w:sz w:val="24"/>
          <w:szCs w:val="24"/>
          <w:lang w:val="en-US" w:eastAsia="zh-CN" w:bidi="ar-SA"/>
        </w:rPr>
        <w:t>竣工</w:t>
      </w:r>
      <w:r>
        <w:rPr>
          <w:rStyle w:val="25"/>
          <w:rFonts w:ascii="宋体" w:hAnsi="宋体" w:eastAsia="宋体" w:cs="Times New Roman"/>
          <w:b/>
          <w:kern w:val="2"/>
          <w:sz w:val="24"/>
          <w:szCs w:val="24"/>
          <w:lang w:val="en-US" w:eastAsia="zh-CN" w:bidi="ar-SA"/>
        </w:rPr>
        <w:t>(</w:t>
      </w:r>
      <w:r>
        <w:rPr>
          <w:rStyle w:val="25"/>
          <w:rFonts w:hint="eastAsia" w:ascii="宋体" w:hAnsi="宋体" w:eastAsia="宋体" w:cs="Times New Roman"/>
          <w:b/>
          <w:kern w:val="2"/>
          <w:sz w:val="24"/>
          <w:szCs w:val="24"/>
          <w:lang w:val="en-US" w:eastAsia="zh-CN" w:bidi="ar-SA"/>
        </w:rPr>
        <w:t>完工</w:t>
      </w:r>
      <w:r>
        <w:rPr>
          <w:rStyle w:val="25"/>
          <w:rFonts w:ascii="宋体" w:hAnsi="宋体" w:eastAsia="宋体" w:cs="Times New Roman"/>
          <w:b/>
          <w:kern w:val="2"/>
          <w:sz w:val="24"/>
          <w:szCs w:val="24"/>
          <w:lang w:val="en-US" w:eastAsia="zh-CN" w:bidi="ar-SA"/>
        </w:rPr>
        <w:t>)</w:t>
      </w:r>
    </w:p>
    <w:p w14:paraId="0B81C93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承包人应在第1.1.4.3目约定的期限内完成合同工程。合同工程实际完工日期在合同工程完工证书中明确。   </w:t>
      </w:r>
    </w:p>
    <w:p w14:paraId="0A8C1FC3">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11.3</w:t>
      </w:r>
      <w:r>
        <w:rPr>
          <w:rStyle w:val="25"/>
          <w:rFonts w:hint="eastAsia" w:ascii="宋体" w:hAnsi="宋体" w:eastAsia="宋体" w:cs="Times New Roman"/>
          <w:b/>
          <w:kern w:val="2"/>
          <w:sz w:val="24"/>
          <w:szCs w:val="24"/>
          <w:lang w:val="en-US" w:eastAsia="zh-CN" w:bidi="ar-SA"/>
        </w:rPr>
        <w:t>发包人的工期延误</w:t>
      </w:r>
    </w:p>
    <w:p w14:paraId="36163A5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在履行合同过程中，由于发包人的下列原因造成工期延误的，承包人有权要求发包人延长工期和(或)增加费用，并支付合理利润。需要修订合同进度计划的，按照第10.2款的约定办理。</w:t>
      </w:r>
    </w:p>
    <w:p w14:paraId="5FB0CEE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(1)增加合同工作内容；</w:t>
      </w:r>
    </w:p>
    <w:p w14:paraId="1E68563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(2)改变合同中任何一项工作的质量要求或其他特性；</w:t>
      </w:r>
    </w:p>
    <w:p w14:paraId="22C285B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(3)发包人迟延提供材料、工程设备或变更交货地点的；</w:t>
      </w:r>
    </w:p>
    <w:p w14:paraId="226028E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(4)因发包人原因导致的暂停施工；</w:t>
      </w:r>
    </w:p>
    <w:p w14:paraId="2394494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(5)提供图纸延误；</w:t>
      </w:r>
    </w:p>
    <w:p w14:paraId="2918107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(6)未按合同约定及时支付预付款、进度款；</w:t>
      </w:r>
    </w:p>
    <w:p w14:paraId="1398858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(7)发包人造成工期延误的其他原因。</w:t>
      </w:r>
    </w:p>
    <w:p w14:paraId="2E476BB7">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11.4</w:t>
      </w:r>
      <w:r>
        <w:rPr>
          <w:rStyle w:val="25"/>
          <w:rFonts w:hint="eastAsia" w:ascii="宋体" w:hAnsi="宋体" w:eastAsia="宋体" w:cs="Times New Roman"/>
          <w:b/>
          <w:kern w:val="2"/>
          <w:sz w:val="24"/>
          <w:szCs w:val="24"/>
          <w:lang w:val="en-US" w:eastAsia="zh-CN" w:bidi="ar-SA"/>
        </w:rPr>
        <w:t>异常恶劣的气候条件</w:t>
      </w:r>
    </w:p>
    <w:p w14:paraId="509071B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11.4.1当工程所在地发生危及施工安全的异常恶劣气候时，发包人和承包人应按本合同通用合同条款第12条的约定，及时采取暂停施工或部分暂停施工措施。异常恶劣气候条件解除后，承包人应及时安排复工。</w:t>
      </w:r>
    </w:p>
    <w:p w14:paraId="4A3F9D1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11.4.2异常恶劣气候条件造成的工期延误和工程损坏，应由发包人与承包人参照本合同通用合同条款第21.3款的约定协商处理。  </w:t>
      </w:r>
    </w:p>
    <w:p w14:paraId="1FFADFA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11.4.3本合同工程界定异常恶劣气候条件的范围在专用合同条款中约定。</w:t>
      </w:r>
    </w:p>
    <w:p w14:paraId="3627D3C8">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11.5</w:t>
      </w:r>
      <w:r>
        <w:rPr>
          <w:rStyle w:val="25"/>
          <w:rFonts w:hint="eastAsia" w:ascii="宋体" w:hAnsi="宋体" w:eastAsia="宋体" w:cs="Times New Roman"/>
          <w:b/>
          <w:kern w:val="2"/>
          <w:sz w:val="24"/>
          <w:szCs w:val="24"/>
          <w:lang w:val="en-US" w:eastAsia="zh-CN" w:bidi="ar-SA"/>
        </w:rPr>
        <w:t>承包人的工期延误</w:t>
      </w:r>
      <w:r>
        <w:rPr>
          <w:rStyle w:val="25"/>
          <w:rFonts w:ascii="宋体" w:hAnsi="宋体" w:eastAsia="宋体" w:cs="Times New Roman"/>
          <w:b/>
          <w:kern w:val="2"/>
          <w:sz w:val="24"/>
          <w:szCs w:val="24"/>
          <w:lang w:val="en-US" w:eastAsia="zh-CN" w:bidi="ar-SA"/>
        </w:rPr>
        <w:t xml:space="preserve">   </w:t>
      </w:r>
    </w:p>
    <w:p w14:paraId="562FE47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3C36B11F">
      <w:pPr>
        <w:pStyle w:val="47"/>
        <w:rPr>
          <w:rStyle w:val="25"/>
          <w:kern w:val="2"/>
          <w:lang w:val="en-US" w:eastAsia="zh-CN" w:bidi="ar-SA"/>
        </w:rPr>
      </w:pPr>
      <w:r>
        <w:rPr>
          <w:rStyle w:val="25"/>
          <w:rFonts w:hint="eastAsia"/>
          <w:kern w:val="2"/>
          <w:lang w:val="en-US" w:eastAsia="zh-CN" w:bidi="ar-SA"/>
        </w:rPr>
        <w:t>12 暂停施工</w:t>
      </w:r>
    </w:p>
    <w:p w14:paraId="6E56C263">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12.1</w:t>
      </w:r>
      <w:r>
        <w:rPr>
          <w:rStyle w:val="25"/>
          <w:rFonts w:hint="eastAsia" w:ascii="宋体" w:hAnsi="宋体" w:eastAsia="宋体" w:cs="Times New Roman"/>
          <w:b/>
          <w:kern w:val="2"/>
          <w:sz w:val="24"/>
          <w:szCs w:val="24"/>
          <w:lang w:val="en-US" w:eastAsia="zh-CN" w:bidi="ar-SA"/>
        </w:rPr>
        <w:t>承包人暂停施工的责任</w:t>
      </w:r>
    </w:p>
    <w:p w14:paraId="25F9AB8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因下列暂停施工增加的费用和(或)工期延误由承包人承担：</w:t>
      </w:r>
    </w:p>
    <w:p w14:paraId="163EB1C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(1)承包人违约引起的暂停施工；</w:t>
      </w:r>
    </w:p>
    <w:p w14:paraId="15F7DB5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(2)由于承包人原因为工程合理施工和安全保障所必需的暂停施工；</w:t>
      </w:r>
    </w:p>
    <w:p w14:paraId="5D8A550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(3)承包人擅自暂停施工；</w:t>
      </w:r>
    </w:p>
    <w:p w14:paraId="1BBD500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(4)承包人其他原因引起的暂停施工；</w:t>
      </w:r>
    </w:p>
    <w:p w14:paraId="336FC2E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(5)专用合同条款约定由承包人承担的其他暂停施工。</w:t>
      </w:r>
    </w:p>
    <w:p w14:paraId="4BC81214">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12.2</w:t>
      </w:r>
      <w:r>
        <w:rPr>
          <w:rStyle w:val="25"/>
          <w:rFonts w:hint="eastAsia" w:ascii="宋体" w:hAnsi="宋体" w:eastAsia="宋体" w:cs="Times New Roman"/>
          <w:b/>
          <w:kern w:val="2"/>
          <w:sz w:val="24"/>
          <w:szCs w:val="24"/>
          <w:lang w:val="en-US" w:eastAsia="zh-CN" w:bidi="ar-SA"/>
        </w:rPr>
        <w:t>发包人暂停施工的责任</w:t>
      </w:r>
    </w:p>
    <w:p w14:paraId="3F7BE9B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由于发包人原因引起的暂停施工造成工期延误的，承包人有权要求发包人延长工期和</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或</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增加费用，并支付合理利润。属于下列任何一种情况引起的暂停施工，均为发包人的责任：</w:t>
      </w:r>
    </w:p>
    <w:p w14:paraId="4AB4C77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(1)由于发包人违约引起的暂停施工；</w:t>
      </w:r>
    </w:p>
    <w:p w14:paraId="48EA842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(2)由于不可抗力的自然或社会因素引起的暂停施工；</w:t>
      </w:r>
    </w:p>
    <w:p w14:paraId="46C2F2E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(3)专用合同条款中约定的其它由于发包人原因引起的暂停施工。</w:t>
      </w:r>
    </w:p>
    <w:p w14:paraId="557D1A94">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12.3</w:t>
      </w:r>
      <w:r>
        <w:rPr>
          <w:rStyle w:val="25"/>
          <w:rFonts w:hint="eastAsia" w:ascii="宋体" w:hAnsi="宋体" w:eastAsia="宋体" w:cs="Times New Roman"/>
          <w:b/>
          <w:kern w:val="2"/>
          <w:sz w:val="24"/>
          <w:szCs w:val="24"/>
          <w:lang w:val="en-US" w:eastAsia="zh-CN" w:bidi="ar-SA"/>
        </w:rPr>
        <w:t>监理人暂停施工指示</w:t>
      </w:r>
    </w:p>
    <w:p w14:paraId="374A79B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12.3.1监理人认为有必要时，可向承包人作出暂停施工的指示，承包人应按监理人指示暂停施工。不论由于何种原因引起的暂停施工，暂停施工期间承包人应负责妥善保护工程并提供安全保障。</w:t>
      </w:r>
    </w:p>
    <w:p w14:paraId="25D5A8C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12.3.2由于发包人的原因发生暂停施工的紧急倩况，且监理人未及时下达暂停工示的，承包人可先暂停旅工，并及时向监理人提出暂停施工的书面请求。监理人应在接到书面请求后的24小时内予以答复，逾期未答复的，视为同意承包人的暂停施工请求。</w:t>
      </w:r>
    </w:p>
    <w:p w14:paraId="1D47C79D">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12.4</w:t>
      </w:r>
      <w:r>
        <w:rPr>
          <w:rStyle w:val="25"/>
          <w:rFonts w:hint="eastAsia" w:ascii="宋体" w:hAnsi="宋体" w:eastAsia="宋体" w:cs="Times New Roman"/>
          <w:b/>
          <w:kern w:val="2"/>
          <w:sz w:val="24"/>
          <w:szCs w:val="24"/>
          <w:lang w:val="en-US" w:eastAsia="zh-CN" w:bidi="ar-SA"/>
        </w:rPr>
        <w:t>暂停施工后的复工</w:t>
      </w:r>
    </w:p>
    <w:p w14:paraId="34BB97F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12.4.1暂停施工后，监理人应与发包人和承包人协商，采取有效措施积极消除暂停施工的影响。当工程具备复工条件时，监理人应立即向承包人发出复工通知。承包人收到复工通知后，应在监理人指定的期限内复工。</w:t>
      </w:r>
    </w:p>
    <w:p w14:paraId="1F673D8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12.4.2承包人无故拖延和拒绝复工的，由此增加的费用和工期延误由承包人承担；因发包人原因无法按时复工的，承包人有权要求发包人延长工期和(或)增加费用，并支付合理利润。</w:t>
      </w:r>
    </w:p>
    <w:p w14:paraId="7F61E1EB">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12.5</w:t>
      </w:r>
      <w:r>
        <w:rPr>
          <w:rStyle w:val="25"/>
          <w:rFonts w:hint="eastAsia" w:ascii="宋体" w:hAnsi="宋体" w:eastAsia="宋体" w:cs="Times New Roman"/>
          <w:b/>
          <w:kern w:val="2"/>
          <w:sz w:val="24"/>
          <w:szCs w:val="24"/>
          <w:lang w:val="en-US" w:eastAsia="zh-CN" w:bidi="ar-SA"/>
        </w:rPr>
        <w:t>暂停施工持续</w:t>
      </w:r>
      <w:r>
        <w:rPr>
          <w:rStyle w:val="25"/>
          <w:rFonts w:ascii="宋体" w:hAnsi="宋体" w:eastAsia="宋体" w:cs="Times New Roman"/>
          <w:b/>
          <w:kern w:val="2"/>
          <w:sz w:val="24"/>
          <w:szCs w:val="24"/>
          <w:lang w:val="en-US" w:eastAsia="zh-CN" w:bidi="ar-SA"/>
        </w:rPr>
        <w:t>56</w:t>
      </w:r>
      <w:r>
        <w:rPr>
          <w:rStyle w:val="25"/>
          <w:rFonts w:hint="eastAsia" w:ascii="宋体" w:hAnsi="宋体" w:eastAsia="宋体" w:cs="Times New Roman"/>
          <w:b/>
          <w:kern w:val="2"/>
          <w:sz w:val="24"/>
          <w:szCs w:val="24"/>
          <w:lang w:val="en-US" w:eastAsia="zh-CN" w:bidi="ar-SA"/>
        </w:rPr>
        <w:t>天以上</w:t>
      </w:r>
    </w:p>
    <w:p w14:paraId="2CF7D01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12.5.1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20.2款的规定办理。</w:t>
      </w:r>
    </w:p>
    <w:p w14:paraId="1D30E69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12.5.2由于承包人责任引起的暂停施工，如承包人在收到监理人暂停施工指示后56天内不认真采取有效的复工措施，造成工期延误，可视为承包人违约，应按第20.1款的规定办理。   </w:t>
      </w:r>
    </w:p>
    <w:p w14:paraId="439F855B">
      <w:pPr>
        <w:pStyle w:val="47"/>
        <w:rPr>
          <w:rStyle w:val="25"/>
          <w:kern w:val="2"/>
          <w:lang w:val="en-US" w:eastAsia="zh-CN" w:bidi="ar-SA"/>
        </w:rPr>
      </w:pPr>
      <w:r>
        <w:rPr>
          <w:rStyle w:val="25"/>
          <w:rFonts w:hint="eastAsia"/>
          <w:kern w:val="2"/>
          <w:lang w:val="en-US" w:eastAsia="zh-CN" w:bidi="ar-SA"/>
        </w:rPr>
        <w:t>13 工程质量</w:t>
      </w:r>
    </w:p>
    <w:p w14:paraId="009093E6">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13.1</w:t>
      </w:r>
      <w:r>
        <w:rPr>
          <w:rStyle w:val="25"/>
          <w:rFonts w:hint="eastAsia" w:ascii="宋体" w:hAnsi="宋体" w:eastAsia="宋体" w:cs="Times New Roman"/>
          <w:b/>
          <w:kern w:val="2"/>
          <w:sz w:val="24"/>
          <w:szCs w:val="24"/>
          <w:lang w:val="en-US" w:eastAsia="zh-CN" w:bidi="ar-SA"/>
        </w:rPr>
        <w:t>工程质量要求</w:t>
      </w:r>
    </w:p>
    <w:p w14:paraId="5E5158C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13.1.1工程质量验收按合同约定验收标准执行。</w:t>
      </w:r>
    </w:p>
    <w:p w14:paraId="106D791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13.1.2因承包人原因造成工程质量达不到合同约定验收标准的，监理人有权要求承包人返工直至符合合同要求为止．由此造成的费用增加和(或)工期延误由承包人承担。</w:t>
      </w:r>
    </w:p>
    <w:p w14:paraId="64DD3FB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13.1.3因发包人原因造成工程质量达不到合同约定验收标准的，发包人应承担由于承包人返工造成的费用增加和(或)工期延误，并支付承包人合理利润。</w:t>
      </w:r>
    </w:p>
    <w:p w14:paraId="35638807">
      <w:pPr>
        <w:pStyle w:val="46"/>
        <w:tabs>
          <w:tab w:val="left" w:pos="8280"/>
        </w:tabs>
        <w:spacing w:line="360" w:lineRule="auto"/>
        <w:rPr>
          <w:rStyle w:val="25"/>
          <w:rFonts w:ascii="宋体" w:hAnsi="宋体" w:eastAsia="宋体" w:cs="Times New Roman"/>
          <w:kern w:val="2"/>
          <w:sz w:val="24"/>
          <w:szCs w:val="24"/>
          <w:lang w:val="en-US" w:eastAsia="zh-CN" w:bidi="ar-SA"/>
        </w:rPr>
      </w:pPr>
      <w:r>
        <w:rPr>
          <w:rStyle w:val="25"/>
          <w:rFonts w:ascii="宋体" w:hAnsi="宋体" w:eastAsia="宋体" w:cs="Times New Roman"/>
          <w:b/>
          <w:kern w:val="2"/>
          <w:sz w:val="24"/>
          <w:szCs w:val="24"/>
          <w:lang w:val="en-US" w:eastAsia="zh-CN" w:bidi="ar-SA"/>
        </w:rPr>
        <w:t>13.2</w:t>
      </w:r>
      <w:r>
        <w:rPr>
          <w:rStyle w:val="25"/>
          <w:rFonts w:hint="eastAsia" w:ascii="宋体" w:hAnsi="宋体" w:eastAsia="宋体" w:cs="Times New Roman"/>
          <w:b/>
          <w:kern w:val="2"/>
          <w:sz w:val="24"/>
          <w:szCs w:val="24"/>
          <w:lang w:val="en-US" w:eastAsia="zh-CN" w:bidi="ar-SA"/>
        </w:rPr>
        <w:t>承包人的质量管理</w:t>
      </w:r>
      <w:r>
        <w:rPr>
          <w:rStyle w:val="25"/>
          <w:rFonts w:ascii="宋体" w:hAnsi="宋体" w:eastAsia="宋体" w:cs="Times New Roman"/>
          <w:b/>
          <w:kern w:val="2"/>
          <w:sz w:val="24"/>
          <w:szCs w:val="24"/>
          <w:lang w:val="en-US" w:eastAsia="zh-CN" w:bidi="ar-SA"/>
        </w:rPr>
        <w:t xml:space="preserve">   </w:t>
      </w:r>
      <w:r>
        <w:rPr>
          <w:rStyle w:val="25"/>
          <w:rFonts w:ascii="宋体" w:hAnsi="宋体" w:eastAsia="宋体" w:cs="Times New Roman"/>
          <w:kern w:val="2"/>
          <w:sz w:val="24"/>
          <w:szCs w:val="24"/>
          <w:lang w:val="en-US" w:eastAsia="zh-CN" w:bidi="ar-SA"/>
        </w:rPr>
        <w:t xml:space="preserve"> </w:t>
      </w:r>
    </w:p>
    <w:p w14:paraId="76114C7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13.2.1承包人应在施工场地设置专门的质量检查机构，配备专职质量检查人员，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规定的期限内批复承包人。</w:t>
      </w:r>
    </w:p>
    <w:p w14:paraId="573A7E9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13.2.2承包人应加强对施工人员的质量教育和技术培训，定期考核施工人员的劳动技能严格执行规范和操作规程。</w:t>
      </w:r>
    </w:p>
    <w:p w14:paraId="449382A6">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13.3</w:t>
      </w:r>
      <w:r>
        <w:rPr>
          <w:rStyle w:val="25"/>
          <w:rFonts w:hint="eastAsia" w:ascii="宋体" w:hAnsi="宋体" w:eastAsia="宋体" w:cs="Times New Roman"/>
          <w:b/>
          <w:kern w:val="2"/>
          <w:sz w:val="24"/>
          <w:szCs w:val="24"/>
          <w:lang w:val="en-US" w:eastAsia="zh-CN" w:bidi="ar-SA"/>
        </w:rPr>
        <w:t>承包人的质量检查</w:t>
      </w:r>
      <w:r>
        <w:rPr>
          <w:rStyle w:val="25"/>
          <w:rFonts w:ascii="宋体" w:hAnsi="宋体" w:eastAsia="宋体" w:cs="Times New Roman"/>
          <w:b/>
          <w:kern w:val="2"/>
          <w:sz w:val="24"/>
          <w:szCs w:val="24"/>
          <w:lang w:val="en-US" w:eastAsia="zh-CN" w:bidi="ar-SA"/>
        </w:rPr>
        <w:t xml:space="preserve">    </w:t>
      </w:r>
    </w:p>
    <w:p w14:paraId="65E628A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承包人应按合同约定对材料、工程设备以及工程的所有部位及其施工工艺进行全过程的质量检查和检验，并作详细记录，编制工程质量报表，报送监理人审查。</w:t>
      </w:r>
    </w:p>
    <w:p w14:paraId="14C66474">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13.4</w:t>
      </w:r>
      <w:r>
        <w:rPr>
          <w:rStyle w:val="25"/>
          <w:rFonts w:hint="eastAsia" w:ascii="宋体" w:hAnsi="宋体" w:eastAsia="宋体" w:cs="Times New Roman"/>
          <w:b/>
          <w:kern w:val="2"/>
          <w:sz w:val="24"/>
          <w:szCs w:val="24"/>
          <w:lang w:val="en-US" w:eastAsia="zh-CN" w:bidi="ar-SA"/>
        </w:rPr>
        <w:t>监理人的质量检查</w:t>
      </w:r>
    </w:p>
    <w:p w14:paraId="7AD5E15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实验、工程复核测量和设备性能检测，提供试验样品、提交试验报告和测量成果以及监理人要求进行的其他工作。监理人的检查和检验，不免除承包人按合同约定应负的责任。  </w:t>
      </w:r>
    </w:p>
    <w:p w14:paraId="6A8D1A53">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13.5</w:t>
      </w:r>
      <w:r>
        <w:rPr>
          <w:rStyle w:val="25"/>
          <w:rFonts w:hint="eastAsia" w:ascii="宋体" w:hAnsi="宋体" w:eastAsia="宋体" w:cs="Times New Roman"/>
          <w:b/>
          <w:kern w:val="2"/>
          <w:sz w:val="24"/>
          <w:szCs w:val="24"/>
          <w:lang w:val="en-US" w:eastAsia="zh-CN" w:bidi="ar-SA"/>
        </w:rPr>
        <w:t>工程隐蔽部位覆盖前的检查</w:t>
      </w:r>
    </w:p>
    <w:p w14:paraId="22CE82B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13.5.1通知监理人检查</w:t>
      </w:r>
    </w:p>
    <w:p w14:paraId="6894962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经承包人自检确认的工程隐蔽部位具备覆盖条件后，承包人应通知监理人在约定的期限的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3B0322F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13.5.2监理人未到场检查</w:t>
      </w:r>
    </w:p>
    <w:p w14:paraId="0336DA2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5312A9C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13.5.3监理人重新检查    </w:t>
      </w:r>
    </w:p>
    <w:p w14:paraId="5FF9E6C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    </w:t>
      </w:r>
    </w:p>
    <w:p w14:paraId="6C68F93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13.5.4承包人私自覆盖</w:t>
      </w:r>
    </w:p>
    <w:p w14:paraId="54EA846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承包人未通知监理人到场检查，私自将工程隐蔽部位覆盖的，监理人有权指示承包人钻孔探测或揭开检查，由此增加的费用和(或)工期延误由承包人承担。</w:t>
      </w:r>
    </w:p>
    <w:p w14:paraId="3E27A1A3">
      <w:pPr>
        <w:pStyle w:val="46"/>
        <w:tabs>
          <w:tab w:val="left" w:pos="8280"/>
        </w:tabs>
        <w:spacing w:line="360" w:lineRule="auto"/>
        <w:ind w:right="-315" w:rightChars="-150"/>
        <w:rPr>
          <w:rStyle w:val="25"/>
          <w:rFonts w:ascii="宋体" w:hAnsi="宋体" w:eastAsia="宋体" w:cs="Times New Roman"/>
          <w:kern w:val="2"/>
          <w:sz w:val="24"/>
          <w:szCs w:val="24"/>
          <w:lang w:val="en-US" w:eastAsia="zh-CN" w:bidi="ar-SA"/>
        </w:rPr>
      </w:pPr>
      <w:r>
        <w:rPr>
          <w:rStyle w:val="25"/>
          <w:rFonts w:ascii="宋体" w:hAnsi="宋体" w:eastAsia="宋体" w:cs="Times New Roman"/>
          <w:b/>
          <w:kern w:val="2"/>
          <w:sz w:val="24"/>
          <w:szCs w:val="24"/>
          <w:lang w:val="en-US" w:eastAsia="zh-CN" w:bidi="ar-SA"/>
        </w:rPr>
        <w:t>13.6</w:t>
      </w:r>
      <w:r>
        <w:rPr>
          <w:rStyle w:val="25"/>
          <w:rFonts w:hint="eastAsia" w:ascii="宋体" w:hAnsi="宋体" w:eastAsia="宋体" w:cs="Times New Roman"/>
          <w:b/>
          <w:kern w:val="2"/>
          <w:sz w:val="24"/>
          <w:szCs w:val="24"/>
          <w:lang w:val="en-US" w:eastAsia="zh-CN" w:bidi="ar-SA"/>
        </w:rPr>
        <w:t>清除不合格工程</w:t>
      </w:r>
    </w:p>
    <w:p w14:paraId="040E327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承包人使用不合格材料、工程设备，或采用不适当的施工工艺，或施工不当，造成工程不合格的，监理人可以随时发出指示，要求承包人立即采取措施进行补救，直至达到合同要求的质量标准，由此增加的费用和</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或</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工期延误由承包人承担。</w:t>
      </w:r>
    </w:p>
    <w:p w14:paraId="4391C51A">
      <w:pPr>
        <w:pStyle w:val="46"/>
        <w:tabs>
          <w:tab w:val="left" w:pos="8280"/>
        </w:tabs>
        <w:spacing w:line="360" w:lineRule="auto"/>
        <w:ind w:right="-315" w:rightChars="-150"/>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13.7</w:t>
      </w:r>
      <w:r>
        <w:rPr>
          <w:rStyle w:val="25"/>
          <w:rFonts w:hint="eastAsia" w:ascii="宋体" w:hAnsi="宋体" w:eastAsia="宋体" w:cs="Times New Roman"/>
          <w:b/>
          <w:kern w:val="2"/>
          <w:sz w:val="24"/>
          <w:szCs w:val="24"/>
          <w:lang w:val="en-US" w:eastAsia="zh-CN" w:bidi="ar-SA"/>
        </w:rPr>
        <w:t>质量评定</w:t>
      </w:r>
    </w:p>
    <w:p w14:paraId="4E0418A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13.7.1</w:t>
      </w:r>
      <w:r>
        <w:rPr>
          <w:rStyle w:val="25"/>
          <w:rFonts w:hint="eastAsia" w:ascii="宋体" w:hAnsi="宋体" w:eastAsia="宋体" w:cs="Times New Roman"/>
          <w:kern w:val="2"/>
          <w:sz w:val="21"/>
          <w:szCs w:val="21"/>
          <w:lang w:val="en-US" w:eastAsia="zh-CN" w:bidi="ar-SA"/>
        </w:rPr>
        <w:t>发包人应组织承包人进行工程项目划分，并确定单位工程、主要分部工程、重要隐蔽单元工程和关键部位单元工程。</w:t>
      </w:r>
    </w:p>
    <w:p w14:paraId="4171042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13.7.2</w:t>
      </w:r>
      <w:r>
        <w:rPr>
          <w:rStyle w:val="25"/>
          <w:rFonts w:hint="eastAsia" w:ascii="宋体" w:hAnsi="宋体" w:eastAsia="宋体" w:cs="Times New Roman"/>
          <w:kern w:val="2"/>
          <w:sz w:val="21"/>
          <w:szCs w:val="21"/>
          <w:lang w:val="en-US" w:eastAsia="zh-CN" w:bidi="ar-SA"/>
        </w:rPr>
        <w:t>工程实施过程中，单位工程、主要分部工程、重要隐蔽单元工程和关键部位单元工程的项目划分需要调整时，承包人应报发包人确认。</w:t>
      </w:r>
    </w:p>
    <w:p w14:paraId="7C45324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13.7.3</w:t>
      </w:r>
      <w:r>
        <w:rPr>
          <w:rStyle w:val="25"/>
          <w:rFonts w:hint="eastAsia" w:ascii="宋体" w:hAnsi="宋体" w:eastAsia="宋体" w:cs="Times New Roman"/>
          <w:kern w:val="2"/>
          <w:sz w:val="21"/>
          <w:szCs w:val="21"/>
          <w:lang w:val="en-US" w:eastAsia="zh-CN" w:bidi="ar-SA"/>
        </w:rPr>
        <w:t>承包人应在单元</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工序</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工程质量自评合格后，报监理人核定质量等级并签证认可。</w:t>
      </w:r>
    </w:p>
    <w:p w14:paraId="03E8DE7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13.7.4</w:t>
      </w:r>
      <w:r>
        <w:rPr>
          <w:rStyle w:val="25"/>
          <w:rFonts w:hint="eastAsia" w:ascii="宋体" w:hAnsi="宋体" w:eastAsia="宋体" w:cs="Times New Roman"/>
          <w:kern w:val="2"/>
          <w:sz w:val="21"/>
          <w:szCs w:val="21"/>
          <w:lang w:val="en-US" w:eastAsia="zh-CN" w:bidi="ar-SA"/>
        </w:rPr>
        <w:t>除专用合同条款另有约定外，承包人应在重要隐蔽单元工程和关键部位单元工程质量自评合格以及监理人抽检后，由监理人组织承包人等单位组成的联合小组，共同检查核定其质量等级并填写签证表。发包人按有关规定完成质量结论报工程质量监督机构核备手续。</w:t>
      </w:r>
      <w:r>
        <w:rPr>
          <w:rStyle w:val="25"/>
          <w:rFonts w:ascii="宋体" w:hAnsi="宋体" w:eastAsia="宋体" w:cs="Times New Roman"/>
          <w:kern w:val="2"/>
          <w:sz w:val="21"/>
          <w:szCs w:val="21"/>
          <w:lang w:val="en-US" w:eastAsia="zh-CN" w:bidi="ar-SA"/>
        </w:rPr>
        <w:t xml:space="preserve">    </w:t>
      </w:r>
    </w:p>
    <w:p w14:paraId="4223296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13.7.5</w:t>
      </w:r>
      <w:r>
        <w:rPr>
          <w:rStyle w:val="25"/>
          <w:rFonts w:hint="eastAsia" w:ascii="宋体" w:hAnsi="宋体" w:eastAsia="宋体" w:cs="Times New Roman"/>
          <w:kern w:val="2"/>
          <w:sz w:val="21"/>
          <w:szCs w:val="21"/>
          <w:lang w:val="en-US" w:eastAsia="zh-CN" w:bidi="ar-SA"/>
        </w:rPr>
        <w:t>承包人应在分部工程质量自评合格后，报监理人复核和发包人认定。发包人负责按有关规定完成分部工程质量结论报工程质量监督机构核备</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核定</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手续。</w:t>
      </w:r>
    </w:p>
    <w:p w14:paraId="2AD23A0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13.7.6</w:t>
      </w:r>
      <w:r>
        <w:rPr>
          <w:rStyle w:val="25"/>
          <w:rFonts w:hint="eastAsia" w:ascii="宋体" w:hAnsi="宋体" w:eastAsia="宋体" w:cs="Times New Roman"/>
          <w:kern w:val="2"/>
          <w:sz w:val="21"/>
          <w:szCs w:val="21"/>
          <w:lang w:val="en-US" w:eastAsia="zh-CN" w:bidi="ar-SA"/>
        </w:rPr>
        <w:t>承包人应在单位工程质量自评合格后，报监理人复核和发包人认定。发包人负责按有关规定完成单位工程质量结论报工程质量监督机构核定手续。</w:t>
      </w:r>
      <w:r>
        <w:rPr>
          <w:rStyle w:val="25"/>
          <w:rFonts w:ascii="宋体" w:hAnsi="宋体" w:eastAsia="宋体" w:cs="Times New Roman"/>
          <w:kern w:val="2"/>
          <w:sz w:val="21"/>
          <w:szCs w:val="21"/>
          <w:lang w:val="en-US" w:eastAsia="zh-CN" w:bidi="ar-SA"/>
        </w:rPr>
        <w:t xml:space="preserve">    </w:t>
      </w:r>
    </w:p>
    <w:p w14:paraId="1ACB616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4"/>
          <w:szCs w:val="24"/>
          <w:lang w:val="en-US" w:eastAsia="zh-CN" w:bidi="ar-SA"/>
        </w:rPr>
      </w:pPr>
      <w:r>
        <w:rPr>
          <w:rStyle w:val="25"/>
          <w:rFonts w:ascii="宋体" w:hAnsi="宋体" w:eastAsia="宋体" w:cs="Times New Roman"/>
          <w:kern w:val="2"/>
          <w:sz w:val="21"/>
          <w:szCs w:val="21"/>
          <w:lang w:val="en-US" w:eastAsia="zh-CN" w:bidi="ar-SA"/>
        </w:rPr>
        <w:t>13.7.7</w:t>
      </w:r>
      <w:r>
        <w:rPr>
          <w:rStyle w:val="25"/>
          <w:rFonts w:hint="eastAsia" w:ascii="宋体" w:hAnsi="宋体" w:eastAsia="宋体" w:cs="Times New Roman"/>
          <w:kern w:val="2"/>
          <w:sz w:val="21"/>
          <w:szCs w:val="21"/>
          <w:lang w:val="en-US" w:eastAsia="zh-CN" w:bidi="ar-SA"/>
        </w:rPr>
        <w:t>除专用合同条款另有约定外，工程质量等级分为合格和优良，应分别达到约定的标准。</w:t>
      </w:r>
      <w:r>
        <w:rPr>
          <w:rStyle w:val="25"/>
          <w:rFonts w:ascii="宋体" w:hAnsi="宋体" w:eastAsia="宋体" w:cs="Times New Roman"/>
          <w:kern w:val="2"/>
          <w:sz w:val="21"/>
          <w:szCs w:val="21"/>
          <w:lang w:val="en-US" w:eastAsia="zh-CN" w:bidi="ar-SA"/>
        </w:rPr>
        <w:t xml:space="preserve">  </w:t>
      </w:r>
      <w:r>
        <w:rPr>
          <w:rStyle w:val="25"/>
          <w:rFonts w:ascii="宋体" w:hAnsi="宋体" w:eastAsia="宋体" w:cs="Times New Roman"/>
          <w:kern w:val="2"/>
          <w:sz w:val="24"/>
          <w:szCs w:val="24"/>
          <w:lang w:val="en-US" w:eastAsia="zh-CN" w:bidi="ar-SA"/>
        </w:rPr>
        <w:t xml:space="preserve">  </w:t>
      </w:r>
    </w:p>
    <w:p w14:paraId="6D4EA435">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13.8</w:t>
      </w:r>
      <w:r>
        <w:rPr>
          <w:rStyle w:val="25"/>
          <w:rFonts w:hint="eastAsia" w:ascii="宋体" w:hAnsi="宋体" w:eastAsia="宋体" w:cs="Times New Roman"/>
          <w:b/>
          <w:kern w:val="2"/>
          <w:sz w:val="24"/>
          <w:szCs w:val="24"/>
          <w:lang w:val="en-US" w:eastAsia="zh-CN" w:bidi="ar-SA"/>
        </w:rPr>
        <w:t>质量事故处理</w:t>
      </w:r>
    </w:p>
    <w:p w14:paraId="22FE771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13.8.1发生质量事故时，承包人应及时向发包人和监理人报告。</w:t>
      </w:r>
    </w:p>
    <w:p w14:paraId="7540543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13.8.2质量事故调查处理由发包人按相关规定履行手续，承包人应配合。    </w:t>
      </w:r>
    </w:p>
    <w:p w14:paraId="16E1ED7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13.8.3承包人应对质量缺陷进行备案。发包人委托监理人对质量缺陷备案情况进行监督检查并履行相关手续。</w:t>
      </w:r>
    </w:p>
    <w:p w14:paraId="7CF8AFB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13.8.4除专用合同条款另有约定外，工程竣工验收时，发包人负责向竣工验收委员会汇报并提交历次质量缺陷处理的备案资料。</w:t>
      </w:r>
    </w:p>
    <w:p w14:paraId="5A02583B">
      <w:pPr>
        <w:pStyle w:val="47"/>
        <w:rPr>
          <w:rStyle w:val="25"/>
          <w:kern w:val="2"/>
          <w:lang w:val="en-US" w:eastAsia="zh-CN" w:bidi="ar-SA"/>
        </w:rPr>
      </w:pPr>
      <w:r>
        <w:rPr>
          <w:rStyle w:val="25"/>
          <w:rFonts w:hint="eastAsia"/>
          <w:kern w:val="2"/>
          <w:lang w:val="en-US" w:eastAsia="zh-CN" w:bidi="ar-SA"/>
        </w:rPr>
        <w:t>14 试验和检验</w:t>
      </w:r>
    </w:p>
    <w:p w14:paraId="40F3C470">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14.1</w:t>
      </w:r>
      <w:r>
        <w:rPr>
          <w:rStyle w:val="25"/>
          <w:rFonts w:hint="eastAsia" w:ascii="宋体" w:hAnsi="宋体" w:eastAsia="宋体" w:cs="Times New Roman"/>
          <w:b/>
          <w:kern w:val="2"/>
          <w:sz w:val="24"/>
          <w:szCs w:val="24"/>
          <w:lang w:val="en-US" w:eastAsia="zh-CN" w:bidi="ar-SA"/>
        </w:rPr>
        <w:t>材料、工程设备和工程的试验和检验</w:t>
      </w:r>
    </w:p>
    <w:p w14:paraId="54E4622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14.1.1</w:t>
      </w:r>
      <w:r>
        <w:rPr>
          <w:rStyle w:val="25"/>
          <w:rFonts w:hint="eastAsia" w:ascii="宋体" w:hAnsi="宋体" w:eastAsia="宋体" w:cs="Times New Roman"/>
          <w:kern w:val="2"/>
          <w:sz w:val="21"/>
          <w:szCs w:val="21"/>
          <w:lang w:val="en-US" w:eastAsia="zh-CN" w:bidi="ar-SA"/>
        </w:rPr>
        <w:t>承包人应按合同约定进行材料、工程设备和工程的试验和检查，并为监理人对上述材料、工程设备和工程的质量检查提供必要的试验资料和原始记录。按合同约定应由监理人与承包人共同进行试验和检验的，由承包人负责提供必要的试验资料和原始记录。</w:t>
      </w:r>
    </w:p>
    <w:p w14:paraId="1B4DDE3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14.1.2</w:t>
      </w:r>
      <w:r>
        <w:rPr>
          <w:rStyle w:val="25"/>
          <w:rFonts w:hint="eastAsia" w:ascii="宋体" w:hAnsi="宋体" w:eastAsia="宋体" w:cs="Times New Roman"/>
          <w:kern w:val="2"/>
          <w:sz w:val="21"/>
          <w:szCs w:val="21"/>
          <w:lang w:val="en-US" w:eastAsia="zh-CN" w:bidi="ar-SA"/>
        </w:rPr>
        <w:t>监理人为按合同约定派员参加试验和检验的，除监理人另有指示外，承包人可自行试验和检验，并应立即将试验和检验结果报送监理人，监理人应等签字确认。</w:t>
      </w:r>
    </w:p>
    <w:p w14:paraId="2AB679E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14.1.3</w:t>
      </w:r>
      <w:r>
        <w:rPr>
          <w:rStyle w:val="25"/>
          <w:rFonts w:hint="eastAsia" w:ascii="宋体" w:hAnsi="宋体" w:eastAsia="宋体" w:cs="Times New Roman"/>
          <w:kern w:val="2"/>
          <w:sz w:val="21"/>
          <w:szCs w:val="21"/>
          <w:lang w:val="en-US" w:eastAsia="zh-CN" w:bidi="ar-SA"/>
        </w:rPr>
        <w:t>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同利润。</w:t>
      </w:r>
    </w:p>
    <w:p w14:paraId="6A3E045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14.1.4</w:t>
      </w:r>
      <w:r>
        <w:rPr>
          <w:rStyle w:val="25"/>
          <w:rFonts w:hint="eastAsia" w:ascii="宋体" w:hAnsi="宋体" w:eastAsia="宋体" w:cs="Times New Roman"/>
          <w:kern w:val="2"/>
          <w:sz w:val="21"/>
          <w:szCs w:val="21"/>
          <w:lang w:val="en-US" w:eastAsia="zh-CN" w:bidi="ar-SA"/>
        </w:rPr>
        <w:t>承包人应按相关规定和标准对水泥、水工金属结构、启闭机及机电产品进场后，监理人组织发包人按合同进行检验，并报监理人复核。</w:t>
      </w:r>
    </w:p>
    <w:p w14:paraId="6818CD1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14.1.5</w:t>
      </w:r>
      <w:r>
        <w:rPr>
          <w:rStyle w:val="25"/>
          <w:rFonts w:hint="eastAsia" w:ascii="宋体" w:hAnsi="宋体" w:eastAsia="宋体" w:cs="Times New Roman"/>
          <w:kern w:val="2"/>
          <w:sz w:val="21"/>
          <w:szCs w:val="21"/>
          <w:lang w:val="en-US" w:eastAsia="zh-CN" w:bidi="ar-SA"/>
        </w:rPr>
        <w:t>除专用合同条款另有约定外，水工金属结构、启闭机及机电产品进场后，监理人组织发包人按合同进行交货检查和验收。安装前，承包人验检查产品是否有出厂合格证、设备安装说明书及有关技术文件，对在运输和存放过程中发生的变形、受潮、损坏等问题应作好记录，并进行妥善处理。</w:t>
      </w:r>
    </w:p>
    <w:p w14:paraId="43EC5D5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14.1.6</w:t>
      </w:r>
      <w:r>
        <w:rPr>
          <w:rStyle w:val="25"/>
          <w:rFonts w:hint="eastAsia" w:ascii="宋体" w:hAnsi="宋体" w:eastAsia="宋体" w:cs="Times New Roman"/>
          <w:kern w:val="2"/>
          <w:sz w:val="21"/>
          <w:szCs w:val="21"/>
          <w:lang w:val="en-US" w:eastAsia="zh-CN" w:bidi="ar-SA"/>
        </w:rPr>
        <w:t>对专用合同条款约定的试块、试件及有关材料，监理人实行见证取样。见证取样资料由承包人制备，记录应真实齐全，监理人、承包人等参与见证取样人员均应在相关文件上签字。</w:t>
      </w:r>
    </w:p>
    <w:p w14:paraId="1E275FDD">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14.2</w:t>
      </w:r>
      <w:r>
        <w:rPr>
          <w:rStyle w:val="25"/>
          <w:rFonts w:hint="eastAsia" w:ascii="宋体" w:hAnsi="宋体" w:eastAsia="宋体" w:cs="Times New Roman"/>
          <w:b/>
          <w:kern w:val="2"/>
          <w:sz w:val="24"/>
          <w:szCs w:val="24"/>
          <w:lang w:val="en-US" w:eastAsia="zh-CN" w:bidi="ar-SA"/>
        </w:rPr>
        <w:t>现场材料试验</w:t>
      </w:r>
    </w:p>
    <w:p w14:paraId="28C8D4E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14.2.1</w:t>
      </w:r>
      <w:r>
        <w:rPr>
          <w:rStyle w:val="25"/>
          <w:rFonts w:hint="eastAsia" w:ascii="宋体" w:hAnsi="宋体" w:eastAsia="宋体" w:cs="Times New Roman"/>
          <w:kern w:val="2"/>
          <w:sz w:val="21"/>
          <w:szCs w:val="21"/>
          <w:lang w:val="en-US" w:eastAsia="zh-CN" w:bidi="ar-SA"/>
        </w:rPr>
        <w:t>承包人根据合同约定或监理人指示进行的现场材料试验，应由承包人提供试验场所、试验人员、试验设备器材以及其他必要的试验条件。</w:t>
      </w:r>
    </w:p>
    <w:p w14:paraId="59B1054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14.2.2</w:t>
      </w:r>
      <w:r>
        <w:rPr>
          <w:rStyle w:val="25"/>
          <w:rFonts w:hint="eastAsia" w:ascii="宋体" w:hAnsi="宋体" w:eastAsia="宋体" w:cs="Times New Roman"/>
          <w:kern w:val="2"/>
          <w:sz w:val="21"/>
          <w:szCs w:val="21"/>
          <w:lang w:val="en-US" w:eastAsia="zh-CN" w:bidi="ar-SA"/>
        </w:rPr>
        <w:t>监理人在必要时可以使用人的试验场所、试验设备器材以及其他试验条件，进行以工程质量检查为目的的复核性材料试验，承包人应予以协助。</w:t>
      </w:r>
    </w:p>
    <w:p w14:paraId="25F94329">
      <w:pPr>
        <w:pStyle w:val="47"/>
        <w:rPr>
          <w:rStyle w:val="25"/>
          <w:kern w:val="2"/>
          <w:lang w:val="en-US" w:eastAsia="zh-CN" w:bidi="ar-SA"/>
        </w:rPr>
      </w:pPr>
      <w:r>
        <w:rPr>
          <w:rStyle w:val="25"/>
          <w:rFonts w:hint="eastAsia"/>
          <w:kern w:val="2"/>
          <w:lang w:val="en-US" w:eastAsia="zh-CN" w:bidi="ar-SA"/>
        </w:rPr>
        <w:t>15 变更</w:t>
      </w:r>
    </w:p>
    <w:p w14:paraId="04015C9F">
      <w:pPr>
        <w:pStyle w:val="46"/>
        <w:tabs>
          <w:tab w:val="left" w:pos="8280"/>
        </w:tabs>
        <w:spacing w:line="360" w:lineRule="auto"/>
        <w:rPr>
          <w:rStyle w:val="25"/>
          <w:rFonts w:hint="eastAsia" w:ascii="宋体" w:hAnsi="宋体" w:eastAsia="宋体" w:cs="Times New Roman"/>
          <w:kern w:val="2"/>
          <w:sz w:val="24"/>
          <w:szCs w:val="24"/>
          <w:lang w:val="en-US" w:eastAsia="zh-CN" w:bidi="ar-SA"/>
        </w:rPr>
      </w:pPr>
      <w:r>
        <w:rPr>
          <w:rStyle w:val="25"/>
          <w:rFonts w:ascii="宋体" w:hAnsi="宋体" w:eastAsia="宋体" w:cs="Times New Roman"/>
          <w:b/>
          <w:kern w:val="2"/>
          <w:sz w:val="24"/>
          <w:szCs w:val="24"/>
          <w:lang w:val="en-US" w:eastAsia="zh-CN" w:bidi="ar-SA"/>
        </w:rPr>
        <w:t>15.1</w:t>
      </w:r>
      <w:r>
        <w:rPr>
          <w:rStyle w:val="25"/>
          <w:rFonts w:hint="eastAsia" w:ascii="宋体" w:hAnsi="宋体" w:eastAsia="宋体" w:cs="Times New Roman"/>
          <w:b/>
          <w:kern w:val="2"/>
          <w:sz w:val="24"/>
          <w:szCs w:val="24"/>
          <w:lang w:val="en-US" w:eastAsia="zh-CN" w:bidi="ar-SA"/>
        </w:rPr>
        <w:t>变更的范围和内容</w:t>
      </w:r>
    </w:p>
    <w:p w14:paraId="1FB6276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在履行合同发生以下情形之一，应按照本款规定进行变更。</w:t>
      </w:r>
    </w:p>
    <w:p w14:paraId="7953906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（1）取消合同中任何一项工作，但被取消的工作不能转由发包人或其它人实施：</w:t>
      </w:r>
    </w:p>
    <w:p w14:paraId="1C89312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（2）改变合同任何一项工作的质量或其它特性；</w:t>
      </w:r>
    </w:p>
    <w:p w14:paraId="7C5298D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（3）改变合同工程的基线、标高、位置或尺寸；</w:t>
      </w:r>
    </w:p>
    <w:p w14:paraId="4D88EA5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（4）改变合同任何一项工作的施工时间或改变已批准的施工工艺或顺序；</w:t>
      </w:r>
    </w:p>
    <w:p w14:paraId="5F94127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（5）为完成工程需要追加的额外工作；</w:t>
      </w:r>
    </w:p>
    <w:p w14:paraId="13C4F03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（6）增加或减少专用条款中约定的关键项目工程量超过其工程总量的一定数量百分比。</w:t>
      </w:r>
    </w:p>
    <w:p w14:paraId="7A231A3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上述第（1）～（6）目的变更内容引起工程施工组织和进度计划发生实质性变动和影响其原定的价格时，才予调整该项目的单价。第（</w:t>
      </w:r>
      <w:r>
        <w:rPr>
          <w:rStyle w:val="25"/>
          <w:rFonts w:ascii="宋体" w:hAnsi="宋体" w:eastAsia="宋体" w:cs="Times New Roman"/>
          <w:kern w:val="2"/>
          <w:sz w:val="21"/>
          <w:szCs w:val="21"/>
          <w:lang w:val="en-US" w:eastAsia="zh-CN" w:bidi="ar-SA"/>
        </w:rPr>
        <w:t>6</w:t>
      </w:r>
      <w:r>
        <w:rPr>
          <w:rStyle w:val="25"/>
          <w:rFonts w:hint="eastAsia" w:ascii="宋体" w:hAnsi="宋体" w:eastAsia="宋体" w:cs="Times New Roman"/>
          <w:kern w:val="2"/>
          <w:sz w:val="21"/>
          <w:szCs w:val="21"/>
          <w:lang w:val="en-US" w:eastAsia="zh-CN" w:bidi="ar-SA"/>
        </w:rPr>
        <w:t>）目的情形下单价调整方式在专用合同条款中约定。</w:t>
      </w:r>
    </w:p>
    <w:p w14:paraId="771DE077">
      <w:pPr>
        <w:pStyle w:val="46"/>
        <w:tabs>
          <w:tab w:val="left" w:pos="8280"/>
        </w:tabs>
        <w:spacing w:line="360" w:lineRule="auto"/>
        <w:rPr>
          <w:rStyle w:val="25"/>
          <w:rFonts w:ascii="宋体" w:hAnsi="宋体" w:eastAsia="宋体" w:cs="Times New Roman"/>
          <w:kern w:val="2"/>
          <w:sz w:val="24"/>
          <w:szCs w:val="24"/>
          <w:lang w:val="en-US" w:eastAsia="zh-CN" w:bidi="ar-SA"/>
        </w:rPr>
      </w:pPr>
      <w:r>
        <w:rPr>
          <w:rStyle w:val="25"/>
          <w:rFonts w:ascii="宋体" w:hAnsi="宋体" w:eastAsia="宋体" w:cs="Times New Roman"/>
          <w:b/>
          <w:kern w:val="2"/>
          <w:sz w:val="24"/>
          <w:szCs w:val="24"/>
          <w:lang w:val="en-US" w:eastAsia="zh-CN" w:bidi="ar-SA"/>
        </w:rPr>
        <w:t>15.2</w:t>
      </w:r>
      <w:r>
        <w:rPr>
          <w:rStyle w:val="25"/>
          <w:rFonts w:hint="eastAsia" w:ascii="宋体" w:hAnsi="宋体" w:eastAsia="宋体" w:cs="Times New Roman"/>
          <w:b/>
          <w:kern w:val="2"/>
          <w:sz w:val="24"/>
          <w:szCs w:val="24"/>
          <w:lang w:val="en-US" w:eastAsia="zh-CN" w:bidi="ar-SA"/>
        </w:rPr>
        <w:t>变更权</w:t>
      </w:r>
    </w:p>
    <w:p w14:paraId="4160546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在履行合同过程中，经发包人同意，监理人可按第</w:t>
      </w:r>
      <w:r>
        <w:rPr>
          <w:rStyle w:val="25"/>
          <w:rFonts w:ascii="宋体" w:hAnsi="宋体" w:eastAsia="宋体" w:cs="Times New Roman"/>
          <w:kern w:val="2"/>
          <w:sz w:val="21"/>
          <w:szCs w:val="21"/>
          <w:lang w:val="en-US" w:eastAsia="zh-CN" w:bidi="ar-SA"/>
        </w:rPr>
        <w:t>15.3</w:t>
      </w:r>
      <w:r>
        <w:rPr>
          <w:rStyle w:val="25"/>
          <w:rFonts w:hint="eastAsia" w:ascii="宋体" w:hAnsi="宋体" w:eastAsia="宋体" w:cs="Times New Roman"/>
          <w:kern w:val="2"/>
          <w:sz w:val="21"/>
          <w:szCs w:val="21"/>
          <w:lang w:val="en-US" w:eastAsia="zh-CN" w:bidi="ar-SA"/>
        </w:rPr>
        <w:t>款约定变更程序向承包人作出变更指示，承包人应遵照执行。没有监理人的变更指示，承包人不得擅自变更。</w:t>
      </w:r>
    </w:p>
    <w:p w14:paraId="3CBB7F86">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15.3</w:t>
      </w:r>
      <w:r>
        <w:rPr>
          <w:rStyle w:val="25"/>
          <w:rFonts w:hint="eastAsia" w:ascii="宋体" w:hAnsi="宋体" w:eastAsia="宋体" w:cs="Times New Roman"/>
          <w:b/>
          <w:kern w:val="2"/>
          <w:sz w:val="24"/>
          <w:szCs w:val="24"/>
          <w:lang w:val="en-US" w:eastAsia="zh-CN" w:bidi="ar-SA"/>
        </w:rPr>
        <w:t>变更程序</w:t>
      </w:r>
    </w:p>
    <w:p w14:paraId="27BD4B5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15.3.1变更的提出</w:t>
      </w:r>
    </w:p>
    <w:p w14:paraId="6EC8966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在合同履行过程中，可能发生地15.1款约定情形的，监理人可乡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更具变更意向书要求提交的变更实施方案的，由监理人按第15.3.3相约发出变更指示。</w:t>
      </w:r>
    </w:p>
    <w:p w14:paraId="76D08F6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（2）在合同履行过程中，发生地15.1款约定定情的，监理人应按照第15.3.3项约定向承包人发出变更指示。</w:t>
      </w:r>
    </w:p>
    <w:p w14:paraId="7B64181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承包人收到监理人按合同约定发出的图纸和文件，经检查认为其中存在第15.1款约定情形的，可向监理人提出书面变更建议，变更建议应阐明要求的依据，并附必要的图纸和说明。监理人收到承包人书面建议后，应先发包人共同研究，确认存在变更的，应在收到承包人书面建议后的14天内作出变更指示。经研究后不同意作为变更的应由监理人书面答复承包人。</w:t>
      </w:r>
    </w:p>
    <w:p w14:paraId="057FFCD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（4）若承包人收到监理人的变更意向书后认为难以实施此项变更，应以即通知监理人，说明原因并附详细依据。监理人与承包人和发包人协商后确定撤销、改变或不改变原变更意向书。</w:t>
      </w:r>
    </w:p>
    <w:p w14:paraId="65AAB88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15.3.2变更估价</w:t>
      </w:r>
    </w:p>
    <w:p w14:paraId="028D26A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除专用合同条款对期限另有约定外，承包人应在收到变更指示或变更意向书后的14天内，向监理人提交变更标价书，报价内应根据第15.4款约定的估价原则，详细开列变更工作的价格组成其依据，并附必要的施工方法说明和有关图纸。</w:t>
      </w:r>
    </w:p>
    <w:p w14:paraId="0C4A85F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（2）变更工作影响工期的，承包人应提出调整工期的具体细节。监理人认为有必要时，可要求承包人提交要求提前或延长工期的施工进度计划及相应施工措施等详细资料。</w:t>
      </w:r>
    </w:p>
    <w:p w14:paraId="759E9F1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（3）除专用合同条款对期限另有约定外，监理人收到承包人变更报价书后的14天内，根据第15.4款约定的估价原则，按照第3.5款商定或确定变更价格。</w:t>
      </w:r>
    </w:p>
    <w:p w14:paraId="1094787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15.3.3变更指示</w:t>
      </w:r>
    </w:p>
    <w:p w14:paraId="34B8E0B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（1）变更指示只能由监理人发出。</w:t>
      </w:r>
    </w:p>
    <w:p w14:paraId="06348E7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（2）变更指示应说变更的目的、范围、变更内容以及变更的工程量及其进度和技术要求，并附有关图纸和文件。承包人收到变更指示后，应按变更指示进行变更工作。</w:t>
      </w:r>
    </w:p>
    <w:p w14:paraId="36740D53">
      <w:pPr>
        <w:pStyle w:val="46"/>
        <w:tabs>
          <w:tab w:val="left" w:pos="8280"/>
        </w:tabs>
        <w:spacing w:line="360" w:lineRule="auto"/>
        <w:rPr>
          <w:rStyle w:val="25"/>
          <w:rFonts w:ascii="宋体" w:hAnsi="宋体" w:eastAsia="宋体" w:cs="Times New Roman"/>
          <w:kern w:val="2"/>
          <w:sz w:val="24"/>
          <w:szCs w:val="24"/>
          <w:lang w:val="en-US" w:eastAsia="zh-CN" w:bidi="ar-SA"/>
        </w:rPr>
      </w:pPr>
      <w:r>
        <w:rPr>
          <w:rStyle w:val="25"/>
          <w:rFonts w:ascii="宋体" w:hAnsi="宋体" w:eastAsia="宋体" w:cs="Times New Roman"/>
          <w:b/>
          <w:kern w:val="2"/>
          <w:sz w:val="24"/>
          <w:szCs w:val="24"/>
          <w:lang w:val="en-US" w:eastAsia="zh-CN" w:bidi="ar-SA"/>
        </w:rPr>
        <w:t>15.4</w:t>
      </w:r>
      <w:r>
        <w:rPr>
          <w:rStyle w:val="25"/>
          <w:rFonts w:hint="eastAsia" w:ascii="宋体" w:hAnsi="宋体" w:eastAsia="宋体" w:cs="Times New Roman"/>
          <w:b/>
          <w:kern w:val="2"/>
          <w:sz w:val="24"/>
          <w:szCs w:val="24"/>
          <w:lang w:val="en-US" w:eastAsia="zh-CN" w:bidi="ar-SA"/>
        </w:rPr>
        <w:t>变更的估价原则</w:t>
      </w:r>
      <w:r>
        <w:rPr>
          <w:rStyle w:val="25"/>
          <w:rFonts w:ascii="宋体" w:hAnsi="宋体" w:eastAsia="宋体" w:cs="Times New Roman"/>
          <w:kern w:val="2"/>
          <w:sz w:val="24"/>
          <w:szCs w:val="24"/>
          <w:lang w:val="en-US" w:eastAsia="zh-CN" w:bidi="ar-SA"/>
        </w:rPr>
        <w:t xml:space="preserve">    </w:t>
      </w:r>
    </w:p>
    <w:p w14:paraId="6764952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除专用合同条款另有约定外，因变更引起的价格调整按照本款约定处理。</w:t>
      </w:r>
    </w:p>
    <w:p w14:paraId="197AA89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15.4.1己标价工程量清单中有适用于变更工作的子目的，采用该子目的单价。</w:t>
      </w:r>
    </w:p>
    <w:p w14:paraId="1B94A31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15.4.2己标价工程量清单中无适用于变更工作的子目，但有类似子目的，可在合理范围内参照类似子目的单价，由监理人按第3.5款商定或确定变更工作的单价。</w:t>
      </w:r>
    </w:p>
    <w:p w14:paraId="61016B6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15.4.3己标价工程量清单中无适用或类似子目的单价，可按照成本加利润的原则，由监理人按第3.5款商定或确定变更工作的单价。</w:t>
      </w:r>
    </w:p>
    <w:p w14:paraId="3969EA5A">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15.5</w:t>
      </w:r>
      <w:r>
        <w:rPr>
          <w:rStyle w:val="25"/>
          <w:rFonts w:hint="eastAsia" w:ascii="宋体" w:hAnsi="宋体" w:eastAsia="宋体" w:cs="Times New Roman"/>
          <w:b/>
          <w:kern w:val="2"/>
          <w:sz w:val="24"/>
          <w:szCs w:val="24"/>
          <w:lang w:val="en-US" w:eastAsia="zh-CN" w:bidi="ar-SA"/>
        </w:rPr>
        <w:t>承包人的合理化建议</w:t>
      </w:r>
    </w:p>
    <w:p w14:paraId="2D02EFA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15.5.1</w:t>
      </w:r>
      <w:r>
        <w:rPr>
          <w:rStyle w:val="25"/>
          <w:rFonts w:hint="eastAsia" w:ascii="宋体" w:hAnsi="宋体" w:eastAsia="宋体" w:cs="Times New Roman"/>
          <w:kern w:val="2"/>
          <w:sz w:val="21"/>
          <w:szCs w:val="21"/>
          <w:lang w:val="en-US" w:eastAsia="zh-CN" w:bidi="ar-SA"/>
        </w:rPr>
        <w:t>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w:t>
      </w:r>
      <w:r>
        <w:rPr>
          <w:rStyle w:val="25"/>
          <w:rFonts w:ascii="宋体" w:hAnsi="宋体" w:eastAsia="宋体" w:cs="Times New Roman"/>
          <w:kern w:val="2"/>
          <w:sz w:val="21"/>
          <w:szCs w:val="21"/>
          <w:lang w:val="en-US" w:eastAsia="zh-CN" w:bidi="ar-SA"/>
        </w:rPr>
        <w:t>15.3.3</w:t>
      </w:r>
      <w:r>
        <w:rPr>
          <w:rStyle w:val="25"/>
          <w:rFonts w:hint="eastAsia" w:ascii="宋体" w:hAnsi="宋体" w:eastAsia="宋体" w:cs="Times New Roman"/>
          <w:kern w:val="2"/>
          <w:sz w:val="21"/>
          <w:szCs w:val="21"/>
          <w:lang w:val="en-US" w:eastAsia="zh-CN" w:bidi="ar-SA"/>
        </w:rPr>
        <w:t>项约定向承包人发出变更指示。</w:t>
      </w:r>
    </w:p>
    <w:p w14:paraId="5ABD1CB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15.5.2</w:t>
      </w:r>
      <w:r>
        <w:rPr>
          <w:rStyle w:val="25"/>
          <w:rFonts w:hint="eastAsia" w:ascii="宋体" w:hAnsi="宋体" w:eastAsia="宋体" w:cs="Times New Roman"/>
          <w:kern w:val="2"/>
          <w:sz w:val="21"/>
          <w:szCs w:val="21"/>
          <w:lang w:val="en-US" w:eastAsia="zh-CN" w:bidi="ar-SA"/>
        </w:rPr>
        <w:t>承包人提出的合理化建议降低了合同价格、缩短了工期或者提高了工程经济效益的，发包人可按国家有关规定在专用合同条款中约定给予奖励。</w:t>
      </w:r>
    </w:p>
    <w:p w14:paraId="649391C4">
      <w:pPr>
        <w:pStyle w:val="47"/>
        <w:rPr>
          <w:rStyle w:val="25"/>
          <w:rFonts w:hint="eastAsia"/>
          <w:kern w:val="2"/>
          <w:lang w:val="en-US" w:eastAsia="zh-CN" w:bidi="ar-SA"/>
        </w:rPr>
      </w:pPr>
      <w:r>
        <w:rPr>
          <w:rStyle w:val="25"/>
          <w:rFonts w:hint="eastAsia"/>
          <w:kern w:val="2"/>
          <w:lang w:val="en-US" w:eastAsia="zh-CN" w:bidi="ar-SA"/>
        </w:rPr>
        <w:t>16．价格调整</w:t>
      </w:r>
    </w:p>
    <w:p w14:paraId="5CACCFBC">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hint="eastAsia" w:ascii="宋体" w:hAnsi="宋体" w:eastAsia="宋体" w:cs="Times New Roman"/>
          <w:b/>
          <w:kern w:val="2"/>
          <w:sz w:val="24"/>
          <w:szCs w:val="24"/>
          <w:lang w:val="en-US" w:eastAsia="zh-CN" w:bidi="ar-SA"/>
        </w:rPr>
        <w:t>16.1 物价波动引起的价格调整</w:t>
      </w:r>
    </w:p>
    <w:p w14:paraId="3D554D2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由于物价波动原因引起合同价格需要调整的，其价格调整方式在专用合同条款中约定。除专用合同条款另有约定外，因物价波动引起的价格调整按照本款约定处理。</w:t>
      </w:r>
    </w:p>
    <w:p w14:paraId="1D13B44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16.1.1 采用价格指数调整价格差额</w:t>
      </w:r>
    </w:p>
    <w:p w14:paraId="33FF968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16.1.1.1 价格调整公式</w:t>
      </w:r>
    </w:p>
    <w:p w14:paraId="2F0560D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因人工、材料和设备等价格波动影响合同价格时，根据投标函附录中的价格指数和权重表约定的数据，按以下公式计算差额并调整合同价格。</w:t>
      </w:r>
    </w:p>
    <w:p w14:paraId="3A84AB7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Ft1         Ft2         Ft3                 Ftn</w:t>
      </w:r>
    </w:p>
    <w:p w14:paraId="15F3540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P=PO［A+｛B1×—＋B2×—＋B3×—＋…＋Bn×—｝－1］ </w:t>
      </w:r>
    </w:p>
    <w:p w14:paraId="1FA937F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F01        F02       F03              F04</w:t>
      </w:r>
    </w:p>
    <w:p w14:paraId="6D6AA8C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式中：△ P 一需调整的价格差额；</w:t>
      </w:r>
    </w:p>
    <w:p w14:paraId="371C2CC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PO一第17.3.3 项、第17.5 .2 项和第17.6.2 项约定的付款证书中承包人应得到的己完成工程量的金额。此项金额应不包括价格调整、不计质量保证金的扣留和支付、预付款的支付和扣回。第15条约定的变更及其他金额已按现行价格计价的，也不计在内；</w:t>
      </w:r>
    </w:p>
    <w:p w14:paraId="15367C2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A ---定值权重（即不调部分的权重）； </w:t>
      </w:r>
    </w:p>
    <w:p w14:paraId="6D2B3CF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B1；B2；B3；……Bn---各可调因子的变值权重（即可调部分的权重）为各可调因子在投标函投标总报价中所占的比例；</w:t>
      </w:r>
    </w:p>
    <w:p w14:paraId="67C93DC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Ft1；Ft2；Ft3；……Ftn---各可调因子的现行价格指数，指第17.3.3 项、第17.5.2 项和第17.6.2 项约定的付款证书相关周期最后一天的前42天的各可调因子的价格指数；</w:t>
      </w:r>
    </w:p>
    <w:p w14:paraId="538730E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F01；F02；F03；……F0n---各可调因子的基本价格指数，指基准日期的各可调因子的价格指数。</w:t>
      </w:r>
    </w:p>
    <w:p w14:paraId="1BE0BB2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2DA430D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16.1.1.2 暂时确定调整差额</w:t>
      </w:r>
    </w:p>
    <w:p w14:paraId="306309D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在计算调整差额时得不到现行价格指数的，可暂用上一次价格指数计算，并在以后的付款中再按实际价格指数进行调整。</w:t>
      </w:r>
    </w:p>
    <w:p w14:paraId="26257A6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16.1.1.3 权重的调整</w:t>
      </w:r>
    </w:p>
    <w:p w14:paraId="7BE69F0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按第15.1 款约定的变更导致原定合同中的权重不合理时，由监理人与承包人和发包人协商后进行调整。</w:t>
      </w:r>
    </w:p>
    <w:p w14:paraId="199608F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16.1.1.4 承包人工期延误后的价格调整</w:t>
      </w:r>
    </w:p>
    <w:p w14:paraId="5102136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由于承包人原因未在约定的工期内竣工的，则对原约定竣工日期后继续施工的工程，在使用第16.1.1. 1目价格调整公式时，应采用原约定竣工日期与实际竣工日期的两个价格指数中较低的一个作为现行价格指数。</w:t>
      </w:r>
    </w:p>
    <w:p w14:paraId="2D2B848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16.1.2 采用造价信息调整价格差额</w:t>
      </w:r>
    </w:p>
    <w:p w14:paraId="0B725C2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工程造价信息的来源以及价格调整的项目和系数在专用合同条款中约定。</w:t>
      </w:r>
    </w:p>
    <w:p w14:paraId="07B5BFF5">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hint="eastAsia" w:ascii="宋体" w:hAnsi="宋体" w:eastAsia="宋体" w:cs="Times New Roman"/>
          <w:b/>
          <w:kern w:val="2"/>
          <w:sz w:val="24"/>
          <w:szCs w:val="24"/>
          <w:lang w:val="en-US" w:eastAsia="zh-CN" w:bidi="ar-SA"/>
        </w:rPr>
        <w:t>16.2 法律变化引起的价格调整</w:t>
      </w:r>
    </w:p>
    <w:p w14:paraId="24DBFDD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在基准日后，因法律变化导致承包人在合同履行中所需要的工程费用发生除第16.1 款约定以外的增减时，监理人应根据法律、国家或省、自治区、直辖市有关部门的规定，按第3.5 款商定或确定需调整的合同价款。</w:t>
      </w:r>
    </w:p>
    <w:p w14:paraId="08975022">
      <w:pPr>
        <w:pStyle w:val="47"/>
        <w:rPr>
          <w:rStyle w:val="25"/>
          <w:kern w:val="2"/>
          <w:lang w:val="en-US" w:eastAsia="zh-CN" w:bidi="ar-SA"/>
        </w:rPr>
      </w:pPr>
      <w:r>
        <w:rPr>
          <w:rStyle w:val="25"/>
          <w:rFonts w:hint="eastAsia"/>
          <w:kern w:val="2"/>
          <w:lang w:val="en-US" w:eastAsia="zh-CN" w:bidi="ar-SA"/>
        </w:rPr>
        <w:t>17 计量与支付</w:t>
      </w:r>
    </w:p>
    <w:p w14:paraId="7C3623CC">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7</w:t>
      </w: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计量</w:t>
      </w:r>
    </w:p>
    <w:p w14:paraId="6563987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17.1.1计量单位：计量采用国家法定的计量单位。</w:t>
      </w:r>
    </w:p>
    <w:p w14:paraId="61E67B2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17.1.2计量方法    </w:t>
      </w:r>
    </w:p>
    <w:p w14:paraId="31FC426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结算工程量应按工程量清单中约定的方法计量。</w:t>
      </w:r>
    </w:p>
    <w:p w14:paraId="4253814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17.1.3计量周期</w:t>
      </w:r>
    </w:p>
    <w:p w14:paraId="524223A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除专用合同条款另有约定外，单价子目已完成工程量按月计量，总价子目的计量周期按批准的支付分解报告确定。</w:t>
      </w:r>
    </w:p>
    <w:p w14:paraId="25AE40C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17.1.4单价子目的计量</w:t>
      </w:r>
    </w:p>
    <w:p w14:paraId="6BB36EF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(1)已标价工程量清单中的单价子目工程量为估算工程量。结算工程量是承包人实际完成的，并按合同约定的计量方法进行计量的工程量。  </w:t>
      </w:r>
    </w:p>
    <w:p w14:paraId="61D9573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(2)承包人对己完成的工程进行计量，向监理人提交进度付款申请单、己完成工程量报表和有关计量资料。</w:t>
      </w:r>
    </w:p>
    <w:p w14:paraId="1DEC44F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050BFAA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(4)监理人认为有必要时，可通知承包人共同进行联合测量、计量，承包人应遵照执行。</w:t>
      </w:r>
    </w:p>
    <w:p w14:paraId="1D09FBA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317FED6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(6)监理人应在收到承包人提交的工程量报表后的7天内进行复核，监理人未在约定时间内复核的，承包人提交的工程量报表中的工程量视为承包人实际完成的工程量，据此计算工程价款。    </w:t>
      </w:r>
    </w:p>
    <w:p w14:paraId="05290E1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17.1.5总价子目的计量总价子目的分解和计量按照下述约定进行。    </w:t>
      </w:r>
    </w:p>
    <w:p w14:paraId="560D57F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(1)总价子目的计量和支付应以总价为基础，不因第16.1款中的因素而进行调整。承包人实际完成的工程量，是进行工程目标管理和控制进度支付的依据。  </w:t>
      </w:r>
    </w:p>
    <w:p w14:paraId="221288D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(2)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    </w:t>
      </w:r>
    </w:p>
    <w:p w14:paraId="130622D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(3)监理人对承包人提交的上述资料进行复核，以确定分阶段实际完成的工程量和工程形象目标。对其有异议的，可要求承包人按第8.2款约定进行共同复核和抽样复测。</w:t>
      </w:r>
    </w:p>
    <w:p w14:paraId="2867FA6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(4)除按照第15条约定的变更外，总价子目的工程量是承包人用于结算的最终工程量。</w:t>
      </w:r>
    </w:p>
    <w:p w14:paraId="68A07ECE">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7</w:t>
      </w:r>
      <w:r>
        <w:rPr>
          <w:rStyle w:val="25"/>
          <w:rFonts w:ascii="宋体" w:hAnsi="宋体" w:eastAsia="宋体" w:cs="Times New Roman"/>
          <w:b/>
          <w:kern w:val="2"/>
          <w:sz w:val="24"/>
          <w:szCs w:val="24"/>
          <w:lang w:val="en-US" w:eastAsia="zh-CN" w:bidi="ar-SA"/>
        </w:rPr>
        <w:t>.2</w:t>
      </w:r>
      <w:r>
        <w:rPr>
          <w:rStyle w:val="25"/>
          <w:rFonts w:hint="eastAsia" w:ascii="宋体" w:hAnsi="宋体" w:eastAsia="宋体" w:cs="Times New Roman"/>
          <w:b/>
          <w:kern w:val="2"/>
          <w:sz w:val="24"/>
          <w:szCs w:val="24"/>
          <w:lang w:val="en-US" w:eastAsia="zh-CN" w:bidi="ar-SA"/>
        </w:rPr>
        <w:t>预付款</w:t>
      </w:r>
    </w:p>
    <w:p w14:paraId="776DA1A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17.2.1预付款</w:t>
      </w:r>
    </w:p>
    <w:p w14:paraId="69E9B4C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预付款用于承包人为合同工程施工购置材料、工程设备、施工设备、修建临时设施以及组织施工队伍进场等，分为工程预付款和工程材料预付款。预付款必须专用于合同工程。预付款的额度和预付办法在专用合同条款中约定。    </w:t>
      </w:r>
    </w:p>
    <w:p w14:paraId="3F1CAE5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17.2.2预付款保函(担保)</w:t>
      </w:r>
    </w:p>
    <w:p w14:paraId="75B6DD0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(1)承包人应在收到第一次工程预付款的同时向发包人提交工程预付款担保，担保金额应与第一次工程预付款金额相同，工程预付款担保在第一次工程预付款被发包人扣回前一直有效。    </w:t>
      </w:r>
    </w:p>
    <w:p w14:paraId="4DEFD01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(2)工程材料预付款的担保在专用合同条款中约定。</w:t>
      </w:r>
    </w:p>
    <w:p w14:paraId="5687726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(3)预付款担保的担保金额可根据预付款扣回的金额相应递减。</w:t>
      </w:r>
    </w:p>
    <w:p w14:paraId="10A4DB6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4"/>
          <w:szCs w:val="24"/>
          <w:lang w:val="en-US" w:eastAsia="zh-CN" w:bidi="ar-SA"/>
        </w:rPr>
      </w:pPr>
      <w:r>
        <w:rPr>
          <w:rStyle w:val="25"/>
          <w:rFonts w:hint="eastAsia" w:ascii="宋体" w:hAnsi="宋体" w:eastAsia="宋体" w:cs="Times New Roman"/>
          <w:kern w:val="2"/>
          <w:sz w:val="21"/>
          <w:szCs w:val="21"/>
          <w:lang w:val="en-US" w:eastAsia="zh-CN" w:bidi="ar-SA"/>
        </w:rPr>
        <w:t>17.2.3预付款的扣回与还清预付款在进度付款中扣回，扣回与还清办法在专用合同条款中约定，由于不可抗力或其它原因解除合同时，预付款尚未扣清的，金额应作为承包人的到期应付款。</w:t>
      </w:r>
      <w:r>
        <w:rPr>
          <w:rStyle w:val="25"/>
          <w:rFonts w:ascii="宋体" w:hAnsi="宋体" w:eastAsia="宋体" w:cs="Times New Roman"/>
          <w:kern w:val="2"/>
          <w:sz w:val="24"/>
          <w:szCs w:val="24"/>
          <w:lang w:val="en-US" w:eastAsia="zh-CN" w:bidi="ar-SA"/>
        </w:rPr>
        <w:t xml:space="preserve"> </w:t>
      </w:r>
    </w:p>
    <w:p w14:paraId="67C997FF">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7</w:t>
      </w:r>
      <w:r>
        <w:rPr>
          <w:rStyle w:val="25"/>
          <w:rFonts w:ascii="宋体" w:hAnsi="宋体" w:eastAsia="宋体" w:cs="Times New Roman"/>
          <w:b/>
          <w:kern w:val="2"/>
          <w:sz w:val="24"/>
          <w:szCs w:val="24"/>
          <w:lang w:val="en-US" w:eastAsia="zh-CN" w:bidi="ar-SA"/>
        </w:rPr>
        <w:t>.3</w:t>
      </w:r>
      <w:r>
        <w:rPr>
          <w:rStyle w:val="25"/>
          <w:rFonts w:hint="eastAsia" w:ascii="宋体" w:hAnsi="宋体" w:eastAsia="宋体" w:cs="Times New Roman"/>
          <w:b/>
          <w:kern w:val="2"/>
          <w:sz w:val="24"/>
          <w:szCs w:val="24"/>
          <w:lang w:val="en-US" w:eastAsia="zh-CN" w:bidi="ar-SA"/>
        </w:rPr>
        <w:t>工程进度付款</w:t>
      </w:r>
    </w:p>
    <w:p w14:paraId="75E4D74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16.3.1付款周期   </w:t>
      </w:r>
    </w:p>
    <w:p w14:paraId="6FF85FA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付款周期同计量周期。</w:t>
      </w:r>
    </w:p>
    <w:p w14:paraId="40E3369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16.3.2进度付款申请单</w:t>
      </w:r>
    </w:p>
    <w:p w14:paraId="4074BAB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07C4543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(1)截至本次付款周期末已实施工程的价款；</w:t>
      </w:r>
    </w:p>
    <w:p w14:paraId="7AB810D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(2)根据第巧条应增加和扣减的变更金额；    </w:t>
      </w:r>
    </w:p>
    <w:p w14:paraId="35F5903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(3)根据第21条应增加和扣减的索赔金额；    </w:t>
      </w:r>
    </w:p>
    <w:p w14:paraId="2BF84D9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(4)根据第17.2款约定应支付的预付款和扣减的返还预付款；</w:t>
      </w:r>
    </w:p>
    <w:p w14:paraId="3B98CF8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(5)根据第17.4.1项约定应扣减的质量保证金；</w:t>
      </w:r>
    </w:p>
    <w:p w14:paraId="7461ED5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(6)根据合同应增加和扣减的其他金额。    </w:t>
      </w:r>
    </w:p>
    <w:p w14:paraId="5540186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17.3.3进度付款证书和支付时间</w:t>
      </w:r>
    </w:p>
    <w:p w14:paraId="74F7AD7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5D9EDE2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(2)发包人应在监理人收到进度付款申请单后的28天内，将进度应付款支付给承包人。发包人不按期支付的，按专用合同条款的约定支付逾期付款违约金。</w:t>
      </w:r>
    </w:p>
    <w:p w14:paraId="7B83939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(3)监理人出具进度付款证书，不应视为监理人已同意、批准或接受了承包人完成的该部分工作。    </w:t>
      </w:r>
    </w:p>
    <w:p w14:paraId="0A3BF96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(4)进度付款涉及政府投资资金的，按照国库集中支付等国家相关规定和专用合同条款的约定办理。</w:t>
      </w:r>
    </w:p>
    <w:p w14:paraId="3684B31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17.3.4工程进度付款的修正</w:t>
      </w:r>
    </w:p>
    <w:p w14:paraId="638DC3C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在对以往历次已签发的进度付款证书进行汇总和复核中发现错、漏或重复的，监理人有权予以修正，承包人也有权提出修正申请。经双方复核同意的修正，应在本次进度付款中支付或扣除。</w:t>
      </w:r>
    </w:p>
    <w:p w14:paraId="7AD94668">
      <w:pPr>
        <w:pStyle w:val="46"/>
        <w:tabs>
          <w:tab w:val="left" w:pos="8280"/>
        </w:tabs>
        <w:spacing w:line="360" w:lineRule="auto"/>
        <w:rPr>
          <w:rStyle w:val="25"/>
          <w:rFonts w:ascii="宋体" w:hAnsi="宋体" w:eastAsia="宋体" w:cs="Times New Roman"/>
          <w:kern w:val="2"/>
          <w:sz w:val="24"/>
          <w:szCs w:val="24"/>
          <w:lang w:val="en-US" w:eastAsia="zh-CN" w:bidi="ar-SA"/>
        </w:rPr>
      </w:pP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7</w:t>
      </w:r>
      <w:r>
        <w:rPr>
          <w:rStyle w:val="25"/>
          <w:rFonts w:ascii="宋体" w:hAnsi="宋体" w:eastAsia="宋体" w:cs="Times New Roman"/>
          <w:b/>
          <w:kern w:val="2"/>
          <w:sz w:val="24"/>
          <w:szCs w:val="24"/>
          <w:lang w:val="en-US" w:eastAsia="zh-CN" w:bidi="ar-SA"/>
        </w:rPr>
        <w:t>.4</w:t>
      </w:r>
      <w:r>
        <w:rPr>
          <w:rStyle w:val="25"/>
          <w:rFonts w:hint="eastAsia" w:ascii="宋体" w:hAnsi="宋体" w:eastAsia="宋体" w:cs="Times New Roman"/>
          <w:b/>
          <w:kern w:val="2"/>
          <w:sz w:val="24"/>
          <w:szCs w:val="24"/>
          <w:lang w:val="en-US" w:eastAsia="zh-CN" w:bidi="ar-SA"/>
        </w:rPr>
        <w:t>质量保证金</w:t>
      </w:r>
      <w:r>
        <w:rPr>
          <w:rStyle w:val="25"/>
          <w:rFonts w:ascii="宋体" w:hAnsi="宋体" w:eastAsia="宋体" w:cs="Times New Roman"/>
          <w:b/>
          <w:kern w:val="2"/>
          <w:sz w:val="24"/>
          <w:szCs w:val="24"/>
          <w:lang w:val="en-US" w:eastAsia="zh-CN" w:bidi="ar-SA"/>
        </w:rPr>
        <w:t xml:space="preserve">   </w:t>
      </w:r>
      <w:r>
        <w:rPr>
          <w:rStyle w:val="25"/>
          <w:rFonts w:ascii="宋体" w:hAnsi="宋体" w:eastAsia="宋体" w:cs="Times New Roman"/>
          <w:kern w:val="2"/>
          <w:sz w:val="24"/>
          <w:szCs w:val="24"/>
          <w:lang w:val="en-US" w:eastAsia="zh-CN" w:bidi="ar-SA"/>
        </w:rPr>
        <w:t xml:space="preserve"> </w:t>
      </w:r>
    </w:p>
    <w:p w14:paraId="43FAECC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17.4.1监理人应从第一个工程进度付款周期开始，在发包人的进度付款中，按专用合同条款的约定扣留质量保证金，直至扣留的质量保证金总额达到专用合同条款约定的金额或比例为止。质量保证金的计算额度不包括预付款的支付与扣回金额。    </w:t>
      </w:r>
    </w:p>
    <w:p w14:paraId="5B5BAA3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17.4.2合同工程完工证书颁发后14天内，发包人将质量保证金总额的一半支付给承包人。在第1.1.4.5目约定的缺陷责任期(工程质量保修期)满时，发包人将在30个工作日内会同承包人按照合同约定的内容核实承包人是否完成保修责任。如无异议，发包人应当在核实后将剩余的质量保证金支付给承包人。</w:t>
      </w:r>
    </w:p>
    <w:p w14:paraId="5373E5A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17.4.3在第1.1.4.5目约定的缺陷责任期满时，承包人没有完成缺陷责任的，发包人有权扣留与未履行责任剩余工作所需金额相应的质量保证金余额，并有权根据第19.3款约定要求延长缺陷责任期，直至完成剩余工作为止。</w:t>
      </w:r>
    </w:p>
    <w:p w14:paraId="345C1203">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7</w:t>
      </w:r>
      <w:r>
        <w:rPr>
          <w:rStyle w:val="25"/>
          <w:rFonts w:ascii="宋体" w:hAnsi="宋体" w:eastAsia="宋体" w:cs="Times New Roman"/>
          <w:b/>
          <w:kern w:val="2"/>
          <w:sz w:val="24"/>
          <w:szCs w:val="24"/>
          <w:lang w:val="en-US" w:eastAsia="zh-CN" w:bidi="ar-SA"/>
        </w:rPr>
        <w:t>.5</w:t>
      </w:r>
      <w:r>
        <w:rPr>
          <w:rStyle w:val="25"/>
          <w:rFonts w:hint="eastAsia" w:ascii="宋体" w:hAnsi="宋体" w:eastAsia="宋体" w:cs="Times New Roman"/>
          <w:b/>
          <w:kern w:val="2"/>
          <w:sz w:val="24"/>
          <w:szCs w:val="24"/>
          <w:lang w:val="en-US" w:eastAsia="zh-CN" w:bidi="ar-SA"/>
        </w:rPr>
        <w:t>竣工结算</w:t>
      </w:r>
    </w:p>
    <w:p w14:paraId="3AC68AE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17.5.1竣工付款申请单</w:t>
      </w:r>
    </w:p>
    <w:p w14:paraId="4963C42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14:paraId="6110EA1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(2)监理人对完工付款申请单有异议的，有权要求承包人进行修正和提供补充资料。经监理人和承包人协商后，由承包人向监理人提交修正后的完工付款申请单。</w:t>
      </w:r>
    </w:p>
    <w:p w14:paraId="1747512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17.5.2竣工(完工)付款证书及支付时间</w:t>
      </w:r>
    </w:p>
    <w:p w14:paraId="7C84E5E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(1)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    </w:t>
      </w:r>
    </w:p>
    <w:p w14:paraId="5357DAA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(2)发包人应在监理人出具完工付款证书后的14天内，将应支付款支付给承包人。发包人不按期支付的，按第16.3.3 (2)目的约定，将逾期付款违约金支付给承包人。</w:t>
      </w:r>
    </w:p>
    <w:p w14:paraId="2ED3E2C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(3)承包人对发包人签认的完工付款证书有异议的，发包人可出具完工付款申请单中承包人已同意部分的临时付款证书。存在争议的部分，按第22条的约定办理。</w:t>
      </w:r>
    </w:p>
    <w:p w14:paraId="2E68F6A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(4)完工付款涉及政府投资资金的，按第</w:t>
      </w:r>
      <w:r>
        <w:rPr>
          <w:rStyle w:val="25"/>
          <w:rFonts w:ascii="宋体" w:hAnsi="宋体" w:eastAsia="宋体" w:cs="Times New Roman"/>
          <w:kern w:val="2"/>
          <w:sz w:val="21"/>
          <w:szCs w:val="21"/>
          <w:lang w:val="en-US" w:eastAsia="zh-CN" w:bidi="ar-SA"/>
        </w:rPr>
        <w:t>16.3.3(4)</w:t>
      </w:r>
      <w:r>
        <w:rPr>
          <w:rStyle w:val="25"/>
          <w:rFonts w:hint="eastAsia" w:ascii="宋体" w:hAnsi="宋体" w:eastAsia="宋体" w:cs="Times New Roman"/>
          <w:kern w:val="2"/>
          <w:sz w:val="21"/>
          <w:szCs w:val="21"/>
          <w:lang w:val="en-US" w:eastAsia="zh-CN" w:bidi="ar-SA"/>
        </w:rPr>
        <w:t>目的约定办理。</w:t>
      </w:r>
    </w:p>
    <w:p w14:paraId="7D629A4A">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7</w:t>
      </w:r>
      <w:r>
        <w:rPr>
          <w:rStyle w:val="25"/>
          <w:rFonts w:ascii="宋体" w:hAnsi="宋体" w:eastAsia="宋体" w:cs="Times New Roman"/>
          <w:b/>
          <w:kern w:val="2"/>
          <w:sz w:val="24"/>
          <w:szCs w:val="24"/>
          <w:lang w:val="en-US" w:eastAsia="zh-CN" w:bidi="ar-SA"/>
        </w:rPr>
        <w:t>.6</w:t>
      </w:r>
      <w:r>
        <w:rPr>
          <w:rStyle w:val="25"/>
          <w:rFonts w:hint="eastAsia" w:ascii="宋体" w:hAnsi="宋体" w:eastAsia="宋体" w:cs="Times New Roman"/>
          <w:b/>
          <w:kern w:val="2"/>
          <w:sz w:val="24"/>
          <w:szCs w:val="24"/>
          <w:lang w:val="en-US" w:eastAsia="zh-CN" w:bidi="ar-SA"/>
        </w:rPr>
        <w:t>最终结清</w:t>
      </w:r>
    </w:p>
    <w:p w14:paraId="40F7C85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17.6.1最终结清申请单</w:t>
      </w:r>
    </w:p>
    <w:p w14:paraId="187B919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(1)工程质量保修责任终止证书签发后，承包人应按监理人批准的格式提交最终结清申请单。提交最终结清申请单的份数在专用合同条款中约定。</w:t>
      </w:r>
    </w:p>
    <w:p w14:paraId="386CE4A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(2)发包人对最终结清申请单内容有异议的，有权要求承包人进行修正和提供补充资料，由承包人向监理人提交修正后的最终结清申请单。</w:t>
      </w:r>
    </w:p>
    <w:p w14:paraId="378A453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17.6.2最终结清证书和支付时间</w:t>
      </w:r>
    </w:p>
    <w:p w14:paraId="210FDC6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己经监理人核查同意；发包人未在约定时间内审核又未提出具体意见的，监理人提出应支付给承包人的价款视为已经发包人同意。</w:t>
      </w:r>
    </w:p>
    <w:p w14:paraId="797C1E7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(2)发包人应在监理人出具最终结清证书后的14天内，将应支付款支付给承包人。发包人不按期支付的，按第16.3.3(2)目的约定，将逾期付款违约金支付给承包人。</w:t>
      </w:r>
    </w:p>
    <w:p w14:paraId="33B95C0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(3)承包人对发包人签认的最终结清证书有异议的，按第22条的约定办理。</w:t>
      </w:r>
    </w:p>
    <w:p w14:paraId="3FA258A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(4)最终结清付款涉及政府投资资金的，按第</w:t>
      </w:r>
      <w:r>
        <w:rPr>
          <w:rStyle w:val="25"/>
          <w:rFonts w:ascii="宋体" w:hAnsi="宋体" w:eastAsia="宋体" w:cs="Times New Roman"/>
          <w:kern w:val="2"/>
          <w:sz w:val="21"/>
          <w:szCs w:val="21"/>
          <w:lang w:val="en-US" w:eastAsia="zh-CN" w:bidi="ar-SA"/>
        </w:rPr>
        <w:t>16.3.3(4)</w:t>
      </w:r>
      <w:r>
        <w:rPr>
          <w:rStyle w:val="25"/>
          <w:rFonts w:hint="eastAsia" w:ascii="宋体" w:hAnsi="宋体" w:eastAsia="宋体" w:cs="Times New Roman"/>
          <w:kern w:val="2"/>
          <w:sz w:val="21"/>
          <w:szCs w:val="21"/>
          <w:lang w:val="en-US" w:eastAsia="zh-CN" w:bidi="ar-SA"/>
        </w:rPr>
        <w:t>目的约定办理。</w:t>
      </w:r>
    </w:p>
    <w:p w14:paraId="12FAA4CC">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7</w:t>
      </w:r>
      <w:r>
        <w:rPr>
          <w:rStyle w:val="25"/>
          <w:rFonts w:ascii="宋体" w:hAnsi="宋体" w:eastAsia="宋体" w:cs="Times New Roman"/>
          <w:b/>
          <w:kern w:val="2"/>
          <w:sz w:val="24"/>
          <w:szCs w:val="24"/>
          <w:lang w:val="en-US" w:eastAsia="zh-CN" w:bidi="ar-SA"/>
        </w:rPr>
        <w:t>.7</w:t>
      </w:r>
      <w:r>
        <w:rPr>
          <w:rStyle w:val="25"/>
          <w:rFonts w:hint="eastAsia" w:ascii="宋体" w:hAnsi="宋体" w:eastAsia="宋体" w:cs="Times New Roman"/>
          <w:b/>
          <w:kern w:val="2"/>
          <w:sz w:val="24"/>
          <w:szCs w:val="24"/>
          <w:lang w:val="en-US" w:eastAsia="zh-CN" w:bidi="ar-SA"/>
        </w:rPr>
        <w:t>竣工财务决算</w:t>
      </w:r>
    </w:p>
    <w:p w14:paraId="5548721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发包人负责编制本工程项目竣工财务决算，承包人应按专用合同条款的约定提供竣工财务决算编制所需的相关材料。</w:t>
      </w:r>
    </w:p>
    <w:p w14:paraId="0082B49E">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7</w:t>
      </w:r>
      <w:r>
        <w:rPr>
          <w:rStyle w:val="25"/>
          <w:rFonts w:ascii="宋体" w:hAnsi="宋体" w:eastAsia="宋体" w:cs="Times New Roman"/>
          <w:b/>
          <w:kern w:val="2"/>
          <w:sz w:val="24"/>
          <w:szCs w:val="24"/>
          <w:lang w:val="en-US" w:eastAsia="zh-CN" w:bidi="ar-SA"/>
        </w:rPr>
        <w:t>.8</w:t>
      </w:r>
      <w:r>
        <w:rPr>
          <w:rStyle w:val="25"/>
          <w:rFonts w:hint="eastAsia" w:ascii="宋体" w:hAnsi="宋体" w:eastAsia="宋体" w:cs="Times New Roman"/>
          <w:b/>
          <w:kern w:val="2"/>
          <w:sz w:val="24"/>
          <w:szCs w:val="24"/>
          <w:lang w:val="en-US" w:eastAsia="zh-CN" w:bidi="ar-SA"/>
        </w:rPr>
        <w:t>竣工审计</w:t>
      </w:r>
    </w:p>
    <w:p w14:paraId="03F49AB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发包人负责完成本工程竣工审计手续，承包人应完成相关配合工作。</w:t>
      </w:r>
    </w:p>
    <w:p w14:paraId="54FD6DC1">
      <w:pPr>
        <w:pStyle w:val="46"/>
        <w:tabs>
          <w:tab w:val="left" w:pos="8280"/>
        </w:tabs>
        <w:spacing w:line="360" w:lineRule="auto"/>
        <w:ind w:firstLine="480" w:firstLineChars="200"/>
        <w:rPr>
          <w:rStyle w:val="25"/>
          <w:rFonts w:hint="eastAsia" w:ascii="宋体" w:hAnsi="宋体" w:eastAsia="宋体" w:cs="Times New Roman"/>
          <w:kern w:val="2"/>
          <w:sz w:val="24"/>
          <w:szCs w:val="24"/>
          <w:lang w:val="en-US" w:eastAsia="zh-CN" w:bidi="ar-SA"/>
        </w:rPr>
      </w:pPr>
    </w:p>
    <w:p w14:paraId="3D19D332">
      <w:pPr>
        <w:pStyle w:val="47"/>
        <w:rPr>
          <w:rStyle w:val="25"/>
          <w:rFonts w:hint="eastAsia"/>
          <w:kern w:val="2"/>
          <w:lang w:val="en-US" w:eastAsia="zh-CN" w:bidi="ar-SA"/>
        </w:rPr>
      </w:pPr>
      <w:r>
        <w:rPr>
          <w:rStyle w:val="25"/>
          <w:rFonts w:hint="eastAsia"/>
          <w:kern w:val="2"/>
          <w:lang w:val="en-US" w:eastAsia="zh-CN" w:bidi="ar-SA"/>
        </w:rPr>
        <w:t>18．竣工验收</w:t>
      </w:r>
    </w:p>
    <w:p w14:paraId="08EDE8D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竣工验收</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验收</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竣工验收按照《水利水电建设工程验收规程》</w:t>
      </w:r>
      <w:r>
        <w:rPr>
          <w:rStyle w:val="25"/>
          <w:rFonts w:ascii="宋体" w:hAnsi="宋体" w:eastAsia="宋体" w:cs="Times New Roman"/>
          <w:kern w:val="2"/>
          <w:sz w:val="21"/>
          <w:szCs w:val="21"/>
          <w:lang w:val="en-US" w:eastAsia="zh-CN" w:bidi="ar-SA"/>
        </w:rPr>
        <w:t>(SL 223</w:t>
      </w:r>
      <w:r>
        <w:rPr>
          <w:rStyle w:val="25"/>
          <w:rFonts w:hint="eastAsia" w:ascii="宋体" w:hAnsi="宋体" w:eastAsia="宋体" w:cs="Times New Roman"/>
          <w:kern w:val="2"/>
          <w:sz w:val="21"/>
          <w:szCs w:val="21"/>
          <w:lang w:val="en-US" w:eastAsia="zh-CN" w:bidi="ar-SA"/>
        </w:rPr>
        <w:t>—</w:t>
      </w:r>
      <w:r>
        <w:rPr>
          <w:rStyle w:val="25"/>
          <w:rFonts w:ascii="宋体" w:hAnsi="宋体" w:eastAsia="宋体" w:cs="Times New Roman"/>
          <w:kern w:val="2"/>
          <w:sz w:val="21"/>
          <w:szCs w:val="21"/>
          <w:lang w:val="en-US" w:eastAsia="zh-CN" w:bidi="ar-SA"/>
        </w:rPr>
        <w:t>2008)</w:t>
      </w:r>
      <w:r>
        <w:rPr>
          <w:rStyle w:val="25"/>
          <w:rFonts w:hint="eastAsia" w:ascii="宋体" w:hAnsi="宋体" w:eastAsia="宋体" w:cs="Times New Roman"/>
          <w:kern w:val="2"/>
          <w:sz w:val="21"/>
          <w:szCs w:val="21"/>
          <w:lang w:val="en-US" w:eastAsia="zh-CN" w:bidi="ar-SA"/>
        </w:rPr>
        <w:t>执行。</w:t>
      </w:r>
    </w:p>
    <w:p w14:paraId="6748B050">
      <w:pPr>
        <w:pStyle w:val="47"/>
        <w:rPr>
          <w:rStyle w:val="25"/>
          <w:kern w:val="2"/>
          <w:lang w:val="en-US" w:eastAsia="zh-CN" w:bidi="ar-SA"/>
        </w:rPr>
      </w:pPr>
      <w:r>
        <w:rPr>
          <w:rStyle w:val="25"/>
          <w:rFonts w:hint="eastAsia"/>
          <w:kern w:val="2"/>
          <w:lang w:val="en-US" w:eastAsia="zh-CN" w:bidi="ar-SA"/>
        </w:rPr>
        <w:t>19 缺陷责任与保修责任</w:t>
      </w:r>
    </w:p>
    <w:p w14:paraId="77EBF03E">
      <w:pPr>
        <w:pStyle w:val="46"/>
        <w:tabs>
          <w:tab w:val="left" w:pos="8280"/>
        </w:tabs>
        <w:spacing w:line="360" w:lineRule="auto"/>
        <w:rPr>
          <w:rStyle w:val="25"/>
          <w:rFonts w:hint="eastAsia" w:ascii="宋体" w:hAnsi="宋体" w:eastAsia="宋体" w:cs="Times New Roman"/>
          <w:kern w:val="2"/>
          <w:sz w:val="24"/>
          <w:szCs w:val="24"/>
          <w:lang w:val="en-US" w:eastAsia="zh-CN" w:bidi="ar-SA"/>
        </w:rPr>
      </w:pP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9.</w:t>
      </w: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缺陷责任期的起算时间</w:t>
      </w:r>
      <w:r>
        <w:rPr>
          <w:rStyle w:val="25"/>
          <w:rFonts w:ascii="宋体" w:hAnsi="宋体" w:eastAsia="宋体" w:cs="Times New Roman"/>
          <w:b/>
          <w:kern w:val="2"/>
          <w:sz w:val="24"/>
          <w:szCs w:val="24"/>
          <w:lang w:val="en-US" w:eastAsia="zh-CN" w:bidi="ar-SA"/>
        </w:rPr>
        <w:t xml:space="preserve">  </w:t>
      </w:r>
      <w:r>
        <w:rPr>
          <w:rStyle w:val="25"/>
          <w:rFonts w:ascii="宋体" w:hAnsi="宋体" w:eastAsia="宋体" w:cs="Times New Roman"/>
          <w:kern w:val="2"/>
          <w:sz w:val="24"/>
          <w:szCs w:val="24"/>
          <w:lang w:val="en-US" w:eastAsia="zh-CN" w:bidi="ar-SA"/>
        </w:rPr>
        <w:t xml:space="preserve">  </w:t>
      </w:r>
    </w:p>
    <w:p w14:paraId="5DB1061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除专用合同条款另有约定外，缺陷责任期</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工程质量保修期</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从工程通过合同工程完工验收后开始计算。在合同工程完工验收前，已经发包人提前验收的单位工程或部分工程，若未投入使用，其缺陷责任期</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工程质量保修期</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亦从工程通过合同工程完工验收后开始计算；若已投入使用，其缺陷责任期</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工程质量保修期</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从通过单位工程或部分工程投入使用验收后开始计算。缺陷责任期</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工程质量保修期</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的期限在专用合同条款中约定。</w:t>
      </w:r>
    </w:p>
    <w:p w14:paraId="01AEFDBB">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9</w:t>
      </w:r>
      <w:r>
        <w:rPr>
          <w:rStyle w:val="25"/>
          <w:rFonts w:ascii="宋体" w:hAnsi="宋体" w:eastAsia="宋体" w:cs="Times New Roman"/>
          <w:b/>
          <w:kern w:val="2"/>
          <w:sz w:val="24"/>
          <w:szCs w:val="24"/>
          <w:lang w:val="en-US" w:eastAsia="zh-CN" w:bidi="ar-SA"/>
        </w:rPr>
        <w:t>.2</w:t>
      </w:r>
      <w:r>
        <w:rPr>
          <w:rStyle w:val="25"/>
          <w:rFonts w:hint="eastAsia" w:ascii="宋体" w:hAnsi="宋体" w:eastAsia="宋体" w:cs="Times New Roman"/>
          <w:b/>
          <w:kern w:val="2"/>
          <w:sz w:val="24"/>
          <w:szCs w:val="24"/>
          <w:lang w:val="en-US" w:eastAsia="zh-CN" w:bidi="ar-SA"/>
        </w:rPr>
        <w:t>缺陷责任</w:t>
      </w:r>
    </w:p>
    <w:p w14:paraId="076C0FC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17.2.1</w:t>
      </w:r>
      <w:r>
        <w:rPr>
          <w:rStyle w:val="25"/>
          <w:rFonts w:hint="eastAsia" w:ascii="宋体" w:hAnsi="宋体" w:eastAsia="宋体" w:cs="Times New Roman"/>
          <w:kern w:val="2"/>
          <w:sz w:val="21"/>
          <w:szCs w:val="21"/>
          <w:lang w:val="en-US" w:eastAsia="zh-CN" w:bidi="ar-SA"/>
        </w:rPr>
        <w:t>承包人应在缺陷责任期内对己交付使用的工程承担缺陷责任。</w:t>
      </w:r>
    </w:p>
    <w:p w14:paraId="2A0FF41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17.2.2</w:t>
      </w:r>
      <w:r>
        <w:rPr>
          <w:rStyle w:val="25"/>
          <w:rFonts w:hint="eastAsia" w:ascii="宋体" w:hAnsi="宋体" w:eastAsia="宋体" w:cs="Times New Roman"/>
          <w:kern w:val="2"/>
          <w:sz w:val="21"/>
          <w:szCs w:val="21"/>
          <w:lang w:val="en-US" w:eastAsia="zh-CN" w:bidi="ar-SA"/>
        </w:rPr>
        <w:t>缺陷责任期内，发包人对己接收使用的工程负责日常维护工作。发包人在使用过程中，发现已接收的工程存在新的缺陷或已修复的缺陷部位或部件又遭损坏的，承包人应负责修复，直至检验合格为止。</w:t>
      </w:r>
    </w:p>
    <w:p w14:paraId="4AAE4CC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w:t>
      </w:r>
      <w:r>
        <w:rPr>
          <w:rStyle w:val="25"/>
          <w:rFonts w:hint="eastAsia" w:ascii="宋体" w:hAnsi="宋体" w:eastAsia="宋体" w:cs="Times New Roman"/>
          <w:kern w:val="2"/>
          <w:sz w:val="21"/>
          <w:szCs w:val="21"/>
          <w:lang w:val="en-US" w:eastAsia="zh-CN" w:bidi="ar-SA"/>
        </w:rPr>
        <w:t>9</w:t>
      </w:r>
      <w:r>
        <w:rPr>
          <w:rStyle w:val="25"/>
          <w:rFonts w:ascii="宋体" w:hAnsi="宋体" w:eastAsia="宋体" w:cs="Times New Roman"/>
          <w:kern w:val="2"/>
          <w:sz w:val="21"/>
          <w:szCs w:val="21"/>
          <w:lang w:val="en-US" w:eastAsia="zh-CN" w:bidi="ar-SA"/>
        </w:rPr>
        <w:t>.2.3</w:t>
      </w:r>
      <w:r>
        <w:rPr>
          <w:rStyle w:val="25"/>
          <w:rFonts w:hint="eastAsia" w:ascii="宋体" w:hAnsi="宋体" w:eastAsia="宋体" w:cs="Times New Roman"/>
          <w:kern w:val="2"/>
          <w:sz w:val="21"/>
          <w:szCs w:val="21"/>
          <w:lang w:val="en-US" w:eastAsia="zh-CN" w:bidi="ar-SA"/>
        </w:rPr>
        <w:t>监理人和承包人应共同查清缺陷和</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或</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损坏的原因。经查明属承包人原因造成的，应由承包人承担修复和查验的费用。经查验属发包人原因造成的，发包人应承担修复和查验的费用，并支付承包人合理利润。</w:t>
      </w:r>
    </w:p>
    <w:p w14:paraId="3F54FA2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ascii="宋体" w:hAnsi="宋体" w:eastAsia="宋体" w:cs="Times New Roman"/>
          <w:kern w:val="2"/>
          <w:sz w:val="21"/>
          <w:szCs w:val="21"/>
          <w:lang w:val="en-US" w:eastAsia="zh-CN" w:bidi="ar-SA"/>
        </w:rPr>
        <w:t>1</w:t>
      </w:r>
      <w:r>
        <w:rPr>
          <w:rStyle w:val="25"/>
          <w:rFonts w:hint="eastAsia" w:ascii="宋体" w:hAnsi="宋体" w:eastAsia="宋体" w:cs="Times New Roman"/>
          <w:kern w:val="2"/>
          <w:sz w:val="21"/>
          <w:szCs w:val="21"/>
          <w:lang w:val="en-US" w:eastAsia="zh-CN" w:bidi="ar-SA"/>
        </w:rPr>
        <w:t>9</w:t>
      </w:r>
      <w:r>
        <w:rPr>
          <w:rStyle w:val="25"/>
          <w:rFonts w:ascii="宋体" w:hAnsi="宋体" w:eastAsia="宋体" w:cs="Times New Roman"/>
          <w:kern w:val="2"/>
          <w:sz w:val="21"/>
          <w:szCs w:val="21"/>
          <w:lang w:val="en-US" w:eastAsia="zh-CN" w:bidi="ar-SA"/>
        </w:rPr>
        <w:t>.2.4</w:t>
      </w:r>
      <w:r>
        <w:rPr>
          <w:rStyle w:val="25"/>
          <w:rFonts w:hint="eastAsia" w:ascii="宋体" w:hAnsi="宋体" w:eastAsia="宋体" w:cs="Times New Roman"/>
          <w:kern w:val="2"/>
          <w:sz w:val="21"/>
          <w:szCs w:val="21"/>
          <w:lang w:val="en-US" w:eastAsia="zh-CN" w:bidi="ar-SA"/>
        </w:rPr>
        <w:t>承包人不能在合理时间内修复缺陷的，发包人可自行修复或委托其他人修复，所需费用和利润的承担，按第</w:t>
      </w:r>
      <w:r>
        <w:rPr>
          <w:rStyle w:val="25"/>
          <w:rFonts w:ascii="宋体" w:hAnsi="宋体" w:eastAsia="宋体" w:cs="Times New Roman"/>
          <w:kern w:val="2"/>
          <w:sz w:val="21"/>
          <w:szCs w:val="21"/>
          <w:lang w:val="en-US" w:eastAsia="zh-CN" w:bidi="ar-SA"/>
        </w:rPr>
        <w:t>17.2.3</w:t>
      </w:r>
      <w:r>
        <w:rPr>
          <w:rStyle w:val="25"/>
          <w:rFonts w:hint="eastAsia" w:ascii="宋体" w:hAnsi="宋体" w:eastAsia="宋体" w:cs="Times New Roman"/>
          <w:kern w:val="2"/>
          <w:sz w:val="21"/>
          <w:szCs w:val="21"/>
          <w:lang w:val="en-US" w:eastAsia="zh-CN" w:bidi="ar-SA"/>
        </w:rPr>
        <w:t>项约定办理。</w:t>
      </w:r>
    </w:p>
    <w:p w14:paraId="4532C685">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9</w:t>
      </w:r>
      <w:r>
        <w:rPr>
          <w:rStyle w:val="25"/>
          <w:rFonts w:ascii="宋体" w:hAnsi="宋体" w:eastAsia="宋体" w:cs="Times New Roman"/>
          <w:b/>
          <w:kern w:val="2"/>
          <w:sz w:val="24"/>
          <w:szCs w:val="24"/>
          <w:lang w:val="en-US" w:eastAsia="zh-CN" w:bidi="ar-SA"/>
        </w:rPr>
        <w:t>.3</w:t>
      </w:r>
      <w:r>
        <w:rPr>
          <w:rStyle w:val="25"/>
          <w:rFonts w:hint="eastAsia" w:ascii="宋体" w:hAnsi="宋体" w:eastAsia="宋体" w:cs="Times New Roman"/>
          <w:b/>
          <w:kern w:val="2"/>
          <w:sz w:val="24"/>
          <w:szCs w:val="24"/>
          <w:lang w:val="en-US" w:eastAsia="zh-CN" w:bidi="ar-SA"/>
        </w:rPr>
        <w:t>缺陷责任期的延长</w:t>
      </w:r>
    </w:p>
    <w:p w14:paraId="561EDCE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由于承包人原因造成某项缺陷或损坏使某项工程或工程设备不能按原定目标使用而需要再次检查、检验和修复的，发包人有权要求承包人相应延长缺陷责任期，但缺陷责任期最长不超过</w:t>
      </w:r>
      <w:r>
        <w:rPr>
          <w:rStyle w:val="25"/>
          <w:rFonts w:ascii="宋体" w:hAnsi="宋体" w:eastAsia="宋体" w:cs="Times New Roman"/>
          <w:kern w:val="2"/>
          <w:sz w:val="21"/>
          <w:szCs w:val="21"/>
          <w:lang w:val="en-US" w:eastAsia="zh-CN" w:bidi="ar-SA"/>
        </w:rPr>
        <w:t>2</w:t>
      </w:r>
      <w:r>
        <w:rPr>
          <w:rStyle w:val="25"/>
          <w:rFonts w:hint="eastAsia" w:ascii="宋体" w:hAnsi="宋体" w:eastAsia="宋体" w:cs="Times New Roman"/>
          <w:kern w:val="2"/>
          <w:sz w:val="21"/>
          <w:szCs w:val="21"/>
          <w:lang w:val="en-US" w:eastAsia="zh-CN" w:bidi="ar-SA"/>
        </w:rPr>
        <w:t>年。</w:t>
      </w:r>
    </w:p>
    <w:p w14:paraId="0490F4F9">
      <w:pPr>
        <w:pStyle w:val="46"/>
        <w:tabs>
          <w:tab w:val="left" w:pos="8280"/>
        </w:tabs>
        <w:spacing w:line="360" w:lineRule="auto"/>
        <w:rPr>
          <w:rStyle w:val="25"/>
          <w:rFonts w:ascii="宋体" w:hAnsi="宋体" w:eastAsia="宋体" w:cs="Times New Roman"/>
          <w:kern w:val="2"/>
          <w:sz w:val="24"/>
          <w:szCs w:val="24"/>
          <w:lang w:val="en-US" w:eastAsia="zh-CN" w:bidi="ar-SA"/>
        </w:rPr>
      </w:pP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9</w:t>
      </w:r>
      <w:r>
        <w:rPr>
          <w:rStyle w:val="25"/>
          <w:rFonts w:ascii="宋体" w:hAnsi="宋体" w:eastAsia="宋体" w:cs="Times New Roman"/>
          <w:b/>
          <w:kern w:val="2"/>
          <w:sz w:val="24"/>
          <w:szCs w:val="24"/>
          <w:lang w:val="en-US" w:eastAsia="zh-CN" w:bidi="ar-SA"/>
        </w:rPr>
        <w:t>.4</w:t>
      </w:r>
      <w:r>
        <w:rPr>
          <w:rStyle w:val="25"/>
          <w:rFonts w:hint="eastAsia" w:ascii="宋体" w:hAnsi="宋体" w:eastAsia="宋体" w:cs="Times New Roman"/>
          <w:b/>
          <w:kern w:val="2"/>
          <w:sz w:val="24"/>
          <w:szCs w:val="24"/>
          <w:lang w:val="en-US" w:eastAsia="zh-CN" w:bidi="ar-SA"/>
        </w:rPr>
        <w:t>进一步试验和试运行</w:t>
      </w:r>
      <w:r>
        <w:rPr>
          <w:rStyle w:val="25"/>
          <w:rFonts w:ascii="宋体" w:hAnsi="宋体" w:eastAsia="宋体" w:cs="Times New Roman"/>
          <w:kern w:val="2"/>
          <w:sz w:val="24"/>
          <w:szCs w:val="24"/>
          <w:lang w:val="en-US" w:eastAsia="zh-CN" w:bidi="ar-SA"/>
        </w:rPr>
        <w:t xml:space="preserve">    </w:t>
      </w:r>
    </w:p>
    <w:p w14:paraId="43F0560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任何一项缺陷或损坏修复后，经检查证明其影响了工程或工程设备的使用性能，承包人应重新进行合同约定的试验和试运行，试验和试运行的全部费用应由责任方承担。</w:t>
      </w:r>
    </w:p>
    <w:p w14:paraId="3E4EBC4A">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9</w:t>
      </w:r>
      <w:r>
        <w:rPr>
          <w:rStyle w:val="25"/>
          <w:rFonts w:ascii="宋体" w:hAnsi="宋体" w:eastAsia="宋体" w:cs="Times New Roman"/>
          <w:b/>
          <w:kern w:val="2"/>
          <w:sz w:val="24"/>
          <w:szCs w:val="24"/>
          <w:lang w:val="en-US" w:eastAsia="zh-CN" w:bidi="ar-SA"/>
        </w:rPr>
        <w:t>.5</w:t>
      </w:r>
      <w:r>
        <w:rPr>
          <w:rStyle w:val="25"/>
          <w:rFonts w:hint="eastAsia" w:ascii="宋体" w:hAnsi="宋体" w:eastAsia="宋体" w:cs="Times New Roman"/>
          <w:b/>
          <w:kern w:val="2"/>
          <w:sz w:val="24"/>
          <w:szCs w:val="24"/>
          <w:lang w:val="en-US" w:eastAsia="zh-CN" w:bidi="ar-SA"/>
        </w:rPr>
        <w:t>承包人的进入权</w:t>
      </w:r>
    </w:p>
    <w:p w14:paraId="550F391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缺陷责任期内承包人为缺陷修复工作需要，有权进入工程现场，但应遵守发包人的保安和保密规定。</w:t>
      </w:r>
    </w:p>
    <w:p w14:paraId="400B4318">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9</w:t>
      </w:r>
      <w:r>
        <w:rPr>
          <w:rStyle w:val="25"/>
          <w:rFonts w:ascii="宋体" w:hAnsi="宋体" w:eastAsia="宋体" w:cs="Times New Roman"/>
          <w:b/>
          <w:kern w:val="2"/>
          <w:sz w:val="24"/>
          <w:szCs w:val="24"/>
          <w:lang w:val="en-US" w:eastAsia="zh-CN" w:bidi="ar-SA"/>
        </w:rPr>
        <w:t>.6</w:t>
      </w:r>
      <w:r>
        <w:rPr>
          <w:rStyle w:val="25"/>
          <w:rFonts w:hint="eastAsia" w:ascii="宋体" w:hAnsi="宋体" w:eastAsia="宋体" w:cs="Times New Roman"/>
          <w:b/>
          <w:kern w:val="2"/>
          <w:sz w:val="24"/>
          <w:szCs w:val="24"/>
          <w:lang w:val="en-US" w:eastAsia="zh-CN" w:bidi="ar-SA"/>
        </w:rPr>
        <w:t>缺陷责任期终止证书</w:t>
      </w:r>
      <w:r>
        <w:rPr>
          <w:rStyle w:val="25"/>
          <w:rFonts w:ascii="宋体" w:hAnsi="宋体" w:eastAsia="宋体" w:cs="Times New Roman"/>
          <w:b/>
          <w:kern w:val="2"/>
          <w:sz w:val="24"/>
          <w:szCs w:val="24"/>
          <w:lang w:val="en-US" w:eastAsia="zh-CN" w:bidi="ar-SA"/>
        </w:rPr>
        <w:t>(</w:t>
      </w:r>
      <w:r>
        <w:rPr>
          <w:rStyle w:val="25"/>
          <w:rFonts w:hint="eastAsia" w:ascii="宋体" w:hAnsi="宋体" w:eastAsia="宋体" w:cs="Times New Roman"/>
          <w:b/>
          <w:kern w:val="2"/>
          <w:sz w:val="24"/>
          <w:szCs w:val="24"/>
          <w:lang w:val="en-US" w:eastAsia="zh-CN" w:bidi="ar-SA"/>
        </w:rPr>
        <w:t>工程质量保修责任终止证书</w:t>
      </w:r>
      <w:r>
        <w:rPr>
          <w:rStyle w:val="25"/>
          <w:rFonts w:ascii="宋体" w:hAnsi="宋体" w:eastAsia="宋体" w:cs="Times New Roman"/>
          <w:b/>
          <w:kern w:val="2"/>
          <w:sz w:val="24"/>
          <w:szCs w:val="24"/>
          <w:lang w:val="en-US" w:eastAsia="zh-CN" w:bidi="ar-SA"/>
        </w:rPr>
        <w:t>)</w:t>
      </w:r>
    </w:p>
    <w:p w14:paraId="354DE88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合同工程完工验收或投入使用验收后，发包人与承包人应办理工程交接手续，承包人应向发包人递交工程质量保修书。缺陷责任期</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工程质量保修期</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满后</w:t>
      </w:r>
      <w:r>
        <w:rPr>
          <w:rStyle w:val="25"/>
          <w:rFonts w:ascii="宋体" w:hAnsi="宋体" w:eastAsia="宋体" w:cs="Times New Roman"/>
          <w:kern w:val="2"/>
          <w:sz w:val="21"/>
          <w:szCs w:val="21"/>
          <w:lang w:val="en-US" w:eastAsia="zh-CN" w:bidi="ar-SA"/>
        </w:rPr>
        <w:t>30</w:t>
      </w:r>
      <w:r>
        <w:rPr>
          <w:rStyle w:val="25"/>
          <w:rFonts w:hint="eastAsia" w:ascii="宋体" w:hAnsi="宋体" w:eastAsia="宋体" w:cs="Times New Roman"/>
          <w:kern w:val="2"/>
          <w:sz w:val="21"/>
          <w:szCs w:val="21"/>
          <w:lang w:val="en-US" w:eastAsia="zh-CN" w:bidi="ar-SA"/>
        </w:rPr>
        <w:t>个工作日内，发包人应向承包人颁发工程质量保修责任终止证书，并退还剩余的质量保证金，但保修责任范围内的质量缺陷未处理完成的应除外。</w:t>
      </w:r>
    </w:p>
    <w:p w14:paraId="060FB169">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9</w:t>
      </w:r>
      <w:r>
        <w:rPr>
          <w:rStyle w:val="25"/>
          <w:rFonts w:ascii="宋体" w:hAnsi="宋体" w:eastAsia="宋体" w:cs="Times New Roman"/>
          <w:b/>
          <w:kern w:val="2"/>
          <w:sz w:val="24"/>
          <w:szCs w:val="24"/>
          <w:lang w:val="en-US" w:eastAsia="zh-CN" w:bidi="ar-SA"/>
        </w:rPr>
        <w:t>.7</w:t>
      </w:r>
      <w:r>
        <w:rPr>
          <w:rStyle w:val="25"/>
          <w:rFonts w:hint="eastAsia" w:ascii="宋体" w:hAnsi="宋体" w:eastAsia="宋体" w:cs="Times New Roman"/>
          <w:b/>
          <w:kern w:val="2"/>
          <w:sz w:val="24"/>
          <w:szCs w:val="24"/>
          <w:lang w:val="en-US" w:eastAsia="zh-CN" w:bidi="ar-SA"/>
        </w:rPr>
        <w:t>保修责任</w:t>
      </w:r>
      <w:r>
        <w:rPr>
          <w:rStyle w:val="25"/>
          <w:rFonts w:ascii="宋体" w:hAnsi="宋体" w:eastAsia="宋体" w:cs="Times New Roman"/>
          <w:b/>
          <w:kern w:val="2"/>
          <w:sz w:val="24"/>
          <w:szCs w:val="24"/>
          <w:lang w:val="en-US" w:eastAsia="zh-CN" w:bidi="ar-SA"/>
        </w:rPr>
        <w:t xml:space="preserve">    </w:t>
      </w:r>
    </w:p>
    <w:p w14:paraId="16424D2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07965557">
      <w:pPr>
        <w:pStyle w:val="47"/>
        <w:rPr>
          <w:rStyle w:val="25"/>
          <w:kern w:val="2"/>
          <w:lang w:val="en-US" w:eastAsia="zh-CN" w:bidi="ar-SA"/>
        </w:rPr>
      </w:pPr>
      <w:r>
        <w:rPr>
          <w:rStyle w:val="25"/>
          <w:rFonts w:hint="eastAsia"/>
          <w:kern w:val="2"/>
          <w:lang w:val="en-US" w:eastAsia="zh-CN" w:bidi="ar-SA"/>
        </w:rPr>
        <w:t>20 保险</w:t>
      </w:r>
    </w:p>
    <w:p w14:paraId="09C6B3A3">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hint="eastAsia" w:ascii="宋体" w:hAnsi="宋体" w:eastAsia="宋体" w:cs="Times New Roman"/>
          <w:b/>
          <w:kern w:val="2"/>
          <w:sz w:val="24"/>
          <w:szCs w:val="24"/>
          <w:lang w:val="en-US" w:eastAsia="zh-CN" w:bidi="ar-SA"/>
        </w:rPr>
        <w:t>20</w:t>
      </w: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工程保险</w:t>
      </w:r>
    </w:p>
    <w:p w14:paraId="7001F66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694BAF40">
      <w:pPr>
        <w:pStyle w:val="46"/>
        <w:tabs>
          <w:tab w:val="left" w:pos="8280"/>
        </w:tabs>
        <w:spacing w:line="360" w:lineRule="auto"/>
        <w:rPr>
          <w:rStyle w:val="25"/>
          <w:rFonts w:ascii="宋体" w:hAnsi="宋体" w:eastAsia="宋体" w:cs="Times New Roman"/>
          <w:kern w:val="2"/>
          <w:sz w:val="24"/>
          <w:szCs w:val="24"/>
          <w:lang w:val="en-US" w:eastAsia="zh-CN" w:bidi="ar-SA"/>
        </w:rPr>
      </w:pPr>
      <w:r>
        <w:rPr>
          <w:rStyle w:val="25"/>
          <w:rFonts w:hint="eastAsia" w:ascii="宋体" w:hAnsi="宋体" w:eastAsia="宋体" w:cs="Times New Roman"/>
          <w:b/>
          <w:kern w:val="2"/>
          <w:sz w:val="24"/>
          <w:szCs w:val="24"/>
          <w:lang w:val="en-US" w:eastAsia="zh-CN" w:bidi="ar-SA"/>
        </w:rPr>
        <w:t>20</w:t>
      </w:r>
      <w:r>
        <w:rPr>
          <w:rStyle w:val="25"/>
          <w:rFonts w:ascii="宋体" w:hAnsi="宋体" w:eastAsia="宋体" w:cs="Times New Roman"/>
          <w:b/>
          <w:kern w:val="2"/>
          <w:sz w:val="24"/>
          <w:szCs w:val="24"/>
          <w:lang w:val="en-US" w:eastAsia="zh-CN" w:bidi="ar-SA"/>
        </w:rPr>
        <w:t>.2</w:t>
      </w:r>
      <w:r>
        <w:rPr>
          <w:rStyle w:val="25"/>
          <w:rFonts w:hint="eastAsia" w:ascii="宋体" w:hAnsi="宋体" w:eastAsia="宋体" w:cs="Times New Roman"/>
          <w:b/>
          <w:kern w:val="2"/>
          <w:sz w:val="24"/>
          <w:szCs w:val="24"/>
          <w:lang w:val="en-US" w:eastAsia="zh-CN" w:bidi="ar-SA"/>
        </w:rPr>
        <w:t>人员工伤事故的保险</w:t>
      </w:r>
      <w:r>
        <w:rPr>
          <w:rStyle w:val="25"/>
          <w:rFonts w:ascii="宋体" w:hAnsi="宋体" w:eastAsia="宋体" w:cs="Times New Roman"/>
          <w:b/>
          <w:kern w:val="2"/>
          <w:sz w:val="24"/>
          <w:szCs w:val="24"/>
          <w:lang w:val="en-US" w:eastAsia="zh-CN" w:bidi="ar-SA"/>
        </w:rPr>
        <w:t xml:space="preserve">  </w:t>
      </w:r>
      <w:r>
        <w:rPr>
          <w:rStyle w:val="25"/>
          <w:rFonts w:ascii="宋体" w:hAnsi="宋体" w:eastAsia="宋体" w:cs="Times New Roman"/>
          <w:kern w:val="2"/>
          <w:sz w:val="24"/>
          <w:szCs w:val="24"/>
          <w:lang w:val="en-US" w:eastAsia="zh-CN" w:bidi="ar-SA"/>
        </w:rPr>
        <w:t xml:space="preserve">  </w:t>
      </w:r>
    </w:p>
    <w:p w14:paraId="140B1CB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20</w:t>
      </w:r>
      <w:r>
        <w:rPr>
          <w:rStyle w:val="25"/>
          <w:rFonts w:ascii="宋体" w:hAnsi="宋体" w:eastAsia="宋体" w:cs="Times New Roman"/>
          <w:kern w:val="2"/>
          <w:sz w:val="21"/>
          <w:szCs w:val="21"/>
          <w:lang w:val="en-US" w:eastAsia="zh-CN" w:bidi="ar-SA"/>
        </w:rPr>
        <w:t>.2.1</w:t>
      </w:r>
      <w:r>
        <w:rPr>
          <w:rStyle w:val="25"/>
          <w:rFonts w:hint="eastAsia" w:ascii="宋体" w:hAnsi="宋体" w:eastAsia="宋体" w:cs="Times New Roman"/>
          <w:kern w:val="2"/>
          <w:sz w:val="21"/>
          <w:szCs w:val="21"/>
          <w:lang w:val="en-US" w:eastAsia="zh-CN" w:bidi="ar-SA"/>
        </w:rPr>
        <w:t>承包人员工伤事故的保险</w:t>
      </w:r>
      <w:r>
        <w:rPr>
          <w:rStyle w:val="25"/>
          <w:rFonts w:ascii="宋体" w:hAnsi="宋体" w:eastAsia="宋体" w:cs="Times New Roman"/>
          <w:kern w:val="2"/>
          <w:sz w:val="21"/>
          <w:szCs w:val="21"/>
          <w:lang w:val="en-US" w:eastAsia="zh-CN" w:bidi="ar-SA"/>
        </w:rPr>
        <w:t xml:space="preserve">    </w:t>
      </w:r>
    </w:p>
    <w:p w14:paraId="116BB7A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承包人应依照有关法律规定参加工伤保险，为其履行合同所雇佣的全部人员，缴纳工伤保险费，并要求其分包人也进行此项保险。</w:t>
      </w:r>
    </w:p>
    <w:p w14:paraId="3ADC41A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20.2.2发包人员工伤事故的保险</w:t>
      </w:r>
    </w:p>
    <w:p w14:paraId="135C72B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发包人应依照有关法律规定参加工伤保险，为其现场机构雇佣的全部人员，缴纳工伤保险费，并要求其监理人也进行此项保险。</w:t>
      </w:r>
    </w:p>
    <w:p w14:paraId="6AAB26DA">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hint="eastAsia" w:ascii="宋体" w:hAnsi="宋体" w:eastAsia="宋体" w:cs="Times New Roman"/>
          <w:b/>
          <w:kern w:val="2"/>
          <w:sz w:val="24"/>
          <w:szCs w:val="24"/>
          <w:lang w:val="en-US" w:eastAsia="zh-CN" w:bidi="ar-SA"/>
        </w:rPr>
        <w:t>20</w:t>
      </w:r>
      <w:r>
        <w:rPr>
          <w:rStyle w:val="25"/>
          <w:rFonts w:ascii="宋体" w:hAnsi="宋体" w:eastAsia="宋体" w:cs="Times New Roman"/>
          <w:b/>
          <w:kern w:val="2"/>
          <w:sz w:val="24"/>
          <w:szCs w:val="24"/>
          <w:lang w:val="en-US" w:eastAsia="zh-CN" w:bidi="ar-SA"/>
        </w:rPr>
        <w:t>.3</w:t>
      </w:r>
      <w:r>
        <w:rPr>
          <w:rStyle w:val="25"/>
          <w:rFonts w:hint="eastAsia" w:ascii="宋体" w:hAnsi="宋体" w:eastAsia="宋体" w:cs="Times New Roman"/>
          <w:b/>
          <w:kern w:val="2"/>
          <w:sz w:val="24"/>
          <w:szCs w:val="24"/>
          <w:lang w:val="en-US" w:eastAsia="zh-CN" w:bidi="ar-SA"/>
        </w:rPr>
        <w:t>人身意外伤害险</w:t>
      </w:r>
    </w:p>
    <w:p w14:paraId="2007D58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203.1发包人应在整个施工期间为其现场机构雇用的全部人员，投保人身意外伤害险，缴纳保险费，并要求其监理人也进行此项保险。</w:t>
      </w:r>
    </w:p>
    <w:p w14:paraId="762A9F7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20.3.2承包人应在整个施工期间为其现场机构雇用的全部人员，投保人身意外伤害险，缴纳保险费，并要求其分包人也进行此项保险。</w:t>
      </w:r>
    </w:p>
    <w:p w14:paraId="38AECDAB">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hint="eastAsia" w:ascii="宋体" w:hAnsi="宋体" w:eastAsia="宋体" w:cs="Times New Roman"/>
          <w:b/>
          <w:kern w:val="2"/>
          <w:sz w:val="24"/>
          <w:szCs w:val="24"/>
          <w:lang w:val="en-US" w:eastAsia="zh-CN" w:bidi="ar-SA"/>
        </w:rPr>
        <w:t>20</w:t>
      </w:r>
      <w:r>
        <w:rPr>
          <w:rStyle w:val="25"/>
          <w:rFonts w:ascii="宋体" w:hAnsi="宋体" w:eastAsia="宋体" w:cs="Times New Roman"/>
          <w:b/>
          <w:kern w:val="2"/>
          <w:sz w:val="24"/>
          <w:szCs w:val="24"/>
          <w:lang w:val="en-US" w:eastAsia="zh-CN" w:bidi="ar-SA"/>
        </w:rPr>
        <w:t>.4</w:t>
      </w:r>
      <w:r>
        <w:rPr>
          <w:rStyle w:val="25"/>
          <w:rFonts w:hint="eastAsia" w:ascii="宋体" w:hAnsi="宋体" w:eastAsia="宋体" w:cs="Times New Roman"/>
          <w:b/>
          <w:kern w:val="2"/>
          <w:sz w:val="24"/>
          <w:szCs w:val="24"/>
          <w:lang w:val="en-US" w:eastAsia="zh-CN" w:bidi="ar-SA"/>
        </w:rPr>
        <w:t>第三者责任险</w:t>
      </w:r>
      <w:r>
        <w:rPr>
          <w:rStyle w:val="25"/>
          <w:rFonts w:ascii="宋体" w:hAnsi="宋体" w:eastAsia="宋体" w:cs="Times New Roman"/>
          <w:b/>
          <w:kern w:val="2"/>
          <w:sz w:val="24"/>
          <w:szCs w:val="24"/>
          <w:lang w:val="en-US" w:eastAsia="zh-CN" w:bidi="ar-SA"/>
        </w:rPr>
        <w:t xml:space="preserve"> </w:t>
      </w:r>
    </w:p>
    <w:p w14:paraId="0A57867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20.4.1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4E529C0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20.4.2在缺陷责任期终止证书颁发前，承包人应以承包人和发包人的共同名义，投保第20.4.1项约定的第三者责任险，其保险费率、保险金额等有关内容在专用合同条款中约定。</w:t>
      </w:r>
    </w:p>
    <w:p w14:paraId="45C7093B">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hint="eastAsia" w:ascii="宋体" w:hAnsi="宋体" w:eastAsia="宋体" w:cs="Times New Roman"/>
          <w:b/>
          <w:kern w:val="2"/>
          <w:sz w:val="24"/>
          <w:szCs w:val="24"/>
          <w:lang w:val="en-US" w:eastAsia="zh-CN" w:bidi="ar-SA"/>
        </w:rPr>
        <w:t>20</w:t>
      </w:r>
      <w:r>
        <w:rPr>
          <w:rStyle w:val="25"/>
          <w:rFonts w:ascii="宋体" w:hAnsi="宋体" w:eastAsia="宋体" w:cs="Times New Roman"/>
          <w:b/>
          <w:kern w:val="2"/>
          <w:sz w:val="24"/>
          <w:szCs w:val="24"/>
          <w:lang w:val="en-US" w:eastAsia="zh-CN" w:bidi="ar-SA"/>
        </w:rPr>
        <w:t>.5</w:t>
      </w:r>
      <w:r>
        <w:rPr>
          <w:rStyle w:val="25"/>
          <w:rFonts w:hint="eastAsia" w:ascii="宋体" w:hAnsi="宋体" w:eastAsia="宋体" w:cs="Times New Roman"/>
          <w:b/>
          <w:kern w:val="2"/>
          <w:sz w:val="24"/>
          <w:szCs w:val="24"/>
          <w:lang w:val="en-US" w:eastAsia="zh-CN" w:bidi="ar-SA"/>
        </w:rPr>
        <w:t>其他保险</w:t>
      </w:r>
    </w:p>
    <w:p w14:paraId="3E19703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除专用合同条款另有约定外，承包人应为其施工设备、进场的材料和工程设备等办理保险。</w:t>
      </w:r>
    </w:p>
    <w:p w14:paraId="65AD7877">
      <w:pPr>
        <w:pStyle w:val="46"/>
        <w:tabs>
          <w:tab w:val="left" w:pos="8280"/>
        </w:tabs>
        <w:spacing w:line="360" w:lineRule="auto"/>
        <w:rPr>
          <w:rStyle w:val="25"/>
          <w:rFonts w:ascii="宋体" w:hAnsi="宋体" w:eastAsia="宋体" w:cs="Times New Roman"/>
          <w:kern w:val="2"/>
          <w:sz w:val="24"/>
          <w:szCs w:val="24"/>
          <w:lang w:val="en-US" w:eastAsia="zh-CN" w:bidi="ar-SA"/>
        </w:rPr>
      </w:pPr>
      <w:r>
        <w:rPr>
          <w:rStyle w:val="25"/>
          <w:rFonts w:hint="eastAsia" w:ascii="宋体" w:hAnsi="宋体" w:eastAsia="宋体" w:cs="Times New Roman"/>
          <w:b/>
          <w:kern w:val="2"/>
          <w:sz w:val="24"/>
          <w:szCs w:val="24"/>
          <w:lang w:val="en-US" w:eastAsia="zh-CN" w:bidi="ar-SA"/>
        </w:rPr>
        <w:t>20</w:t>
      </w:r>
      <w:r>
        <w:rPr>
          <w:rStyle w:val="25"/>
          <w:rFonts w:ascii="宋体" w:hAnsi="宋体" w:eastAsia="宋体" w:cs="Times New Roman"/>
          <w:b/>
          <w:kern w:val="2"/>
          <w:sz w:val="24"/>
          <w:szCs w:val="24"/>
          <w:lang w:val="en-US" w:eastAsia="zh-CN" w:bidi="ar-SA"/>
        </w:rPr>
        <w:t>.6</w:t>
      </w:r>
      <w:r>
        <w:rPr>
          <w:rStyle w:val="25"/>
          <w:rFonts w:hint="eastAsia" w:ascii="宋体" w:hAnsi="宋体" w:eastAsia="宋体" w:cs="Times New Roman"/>
          <w:b/>
          <w:kern w:val="2"/>
          <w:sz w:val="24"/>
          <w:szCs w:val="24"/>
          <w:lang w:val="en-US" w:eastAsia="zh-CN" w:bidi="ar-SA"/>
        </w:rPr>
        <w:t>对各项保险的一般要求</w:t>
      </w:r>
      <w:r>
        <w:rPr>
          <w:rStyle w:val="25"/>
          <w:rFonts w:ascii="宋体" w:hAnsi="宋体" w:eastAsia="宋体" w:cs="Times New Roman"/>
          <w:b/>
          <w:kern w:val="2"/>
          <w:sz w:val="24"/>
          <w:szCs w:val="24"/>
          <w:lang w:val="en-US" w:eastAsia="zh-CN" w:bidi="ar-SA"/>
        </w:rPr>
        <w:t xml:space="preserve">   </w:t>
      </w:r>
    </w:p>
    <w:p w14:paraId="45F0901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20</w:t>
      </w:r>
      <w:r>
        <w:rPr>
          <w:rStyle w:val="25"/>
          <w:rFonts w:ascii="宋体" w:hAnsi="宋体" w:eastAsia="宋体" w:cs="Times New Roman"/>
          <w:kern w:val="2"/>
          <w:sz w:val="21"/>
          <w:szCs w:val="21"/>
          <w:lang w:val="en-US" w:eastAsia="zh-CN" w:bidi="ar-SA"/>
        </w:rPr>
        <w:t>.6.1</w:t>
      </w:r>
      <w:r>
        <w:rPr>
          <w:rStyle w:val="25"/>
          <w:rFonts w:hint="eastAsia" w:ascii="宋体" w:hAnsi="宋体" w:eastAsia="宋体" w:cs="Times New Roman"/>
          <w:kern w:val="2"/>
          <w:sz w:val="21"/>
          <w:szCs w:val="21"/>
          <w:lang w:val="en-US" w:eastAsia="zh-CN" w:bidi="ar-SA"/>
        </w:rPr>
        <w:t>保险凭证</w:t>
      </w:r>
    </w:p>
    <w:p w14:paraId="6D62FCF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承包人应在专用合同条款约定的期限内向发包人提交各项保险生效的证据和保险单副本，保险单必须与专用合同条款约定的条件保持一致。</w:t>
      </w:r>
    </w:p>
    <w:p w14:paraId="16140C7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20</w:t>
      </w:r>
      <w:r>
        <w:rPr>
          <w:rStyle w:val="25"/>
          <w:rFonts w:ascii="宋体" w:hAnsi="宋体" w:eastAsia="宋体" w:cs="Times New Roman"/>
          <w:kern w:val="2"/>
          <w:sz w:val="21"/>
          <w:szCs w:val="21"/>
          <w:lang w:val="en-US" w:eastAsia="zh-CN" w:bidi="ar-SA"/>
        </w:rPr>
        <w:t>.6.2</w:t>
      </w:r>
      <w:r>
        <w:rPr>
          <w:rStyle w:val="25"/>
          <w:rFonts w:hint="eastAsia" w:ascii="宋体" w:hAnsi="宋体" w:eastAsia="宋体" w:cs="Times New Roman"/>
          <w:kern w:val="2"/>
          <w:sz w:val="21"/>
          <w:szCs w:val="21"/>
          <w:lang w:val="en-US" w:eastAsia="zh-CN" w:bidi="ar-SA"/>
        </w:rPr>
        <w:t>保险合同条款的变动</w:t>
      </w:r>
    </w:p>
    <w:p w14:paraId="499491B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承包人需要变动保险合同条款时，应事先征得发包人同意，并通知监理人。保险人作出变动的，承包人应在收到保险人通知后立即通知发包人和监理人。</w:t>
      </w:r>
    </w:p>
    <w:p w14:paraId="4E11FE5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20</w:t>
      </w:r>
      <w:r>
        <w:rPr>
          <w:rStyle w:val="25"/>
          <w:rFonts w:ascii="宋体" w:hAnsi="宋体" w:eastAsia="宋体" w:cs="Times New Roman"/>
          <w:kern w:val="2"/>
          <w:sz w:val="21"/>
          <w:szCs w:val="21"/>
          <w:lang w:val="en-US" w:eastAsia="zh-CN" w:bidi="ar-SA"/>
        </w:rPr>
        <w:t>.6.3</w:t>
      </w:r>
      <w:r>
        <w:rPr>
          <w:rStyle w:val="25"/>
          <w:rFonts w:hint="eastAsia" w:ascii="宋体" w:hAnsi="宋体" w:eastAsia="宋体" w:cs="Times New Roman"/>
          <w:kern w:val="2"/>
          <w:sz w:val="21"/>
          <w:szCs w:val="21"/>
          <w:lang w:val="en-US" w:eastAsia="zh-CN" w:bidi="ar-SA"/>
        </w:rPr>
        <w:t>持续保险</w:t>
      </w:r>
    </w:p>
    <w:p w14:paraId="46CC110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承包人应与保险人保持联系，使保险人能够随时了解工程实施中的变动，并确保按保险合同条款要求持续保险。</w:t>
      </w:r>
    </w:p>
    <w:p w14:paraId="6B3E0F7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20.6.4保险金不足的补偿</w:t>
      </w:r>
    </w:p>
    <w:p w14:paraId="1952555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保险金不足以补偿损失时，应由承包人和发包人各自负责补偿的范围和金额在专用合同条款中约定。   </w:t>
      </w:r>
    </w:p>
    <w:p w14:paraId="7E6DE99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20.6.5未按约定投保的补救</w:t>
      </w:r>
    </w:p>
    <w:p w14:paraId="4CD0A99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(1)由于负有投保义务的一方当事人未按合同约定办理保险，或未能使保险持续有效的，另一方当事人可代为办理，所需费用由对方当事人承担。</w:t>
      </w:r>
    </w:p>
    <w:p w14:paraId="16B69BA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(2)由于负有投保义务的一方当事人未按合同约定办理某项保险，导致受益人未能得到保险人的赔偿，原应从该项保险得到的保险金应由负有投保义务的一方当事人支付。</w:t>
      </w:r>
    </w:p>
    <w:p w14:paraId="0F49CCF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20.6.6报告义务</w:t>
      </w:r>
    </w:p>
    <w:p w14:paraId="196B315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当保险事故发生时，投保人应按照保险单规定的条件和期限及时向保险人报告。</w:t>
      </w:r>
    </w:p>
    <w:p w14:paraId="541F2823">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hint="eastAsia" w:ascii="宋体" w:hAnsi="宋体" w:eastAsia="宋体" w:cs="Times New Roman"/>
          <w:b/>
          <w:kern w:val="2"/>
          <w:sz w:val="24"/>
          <w:szCs w:val="24"/>
          <w:lang w:val="en-US" w:eastAsia="zh-CN" w:bidi="ar-SA"/>
        </w:rPr>
        <w:t>20</w:t>
      </w:r>
      <w:r>
        <w:rPr>
          <w:rStyle w:val="25"/>
          <w:rFonts w:ascii="宋体" w:hAnsi="宋体" w:eastAsia="宋体" w:cs="Times New Roman"/>
          <w:b/>
          <w:kern w:val="2"/>
          <w:sz w:val="24"/>
          <w:szCs w:val="24"/>
          <w:lang w:val="en-US" w:eastAsia="zh-CN" w:bidi="ar-SA"/>
        </w:rPr>
        <w:t>.7</w:t>
      </w:r>
      <w:r>
        <w:rPr>
          <w:rStyle w:val="25"/>
          <w:rFonts w:hint="eastAsia" w:ascii="宋体" w:hAnsi="宋体" w:eastAsia="宋体" w:cs="Times New Roman"/>
          <w:b/>
          <w:kern w:val="2"/>
          <w:sz w:val="24"/>
          <w:szCs w:val="24"/>
          <w:lang w:val="en-US" w:eastAsia="zh-CN" w:bidi="ar-SA"/>
        </w:rPr>
        <w:t>风险责任的转移</w:t>
      </w:r>
      <w:r>
        <w:rPr>
          <w:rStyle w:val="25"/>
          <w:rFonts w:ascii="宋体" w:hAnsi="宋体" w:eastAsia="宋体" w:cs="Times New Roman"/>
          <w:b/>
          <w:kern w:val="2"/>
          <w:sz w:val="24"/>
          <w:szCs w:val="24"/>
          <w:lang w:val="en-US" w:eastAsia="zh-CN" w:bidi="ar-SA"/>
        </w:rPr>
        <w:t xml:space="preserve">    </w:t>
      </w:r>
    </w:p>
    <w:p w14:paraId="287907F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工程通过合同工程完工验收并移交给发包人后，原由承包人应承担的风险责任，以及保险的责任、权利和义务同时转移给发包人，但承包人在缺陷责任期(工程质量保修期)前造成损失和损坏情形除外。</w:t>
      </w:r>
    </w:p>
    <w:p w14:paraId="658279C4">
      <w:pPr>
        <w:pStyle w:val="47"/>
        <w:rPr>
          <w:rStyle w:val="25"/>
          <w:kern w:val="2"/>
          <w:lang w:val="en-US" w:eastAsia="zh-CN" w:bidi="ar-SA"/>
        </w:rPr>
      </w:pPr>
      <w:r>
        <w:rPr>
          <w:rStyle w:val="25"/>
          <w:rFonts w:hint="eastAsia"/>
          <w:kern w:val="2"/>
          <w:lang w:val="en-US" w:eastAsia="zh-CN" w:bidi="ar-SA"/>
        </w:rPr>
        <w:t>21 不可抗力</w:t>
      </w:r>
    </w:p>
    <w:p w14:paraId="62040274">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hint="eastAsia" w:ascii="宋体" w:hAnsi="宋体" w:eastAsia="宋体" w:cs="Times New Roman"/>
          <w:b/>
          <w:kern w:val="2"/>
          <w:sz w:val="24"/>
          <w:szCs w:val="24"/>
          <w:lang w:val="en-US" w:eastAsia="zh-CN" w:bidi="ar-SA"/>
        </w:rPr>
        <w:t>21</w:t>
      </w: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不可抗力的确认</w:t>
      </w:r>
    </w:p>
    <w:p w14:paraId="2EAEBE7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21.1.1不可抗力是指承包人和发包人在订立合同时不可预见，在工程施工过程中不可避免发生并不能克服的自然灾害和社会性突发事件，如地震、海啸、瘟疫、水灾、骚乱、暴动、战争和专用合同条款约定的其他情形。</w:t>
      </w:r>
    </w:p>
    <w:p w14:paraId="1374AAC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21.1.2不可抗力发生后，发包人和承包人应及时认真统计所造成的损失，收集不可抗力造成损失的证据。合同双方对是否属于不可抗力或其损失的意见不一致的，由监理人按第3.5款商定或确定。发生争议时，按第22条的约定办理。    </w:t>
      </w:r>
    </w:p>
    <w:p w14:paraId="3917B1D1">
      <w:pPr>
        <w:pStyle w:val="46"/>
        <w:tabs>
          <w:tab w:val="left" w:pos="8280"/>
        </w:tabs>
        <w:spacing w:line="360" w:lineRule="auto"/>
        <w:rPr>
          <w:rStyle w:val="25"/>
          <w:rFonts w:ascii="宋体" w:hAnsi="宋体" w:eastAsia="宋体" w:cs="Times New Roman"/>
          <w:kern w:val="2"/>
          <w:sz w:val="24"/>
          <w:szCs w:val="24"/>
          <w:lang w:val="en-US" w:eastAsia="zh-CN" w:bidi="ar-SA"/>
        </w:rPr>
      </w:pPr>
      <w:r>
        <w:rPr>
          <w:rStyle w:val="25"/>
          <w:rFonts w:hint="eastAsia" w:ascii="宋体" w:hAnsi="宋体" w:eastAsia="宋体" w:cs="Times New Roman"/>
          <w:b/>
          <w:kern w:val="2"/>
          <w:sz w:val="24"/>
          <w:szCs w:val="24"/>
          <w:lang w:val="en-US" w:eastAsia="zh-CN" w:bidi="ar-SA"/>
        </w:rPr>
        <w:t>21</w:t>
      </w:r>
      <w:r>
        <w:rPr>
          <w:rStyle w:val="25"/>
          <w:rFonts w:ascii="宋体" w:hAnsi="宋体" w:eastAsia="宋体" w:cs="Times New Roman"/>
          <w:b/>
          <w:kern w:val="2"/>
          <w:sz w:val="24"/>
          <w:szCs w:val="24"/>
          <w:lang w:val="en-US" w:eastAsia="zh-CN" w:bidi="ar-SA"/>
        </w:rPr>
        <w:t>.2</w:t>
      </w:r>
      <w:r>
        <w:rPr>
          <w:rStyle w:val="25"/>
          <w:rFonts w:hint="eastAsia" w:ascii="宋体" w:hAnsi="宋体" w:eastAsia="宋体" w:cs="Times New Roman"/>
          <w:b/>
          <w:kern w:val="2"/>
          <w:sz w:val="24"/>
          <w:szCs w:val="24"/>
          <w:lang w:val="en-US" w:eastAsia="zh-CN" w:bidi="ar-SA"/>
        </w:rPr>
        <w:t>不可抗力的通知</w:t>
      </w:r>
    </w:p>
    <w:p w14:paraId="79EFB41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21.2.1合同一方当事人遇到不可抗力事件，使其履行合同义务受到阻碍时，应立即通知合同另一方当事人和监理人，书面说明不可抗力和受阻碍的详细情况，并提供必要的证明。</w:t>
      </w:r>
    </w:p>
    <w:p w14:paraId="1580BB8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21.2.2如不可抗力持续发生，合同一方当事人应及时向合同另一方当事人和监理人提交中间报告，说明不可抗力和履行合同受阻的情况，并于不可抗力事件结束后28天内。提交最终报告及有关资料。</w:t>
      </w:r>
    </w:p>
    <w:p w14:paraId="7318D5C8">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hint="eastAsia" w:ascii="宋体" w:hAnsi="宋体" w:eastAsia="宋体" w:cs="Times New Roman"/>
          <w:b/>
          <w:kern w:val="2"/>
          <w:sz w:val="24"/>
          <w:szCs w:val="24"/>
          <w:lang w:val="en-US" w:eastAsia="zh-CN" w:bidi="ar-SA"/>
        </w:rPr>
        <w:t>21</w:t>
      </w:r>
      <w:r>
        <w:rPr>
          <w:rStyle w:val="25"/>
          <w:rFonts w:ascii="宋体" w:hAnsi="宋体" w:eastAsia="宋体" w:cs="Times New Roman"/>
          <w:b/>
          <w:kern w:val="2"/>
          <w:sz w:val="24"/>
          <w:szCs w:val="24"/>
          <w:lang w:val="en-US" w:eastAsia="zh-CN" w:bidi="ar-SA"/>
        </w:rPr>
        <w:t>.3</w:t>
      </w:r>
      <w:r>
        <w:rPr>
          <w:rStyle w:val="25"/>
          <w:rFonts w:hint="eastAsia" w:ascii="宋体" w:hAnsi="宋体" w:eastAsia="宋体" w:cs="Times New Roman"/>
          <w:b/>
          <w:kern w:val="2"/>
          <w:sz w:val="24"/>
          <w:szCs w:val="24"/>
          <w:lang w:val="en-US" w:eastAsia="zh-CN" w:bidi="ar-SA"/>
        </w:rPr>
        <w:t>不可抗力后果及其处理</w:t>
      </w:r>
    </w:p>
    <w:p w14:paraId="1B75BE6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21.3.1不可抗力造成损害的责任</w:t>
      </w:r>
    </w:p>
    <w:p w14:paraId="5929117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除专用合同条款另有约定外，不可抗力导致的人员伤亡、财产损失、费用增加和(或)工期延误等后果，由合同双方按以下原则承担：</w:t>
      </w:r>
    </w:p>
    <w:p w14:paraId="3DD457A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(1)永久工程，包括己运至施工场地的材料和工程设备的损害，以及因工程损害造成的第三者人员伤亡和财产损失由发包人承担；</w:t>
      </w:r>
    </w:p>
    <w:p w14:paraId="3DA3B4B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(2)承包人设备的损坏由承包人承担；</w:t>
      </w:r>
    </w:p>
    <w:p w14:paraId="4F5BAF2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(3)发包人和承包人各自承担其人员伤亡和其他财产损失及其相关费用；</w:t>
      </w:r>
    </w:p>
    <w:p w14:paraId="7FA2E0E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(4)承包人的停工损失由承包人承担，但停工期间应监理人要求照管工程和清理、修复工程的金额由发包人承担；</w:t>
      </w:r>
    </w:p>
    <w:p w14:paraId="0147964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(5)不能按期竣工的，应合理延长工期，承包人不需支付逾期竣工违约金。发包人要求赶工的，承包人应采取赶工措施，赶工费用由发包人承担。   </w:t>
      </w:r>
    </w:p>
    <w:p w14:paraId="74AD70F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21.3.2延迟履行期间发生的不可抗力    </w:t>
      </w:r>
    </w:p>
    <w:p w14:paraId="768FEB0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合同一方当事人延迟履行，在延迟履行期间发生不可抗力的，不免除其责任。</w:t>
      </w:r>
    </w:p>
    <w:p w14:paraId="248C723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21.3.3避免和减少不可抗力损失</w:t>
      </w:r>
    </w:p>
    <w:p w14:paraId="26802A2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不可抗力发生后，发包人和承包人均应采取措施尽量避免和减少损失的扩大，任何一方没有采取有效措施导致损失扩大的，应对扩大的损失承担责任。</w:t>
      </w:r>
    </w:p>
    <w:p w14:paraId="31BD409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21.3.4因不可抗力解除合同</w:t>
      </w:r>
    </w:p>
    <w:p w14:paraId="69DA487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合同一方当事人因不可抗力不能履行合同的，应当及时通知对方解除合同。合同解除后，承包人应按照第20.2.5项约定撤离施工场地。已经订货的材料、设备由订货方负责退货或解除订货合同，不能退还的货款和因退货、解除订货合同发生的费用，由发包人承担，因未及时退货造成的损失由责任方承担。合同解除后的付款，参照第</w:t>
      </w:r>
      <w:r>
        <w:rPr>
          <w:rStyle w:val="25"/>
          <w:rFonts w:ascii="宋体" w:hAnsi="宋体" w:eastAsia="宋体" w:cs="Times New Roman"/>
          <w:kern w:val="2"/>
          <w:sz w:val="21"/>
          <w:szCs w:val="21"/>
          <w:lang w:val="en-US" w:eastAsia="zh-CN" w:bidi="ar-SA"/>
        </w:rPr>
        <w:t>20.2.4</w:t>
      </w:r>
      <w:r>
        <w:rPr>
          <w:rStyle w:val="25"/>
          <w:rFonts w:hint="eastAsia" w:ascii="宋体" w:hAnsi="宋体" w:eastAsia="宋体" w:cs="Times New Roman"/>
          <w:kern w:val="2"/>
          <w:sz w:val="21"/>
          <w:szCs w:val="21"/>
          <w:lang w:val="en-US" w:eastAsia="zh-CN" w:bidi="ar-SA"/>
        </w:rPr>
        <w:t>项约定，由监理人按第</w:t>
      </w:r>
      <w:r>
        <w:rPr>
          <w:rStyle w:val="25"/>
          <w:rFonts w:ascii="宋体" w:hAnsi="宋体" w:eastAsia="宋体" w:cs="Times New Roman"/>
          <w:kern w:val="2"/>
          <w:sz w:val="21"/>
          <w:szCs w:val="21"/>
          <w:lang w:val="en-US" w:eastAsia="zh-CN" w:bidi="ar-SA"/>
        </w:rPr>
        <w:t>3.5</w:t>
      </w:r>
      <w:r>
        <w:rPr>
          <w:rStyle w:val="25"/>
          <w:rFonts w:hint="eastAsia" w:ascii="宋体" w:hAnsi="宋体" w:eastAsia="宋体" w:cs="Times New Roman"/>
          <w:kern w:val="2"/>
          <w:sz w:val="21"/>
          <w:szCs w:val="21"/>
          <w:lang w:val="en-US" w:eastAsia="zh-CN" w:bidi="ar-SA"/>
        </w:rPr>
        <w:t>款商定或确定。</w:t>
      </w:r>
    </w:p>
    <w:p w14:paraId="363BD300">
      <w:pPr>
        <w:pStyle w:val="47"/>
        <w:rPr>
          <w:rStyle w:val="25"/>
          <w:kern w:val="2"/>
          <w:lang w:val="en-US" w:eastAsia="zh-CN" w:bidi="ar-SA"/>
        </w:rPr>
      </w:pPr>
      <w:r>
        <w:rPr>
          <w:rStyle w:val="25"/>
          <w:rFonts w:hint="eastAsia"/>
          <w:kern w:val="2"/>
          <w:lang w:val="en-US" w:eastAsia="zh-CN" w:bidi="ar-SA"/>
        </w:rPr>
        <w:t>22 违约</w:t>
      </w:r>
    </w:p>
    <w:p w14:paraId="6409CFD4">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2</w:t>
      </w:r>
      <w:r>
        <w:rPr>
          <w:rStyle w:val="25"/>
          <w:rFonts w:hint="eastAsia" w:ascii="宋体" w:hAnsi="宋体" w:eastAsia="宋体" w:cs="Times New Roman"/>
          <w:b/>
          <w:kern w:val="2"/>
          <w:sz w:val="24"/>
          <w:szCs w:val="24"/>
          <w:lang w:val="en-US" w:eastAsia="zh-CN" w:bidi="ar-SA"/>
        </w:rPr>
        <w:t>2</w:t>
      </w: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承包人违约</w:t>
      </w:r>
      <w:r>
        <w:rPr>
          <w:rStyle w:val="25"/>
          <w:rFonts w:ascii="宋体" w:hAnsi="宋体" w:eastAsia="宋体" w:cs="Times New Roman"/>
          <w:b/>
          <w:kern w:val="2"/>
          <w:sz w:val="24"/>
          <w:szCs w:val="24"/>
          <w:lang w:val="en-US" w:eastAsia="zh-CN" w:bidi="ar-SA"/>
        </w:rPr>
        <w:t xml:space="preserve">   </w:t>
      </w:r>
    </w:p>
    <w:p w14:paraId="206B5D4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22.1.1承包人违约的情形</w:t>
      </w:r>
    </w:p>
    <w:p w14:paraId="019DCD8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在履行合同过程中发生的下列情况属承包人违约：</w:t>
      </w:r>
    </w:p>
    <w:p w14:paraId="05E7935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(1)承包人违反第1.8款或第4.3款的约定，私自将合同的全部或部分权利转让给其他人，或私自将合同的全部或部分义务转移给其他人；</w:t>
      </w:r>
    </w:p>
    <w:p w14:paraId="7AEEC00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(2)承包人违反第5.3款或第6.4款的约定，未经监理人批准，私自将已按合同约定进入施工场地的施工设备、临时设施或材料撤离施工场地；</w:t>
      </w:r>
    </w:p>
    <w:p w14:paraId="02885552">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(3)承包人违反第5.4款的约定使用了不合格材料或工程设备，工程质量达不到标准要求，又拒绝清除不合格工程；    </w:t>
      </w:r>
    </w:p>
    <w:p w14:paraId="5DF2593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(4)承包人未能按合同进度计划及时完成合同约定的工作，已造成或预期造成工期延误； </w:t>
      </w:r>
    </w:p>
    <w:p w14:paraId="28DD159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(5)承包人在缺陷责任期(工程质量保修期)内，未能对合同工程完工验收鉴定书所列的缺陷清单的内容或缺陷责任期(工程质量保修期)内发生的缺陷进行修复，而又拒绝按监理人指示再进行修补；</w:t>
      </w:r>
    </w:p>
    <w:p w14:paraId="51104E9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(6)承包人无法继续履行或明确表示不履行或实质上已停止履行合同；</w:t>
      </w:r>
    </w:p>
    <w:p w14:paraId="2074B0E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(7)承包人不按合同约定履行义务的其它情况。</w:t>
      </w:r>
    </w:p>
    <w:p w14:paraId="1991C5A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22.1.2对承包人违约的处理</w:t>
      </w:r>
    </w:p>
    <w:p w14:paraId="540B6C0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(1)承包人发生第20.1.1(6)目约定的违约情况时，发包人可通知承包人立即解除合同，并按有关法律处理。</w:t>
      </w:r>
    </w:p>
    <w:p w14:paraId="16939B1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(2)承包人发生除第20.1.1(6)目约定以外的其他违约情况时，监理人可向承包人发出整改通知，要求其在指定的期限内改正。承包人应承担其违约所引起的费用增加和(或)工期延误。</w:t>
      </w:r>
    </w:p>
    <w:p w14:paraId="490923B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(3)经检查证明承包人已采取了有效措施纠正违约行为，具备复工条件的，可由监理人签发复工通知复工。    </w:t>
      </w:r>
    </w:p>
    <w:p w14:paraId="3647A47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22.1.3承包人违约解除合同    </w:t>
      </w:r>
    </w:p>
    <w:p w14:paraId="25CE4E9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68E83B8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22.1.4合同解除后的估价、付款和结清</w:t>
      </w:r>
    </w:p>
    <w:p w14:paraId="06CBBEB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(1)合同解除后，监理人按第</w:t>
      </w:r>
      <w:r>
        <w:rPr>
          <w:rStyle w:val="25"/>
          <w:rFonts w:ascii="宋体" w:hAnsi="宋体" w:eastAsia="宋体" w:cs="Times New Roman"/>
          <w:kern w:val="2"/>
          <w:sz w:val="21"/>
          <w:szCs w:val="21"/>
          <w:lang w:val="en-US" w:eastAsia="zh-CN" w:bidi="ar-SA"/>
        </w:rPr>
        <w:t>3.5</w:t>
      </w:r>
      <w:r>
        <w:rPr>
          <w:rStyle w:val="25"/>
          <w:rFonts w:hint="eastAsia" w:ascii="宋体" w:hAnsi="宋体" w:eastAsia="宋体" w:cs="Times New Roman"/>
          <w:kern w:val="2"/>
          <w:sz w:val="21"/>
          <w:szCs w:val="21"/>
          <w:lang w:val="en-US" w:eastAsia="zh-CN" w:bidi="ar-SA"/>
        </w:rPr>
        <w:t>款商定或确定承包人实际完成工作的价值，以及承包人己提供的材料、施工设备、工程设备和临时工程等的价值。</w:t>
      </w:r>
      <w:r>
        <w:rPr>
          <w:rStyle w:val="25"/>
          <w:rFonts w:ascii="宋体" w:hAnsi="宋体" w:eastAsia="宋体" w:cs="Times New Roman"/>
          <w:kern w:val="2"/>
          <w:sz w:val="21"/>
          <w:szCs w:val="21"/>
          <w:lang w:val="en-US" w:eastAsia="zh-CN" w:bidi="ar-SA"/>
        </w:rPr>
        <w:t xml:space="preserve">  </w:t>
      </w:r>
    </w:p>
    <w:p w14:paraId="0EDFDE1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(2)合同解除后，发包人应暂停对承包人的一切付款，查清各项付款和已扣款金额，包括承包人应支付的违约金。    </w:t>
      </w:r>
    </w:p>
    <w:p w14:paraId="7C72273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(3)合同解除后，发包人应按第21.4款的约定向承包人索赔由于解除合同给发包人造成的损失。</w:t>
      </w:r>
    </w:p>
    <w:p w14:paraId="2CDB691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(4)合同双方确认上述往来款项后，出具最终结清付款证书，结清全部合同款项。</w:t>
      </w:r>
    </w:p>
    <w:p w14:paraId="55112F6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(5)发包人和承包人未能就解除合同后的结清达成一致而形成争议的，按第22条的约定办理。</w:t>
      </w:r>
    </w:p>
    <w:p w14:paraId="4E74E59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22.1.5协议利益的转让</w:t>
      </w:r>
    </w:p>
    <w:p w14:paraId="19A8D61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因承包人违约解除合同的，发包人有权要求承包人将其为实施合同而签订的材料和设备的订货访议或任何服务协议利益转让给发包人，并在解除合同后的14天内，依法办理转让手续。</w:t>
      </w:r>
    </w:p>
    <w:p w14:paraId="068B742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22.1.6紧急情况下无能力或不愿进行抢救    </w:t>
      </w:r>
    </w:p>
    <w:p w14:paraId="55D865A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或</w:t>
      </w:r>
      <w:r>
        <w:rPr>
          <w:rStyle w:val="25"/>
          <w:rFonts w:ascii="宋体" w:hAnsi="宋体" w:eastAsia="宋体" w:cs="Times New Roman"/>
          <w:kern w:val="2"/>
          <w:sz w:val="21"/>
          <w:szCs w:val="21"/>
          <w:lang w:val="en-US" w:eastAsia="zh-CN" w:bidi="ar-SA"/>
        </w:rPr>
        <w:t>)</w:t>
      </w:r>
      <w:r>
        <w:rPr>
          <w:rStyle w:val="25"/>
          <w:rFonts w:hint="eastAsia" w:ascii="宋体" w:hAnsi="宋体" w:eastAsia="宋体" w:cs="Times New Roman"/>
          <w:kern w:val="2"/>
          <w:sz w:val="21"/>
          <w:szCs w:val="21"/>
          <w:lang w:val="en-US" w:eastAsia="zh-CN" w:bidi="ar-SA"/>
        </w:rPr>
        <w:t>工期延误由承包人承担。</w:t>
      </w:r>
    </w:p>
    <w:p w14:paraId="462B4FF4">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2</w:t>
      </w:r>
      <w:r>
        <w:rPr>
          <w:rStyle w:val="25"/>
          <w:rFonts w:hint="eastAsia" w:ascii="宋体" w:hAnsi="宋体" w:eastAsia="宋体" w:cs="Times New Roman"/>
          <w:b/>
          <w:kern w:val="2"/>
          <w:sz w:val="24"/>
          <w:szCs w:val="24"/>
          <w:lang w:val="en-US" w:eastAsia="zh-CN" w:bidi="ar-SA"/>
        </w:rPr>
        <w:t>2</w:t>
      </w:r>
      <w:r>
        <w:rPr>
          <w:rStyle w:val="25"/>
          <w:rFonts w:ascii="宋体" w:hAnsi="宋体" w:eastAsia="宋体" w:cs="Times New Roman"/>
          <w:b/>
          <w:kern w:val="2"/>
          <w:sz w:val="24"/>
          <w:szCs w:val="24"/>
          <w:lang w:val="en-US" w:eastAsia="zh-CN" w:bidi="ar-SA"/>
        </w:rPr>
        <w:t>.2</w:t>
      </w:r>
      <w:r>
        <w:rPr>
          <w:rStyle w:val="25"/>
          <w:rFonts w:hint="eastAsia" w:ascii="宋体" w:hAnsi="宋体" w:eastAsia="宋体" w:cs="Times New Roman"/>
          <w:b/>
          <w:kern w:val="2"/>
          <w:sz w:val="24"/>
          <w:szCs w:val="24"/>
          <w:lang w:val="en-US" w:eastAsia="zh-CN" w:bidi="ar-SA"/>
        </w:rPr>
        <w:t>发包人违约</w:t>
      </w:r>
      <w:r>
        <w:rPr>
          <w:rStyle w:val="25"/>
          <w:rFonts w:ascii="宋体" w:hAnsi="宋体" w:eastAsia="宋体" w:cs="Times New Roman"/>
          <w:b/>
          <w:kern w:val="2"/>
          <w:sz w:val="24"/>
          <w:szCs w:val="24"/>
          <w:lang w:val="en-US" w:eastAsia="zh-CN" w:bidi="ar-SA"/>
        </w:rPr>
        <w:t xml:space="preserve"> </w:t>
      </w:r>
    </w:p>
    <w:p w14:paraId="1FA3541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22.2.1发包人违约的情形</w:t>
      </w:r>
    </w:p>
    <w:p w14:paraId="26AAB48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在履行合同过程中发生的下列情形，属发包人违约：</w:t>
      </w:r>
    </w:p>
    <w:p w14:paraId="27856F7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(1)发包人未能按合同约定支付预付款或合同价款，或拖延、拒绝批准付款申请和支付凭证，导致付款延误的；</w:t>
      </w:r>
    </w:p>
    <w:p w14:paraId="152A699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(2)发包人原因造成停工的；   </w:t>
      </w:r>
    </w:p>
    <w:p w14:paraId="3B0456C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(3)监理人无正当理由没有在约定期限内发出复工指示，导致承包人无法复工的；</w:t>
      </w:r>
    </w:p>
    <w:p w14:paraId="63DB290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(4)发包人无法继续履行或明确表示不履行或实质上已停止履行合同的；</w:t>
      </w:r>
    </w:p>
    <w:p w14:paraId="74C808C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(5)发包人不履行合同约定其他义务的。</w:t>
      </w:r>
    </w:p>
    <w:p w14:paraId="5C3479B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22.2.2承包人有权暂停施工</w:t>
      </w:r>
    </w:p>
    <w:p w14:paraId="7D9D68E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发包人发生除第22.2.1(4)目以外的违约情况时，承包人可向发包人发出通知，要求发包人采取有效措施纠正违约行为。发包人收到承包人通知后的</w:t>
      </w:r>
      <w:r>
        <w:rPr>
          <w:rStyle w:val="25"/>
          <w:rFonts w:ascii="宋体" w:hAnsi="宋体" w:eastAsia="宋体" w:cs="Times New Roman"/>
          <w:kern w:val="2"/>
          <w:sz w:val="21"/>
          <w:szCs w:val="21"/>
          <w:lang w:val="en-US" w:eastAsia="zh-CN" w:bidi="ar-SA"/>
        </w:rPr>
        <w:t>28</w:t>
      </w:r>
      <w:r>
        <w:rPr>
          <w:rStyle w:val="25"/>
          <w:rFonts w:hint="eastAsia" w:ascii="宋体" w:hAnsi="宋体" w:eastAsia="宋体" w:cs="Times New Roman"/>
          <w:kern w:val="2"/>
          <w:sz w:val="21"/>
          <w:szCs w:val="21"/>
          <w:lang w:val="en-US" w:eastAsia="zh-CN" w:bidi="ar-SA"/>
        </w:rPr>
        <w:t>天内仍不履行合同义务，承包人有权暂停施工，并通知监理人，发包人应承担由此增加的费用和(或)工期延误，并支付承包人合理利润。</w:t>
      </w:r>
    </w:p>
    <w:p w14:paraId="390FD65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22.2.3发包人违约解除合同</w:t>
      </w:r>
    </w:p>
    <w:p w14:paraId="7B27144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(1)发生第22.2.1(4)目的违约情况时，承包人可书面通知发包人解除合同。</w:t>
      </w:r>
    </w:p>
    <w:p w14:paraId="1B0F5A8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 (2)承包人按22.2.2项暂停施工28天后，发包人仍不纠正违约行为的，承包人可向发包人发出解除合同通知。但承包人的这一行动不免除发包人承担的违约责任，也不影响承包人根据合同约定享有的索赔权利。</w:t>
      </w:r>
    </w:p>
    <w:p w14:paraId="60BCD01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22.2.4解除合同后的付款</w:t>
      </w:r>
    </w:p>
    <w:p w14:paraId="3FD5ED3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因发包人违约解除合同的，发包人应在解除合同后28天内向承包人支付下列金额，承包人应在此期限内及时向发包人提交要求支付下列金额的有关资料和凭证：</w:t>
      </w:r>
    </w:p>
    <w:p w14:paraId="335F375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(1)合同解除日以前所完成工作的价款；</w:t>
      </w:r>
    </w:p>
    <w:p w14:paraId="2EA55E3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(2)承包人为该工程施工订购并己付款的材料、工程设备和其他物品的金额。发包人付还后，该材料、工程设备和其他物品归发包人所有；</w:t>
      </w:r>
    </w:p>
    <w:p w14:paraId="4EB4CD1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(3)承包人为完成工程所发生的，而发包人未支付的金额；</w:t>
      </w:r>
    </w:p>
    <w:p w14:paraId="4BF87DA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(4)承包人撤离施工场地以及遣散承包人人员的金额；</w:t>
      </w:r>
    </w:p>
    <w:p w14:paraId="615347A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(5)由于解除合同应赔偿的承包人损失；</w:t>
      </w:r>
    </w:p>
    <w:p w14:paraId="5C33BB55">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(6)按合同约定在合同解除日前应支付给承包人的其他金额。</w:t>
      </w:r>
    </w:p>
    <w:p w14:paraId="6F83147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发包人应按本项约定支付上述金额并退还质量保证金和履约担保，但有权要求承包人支付应偿还给发包人的各项金额。</w:t>
      </w:r>
    </w:p>
    <w:p w14:paraId="5B757FCC">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22.2.5解除合同后的承包人撤离</w:t>
      </w:r>
    </w:p>
    <w:p w14:paraId="79A3AD38">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因发包人违约而解除合同后，承包人应妥善做好已竣工工程和己购材料、设备的保护和移交工作，按发包人要求将承包人设备和人员撤出施工场地。承包人撤出施工场地应遵守第18.7.1项的约定，发包人应为承包人撤出提供必要条件。</w:t>
      </w:r>
      <w:r>
        <w:rPr>
          <w:rStyle w:val="25"/>
          <w:rFonts w:ascii="宋体" w:hAnsi="宋体" w:eastAsia="宋体" w:cs="Times New Roman"/>
          <w:kern w:val="2"/>
          <w:sz w:val="21"/>
          <w:szCs w:val="21"/>
          <w:lang w:val="en-US" w:eastAsia="zh-CN" w:bidi="ar-SA"/>
        </w:rPr>
        <w:t xml:space="preserve">    </w:t>
      </w:r>
    </w:p>
    <w:p w14:paraId="5198957C">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2</w:t>
      </w:r>
      <w:r>
        <w:rPr>
          <w:rStyle w:val="25"/>
          <w:rFonts w:hint="eastAsia" w:ascii="宋体" w:hAnsi="宋体" w:eastAsia="宋体" w:cs="Times New Roman"/>
          <w:b/>
          <w:kern w:val="2"/>
          <w:sz w:val="24"/>
          <w:szCs w:val="24"/>
          <w:lang w:val="en-US" w:eastAsia="zh-CN" w:bidi="ar-SA"/>
        </w:rPr>
        <w:t>2</w:t>
      </w:r>
      <w:r>
        <w:rPr>
          <w:rStyle w:val="25"/>
          <w:rFonts w:ascii="宋体" w:hAnsi="宋体" w:eastAsia="宋体" w:cs="Times New Roman"/>
          <w:b/>
          <w:kern w:val="2"/>
          <w:sz w:val="24"/>
          <w:szCs w:val="24"/>
          <w:lang w:val="en-US" w:eastAsia="zh-CN" w:bidi="ar-SA"/>
        </w:rPr>
        <w:t>.3</w:t>
      </w:r>
      <w:r>
        <w:rPr>
          <w:rStyle w:val="25"/>
          <w:rFonts w:hint="eastAsia" w:ascii="宋体" w:hAnsi="宋体" w:eastAsia="宋体" w:cs="Times New Roman"/>
          <w:b/>
          <w:kern w:val="2"/>
          <w:sz w:val="24"/>
          <w:szCs w:val="24"/>
          <w:lang w:val="en-US" w:eastAsia="zh-CN" w:bidi="ar-SA"/>
        </w:rPr>
        <w:t>第三人造成的违约</w:t>
      </w:r>
    </w:p>
    <w:p w14:paraId="0949652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xml:space="preserve">在履行合同过程中，一方当事人因第三人的原因造成违约的，应当向对方当事人承担违约责任。一方当事人和第三人之间的纠纷，依照法律规定或者按照约定解决。    </w:t>
      </w:r>
    </w:p>
    <w:p w14:paraId="1580B75D">
      <w:pPr>
        <w:pStyle w:val="47"/>
        <w:rPr>
          <w:rStyle w:val="25"/>
          <w:kern w:val="2"/>
          <w:lang w:val="en-US" w:eastAsia="zh-CN" w:bidi="ar-SA"/>
        </w:rPr>
      </w:pPr>
      <w:r>
        <w:rPr>
          <w:rStyle w:val="25"/>
          <w:rFonts w:hint="eastAsia"/>
          <w:kern w:val="2"/>
          <w:lang w:val="en-US" w:eastAsia="zh-CN" w:bidi="ar-SA"/>
        </w:rPr>
        <w:t>23 索赔</w:t>
      </w:r>
    </w:p>
    <w:p w14:paraId="7089B519">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2</w:t>
      </w:r>
      <w:r>
        <w:rPr>
          <w:rStyle w:val="25"/>
          <w:rFonts w:hint="eastAsia" w:ascii="宋体" w:hAnsi="宋体" w:eastAsia="宋体" w:cs="Times New Roman"/>
          <w:b/>
          <w:kern w:val="2"/>
          <w:sz w:val="24"/>
          <w:szCs w:val="24"/>
          <w:lang w:val="en-US" w:eastAsia="zh-CN" w:bidi="ar-SA"/>
        </w:rPr>
        <w:t>3．</w:t>
      </w: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承包人索赔的提出</w:t>
      </w:r>
    </w:p>
    <w:p w14:paraId="506B71F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根据合同约定，承包人认为有权得到追加付款和(或)延长工期的，应按以下程序向发包人提出索赔：</w:t>
      </w:r>
    </w:p>
    <w:p w14:paraId="6A31BCB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28CFD8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(2)承包人应在发出索赔意向通知书后28天内，向监理人正式递交索赔通知书。索赔通知书应详细说明索赔理由以及要求追加的付款金额和(或)延长的工期，并附必要的记录和证明材料；</w:t>
      </w:r>
    </w:p>
    <w:p w14:paraId="05E1B43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(3)索赔事件具有连续影响的，承包人应按合理时间间隔继续递交延续索赔通知，说明连续影响的实际情况和记录，列出累计的追加付款金额和(或)工期延长天数；</w:t>
      </w:r>
    </w:p>
    <w:p w14:paraId="45FC78D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(4)在索赔事件影响结束后的28天内，承包人应向监理人递交最终索赔通知书，说明最终要求索赔的追加付款金额和延长的工期，并附必要的记录和证明材料。</w:t>
      </w:r>
    </w:p>
    <w:p w14:paraId="4A1ED0CE">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2</w:t>
      </w:r>
      <w:r>
        <w:rPr>
          <w:rStyle w:val="25"/>
          <w:rFonts w:hint="eastAsia" w:ascii="宋体" w:hAnsi="宋体" w:eastAsia="宋体" w:cs="Times New Roman"/>
          <w:b/>
          <w:kern w:val="2"/>
          <w:sz w:val="24"/>
          <w:szCs w:val="24"/>
          <w:lang w:val="en-US" w:eastAsia="zh-CN" w:bidi="ar-SA"/>
        </w:rPr>
        <w:t>3</w:t>
      </w:r>
      <w:r>
        <w:rPr>
          <w:rStyle w:val="25"/>
          <w:rFonts w:ascii="宋体" w:hAnsi="宋体" w:eastAsia="宋体" w:cs="Times New Roman"/>
          <w:b/>
          <w:kern w:val="2"/>
          <w:sz w:val="24"/>
          <w:szCs w:val="24"/>
          <w:lang w:val="en-US" w:eastAsia="zh-CN" w:bidi="ar-SA"/>
        </w:rPr>
        <w:t>.2</w:t>
      </w:r>
      <w:r>
        <w:rPr>
          <w:rStyle w:val="25"/>
          <w:rFonts w:hint="eastAsia" w:ascii="宋体" w:hAnsi="宋体" w:eastAsia="宋体" w:cs="Times New Roman"/>
          <w:b/>
          <w:kern w:val="2"/>
          <w:sz w:val="24"/>
          <w:szCs w:val="24"/>
          <w:lang w:val="en-US" w:eastAsia="zh-CN" w:bidi="ar-SA"/>
        </w:rPr>
        <w:t>承包人索赔处理程序</w:t>
      </w:r>
    </w:p>
    <w:p w14:paraId="477AF1DB">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(1)监理人收到承包人提交的索赔通知书后，应及时审查索赔通知书的内容、杳验承包人的记录和证明材料，必要时监理人可要求承包人提交全部原始记录副本。</w:t>
      </w:r>
    </w:p>
    <w:p w14:paraId="087B72AD">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(2)监理人应按第3.5款商定或确定追加的付款和(或)延长的工期，并在收到上述索赔通知书或有关索赔的进一步证明材料后的42天内，将索赔处理结果答复承包人。</w:t>
      </w:r>
    </w:p>
    <w:p w14:paraId="4A68DC49">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(3)承包人接受索赔处理结果的，发包人应在作出索赔处理结果答复后28天内完成赔付。承包人不接受索赔处理结果的，按第22条的约定办理。</w:t>
      </w:r>
    </w:p>
    <w:p w14:paraId="53D6A869">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2</w:t>
      </w:r>
      <w:r>
        <w:rPr>
          <w:rStyle w:val="25"/>
          <w:rFonts w:hint="eastAsia" w:ascii="宋体" w:hAnsi="宋体" w:eastAsia="宋体" w:cs="Times New Roman"/>
          <w:b/>
          <w:kern w:val="2"/>
          <w:sz w:val="24"/>
          <w:szCs w:val="24"/>
          <w:lang w:val="en-US" w:eastAsia="zh-CN" w:bidi="ar-SA"/>
        </w:rPr>
        <w:t>3</w:t>
      </w:r>
      <w:r>
        <w:rPr>
          <w:rStyle w:val="25"/>
          <w:rFonts w:ascii="宋体" w:hAnsi="宋体" w:eastAsia="宋体" w:cs="Times New Roman"/>
          <w:b/>
          <w:kern w:val="2"/>
          <w:sz w:val="24"/>
          <w:szCs w:val="24"/>
          <w:lang w:val="en-US" w:eastAsia="zh-CN" w:bidi="ar-SA"/>
        </w:rPr>
        <w:t>.3</w:t>
      </w:r>
      <w:r>
        <w:rPr>
          <w:rStyle w:val="25"/>
          <w:rFonts w:hint="eastAsia" w:ascii="宋体" w:hAnsi="宋体" w:eastAsia="宋体" w:cs="Times New Roman"/>
          <w:b/>
          <w:kern w:val="2"/>
          <w:sz w:val="24"/>
          <w:szCs w:val="24"/>
          <w:lang w:val="en-US" w:eastAsia="zh-CN" w:bidi="ar-SA"/>
        </w:rPr>
        <w:t>承包人提出索赔的期限</w:t>
      </w:r>
    </w:p>
    <w:p w14:paraId="49C9531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21.3.1承包人按第16.5款的约定接受了完工付款证书后，应被认为已无权再提出在合同工程完工证书颁发前所发生的任何索赔。</w:t>
      </w:r>
    </w:p>
    <w:p w14:paraId="6970A73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21.3.2承包人按第16.6款的约定提交的最终结清申请单中，只限于提出合同工程完工证书颁发后发生的索赔。提出索赔的期限自接受最终结清证书时终止。</w:t>
      </w:r>
    </w:p>
    <w:p w14:paraId="06A370B4">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2</w:t>
      </w:r>
      <w:r>
        <w:rPr>
          <w:rStyle w:val="25"/>
          <w:rFonts w:hint="eastAsia" w:ascii="宋体" w:hAnsi="宋体" w:eastAsia="宋体" w:cs="Times New Roman"/>
          <w:b/>
          <w:kern w:val="2"/>
          <w:sz w:val="24"/>
          <w:szCs w:val="24"/>
          <w:lang w:val="en-US" w:eastAsia="zh-CN" w:bidi="ar-SA"/>
        </w:rPr>
        <w:t>3</w:t>
      </w:r>
      <w:r>
        <w:rPr>
          <w:rStyle w:val="25"/>
          <w:rFonts w:ascii="宋体" w:hAnsi="宋体" w:eastAsia="宋体" w:cs="Times New Roman"/>
          <w:b/>
          <w:kern w:val="2"/>
          <w:sz w:val="24"/>
          <w:szCs w:val="24"/>
          <w:lang w:val="en-US" w:eastAsia="zh-CN" w:bidi="ar-SA"/>
        </w:rPr>
        <w:t>.4</w:t>
      </w:r>
      <w:r>
        <w:rPr>
          <w:rStyle w:val="25"/>
          <w:rFonts w:hint="eastAsia" w:ascii="宋体" w:hAnsi="宋体" w:eastAsia="宋体" w:cs="Times New Roman"/>
          <w:b/>
          <w:kern w:val="2"/>
          <w:sz w:val="24"/>
          <w:szCs w:val="24"/>
          <w:lang w:val="en-US" w:eastAsia="zh-CN" w:bidi="ar-SA"/>
        </w:rPr>
        <w:t>发包人的索赔</w:t>
      </w:r>
    </w:p>
    <w:p w14:paraId="558C9CA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23.4.1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14:paraId="5662E98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23.4.2监理人按第3.5款商定或确定发包人从承包人处得到赔付的金额和(或)缺陷责任期的延长期。承包人应付给发包人的金额可从拟支付给承包人的合同价款中扣除，或由承包人以其他方式支付给发包人。</w:t>
      </w:r>
    </w:p>
    <w:p w14:paraId="109800A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23.4.3承包人对监理人按第21.4.1项发出的索赔书面通知内容持异议时，应在收到书面通知后的14天内，将持有异议的书面报告及其证明材料提交监理人。监理人应在收到承包人书面报告后的14天内，将异议的处理意见通知承包人，并按第21.4.2项的约定执行赔付。若承包人不接受监理人的索赔处理意见，可按本合同第22条的规定办理。</w:t>
      </w:r>
    </w:p>
    <w:p w14:paraId="2162A6F7">
      <w:pPr>
        <w:pStyle w:val="47"/>
        <w:rPr>
          <w:rStyle w:val="25"/>
          <w:kern w:val="2"/>
          <w:lang w:val="en-US" w:eastAsia="zh-CN" w:bidi="ar-SA"/>
        </w:rPr>
      </w:pPr>
      <w:r>
        <w:rPr>
          <w:rStyle w:val="25"/>
          <w:rFonts w:hint="eastAsia"/>
          <w:kern w:val="2"/>
          <w:lang w:val="en-US" w:eastAsia="zh-CN" w:bidi="ar-SA"/>
        </w:rPr>
        <w:t>24 争议的解决</w:t>
      </w:r>
    </w:p>
    <w:p w14:paraId="237D9BE2">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2</w:t>
      </w:r>
      <w:r>
        <w:rPr>
          <w:rStyle w:val="25"/>
          <w:rFonts w:hint="eastAsia" w:ascii="宋体" w:hAnsi="宋体" w:eastAsia="宋体" w:cs="Times New Roman"/>
          <w:b/>
          <w:kern w:val="2"/>
          <w:sz w:val="24"/>
          <w:szCs w:val="24"/>
          <w:lang w:val="en-US" w:eastAsia="zh-CN" w:bidi="ar-SA"/>
        </w:rPr>
        <w:t>4</w:t>
      </w:r>
      <w:r>
        <w:rPr>
          <w:rStyle w:val="25"/>
          <w:rFonts w:ascii="宋体" w:hAnsi="宋体" w:eastAsia="宋体" w:cs="Times New Roman"/>
          <w:b/>
          <w:kern w:val="2"/>
          <w:sz w:val="24"/>
          <w:szCs w:val="24"/>
          <w:lang w:val="en-US" w:eastAsia="zh-CN" w:bidi="ar-SA"/>
        </w:rPr>
        <w:t>.1</w:t>
      </w:r>
      <w:r>
        <w:rPr>
          <w:rStyle w:val="25"/>
          <w:rFonts w:hint="eastAsia" w:ascii="宋体" w:hAnsi="宋体" w:eastAsia="宋体" w:cs="Times New Roman"/>
          <w:b/>
          <w:kern w:val="2"/>
          <w:sz w:val="24"/>
          <w:szCs w:val="24"/>
          <w:lang w:val="en-US" w:eastAsia="zh-CN" w:bidi="ar-SA"/>
        </w:rPr>
        <w:t>争议的解决方式</w:t>
      </w:r>
    </w:p>
    <w:p w14:paraId="5DD336C6">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6A0C8BE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(1)向约定的仲裁委员会申请仲裁；</w:t>
      </w:r>
    </w:p>
    <w:p w14:paraId="0D4109EA">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(2)向有管辖权的人民法院提起诉讼。</w:t>
      </w:r>
    </w:p>
    <w:p w14:paraId="09F626C9">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ascii="宋体" w:hAnsi="宋体" w:eastAsia="宋体" w:cs="Times New Roman"/>
          <w:b/>
          <w:kern w:val="2"/>
          <w:sz w:val="24"/>
          <w:szCs w:val="24"/>
          <w:lang w:val="en-US" w:eastAsia="zh-CN" w:bidi="ar-SA"/>
        </w:rPr>
        <w:t>2</w:t>
      </w:r>
      <w:r>
        <w:rPr>
          <w:rStyle w:val="25"/>
          <w:rFonts w:hint="eastAsia" w:ascii="宋体" w:hAnsi="宋体" w:eastAsia="宋体" w:cs="Times New Roman"/>
          <w:b/>
          <w:kern w:val="2"/>
          <w:sz w:val="24"/>
          <w:szCs w:val="24"/>
          <w:lang w:val="en-US" w:eastAsia="zh-CN" w:bidi="ar-SA"/>
        </w:rPr>
        <w:t>4</w:t>
      </w:r>
      <w:r>
        <w:rPr>
          <w:rStyle w:val="25"/>
          <w:rFonts w:ascii="宋体" w:hAnsi="宋体" w:eastAsia="宋体" w:cs="Times New Roman"/>
          <w:b/>
          <w:kern w:val="2"/>
          <w:sz w:val="24"/>
          <w:szCs w:val="24"/>
          <w:lang w:val="en-US" w:eastAsia="zh-CN" w:bidi="ar-SA"/>
        </w:rPr>
        <w:t>.2</w:t>
      </w:r>
      <w:r>
        <w:rPr>
          <w:rStyle w:val="25"/>
          <w:rFonts w:hint="eastAsia" w:ascii="宋体" w:hAnsi="宋体" w:eastAsia="宋体" w:cs="Times New Roman"/>
          <w:b/>
          <w:kern w:val="2"/>
          <w:sz w:val="24"/>
          <w:szCs w:val="24"/>
          <w:lang w:val="en-US" w:eastAsia="zh-CN" w:bidi="ar-SA"/>
        </w:rPr>
        <w:t>友好解决</w:t>
      </w:r>
    </w:p>
    <w:p w14:paraId="0B879353">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在提请争议评审、仲裁或者诉讼前，以及在争议评审、仲裁或诉讼过程中，发包人和承包人均可共同努力友好协商解决争议。</w:t>
      </w:r>
    </w:p>
    <w:p w14:paraId="67D32E63">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r>
        <w:rPr>
          <w:rStyle w:val="25"/>
          <w:rFonts w:hint="eastAsia" w:ascii="宋体" w:hAnsi="宋体" w:eastAsia="宋体" w:cs="Times New Roman"/>
          <w:b/>
          <w:kern w:val="2"/>
          <w:sz w:val="24"/>
          <w:szCs w:val="24"/>
          <w:lang w:val="en-US" w:eastAsia="zh-CN" w:bidi="ar-SA"/>
        </w:rPr>
        <w:t>24.3 争议评审</w:t>
      </w:r>
    </w:p>
    <w:p w14:paraId="5D06133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24.3.1 采用争议评审的，发包人和承包人应在开工日后的28天内或在争议发生后，协商成立争议评审组。争议评审组由有合同管理和工程实践经验的专家组成。</w:t>
      </w:r>
    </w:p>
    <w:p w14:paraId="4547693E">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24.3.2 合同双方的争议，应首先由申请人向争议评审组提交一份详细的评审申请报告，并附必要的文件、图纸和证明材料，申请人还应将上述报告的副本同时提交给被申请人和监理人。</w:t>
      </w:r>
    </w:p>
    <w:p w14:paraId="5DDA459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24.3.3 被申请人在收到申请人评审申请报告副本后的28 天内，向争议评审组提交一份答辩报告，并附证明材料。被申请人应将答辩报告的副本同时提交给申请人和监理人。</w:t>
      </w:r>
    </w:p>
    <w:p w14:paraId="6CE4EF30">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24.3.4 除专用合同条款另有约定外，争议评审组在收到合同双方报告后的14天内，邀请双方代表和有关人员举行调查会，向双方调查争议细节；必要时争议评审组可要求双方进一步提供补充材料。</w:t>
      </w:r>
    </w:p>
    <w:p w14:paraId="714C693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4E09BF6F">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24.3.6 发包人和承包人接受评审意见的，由监理人根据评审意见拟定执行协议，经争议双方签字后作为合同的补充文件，并遵照执行。</w:t>
      </w:r>
    </w:p>
    <w:p w14:paraId="77DCE997">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24.3.7 发包人或承包人不接受评审意见，并要求提交仲裁或提起诉讼的，应在收到评审意见后的14 天内将仲裁或起诉意向书面通知另一方，并抄送监理人，但在仲裁或诉讼结束前应暂按总监理工程师的确定执行。</w:t>
      </w:r>
    </w:p>
    <w:p w14:paraId="779AAAE7">
      <w:pPr>
        <w:pStyle w:val="46"/>
        <w:tabs>
          <w:tab w:val="left" w:pos="8280"/>
        </w:tabs>
        <w:spacing w:line="360" w:lineRule="auto"/>
        <w:rPr>
          <w:rStyle w:val="25"/>
          <w:rFonts w:hint="eastAsia" w:ascii="宋体" w:hAnsi="宋体" w:eastAsia="宋体" w:cs="Times New Roman"/>
          <w:b/>
          <w:kern w:val="2"/>
          <w:sz w:val="24"/>
          <w:szCs w:val="24"/>
          <w:lang w:val="en-US" w:eastAsia="zh-CN" w:bidi="ar-SA"/>
        </w:rPr>
      </w:pPr>
    </w:p>
    <w:p w14:paraId="10EC0295">
      <w:pPr>
        <w:pStyle w:val="46"/>
        <w:tabs>
          <w:tab w:val="left" w:pos="8280"/>
        </w:tabs>
        <w:spacing w:line="360" w:lineRule="auto"/>
        <w:rPr>
          <w:rStyle w:val="25"/>
          <w:rFonts w:ascii="宋体" w:hAnsi="宋体" w:eastAsia="宋体" w:cs="Times New Roman"/>
          <w:b/>
          <w:kern w:val="2"/>
          <w:sz w:val="24"/>
          <w:szCs w:val="24"/>
          <w:lang w:val="en-US" w:eastAsia="zh-CN" w:bidi="ar-SA"/>
        </w:rPr>
      </w:pPr>
      <w:r>
        <w:rPr>
          <w:rStyle w:val="25"/>
          <w:rFonts w:hint="eastAsia" w:ascii="宋体" w:hAnsi="宋体" w:eastAsia="宋体" w:cs="Times New Roman"/>
          <w:b/>
          <w:kern w:val="2"/>
          <w:sz w:val="24"/>
          <w:szCs w:val="24"/>
          <w:lang w:val="en-US" w:eastAsia="zh-CN" w:bidi="ar-SA"/>
        </w:rPr>
        <w:t>24.4 仲裁</w:t>
      </w:r>
      <w:r>
        <w:rPr>
          <w:rStyle w:val="25"/>
          <w:rFonts w:ascii="宋体" w:hAnsi="宋体" w:eastAsia="宋体" w:cs="Times New Roman"/>
          <w:b/>
          <w:kern w:val="2"/>
          <w:sz w:val="24"/>
          <w:szCs w:val="24"/>
          <w:lang w:val="en-US" w:eastAsia="zh-CN" w:bidi="ar-SA"/>
        </w:rPr>
        <w:t xml:space="preserve">   </w:t>
      </w:r>
    </w:p>
    <w:p w14:paraId="4B72FEF4">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22.4.1若合同双方商定直接向仲裁机构申请仲裁，应签订仲裁协议并约定仲裁机构。</w:t>
      </w:r>
    </w:p>
    <w:p w14:paraId="318D5791">
      <w:pPr>
        <w:pStyle w:val="46"/>
        <w:keepNext w:val="0"/>
        <w:keepLines w:val="0"/>
        <w:pageBreakBefore w:val="0"/>
        <w:widowControl w:val="0"/>
        <w:tabs>
          <w:tab w:val="left" w:pos="8280"/>
        </w:tabs>
        <w:kinsoku/>
        <w:wordWrap/>
        <w:overflowPunct/>
        <w:topLinePunct w:val="0"/>
        <w:autoSpaceDE/>
        <w:autoSpaceDN/>
        <w:bidi w:val="0"/>
        <w:adjustRightInd w:val="0"/>
        <w:snapToGrid w:val="0"/>
        <w:spacing w:line="400" w:lineRule="exact"/>
        <w:ind w:firstLine="420" w:firstLineChars="200"/>
        <w:textAlignment w:val="auto"/>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22.4.2若合同双方未能达成仲裁协议，则本合同的仲裁条款无效，任一方均有权向人民法院提起诉讼。</w:t>
      </w:r>
    </w:p>
    <w:p w14:paraId="67ACD046">
      <w:pPr>
        <w:pStyle w:val="45"/>
        <w:jc w:val="center"/>
        <w:rPr>
          <w:rStyle w:val="25"/>
          <w:kern w:val="2"/>
          <w:lang w:val="en-US" w:eastAsia="zh-CN" w:bidi="ar-SA"/>
        </w:rPr>
      </w:pPr>
      <w:bookmarkStart w:id="209" w:name="_Toc256000023"/>
      <w:r>
        <w:rPr>
          <w:rStyle w:val="25"/>
          <w:kern w:val="2"/>
          <w:lang w:val="en-US" w:eastAsia="zh-CN" w:bidi="ar-SA"/>
        </w:rPr>
        <w:t>第</w:t>
      </w:r>
      <w:r>
        <w:rPr>
          <w:rStyle w:val="25"/>
          <w:rFonts w:hint="eastAsia"/>
          <w:kern w:val="2"/>
          <w:lang w:val="en-US" w:eastAsia="zh-CN" w:bidi="ar-SA"/>
        </w:rPr>
        <w:t>二</w:t>
      </w:r>
      <w:r>
        <w:rPr>
          <w:rStyle w:val="25"/>
          <w:kern w:val="2"/>
          <w:lang w:val="en-US" w:eastAsia="zh-CN" w:bidi="ar-SA"/>
        </w:rPr>
        <w:t>节　专用合同条款</w:t>
      </w:r>
      <w:bookmarkEnd w:id="209"/>
    </w:p>
    <w:p w14:paraId="5C068792">
      <w:pPr>
        <w:pStyle w:val="47"/>
        <w:rPr>
          <w:rStyle w:val="25"/>
          <w:kern w:val="2"/>
          <w:lang w:val="en-US" w:eastAsia="zh-CN" w:bidi="ar-SA"/>
        </w:rPr>
      </w:pPr>
      <w:r>
        <w:rPr>
          <w:rStyle w:val="25"/>
          <w:rFonts w:hint="eastAsia"/>
          <w:kern w:val="2"/>
          <w:lang w:val="en-US" w:eastAsia="zh-CN" w:bidi="ar-SA"/>
        </w:rPr>
        <w:t>1　一般约定</w:t>
      </w:r>
    </w:p>
    <w:p w14:paraId="5BB64FCD">
      <w:pPr>
        <w:pStyle w:val="46"/>
        <w:tabs>
          <w:tab w:val="left" w:pos="8280"/>
        </w:tabs>
        <w:spacing w:line="360" w:lineRule="auto"/>
        <w:ind w:firstLine="315" w:firstLineChars="150"/>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4"/>
          <w:lang w:val="en-US" w:eastAsia="zh-CN" w:bidi="ar-SA"/>
        </w:rPr>
        <w:t>　</w:t>
      </w:r>
      <w:r>
        <w:rPr>
          <w:rStyle w:val="25"/>
          <w:rFonts w:hint="eastAsia" w:ascii="宋体" w:hAnsi="宋体" w:eastAsia="宋体" w:cs="Times New Roman"/>
          <w:kern w:val="2"/>
          <w:sz w:val="21"/>
          <w:szCs w:val="21"/>
          <w:lang w:val="en-US" w:eastAsia="zh-CN" w:bidi="ar-SA"/>
        </w:rPr>
        <w:t>1.1　词语定义</w:t>
      </w:r>
    </w:p>
    <w:p w14:paraId="0566DDB3">
      <w:pPr>
        <w:pStyle w:val="46"/>
        <w:tabs>
          <w:tab w:val="left" w:pos="8280"/>
        </w:tabs>
        <w:spacing w:line="360" w:lineRule="auto"/>
        <w:ind w:firstLine="315" w:firstLineChars="150"/>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1.1.2　合同当事人和人员</w:t>
      </w:r>
    </w:p>
    <w:p w14:paraId="0B1BBEF8">
      <w:pPr>
        <w:pStyle w:val="46"/>
        <w:tabs>
          <w:tab w:val="left" w:pos="8280"/>
        </w:tabs>
        <w:spacing w:line="360" w:lineRule="auto"/>
        <w:ind w:firstLine="315" w:firstLineChars="150"/>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1.1.2.2　发包人：　　　(填入发包人的名称)。</w:t>
      </w:r>
    </w:p>
    <w:p w14:paraId="28A781DE">
      <w:pPr>
        <w:pStyle w:val="46"/>
        <w:tabs>
          <w:tab w:val="left" w:pos="8280"/>
        </w:tabs>
        <w:spacing w:line="360" w:lineRule="auto"/>
        <w:ind w:firstLine="315" w:firstLineChars="150"/>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　　1.1.2.3　承包人：　　　(签约后填入承包人的名称)。</w:t>
      </w:r>
    </w:p>
    <w:p w14:paraId="4C8A5A98">
      <w:pPr>
        <w:pStyle w:val="46"/>
        <w:tabs>
          <w:tab w:val="left" w:pos="8280"/>
        </w:tabs>
        <w:spacing w:line="360" w:lineRule="auto"/>
        <w:ind w:firstLine="315" w:firstLineChars="150"/>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1"/>
          <w:lang w:val="en-US" w:eastAsia="zh-CN" w:bidi="ar-SA"/>
        </w:rPr>
        <w:t>　　1.</w:t>
      </w:r>
      <w:r>
        <w:rPr>
          <w:rStyle w:val="25"/>
          <w:rFonts w:hint="eastAsia" w:ascii="宋体" w:hAnsi="宋体" w:eastAsia="宋体" w:cs="Times New Roman"/>
          <w:kern w:val="2"/>
          <w:sz w:val="21"/>
          <w:szCs w:val="24"/>
          <w:lang w:val="en-US" w:eastAsia="zh-CN" w:bidi="ar-SA"/>
        </w:rPr>
        <w:t>1.2.5　分包人：</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(签约后填入分包人的名称)。</w:t>
      </w:r>
    </w:p>
    <w:p w14:paraId="6913A0F7">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1.1.2.6　监理人：</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(填入监理人名称)。</w:t>
      </w:r>
    </w:p>
    <w:p w14:paraId="660D2CAF">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1.1.4　日期</w:t>
      </w:r>
    </w:p>
    <w:p w14:paraId="048DE592">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1.1.4.5　缺陷责任期(工程质量保修期)：</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0DDDC8C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1.4　合同文件的优先顺序</w:t>
      </w:r>
    </w:p>
    <w:p w14:paraId="26978878">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进入合同文件的各项文件及其优先顺序是</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4CEC6B24">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1.7　联络</w:t>
      </w:r>
    </w:p>
    <w:p w14:paraId="4CABC6C4">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1.7.2　来往函件均应按技术标准和要求(合同技术条款)约定的期限送达</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(填写文件送达地点)。</w:t>
      </w:r>
    </w:p>
    <w:p w14:paraId="3F194077">
      <w:pPr>
        <w:pStyle w:val="47"/>
        <w:rPr>
          <w:rStyle w:val="25"/>
          <w:kern w:val="2"/>
          <w:lang w:val="en-US" w:eastAsia="zh-CN" w:bidi="ar-SA"/>
        </w:rPr>
      </w:pPr>
      <w:r>
        <w:rPr>
          <w:rStyle w:val="25"/>
          <w:rFonts w:hint="eastAsia"/>
          <w:kern w:val="2"/>
          <w:lang w:val="en-US" w:eastAsia="zh-CN" w:bidi="ar-SA"/>
        </w:rPr>
        <w:t>2　发包人义务</w:t>
      </w:r>
    </w:p>
    <w:p w14:paraId="635B1A94">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2.3　提供施工场地</w:t>
      </w:r>
    </w:p>
    <w:p w14:paraId="2EFD67C2">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2.3.2　发包人提供的施工场地范围为：</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18527107">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2.3.3　承包人自行勘察的施工场地范围为：</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0009D295">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2.8　其它义务</w:t>
      </w:r>
    </w:p>
    <w:p w14:paraId="70273B3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(根据发包人的合同管理要求补充)</w:t>
      </w:r>
    </w:p>
    <w:p w14:paraId="25C31E11">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w:t>
      </w:r>
    </w:p>
    <w:p w14:paraId="7C0DFBEF">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w:t>
      </w:r>
    </w:p>
    <w:p w14:paraId="2F284336">
      <w:pPr>
        <w:pStyle w:val="47"/>
        <w:rPr>
          <w:rStyle w:val="25"/>
          <w:kern w:val="2"/>
          <w:lang w:val="en-US" w:eastAsia="zh-CN" w:bidi="ar-SA"/>
        </w:rPr>
      </w:pPr>
      <w:r>
        <w:rPr>
          <w:rStyle w:val="25"/>
          <w:rFonts w:hint="eastAsia"/>
          <w:kern w:val="2"/>
          <w:lang w:val="en-US" w:eastAsia="zh-CN" w:bidi="ar-SA"/>
        </w:rPr>
        <w:t>3　监理人</w:t>
      </w:r>
    </w:p>
    <w:p w14:paraId="47EF946F">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3.1　监理人的职责和权力</w:t>
      </w:r>
    </w:p>
    <w:p w14:paraId="7B12C5F5">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3.1.1　监理人须根据发包人事先批准的权力范围行使权力，发包人批准的权力范围：(填写监理人须经发包人批准才能行使的权力，以下示例供参考)</w:t>
      </w:r>
    </w:p>
    <w:p w14:paraId="4C2F346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(1)按第4.3款约定，批准工程的分包；</w:t>
      </w:r>
    </w:p>
    <w:p w14:paraId="44045ED3">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(2)按第11.3款约定，确定延长完工期限；</w:t>
      </w:r>
    </w:p>
    <w:p w14:paraId="3436E4C1">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(3)按第15.6款约定，批准暂列金额的使用；</w:t>
      </w:r>
    </w:p>
    <w:p w14:paraId="411D9660">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(4)……</w:t>
      </w:r>
    </w:p>
    <w:p w14:paraId="6DF16673">
      <w:pPr>
        <w:pStyle w:val="47"/>
        <w:rPr>
          <w:rStyle w:val="25"/>
          <w:kern w:val="2"/>
          <w:lang w:val="en-US" w:eastAsia="zh-CN" w:bidi="ar-SA"/>
        </w:rPr>
      </w:pPr>
      <w:r>
        <w:rPr>
          <w:rStyle w:val="25"/>
          <w:rFonts w:hint="eastAsia"/>
          <w:kern w:val="2"/>
          <w:lang w:val="en-US" w:eastAsia="zh-CN" w:bidi="ar-SA"/>
        </w:rPr>
        <w:t>4　承包人</w:t>
      </w:r>
    </w:p>
    <w:p w14:paraId="00D9B928">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4.1　承包人的一般义务</w:t>
      </w:r>
    </w:p>
    <w:p w14:paraId="2DCD871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4.1.10　其它义务</w:t>
      </w:r>
    </w:p>
    <w:p w14:paraId="75C11BF9">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w:t>
      </w:r>
    </w:p>
    <w:p w14:paraId="36B56744">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w:t>
      </w:r>
    </w:p>
    <w:p w14:paraId="339C4FB2">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4.3　分包</w:t>
      </w:r>
    </w:p>
    <w:p w14:paraId="49A46C3C">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4.3.2　允许承包人分包的工程项目、工作内容与分包金额限额为：</w:t>
      </w:r>
    </w:p>
    <w:p w14:paraId="4BA55769">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(1)工程项目：</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63E18983">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(2)工作内容：</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6F247D38">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(3)分包金额限额：</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133CF6B4">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4.3.10　分包人项目管理机构的设立：</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7FF7BF59">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4.11　不利物质条件</w:t>
      </w:r>
    </w:p>
    <w:p w14:paraId="5EC3A543">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4.11.1　不利物质条件的范围：</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440FBC92">
      <w:pPr>
        <w:pStyle w:val="47"/>
        <w:rPr>
          <w:rStyle w:val="25"/>
          <w:kern w:val="2"/>
          <w:lang w:val="en-US" w:eastAsia="zh-CN" w:bidi="ar-SA"/>
        </w:rPr>
      </w:pPr>
      <w:r>
        <w:rPr>
          <w:rStyle w:val="25"/>
          <w:rFonts w:hint="eastAsia"/>
          <w:kern w:val="2"/>
          <w:lang w:val="en-US" w:eastAsia="zh-CN" w:bidi="ar-SA"/>
        </w:rPr>
        <w:t>5　材料和工程设备</w:t>
      </w:r>
    </w:p>
    <w:p w14:paraId="0642A48E">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5.2　发包人提供的材料和工程设备</w:t>
      </w:r>
    </w:p>
    <w:p w14:paraId="5CAA4287">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5.2.1　发包人提供的材料和工程设备见下表：</w:t>
      </w:r>
    </w:p>
    <w:p w14:paraId="740E4AEB">
      <w:pPr>
        <w:pStyle w:val="46"/>
        <w:spacing w:line="360" w:lineRule="auto"/>
        <w:jc w:val="center"/>
        <w:rPr>
          <w:rStyle w:val="25"/>
          <w:rFonts w:hint="eastAsia" w:ascii="宋体" w:hAnsi="宋体" w:eastAsia="宋体" w:cs="Times New Roman"/>
          <w:b/>
          <w:kern w:val="2"/>
          <w:sz w:val="21"/>
          <w:szCs w:val="24"/>
          <w:lang w:val="en-US" w:eastAsia="zh-CN" w:bidi="ar-SA"/>
        </w:rPr>
      </w:pPr>
    </w:p>
    <w:p w14:paraId="25348483">
      <w:pPr>
        <w:pStyle w:val="46"/>
        <w:spacing w:line="360" w:lineRule="auto"/>
        <w:jc w:val="center"/>
        <w:rPr>
          <w:rStyle w:val="25"/>
          <w:rFonts w:ascii="宋体" w:hAnsi="宋体" w:eastAsia="宋体" w:cs="Times New Roman"/>
          <w:b/>
          <w:kern w:val="2"/>
          <w:sz w:val="21"/>
          <w:szCs w:val="24"/>
          <w:lang w:val="en-US" w:eastAsia="zh-CN" w:bidi="ar-SA"/>
        </w:rPr>
      </w:pPr>
      <w:r>
        <w:rPr>
          <w:rStyle w:val="25"/>
          <w:rFonts w:hint="eastAsia" w:ascii="宋体" w:hAnsi="宋体" w:eastAsia="宋体" w:cs="Times New Roman"/>
          <w:b/>
          <w:kern w:val="2"/>
          <w:sz w:val="21"/>
          <w:szCs w:val="24"/>
          <w:lang w:val="en-US" w:eastAsia="zh-CN" w:bidi="ar-SA"/>
        </w:rPr>
        <w:t>发包人提供的材料表(参考格式)</w:t>
      </w:r>
    </w:p>
    <w:tbl>
      <w:tblPr>
        <w:tblStyle w:val="2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418"/>
        <w:gridCol w:w="1417"/>
        <w:gridCol w:w="709"/>
        <w:gridCol w:w="1417"/>
        <w:gridCol w:w="1134"/>
        <w:gridCol w:w="1560"/>
        <w:gridCol w:w="708"/>
      </w:tblGrid>
      <w:tr w14:paraId="34111F0A">
        <w:tblPrEx>
          <w:tblCellMar>
            <w:top w:w="0" w:type="dxa"/>
            <w:left w:w="108" w:type="dxa"/>
            <w:bottom w:w="0" w:type="dxa"/>
            <w:right w:w="108" w:type="dxa"/>
          </w:tblCellMar>
        </w:tblPrEx>
        <w:tc>
          <w:tcPr>
            <w:tcW w:w="709" w:type="dxa"/>
            <w:noWrap w:val="0"/>
            <w:vAlign w:val="center"/>
          </w:tcPr>
          <w:p w14:paraId="6E9693F0">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序号</w:t>
            </w:r>
          </w:p>
        </w:tc>
        <w:tc>
          <w:tcPr>
            <w:tcW w:w="1418" w:type="dxa"/>
            <w:noWrap w:val="0"/>
            <w:vAlign w:val="center"/>
          </w:tcPr>
          <w:p w14:paraId="3AFCD930">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材料名称</w:t>
            </w:r>
          </w:p>
        </w:tc>
        <w:tc>
          <w:tcPr>
            <w:tcW w:w="1417" w:type="dxa"/>
            <w:noWrap w:val="0"/>
            <w:vAlign w:val="center"/>
          </w:tcPr>
          <w:p w14:paraId="0B77E9FB">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材料规格</w:t>
            </w:r>
          </w:p>
        </w:tc>
        <w:tc>
          <w:tcPr>
            <w:tcW w:w="709" w:type="dxa"/>
            <w:noWrap w:val="0"/>
            <w:vAlign w:val="center"/>
          </w:tcPr>
          <w:p w14:paraId="44F53CA0">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数量</w:t>
            </w:r>
          </w:p>
        </w:tc>
        <w:tc>
          <w:tcPr>
            <w:tcW w:w="1417" w:type="dxa"/>
            <w:noWrap w:val="0"/>
            <w:vAlign w:val="center"/>
          </w:tcPr>
          <w:p w14:paraId="377EC503">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交货地点</w:t>
            </w:r>
          </w:p>
        </w:tc>
        <w:tc>
          <w:tcPr>
            <w:tcW w:w="1134" w:type="dxa"/>
            <w:noWrap w:val="0"/>
            <w:vAlign w:val="center"/>
          </w:tcPr>
          <w:p w14:paraId="5F381367">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交货方式</w:t>
            </w:r>
          </w:p>
        </w:tc>
        <w:tc>
          <w:tcPr>
            <w:tcW w:w="1560" w:type="dxa"/>
            <w:noWrap w:val="0"/>
            <w:vAlign w:val="center"/>
          </w:tcPr>
          <w:p w14:paraId="5210B366">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计划交货日期</w:t>
            </w:r>
          </w:p>
        </w:tc>
        <w:tc>
          <w:tcPr>
            <w:tcW w:w="708" w:type="dxa"/>
            <w:noWrap w:val="0"/>
            <w:vAlign w:val="center"/>
          </w:tcPr>
          <w:p w14:paraId="21AC9C95">
            <w:pPr>
              <w:pStyle w:val="46"/>
              <w:spacing w:line="360" w:lineRule="auto"/>
              <w:jc w:val="center"/>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备注</w:t>
            </w:r>
          </w:p>
        </w:tc>
      </w:tr>
      <w:tr w14:paraId="07031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1C642E3F">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418" w:type="dxa"/>
            <w:noWrap w:val="0"/>
            <w:vAlign w:val="center"/>
          </w:tcPr>
          <w:p w14:paraId="188157E3">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417" w:type="dxa"/>
            <w:noWrap w:val="0"/>
            <w:vAlign w:val="center"/>
          </w:tcPr>
          <w:p w14:paraId="25AEF637">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709" w:type="dxa"/>
            <w:noWrap w:val="0"/>
            <w:vAlign w:val="center"/>
          </w:tcPr>
          <w:p w14:paraId="06F20E99">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417" w:type="dxa"/>
            <w:noWrap w:val="0"/>
            <w:vAlign w:val="center"/>
          </w:tcPr>
          <w:p w14:paraId="04008E27">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134" w:type="dxa"/>
            <w:noWrap w:val="0"/>
            <w:vAlign w:val="center"/>
          </w:tcPr>
          <w:p w14:paraId="77FE5418">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560" w:type="dxa"/>
            <w:noWrap w:val="0"/>
            <w:vAlign w:val="center"/>
          </w:tcPr>
          <w:p w14:paraId="6430FAD6">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708" w:type="dxa"/>
            <w:noWrap w:val="0"/>
            <w:vAlign w:val="center"/>
          </w:tcPr>
          <w:p w14:paraId="3AE8D303">
            <w:pPr>
              <w:pStyle w:val="46"/>
              <w:spacing w:line="360" w:lineRule="auto"/>
              <w:jc w:val="center"/>
              <w:rPr>
                <w:rStyle w:val="25"/>
                <w:rFonts w:hint="eastAsia" w:ascii="宋体" w:hAnsi="宋体" w:eastAsia="宋体" w:cs="Times New Roman"/>
                <w:kern w:val="2"/>
                <w:sz w:val="21"/>
                <w:szCs w:val="24"/>
                <w:lang w:val="en-US" w:eastAsia="zh-CN" w:bidi="ar-SA"/>
              </w:rPr>
            </w:pPr>
          </w:p>
        </w:tc>
      </w:tr>
      <w:tr w14:paraId="59B6B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4758C06A">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418" w:type="dxa"/>
            <w:noWrap w:val="0"/>
            <w:vAlign w:val="center"/>
          </w:tcPr>
          <w:p w14:paraId="1CF4D2E9">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417" w:type="dxa"/>
            <w:noWrap w:val="0"/>
            <w:vAlign w:val="center"/>
          </w:tcPr>
          <w:p w14:paraId="31B720B9">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709" w:type="dxa"/>
            <w:noWrap w:val="0"/>
            <w:vAlign w:val="center"/>
          </w:tcPr>
          <w:p w14:paraId="428133FB">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417" w:type="dxa"/>
            <w:noWrap w:val="0"/>
            <w:vAlign w:val="center"/>
          </w:tcPr>
          <w:p w14:paraId="1FA47596">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134" w:type="dxa"/>
            <w:noWrap w:val="0"/>
            <w:vAlign w:val="center"/>
          </w:tcPr>
          <w:p w14:paraId="42BCBC86">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560" w:type="dxa"/>
            <w:noWrap w:val="0"/>
            <w:vAlign w:val="center"/>
          </w:tcPr>
          <w:p w14:paraId="0B9810B9">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708" w:type="dxa"/>
            <w:noWrap w:val="0"/>
            <w:vAlign w:val="center"/>
          </w:tcPr>
          <w:p w14:paraId="360EB0EB">
            <w:pPr>
              <w:pStyle w:val="46"/>
              <w:spacing w:line="360" w:lineRule="auto"/>
              <w:jc w:val="center"/>
              <w:rPr>
                <w:rStyle w:val="25"/>
                <w:rFonts w:hint="eastAsia" w:ascii="宋体" w:hAnsi="宋体" w:eastAsia="宋体" w:cs="Times New Roman"/>
                <w:kern w:val="2"/>
                <w:sz w:val="21"/>
                <w:szCs w:val="24"/>
                <w:lang w:val="en-US" w:eastAsia="zh-CN" w:bidi="ar-SA"/>
              </w:rPr>
            </w:pPr>
          </w:p>
        </w:tc>
      </w:tr>
      <w:tr w14:paraId="074E5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295C69DA">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418" w:type="dxa"/>
            <w:noWrap w:val="0"/>
            <w:vAlign w:val="center"/>
          </w:tcPr>
          <w:p w14:paraId="1C1B8374">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417" w:type="dxa"/>
            <w:noWrap w:val="0"/>
            <w:vAlign w:val="center"/>
          </w:tcPr>
          <w:p w14:paraId="0F521778">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709" w:type="dxa"/>
            <w:noWrap w:val="0"/>
            <w:vAlign w:val="center"/>
          </w:tcPr>
          <w:p w14:paraId="24A9BEDE">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417" w:type="dxa"/>
            <w:noWrap w:val="0"/>
            <w:vAlign w:val="center"/>
          </w:tcPr>
          <w:p w14:paraId="6DDD251E">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134" w:type="dxa"/>
            <w:noWrap w:val="0"/>
            <w:vAlign w:val="center"/>
          </w:tcPr>
          <w:p w14:paraId="335FE9C0">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560" w:type="dxa"/>
            <w:noWrap w:val="0"/>
            <w:vAlign w:val="center"/>
          </w:tcPr>
          <w:p w14:paraId="45D7CD5C">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708" w:type="dxa"/>
            <w:noWrap w:val="0"/>
            <w:vAlign w:val="center"/>
          </w:tcPr>
          <w:p w14:paraId="59A31EF8">
            <w:pPr>
              <w:pStyle w:val="46"/>
              <w:spacing w:line="360" w:lineRule="auto"/>
              <w:jc w:val="center"/>
              <w:rPr>
                <w:rStyle w:val="25"/>
                <w:rFonts w:hint="eastAsia" w:ascii="宋体" w:hAnsi="宋体" w:eastAsia="宋体" w:cs="Times New Roman"/>
                <w:kern w:val="2"/>
                <w:sz w:val="21"/>
                <w:szCs w:val="24"/>
                <w:lang w:val="en-US" w:eastAsia="zh-CN" w:bidi="ar-SA"/>
              </w:rPr>
            </w:pPr>
          </w:p>
        </w:tc>
      </w:tr>
    </w:tbl>
    <w:p w14:paraId="242EEE19">
      <w:pPr>
        <w:pStyle w:val="46"/>
        <w:spacing w:line="360" w:lineRule="auto"/>
        <w:rPr>
          <w:rStyle w:val="25"/>
          <w:rFonts w:hint="eastAsia" w:ascii="宋体" w:hAnsi="宋体" w:eastAsia="宋体" w:cs="Times New Roman"/>
          <w:kern w:val="2"/>
          <w:sz w:val="21"/>
          <w:szCs w:val="24"/>
          <w:lang w:val="en-US" w:eastAsia="zh-CN" w:bidi="ar-SA"/>
        </w:rPr>
      </w:pPr>
    </w:p>
    <w:p w14:paraId="09A31A09">
      <w:pPr>
        <w:pStyle w:val="46"/>
        <w:spacing w:line="360" w:lineRule="auto"/>
        <w:jc w:val="center"/>
        <w:rPr>
          <w:rStyle w:val="25"/>
          <w:rFonts w:hint="eastAsia" w:ascii="宋体" w:hAnsi="宋体" w:eastAsia="宋体" w:cs="Times New Roman"/>
          <w:b/>
          <w:kern w:val="2"/>
          <w:sz w:val="21"/>
          <w:szCs w:val="24"/>
          <w:lang w:val="en-US" w:eastAsia="zh-CN" w:bidi="ar-SA"/>
        </w:rPr>
      </w:pPr>
    </w:p>
    <w:p w14:paraId="6977F001">
      <w:pPr>
        <w:pStyle w:val="46"/>
        <w:spacing w:line="360" w:lineRule="auto"/>
        <w:jc w:val="center"/>
        <w:rPr>
          <w:rStyle w:val="25"/>
          <w:rFonts w:hint="eastAsia" w:ascii="宋体" w:hAnsi="宋体" w:eastAsia="宋体" w:cs="Times New Roman"/>
          <w:b/>
          <w:kern w:val="2"/>
          <w:sz w:val="21"/>
          <w:szCs w:val="24"/>
          <w:lang w:val="en-US" w:eastAsia="zh-CN" w:bidi="ar-SA"/>
        </w:rPr>
      </w:pPr>
    </w:p>
    <w:p w14:paraId="38ADE37F">
      <w:pPr>
        <w:pStyle w:val="46"/>
        <w:spacing w:line="360" w:lineRule="auto"/>
        <w:jc w:val="center"/>
        <w:rPr>
          <w:rStyle w:val="25"/>
          <w:rFonts w:hint="eastAsia" w:ascii="宋体" w:hAnsi="宋体" w:eastAsia="宋体" w:cs="Times New Roman"/>
          <w:b/>
          <w:kern w:val="2"/>
          <w:sz w:val="21"/>
          <w:szCs w:val="24"/>
          <w:lang w:val="en-US" w:eastAsia="zh-CN" w:bidi="ar-SA"/>
        </w:rPr>
      </w:pPr>
    </w:p>
    <w:p w14:paraId="74E01EF8">
      <w:pPr>
        <w:pStyle w:val="46"/>
        <w:spacing w:line="360" w:lineRule="auto"/>
        <w:jc w:val="center"/>
        <w:rPr>
          <w:rStyle w:val="25"/>
          <w:rFonts w:hint="eastAsia" w:ascii="宋体" w:hAnsi="宋体" w:eastAsia="宋体" w:cs="Times New Roman"/>
          <w:b/>
          <w:kern w:val="2"/>
          <w:sz w:val="21"/>
          <w:szCs w:val="24"/>
          <w:lang w:val="en-US" w:eastAsia="zh-CN" w:bidi="ar-SA"/>
        </w:rPr>
      </w:pPr>
    </w:p>
    <w:p w14:paraId="6B76C195">
      <w:pPr>
        <w:pStyle w:val="46"/>
        <w:spacing w:line="360" w:lineRule="auto"/>
        <w:jc w:val="center"/>
        <w:rPr>
          <w:rStyle w:val="25"/>
          <w:rFonts w:ascii="宋体" w:hAnsi="宋体" w:eastAsia="宋体" w:cs="Times New Roman"/>
          <w:b/>
          <w:kern w:val="2"/>
          <w:sz w:val="21"/>
          <w:szCs w:val="24"/>
          <w:lang w:val="en-US" w:eastAsia="zh-CN" w:bidi="ar-SA"/>
        </w:rPr>
      </w:pPr>
      <w:r>
        <w:rPr>
          <w:rStyle w:val="25"/>
          <w:rFonts w:hint="eastAsia" w:ascii="宋体" w:hAnsi="宋体" w:eastAsia="宋体" w:cs="Times New Roman"/>
          <w:b/>
          <w:kern w:val="2"/>
          <w:sz w:val="21"/>
          <w:szCs w:val="24"/>
          <w:lang w:val="en-US" w:eastAsia="zh-CN" w:bidi="ar-SA"/>
        </w:rPr>
        <w:t>发包人提供的工程设备表(参考格式)</w:t>
      </w:r>
    </w:p>
    <w:tbl>
      <w:tblPr>
        <w:tblStyle w:val="2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701"/>
        <w:gridCol w:w="1276"/>
        <w:gridCol w:w="877"/>
        <w:gridCol w:w="1168"/>
        <w:gridCol w:w="1168"/>
        <w:gridCol w:w="1606"/>
        <w:gridCol w:w="730"/>
      </w:tblGrid>
      <w:tr w14:paraId="55390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64E2CA80">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序号</w:t>
            </w:r>
          </w:p>
        </w:tc>
        <w:tc>
          <w:tcPr>
            <w:tcW w:w="1701" w:type="dxa"/>
            <w:noWrap w:val="0"/>
            <w:vAlign w:val="center"/>
          </w:tcPr>
          <w:p w14:paraId="10C17711">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工程设备名称</w:t>
            </w:r>
          </w:p>
        </w:tc>
        <w:tc>
          <w:tcPr>
            <w:tcW w:w="1276" w:type="dxa"/>
            <w:noWrap w:val="0"/>
            <w:vAlign w:val="center"/>
          </w:tcPr>
          <w:p w14:paraId="59998102">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型号及规格</w:t>
            </w:r>
          </w:p>
        </w:tc>
        <w:tc>
          <w:tcPr>
            <w:tcW w:w="877" w:type="dxa"/>
            <w:noWrap w:val="0"/>
            <w:vAlign w:val="center"/>
          </w:tcPr>
          <w:p w14:paraId="5E608619">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数量</w:t>
            </w:r>
          </w:p>
        </w:tc>
        <w:tc>
          <w:tcPr>
            <w:tcW w:w="1168" w:type="dxa"/>
            <w:noWrap w:val="0"/>
            <w:vAlign w:val="center"/>
          </w:tcPr>
          <w:p w14:paraId="14C6393B">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交货地点</w:t>
            </w:r>
          </w:p>
        </w:tc>
        <w:tc>
          <w:tcPr>
            <w:tcW w:w="1168" w:type="dxa"/>
            <w:noWrap w:val="0"/>
            <w:vAlign w:val="center"/>
          </w:tcPr>
          <w:p w14:paraId="338D1E19">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交货方式</w:t>
            </w:r>
          </w:p>
        </w:tc>
        <w:tc>
          <w:tcPr>
            <w:tcW w:w="1606" w:type="dxa"/>
            <w:noWrap w:val="0"/>
            <w:vAlign w:val="center"/>
          </w:tcPr>
          <w:p w14:paraId="1DD4168A">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计划交货日期</w:t>
            </w:r>
          </w:p>
        </w:tc>
        <w:tc>
          <w:tcPr>
            <w:tcW w:w="730" w:type="dxa"/>
            <w:noWrap w:val="0"/>
            <w:vAlign w:val="center"/>
          </w:tcPr>
          <w:p w14:paraId="6EEB9BBE">
            <w:pPr>
              <w:pStyle w:val="46"/>
              <w:spacing w:line="360" w:lineRule="auto"/>
              <w:jc w:val="center"/>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备注</w:t>
            </w:r>
          </w:p>
        </w:tc>
      </w:tr>
      <w:tr w14:paraId="52DFB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72058BC5">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701" w:type="dxa"/>
            <w:noWrap w:val="0"/>
            <w:vAlign w:val="center"/>
          </w:tcPr>
          <w:p w14:paraId="7C22E743">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276" w:type="dxa"/>
            <w:noWrap w:val="0"/>
            <w:vAlign w:val="center"/>
          </w:tcPr>
          <w:p w14:paraId="665D20A9">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877" w:type="dxa"/>
            <w:noWrap w:val="0"/>
            <w:vAlign w:val="center"/>
          </w:tcPr>
          <w:p w14:paraId="55E3C1E3">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168" w:type="dxa"/>
            <w:noWrap w:val="0"/>
            <w:vAlign w:val="center"/>
          </w:tcPr>
          <w:p w14:paraId="0DC85932">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168" w:type="dxa"/>
            <w:noWrap w:val="0"/>
            <w:vAlign w:val="center"/>
          </w:tcPr>
          <w:p w14:paraId="5239B2EB">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606" w:type="dxa"/>
            <w:noWrap w:val="0"/>
            <w:vAlign w:val="center"/>
          </w:tcPr>
          <w:p w14:paraId="1020E90C">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730" w:type="dxa"/>
            <w:noWrap w:val="0"/>
            <w:vAlign w:val="center"/>
          </w:tcPr>
          <w:p w14:paraId="45B1AC1B">
            <w:pPr>
              <w:pStyle w:val="46"/>
              <w:spacing w:line="360" w:lineRule="auto"/>
              <w:jc w:val="center"/>
              <w:rPr>
                <w:rStyle w:val="25"/>
                <w:rFonts w:hint="eastAsia" w:ascii="宋体" w:hAnsi="宋体" w:eastAsia="宋体" w:cs="Times New Roman"/>
                <w:kern w:val="2"/>
                <w:sz w:val="21"/>
                <w:szCs w:val="24"/>
                <w:lang w:val="en-US" w:eastAsia="zh-CN" w:bidi="ar-SA"/>
              </w:rPr>
            </w:pPr>
          </w:p>
        </w:tc>
      </w:tr>
      <w:tr w14:paraId="506F8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65159456">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701" w:type="dxa"/>
            <w:noWrap w:val="0"/>
            <w:vAlign w:val="center"/>
          </w:tcPr>
          <w:p w14:paraId="1F49B81C">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276" w:type="dxa"/>
            <w:noWrap w:val="0"/>
            <w:vAlign w:val="center"/>
          </w:tcPr>
          <w:p w14:paraId="66308713">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877" w:type="dxa"/>
            <w:noWrap w:val="0"/>
            <w:vAlign w:val="center"/>
          </w:tcPr>
          <w:p w14:paraId="5499D6D6">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168" w:type="dxa"/>
            <w:noWrap w:val="0"/>
            <w:vAlign w:val="center"/>
          </w:tcPr>
          <w:p w14:paraId="1B5DEFEF">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168" w:type="dxa"/>
            <w:noWrap w:val="0"/>
            <w:vAlign w:val="center"/>
          </w:tcPr>
          <w:p w14:paraId="4834F111">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606" w:type="dxa"/>
            <w:noWrap w:val="0"/>
            <w:vAlign w:val="center"/>
          </w:tcPr>
          <w:p w14:paraId="1D5278EB">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730" w:type="dxa"/>
            <w:noWrap w:val="0"/>
            <w:vAlign w:val="center"/>
          </w:tcPr>
          <w:p w14:paraId="0CC6E70B">
            <w:pPr>
              <w:pStyle w:val="46"/>
              <w:spacing w:line="360" w:lineRule="auto"/>
              <w:jc w:val="center"/>
              <w:rPr>
                <w:rStyle w:val="25"/>
                <w:rFonts w:hint="eastAsia" w:ascii="宋体" w:hAnsi="宋体" w:eastAsia="宋体" w:cs="Times New Roman"/>
                <w:kern w:val="2"/>
                <w:sz w:val="21"/>
                <w:szCs w:val="24"/>
                <w:lang w:val="en-US" w:eastAsia="zh-CN" w:bidi="ar-SA"/>
              </w:rPr>
            </w:pPr>
          </w:p>
        </w:tc>
      </w:tr>
    </w:tbl>
    <w:p w14:paraId="4BE6CC6C">
      <w:pPr>
        <w:pStyle w:val="47"/>
        <w:rPr>
          <w:rStyle w:val="25"/>
          <w:kern w:val="2"/>
          <w:lang w:val="en-US" w:eastAsia="zh-CN" w:bidi="ar-SA"/>
        </w:rPr>
      </w:pPr>
      <w:r>
        <w:rPr>
          <w:rStyle w:val="25"/>
          <w:rFonts w:hint="eastAsia"/>
          <w:kern w:val="2"/>
          <w:lang w:val="en-US" w:eastAsia="zh-CN" w:bidi="ar-SA"/>
        </w:rPr>
        <w:t>6　施工设备和临时设施</w:t>
      </w:r>
    </w:p>
    <w:p w14:paraId="467C8C13">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6.2　发包人提供的施工设备和临时设施</w:t>
      </w:r>
    </w:p>
    <w:p w14:paraId="1B166C00">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(1)发包人提供的施工设备见下表：</w:t>
      </w:r>
    </w:p>
    <w:p w14:paraId="22833B44">
      <w:pPr>
        <w:pStyle w:val="46"/>
        <w:spacing w:line="360" w:lineRule="auto"/>
        <w:rPr>
          <w:rStyle w:val="25"/>
          <w:rFonts w:hint="eastAsia" w:ascii="宋体" w:hAnsi="宋体" w:eastAsia="宋体" w:cs="Times New Roman"/>
          <w:kern w:val="2"/>
          <w:sz w:val="21"/>
          <w:szCs w:val="24"/>
          <w:lang w:val="en-US" w:eastAsia="zh-CN" w:bidi="ar-SA"/>
        </w:rPr>
      </w:pPr>
    </w:p>
    <w:p w14:paraId="44985C70">
      <w:pPr>
        <w:pStyle w:val="46"/>
        <w:spacing w:line="360" w:lineRule="auto"/>
        <w:jc w:val="center"/>
        <w:rPr>
          <w:rStyle w:val="25"/>
          <w:rFonts w:hint="eastAsia" w:ascii="宋体" w:hAnsi="宋体" w:eastAsia="宋体" w:cs="Times New Roman"/>
          <w:b/>
          <w:kern w:val="2"/>
          <w:sz w:val="21"/>
          <w:szCs w:val="24"/>
          <w:lang w:val="en-US" w:eastAsia="zh-CN" w:bidi="ar-SA"/>
        </w:rPr>
      </w:pPr>
      <w:r>
        <w:rPr>
          <w:rStyle w:val="25"/>
          <w:rFonts w:hint="eastAsia" w:ascii="宋体" w:hAnsi="宋体" w:eastAsia="宋体" w:cs="Times New Roman"/>
          <w:b/>
          <w:kern w:val="2"/>
          <w:sz w:val="21"/>
          <w:szCs w:val="24"/>
          <w:lang w:val="en-US" w:eastAsia="zh-CN" w:bidi="ar-SA"/>
        </w:rPr>
        <w:t>发包人提供的施工设备表(参考格式)</w:t>
      </w:r>
    </w:p>
    <w:tbl>
      <w:tblPr>
        <w:tblStyle w:val="2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518"/>
        <w:gridCol w:w="1317"/>
        <w:gridCol w:w="1418"/>
        <w:gridCol w:w="769"/>
        <w:gridCol w:w="1168"/>
        <w:gridCol w:w="1606"/>
        <w:gridCol w:w="730"/>
      </w:tblGrid>
      <w:tr w14:paraId="5BB82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054AA860">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序号</w:t>
            </w:r>
          </w:p>
        </w:tc>
        <w:tc>
          <w:tcPr>
            <w:tcW w:w="1518" w:type="dxa"/>
            <w:noWrap w:val="0"/>
            <w:vAlign w:val="center"/>
          </w:tcPr>
          <w:p w14:paraId="356EA411">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施工设备名称</w:t>
            </w:r>
          </w:p>
        </w:tc>
        <w:tc>
          <w:tcPr>
            <w:tcW w:w="1317" w:type="dxa"/>
            <w:noWrap w:val="0"/>
            <w:vAlign w:val="center"/>
          </w:tcPr>
          <w:p w14:paraId="226BB313">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型号及规格</w:t>
            </w:r>
          </w:p>
        </w:tc>
        <w:tc>
          <w:tcPr>
            <w:tcW w:w="1418" w:type="dxa"/>
            <w:noWrap w:val="0"/>
            <w:vAlign w:val="center"/>
          </w:tcPr>
          <w:p w14:paraId="65768C92">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设备状况</w:t>
            </w:r>
          </w:p>
        </w:tc>
        <w:tc>
          <w:tcPr>
            <w:tcW w:w="769" w:type="dxa"/>
            <w:noWrap w:val="0"/>
            <w:vAlign w:val="center"/>
          </w:tcPr>
          <w:p w14:paraId="5A80C378">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数量</w:t>
            </w:r>
          </w:p>
        </w:tc>
        <w:tc>
          <w:tcPr>
            <w:tcW w:w="1168" w:type="dxa"/>
            <w:noWrap w:val="0"/>
            <w:vAlign w:val="center"/>
          </w:tcPr>
          <w:p w14:paraId="0881CC6A">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移交地点</w:t>
            </w:r>
          </w:p>
        </w:tc>
        <w:tc>
          <w:tcPr>
            <w:tcW w:w="1606" w:type="dxa"/>
            <w:noWrap w:val="0"/>
            <w:vAlign w:val="center"/>
          </w:tcPr>
          <w:p w14:paraId="514622FB">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计划移交日期</w:t>
            </w:r>
          </w:p>
        </w:tc>
        <w:tc>
          <w:tcPr>
            <w:tcW w:w="730" w:type="dxa"/>
            <w:noWrap w:val="0"/>
            <w:vAlign w:val="center"/>
          </w:tcPr>
          <w:p w14:paraId="3D58856B">
            <w:pPr>
              <w:pStyle w:val="46"/>
              <w:spacing w:line="360" w:lineRule="auto"/>
              <w:jc w:val="center"/>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备注</w:t>
            </w:r>
          </w:p>
        </w:tc>
      </w:tr>
      <w:tr w14:paraId="57AB7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42929562">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518" w:type="dxa"/>
            <w:noWrap w:val="0"/>
            <w:vAlign w:val="center"/>
          </w:tcPr>
          <w:p w14:paraId="1749EE3E">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317" w:type="dxa"/>
            <w:noWrap w:val="0"/>
            <w:vAlign w:val="center"/>
          </w:tcPr>
          <w:p w14:paraId="2427ADA7">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418" w:type="dxa"/>
            <w:noWrap w:val="0"/>
            <w:vAlign w:val="center"/>
          </w:tcPr>
          <w:p w14:paraId="6A63FE2F">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769" w:type="dxa"/>
            <w:noWrap w:val="0"/>
            <w:vAlign w:val="center"/>
          </w:tcPr>
          <w:p w14:paraId="3DCB6CD4">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168" w:type="dxa"/>
            <w:noWrap w:val="0"/>
            <w:vAlign w:val="center"/>
          </w:tcPr>
          <w:p w14:paraId="061F5BDC">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606" w:type="dxa"/>
            <w:noWrap w:val="0"/>
            <w:vAlign w:val="center"/>
          </w:tcPr>
          <w:p w14:paraId="0EE90F80">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730" w:type="dxa"/>
            <w:noWrap w:val="0"/>
            <w:vAlign w:val="center"/>
          </w:tcPr>
          <w:p w14:paraId="580BAC03">
            <w:pPr>
              <w:pStyle w:val="46"/>
              <w:spacing w:line="360" w:lineRule="auto"/>
              <w:jc w:val="center"/>
              <w:rPr>
                <w:rStyle w:val="25"/>
                <w:rFonts w:hint="eastAsia" w:ascii="宋体" w:hAnsi="宋体" w:eastAsia="宋体" w:cs="Times New Roman"/>
                <w:kern w:val="2"/>
                <w:sz w:val="21"/>
                <w:szCs w:val="24"/>
                <w:lang w:val="en-US" w:eastAsia="zh-CN" w:bidi="ar-SA"/>
              </w:rPr>
            </w:pPr>
          </w:p>
        </w:tc>
      </w:tr>
      <w:tr w14:paraId="6C6D6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7A00574B">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518" w:type="dxa"/>
            <w:noWrap w:val="0"/>
            <w:vAlign w:val="center"/>
          </w:tcPr>
          <w:p w14:paraId="34DDDEDE">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317" w:type="dxa"/>
            <w:noWrap w:val="0"/>
            <w:vAlign w:val="center"/>
          </w:tcPr>
          <w:p w14:paraId="5E466DFA">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418" w:type="dxa"/>
            <w:noWrap w:val="0"/>
            <w:vAlign w:val="center"/>
          </w:tcPr>
          <w:p w14:paraId="7F6E2BE7">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769" w:type="dxa"/>
            <w:noWrap w:val="0"/>
            <w:vAlign w:val="center"/>
          </w:tcPr>
          <w:p w14:paraId="12FA7FE9">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168" w:type="dxa"/>
            <w:noWrap w:val="0"/>
            <w:vAlign w:val="center"/>
          </w:tcPr>
          <w:p w14:paraId="247B4978">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1606" w:type="dxa"/>
            <w:noWrap w:val="0"/>
            <w:vAlign w:val="center"/>
          </w:tcPr>
          <w:p w14:paraId="794837B2">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730" w:type="dxa"/>
            <w:noWrap w:val="0"/>
            <w:vAlign w:val="center"/>
          </w:tcPr>
          <w:p w14:paraId="72F70CC4">
            <w:pPr>
              <w:pStyle w:val="46"/>
              <w:spacing w:line="360" w:lineRule="auto"/>
              <w:jc w:val="center"/>
              <w:rPr>
                <w:rStyle w:val="25"/>
                <w:rFonts w:hint="eastAsia" w:ascii="宋体" w:hAnsi="宋体" w:eastAsia="宋体" w:cs="Times New Roman"/>
                <w:kern w:val="2"/>
                <w:sz w:val="21"/>
                <w:szCs w:val="24"/>
                <w:lang w:val="en-US" w:eastAsia="zh-CN" w:bidi="ar-SA"/>
              </w:rPr>
            </w:pPr>
          </w:p>
        </w:tc>
      </w:tr>
    </w:tbl>
    <w:p w14:paraId="1986085C">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注　设备状况栏内填写该设备的新旧程度、购进时间、已使用小时数和最近一次的大修时间。</w:t>
      </w:r>
    </w:p>
    <w:p w14:paraId="6A61AD21">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(2)发包人提供的临时设施：</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57AF139D">
      <w:pPr>
        <w:pStyle w:val="47"/>
        <w:rPr>
          <w:rStyle w:val="25"/>
          <w:kern w:val="2"/>
          <w:lang w:val="en-US" w:eastAsia="zh-CN" w:bidi="ar-SA"/>
        </w:rPr>
      </w:pPr>
      <w:r>
        <w:rPr>
          <w:rStyle w:val="25"/>
          <w:rFonts w:hint="eastAsia"/>
          <w:kern w:val="2"/>
          <w:lang w:val="en-US" w:eastAsia="zh-CN" w:bidi="ar-SA"/>
        </w:rPr>
        <w:t>7　交通运输</w:t>
      </w:r>
    </w:p>
    <w:p w14:paraId="7152D6D3">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7.1　道路通行权和场外设施</w:t>
      </w:r>
    </w:p>
    <w:p w14:paraId="4FEB9E78">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道路通行权和场外设施的约定：</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371573BF">
      <w:pPr>
        <w:pStyle w:val="47"/>
        <w:rPr>
          <w:rStyle w:val="25"/>
          <w:kern w:val="2"/>
          <w:lang w:val="en-US" w:eastAsia="zh-CN" w:bidi="ar-SA"/>
        </w:rPr>
      </w:pPr>
      <w:r>
        <w:rPr>
          <w:rStyle w:val="25"/>
          <w:rFonts w:hint="eastAsia"/>
          <w:kern w:val="2"/>
          <w:lang w:val="en-US" w:eastAsia="zh-CN" w:bidi="ar-SA"/>
        </w:rPr>
        <w:t>8　测量放线</w:t>
      </w:r>
    </w:p>
    <w:p w14:paraId="677F938C">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8.1　施工控制网</w:t>
      </w:r>
    </w:p>
    <w:p w14:paraId="4FB80708">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8.1.1　施工控制网的约定：</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713CB717">
      <w:pPr>
        <w:pStyle w:val="47"/>
        <w:rPr>
          <w:rStyle w:val="25"/>
          <w:kern w:val="2"/>
          <w:lang w:val="en-US" w:eastAsia="zh-CN" w:bidi="ar-SA"/>
        </w:rPr>
      </w:pPr>
      <w:r>
        <w:rPr>
          <w:rStyle w:val="25"/>
          <w:rFonts w:hint="eastAsia"/>
          <w:kern w:val="2"/>
          <w:lang w:val="en-US" w:eastAsia="zh-CN" w:bidi="ar-SA"/>
        </w:rPr>
        <w:t>9　施工安全、治安保卫和环境保护</w:t>
      </w:r>
    </w:p>
    <w:p w14:paraId="1B39DD54">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9.1　发包人的施工安全责任</w:t>
      </w:r>
    </w:p>
    <w:p w14:paraId="603BB32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9.1.4　发包人提供</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资料，其余资料由承包人负责收集。</w:t>
      </w:r>
    </w:p>
    <w:p w14:paraId="1CA7192F">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9.2　承包人的施工安全责任</w:t>
      </w:r>
    </w:p>
    <w:p w14:paraId="09FB3965">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9.2.12　下列工程应编制专项施工方案：</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。其中</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应组织专家论证和审查。</w:t>
      </w:r>
    </w:p>
    <w:p w14:paraId="6885B0FB">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9.7　文明工地</w:t>
      </w:r>
    </w:p>
    <w:p w14:paraId="4A2F90AE">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9.7.1　本合同文明工地的约定：</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3A71C5BD">
      <w:pPr>
        <w:pStyle w:val="47"/>
        <w:rPr>
          <w:rStyle w:val="25"/>
          <w:kern w:val="2"/>
          <w:lang w:val="en-US" w:eastAsia="zh-CN" w:bidi="ar-SA"/>
        </w:rPr>
      </w:pPr>
      <w:r>
        <w:rPr>
          <w:rStyle w:val="25"/>
          <w:rFonts w:hint="eastAsia"/>
          <w:kern w:val="2"/>
          <w:lang w:val="en-US" w:eastAsia="zh-CN" w:bidi="ar-SA"/>
        </w:rPr>
        <w:t>11　开工和竣工(完工)</w:t>
      </w:r>
    </w:p>
    <w:p w14:paraId="664D9428">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11.4　异常恶劣的气候条件</w:t>
      </w:r>
    </w:p>
    <w:p w14:paraId="71D2C56B">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11.4.3　本合同工程界定异常恶劣气候条件的范围为：</w:t>
      </w:r>
    </w:p>
    <w:p w14:paraId="442D8C7C">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(1)日降雨量大于</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mm的雨日超过　　　　天；</w:t>
      </w:r>
    </w:p>
    <w:p w14:paraId="405292D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(2)风速大于</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m/s的</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级以上台风灾害；</w:t>
      </w:r>
    </w:p>
    <w:p w14:paraId="3F5D5B0B">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(3)日气温超过</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℃的高温大于</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天；</w:t>
      </w:r>
    </w:p>
    <w:p w14:paraId="71015DBE">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(4)日气温低于</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℃的严寒大于</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天；</w:t>
      </w:r>
    </w:p>
    <w:p w14:paraId="17E13E46">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(5)造成工程损坏的冰雹和大雪灾害：</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1E0A267B">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(6)其它异常恶劣气候灾害。</w:t>
      </w:r>
    </w:p>
    <w:p w14:paraId="7158E495">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11.5　承包人工期延误</w:t>
      </w:r>
    </w:p>
    <w:p w14:paraId="5E76CE7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(1)逾期完工违约金表(参考格式)。</w:t>
      </w:r>
    </w:p>
    <w:tbl>
      <w:tblPr>
        <w:tblStyle w:val="2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3570"/>
        <w:gridCol w:w="2336"/>
        <w:gridCol w:w="2173"/>
      </w:tblGrid>
      <w:tr w14:paraId="4393D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14:paraId="7E5CD2AC">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序号</w:t>
            </w:r>
          </w:p>
        </w:tc>
        <w:tc>
          <w:tcPr>
            <w:tcW w:w="3570" w:type="dxa"/>
            <w:noWrap w:val="0"/>
            <w:vAlign w:val="center"/>
          </w:tcPr>
          <w:p w14:paraId="38849FF6">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项目及其说明</w:t>
            </w:r>
          </w:p>
        </w:tc>
        <w:tc>
          <w:tcPr>
            <w:tcW w:w="2336" w:type="dxa"/>
            <w:noWrap w:val="0"/>
            <w:vAlign w:val="center"/>
          </w:tcPr>
          <w:p w14:paraId="5AB5C3A2">
            <w:pPr>
              <w:pStyle w:val="46"/>
              <w:spacing w:line="360" w:lineRule="auto"/>
              <w:jc w:val="center"/>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要求完工日期</w:t>
            </w:r>
          </w:p>
        </w:tc>
        <w:tc>
          <w:tcPr>
            <w:tcW w:w="2173" w:type="dxa"/>
            <w:noWrap w:val="0"/>
            <w:vAlign w:val="center"/>
          </w:tcPr>
          <w:p w14:paraId="457BE2C6">
            <w:pPr>
              <w:pStyle w:val="46"/>
              <w:spacing w:line="360" w:lineRule="auto"/>
              <w:jc w:val="center"/>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违约金(元/天)</w:t>
            </w:r>
          </w:p>
        </w:tc>
      </w:tr>
      <w:tr w14:paraId="32C16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14:paraId="0170F8F0">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3570" w:type="dxa"/>
            <w:noWrap w:val="0"/>
            <w:vAlign w:val="center"/>
          </w:tcPr>
          <w:p w14:paraId="4055CA7A">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2336" w:type="dxa"/>
            <w:noWrap w:val="0"/>
            <w:vAlign w:val="center"/>
          </w:tcPr>
          <w:p w14:paraId="78FF2D9A">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2173" w:type="dxa"/>
            <w:noWrap w:val="0"/>
            <w:vAlign w:val="center"/>
          </w:tcPr>
          <w:p w14:paraId="1412B208">
            <w:pPr>
              <w:pStyle w:val="46"/>
              <w:spacing w:line="360" w:lineRule="auto"/>
              <w:jc w:val="center"/>
              <w:rPr>
                <w:rStyle w:val="25"/>
                <w:rFonts w:hint="eastAsia" w:ascii="宋体" w:hAnsi="宋体" w:eastAsia="宋体" w:cs="Times New Roman"/>
                <w:kern w:val="2"/>
                <w:sz w:val="21"/>
                <w:szCs w:val="24"/>
                <w:lang w:val="en-US" w:eastAsia="zh-CN" w:bidi="ar-SA"/>
              </w:rPr>
            </w:pPr>
          </w:p>
        </w:tc>
      </w:tr>
      <w:tr w14:paraId="7D22B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14:paraId="02DA5159">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3570" w:type="dxa"/>
            <w:noWrap w:val="0"/>
            <w:vAlign w:val="center"/>
          </w:tcPr>
          <w:p w14:paraId="7F7AA016">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2336" w:type="dxa"/>
            <w:noWrap w:val="0"/>
            <w:vAlign w:val="center"/>
          </w:tcPr>
          <w:p w14:paraId="4EC95BBC">
            <w:pPr>
              <w:pStyle w:val="46"/>
              <w:spacing w:line="360" w:lineRule="auto"/>
              <w:jc w:val="center"/>
              <w:rPr>
                <w:rStyle w:val="25"/>
                <w:rFonts w:hint="eastAsia" w:ascii="宋体" w:hAnsi="宋体" w:eastAsia="宋体" w:cs="Times New Roman"/>
                <w:kern w:val="2"/>
                <w:sz w:val="21"/>
                <w:szCs w:val="24"/>
                <w:lang w:val="en-US" w:eastAsia="zh-CN" w:bidi="ar-SA"/>
              </w:rPr>
            </w:pPr>
          </w:p>
        </w:tc>
        <w:tc>
          <w:tcPr>
            <w:tcW w:w="2173" w:type="dxa"/>
            <w:noWrap w:val="0"/>
            <w:vAlign w:val="center"/>
          </w:tcPr>
          <w:p w14:paraId="4E4765CC">
            <w:pPr>
              <w:pStyle w:val="46"/>
              <w:spacing w:line="360" w:lineRule="auto"/>
              <w:jc w:val="center"/>
              <w:rPr>
                <w:rStyle w:val="25"/>
                <w:rFonts w:hint="eastAsia" w:ascii="宋体" w:hAnsi="宋体" w:eastAsia="宋体" w:cs="Times New Roman"/>
                <w:kern w:val="2"/>
                <w:sz w:val="21"/>
                <w:szCs w:val="24"/>
                <w:lang w:val="en-US" w:eastAsia="zh-CN" w:bidi="ar-SA"/>
              </w:rPr>
            </w:pPr>
          </w:p>
        </w:tc>
      </w:tr>
    </w:tbl>
    <w:p w14:paraId="45AF4738">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(2)全部逾期完工违约金的总限额为</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(不超过签约合同价的</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17BD88A1">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11.6　工期提前</w:t>
      </w:r>
    </w:p>
    <w:p w14:paraId="08A0FD5F">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工期提前的奖金约定：</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285855CA">
      <w:pPr>
        <w:pStyle w:val="47"/>
        <w:rPr>
          <w:rStyle w:val="25"/>
          <w:kern w:val="2"/>
          <w:lang w:val="en-US" w:eastAsia="zh-CN" w:bidi="ar-SA"/>
        </w:rPr>
      </w:pPr>
      <w:r>
        <w:rPr>
          <w:rStyle w:val="25"/>
          <w:rFonts w:hint="eastAsia"/>
          <w:kern w:val="2"/>
          <w:lang w:val="en-US" w:eastAsia="zh-CN" w:bidi="ar-SA"/>
        </w:rPr>
        <w:t>12　暂停施工</w:t>
      </w:r>
    </w:p>
    <w:p w14:paraId="351A07A0">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12.1　承包人暂停施工的责任</w:t>
      </w:r>
    </w:p>
    <w:p w14:paraId="1A6A98C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(5)承包人承担暂停施工责任的其它情形：</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700E5866">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12.2　发包人暂停施工的责任</w:t>
      </w:r>
    </w:p>
    <w:p w14:paraId="3F699E84">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(3)发包人承担暂停施工责任的其它情形：</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672DC21E">
      <w:pPr>
        <w:pStyle w:val="47"/>
        <w:rPr>
          <w:rStyle w:val="25"/>
          <w:kern w:val="2"/>
          <w:lang w:val="en-US" w:eastAsia="zh-CN" w:bidi="ar-SA"/>
        </w:rPr>
      </w:pPr>
      <w:r>
        <w:rPr>
          <w:rStyle w:val="25"/>
          <w:rFonts w:hint="eastAsia"/>
          <w:kern w:val="2"/>
          <w:lang w:val="en-US" w:eastAsia="zh-CN" w:bidi="ar-SA"/>
        </w:rPr>
        <w:t>13　工程质量</w:t>
      </w:r>
    </w:p>
    <w:p w14:paraId="3615B88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13.7　质量评定</w:t>
      </w:r>
    </w:p>
    <w:p w14:paraId="38F1DDD0">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13.7.4　重要隐蔽单元工程和关键部位单元工程质量评定的约定：　　　　。</w:t>
      </w:r>
    </w:p>
    <w:p w14:paraId="2B38D42F">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13.7.7　工程合格标准为：</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；优良标准为：</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。达到优良的奖金为：</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49F853F3">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13.8　质量事故处理</w:t>
      </w:r>
    </w:p>
    <w:p w14:paraId="48D18102">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13.8.4　工程竣工验收时，</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向竣工验收委员会汇报并提交历次质量缺陷处理的备案资料。</w:t>
      </w:r>
    </w:p>
    <w:p w14:paraId="07D99DD8">
      <w:pPr>
        <w:pStyle w:val="47"/>
        <w:rPr>
          <w:rStyle w:val="25"/>
          <w:kern w:val="2"/>
          <w:lang w:val="en-US" w:eastAsia="zh-CN" w:bidi="ar-SA"/>
        </w:rPr>
      </w:pPr>
      <w:r>
        <w:rPr>
          <w:rStyle w:val="25"/>
          <w:rFonts w:hint="eastAsia"/>
          <w:kern w:val="2"/>
          <w:lang w:val="en-US" w:eastAsia="zh-CN" w:bidi="ar-SA"/>
        </w:rPr>
        <w:t>14　试验和检验</w:t>
      </w:r>
    </w:p>
    <w:p w14:paraId="3AB217AC">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14.1　材料、工程设备和工程的试验和检验</w:t>
      </w:r>
    </w:p>
    <w:p w14:paraId="01D08282">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14.1.5　水工金属结构、启闭机及机电产品进场后的交货检查和验收中，承包人负责</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34D88A4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14.1.6　本工程实行见证取样的试块、试件及有关材料：</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17402F4F">
      <w:pPr>
        <w:pStyle w:val="47"/>
        <w:rPr>
          <w:rStyle w:val="25"/>
          <w:kern w:val="2"/>
          <w:lang w:val="en-US" w:eastAsia="zh-CN" w:bidi="ar-SA"/>
        </w:rPr>
      </w:pPr>
      <w:r>
        <w:rPr>
          <w:rStyle w:val="25"/>
          <w:rFonts w:hint="eastAsia"/>
          <w:kern w:val="2"/>
          <w:lang w:val="en-US" w:eastAsia="zh-CN" w:bidi="ar-SA"/>
        </w:rPr>
        <w:t>15　变更</w:t>
      </w:r>
    </w:p>
    <w:p w14:paraId="1CC3185C">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15.1　变更的范围和内容</w:t>
      </w:r>
    </w:p>
    <w:p w14:paraId="3A6DB1B6">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(6)增加或减少合同中关键项目的工程量超过其工程总量的</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%，关键项目：</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，单价调整方式：</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5654B1F0">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15.5　承包人的合理化建议</w:t>
      </w:r>
    </w:p>
    <w:p w14:paraId="3AF4A2A2">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15.5.2　承包人实现合理化建议的奖励金额为：</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47D50B1F">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15.8　暂估价</w:t>
      </w:r>
    </w:p>
    <w:p w14:paraId="5650792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15.8.1　(1)发包人和承包人组织招标的暂估价项目：</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(签约后填入)；发包人组织招标的暂估价项目：</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(签约后填入)。</w:t>
      </w:r>
    </w:p>
    <w:p w14:paraId="5100172E">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(2)发包人和承包人以招标方式选择暂估价项目供应商或分包人时，双方的权利义务关系：</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4D30A434">
      <w:pPr>
        <w:pStyle w:val="47"/>
        <w:rPr>
          <w:rStyle w:val="25"/>
          <w:kern w:val="2"/>
          <w:lang w:val="en-US" w:eastAsia="zh-CN" w:bidi="ar-SA"/>
        </w:rPr>
      </w:pPr>
      <w:r>
        <w:rPr>
          <w:rStyle w:val="25"/>
          <w:rFonts w:hint="eastAsia"/>
          <w:kern w:val="2"/>
          <w:lang w:val="en-US" w:eastAsia="zh-CN" w:bidi="ar-SA"/>
        </w:rPr>
        <w:t>16　价格调整</w:t>
      </w:r>
    </w:p>
    <w:p w14:paraId="1419E5A5">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16.1　物价波动引起的价格调整</w:t>
      </w:r>
    </w:p>
    <w:p w14:paraId="03AEB23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物价波动引起的价格调整方式：</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4A8340A0">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16.1.2　采用造价信息调整价格差额</w:t>
      </w:r>
    </w:p>
    <w:p w14:paraId="263AE65F">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工程造价信息的来源：</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6A4A9BA9">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价格调整的项目和系数：</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5372637E">
      <w:pPr>
        <w:pStyle w:val="47"/>
        <w:rPr>
          <w:rStyle w:val="25"/>
          <w:kern w:val="2"/>
          <w:lang w:val="en-US" w:eastAsia="zh-CN" w:bidi="ar-SA"/>
        </w:rPr>
      </w:pPr>
      <w:r>
        <w:rPr>
          <w:rStyle w:val="25"/>
          <w:rFonts w:hint="eastAsia"/>
          <w:kern w:val="2"/>
          <w:lang w:val="en-US" w:eastAsia="zh-CN" w:bidi="ar-SA"/>
        </w:rPr>
        <w:t>17　计量与支付</w:t>
      </w:r>
    </w:p>
    <w:p w14:paraId="1A743735">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17.2　预付款</w:t>
      </w:r>
    </w:p>
    <w:p w14:paraId="4395477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17.2.1　预付款：</w:t>
      </w:r>
    </w:p>
    <w:p w14:paraId="54769B9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(1)工程预付款的总金额为签约合同价的</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%，分</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次支付给承包人。</w:t>
      </w:r>
    </w:p>
    <w:p w14:paraId="3AD654C3">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各次预付款的支付额度和付款时间为：</w:t>
      </w:r>
    </w:p>
    <w:p w14:paraId="310681E4">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1)第一次预付款金额为工程预付款总金额的</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%，付款时间应在合同协议书签订后，由承包人向发包人提交了发包人认可的工程预付款担保，并经监理人出具付款证书报送发包人批准后14天内予以支付。</w:t>
      </w:r>
    </w:p>
    <w:p w14:paraId="48301D51">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2)第二次预付款金额为工程预付款总金额的</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%。付款时间需待承包人主要设备进入工地后，其估算价值已达到本次预付款金额时，由承包人提出书面申请，经监理人核实后出具付款证书报送发包人批准后14天内予以支付。</w:t>
      </w:r>
    </w:p>
    <w:p w14:paraId="476AEE7B">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3)第三次预付款……。</w:t>
      </w:r>
    </w:p>
    <w:p w14:paraId="5E88276C">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w:t>
      </w:r>
    </w:p>
    <w:p w14:paraId="6B8D12D5">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(2)工程材料预付款的额度和预付办法约定为：</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w:t>
      </w:r>
    </w:p>
    <w:p w14:paraId="3091B6E6">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17.2.2　预付款保函(担保)</w:t>
      </w:r>
    </w:p>
    <w:p w14:paraId="6BFAEEF5">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(2)工程材料预付款的担保约定为：</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w:t>
      </w:r>
    </w:p>
    <w:p w14:paraId="2D0C92D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17.2.3　预付款的扣回与还清</w:t>
      </w:r>
    </w:p>
    <w:p w14:paraId="1BDE3172">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(1)工程预付款在合同累计完成金额达到签约合同价的</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%时开始扣款，直至合同累计完成金额达到签约合同价的%时全部扣清。</w:t>
      </w:r>
    </w:p>
    <w:p w14:paraId="1806918E">
      <w:pPr>
        <w:pStyle w:val="46"/>
        <w:spacing w:line="360" w:lineRule="auto"/>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w:t>
      </w:r>
      <w:r>
        <w:drawing>
          <wp:inline distT="0" distB="0" distL="114300" distR="114300">
            <wp:extent cx="1145540" cy="387985"/>
            <wp:effectExtent l="0" t="0" r="1651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145540" cy="387985"/>
                    </a:xfrm>
                    <a:prstGeom prst="rect">
                      <a:avLst/>
                    </a:prstGeom>
                    <a:noFill/>
                    <a:ln>
                      <a:noFill/>
                    </a:ln>
                  </pic:spPr>
                </pic:pic>
              </a:graphicData>
            </a:graphic>
          </wp:inline>
        </w:drawing>
      </w:r>
    </w:p>
    <w:p w14:paraId="34ECFFFC">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式中　R——每次进度付款中累计扣回的金额；</w:t>
      </w:r>
    </w:p>
    <w:p w14:paraId="2CBBEBD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A——工程预付款总金额；</w:t>
      </w:r>
    </w:p>
    <w:p w14:paraId="794ED071">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S——签约合同价；</w:t>
      </w:r>
    </w:p>
    <w:p w14:paraId="730082B5">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C——合同累计完成金额；</w:t>
      </w:r>
    </w:p>
    <w:p w14:paraId="5D7C037E">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F1——开始扣款时合同累计完成金额达到签约合同价的比例；</w:t>
      </w:r>
    </w:p>
    <w:p w14:paraId="2D21B246">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F2——全部扣清时合同累计完成金额达到签约合同价的比例。</w:t>
      </w:r>
    </w:p>
    <w:p w14:paraId="2789E623">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上述合同累计完成金额均指价格调整前未扣质量保证金的金额。</w:t>
      </w:r>
    </w:p>
    <w:p w14:paraId="13616BF3">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(2)工程材料预付款的扣回与还清约定为：　　　　。</w:t>
      </w:r>
    </w:p>
    <w:p w14:paraId="116FFEB3">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17.4　质量保证金</w:t>
      </w:r>
    </w:p>
    <w:p w14:paraId="1F8719FB">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17.4.1　每个付款周期扣留的质量保证金为工程进度付款的</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%，扣留的质量保证金总额为签约合同价的</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2C577EF6">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17.5　竣工(完工)结算</w:t>
      </w:r>
    </w:p>
    <w:p w14:paraId="7D0953B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17.5.1　竣工(完工)付款申请单</w:t>
      </w:r>
    </w:p>
    <w:p w14:paraId="6B980FA5">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(1)承包人应提交完工付款申请单一式</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份。</w:t>
      </w:r>
    </w:p>
    <w:p w14:paraId="33DF4F52">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17.6　最终结清</w:t>
      </w:r>
    </w:p>
    <w:p w14:paraId="56F432F9">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17.6.1　最终结清申请单</w:t>
      </w:r>
    </w:p>
    <w:p w14:paraId="64F2978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(1)承包人应提交最终结清申请单一式</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份。</w:t>
      </w:r>
    </w:p>
    <w:p w14:paraId="0ADC795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17.7　竣工财务决算</w:t>
      </w:r>
    </w:p>
    <w:p w14:paraId="0D60EF01">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承包人应为竣工财务决算编制提供的资料：</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w:t>
      </w:r>
    </w:p>
    <w:p w14:paraId="73F959C5">
      <w:pPr>
        <w:pStyle w:val="47"/>
        <w:rPr>
          <w:rStyle w:val="25"/>
          <w:kern w:val="2"/>
          <w:lang w:val="en-US" w:eastAsia="zh-CN" w:bidi="ar-SA"/>
        </w:rPr>
      </w:pPr>
      <w:r>
        <w:rPr>
          <w:rStyle w:val="25"/>
          <w:rFonts w:hint="eastAsia"/>
          <w:kern w:val="2"/>
          <w:lang w:val="en-US" w:eastAsia="zh-CN" w:bidi="ar-SA"/>
        </w:rPr>
        <w:t>18　竣工验收(验收)</w:t>
      </w:r>
    </w:p>
    <w:p w14:paraId="67565EF7">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18.1　验收工作分类</w:t>
      </w:r>
    </w:p>
    <w:p w14:paraId="4A70C738">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本工程法人验收包括：</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；政府验收包括：</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。验收条件为</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，验收程序为：</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w:t>
      </w:r>
    </w:p>
    <w:p w14:paraId="3648C120">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18.2　分部工程验收</w:t>
      </w:r>
    </w:p>
    <w:p w14:paraId="0FCEBD78">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18.2.2　本工程由发包人主持的分部工程验收为</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，其余由监理人主持。</w:t>
      </w:r>
    </w:p>
    <w:p w14:paraId="7E26FC1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18.3　单位工程验收</w:t>
      </w:r>
    </w:p>
    <w:p w14:paraId="677A7A9E">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18.3.4　提前投入使用的单位工程包括：</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w:t>
      </w:r>
    </w:p>
    <w:p w14:paraId="0EFD4CD7">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18.5　阶段验收</w:t>
      </w:r>
    </w:p>
    <w:p w14:paraId="48778DD3">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18.5.1　本合同工程阶段验收类别包括：</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　。</w:t>
      </w:r>
    </w:p>
    <w:p w14:paraId="50E20447">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18.6　专项验收</w:t>
      </w:r>
    </w:p>
    <w:p w14:paraId="6183E300">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18.6.2　本合同工程专项验收类别包括：</w:t>
      </w:r>
      <w:r>
        <w:rPr>
          <w:rStyle w:val="25"/>
          <w:rFonts w:hint="eastAsia" w:ascii="宋体" w:hAnsi="宋体" w:eastAsia="宋体" w:cs="Times New Roman"/>
          <w:kern w:val="2"/>
          <w:sz w:val="21"/>
          <w:szCs w:val="24"/>
          <w:u w:val="single"/>
          <w:lang w:val="en-US" w:eastAsia="zh-CN" w:bidi="ar-SA"/>
        </w:rPr>
        <w:t>　   　、　      　、　             　。</w:t>
      </w:r>
    </w:p>
    <w:p w14:paraId="0081A646">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18.7　竣工验收</w:t>
      </w:r>
    </w:p>
    <w:p w14:paraId="6B96188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18.7.3　本工程</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(需要／不需要)竣工验收技术鉴定(蓄水安全鉴定)。</w:t>
      </w:r>
    </w:p>
    <w:p w14:paraId="151F7AC4">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18.8　施工期运行</w:t>
      </w:r>
    </w:p>
    <w:p w14:paraId="3DF5A708">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18.8.1　需要在施工期运行的单位工程或工程设备为：</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w:t>
      </w:r>
    </w:p>
    <w:p w14:paraId="69634D4E">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18.9　试运行</w:t>
      </w:r>
    </w:p>
    <w:p w14:paraId="4EE60500">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18.9.1　试运行的组织：</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　　；费用承担：</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　。</w:t>
      </w:r>
    </w:p>
    <w:p w14:paraId="2E2AFB6A">
      <w:pPr>
        <w:pStyle w:val="47"/>
        <w:rPr>
          <w:rStyle w:val="25"/>
          <w:kern w:val="2"/>
          <w:lang w:val="en-US" w:eastAsia="zh-CN" w:bidi="ar-SA"/>
        </w:rPr>
      </w:pPr>
      <w:r>
        <w:rPr>
          <w:rStyle w:val="25"/>
          <w:rFonts w:hint="eastAsia"/>
          <w:kern w:val="2"/>
          <w:lang w:val="en-US" w:eastAsia="zh-CN" w:bidi="ar-SA"/>
        </w:rPr>
        <w:t>19　缺陷责任与保修责任</w:t>
      </w:r>
    </w:p>
    <w:p w14:paraId="79CDF17F">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19.1　缺陷责任期(工程质量保修期)的起算时间</w:t>
      </w:r>
    </w:p>
    <w:p w14:paraId="747C288B">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本工程缺陷责任期(工程质量保修期)计算如下：</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w:t>
      </w:r>
    </w:p>
    <w:p w14:paraId="0AEB1C7C">
      <w:pPr>
        <w:pStyle w:val="47"/>
        <w:rPr>
          <w:rStyle w:val="25"/>
          <w:kern w:val="2"/>
          <w:lang w:val="en-US" w:eastAsia="zh-CN" w:bidi="ar-SA"/>
        </w:rPr>
      </w:pPr>
      <w:r>
        <w:rPr>
          <w:rStyle w:val="25"/>
          <w:rFonts w:hint="eastAsia"/>
          <w:kern w:val="2"/>
          <w:lang w:val="en-US" w:eastAsia="zh-CN" w:bidi="ar-SA"/>
        </w:rPr>
        <w:t>20　保险</w:t>
      </w:r>
    </w:p>
    <w:p w14:paraId="6ECCD40B">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20.1　工程保险</w:t>
      </w:r>
    </w:p>
    <w:p w14:paraId="7A35423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建筑工程一切险和(或)安装工程一切险投保人：</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w:t>
      </w:r>
    </w:p>
    <w:p w14:paraId="3C9F51C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投保内容：</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w:t>
      </w:r>
    </w:p>
    <w:p w14:paraId="4BBC9B61">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保险金额、保险费率和保险期限：</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 xml:space="preserve">  。</w:t>
      </w:r>
    </w:p>
    <w:p w14:paraId="2B5C3628">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20.4　第三者责任险</w:t>
      </w:r>
    </w:p>
    <w:p w14:paraId="7FC12833">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20.4.2　第三者责任险保险费率：</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　　；</w:t>
      </w:r>
    </w:p>
    <w:p w14:paraId="5944A092">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第三者责任险保险金额：</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　。</w:t>
      </w:r>
    </w:p>
    <w:p w14:paraId="6637F1A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20.5　其它保险</w:t>
      </w:r>
    </w:p>
    <w:p w14:paraId="3EED0992">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需要投保的其它内容：</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　　；</w:t>
      </w:r>
    </w:p>
    <w:p w14:paraId="720D192F">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保险金额、保险费率和保险期限：</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　　　。</w:t>
      </w:r>
    </w:p>
    <w:p w14:paraId="254E63EF">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20.6　对各项保险的一般要求</w:t>
      </w:r>
    </w:p>
    <w:p w14:paraId="0D265F1C">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20.6.1　保险凭证</w:t>
      </w:r>
    </w:p>
    <w:p w14:paraId="620928FB">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承包人提交保险凭证的期限：</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w:t>
      </w:r>
    </w:p>
    <w:p w14:paraId="1608DC87">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保险条件：</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w:t>
      </w:r>
    </w:p>
    <w:p w14:paraId="574794B9">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20.6.4　保险金不足的补偿</w:t>
      </w:r>
    </w:p>
    <w:p w14:paraId="13E0C87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承包人负责补偿的范围与金额：</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　；</w:t>
      </w:r>
    </w:p>
    <w:p w14:paraId="61BF53F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发包人负责补偿的范围与金额：</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　。</w:t>
      </w:r>
    </w:p>
    <w:p w14:paraId="43ECFED7">
      <w:pPr>
        <w:pStyle w:val="47"/>
        <w:rPr>
          <w:rStyle w:val="25"/>
          <w:kern w:val="2"/>
          <w:lang w:val="en-US" w:eastAsia="zh-CN" w:bidi="ar-SA"/>
        </w:rPr>
      </w:pPr>
      <w:r>
        <w:rPr>
          <w:rStyle w:val="25"/>
          <w:rFonts w:hint="eastAsia"/>
          <w:kern w:val="2"/>
          <w:lang w:val="en-US" w:eastAsia="zh-CN" w:bidi="ar-SA"/>
        </w:rPr>
        <w:t>24　争议的解决</w:t>
      </w:r>
    </w:p>
    <w:p w14:paraId="543601FB">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24.1　争议的解决方式</w:t>
      </w:r>
    </w:p>
    <w:p w14:paraId="2B05C952">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合同当事人友好协商解决不成、不愿提请争议评审或不接受争议评审组意见的，约定的合同争议解决方式：</w:t>
      </w:r>
      <w:r>
        <w:rPr>
          <w:rStyle w:val="25"/>
          <w:rFonts w:hint="eastAsia" w:ascii="宋体" w:hAnsi="宋体" w:eastAsia="宋体" w:cs="Times New Roman"/>
          <w:kern w:val="2"/>
          <w:sz w:val="21"/>
          <w:szCs w:val="24"/>
          <w:u w:val="single"/>
          <w:lang w:val="en-US" w:eastAsia="zh-CN" w:bidi="ar-SA"/>
        </w:rPr>
        <w:t xml:space="preserve">                       </w:t>
      </w:r>
      <w:r>
        <w:rPr>
          <w:rStyle w:val="25"/>
          <w:rFonts w:hint="eastAsia" w:ascii="宋体" w:hAnsi="宋体" w:eastAsia="宋体" w:cs="Times New Roman"/>
          <w:kern w:val="2"/>
          <w:sz w:val="21"/>
          <w:szCs w:val="24"/>
          <w:lang w:val="en-US" w:eastAsia="zh-CN" w:bidi="ar-SA"/>
        </w:rPr>
        <w:t>。</w:t>
      </w:r>
    </w:p>
    <w:p w14:paraId="3CD24C57">
      <w:pPr>
        <w:pStyle w:val="46"/>
        <w:pageBreakBefore w:val="0"/>
        <w:widowControl/>
        <w:kinsoku/>
        <w:wordWrap/>
        <w:overflowPunct/>
        <w:topLinePunct w:val="0"/>
        <w:autoSpaceDE/>
        <w:autoSpaceDN/>
        <w:bidi w:val="0"/>
        <w:adjustRightInd/>
        <w:snapToGrid/>
        <w:spacing w:line="360" w:lineRule="exact"/>
        <w:jc w:val="center"/>
        <w:textAlignment w:val="auto"/>
        <w:rPr>
          <w:rStyle w:val="25"/>
          <w:kern w:val="2"/>
          <w:lang w:val="en-US" w:eastAsia="zh-CN" w:bidi="ar-SA"/>
        </w:rPr>
      </w:pPr>
      <w:r>
        <w:rPr>
          <w:rStyle w:val="25"/>
          <w:rFonts w:ascii="Calibri" w:hAnsi="Calibri" w:eastAsia="宋体" w:cs="Times New Roman"/>
          <w:kern w:val="2"/>
          <w:sz w:val="21"/>
          <w:szCs w:val="22"/>
          <w:lang w:val="en-US" w:eastAsia="zh-CN" w:bidi="ar-SA"/>
        </w:rPr>
        <w:br w:type="page"/>
      </w:r>
      <w:bookmarkStart w:id="210" w:name="_Toc256000024"/>
      <w:r>
        <w:rPr>
          <w:rStyle w:val="25"/>
          <w:rFonts w:hint="eastAsia" w:ascii="Times New Roman" w:hAnsi="Times New Roman" w:eastAsia="宋体" w:cs="Times New Roman"/>
          <w:b/>
          <w:bCs/>
          <w:kern w:val="2"/>
          <w:sz w:val="28"/>
          <w:szCs w:val="28"/>
          <w:lang w:val="en-US" w:eastAsia="zh-CN" w:bidi="ar-SA"/>
        </w:rPr>
        <w:t>第三节　合同附件格式</w:t>
      </w:r>
      <w:bookmarkEnd w:id="210"/>
    </w:p>
    <w:p w14:paraId="4F1F9C86">
      <w:pPr>
        <w:pStyle w:val="47"/>
        <w:pageBreakBefore w:val="0"/>
        <w:widowControl w:val="0"/>
        <w:kinsoku/>
        <w:wordWrap/>
        <w:overflowPunct/>
        <w:topLinePunct w:val="0"/>
        <w:autoSpaceDE/>
        <w:autoSpaceDN/>
        <w:bidi w:val="0"/>
        <w:adjustRightInd/>
        <w:snapToGrid/>
        <w:spacing w:before="0" w:after="0" w:line="360" w:lineRule="exact"/>
        <w:textAlignment w:val="auto"/>
        <w:rPr>
          <w:rStyle w:val="25"/>
          <w:rFonts w:hint="eastAsia"/>
          <w:kern w:val="2"/>
          <w:lang w:val="en-US" w:eastAsia="zh-CN" w:bidi="ar-SA"/>
        </w:rPr>
      </w:pPr>
      <w:r>
        <w:rPr>
          <w:rStyle w:val="25"/>
          <w:rFonts w:hint="eastAsia"/>
          <w:kern w:val="2"/>
          <w:lang w:val="en-US" w:eastAsia="zh-CN" w:bidi="ar-SA"/>
        </w:rPr>
        <w:t>附件一：</w:t>
      </w:r>
    </w:p>
    <w:p w14:paraId="1F14F15F">
      <w:pPr>
        <w:pStyle w:val="47"/>
        <w:pageBreakBefore w:val="0"/>
        <w:widowControl w:val="0"/>
        <w:kinsoku/>
        <w:wordWrap/>
        <w:overflowPunct/>
        <w:topLinePunct w:val="0"/>
        <w:autoSpaceDE/>
        <w:autoSpaceDN/>
        <w:bidi w:val="0"/>
        <w:adjustRightInd/>
        <w:snapToGrid/>
        <w:spacing w:before="0" w:after="0" w:line="360" w:lineRule="exact"/>
        <w:jc w:val="center"/>
        <w:textAlignment w:val="auto"/>
        <w:rPr>
          <w:rStyle w:val="25"/>
          <w:rFonts w:hint="eastAsia" w:ascii="宋体" w:hAnsi="宋体" w:eastAsia="宋体" w:cs="Times New Roman"/>
          <w:b/>
          <w:kern w:val="2"/>
          <w:sz w:val="32"/>
          <w:szCs w:val="32"/>
          <w:lang w:val="en-US" w:eastAsia="zh-CN" w:bidi="ar-SA"/>
        </w:rPr>
      </w:pPr>
    </w:p>
    <w:p w14:paraId="126CF7C3">
      <w:pPr>
        <w:pStyle w:val="47"/>
        <w:pageBreakBefore w:val="0"/>
        <w:widowControl w:val="0"/>
        <w:kinsoku/>
        <w:wordWrap/>
        <w:overflowPunct/>
        <w:topLinePunct w:val="0"/>
        <w:autoSpaceDE/>
        <w:autoSpaceDN/>
        <w:bidi w:val="0"/>
        <w:adjustRightInd/>
        <w:snapToGrid/>
        <w:spacing w:before="0" w:after="0" w:line="360" w:lineRule="exact"/>
        <w:jc w:val="center"/>
        <w:textAlignment w:val="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b/>
          <w:kern w:val="2"/>
          <w:sz w:val="32"/>
          <w:szCs w:val="32"/>
          <w:lang w:val="en-US" w:eastAsia="zh-CN" w:bidi="ar-SA"/>
        </w:rPr>
        <w:t>合同协议书</w:t>
      </w:r>
    </w:p>
    <w:p w14:paraId="1079BA7A">
      <w:pPr>
        <w:pStyle w:val="46"/>
        <w:pageBreakBefore w:val="0"/>
        <w:widowControl w:val="0"/>
        <w:kinsoku/>
        <w:wordWrap/>
        <w:overflowPunct/>
        <w:topLinePunct w:val="0"/>
        <w:autoSpaceDE/>
        <w:autoSpaceDN/>
        <w:bidi w:val="0"/>
        <w:adjustRightInd/>
        <w:snapToGrid/>
        <w:spacing w:line="360" w:lineRule="auto"/>
        <w:textAlignment w:val="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(发包人名称，以下简称“发包人”)为实施</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(项目名称)，已接受</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(承包人名称，以下简称“承包人”)</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对(项目名称)</w:t>
      </w: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(标段名称)的投标，并确定其为中标人。发包人和承包人共同达成如下协议。</w:t>
      </w:r>
    </w:p>
    <w:p w14:paraId="472878D6">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1.本协议书与下列文件一起构成合同文件：</w:t>
      </w:r>
    </w:p>
    <w:p w14:paraId="36FAAB2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(1)中标通知书；</w:t>
      </w:r>
    </w:p>
    <w:p w14:paraId="70FD9453">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(2)投标函及投标函附录；</w:t>
      </w:r>
    </w:p>
    <w:p w14:paraId="4513BB9E">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(3)专用合同条款；</w:t>
      </w:r>
    </w:p>
    <w:p w14:paraId="10987DBB">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(4)通用合同条款；</w:t>
      </w:r>
    </w:p>
    <w:p w14:paraId="6158E0F3">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(5)技术标准和要求(合同技术条款)；</w:t>
      </w:r>
    </w:p>
    <w:p w14:paraId="72D2C450">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(6)图纸；</w:t>
      </w:r>
    </w:p>
    <w:p w14:paraId="7DD3AF99">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(7)已标价工程量清单；</w:t>
      </w:r>
    </w:p>
    <w:p w14:paraId="3CDC0971">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(8)其它合同文件。</w:t>
      </w:r>
    </w:p>
    <w:p w14:paraId="121C6E65">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2.上述文件互相补充和解释，如有不明确或不一致之处，以合同约定次序在先者为准。</w:t>
      </w:r>
    </w:p>
    <w:p w14:paraId="0D4DA870">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3.签约合同价：人民币(大写)　　　　　元(￥　　　　　元)。</w:t>
      </w:r>
    </w:p>
    <w:p w14:paraId="57307C0B">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4.承包人项目经理：　　　　。</w:t>
      </w:r>
    </w:p>
    <w:p w14:paraId="2218AF66">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5.工程质量符合　　　　标准。</w:t>
      </w:r>
    </w:p>
    <w:p w14:paraId="2D2FB7F2">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6.承包人承诺按合同约定承担工程的实施、完成及缺陷修复。</w:t>
      </w:r>
    </w:p>
    <w:p w14:paraId="4D32BE0E">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7.发包人承诺按合同约定的条件、时间和方式向承包人支付合同价款。</w:t>
      </w:r>
    </w:p>
    <w:p w14:paraId="16D18C9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8.承包人承诺执行监理人开工通知，计划工期为　　　天。</w:t>
      </w:r>
    </w:p>
    <w:p w14:paraId="733E880C">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9.本协议书一式　　份，合同双方各执一份。</w:t>
      </w:r>
    </w:p>
    <w:p w14:paraId="4320A4B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10.合同未尽事宜，双方另行签订补充协议。补充协议是合同的组成部分。</w:t>
      </w:r>
    </w:p>
    <w:p w14:paraId="20ED9F68">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发包人：　　　　　　　　　(盖单位章)　　　承包人：　　　　　　　　　　　　　(盖单位章)</w:t>
      </w:r>
    </w:p>
    <w:p w14:paraId="3F060D30">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法定代表人或其委托代理人：　　　　(签字)　法定代表人或其委托代理人：　　　　　　(签字)</w:t>
      </w:r>
    </w:p>
    <w:p w14:paraId="74D3B1B0">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年　　月　　日　　　　　　　　　　年　　月　　日</w:t>
      </w:r>
    </w:p>
    <w:p w14:paraId="669DDC3F">
      <w:pPr>
        <w:pStyle w:val="47"/>
        <w:pageBreakBefore w:val="0"/>
        <w:widowControl w:val="0"/>
        <w:kinsoku/>
        <w:wordWrap/>
        <w:overflowPunct/>
        <w:topLinePunct w:val="0"/>
        <w:autoSpaceDE/>
        <w:autoSpaceDN/>
        <w:bidi w:val="0"/>
        <w:adjustRightInd/>
        <w:snapToGrid/>
        <w:spacing w:before="0" w:after="0" w:line="400" w:lineRule="exact"/>
        <w:textAlignment w:val="auto"/>
        <w:rPr>
          <w:rStyle w:val="25"/>
          <w:rFonts w:hint="eastAsia"/>
          <w:kern w:val="2"/>
          <w:lang w:val="en-US" w:eastAsia="zh-CN" w:bidi="ar-SA"/>
        </w:rPr>
      </w:pPr>
      <w:r>
        <w:rPr>
          <w:rStyle w:val="25"/>
          <w:kern w:val="2"/>
          <w:lang w:val="en-US" w:eastAsia="zh-CN" w:bidi="ar-SA"/>
        </w:rPr>
        <w:br w:type="page"/>
      </w:r>
      <w:r>
        <w:rPr>
          <w:rStyle w:val="25"/>
          <w:rFonts w:hint="eastAsia"/>
          <w:kern w:val="2"/>
          <w:lang w:val="en-US" w:eastAsia="zh-CN" w:bidi="ar-SA"/>
        </w:rPr>
        <w:t>附件二：</w:t>
      </w:r>
    </w:p>
    <w:p w14:paraId="7725199B">
      <w:pPr>
        <w:pStyle w:val="46"/>
        <w:pageBreakBefore w:val="0"/>
        <w:widowControl w:val="0"/>
        <w:kinsoku/>
        <w:wordWrap/>
        <w:overflowPunct/>
        <w:topLinePunct w:val="0"/>
        <w:autoSpaceDE/>
        <w:autoSpaceDN/>
        <w:bidi w:val="0"/>
        <w:adjustRightInd/>
        <w:snapToGrid/>
        <w:spacing w:line="400" w:lineRule="exact"/>
        <w:jc w:val="center"/>
        <w:textAlignment w:val="auto"/>
        <w:rPr>
          <w:rStyle w:val="25"/>
          <w:rFonts w:hint="eastAsia" w:ascii="宋体" w:hAnsi="宋体" w:eastAsia="宋体" w:cs="Times New Roman"/>
          <w:b/>
          <w:kern w:val="2"/>
          <w:sz w:val="32"/>
          <w:szCs w:val="32"/>
          <w:lang w:val="en-US" w:eastAsia="zh-CN" w:bidi="ar-SA"/>
        </w:rPr>
      </w:pPr>
      <w:r>
        <w:rPr>
          <w:rStyle w:val="25"/>
          <w:rFonts w:hint="eastAsia" w:ascii="宋体" w:hAnsi="宋体" w:eastAsia="宋体" w:cs="Times New Roman"/>
          <w:b/>
          <w:kern w:val="2"/>
          <w:sz w:val="32"/>
          <w:szCs w:val="32"/>
          <w:lang w:val="en-US" w:eastAsia="zh-CN" w:bidi="ar-SA"/>
        </w:rPr>
        <w:t>履约担保</w:t>
      </w:r>
    </w:p>
    <w:p w14:paraId="4480F4D3">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u w:val="single"/>
          <w:lang w:val="en-US" w:eastAsia="zh-CN" w:bidi="ar-SA"/>
        </w:rPr>
        <w:t>　　　　</w:t>
      </w:r>
      <w:r>
        <w:rPr>
          <w:rStyle w:val="25"/>
          <w:rFonts w:hint="eastAsia" w:ascii="宋体" w:hAnsi="宋体" w:eastAsia="宋体" w:cs="Times New Roman"/>
          <w:kern w:val="2"/>
          <w:sz w:val="21"/>
          <w:szCs w:val="24"/>
          <w:lang w:val="en-US" w:eastAsia="zh-CN" w:bidi="ar-SA"/>
        </w:rPr>
        <w:t>　　　　　　　(发包人名称)：</w:t>
      </w:r>
    </w:p>
    <w:p w14:paraId="54C7EC6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鉴于　　　　(发包人名称，以下简称“发包人”)已接受　　　　(承包人名称，以下简称“承包人”)于　　　　年　　月　　日递交的　　　　　(项目名称)　　　　(标段名称)的投标文件。我方愿意无条件地、不可撤销地就承包人履行与你方订立的合同，向你方提供担保。</w:t>
      </w:r>
    </w:p>
    <w:p w14:paraId="191631E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1.担保金额人民币(大写)　　　　　　元(￥　　　　　　元)。</w:t>
      </w:r>
    </w:p>
    <w:p w14:paraId="61B0FFB9">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2.担保有效期自发包人与承包人签订的合同生效之日起至发包人签发合同工程完工证书之日止。</w:t>
      </w:r>
    </w:p>
    <w:p w14:paraId="6D67F4BF">
      <w:pPr>
        <w:pStyle w:val="46"/>
        <w:spacing w:line="360" w:lineRule="auto"/>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3.在本担保有效期内，因承包人违反合同约定的义务给你方造成经济损失时，我方在收到你方以书面形式提出的在担保金额内的赔偿要求后，无条件地在7天内予以支付。</w:t>
      </w:r>
    </w:p>
    <w:p w14:paraId="7BEF9B0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4.发包人和承包人按《通用合同条款》第15条变更合同时，我方承担本担保规定的义务不变。</w:t>
      </w:r>
    </w:p>
    <w:p w14:paraId="2D5E30B2">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担保人：　　　　　　　　　　　(盖单位章)</w:t>
      </w:r>
    </w:p>
    <w:p w14:paraId="75FC4D1C">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法定代表人或其委托代理人：　　　　(签字)</w:t>
      </w:r>
    </w:p>
    <w:p w14:paraId="7FEF69CB">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地址：　　　　　　　　　　　　　　　　　</w:t>
      </w:r>
    </w:p>
    <w:p w14:paraId="67EB3CD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邮政编码：　　　　　　　　　　　　　　　</w:t>
      </w:r>
    </w:p>
    <w:p w14:paraId="6335E9D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电话：　　　　　　　　　　　　　　　　　</w:t>
      </w:r>
    </w:p>
    <w:p w14:paraId="7B729A3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传真：　　　　　　　　　　　　　　　　　</w:t>
      </w:r>
    </w:p>
    <w:p w14:paraId="7005DEFA">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年　　月　　日</w:t>
      </w:r>
    </w:p>
    <w:p w14:paraId="6C7C54B4">
      <w:pPr>
        <w:pStyle w:val="46"/>
        <w:spacing w:line="360" w:lineRule="auto"/>
        <w:rPr>
          <w:rStyle w:val="25"/>
          <w:rFonts w:hint="eastAsia" w:ascii="宋体" w:hAnsi="宋体" w:eastAsia="宋体" w:cs="Times New Roman"/>
          <w:kern w:val="2"/>
          <w:sz w:val="21"/>
          <w:szCs w:val="24"/>
          <w:lang w:val="en-US" w:eastAsia="zh-CN" w:bidi="ar-SA"/>
        </w:rPr>
      </w:pPr>
    </w:p>
    <w:p w14:paraId="1A3ACC52">
      <w:pPr>
        <w:pStyle w:val="46"/>
        <w:spacing w:line="360" w:lineRule="auto"/>
        <w:ind w:firstLine="420"/>
        <w:rPr>
          <w:rStyle w:val="25"/>
          <w:rFonts w:hint="eastAsia"/>
          <w:kern w:val="2"/>
          <w:lang w:val="en-US" w:eastAsia="zh-CN" w:bidi="ar-SA"/>
        </w:rPr>
      </w:pPr>
      <w:r>
        <w:rPr>
          <w:rStyle w:val="25"/>
          <w:rFonts w:hint="eastAsia" w:ascii="宋体" w:hAnsi="宋体" w:eastAsia="宋体" w:cs="Times New Roman"/>
          <w:kern w:val="2"/>
          <w:sz w:val="21"/>
          <w:szCs w:val="24"/>
          <w:lang w:val="en-US" w:eastAsia="zh-CN" w:bidi="ar-SA"/>
        </w:rPr>
        <w:t>注：委托代理人应附授权委托书。</w:t>
      </w:r>
    </w:p>
    <w:p w14:paraId="25A07448">
      <w:pPr>
        <w:bidi w:val="0"/>
        <w:rPr>
          <w:rStyle w:val="25"/>
          <w:rFonts w:hint="eastAsia"/>
          <w:kern w:val="2"/>
          <w:lang w:val="en-US" w:eastAsia="zh-CN" w:bidi="ar-SA"/>
        </w:rPr>
      </w:pPr>
    </w:p>
    <w:p w14:paraId="29875892">
      <w:pPr>
        <w:bidi w:val="0"/>
        <w:rPr>
          <w:rStyle w:val="25"/>
          <w:rFonts w:hint="eastAsia"/>
          <w:kern w:val="2"/>
          <w:lang w:val="en-US" w:eastAsia="zh-CN" w:bidi="ar-SA"/>
        </w:rPr>
      </w:pPr>
    </w:p>
    <w:p w14:paraId="1703FD0E">
      <w:pPr>
        <w:pStyle w:val="47"/>
        <w:keepNext/>
        <w:keepLines/>
        <w:pageBreakBefore w:val="0"/>
        <w:widowControl w:val="0"/>
        <w:kinsoku/>
        <w:wordWrap/>
        <w:overflowPunct/>
        <w:topLinePunct w:val="0"/>
        <w:autoSpaceDE/>
        <w:autoSpaceDN/>
        <w:bidi w:val="0"/>
        <w:adjustRightInd/>
        <w:snapToGrid/>
        <w:spacing w:before="0" w:after="0" w:line="240" w:lineRule="auto"/>
        <w:textAlignment w:val="auto"/>
        <w:rPr>
          <w:rStyle w:val="25"/>
          <w:rFonts w:hint="eastAsia"/>
          <w:kern w:val="2"/>
          <w:lang w:val="en-US" w:eastAsia="zh-CN" w:bidi="ar-SA"/>
        </w:rPr>
      </w:pPr>
    </w:p>
    <w:p w14:paraId="124B0C2A">
      <w:pPr>
        <w:pStyle w:val="46"/>
        <w:rPr>
          <w:rFonts w:hint="eastAsia"/>
          <w:lang w:val="en-US" w:eastAsia="zh-CN"/>
        </w:rPr>
      </w:pPr>
    </w:p>
    <w:p w14:paraId="68B6895F">
      <w:pPr>
        <w:pStyle w:val="47"/>
        <w:keepNext/>
        <w:keepLines/>
        <w:pageBreakBefore w:val="0"/>
        <w:widowControl w:val="0"/>
        <w:kinsoku/>
        <w:wordWrap/>
        <w:overflowPunct/>
        <w:topLinePunct w:val="0"/>
        <w:autoSpaceDE/>
        <w:autoSpaceDN/>
        <w:bidi w:val="0"/>
        <w:adjustRightInd/>
        <w:snapToGrid/>
        <w:spacing w:before="0" w:after="0" w:line="240" w:lineRule="auto"/>
        <w:textAlignment w:val="auto"/>
        <w:rPr>
          <w:rStyle w:val="25"/>
          <w:rFonts w:hint="eastAsia"/>
          <w:kern w:val="2"/>
          <w:lang w:val="en-US" w:eastAsia="zh-CN" w:bidi="ar-SA"/>
        </w:rPr>
      </w:pPr>
      <w:r>
        <w:rPr>
          <w:rStyle w:val="25"/>
          <w:rFonts w:hint="eastAsia"/>
          <w:kern w:val="2"/>
          <w:lang w:val="en-US" w:eastAsia="zh-CN" w:bidi="ar-SA"/>
        </w:rPr>
        <w:t>附件三：</w:t>
      </w:r>
    </w:p>
    <w:p w14:paraId="39A9C547">
      <w:pPr>
        <w:pStyle w:val="46"/>
        <w:spacing w:line="240" w:lineRule="auto"/>
        <w:jc w:val="center"/>
        <w:rPr>
          <w:rStyle w:val="25"/>
          <w:rFonts w:ascii="宋体" w:hAnsi="宋体" w:eastAsia="宋体" w:cs="Times New Roman"/>
          <w:b/>
          <w:kern w:val="2"/>
          <w:sz w:val="32"/>
          <w:szCs w:val="32"/>
          <w:lang w:val="en-US" w:eastAsia="zh-CN" w:bidi="ar-SA"/>
        </w:rPr>
      </w:pPr>
      <w:r>
        <w:rPr>
          <w:rStyle w:val="25"/>
          <w:rFonts w:hint="eastAsia" w:ascii="宋体" w:hAnsi="宋体" w:eastAsia="宋体" w:cs="Times New Roman"/>
          <w:b/>
          <w:kern w:val="2"/>
          <w:sz w:val="32"/>
          <w:szCs w:val="32"/>
          <w:lang w:val="en-US" w:eastAsia="zh-CN" w:bidi="ar-SA"/>
        </w:rPr>
        <w:t>预付款担保函</w:t>
      </w:r>
    </w:p>
    <w:p w14:paraId="0DB4D3A6">
      <w:pPr>
        <w:pStyle w:val="46"/>
        <w:spacing w:line="24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(发包人名称)：</w:t>
      </w:r>
    </w:p>
    <w:p w14:paraId="6CE8E6DF">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根据　　　　　　　(承包人名称，以下简称“承包人”)与　　　　　(发包人名称，以下简称“发包人”)于　　　　年　　月　　日签订的　　　　　　　(项目名称)　　　　　　　(标段名称)合同协议书，承包人按约定的金额向发包人提交一份预付款担保，即有权得到发包人支付相等金额的预付款。我方愿意就你方提供给承包人的预付款提供担保。</w:t>
      </w:r>
    </w:p>
    <w:p w14:paraId="3A464034">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1.担保金额人民币(大写)　　　　　元(￥　　　　元)。</w:t>
      </w:r>
    </w:p>
    <w:p w14:paraId="5EF2C3BE">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2.担保有效期自预付款支付给承包人起生效，至发包人签发的进度付款证书说明预付款已完全扣清止。</w:t>
      </w:r>
    </w:p>
    <w:p w14:paraId="1BD0B880">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3.在本担保有效期内，因承包人违反合同约定的义务而要求收回预付款时，我方在收到你方的书面通知后，无条件地在7天内予以支付。但本担保的担保金额，在任何时候不应超过预付款金额减去发包人按合同约定在向承包人签发的进度付款证书中已扣回的金额。</w:t>
      </w:r>
    </w:p>
    <w:p w14:paraId="41809E56">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4.发包人和承包人按《通用合同条款》第15条变更合同时，我方承担本担保规定的义务不变。</w:t>
      </w:r>
    </w:p>
    <w:p w14:paraId="0DCFAFEB">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担保人：　　　　　　　　(盖单位章)</w:t>
      </w:r>
    </w:p>
    <w:p w14:paraId="49DAB464">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w:t>
      </w:r>
      <w:r>
        <w:rPr>
          <w:rStyle w:val="25"/>
          <w:rFonts w:hint="eastAsia" w:ascii="宋体" w:hAnsi="宋体" w:cs="Times New Roman"/>
          <w:kern w:val="2"/>
          <w:sz w:val="21"/>
          <w:szCs w:val="24"/>
          <w:lang w:val="en-US" w:eastAsia="zh-CN" w:bidi="ar-SA"/>
        </w:rPr>
        <w:t xml:space="preserve"> </w:t>
      </w:r>
      <w:r>
        <w:rPr>
          <w:rStyle w:val="25"/>
          <w:rFonts w:hint="eastAsia" w:ascii="宋体" w:hAnsi="宋体" w:eastAsia="宋体" w:cs="Times New Roman"/>
          <w:kern w:val="2"/>
          <w:sz w:val="21"/>
          <w:szCs w:val="24"/>
          <w:lang w:val="en-US" w:eastAsia="zh-CN" w:bidi="ar-SA"/>
        </w:rPr>
        <w:t>法定代表人或其委托代理人：　　(签字)</w:t>
      </w:r>
    </w:p>
    <w:p w14:paraId="6E06ACF3">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地址：　　　　　　　　　　　　　　　　　</w:t>
      </w:r>
    </w:p>
    <w:p w14:paraId="2144952B">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邮政编码：　　　　　　　　　　　　　　　</w:t>
      </w:r>
    </w:p>
    <w:p w14:paraId="0A76E778">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电话：　　　　　　　　　　　　　　　　　</w:t>
      </w:r>
    </w:p>
    <w:p w14:paraId="318036A4">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传真：　　　　　　　　　　　　　　　　　</w:t>
      </w:r>
    </w:p>
    <w:p w14:paraId="0589D94D">
      <w:pPr>
        <w:pStyle w:val="46"/>
        <w:spacing w:line="360" w:lineRule="auto"/>
        <w:rPr>
          <w:rStyle w:val="25"/>
          <w:rFonts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年　　月　　日</w:t>
      </w:r>
    </w:p>
    <w:p w14:paraId="18BBDBC8">
      <w:pPr>
        <w:pStyle w:val="46"/>
        <w:spacing w:line="360" w:lineRule="auto"/>
        <w:rPr>
          <w:rStyle w:val="25"/>
          <w:rFonts w:hint="eastAsia" w:ascii="宋体" w:hAnsi="宋体" w:eastAsia="宋体" w:cs="Times New Roman"/>
          <w:kern w:val="2"/>
          <w:sz w:val="21"/>
          <w:szCs w:val="24"/>
          <w:lang w:val="en-US" w:eastAsia="zh-CN" w:bidi="ar-SA"/>
        </w:rPr>
      </w:pPr>
    </w:p>
    <w:p w14:paraId="45891A2F">
      <w:pPr>
        <w:pStyle w:val="46"/>
        <w:spacing w:line="360" w:lineRule="auto"/>
        <w:rPr>
          <w:rStyle w:val="25"/>
          <w:rFonts w:hint="eastAsia" w:ascii="宋体" w:hAnsi="宋体" w:eastAsia="宋体" w:cs="Times New Roman"/>
          <w:kern w:val="2"/>
          <w:sz w:val="21"/>
          <w:szCs w:val="24"/>
          <w:lang w:val="en-US" w:eastAsia="zh-CN" w:bidi="ar-SA"/>
        </w:rPr>
      </w:pPr>
      <w:r>
        <w:rPr>
          <w:rStyle w:val="25"/>
          <w:rFonts w:hint="eastAsia" w:ascii="宋体" w:hAnsi="宋体" w:eastAsia="宋体" w:cs="Times New Roman"/>
          <w:kern w:val="2"/>
          <w:sz w:val="21"/>
          <w:szCs w:val="24"/>
          <w:lang w:val="en-US" w:eastAsia="zh-CN" w:bidi="ar-SA"/>
        </w:rPr>
        <w:t>　　注：委托代理人应附授权委托书。</w:t>
      </w:r>
    </w:p>
    <w:p w14:paraId="18B73EC0">
      <w:pPr>
        <w:pStyle w:val="6"/>
        <w:numPr>
          <w:ilvl w:val="0"/>
          <w:numId w:val="0"/>
        </w:numPr>
        <w:ind w:firstLine="1446" w:firstLineChars="300"/>
        <w:rPr>
          <w:rFonts w:hint="eastAsia"/>
          <w:color w:val="000000" w:themeColor="text1"/>
          <w:sz w:val="52"/>
          <w:szCs w:val="52"/>
          <w:lang w:val="en-US" w:eastAsia="zh-CN"/>
          <w14:textFill>
            <w14:solidFill>
              <w14:schemeClr w14:val="tx1"/>
            </w14:solidFill>
          </w14:textFill>
        </w:rPr>
      </w:pPr>
      <w:r>
        <w:rPr>
          <w:rFonts w:hint="eastAsia" w:ascii="宋体" w:hAnsi="宋体" w:eastAsia="宋体" w:cs="宋体"/>
          <w:b/>
          <w:bCs/>
          <w:color w:val="000000" w:themeColor="text1"/>
          <w:spacing w:val="0"/>
          <w:w w:val="100"/>
          <w:position w:val="0"/>
          <w:sz w:val="48"/>
          <w:szCs w:val="48"/>
          <w:highlight w:val="none"/>
          <w:u w:val="none"/>
          <w:shd w:val="clear" w:color="auto" w:fill="auto"/>
          <w:lang w:val="en-US" w:eastAsia="zh-CN" w:bidi="zh-TW"/>
          <w14:textFill>
            <w14:solidFill>
              <w14:schemeClr w14:val="tx1"/>
            </w14:solidFill>
          </w14:textFill>
        </w:rPr>
        <w:br w:type="page"/>
      </w:r>
      <w:bookmarkStart w:id="211" w:name="_Toc25048"/>
      <w:bookmarkStart w:id="212" w:name="_Toc18623"/>
    </w:p>
    <w:p w14:paraId="08AAD336">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color w:val="000000" w:themeColor="text1"/>
          <w14:textFill>
            <w14:solidFill>
              <w14:schemeClr w14:val="tx1"/>
            </w14:solidFill>
          </w14:textFill>
        </w:rPr>
      </w:pPr>
      <w:bookmarkStart w:id="213" w:name="_Toc13330"/>
      <w:r>
        <w:rPr>
          <w:rFonts w:hint="eastAsia" w:asciiTheme="minorEastAsia" w:hAnsiTheme="minorEastAsia" w:cstheme="minorEastAsia"/>
          <w:b/>
          <w:bCs/>
          <w:sz w:val="44"/>
          <w:szCs w:val="44"/>
          <w:u w:val="none"/>
          <w:lang w:val="en-US" w:eastAsia="zh-CN"/>
        </w:rPr>
        <w:t xml:space="preserve">第五章 </w:t>
      </w:r>
      <w:r>
        <w:rPr>
          <w:rFonts w:hint="eastAsia"/>
          <w:color w:val="000000" w:themeColor="text1"/>
          <w:sz w:val="52"/>
          <w:szCs w:val="52"/>
          <w:lang w:val="en-US" w:eastAsia="zh-CN"/>
          <w14:textFill>
            <w14:solidFill>
              <w14:schemeClr w14:val="tx1"/>
            </w14:solidFill>
          </w14:textFill>
        </w:rPr>
        <w:t xml:space="preserve"> </w:t>
      </w:r>
      <w:bookmarkEnd w:id="211"/>
      <w:bookmarkEnd w:id="212"/>
      <w:bookmarkStart w:id="214" w:name="_Toc14401"/>
      <w:bookmarkStart w:id="215" w:name="_Toc14017"/>
      <w:bookmarkStart w:id="216" w:name="_Toc21259"/>
      <w:r>
        <w:rPr>
          <w:rFonts w:hint="eastAsia" w:asciiTheme="minorEastAsia" w:hAnsiTheme="minorEastAsia" w:cstheme="minorEastAsia"/>
          <w:b/>
          <w:bCs/>
          <w:sz w:val="44"/>
          <w:szCs w:val="44"/>
          <w:u w:val="none"/>
          <w:lang w:val="en-US" w:eastAsia="zh-CN"/>
        </w:rPr>
        <w:t>采购需求</w:t>
      </w:r>
      <w:bookmarkEnd w:id="213"/>
      <w:bookmarkEnd w:id="214"/>
    </w:p>
    <w:bookmarkEnd w:id="215"/>
    <w:bookmarkEnd w:id="216"/>
    <w:p w14:paraId="05EDB8A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heme="minorEastAsia" w:hAnsiTheme="minorEastAsia" w:cstheme="minorEastAsia"/>
          <w:b w:val="0"/>
          <w:bCs w:val="0"/>
          <w:color w:val="000000" w:themeColor="text1"/>
          <w:sz w:val="24"/>
          <w:szCs w:val="24"/>
          <w:lang w:val="en-US" w:eastAsia="zh-CN"/>
          <w14:textFill>
            <w14:solidFill>
              <w14:schemeClr w14:val="tx1"/>
            </w14:solidFill>
          </w14:textFill>
        </w:rPr>
      </w:pPr>
      <w:bookmarkStart w:id="217" w:name="_Toc1217"/>
      <w:bookmarkStart w:id="218" w:name="_Toc31484"/>
      <w:bookmarkStart w:id="219" w:name="_Toc1913"/>
      <w:bookmarkStart w:id="220" w:name="_Toc16622"/>
      <w:r>
        <w:rPr>
          <w:rFonts w:hint="eastAsia" w:asciiTheme="minorEastAsia" w:hAnsiTheme="minorEastAsia" w:cstheme="minorEastAsia"/>
          <w:b w:val="0"/>
          <w:bCs w:val="0"/>
          <w:color w:val="000000" w:themeColor="text1"/>
          <w:sz w:val="24"/>
          <w:szCs w:val="24"/>
          <w:lang w:val="en-US" w:eastAsia="zh-CN"/>
          <w14:textFill>
            <w14:solidFill>
              <w14:schemeClr w14:val="tx1"/>
            </w14:solidFill>
          </w14:textFill>
        </w:rPr>
        <w:t>项目名称：</w:t>
      </w: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青海民族大学博雅校区工科北楼智算中心维修保障项目</w:t>
      </w:r>
      <w:r>
        <w:rPr>
          <w:rFonts w:hint="eastAsia" w:asciiTheme="minorEastAsia" w:hAnsiTheme="minorEastAsia" w:cstheme="minorEastAsia"/>
          <w:b w:val="0"/>
          <w:bCs w:val="0"/>
          <w:color w:val="000000" w:themeColor="text1"/>
          <w:sz w:val="24"/>
          <w:szCs w:val="24"/>
          <w:lang w:val="en-US" w:eastAsia="zh-CN"/>
          <w14:textFill>
            <w14:solidFill>
              <w14:schemeClr w14:val="tx1"/>
            </w14:solidFill>
          </w14:textFill>
        </w:rPr>
        <w:t xml:space="preserve"> </w:t>
      </w:r>
    </w:p>
    <w:p w14:paraId="111D533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heme="minorEastAsia" w:hAnsi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建设地点</w:t>
      </w:r>
      <w:r>
        <w:rPr>
          <w:rFonts w:hint="eastAsia" w:asciiTheme="minorEastAsia" w:hAnsiTheme="minorEastAsia" w:cstheme="minorEastAsia"/>
          <w:b w:val="0"/>
          <w:bCs w:val="0"/>
          <w:color w:val="000000" w:themeColor="text1"/>
          <w:sz w:val="24"/>
          <w:szCs w:val="24"/>
          <w:u w:val="none"/>
          <w:lang w:val="en-US" w:eastAsia="zh-CN"/>
          <w14:textFill>
            <w14:solidFill>
              <w14:schemeClr w14:val="tx1"/>
            </w14:solidFill>
          </w14:textFill>
        </w:rPr>
        <w:t>：</w:t>
      </w:r>
      <w:r>
        <w:rPr>
          <w:rFonts w:hint="eastAsia" w:asciiTheme="minorEastAsia" w:hAnsiTheme="minorEastAsia" w:cstheme="minorEastAsia"/>
          <w:b w:val="0"/>
          <w:bCs w:val="0"/>
          <w:color w:val="000000" w:themeColor="text1"/>
          <w:sz w:val="24"/>
          <w:szCs w:val="24"/>
          <w:lang w:val="en-US" w:eastAsia="zh-CN"/>
          <w14:textFill>
            <w14:solidFill>
              <w14:schemeClr w14:val="tx1"/>
            </w14:solidFill>
          </w14:textFill>
        </w:rPr>
        <w:t>青海民族大学</w:t>
      </w:r>
    </w:p>
    <w:p w14:paraId="19391AAB">
      <w:pPr>
        <w:pStyle w:val="8"/>
        <w:spacing w:line="240" w:lineRule="auto"/>
        <w:rPr>
          <w:rFonts w:hint="default" w:asciiTheme="minorEastAsia" w:hAnsiTheme="minorEastAsia" w:eastAsiaTheme="minorEastAsia" w:cstheme="minorEastAsia"/>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highlight w:val="none"/>
          <w:u w:val="none"/>
          <w:lang w:val="en-US" w:eastAsia="zh-CN" w:bidi="ar-SA"/>
          <w14:textFill>
            <w14:solidFill>
              <w14:schemeClr w14:val="tx1"/>
            </w14:solidFill>
          </w14:textFill>
        </w:rPr>
        <w:t>建设内容：</w:t>
      </w:r>
      <w:r>
        <w:rPr>
          <w:rFonts w:hint="eastAsia" w:asciiTheme="minorEastAsia" w:hAnsiTheme="minorEastAsia" w:cstheme="minorEastAsia"/>
          <w:b w:val="0"/>
          <w:bCs w:val="0"/>
          <w:color w:val="000000" w:themeColor="text1"/>
          <w:sz w:val="24"/>
          <w:szCs w:val="24"/>
          <w:lang w:val="en-US" w:eastAsia="zh-CN"/>
          <w14:textFill>
            <w14:solidFill>
              <w14:schemeClr w14:val="tx1"/>
            </w14:solidFill>
          </w14:textFill>
        </w:rPr>
        <w:t>青海民</w:t>
      </w: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族大学博雅校区工科北楼智算中心维</w:t>
      </w:r>
      <w:r>
        <w:rPr>
          <w:rFonts w:hint="eastAsia" w:asciiTheme="minorEastAsia" w:hAnsiTheme="minorEastAsia" w:cstheme="minorEastAsia"/>
          <w:b w:val="0"/>
          <w:bCs w:val="0"/>
          <w:color w:val="000000" w:themeColor="text1"/>
          <w:sz w:val="24"/>
          <w:szCs w:val="24"/>
          <w:lang w:val="en-US" w:eastAsia="zh-CN"/>
          <w14:textFill>
            <w14:solidFill>
              <w14:schemeClr w14:val="tx1"/>
            </w14:solidFill>
          </w14:textFill>
        </w:rPr>
        <w:t>修保障。</w:t>
      </w:r>
    </w:p>
    <w:p w14:paraId="0ED234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质量要求：国家现行规范合格标准</w:t>
      </w:r>
    </w:p>
    <w:p w14:paraId="4E25541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heme="minorEastAsia" w:hAnsiTheme="minorEastAsia" w:eastAsiaTheme="minorEastAsia" w:cstheme="minorEastAsia"/>
          <w:b w:val="0"/>
          <w:bCs w:val="0"/>
          <w:color w:val="000000" w:themeColor="text1"/>
          <w:sz w:val="24"/>
          <w:szCs w:val="24"/>
          <w:highlight w:val="none"/>
          <w:u w:val="none"/>
          <w:lang w:val="en-US" w:eastAsia="zh-CN"/>
          <w14:textFill>
            <w14:solidFill>
              <w14:schemeClr w14:val="tx1"/>
            </w14:solidFill>
          </w14:textFill>
        </w:rPr>
      </w:pPr>
      <w:r>
        <w:rPr>
          <w:rFonts w:hint="eastAsia" w:asciiTheme="minorEastAsia" w:hAnsiTheme="minorEastAsia" w:cstheme="minorEastAsia"/>
          <w:b w:val="0"/>
          <w:bCs w:val="0"/>
          <w:color w:val="000000" w:themeColor="text1"/>
          <w:sz w:val="24"/>
          <w:szCs w:val="24"/>
          <w:highlight w:val="none"/>
          <w:u w:val="none"/>
          <w:lang w:val="en-US" w:eastAsia="zh-CN"/>
          <w14:textFill>
            <w14:solidFill>
              <w14:schemeClr w14:val="tx1"/>
            </w14:solidFill>
          </w14:textFill>
        </w:rPr>
        <w:t>安全目标</w:t>
      </w:r>
      <w:r>
        <w:rPr>
          <w:rFonts w:hint="eastAsia" w:asciiTheme="minorEastAsia" w:hAnsiTheme="minorEastAsia" w:eastAsiaTheme="minorEastAsia" w:cstheme="minorEastAsia"/>
          <w:b w:val="0"/>
          <w:bCs w:val="0"/>
          <w:color w:val="000000" w:themeColor="text1"/>
          <w:sz w:val="24"/>
          <w:szCs w:val="24"/>
          <w:highlight w:val="none"/>
          <w:u w:val="none"/>
          <w:lang w:val="en-US" w:eastAsia="zh-CN"/>
          <w14:textFill>
            <w14:solidFill>
              <w14:schemeClr w14:val="tx1"/>
            </w14:solidFill>
          </w14:textFill>
        </w:rPr>
        <w:t>：</w:t>
      </w:r>
      <w:bookmarkStart w:id="221" w:name="EB51ece2fd153f4857baac99cf1b38c173"/>
      <w:r>
        <w:rPr>
          <w:rFonts w:hint="eastAsia" w:asciiTheme="minorEastAsia" w:hAnsiTheme="minorEastAsia" w:eastAsiaTheme="minorEastAsia" w:cstheme="minorEastAsia"/>
          <w:b w:val="0"/>
          <w:bCs w:val="0"/>
          <w:color w:val="000000" w:themeColor="text1"/>
          <w:sz w:val="24"/>
          <w:szCs w:val="24"/>
          <w:highlight w:val="none"/>
          <w:u w:val="none"/>
          <w:lang w:val="en-US" w:eastAsia="zh-CN"/>
          <w14:textFill>
            <w14:solidFill>
              <w14:schemeClr w14:val="tx1"/>
            </w14:solidFill>
          </w14:textFill>
        </w:rPr>
        <w:t>满足国家、省级</w:t>
      </w:r>
      <w:r>
        <w:rPr>
          <w:rFonts w:hint="eastAsia" w:asciiTheme="minorEastAsia" w:hAnsiTheme="minorEastAsia" w:cstheme="minorEastAsia"/>
          <w:b w:val="0"/>
          <w:bCs w:val="0"/>
          <w:color w:val="000000" w:themeColor="text1"/>
          <w:sz w:val="24"/>
          <w:szCs w:val="24"/>
          <w:highlight w:val="none"/>
          <w:u w:val="none"/>
          <w:lang w:val="en-US" w:eastAsia="zh-CN"/>
          <w14:textFill>
            <w14:solidFill>
              <w14:schemeClr w14:val="tx1"/>
            </w14:solidFill>
          </w14:textFill>
        </w:rPr>
        <w:t>建设</w:t>
      </w:r>
      <w:r>
        <w:rPr>
          <w:rFonts w:hint="eastAsia" w:asciiTheme="minorEastAsia" w:hAnsiTheme="minorEastAsia" w:eastAsiaTheme="minorEastAsia" w:cstheme="minorEastAsia"/>
          <w:b w:val="0"/>
          <w:bCs w:val="0"/>
          <w:color w:val="000000" w:themeColor="text1"/>
          <w:sz w:val="24"/>
          <w:szCs w:val="24"/>
          <w:highlight w:val="none"/>
          <w:u w:val="none"/>
          <w:lang w:val="en-US" w:eastAsia="zh-CN"/>
          <w14:textFill>
            <w14:solidFill>
              <w14:schemeClr w14:val="tx1"/>
            </w14:solidFill>
          </w14:textFill>
        </w:rPr>
        <w:t>主管部门及发包人的相关规定</w:t>
      </w:r>
      <w:bookmarkEnd w:id="221"/>
    </w:p>
    <w:p w14:paraId="6965682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heme="minorEastAsia" w:hAnsiTheme="minorEastAsia" w:eastAsiaTheme="minorEastAsia" w:cstheme="minorEastAsia"/>
          <w:b w:val="0"/>
          <w:bCs w:val="0"/>
          <w:color w:val="000000" w:themeColor="text1"/>
          <w:sz w:val="24"/>
          <w:szCs w:val="24"/>
          <w:highlight w:val="none"/>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u w:val="none"/>
          <w:lang w:val="en-US" w:eastAsia="zh-CN"/>
          <w14:textFill>
            <w14:solidFill>
              <w14:schemeClr w14:val="tx1"/>
            </w14:solidFill>
          </w14:textFill>
        </w:rPr>
        <w:t>计划工期：</w:t>
      </w:r>
      <w:r>
        <w:rPr>
          <w:rFonts w:hint="eastAsia" w:asciiTheme="minorEastAsia" w:hAnsiTheme="minorEastAsia" w:cstheme="minorEastAsia"/>
          <w:b w:val="0"/>
          <w:bCs w:val="0"/>
          <w:color w:val="000000" w:themeColor="text1"/>
          <w:sz w:val="24"/>
          <w:szCs w:val="24"/>
          <w:highlight w:val="none"/>
          <w:u w:val="none"/>
          <w:lang w:val="en-US" w:eastAsia="zh-CN"/>
          <w14:textFill>
            <w14:solidFill>
              <w14:schemeClr w14:val="tx1"/>
            </w14:solidFill>
          </w14:textFill>
        </w:rPr>
        <w:t>30日历天</w:t>
      </w:r>
    </w:p>
    <w:p w14:paraId="4BA3D5C1">
      <w:pPr>
        <w:rPr>
          <w:rFonts w:hint="eastAsia"/>
          <w:b/>
          <w:bCs/>
          <w:sz w:val="28"/>
          <w:szCs w:val="36"/>
          <w:lang w:val="en-US" w:eastAsia="zh-CN"/>
        </w:rPr>
      </w:pPr>
      <w:r>
        <w:rPr>
          <w:rFonts w:hint="eastAsia"/>
          <w:b/>
          <w:bCs/>
          <w:sz w:val="28"/>
          <w:szCs w:val="36"/>
          <w:lang w:val="en-US" w:eastAsia="zh-CN"/>
        </w:rPr>
        <w:br w:type="page"/>
      </w:r>
    </w:p>
    <w:p w14:paraId="618D6712">
      <w:pPr>
        <w:jc w:val="left"/>
        <w:rPr>
          <w:rFonts w:hint="eastAsia"/>
          <w:b/>
          <w:bCs/>
          <w:sz w:val="28"/>
          <w:szCs w:val="36"/>
          <w:lang w:val="en-US" w:eastAsia="zh-CN"/>
        </w:rPr>
      </w:pPr>
      <w:r>
        <w:rPr>
          <w:rFonts w:hint="eastAsia"/>
          <w:b/>
          <w:bCs/>
          <w:sz w:val="28"/>
          <w:szCs w:val="36"/>
          <w:lang w:val="en-US" w:eastAsia="zh-CN"/>
        </w:rPr>
        <w:t>附：工程量清单：</w:t>
      </w:r>
    </w:p>
    <w:p w14:paraId="4FA5A847">
      <w:pPr>
        <w:pStyle w:val="22"/>
        <w:rPr>
          <w:rFonts w:hint="eastAsia"/>
          <w:lang w:val="en-US" w:eastAsia="zh-CN"/>
        </w:rPr>
      </w:pPr>
    </w:p>
    <w:p w14:paraId="036B22CA">
      <w:pPr>
        <w:pStyle w:val="22"/>
        <w:rPr>
          <w:rFonts w:hint="eastAsia"/>
          <w:lang w:val="en-US" w:eastAsia="zh-CN"/>
        </w:rPr>
      </w:pPr>
    </w:p>
    <w:p w14:paraId="05B0DD8F">
      <w:pPr>
        <w:pStyle w:val="22"/>
        <w:ind w:left="0" w:leftChars="0" w:firstLine="0" w:firstLineChars="0"/>
        <w:rPr>
          <w:rFonts w:hint="eastAsia"/>
          <w:lang w:val="en-US" w:eastAsia="zh-CN"/>
        </w:rPr>
        <w:sectPr>
          <w:headerReference r:id="rId5" w:type="default"/>
          <w:footerReference r:id="rId6" w:type="default"/>
          <w:pgSz w:w="11906" w:h="16838"/>
          <w:pgMar w:top="1440" w:right="1800" w:bottom="1440" w:left="1800" w:header="851" w:footer="992" w:gutter="0"/>
          <w:pgNumType w:fmt="decimal"/>
          <w:cols w:space="0" w:num="1"/>
          <w:rtlGutter w:val="0"/>
          <w:docGrid w:type="lines" w:linePitch="312" w:charSpace="0"/>
        </w:sectPr>
      </w:pPr>
      <w:r>
        <w:drawing>
          <wp:inline distT="0" distB="0" distL="114300" distR="114300">
            <wp:extent cx="5052060" cy="6948805"/>
            <wp:effectExtent l="0" t="0" r="15240"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052060" cy="6948805"/>
                    </a:xfrm>
                    <a:prstGeom prst="rect">
                      <a:avLst/>
                    </a:prstGeom>
                    <a:noFill/>
                    <a:ln>
                      <a:noFill/>
                    </a:ln>
                  </pic:spPr>
                </pic:pic>
              </a:graphicData>
            </a:graphic>
          </wp:inline>
        </w:drawing>
      </w:r>
    </w:p>
    <w:p w14:paraId="64944060">
      <w:pPr>
        <w:pStyle w:val="22"/>
        <w:ind w:left="0" w:leftChars="0" w:firstLine="0" w:firstLineChars="0"/>
        <w:rPr>
          <w:rFonts w:hint="eastAsia"/>
          <w:lang w:val="en-US" w:eastAsia="zh-CN"/>
        </w:rPr>
        <w:sectPr>
          <w:pgSz w:w="11906" w:h="16838"/>
          <w:pgMar w:top="1440" w:right="1800" w:bottom="1440" w:left="1800" w:header="851" w:footer="992" w:gutter="0"/>
          <w:pgNumType w:fmt="decimal"/>
          <w:cols w:space="0" w:num="1"/>
          <w:rtlGutter w:val="0"/>
          <w:docGrid w:type="lines" w:linePitch="312" w:charSpace="0"/>
        </w:sectPr>
      </w:pPr>
      <w:r>
        <w:drawing>
          <wp:inline distT="0" distB="0" distL="114300" distR="114300">
            <wp:extent cx="5099050" cy="7157720"/>
            <wp:effectExtent l="0" t="0" r="6350" b="50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5099050" cy="7157720"/>
                    </a:xfrm>
                    <a:prstGeom prst="rect">
                      <a:avLst/>
                    </a:prstGeom>
                    <a:noFill/>
                    <a:ln>
                      <a:noFill/>
                    </a:ln>
                  </pic:spPr>
                </pic:pic>
              </a:graphicData>
            </a:graphic>
          </wp:inline>
        </w:drawing>
      </w:r>
      <w:r>
        <w:drawing>
          <wp:inline distT="0" distB="0" distL="114300" distR="114300">
            <wp:extent cx="5340350" cy="7322185"/>
            <wp:effectExtent l="0" t="0" r="12700" b="1206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5340350" cy="7322185"/>
                    </a:xfrm>
                    <a:prstGeom prst="rect">
                      <a:avLst/>
                    </a:prstGeom>
                    <a:noFill/>
                    <a:ln>
                      <a:noFill/>
                    </a:ln>
                  </pic:spPr>
                </pic:pic>
              </a:graphicData>
            </a:graphic>
          </wp:inline>
        </w:drawing>
      </w:r>
      <w:r>
        <w:drawing>
          <wp:inline distT="0" distB="0" distL="114300" distR="114300">
            <wp:extent cx="5272405" cy="7329170"/>
            <wp:effectExtent l="0" t="0" r="4445" b="508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2"/>
                    <a:stretch>
                      <a:fillRect/>
                    </a:stretch>
                  </pic:blipFill>
                  <pic:spPr>
                    <a:xfrm>
                      <a:off x="0" y="0"/>
                      <a:ext cx="5272405" cy="7329170"/>
                    </a:xfrm>
                    <a:prstGeom prst="rect">
                      <a:avLst/>
                    </a:prstGeom>
                    <a:noFill/>
                    <a:ln>
                      <a:noFill/>
                    </a:ln>
                  </pic:spPr>
                </pic:pic>
              </a:graphicData>
            </a:graphic>
          </wp:inline>
        </w:drawing>
      </w:r>
      <w:r>
        <w:drawing>
          <wp:inline distT="0" distB="0" distL="114300" distR="114300">
            <wp:extent cx="5271770" cy="7142480"/>
            <wp:effectExtent l="0" t="0" r="5080" b="127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3"/>
                    <a:stretch>
                      <a:fillRect/>
                    </a:stretch>
                  </pic:blipFill>
                  <pic:spPr>
                    <a:xfrm>
                      <a:off x="0" y="0"/>
                      <a:ext cx="5271770" cy="7142480"/>
                    </a:xfrm>
                    <a:prstGeom prst="rect">
                      <a:avLst/>
                    </a:prstGeom>
                    <a:noFill/>
                    <a:ln>
                      <a:noFill/>
                    </a:ln>
                  </pic:spPr>
                </pic:pic>
              </a:graphicData>
            </a:graphic>
          </wp:inline>
        </w:drawing>
      </w:r>
      <w:r>
        <w:drawing>
          <wp:inline distT="0" distB="0" distL="114300" distR="114300">
            <wp:extent cx="5459730" cy="7421245"/>
            <wp:effectExtent l="0" t="0" r="7620" b="825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4"/>
                    <a:stretch>
                      <a:fillRect/>
                    </a:stretch>
                  </pic:blipFill>
                  <pic:spPr>
                    <a:xfrm>
                      <a:off x="0" y="0"/>
                      <a:ext cx="5459730" cy="7421245"/>
                    </a:xfrm>
                    <a:prstGeom prst="rect">
                      <a:avLst/>
                    </a:prstGeom>
                    <a:noFill/>
                    <a:ln>
                      <a:noFill/>
                    </a:ln>
                  </pic:spPr>
                </pic:pic>
              </a:graphicData>
            </a:graphic>
          </wp:inline>
        </w:drawing>
      </w:r>
      <w:r>
        <w:drawing>
          <wp:inline distT="0" distB="0" distL="114300" distR="114300">
            <wp:extent cx="5580380" cy="7604760"/>
            <wp:effectExtent l="0" t="0" r="1270" b="1524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5"/>
                    <a:stretch>
                      <a:fillRect/>
                    </a:stretch>
                  </pic:blipFill>
                  <pic:spPr>
                    <a:xfrm>
                      <a:off x="0" y="0"/>
                      <a:ext cx="5580380" cy="7604760"/>
                    </a:xfrm>
                    <a:prstGeom prst="rect">
                      <a:avLst/>
                    </a:prstGeom>
                    <a:noFill/>
                    <a:ln>
                      <a:noFill/>
                    </a:ln>
                  </pic:spPr>
                </pic:pic>
              </a:graphicData>
            </a:graphic>
          </wp:inline>
        </w:drawing>
      </w:r>
      <w:r>
        <w:drawing>
          <wp:inline distT="0" distB="0" distL="114300" distR="114300">
            <wp:extent cx="5694045" cy="7706360"/>
            <wp:effectExtent l="0" t="0" r="1905" b="889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6"/>
                    <a:stretch>
                      <a:fillRect/>
                    </a:stretch>
                  </pic:blipFill>
                  <pic:spPr>
                    <a:xfrm>
                      <a:off x="0" y="0"/>
                      <a:ext cx="5694045" cy="7706360"/>
                    </a:xfrm>
                    <a:prstGeom prst="rect">
                      <a:avLst/>
                    </a:prstGeom>
                    <a:noFill/>
                    <a:ln>
                      <a:noFill/>
                    </a:ln>
                  </pic:spPr>
                </pic:pic>
              </a:graphicData>
            </a:graphic>
          </wp:inline>
        </w:drawing>
      </w:r>
      <w:r>
        <w:drawing>
          <wp:inline distT="0" distB="0" distL="114300" distR="114300">
            <wp:extent cx="5273040" cy="7270750"/>
            <wp:effectExtent l="0" t="0" r="3810" b="635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7"/>
                    <a:stretch>
                      <a:fillRect/>
                    </a:stretch>
                  </pic:blipFill>
                  <pic:spPr>
                    <a:xfrm>
                      <a:off x="0" y="0"/>
                      <a:ext cx="5273040" cy="7270750"/>
                    </a:xfrm>
                    <a:prstGeom prst="rect">
                      <a:avLst/>
                    </a:prstGeom>
                    <a:noFill/>
                    <a:ln>
                      <a:noFill/>
                    </a:ln>
                  </pic:spPr>
                </pic:pic>
              </a:graphicData>
            </a:graphic>
          </wp:inline>
        </w:drawing>
      </w:r>
    </w:p>
    <w:p w14:paraId="4318E571">
      <w:pPr>
        <w:pStyle w:val="22"/>
        <w:rPr>
          <w:rFonts w:hint="eastAsia"/>
          <w:lang w:val="en-US" w:eastAsia="zh-CN"/>
        </w:rPr>
      </w:pPr>
    </w:p>
    <w:p w14:paraId="7B8C4AF8">
      <w:pPr>
        <w:pStyle w:val="22"/>
        <w:rPr>
          <w:rFonts w:hint="eastAsia"/>
          <w:lang w:val="en-US" w:eastAsia="zh-CN"/>
        </w:rPr>
      </w:pPr>
    </w:p>
    <w:p w14:paraId="37856910">
      <w:pPr>
        <w:pStyle w:val="22"/>
        <w:rPr>
          <w:rFonts w:hint="eastAsia"/>
          <w:lang w:val="en-US" w:eastAsia="zh-CN"/>
        </w:rPr>
      </w:pPr>
    </w:p>
    <w:p w14:paraId="18764B42">
      <w:pPr>
        <w:pStyle w:val="22"/>
        <w:rPr>
          <w:rFonts w:hint="eastAsia"/>
          <w:lang w:val="en-US" w:eastAsia="zh-CN"/>
        </w:rPr>
      </w:pPr>
    </w:p>
    <w:p w14:paraId="2E8C7C00">
      <w:pPr>
        <w:pStyle w:val="22"/>
        <w:rPr>
          <w:rFonts w:hint="eastAsia"/>
          <w:lang w:val="en-US" w:eastAsia="zh-CN"/>
        </w:rPr>
      </w:pPr>
    </w:p>
    <w:p w14:paraId="3C83EF8C">
      <w:pPr>
        <w:pStyle w:val="22"/>
        <w:rPr>
          <w:rFonts w:hint="eastAsia"/>
          <w:lang w:val="en-US" w:eastAsia="zh-CN"/>
        </w:rPr>
      </w:pPr>
    </w:p>
    <w:p w14:paraId="345BCB0B">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color w:val="000000" w:themeColor="text1"/>
          <w:sz w:val="52"/>
          <w:szCs w:val="52"/>
          <w:lang w:val="en-US" w:eastAsia="zh-CN"/>
          <w14:textFill>
            <w14:solidFill>
              <w14:schemeClr w14:val="tx1"/>
            </w14:solidFill>
          </w14:textFill>
        </w:rPr>
      </w:pPr>
      <w:bookmarkStart w:id="222" w:name="_Toc10818"/>
    </w:p>
    <w:p w14:paraId="3E9B9D7E">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color w:val="000000" w:themeColor="text1"/>
          <w:sz w:val="52"/>
          <w:szCs w:val="52"/>
          <w:lang w:val="en-US" w:eastAsia="zh-CN"/>
          <w14:textFill>
            <w14:solidFill>
              <w14:schemeClr w14:val="tx1"/>
            </w14:solidFill>
          </w14:textFill>
        </w:rPr>
      </w:pPr>
    </w:p>
    <w:p w14:paraId="256CE93E">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color w:val="000000" w:themeColor="text1"/>
          <w:sz w:val="52"/>
          <w:szCs w:val="52"/>
          <w:lang w:val="en-US" w:eastAsia="zh-CN"/>
          <w14:textFill>
            <w14:solidFill>
              <w14:schemeClr w14:val="tx1"/>
            </w14:solidFill>
          </w14:textFill>
        </w:rPr>
      </w:pPr>
    </w:p>
    <w:p w14:paraId="4C9D16E5">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color w:val="000000" w:themeColor="text1"/>
          <w:sz w:val="52"/>
          <w:szCs w:val="52"/>
          <w:lang w:val="en-US" w:eastAsia="zh-CN"/>
          <w14:textFill>
            <w14:solidFill>
              <w14:schemeClr w14:val="tx1"/>
            </w14:solidFill>
          </w14:textFill>
        </w:rPr>
      </w:pPr>
    </w:p>
    <w:p w14:paraId="792787A0">
      <w:pPr>
        <w:pStyle w:val="2"/>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color w:val="000000" w:themeColor="text1"/>
          <w:sz w:val="52"/>
          <w:szCs w:val="52"/>
          <w:lang w:val="en-US" w:eastAsia="zh-CN"/>
          <w14:textFill>
            <w14:solidFill>
              <w14:schemeClr w14:val="tx1"/>
            </w14:solidFill>
          </w14:textFill>
        </w:rPr>
      </w:pPr>
      <w:bookmarkStart w:id="223" w:name="_Toc21578"/>
      <w:r>
        <w:rPr>
          <w:rFonts w:hint="eastAsia"/>
          <w:color w:val="000000" w:themeColor="text1"/>
          <w:sz w:val="52"/>
          <w:szCs w:val="52"/>
          <w:lang w:val="en-US" w:eastAsia="zh-CN"/>
          <w14:textFill>
            <w14:solidFill>
              <w14:schemeClr w14:val="tx1"/>
            </w14:solidFill>
          </w14:textFill>
        </w:rPr>
        <w:t>第六章  响应文件格式</w:t>
      </w:r>
      <w:bookmarkEnd w:id="222"/>
      <w:bookmarkEnd w:id="223"/>
    </w:p>
    <w:p w14:paraId="3F51AF00">
      <w:pPr>
        <w:rPr>
          <w:rFonts w:ascii="宋体" w:hAnsi="宋体"/>
          <w:b/>
          <w:bCs/>
          <w:color w:val="000000" w:themeColor="text1"/>
          <w:kern w:val="2"/>
          <w:sz w:val="36"/>
          <w:szCs w:val="36"/>
          <w:highlight w:val="none"/>
          <w14:textFill>
            <w14:solidFill>
              <w14:schemeClr w14:val="tx1"/>
            </w14:solidFill>
          </w14:textFill>
        </w:rPr>
      </w:pPr>
      <w:r>
        <w:rPr>
          <w:rFonts w:ascii="宋体" w:hAnsi="宋体"/>
          <w:b/>
          <w:bCs/>
          <w:color w:val="000000" w:themeColor="text1"/>
          <w:kern w:val="2"/>
          <w:sz w:val="36"/>
          <w:szCs w:val="36"/>
          <w:highlight w:val="none"/>
          <w14:textFill>
            <w14:solidFill>
              <w14:schemeClr w14:val="tx1"/>
            </w14:solidFill>
          </w14:textFill>
        </w:rPr>
        <w:br w:type="page"/>
      </w:r>
    </w:p>
    <w:p w14:paraId="1E9B9F52">
      <w:pPr>
        <w:pStyle w:val="22"/>
        <w:rPr>
          <w:color w:val="000000" w:themeColor="text1"/>
          <w14:textFill>
            <w14:solidFill>
              <w14:schemeClr w14:val="tx1"/>
            </w14:solidFill>
          </w14:textFill>
        </w:rPr>
      </w:pPr>
    </w:p>
    <w:p w14:paraId="207DCB41">
      <w:pPr>
        <w:bidi w:val="0"/>
        <w:jc w:val="center"/>
        <w:rPr>
          <w:rFonts w:hint="eastAsia"/>
          <w:color w:val="000000" w:themeColor="text1"/>
          <w:sz w:val="44"/>
          <w:szCs w:val="44"/>
          <w:lang w:eastAsia="zh-CN"/>
          <w14:textFill>
            <w14:solidFill>
              <w14:schemeClr w14:val="tx1"/>
            </w14:solidFill>
          </w14:textFill>
        </w:rPr>
      </w:pPr>
      <w:bookmarkStart w:id="224" w:name="_Toc11574"/>
      <w:bookmarkStart w:id="225" w:name="_Toc20698"/>
      <w:bookmarkStart w:id="226" w:name="_Toc3658"/>
      <w:bookmarkStart w:id="227" w:name="_Toc18279"/>
      <w:bookmarkStart w:id="228" w:name="_Toc25895"/>
      <w:r>
        <w:rPr>
          <w:rFonts w:hint="eastAsia" w:asciiTheme="minorEastAsia" w:hAnsiTheme="minorEastAsia" w:eastAsiaTheme="minorEastAsia" w:cstheme="minorEastAsia"/>
          <w:color w:val="000000" w:themeColor="text1"/>
          <w:sz w:val="44"/>
          <w:szCs w:val="44"/>
          <w:u w:val="single"/>
          <w:lang w:val="en-US" w:eastAsia="zh-CN"/>
          <w14:textFill>
            <w14:solidFill>
              <w14:schemeClr w14:val="tx1"/>
            </w14:solidFill>
          </w14:textFill>
        </w:rPr>
        <w:t xml:space="preserve">       </w:t>
      </w:r>
      <w:r>
        <w:rPr>
          <w:rFonts w:hint="eastAsia"/>
          <w:color w:val="000000" w:themeColor="text1"/>
          <w:sz w:val="44"/>
          <w:szCs w:val="44"/>
          <w:u w:val="single"/>
          <w:lang w:val="en-US" w:eastAsia="zh-CN"/>
          <w14:textFill>
            <w14:solidFill>
              <w14:schemeClr w14:val="tx1"/>
            </w14:solidFill>
          </w14:textFill>
        </w:rPr>
        <w:t xml:space="preserve"> </w:t>
      </w:r>
      <w:r>
        <w:rPr>
          <w:rFonts w:hint="eastAsia"/>
          <w:color w:val="000000" w:themeColor="text1"/>
          <w:sz w:val="44"/>
          <w:szCs w:val="44"/>
          <w14:textFill>
            <w14:solidFill>
              <w14:schemeClr w14:val="tx1"/>
            </w14:solidFill>
          </w14:textFill>
        </w:rPr>
        <w:t>（项目名称）</w:t>
      </w:r>
      <w:bookmarkEnd w:id="224"/>
      <w:bookmarkEnd w:id="225"/>
      <w:bookmarkEnd w:id="226"/>
      <w:bookmarkEnd w:id="227"/>
      <w:bookmarkEnd w:id="228"/>
    </w:p>
    <w:p w14:paraId="1EEB91C0">
      <w:pPr>
        <w:spacing w:beforeLines="30" w:afterLines="30" w:line="240" w:lineRule="atLeast"/>
        <w:ind w:firstLine="480"/>
        <w:rPr>
          <w:rFonts w:ascii="宋体" w:hAnsi="宋体"/>
          <w:color w:val="000000" w:themeColor="text1"/>
          <w:kern w:val="2"/>
          <w:highlight w:val="none"/>
          <w14:textFill>
            <w14:solidFill>
              <w14:schemeClr w14:val="tx1"/>
            </w14:solidFill>
          </w14:textFill>
        </w:rPr>
      </w:pPr>
      <w:r>
        <w:rPr>
          <w:rFonts w:hint="eastAsia" w:ascii="宋体" w:hAnsi="宋体"/>
          <w:color w:val="000000" w:themeColor="text1"/>
          <w:kern w:val="2"/>
          <w:highlight w:val="none"/>
          <w14:textFill>
            <w14:solidFill>
              <w14:schemeClr w14:val="tx1"/>
            </w14:solidFill>
          </w14:textFill>
        </w:rPr>
        <w:t xml:space="preserve"> </w:t>
      </w:r>
    </w:p>
    <w:p w14:paraId="06507F93">
      <w:pPr>
        <w:spacing w:beforeLines="30" w:afterLines="30" w:line="240" w:lineRule="atLeast"/>
        <w:jc w:val="center"/>
        <w:rPr>
          <w:rFonts w:ascii="宋体" w:hAnsi="宋体"/>
          <w:b/>
          <w:bCs/>
          <w:color w:val="000000" w:themeColor="text1"/>
          <w:kern w:val="2"/>
          <w:highlight w:val="none"/>
          <w14:textFill>
            <w14:solidFill>
              <w14:schemeClr w14:val="tx1"/>
            </w14:solidFill>
          </w14:textFill>
        </w:rPr>
      </w:pPr>
      <w:r>
        <w:rPr>
          <w:rFonts w:hint="eastAsia" w:ascii="宋体" w:hAnsi="宋体"/>
          <w:b/>
          <w:bCs/>
          <w:color w:val="000000" w:themeColor="text1"/>
          <w:kern w:val="2"/>
          <w:highlight w:val="none"/>
          <w14:textFill>
            <w14:solidFill>
              <w14:schemeClr w14:val="tx1"/>
            </w14:solidFill>
          </w14:textFill>
        </w:rPr>
        <w:t xml:space="preserve"> </w:t>
      </w:r>
    </w:p>
    <w:p w14:paraId="7826E632">
      <w:pPr>
        <w:spacing w:beforeLines="30" w:afterLines="30" w:line="240" w:lineRule="atLeast"/>
        <w:jc w:val="center"/>
        <w:rPr>
          <w:rFonts w:ascii="宋体" w:hAnsi="宋体"/>
          <w:b/>
          <w:bCs/>
          <w:color w:val="000000" w:themeColor="text1"/>
          <w:kern w:val="2"/>
          <w:highlight w:val="none"/>
          <w14:textFill>
            <w14:solidFill>
              <w14:schemeClr w14:val="tx1"/>
            </w14:solidFill>
          </w14:textFill>
        </w:rPr>
      </w:pPr>
      <w:r>
        <w:rPr>
          <w:rFonts w:hint="eastAsia" w:ascii="宋体" w:hAnsi="宋体"/>
          <w:b/>
          <w:bCs/>
          <w:color w:val="000000" w:themeColor="text1"/>
          <w:kern w:val="2"/>
          <w:highlight w:val="none"/>
          <w14:textFill>
            <w14:solidFill>
              <w14:schemeClr w14:val="tx1"/>
            </w14:solidFill>
          </w14:textFill>
        </w:rPr>
        <w:t xml:space="preserve"> </w:t>
      </w:r>
    </w:p>
    <w:p w14:paraId="26A1C052">
      <w:pPr>
        <w:spacing w:beforeLines="30" w:afterLines="30" w:line="240" w:lineRule="atLeast"/>
        <w:jc w:val="center"/>
        <w:rPr>
          <w:rFonts w:ascii="宋体" w:hAnsi="宋体"/>
          <w:b/>
          <w:bCs/>
          <w:color w:val="000000" w:themeColor="text1"/>
          <w:kern w:val="2"/>
          <w:highlight w:val="none"/>
          <w14:textFill>
            <w14:solidFill>
              <w14:schemeClr w14:val="tx1"/>
            </w14:solidFill>
          </w14:textFill>
        </w:rPr>
      </w:pPr>
      <w:r>
        <w:rPr>
          <w:rFonts w:hint="eastAsia" w:ascii="宋体" w:hAnsi="宋体"/>
          <w:b/>
          <w:bCs/>
          <w:color w:val="000000" w:themeColor="text1"/>
          <w:kern w:val="2"/>
          <w:highlight w:val="none"/>
          <w14:textFill>
            <w14:solidFill>
              <w14:schemeClr w14:val="tx1"/>
            </w14:solidFill>
          </w14:textFill>
        </w:rPr>
        <w:t xml:space="preserve"> </w:t>
      </w:r>
    </w:p>
    <w:p w14:paraId="2DD7AF39">
      <w:pPr>
        <w:spacing w:beforeLines="30" w:afterLines="30" w:line="240" w:lineRule="atLeast"/>
        <w:jc w:val="center"/>
        <w:rPr>
          <w:rFonts w:ascii="宋体" w:hAnsi="宋体"/>
          <w:b/>
          <w:bCs/>
          <w:color w:val="000000" w:themeColor="text1"/>
          <w:kern w:val="2"/>
          <w:highlight w:val="none"/>
          <w14:textFill>
            <w14:solidFill>
              <w14:schemeClr w14:val="tx1"/>
            </w14:solidFill>
          </w14:textFill>
        </w:rPr>
      </w:pPr>
      <w:r>
        <w:rPr>
          <w:rFonts w:hint="eastAsia" w:ascii="宋体" w:hAnsi="宋体"/>
          <w:b/>
          <w:bCs/>
          <w:color w:val="000000" w:themeColor="text1"/>
          <w:kern w:val="2"/>
          <w:highlight w:val="none"/>
          <w14:textFill>
            <w14:solidFill>
              <w14:schemeClr w14:val="tx1"/>
            </w14:solidFill>
          </w14:textFill>
        </w:rPr>
        <w:t xml:space="preserve"> </w:t>
      </w:r>
    </w:p>
    <w:p w14:paraId="52C142FF">
      <w:pPr>
        <w:spacing w:beforeLines="30" w:afterLines="30" w:line="240" w:lineRule="atLeast"/>
        <w:jc w:val="center"/>
        <w:rPr>
          <w:rFonts w:ascii="宋体" w:hAnsi="宋体"/>
          <w:b/>
          <w:bCs/>
          <w:color w:val="000000" w:themeColor="text1"/>
          <w:kern w:val="2"/>
          <w:highlight w:val="none"/>
          <w14:textFill>
            <w14:solidFill>
              <w14:schemeClr w14:val="tx1"/>
            </w14:solidFill>
          </w14:textFill>
        </w:rPr>
      </w:pPr>
      <w:r>
        <w:rPr>
          <w:rFonts w:hint="eastAsia" w:ascii="宋体" w:hAnsi="宋体"/>
          <w:b/>
          <w:bCs/>
          <w:color w:val="000000" w:themeColor="text1"/>
          <w:kern w:val="2"/>
          <w:highlight w:val="none"/>
          <w14:textFill>
            <w14:solidFill>
              <w14:schemeClr w14:val="tx1"/>
            </w14:solidFill>
          </w14:textFill>
        </w:rPr>
        <w:t xml:space="preserve"> </w:t>
      </w:r>
    </w:p>
    <w:p w14:paraId="2E4D23BB">
      <w:pPr>
        <w:bidi w:val="0"/>
        <w:jc w:val="center"/>
        <w:rPr>
          <w:color w:val="000000" w:themeColor="text1"/>
          <w:sz w:val="72"/>
          <w:szCs w:val="72"/>
          <w14:textFill>
            <w14:solidFill>
              <w14:schemeClr w14:val="tx1"/>
            </w14:solidFill>
          </w14:textFill>
        </w:rPr>
      </w:pPr>
      <w:bookmarkStart w:id="229" w:name="_Toc7384"/>
      <w:bookmarkStart w:id="230" w:name="_Toc4183"/>
      <w:bookmarkStart w:id="231" w:name="_Toc9927"/>
      <w:bookmarkStart w:id="232" w:name="_Toc32422"/>
      <w:r>
        <w:rPr>
          <w:rFonts w:hint="eastAsia"/>
          <w:color w:val="000000" w:themeColor="text1"/>
          <w:sz w:val="72"/>
          <w:szCs w:val="72"/>
          <w:lang w:eastAsia="zh-CN"/>
          <w14:textFill>
            <w14:solidFill>
              <w14:schemeClr w14:val="tx1"/>
            </w14:solidFill>
          </w14:textFill>
        </w:rPr>
        <w:t>响应</w:t>
      </w:r>
      <w:r>
        <w:rPr>
          <w:rFonts w:hint="eastAsia"/>
          <w:color w:val="000000" w:themeColor="text1"/>
          <w:sz w:val="72"/>
          <w:szCs w:val="72"/>
          <w14:textFill>
            <w14:solidFill>
              <w14:schemeClr w14:val="tx1"/>
            </w14:solidFill>
          </w14:textFill>
        </w:rPr>
        <w:t>文件</w:t>
      </w:r>
      <w:bookmarkEnd w:id="229"/>
      <w:bookmarkEnd w:id="230"/>
      <w:bookmarkEnd w:id="231"/>
      <w:bookmarkEnd w:id="232"/>
    </w:p>
    <w:p w14:paraId="11BAB23A">
      <w:pPr>
        <w:spacing w:beforeLines="30" w:afterLines="30" w:line="240" w:lineRule="atLeast"/>
        <w:rPr>
          <w:rFonts w:ascii="宋体" w:hAnsi="宋体"/>
          <w:b/>
          <w:bCs/>
          <w:color w:val="000000" w:themeColor="text1"/>
          <w:kern w:val="2"/>
          <w:highlight w:val="none"/>
          <w14:textFill>
            <w14:solidFill>
              <w14:schemeClr w14:val="tx1"/>
            </w14:solidFill>
          </w14:textFill>
        </w:rPr>
      </w:pPr>
      <w:r>
        <w:rPr>
          <w:rFonts w:hint="eastAsia" w:ascii="宋体" w:hAnsi="宋体"/>
          <w:b/>
          <w:bCs/>
          <w:color w:val="000000" w:themeColor="text1"/>
          <w:kern w:val="2"/>
          <w:highlight w:val="none"/>
          <w14:textFill>
            <w14:solidFill>
              <w14:schemeClr w14:val="tx1"/>
            </w14:solidFill>
          </w14:textFill>
        </w:rPr>
        <w:t xml:space="preserve"> </w:t>
      </w:r>
    </w:p>
    <w:p w14:paraId="4E5709A8">
      <w:pPr>
        <w:spacing w:beforeLines="30" w:afterLines="30" w:line="240" w:lineRule="atLeast"/>
        <w:rPr>
          <w:rFonts w:ascii="宋体" w:hAnsi="宋体"/>
          <w:b/>
          <w:bCs/>
          <w:color w:val="000000" w:themeColor="text1"/>
          <w:kern w:val="2"/>
          <w:highlight w:val="none"/>
          <w14:textFill>
            <w14:solidFill>
              <w14:schemeClr w14:val="tx1"/>
            </w14:solidFill>
          </w14:textFill>
        </w:rPr>
      </w:pPr>
      <w:r>
        <w:rPr>
          <w:rFonts w:hint="eastAsia" w:ascii="宋体" w:hAnsi="宋体"/>
          <w:b/>
          <w:bCs/>
          <w:color w:val="000000" w:themeColor="text1"/>
          <w:kern w:val="2"/>
          <w:highlight w:val="none"/>
          <w14:textFill>
            <w14:solidFill>
              <w14:schemeClr w14:val="tx1"/>
            </w14:solidFill>
          </w14:textFill>
        </w:rPr>
        <w:t xml:space="preserve"> </w:t>
      </w:r>
    </w:p>
    <w:p w14:paraId="422CF5FB">
      <w:pPr>
        <w:spacing w:beforeLines="30" w:afterLines="30" w:line="240" w:lineRule="atLeast"/>
        <w:rPr>
          <w:rFonts w:ascii="宋体" w:hAnsi="宋体"/>
          <w:b/>
          <w:bCs/>
          <w:color w:val="000000" w:themeColor="text1"/>
          <w:kern w:val="2"/>
          <w:highlight w:val="none"/>
          <w14:textFill>
            <w14:solidFill>
              <w14:schemeClr w14:val="tx1"/>
            </w14:solidFill>
          </w14:textFill>
        </w:rPr>
      </w:pPr>
      <w:r>
        <w:rPr>
          <w:rFonts w:hint="eastAsia" w:ascii="宋体" w:hAnsi="宋体"/>
          <w:b/>
          <w:bCs/>
          <w:color w:val="000000" w:themeColor="text1"/>
          <w:kern w:val="2"/>
          <w:highlight w:val="none"/>
          <w14:textFill>
            <w14:solidFill>
              <w14:schemeClr w14:val="tx1"/>
            </w14:solidFill>
          </w14:textFill>
        </w:rPr>
        <w:t xml:space="preserve"> </w:t>
      </w:r>
    </w:p>
    <w:p w14:paraId="00658116">
      <w:pPr>
        <w:spacing w:beforeLines="30" w:afterLines="30" w:line="240" w:lineRule="atLeast"/>
        <w:rPr>
          <w:rFonts w:ascii="宋体" w:hAnsi="宋体"/>
          <w:b/>
          <w:bCs/>
          <w:color w:val="000000" w:themeColor="text1"/>
          <w:kern w:val="2"/>
          <w:highlight w:val="none"/>
          <w14:textFill>
            <w14:solidFill>
              <w14:schemeClr w14:val="tx1"/>
            </w14:solidFill>
          </w14:textFill>
        </w:rPr>
      </w:pPr>
      <w:r>
        <w:rPr>
          <w:rFonts w:hint="eastAsia" w:ascii="宋体" w:hAnsi="宋体"/>
          <w:b/>
          <w:bCs/>
          <w:color w:val="000000" w:themeColor="text1"/>
          <w:kern w:val="2"/>
          <w:highlight w:val="none"/>
          <w14:textFill>
            <w14:solidFill>
              <w14:schemeClr w14:val="tx1"/>
            </w14:solidFill>
          </w14:textFill>
        </w:rPr>
        <w:t xml:space="preserve"> </w:t>
      </w:r>
    </w:p>
    <w:p w14:paraId="1E2CE6EF">
      <w:pPr>
        <w:spacing w:beforeLines="30" w:afterLines="30" w:line="240" w:lineRule="atLeast"/>
        <w:rPr>
          <w:rFonts w:ascii="宋体" w:hAnsi="宋体"/>
          <w:b/>
          <w:bCs/>
          <w:color w:val="000000" w:themeColor="text1"/>
          <w:kern w:val="2"/>
          <w:highlight w:val="none"/>
          <w14:textFill>
            <w14:solidFill>
              <w14:schemeClr w14:val="tx1"/>
            </w14:solidFill>
          </w14:textFill>
        </w:rPr>
      </w:pPr>
      <w:r>
        <w:rPr>
          <w:rFonts w:hint="eastAsia" w:ascii="宋体" w:hAnsi="宋体"/>
          <w:b/>
          <w:bCs/>
          <w:color w:val="000000" w:themeColor="text1"/>
          <w:kern w:val="2"/>
          <w:highlight w:val="none"/>
          <w14:textFill>
            <w14:solidFill>
              <w14:schemeClr w14:val="tx1"/>
            </w14:solidFill>
          </w14:textFill>
        </w:rPr>
        <w:t xml:space="preserve"> </w:t>
      </w:r>
    </w:p>
    <w:p w14:paraId="042BFC27">
      <w:pPr>
        <w:spacing w:beforeLines="30" w:afterLines="30" w:line="240" w:lineRule="atLeast"/>
        <w:rPr>
          <w:rFonts w:ascii="宋体" w:hAnsi="宋体"/>
          <w:b/>
          <w:bCs/>
          <w:color w:val="000000" w:themeColor="text1"/>
          <w:kern w:val="2"/>
          <w:highlight w:val="none"/>
          <w14:textFill>
            <w14:solidFill>
              <w14:schemeClr w14:val="tx1"/>
            </w14:solidFill>
          </w14:textFill>
        </w:rPr>
      </w:pPr>
      <w:r>
        <w:rPr>
          <w:rFonts w:hint="eastAsia" w:ascii="宋体" w:hAnsi="宋体"/>
          <w:b/>
          <w:bCs/>
          <w:color w:val="000000" w:themeColor="text1"/>
          <w:kern w:val="2"/>
          <w:highlight w:val="none"/>
          <w14:textFill>
            <w14:solidFill>
              <w14:schemeClr w14:val="tx1"/>
            </w14:solidFill>
          </w14:textFill>
        </w:rPr>
        <w:t xml:space="preserve"> </w:t>
      </w:r>
    </w:p>
    <w:p w14:paraId="53673159">
      <w:pPr>
        <w:spacing w:beforeLines="30" w:afterLines="30" w:line="240" w:lineRule="atLeast"/>
        <w:ind w:firstLine="2108"/>
        <w:rPr>
          <w:rFonts w:ascii="宋体" w:hAnsi="宋体"/>
          <w:b/>
          <w:bCs/>
          <w:color w:val="000000" w:themeColor="text1"/>
          <w:kern w:val="2"/>
          <w:sz w:val="30"/>
          <w:szCs w:val="30"/>
          <w:highlight w:val="none"/>
          <w14:textFill>
            <w14:solidFill>
              <w14:schemeClr w14:val="tx1"/>
            </w14:solidFill>
          </w14:textFill>
        </w:rPr>
      </w:pPr>
      <w:r>
        <w:rPr>
          <w:rFonts w:hint="eastAsia" w:ascii="宋体" w:hAnsi="宋体"/>
          <w:b/>
          <w:bCs/>
          <w:color w:val="000000" w:themeColor="text1"/>
          <w:kern w:val="2"/>
          <w:sz w:val="30"/>
          <w:szCs w:val="30"/>
          <w:highlight w:val="none"/>
          <w14:textFill>
            <w14:solidFill>
              <w14:schemeClr w14:val="tx1"/>
            </w14:solidFill>
          </w14:textFill>
        </w:rPr>
        <w:t xml:space="preserve"> </w:t>
      </w:r>
    </w:p>
    <w:p w14:paraId="3A72B99D">
      <w:pPr>
        <w:bidi w:val="0"/>
        <w:ind w:firstLine="1600" w:firstLineChars="500"/>
        <w:rPr>
          <w:color w:val="000000" w:themeColor="text1"/>
          <w:sz w:val="32"/>
          <w:szCs w:val="32"/>
          <w14:textFill>
            <w14:solidFill>
              <w14:schemeClr w14:val="tx1"/>
            </w14:solidFill>
          </w14:textFill>
        </w:rPr>
      </w:pPr>
      <w:bookmarkStart w:id="233" w:name="_Toc22432"/>
      <w:bookmarkStart w:id="234" w:name="_Toc11635"/>
      <w:bookmarkStart w:id="235" w:name="_Toc21125"/>
      <w:bookmarkStart w:id="236" w:name="_Toc5959"/>
      <w:r>
        <w:rPr>
          <w:rFonts w:hint="eastAsia"/>
          <w:color w:val="000000" w:themeColor="text1"/>
          <w:sz w:val="32"/>
          <w:szCs w:val="32"/>
          <w:lang w:eastAsia="zh-CN"/>
          <w14:textFill>
            <w14:solidFill>
              <w14:schemeClr w14:val="tx1"/>
            </w14:solidFill>
          </w14:textFill>
        </w:rPr>
        <w:t>供应商</w:t>
      </w:r>
      <w:r>
        <w:rPr>
          <w:rFonts w:hint="eastAsia"/>
          <w:color w:val="000000" w:themeColor="text1"/>
          <w:sz w:val="32"/>
          <w:szCs w:val="32"/>
          <w14:textFill>
            <w14:solidFill>
              <w14:schemeClr w14:val="tx1"/>
            </w14:solidFill>
          </w14:textFill>
        </w:rPr>
        <w:t>：</w:t>
      </w:r>
      <w:r>
        <w:rPr>
          <w:rFonts w:hint="eastAsia"/>
          <w:color w:val="000000" w:themeColor="text1"/>
          <w:sz w:val="32"/>
          <w:szCs w:val="32"/>
          <w:u w:val="single"/>
          <w14:textFill>
            <w14:solidFill>
              <w14:schemeClr w14:val="tx1"/>
            </w14:solidFill>
          </w14:textFill>
        </w:rPr>
        <w:t xml:space="preserve">                </w:t>
      </w:r>
      <w:r>
        <w:rPr>
          <w:rFonts w:hint="eastAsia"/>
          <w:color w:val="000000" w:themeColor="text1"/>
          <w:sz w:val="32"/>
          <w:szCs w:val="32"/>
          <w14:textFill>
            <w14:solidFill>
              <w14:schemeClr w14:val="tx1"/>
            </w14:solidFill>
          </w14:textFill>
        </w:rPr>
        <w:t>（盖单位章）</w:t>
      </w:r>
      <w:bookmarkEnd w:id="233"/>
      <w:bookmarkEnd w:id="234"/>
      <w:bookmarkEnd w:id="235"/>
      <w:bookmarkEnd w:id="236"/>
    </w:p>
    <w:p w14:paraId="39400418">
      <w:pPr>
        <w:bidi w:val="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 xml:space="preserve"> </w:t>
      </w:r>
    </w:p>
    <w:p w14:paraId="13A63A09">
      <w:pPr>
        <w:bidi w:val="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 xml:space="preserve">      </w:t>
      </w:r>
      <w:bookmarkStart w:id="237" w:name="_Toc26335"/>
      <w:bookmarkStart w:id="238" w:name="_Toc13883"/>
      <w:bookmarkStart w:id="239" w:name="_Toc16944"/>
      <w:bookmarkStart w:id="240" w:name="_Toc29251"/>
      <w:r>
        <w:rPr>
          <w:rFonts w:hint="eastAsia"/>
          <w:color w:val="000000" w:themeColor="text1"/>
          <w:sz w:val="32"/>
          <w:szCs w:val="32"/>
          <w:lang w:val="en-US" w:eastAsia="zh-CN"/>
          <w14:textFill>
            <w14:solidFill>
              <w14:schemeClr w14:val="tx1"/>
            </w14:solidFill>
          </w14:textFill>
        </w:rPr>
        <w:t xml:space="preserve">     </w:t>
      </w:r>
      <w:r>
        <w:rPr>
          <w:rFonts w:hint="eastAsia"/>
          <w:color w:val="000000" w:themeColor="text1"/>
          <w:sz w:val="32"/>
          <w:szCs w:val="32"/>
          <w:u w:val="single"/>
          <w:lang w:val="en-US" w:eastAsia="zh-CN"/>
          <w14:textFill>
            <w14:solidFill>
              <w14:schemeClr w14:val="tx1"/>
            </w14:solidFill>
          </w14:textFill>
        </w:rPr>
        <w:t xml:space="preserve">            </w:t>
      </w:r>
      <w:r>
        <w:rPr>
          <w:rFonts w:hint="eastAsia"/>
          <w:color w:val="000000" w:themeColor="text1"/>
          <w:sz w:val="32"/>
          <w:szCs w:val="32"/>
          <w14:textFill>
            <w14:solidFill>
              <w14:schemeClr w14:val="tx1"/>
            </w14:solidFill>
          </w14:textFill>
        </w:rPr>
        <w:t>年</w:t>
      </w:r>
      <w:r>
        <w:rPr>
          <w:rFonts w:hint="eastAsia"/>
          <w:color w:val="000000" w:themeColor="text1"/>
          <w:sz w:val="32"/>
          <w:szCs w:val="32"/>
          <w:u w:val="single"/>
          <w14:textFill>
            <w14:solidFill>
              <w14:schemeClr w14:val="tx1"/>
            </w14:solidFill>
          </w14:textFill>
        </w:rPr>
        <w:t xml:space="preserve">    </w:t>
      </w:r>
      <w:r>
        <w:rPr>
          <w:rFonts w:hint="eastAsia"/>
          <w:color w:val="000000" w:themeColor="text1"/>
          <w:sz w:val="32"/>
          <w:szCs w:val="32"/>
          <w14:textFill>
            <w14:solidFill>
              <w14:schemeClr w14:val="tx1"/>
            </w14:solidFill>
          </w14:textFill>
        </w:rPr>
        <w:t>月</w:t>
      </w:r>
      <w:r>
        <w:rPr>
          <w:rFonts w:hint="eastAsia"/>
          <w:color w:val="000000" w:themeColor="text1"/>
          <w:sz w:val="32"/>
          <w:szCs w:val="32"/>
          <w:u w:val="single"/>
          <w14:textFill>
            <w14:solidFill>
              <w14:schemeClr w14:val="tx1"/>
            </w14:solidFill>
          </w14:textFill>
        </w:rPr>
        <w:t xml:space="preserve">    </w:t>
      </w:r>
      <w:r>
        <w:rPr>
          <w:rFonts w:hint="eastAsia"/>
          <w:color w:val="000000" w:themeColor="text1"/>
          <w:sz w:val="32"/>
          <w:szCs w:val="32"/>
          <w14:textFill>
            <w14:solidFill>
              <w14:schemeClr w14:val="tx1"/>
            </w14:solidFill>
          </w14:textFill>
        </w:rPr>
        <w:t xml:space="preserve"> 日</w:t>
      </w:r>
      <w:bookmarkEnd w:id="237"/>
      <w:bookmarkEnd w:id="238"/>
      <w:bookmarkEnd w:id="239"/>
      <w:bookmarkEnd w:id="240"/>
    </w:p>
    <w:p w14:paraId="577DAFAB">
      <w:pPr>
        <w:rPr>
          <w:rFonts w:hint="eastAsia" w:asciiTheme="minorEastAsia" w:hAnsiTheme="minorEastAsia" w:eastAsiaTheme="minorEastAsia" w:cstheme="minorEastAsia"/>
          <w:b/>
          <w:bCs/>
          <w:color w:val="000000" w:themeColor="text1"/>
          <w:sz w:val="36"/>
          <w:szCs w:val="36"/>
          <w:highlight w:val="none"/>
          <w:u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36"/>
          <w:szCs w:val="36"/>
          <w:highlight w:val="none"/>
          <w:u w:val="none"/>
          <w:lang w:val="en-US" w:eastAsia="zh-CN"/>
          <w14:textFill>
            <w14:solidFill>
              <w14:schemeClr w14:val="tx1"/>
            </w14:solidFill>
          </w14:textFill>
        </w:rPr>
        <w:br w:type="page"/>
      </w:r>
    </w:p>
    <w:p w14:paraId="436C9C44">
      <w:pPr>
        <w:bidi w:val="0"/>
        <w:jc w:val="center"/>
        <w:rPr>
          <w:rFonts w:hint="eastAsia"/>
          <w:color w:val="000000" w:themeColor="text1"/>
          <w:sz w:val="36"/>
          <w:szCs w:val="36"/>
          <w:lang w:val="en-US" w:eastAsia="zh-CN"/>
          <w14:textFill>
            <w14:solidFill>
              <w14:schemeClr w14:val="tx1"/>
            </w14:solidFill>
          </w14:textFill>
        </w:rPr>
      </w:pPr>
      <w:bookmarkStart w:id="241" w:name="_Toc15748"/>
      <w:bookmarkStart w:id="242" w:name="_Toc18935"/>
      <w:r>
        <w:rPr>
          <w:rFonts w:hint="eastAsia"/>
          <w:color w:val="000000" w:themeColor="text1"/>
          <w:sz w:val="36"/>
          <w:szCs w:val="36"/>
          <w:lang w:val="en-US" w:eastAsia="zh-CN"/>
          <w14:textFill>
            <w14:solidFill>
              <w14:schemeClr w14:val="tx1"/>
            </w14:solidFill>
          </w14:textFill>
        </w:rPr>
        <w:t>目    录</w:t>
      </w:r>
      <w:bookmarkEnd w:id="241"/>
      <w:bookmarkEnd w:id="242"/>
      <w:bookmarkStart w:id="243" w:name="_Toc12073"/>
      <w:bookmarkStart w:id="244" w:name="_Toc21419"/>
      <w:bookmarkStart w:id="245" w:name="_Toc17544"/>
    </w:p>
    <w:p w14:paraId="5AD24868">
      <w:pPr>
        <w:bidi w:val="0"/>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一、响应函</w:t>
      </w:r>
      <w:bookmarkEnd w:id="243"/>
      <w:bookmarkEnd w:id="244"/>
      <w:bookmarkEnd w:id="245"/>
      <w:bookmarkStart w:id="246" w:name="_Toc11551"/>
      <w:bookmarkStart w:id="247" w:name="_Toc23543"/>
      <w:bookmarkStart w:id="248" w:name="_Toc10096"/>
    </w:p>
    <w:p w14:paraId="052E5071">
      <w:pPr>
        <w:bidi w:val="0"/>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二、授权委托书</w:t>
      </w:r>
      <w:bookmarkEnd w:id="246"/>
      <w:bookmarkEnd w:id="247"/>
      <w:bookmarkEnd w:id="248"/>
      <w:bookmarkStart w:id="249" w:name="_Toc28676"/>
      <w:bookmarkStart w:id="250" w:name="_Toc3363"/>
      <w:bookmarkStart w:id="251" w:name="_Toc5926"/>
    </w:p>
    <w:bookmarkEnd w:id="249"/>
    <w:bookmarkEnd w:id="250"/>
    <w:bookmarkEnd w:id="251"/>
    <w:p w14:paraId="52995A17">
      <w:pPr>
        <w:bidi w:val="0"/>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bookmarkStart w:id="252" w:name="_Toc24774"/>
      <w:bookmarkStart w:id="253" w:name="_Toc3554"/>
      <w:bookmarkStart w:id="254" w:name="_Toc26774"/>
      <w:r>
        <w:rPr>
          <w:rFonts w:hint="eastAsia" w:asciiTheme="minorEastAsia" w:hAnsiTheme="minorEastAsia" w:cstheme="minorEastAsia"/>
          <w:color w:val="000000" w:themeColor="text1"/>
          <w:sz w:val="28"/>
          <w:szCs w:val="28"/>
          <w:lang w:val="en-US" w:eastAsia="zh-CN"/>
          <w14:textFill>
            <w14:solidFill>
              <w14:schemeClr w14:val="tx1"/>
            </w14:solidFill>
          </w14:textFill>
        </w:rPr>
        <w:t>三</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w:t>
      </w:r>
      <w:bookmarkEnd w:id="252"/>
      <w:bookmarkEnd w:id="253"/>
      <w:bookmarkEnd w:id="254"/>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报价表</w:t>
      </w:r>
    </w:p>
    <w:p w14:paraId="07943272">
      <w:pPr>
        <w:bidi w:val="0"/>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bookmarkStart w:id="255" w:name="_Toc24018"/>
      <w:bookmarkStart w:id="256" w:name="_Toc11424"/>
      <w:bookmarkStart w:id="257" w:name="_Toc5370"/>
      <w:r>
        <w:rPr>
          <w:rFonts w:hint="eastAsia" w:asciiTheme="minorEastAsia" w:hAnsiTheme="minorEastAsia" w:cstheme="minorEastAsia"/>
          <w:color w:val="000000" w:themeColor="text1"/>
          <w:sz w:val="28"/>
          <w:szCs w:val="28"/>
          <w:lang w:val="en-US" w:eastAsia="zh-CN"/>
          <w14:textFill>
            <w14:solidFill>
              <w14:schemeClr w14:val="tx1"/>
            </w14:solidFill>
          </w14:textFill>
        </w:rPr>
        <w:t>四</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、商务和技术偏差表</w:t>
      </w:r>
      <w:bookmarkEnd w:id="255"/>
      <w:bookmarkEnd w:id="256"/>
      <w:bookmarkEnd w:id="257"/>
    </w:p>
    <w:p w14:paraId="20B1F3AC">
      <w:pPr>
        <w:bidi w:val="0"/>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bookmarkStart w:id="258" w:name="_Toc20322"/>
      <w:bookmarkStart w:id="259" w:name="_Toc107"/>
      <w:bookmarkStart w:id="260" w:name="_Toc28836"/>
      <w:r>
        <w:rPr>
          <w:rFonts w:hint="eastAsia" w:asciiTheme="minorEastAsia" w:hAnsiTheme="minorEastAsia" w:cstheme="minorEastAsia"/>
          <w:color w:val="000000" w:themeColor="text1"/>
          <w:sz w:val="28"/>
          <w:szCs w:val="28"/>
          <w:lang w:val="en-US" w:eastAsia="zh-CN"/>
          <w14:textFill>
            <w14:solidFill>
              <w14:schemeClr w14:val="tx1"/>
            </w14:solidFill>
          </w14:textFill>
        </w:rPr>
        <w:t>五</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w:t>
      </w:r>
      <w:bookmarkEnd w:id="258"/>
      <w:bookmarkEnd w:id="259"/>
      <w:bookmarkEnd w:id="260"/>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资格审查资料</w:t>
      </w:r>
    </w:p>
    <w:p w14:paraId="4DD2216A">
      <w:pPr>
        <w:bidi w:val="0"/>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bookmarkStart w:id="261" w:name="_Toc29214"/>
      <w:bookmarkStart w:id="262" w:name="_Toc31378"/>
      <w:bookmarkStart w:id="263" w:name="_Toc5087"/>
      <w:r>
        <w:rPr>
          <w:rFonts w:hint="eastAsia" w:asciiTheme="minorEastAsia" w:hAnsiTheme="minorEastAsia" w:cstheme="minorEastAsia"/>
          <w:color w:val="000000" w:themeColor="text1"/>
          <w:sz w:val="28"/>
          <w:szCs w:val="28"/>
          <w:lang w:val="en-US" w:eastAsia="zh-CN"/>
          <w14:textFill>
            <w14:solidFill>
              <w14:schemeClr w14:val="tx1"/>
            </w14:solidFill>
          </w14:textFill>
        </w:rPr>
        <w:t>六</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 xml:space="preserve">、响应方案 </w:t>
      </w:r>
      <w:bookmarkEnd w:id="261"/>
      <w:bookmarkEnd w:id="262"/>
      <w:bookmarkEnd w:id="263"/>
    </w:p>
    <w:p w14:paraId="05F0A12B">
      <w:pPr>
        <w:bidi w:val="0"/>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bookmarkStart w:id="264" w:name="_Toc9646"/>
      <w:bookmarkStart w:id="265" w:name="_Toc20238"/>
      <w:bookmarkStart w:id="266" w:name="_Toc22986"/>
      <w:r>
        <w:rPr>
          <w:rFonts w:hint="eastAsia" w:asciiTheme="minorEastAsia" w:hAnsiTheme="minorEastAsia" w:cstheme="minorEastAsia"/>
          <w:color w:val="000000" w:themeColor="text1"/>
          <w:sz w:val="28"/>
          <w:szCs w:val="28"/>
          <w:lang w:val="en-US" w:eastAsia="zh-CN"/>
          <w14:textFill>
            <w14:solidFill>
              <w14:schemeClr w14:val="tx1"/>
            </w14:solidFill>
          </w14:textFill>
        </w:rPr>
        <w:t>七</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w:t>
      </w:r>
      <w:bookmarkEnd w:id="264"/>
      <w:bookmarkEnd w:id="265"/>
      <w:bookmarkEnd w:id="266"/>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其他资料</w:t>
      </w:r>
    </w:p>
    <w:p w14:paraId="60BF5DBB">
      <w:pPr>
        <w:pageBreakBefore w:val="0"/>
        <w:kinsoku/>
        <w:wordWrap/>
        <w:overflowPunct/>
        <w:topLinePunct w:val="0"/>
        <w:autoSpaceDE/>
        <w:autoSpaceDN/>
        <w:bidi w:val="0"/>
        <w:adjustRightInd/>
        <w:snapToGrid/>
        <w:spacing w:line="440" w:lineRule="exact"/>
        <w:ind w:left="-420" w:leftChars="-200" w:right="-512" w:rightChars="-244" w:firstLine="0" w:firstLineChars="0"/>
        <w:textAlignment w:val="auto"/>
        <w:rPr>
          <w:rFonts w:hint="eastAsia" w:asciiTheme="minorEastAsia" w:hAnsiTheme="minorEastAsia" w:eastAsiaTheme="minorEastAsia" w:cstheme="minorEastAsia"/>
          <w:b w:val="0"/>
          <w:bCs w:val="0"/>
          <w:color w:val="000000" w:themeColor="text1"/>
          <w:sz w:val="28"/>
          <w:szCs w:val="36"/>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8"/>
          <w:szCs w:val="36"/>
          <w:u w:val="none"/>
          <w:lang w:val="en-US" w:eastAsia="zh-CN"/>
          <w14:textFill>
            <w14:solidFill>
              <w14:schemeClr w14:val="tx1"/>
            </w14:solidFill>
          </w14:textFill>
        </w:rPr>
        <w:br w:type="page"/>
      </w:r>
    </w:p>
    <w:p w14:paraId="349F4790">
      <w:pPr>
        <w:pStyle w:val="2"/>
        <w:numPr>
          <w:ilvl w:val="0"/>
          <w:numId w:val="0"/>
        </w:numPr>
        <w:bidi w:val="0"/>
        <w:jc w:val="center"/>
        <w:rPr>
          <w:rFonts w:hint="default"/>
          <w:b w:val="0"/>
          <w:bCs/>
          <w:color w:val="000000" w:themeColor="text1"/>
          <w:sz w:val="32"/>
          <w:szCs w:val="32"/>
          <w:lang w:val="en-US" w:eastAsia="zh-CN"/>
          <w14:textFill>
            <w14:solidFill>
              <w14:schemeClr w14:val="tx1"/>
            </w14:solidFill>
          </w14:textFill>
        </w:rPr>
      </w:pPr>
      <w:bookmarkStart w:id="267" w:name="_Toc7192"/>
      <w:bookmarkStart w:id="268" w:name="_Toc19760"/>
      <w:bookmarkStart w:id="269" w:name="_Toc19680"/>
      <w:bookmarkStart w:id="270" w:name="_Toc24143"/>
      <w:bookmarkStart w:id="271" w:name="_Toc11445"/>
      <w:r>
        <w:rPr>
          <w:rFonts w:hint="eastAsia"/>
          <w:b w:val="0"/>
          <w:bCs/>
          <w:color w:val="000000" w:themeColor="text1"/>
          <w:sz w:val="32"/>
          <w:szCs w:val="32"/>
          <w:lang w:val="en-US" w:eastAsia="zh-CN"/>
          <w14:textFill>
            <w14:solidFill>
              <w14:schemeClr w14:val="tx1"/>
            </w14:solidFill>
          </w14:textFill>
        </w:rPr>
        <w:t>一、响应函</w:t>
      </w:r>
      <w:bookmarkEnd w:id="267"/>
      <w:bookmarkEnd w:id="268"/>
      <w:bookmarkEnd w:id="269"/>
      <w:bookmarkEnd w:id="270"/>
      <w:bookmarkEnd w:id="271"/>
    </w:p>
    <w:p w14:paraId="31F88FB9">
      <w:pPr>
        <w:pageBreakBefore w:val="0"/>
        <w:kinsoku/>
        <w:wordWrap/>
        <w:overflowPunct/>
        <w:topLinePunct w:val="0"/>
        <w:autoSpaceDE/>
        <w:autoSpaceDN/>
        <w:bidi w:val="0"/>
        <w:adjustRightInd/>
        <w:snapToGrid/>
        <w:spacing w:line="440" w:lineRule="exact"/>
        <w:ind w:left="-420" w:leftChars="-200" w:right="-512" w:rightChars="-244" w:firstLine="0" w:firstLineChars="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single"/>
          <w:lang w:val="en-US" w:eastAsia="zh-CN"/>
          <w14:textFill>
            <w14:solidFill>
              <w14:schemeClr w14:val="tx1"/>
            </w14:solidFill>
          </w14:textFill>
        </w:rPr>
        <w:t xml:space="preserve">                 （采购人名称）：</w:t>
      </w:r>
    </w:p>
    <w:p w14:paraId="364202F0">
      <w:pPr>
        <w:pageBreakBefore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1.我方已仔细研究了</w:t>
      </w:r>
      <w:r>
        <w:rPr>
          <w:rFonts w:hint="eastAsia" w:asciiTheme="minorEastAsia" w:hAnsiTheme="minorEastAsia" w:eastAsiaTheme="minorEastAsia" w:cstheme="minorEastAsia"/>
          <w:b w:val="0"/>
          <w:bCs w:val="0"/>
          <w:color w:val="000000" w:themeColor="text1"/>
          <w:sz w:val="24"/>
          <w:szCs w:val="24"/>
          <w:u w:val="single"/>
          <w:lang w:val="en-US" w:eastAsia="zh-CN"/>
          <w14:textFill>
            <w14:solidFill>
              <w14:schemeClr w14:val="tx1"/>
            </w14:solidFill>
          </w14:textFill>
        </w:rPr>
        <w:t xml:space="preserve">                （项目名称）</w:t>
      </w: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采购文件的全部内容，愿意以含税价人民币（大写）</w:t>
      </w:r>
      <w:r>
        <w:rPr>
          <w:rFonts w:hint="eastAsia" w:asciiTheme="minorEastAsia" w:hAnsiTheme="minorEastAsia" w:eastAsiaTheme="minorEastAsia" w:cstheme="minorEastAsia"/>
          <w:b w:val="0"/>
          <w:bCs w:val="0"/>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）的</w:t>
      </w:r>
      <w:r>
        <w:rPr>
          <w:rFonts w:hint="eastAsia" w:asciiTheme="minorEastAsia" w:hAnsiTheme="minorEastAsia" w:cstheme="minorEastAsia"/>
          <w:b w:val="0"/>
          <w:bCs w:val="0"/>
          <w:color w:val="000000" w:themeColor="text1"/>
          <w:sz w:val="24"/>
          <w:szCs w:val="24"/>
          <w:u w:val="none"/>
          <w:lang w:val="en-US" w:eastAsia="zh-CN"/>
          <w14:textFill>
            <w14:solidFill>
              <w14:schemeClr w14:val="tx1"/>
            </w14:solidFill>
          </w14:textFill>
        </w:rPr>
        <w:t>含税</w:t>
      </w: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报价完成本项目工程，并按合同约定履行义务。如果我方中标，我方保证在</w:t>
      </w:r>
      <w:r>
        <w:rPr>
          <w:rFonts w:hint="eastAsia" w:asciiTheme="minorEastAsia" w:hAnsiTheme="minorEastAsia" w:cstheme="minorEastAsia"/>
          <w:b w:val="0"/>
          <w:bCs w:val="0"/>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天(日历日)内竣工，并确保工程质量达到</w:t>
      </w:r>
      <w:r>
        <w:rPr>
          <w:rFonts w:hint="eastAsia" w:asciiTheme="minorEastAsia" w:hAnsiTheme="minorEastAsia" w:cstheme="minorEastAsia"/>
          <w:b w:val="0"/>
          <w:bCs w:val="0"/>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标准</w:t>
      </w:r>
      <w:r>
        <w:rPr>
          <w:rFonts w:hint="eastAsia" w:asciiTheme="minorEastAsia" w:hAnsiTheme="minorEastAsia" w:cstheme="minorEastAsia"/>
          <w:b w:val="0"/>
          <w:bCs w:val="0"/>
          <w:color w:val="000000" w:themeColor="text1"/>
          <w:sz w:val="24"/>
          <w:szCs w:val="24"/>
          <w:u w:val="none"/>
          <w:lang w:val="en-US" w:eastAsia="zh-CN"/>
          <w14:textFill>
            <w14:solidFill>
              <w14:schemeClr w14:val="tx1"/>
            </w14:solidFill>
          </w14:textFill>
        </w:rPr>
        <w:t>。</w:t>
      </w:r>
    </w:p>
    <w:p w14:paraId="482F8D33">
      <w:pPr>
        <w:pageBreakBefore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2.我方的响应文件包括下列内容:</w:t>
      </w:r>
    </w:p>
    <w:p w14:paraId="4B89D163">
      <w:pPr>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（1）响应函;</w:t>
      </w:r>
    </w:p>
    <w:p w14:paraId="1814E722">
      <w:pPr>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（2）授权委托书;</w:t>
      </w:r>
    </w:p>
    <w:p w14:paraId="3CFD0D9C">
      <w:pPr>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w:t>
      </w:r>
      <w:r>
        <w:rPr>
          <w:rFonts w:hint="eastAsia" w:asciiTheme="minorEastAsia" w:hAnsiTheme="minorEastAsia" w:cstheme="minorEastAsia"/>
          <w:b w:val="0"/>
          <w:bCs w:val="0"/>
          <w:color w:val="000000" w:themeColor="text1"/>
          <w:sz w:val="24"/>
          <w:szCs w:val="24"/>
          <w:u w:val="none"/>
          <w:lang w:val="en-US" w:eastAsia="zh-CN"/>
          <w14:textFill>
            <w14:solidFill>
              <w14:schemeClr w14:val="tx1"/>
            </w14:solidFill>
          </w14:textFill>
        </w:rPr>
        <w:t>3</w:t>
      </w: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w:t>
      </w:r>
      <w:r>
        <w:rPr>
          <w:rFonts w:hint="eastAsia" w:asciiTheme="minorEastAsia" w:hAnsiTheme="minorEastAsia" w:cstheme="minorEastAsia"/>
          <w:b w:val="0"/>
          <w:bCs w:val="0"/>
          <w:color w:val="000000" w:themeColor="text1"/>
          <w:sz w:val="24"/>
          <w:szCs w:val="24"/>
          <w:u w:val="none"/>
          <w:lang w:val="en-US" w:eastAsia="zh-CN"/>
          <w14:textFill>
            <w14:solidFill>
              <w14:schemeClr w14:val="tx1"/>
            </w14:solidFill>
          </w14:textFill>
        </w:rPr>
        <w:t>报价表</w:t>
      </w: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w:t>
      </w:r>
    </w:p>
    <w:p w14:paraId="66A099A9">
      <w:pPr>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w:t>
      </w:r>
      <w:r>
        <w:rPr>
          <w:rFonts w:hint="eastAsia" w:asciiTheme="minorEastAsia" w:hAnsiTheme="minorEastAsia" w:cstheme="minorEastAsia"/>
          <w:b w:val="0"/>
          <w:bCs w:val="0"/>
          <w:color w:val="000000" w:themeColor="text1"/>
          <w:sz w:val="24"/>
          <w:szCs w:val="24"/>
          <w:u w:val="none"/>
          <w:lang w:val="en-US" w:eastAsia="zh-CN"/>
          <w14:textFill>
            <w14:solidFill>
              <w14:schemeClr w14:val="tx1"/>
            </w14:solidFill>
          </w14:textFill>
        </w:rPr>
        <w:t>4</w:t>
      </w: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）商务和技术偏差表;</w:t>
      </w:r>
    </w:p>
    <w:p w14:paraId="25120A82">
      <w:pPr>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w:t>
      </w:r>
      <w:r>
        <w:rPr>
          <w:rFonts w:hint="eastAsia" w:asciiTheme="minorEastAsia" w:hAnsiTheme="minorEastAsia" w:cstheme="minorEastAsia"/>
          <w:b w:val="0"/>
          <w:bCs w:val="0"/>
          <w:color w:val="000000" w:themeColor="text1"/>
          <w:sz w:val="24"/>
          <w:szCs w:val="24"/>
          <w:u w:val="none"/>
          <w:lang w:val="en-US" w:eastAsia="zh-CN"/>
          <w14:textFill>
            <w14:solidFill>
              <w14:schemeClr w14:val="tx1"/>
            </w14:solidFill>
          </w14:textFill>
        </w:rPr>
        <w:t>5</w:t>
      </w: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）资格审查资料;</w:t>
      </w:r>
    </w:p>
    <w:p w14:paraId="50A7E5C8">
      <w:pPr>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w:t>
      </w:r>
      <w:r>
        <w:rPr>
          <w:rFonts w:hint="eastAsia" w:asciiTheme="minorEastAsia" w:hAnsiTheme="minorEastAsia" w:cstheme="minorEastAsia"/>
          <w:b w:val="0"/>
          <w:bCs w:val="0"/>
          <w:color w:val="000000" w:themeColor="text1"/>
          <w:sz w:val="24"/>
          <w:szCs w:val="24"/>
          <w:u w:val="none"/>
          <w:lang w:val="en-US" w:eastAsia="zh-CN"/>
          <w14:textFill>
            <w14:solidFill>
              <w14:schemeClr w14:val="tx1"/>
            </w14:solidFill>
          </w14:textFill>
        </w:rPr>
        <w:t>6</w:t>
      </w: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w:t>
      </w:r>
      <w:r>
        <w:rPr>
          <w:rFonts w:hint="eastAsia" w:asciiTheme="minorEastAsia" w:hAnsiTheme="minorEastAsia" w:cstheme="minorEastAsia"/>
          <w:b w:val="0"/>
          <w:bCs w:val="0"/>
          <w:color w:val="000000" w:themeColor="text1"/>
          <w:sz w:val="24"/>
          <w:szCs w:val="24"/>
          <w:u w:val="none"/>
          <w:lang w:val="en-US" w:eastAsia="zh-CN"/>
          <w14:textFill>
            <w14:solidFill>
              <w14:schemeClr w14:val="tx1"/>
            </w14:solidFill>
          </w14:textFill>
        </w:rPr>
        <w:t>施工</w:t>
      </w: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方案;</w:t>
      </w:r>
    </w:p>
    <w:p w14:paraId="428B5FDA">
      <w:pPr>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w:t>
      </w:r>
      <w:r>
        <w:rPr>
          <w:rFonts w:hint="eastAsia" w:asciiTheme="minorEastAsia" w:hAnsiTheme="minorEastAsia" w:cstheme="minorEastAsia"/>
          <w:b w:val="0"/>
          <w:bCs w:val="0"/>
          <w:color w:val="000000" w:themeColor="text1"/>
          <w:sz w:val="24"/>
          <w:szCs w:val="24"/>
          <w:u w:val="none"/>
          <w:lang w:val="en-US" w:eastAsia="zh-CN"/>
          <w14:textFill>
            <w14:solidFill>
              <w14:schemeClr w14:val="tx1"/>
            </w14:solidFill>
          </w14:textFill>
        </w:rPr>
        <w:t>7</w:t>
      </w: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w:t>
      </w:r>
      <w:r>
        <w:rPr>
          <w:rFonts w:hint="eastAsia" w:asciiTheme="minorEastAsia" w:hAnsiTheme="minorEastAsia" w:cstheme="minorEastAsia"/>
          <w:b w:val="0"/>
          <w:bCs w:val="0"/>
          <w:color w:val="000000" w:themeColor="text1"/>
          <w:sz w:val="24"/>
          <w:szCs w:val="24"/>
          <w:u w:val="none"/>
          <w:lang w:val="en-US" w:eastAsia="zh-CN"/>
          <w14:textFill>
            <w14:solidFill>
              <w14:schemeClr w14:val="tx1"/>
            </w14:solidFill>
          </w14:textFill>
        </w:rPr>
        <w:t>其他资料</w:t>
      </w: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w:t>
      </w:r>
    </w:p>
    <w:p w14:paraId="410ED325">
      <w:pPr>
        <w:pageBreakBefore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响应文件的上述组成部分如存在内容不一致的， 以响应函为准。</w:t>
      </w:r>
    </w:p>
    <w:p w14:paraId="44AF3F82">
      <w:pPr>
        <w:pageBreakBefore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3.我方承诺除商务和技术偏差表列出的偏差外,我方响应采购文件的全部要求。</w:t>
      </w:r>
    </w:p>
    <w:p w14:paraId="76672C9C">
      <w:pPr>
        <w:pageBreakBefore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4.我方承诺在采购文件规定的响应文件有效期内不撤销响应文件。</w:t>
      </w:r>
    </w:p>
    <w:p w14:paraId="7A8D021F">
      <w:pPr>
        <w:pageBreakBefore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5.如我方成交，我方承诺:</w:t>
      </w:r>
    </w:p>
    <w:p w14:paraId="65BA7194">
      <w:pPr>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（1）在收到成交通知书后,在成交通知书规定的期限内与你方签订合同;</w:t>
      </w:r>
    </w:p>
    <w:p w14:paraId="008F4577">
      <w:pPr>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（2）在签订合同时不向你方提出附加条件;</w:t>
      </w:r>
    </w:p>
    <w:p w14:paraId="6743623E">
      <w:pPr>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（3）按照采购文件要求递交履约保证金;</w:t>
      </w:r>
    </w:p>
    <w:p w14:paraId="409759D9">
      <w:pPr>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（4）在合同约定的期限内完成合同规定的全部义务。</w:t>
      </w:r>
    </w:p>
    <w:p w14:paraId="1EE84E85">
      <w:pPr>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6.我方在此声明，所递交的响应文件及有关资料内容完整、真实和准确，且不存在第一章“询比采购公告/询比采购邀请书”中规定的供应商不得存在的情形。</w:t>
      </w:r>
    </w:p>
    <w:p w14:paraId="07D3A045">
      <w:pPr>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80" w:firstLineChars="200"/>
        <w:textAlignment w:val="auto"/>
        <w:rPr>
          <w:rFonts w:hint="eastAsia" w:asciiTheme="minorEastAsia" w:hAnsiTheme="minorEastAsia" w:eastAsiaTheme="minorEastAsia" w:cstheme="minorEastAsia"/>
          <w:b w:val="0"/>
          <w:bCs w:val="0"/>
          <w:color w:val="000000" w:themeColor="text1"/>
          <w:sz w:val="24"/>
          <w:szCs w:val="24"/>
          <w:u w:val="singl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7</w:t>
      </w:r>
      <w:r>
        <w:rPr>
          <w:rFonts w:hint="eastAsia" w:asciiTheme="minorEastAsia" w:hAnsiTheme="minorEastAsia" w:eastAsiaTheme="minorEastAsia" w:cstheme="minorEastAsia"/>
          <w:b w:val="0"/>
          <w:bCs w:val="0"/>
          <w:color w:val="000000" w:themeColor="text1"/>
          <w:sz w:val="24"/>
          <w:szCs w:val="24"/>
          <w:u w:val="single"/>
          <w:lang w:val="en-US" w:eastAsia="zh-CN"/>
          <w14:textFill>
            <w14:solidFill>
              <w14:schemeClr w14:val="tx1"/>
            </w14:solidFill>
          </w14:textFill>
        </w:rPr>
        <w:t xml:space="preserve">                     （其他补充说明）。</w:t>
      </w:r>
    </w:p>
    <w:p w14:paraId="052EC8E1">
      <w:pPr>
        <w:pageBreakBefore w:val="0"/>
        <w:kinsoku/>
        <w:wordWrap/>
        <w:overflowPunct/>
        <w:topLinePunct w:val="0"/>
        <w:autoSpaceDE/>
        <w:autoSpaceDN/>
        <w:bidi w:val="0"/>
        <w:adjustRightInd/>
        <w:snapToGrid/>
        <w:spacing w:line="440" w:lineRule="exact"/>
        <w:ind w:right="-512" w:rightChars="-244" w:firstLine="2640" w:firstLineChars="1100"/>
        <w:textAlignment w:val="auto"/>
        <w:rPr>
          <w:rFonts w:hint="eastAsia" w:asciiTheme="minorEastAsia" w:hAnsiTheme="minorEastAsia" w:eastAsiaTheme="minorEastAsia" w:cstheme="minorEastAsia"/>
          <w:b w:val="0"/>
          <w:bCs w:val="0"/>
          <w:color w:val="000000" w:themeColor="text1"/>
          <w:sz w:val="24"/>
          <w:szCs w:val="32"/>
          <w:u w:val="singl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32"/>
          <w:u w:val="none"/>
          <w:lang w:val="en-US" w:eastAsia="zh-CN"/>
          <w14:textFill>
            <w14:solidFill>
              <w14:schemeClr w14:val="tx1"/>
            </w14:solidFill>
          </w14:textFill>
        </w:rPr>
        <w:t>供应商:</w:t>
      </w:r>
      <w:r>
        <w:rPr>
          <w:rFonts w:hint="eastAsia" w:asciiTheme="minorEastAsia" w:hAnsiTheme="minorEastAsia" w:eastAsiaTheme="minorEastAsia" w:cstheme="minorEastAsia"/>
          <w:b w:val="0"/>
          <w:bCs w:val="0"/>
          <w:color w:val="000000" w:themeColor="text1"/>
          <w:sz w:val="24"/>
          <w:szCs w:val="32"/>
          <w:u w:val="single"/>
          <w:lang w:val="en-US" w:eastAsia="zh-CN"/>
          <w14:textFill>
            <w14:solidFill>
              <w14:schemeClr w14:val="tx1"/>
            </w14:solidFill>
          </w14:textFill>
        </w:rPr>
        <w:t xml:space="preserve">                                  （盖单位章）</w:t>
      </w:r>
    </w:p>
    <w:p w14:paraId="3977D882">
      <w:pPr>
        <w:pageBreakBefore w:val="0"/>
        <w:kinsoku/>
        <w:wordWrap/>
        <w:overflowPunct/>
        <w:topLinePunct w:val="0"/>
        <w:autoSpaceDE/>
        <w:autoSpaceDN/>
        <w:bidi w:val="0"/>
        <w:adjustRightInd/>
        <w:snapToGrid/>
        <w:spacing w:line="440" w:lineRule="exact"/>
        <w:ind w:left="2694" w:leftChars="1283" w:right="-512" w:rightChars="-244" w:firstLine="0" w:firstLineChars="0"/>
        <w:textAlignment w:val="auto"/>
        <w:rPr>
          <w:rFonts w:hint="eastAsia" w:asciiTheme="minorEastAsia" w:hAnsiTheme="minorEastAsia" w:eastAsiaTheme="minorEastAsia" w:cstheme="minorEastAsia"/>
          <w:b w:val="0"/>
          <w:bCs w:val="0"/>
          <w:color w:val="000000" w:themeColor="text1"/>
          <w:sz w:val="24"/>
          <w:szCs w:val="32"/>
          <w:u w:val="singl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32"/>
          <w:u w:val="none"/>
          <w:lang w:val="en-US" w:eastAsia="zh-CN"/>
          <w14:textFill>
            <w14:solidFill>
              <w14:schemeClr w14:val="tx1"/>
            </w14:solidFill>
          </w14:textFill>
        </w:rPr>
        <w:t>法定代表人（单位负责人）或其授权的代理人:</w:t>
      </w:r>
      <w:r>
        <w:rPr>
          <w:rFonts w:hint="eastAsia" w:asciiTheme="minorEastAsia" w:hAnsiTheme="minorEastAsia" w:eastAsiaTheme="minorEastAsia" w:cstheme="minorEastAsia"/>
          <w:b w:val="0"/>
          <w:bCs w:val="0"/>
          <w:color w:val="000000" w:themeColor="text1"/>
          <w:sz w:val="24"/>
          <w:szCs w:val="32"/>
          <w:u w:val="single"/>
          <w:lang w:val="en-US" w:eastAsia="zh-CN"/>
          <w14:textFill>
            <w14:solidFill>
              <w14:schemeClr w14:val="tx1"/>
            </w14:solidFill>
          </w14:textFill>
        </w:rPr>
        <w:t xml:space="preserve">     （签字）</w:t>
      </w:r>
    </w:p>
    <w:p w14:paraId="228318DB">
      <w:pPr>
        <w:pageBreakBefore w:val="0"/>
        <w:kinsoku/>
        <w:wordWrap/>
        <w:overflowPunct/>
        <w:topLinePunct w:val="0"/>
        <w:autoSpaceDE/>
        <w:autoSpaceDN/>
        <w:bidi w:val="0"/>
        <w:adjustRightInd/>
        <w:snapToGrid/>
        <w:spacing w:line="440" w:lineRule="exact"/>
        <w:ind w:left="2694" w:leftChars="1283" w:right="-512" w:rightChars="-244" w:firstLine="0" w:firstLineChars="0"/>
        <w:textAlignment w:val="auto"/>
        <w:rPr>
          <w:rFonts w:hint="eastAsia" w:asciiTheme="minorEastAsia" w:hAnsiTheme="minorEastAsia" w:eastAsiaTheme="minorEastAsia" w:cstheme="minorEastAsia"/>
          <w:b w:val="0"/>
          <w:bCs w:val="0"/>
          <w:color w:val="000000" w:themeColor="text1"/>
          <w:sz w:val="24"/>
          <w:szCs w:val="32"/>
          <w:u w:val="singl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32"/>
          <w:u w:val="none"/>
          <w:lang w:val="en-US" w:eastAsia="zh-CN"/>
          <w14:textFill>
            <w14:solidFill>
              <w14:schemeClr w14:val="tx1"/>
            </w14:solidFill>
          </w14:textFill>
        </w:rPr>
        <w:t>地址：</w:t>
      </w:r>
      <w:r>
        <w:rPr>
          <w:rFonts w:hint="eastAsia" w:asciiTheme="minorEastAsia" w:hAnsiTheme="minorEastAsia" w:eastAsiaTheme="minorEastAsia" w:cstheme="minorEastAsia"/>
          <w:b w:val="0"/>
          <w:bCs w:val="0"/>
          <w:color w:val="000000" w:themeColor="text1"/>
          <w:sz w:val="24"/>
          <w:szCs w:val="32"/>
          <w:u w:val="single"/>
          <w:lang w:val="en-US" w:eastAsia="zh-CN"/>
          <w14:textFill>
            <w14:solidFill>
              <w14:schemeClr w14:val="tx1"/>
            </w14:solidFill>
          </w14:textFill>
        </w:rPr>
        <w:t xml:space="preserve">                                              </w:t>
      </w:r>
    </w:p>
    <w:p w14:paraId="139A9959">
      <w:pPr>
        <w:pageBreakBefore w:val="0"/>
        <w:kinsoku/>
        <w:wordWrap/>
        <w:overflowPunct/>
        <w:topLinePunct w:val="0"/>
        <w:autoSpaceDE/>
        <w:autoSpaceDN/>
        <w:bidi w:val="0"/>
        <w:adjustRightInd/>
        <w:snapToGrid/>
        <w:spacing w:line="440" w:lineRule="exact"/>
        <w:ind w:right="-512" w:rightChars="-244" w:firstLine="5520" w:firstLineChars="2300"/>
        <w:textAlignment w:val="auto"/>
        <w:rPr>
          <w:rFonts w:hint="eastAsia" w:asciiTheme="minorEastAsia" w:hAnsiTheme="minorEastAsia" w:cstheme="minorEastAsia"/>
          <w:b w:val="0"/>
          <w:bCs w:val="0"/>
          <w:color w:val="000000" w:themeColor="text1"/>
          <w:sz w:val="24"/>
          <w:szCs w:val="32"/>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32"/>
          <w:u w:val="single"/>
          <w:lang w:val="en-US" w:eastAsia="zh-CN"/>
          <w14:textFill>
            <w14:solidFill>
              <w14:schemeClr w14:val="tx1"/>
            </w14:solidFill>
          </w14:textFill>
        </w:rPr>
        <w:t xml:space="preserve">        年      月       日</w:t>
      </w:r>
      <w:r>
        <w:rPr>
          <w:rFonts w:hint="eastAsia" w:asciiTheme="minorEastAsia" w:hAnsiTheme="minorEastAsia" w:cstheme="minorEastAsia"/>
          <w:b w:val="0"/>
          <w:bCs w:val="0"/>
          <w:color w:val="000000" w:themeColor="text1"/>
          <w:sz w:val="24"/>
          <w:szCs w:val="32"/>
          <w:u w:val="none"/>
          <w:lang w:val="en-US" w:eastAsia="zh-CN"/>
          <w14:textFill>
            <w14:solidFill>
              <w14:schemeClr w14:val="tx1"/>
            </w14:solidFill>
          </w14:textFill>
        </w:rPr>
        <w:br w:type="page"/>
      </w:r>
    </w:p>
    <w:p w14:paraId="1F260A42">
      <w:pPr>
        <w:pStyle w:val="2"/>
        <w:numPr>
          <w:ilvl w:val="0"/>
          <w:numId w:val="0"/>
        </w:numPr>
        <w:bidi w:val="0"/>
        <w:jc w:val="center"/>
        <w:rPr>
          <w:rFonts w:hint="eastAsia"/>
          <w:b w:val="0"/>
          <w:bCs/>
          <w:color w:val="000000" w:themeColor="text1"/>
          <w:sz w:val="32"/>
          <w:szCs w:val="32"/>
          <w:lang w:val="en-US" w:eastAsia="zh-CN"/>
          <w14:textFill>
            <w14:solidFill>
              <w14:schemeClr w14:val="tx1"/>
            </w14:solidFill>
          </w14:textFill>
        </w:rPr>
      </w:pPr>
      <w:bookmarkStart w:id="272" w:name="bookmark748"/>
      <w:bookmarkStart w:id="273" w:name="bookmark747"/>
      <w:bookmarkStart w:id="274" w:name="_Toc18369"/>
      <w:bookmarkStart w:id="275" w:name="bookmark746"/>
      <w:bookmarkStart w:id="276" w:name="_Toc4053"/>
      <w:bookmarkStart w:id="277" w:name="bookmark749"/>
      <w:bookmarkStart w:id="278" w:name="_Toc8201"/>
      <w:bookmarkStart w:id="279" w:name="_Toc11896"/>
      <w:bookmarkStart w:id="280" w:name="_Toc1563"/>
      <w:r>
        <w:rPr>
          <w:rFonts w:hint="eastAsia"/>
          <w:b w:val="0"/>
          <w:bCs/>
          <w:color w:val="000000" w:themeColor="text1"/>
          <w:sz w:val="32"/>
          <w:szCs w:val="32"/>
          <w:lang w:val="en-US" w:eastAsia="zh-CN"/>
          <w14:textFill>
            <w14:solidFill>
              <w14:schemeClr w14:val="tx1"/>
            </w14:solidFill>
          </w14:textFill>
        </w:rPr>
        <w:t>二</w:t>
      </w:r>
      <w:bookmarkEnd w:id="272"/>
      <w:r>
        <w:rPr>
          <w:rFonts w:hint="eastAsia"/>
          <w:b w:val="0"/>
          <w:bCs/>
          <w:color w:val="000000" w:themeColor="text1"/>
          <w:sz w:val="32"/>
          <w:szCs w:val="32"/>
          <w:lang w:val="en-US" w:eastAsia="zh-CN"/>
          <w14:textFill>
            <w14:solidFill>
              <w14:schemeClr w14:val="tx1"/>
            </w14:solidFill>
          </w14:textFill>
        </w:rPr>
        <w:t>、授权委托书</w:t>
      </w:r>
      <w:bookmarkEnd w:id="273"/>
      <w:bookmarkEnd w:id="274"/>
      <w:bookmarkEnd w:id="275"/>
      <w:bookmarkEnd w:id="276"/>
      <w:bookmarkEnd w:id="277"/>
      <w:bookmarkEnd w:id="278"/>
      <w:bookmarkEnd w:id="279"/>
      <w:bookmarkEnd w:id="280"/>
    </w:p>
    <w:p w14:paraId="6331CC8D">
      <w:pPr>
        <w:pStyle w:val="29"/>
        <w:keepNext w:val="0"/>
        <w:keepLines w:val="0"/>
        <w:pageBreakBefore w:val="0"/>
        <w:widowControl w:val="0"/>
        <w:shd w:val="clear" w:color="auto" w:fill="auto"/>
        <w:kinsoku/>
        <w:wordWrap/>
        <w:overflowPunct/>
        <w:topLinePunct w:val="0"/>
        <w:autoSpaceDE/>
        <w:autoSpaceDN/>
        <w:bidi w:val="0"/>
        <w:adjustRightInd/>
        <w:snapToGrid/>
        <w:spacing w:before="0" w:after="500" w:line="440" w:lineRule="exact"/>
        <w:ind w:left="-420" w:leftChars="-200" w:right="-512" w:rightChars="-244" w:firstLine="0" w:firstLineChars="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（适用于有委托代理人的情况）</w:t>
      </w:r>
    </w:p>
    <w:p w14:paraId="3B3C3ED8">
      <w:pPr>
        <w:pStyle w:val="29"/>
        <w:keepNext w:val="0"/>
        <w:keepLines w:val="0"/>
        <w:pageBreakBefore w:val="0"/>
        <w:widowControl w:val="0"/>
        <w:shd w:val="clear" w:color="auto" w:fill="auto"/>
        <w:tabs>
          <w:tab w:val="left" w:pos="2798"/>
          <w:tab w:val="left" w:pos="4661"/>
          <w:tab w:val="left" w:pos="6494"/>
          <w:tab w:val="left" w:pos="6504"/>
        </w:tabs>
        <w:kinsoku/>
        <w:wordWrap/>
        <w:overflowPunct/>
        <w:topLinePunct w:val="0"/>
        <w:autoSpaceDE/>
        <w:autoSpaceDN/>
        <w:bidi w:val="0"/>
        <w:adjustRightInd w:val="0"/>
        <w:snapToGrid w:val="0"/>
        <w:spacing w:before="0" w:after="0" w:line="440" w:lineRule="exact"/>
        <w:ind w:left="0" w:leftChars="0" w:right="-92" w:rightChars="-44" w:firstLine="480" w:firstLineChars="20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本人</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position w:val="0"/>
          <w:sz w:val="24"/>
          <w:szCs w:val="24"/>
          <w:u w:val="single"/>
          <w14:textFill>
            <w14:solidFill>
              <w14:schemeClr w14:val="tx1"/>
            </w14:solidFill>
          </w14:textFill>
        </w:rPr>
        <w:t>（姓名）</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系</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ab/>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position w:val="0"/>
          <w:sz w:val="24"/>
          <w:szCs w:val="24"/>
          <w:u w:val="single"/>
          <w14:textFill>
            <w14:solidFill>
              <w14:schemeClr w14:val="tx1"/>
            </w14:solidFill>
          </w14:textFill>
        </w:rPr>
        <w:t>（供应商名称）</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的法定代表人（单位负责人），现委托</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position w:val="0"/>
          <w:sz w:val="24"/>
          <w:szCs w:val="24"/>
          <w:u w:val="single"/>
          <w14:textFill>
            <w14:solidFill>
              <w14:schemeClr w14:val="tx1"/>
            </w14:solidFill>
          </w14:textFill>
        </w:rPr>
        <w:t>（姓名）</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为我方代理人。代理人根据授权, 以我方名义签署、澄清确认、递交、撤回、修改</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ab/>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询比采购项目响应文件、 签订合同和处理有关事宜，其法律后果由我方承担。</w:t>
      </w:r>
    </w:p>
    <w:p w14:paraId="29BF504C">
      <w:pPr>
        <w:pStyle w:val="29"/>
        <w:keepNext w:val="0"/>
        <w:keepLines w:val="0"/>
        <w:pageBreakBefore w:val="0"/>
        <w:widowControl w:val="0"/>
        <w:shd w:val="clear" w:color="auto" w:fill="auto"/>
        <w:tabs>
          <w:tab w:val="left" w:pos="5789"/>
        </w:tabs>
        <w:kinsoku/>
        <w:wordWrap/>
        <w:overflowPunct/>
        <w:topLinePunct w:val="0"/>
        <w:autoSpaceDE/>
        <w:autoSpaceDN/>
        <w:bidi w:val="0"/>
        <w:adjustRightInd w:val="0"/>
        <w:snapToGrid w:val="0"/>
        <w:spacing w:before="0" w:after="0" w:line="440" w:lineRule="exact"/>
        <w:ind w:left="0" w:leftChars="0" w:right="-92" w:rightChars="-44" w:firstLine="0" w:firstLineChars="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委托期限：自本委托书签署之日起至</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项目名称）</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项目签订采购合同之日止。</w:t>
      </w:r>
    </w:p>
    <w:p w14:paraId="7CF6744D">
      <w:pPr>
        <w:pStyle w:val="29"/>
        <w:keepNext w:val="0"/>
        <w:keepLines w:val="0"/>
        <w:pageBreakBefore w:val="0"/>
        <w:widowControl w:val="0"/>
        <w:shd w:val="clear" w:color="auto" w:fill="auto"/>
        <w:kinsoku/>
        <w:wordWrap/>
        <w:overflowPunct/>
        <w:topLinePunct w:val="0"/>
        <w:autoSpaceDE/>
        <w:autoSpaceDN/>
        <w:bidi w:val="0"/>
        <w:adjustRightInd w:val="0"/>
        <w:snapToGrid w:val="0"/>
        <w:spacing w:before="0" w:after="360" w:line="440" w:lineRule="exact"/>
        <w:ind w:left="-420" w:leftChars="-200" w:right="-512" w:rightChars="-244" w:firstLine="480" w:firstLineChars="20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代理人无转委托权。</w:t>
      </w:r>
    </w:p>
    <w:p w14:paraId="7015671D">
      <w:pPr>
        <w:pStyle w:val="29"/>
        <w:keepNext w:val="0"/>
        <w:keepLines w:val="0"/>
        <w:pageBreakBefore w:val="0"/>
        <w:widowControl w:val="0"/>
        <w:shd w:val="clear" w:color="auto" w:fill="auto"/>
        <w:kinsoku/>
        <w:wordWrap/>
        <w:overflowPunct/>
        <w:topLinePunct w:val="0"/>
        <w:autoSpaceDE/>
        <w:autoSpaceDN/>
        <w:bidi w:val="0"/>
        <w:adjustRightInd/>
        <w:snapToGrid/>
        <w:spacing w:before="0" w:after="360" w:line="440" w:lineRule="exact"/>
        <w:ind w:left="-420" w:leftChars="-200" w:right="-512" w:rightChars="-244" w:firstLine="480" w:firstLineChars="20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附：法定代表人（单位负责人）身份证复印件及委托代理人身份证复印件。</w:t>
      </w:r>
    </w:p>
    <w:p w14:paraId="178C47F2">
      <w:pPr>
        <w:pStyle w:val="29"/>
        <w:keepNext w:val="0"/>
        <w:keepLines w:val="0"/>
        <w:pageBreakBefore w:val="0"/>
        <w:widowControl w:val="0"/>
        <w:shd w:val="clear" w:color="auto" w:fill="auto"/>
        <w:tabs>
          <w:tab w:val="left" w:pos="7373"/>
          <w:tab w:val="left" w:pos="7858"/>
          <w:tab w:val="left" w:pos="7862"/>
          <w:tab w:val="left" w:pos="8582"/>
          <w:tab w:val="left" w:pos="8587"/>
        </w:tabs>
        <w:kinsoku/>
        <w:wordWrap/>
        <w:overflowPunct/>
        <w:topLinePunct w:val="0"/>
        <w:autoSpaceDE/>
        <w:autoSpaceDN/>
        <w:bidi w:val="0"/>
        <w:adjustRightInd/>
        <w:snapToGrid/>
        <w:spacing w:before="0" w:line="440" w:lineRule="exact"/>
        <w:ind w:left="-420" w:leftChars="-200" w:right="-512" w:rightChars="-244" w:firstLine="3120" w:firstLineChars="1300"/>
        <w:jc w:val="left"/>
        <w:textAlignment w:val="auto"/>
        <w:rPr>
          <w:rFonts w:hint="eastAsia" w:asciiTheme="minorEastAsia" w:hAnsiTheme="minorEastAsia" w:eastAsiaTheme="minorEastAsia" w:cstheme="minorEastAsia"/>
          <w:color w:val="000000" w:themeColor="text1"/>
          <w:spacing w:val="0"/>
          <w:w w:val="100"/>
          <w:position w:val="0"/>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供应商：</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position w:val="0"/>
          <w:sz w:val="24"/>
          <w:szCs w:val="24"/>
          <w:u w:val="single"/>
          <w14:textFill>
            <w14:solidFill>
              <w14:schemeClr w14:val="tx1"/>
            </w14:solidFill>
          </w14:textFill>
        </w:rPr>
        <w:t>（盖单位章）</w:t>
      </w:r>
    </w:p>
    <w:p w14:paraId="20FD02D6">
      <w:pPr>
        <w:pStyle w:val="29"/>
        <w:keepNext w:val="0"/>
        <w:keepLines w:val="0"/>
        <w:pageBreakBefore w:val="0"/>
        <w:widowControl w:val="0"/>
        <w:shd w:val="clear" w:color="auto" w:fill="auto"/>
        <w:tabs>
          <w:tab w:val="left" w:pos="7373"/>
          <w:tab w:val="left" w:pos="7858"/>
          <w:tab w:val="left" w:pos="7862"/>
          <w:tab w:val="left" w:pos="8582"/>
          <w:tab w:val="left" w:pos="8587"/>
        </w:tabs>
        <w:kinsoku/>
        <w:wordWrap/>
        <w:overflowPunct/>
        <w:topLinePunct w:val="0"/>
        <w:autoSpaceDE/>
        <w:autoSpaceDN/>
        <w:bidi w:val="0"/>
        <w:adjustRightInd/>
        <w:snapToGrid/>
        <w:spacing w:before="0" w:line="440" w:lineRule="exact"/>
        <w:ind w:left="-420" w:leftChars="-200" w:right="-512" w:rightChars="-244" w:firstLine="3120" w:firstLineChars="1300"/>
        <w:jc w:val="left"/>
        <w:textAlignment w:val="auto"/>
        <w:rPr>
          <w:rFonts w:hint="eastAsia" w:asciiTheme="minorEastAsia" w:hAnsiTheme="minorEastAsia" w:eastAsiaTheme="minorEastAsia" w:cstheme="minorEastAsia"/>
          <w:color w:val="000000" w:themeColor="text1"/>
          <w:spacing w:val="0"/>
          <w:w w:val="100"/>
          <w:position w:val="0"/>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lang w:eastAsia="zh-CN"/>
          <w14:textFill>
            <w14:solidFill>
              <w14:schemeClr w14:val="tx1"/>
            </w14:solidFill>
          </w14:textFill>
        </w:rPr>
        <w:t>法</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定代表人（单位负责人）：</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position w:val="0"/>
          <w:sz w:val="24"/>
          <w:szCs w:val="24"/>
          <w:u w:val="single"/>
          <w14:textFill>
            <w14:solidFill>
              <w14:schemeClr w14:val="tx1"/>
            </w14:solidFill>
          </w14:textFill>
        </w:rPr>
        <w:t>（签字）</w:t>
      </w:r>
    </w:p>
    <w:p w14:paraId="090EE6C5">
      <w:pPr>
        <w:pStyle w:val="29"/>
        <w:keepNext w:val="0"/>
        <w:keepLines w:val="0"/>
        <w:pageBreakBefore w:val="0"/>
        <w:widowControl w:val="0"/>
        <w:shd w:val="clear" w:color="auto" w:fill="auto"/>
        <w:tabs>
          <w:tab w:val="left" w:pos="7373"/>
          <w:tab w:val="left" w:pos="7858"/>
          <w:tab w:val="left" w:pos="7862"/>
          <w:tab w:val="left" w:pos="8582"/>
          <w:tab w:val="left" w:pos="8587"/>
        </w:tabs>
        <w:kinsoku/>
        <w:wordWrap/>
        <w:overflowPunct/>
        <w:topLinePunct w:val="0"/>
        <w:autoSpaceDE/>
        <w:autoSpaceDN/>
        <w:bidi w:val="0"/>
        <w:adjustRightInd/>
        <w:snapToGrid/>
        <w:spacing w:before="0" w:line="440" w:lineRule="exact"/>
        <w:ind w:left="-420" w:leftChars="-200" w:right="-512" w:rightChars="-244" w:firstLine="3120" w:firstLineChars="1300"/>
        <w:jc w:val="left"/>
        <w:textAlignment w:val="auto"/>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身份证号码：</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ab/>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 xml:space="preserve"> </w:t>
      </w:r>
    </w:p>
    <w:p w14:paraId="5493AF7D">
      <w:pPr>
        <w:pStyle w:val="29"/>
        <w:keepNext w:val="0"/>
        <w:keepLines w:val="0"/>
        <w:pageBreakBefore w:val="0"/>
        <w:widowControl w:val="0"/>
        <w:shd w:val="clear" w:color="auto" w:fill="auto"/>
        <w:tabs>
          <w:tab w:val="left" w:pos="7373"/>
          <w:tab w:val="left" w:pos="7858"/>
          <w:tab w:val="left" w:pos="7862"/>
          <w:tab w:val="left" w:pos="8582"/>
          <w:tab w:val="left" w:pos="8587"/>
        </w:tabs>
        <w:kinsoku/>
        <w:wordWrap/>
        <w:overflowPunct/>
        <w:topLinePunct w:val="0"/>
        <w:autoSpaceDE/>
        <w:autoSpaceDN/>
        <w:bidi w:val="0"/>
        <w:adjustRightInd/>
        <w:snapToGrid/>
        <w:spacing w:before="0" w:line="440" w:lineRule="exact"/>
        <w:ind w:left="-420" w:leftChars="-200" w:right="-512" w:rightChars="-244" w:firstLine="3120" w:firstLineChars="1300"/>
        <w:jc w:val="left"/>
        <w:textAlignment w:val="auto"/>
        <w:rPr>
          <w:rFonts w:hint="eastAsia" w:asciiTheme="minorEastAsia" w:hAnsiTheme="minorEastAsia" w:eastAsiaTheme="minorEastAsia" w:cstheme="minorEastAsia"/>
          <w:color w:val="000000" w:themeColor="text1"/>
          <w:spacing w:val="0"/>
          <w:w w:val="100"/>
          <w:position w:val="0"/>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委托代理人：</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position w:val="0"/>
          <w:sz w:val="24"/>
          <w:szCs w:val="24"/>
          <w:u w:val="single"/>
          <w14:textFill>
            <w14:solidFill>
              <w14:schemeClr w14:val="tx1"/>
            </w14:solidFill>
          </w14:textFill>
        </w:rPr>
        <w:t>（签字）</w:t>
      </w:r>
    </w:p>
    <w:p w14:paraId="4016139B">
      <w:pPr>
        <w:pStyle w:val="29"/>
        <w:keepNext w:val="0"/>
        <w:keepLines w:val="0"/>
        <w:pageBreakBefore w:val="0"/>
        <w:widowControl w:val="0"/>
        <w:shd w:val="clear" w:color="auto" w:fill="auto"/>
        <w:tabs>
          <w:tab w:val="left" w:pos="7373"/>
          <w:tab w:val="left" w:pos="7858"/>
          <w:tab w:val="left" w:pos="7862"/>
          <w:tab w:val="left" w:pos="8582"/>
          <w:tab w:val="left" w:pos="8587"/>
        </w:tabs>
        <w:kinsoku/>
        <w:wordWrap/>
        <w:overflowPunct/>
        <w:topLinePunct w:val="0"/>
        <w:autoSpaceDE/>
        <w:autoSpaceDN/>
        <w:bidi w:val="0"/>
        <w:adjustRightInd/>
        <w:snapToGrid/>
        <w:spacing w:before="0" w:line="440" w:lineRule="exact"/>
        <w:ind w:right="-512" w:rightChars="-244" w:firstLine="2683" w:firstLineChars="1118"/>
        <w:jc w:val="left"/>
        <w:textAlignment w:val="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身份证号码：</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ab/>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p>
    <w:p w14:paraId="29BB7312">
      <w:pPr>
        <w:pStyle w:val="29"/>
        <w:keepNext w:val="0"/>
        <w:keepLines w:val="0"/>
        <w:pageBreakBefore w:val="0"/>
        <w:widowControl w:val="0"/>
        <w:shd w:val="clear" w:color="auto" w:fill="auto"/>
        <w:tabs>
          <w:tab w:val="left" w:pos="965"/>
          <w:tab w:val="left" w:pos="2170"/>
          <w:tab w:val="left" w:pos="3370"/>
        </w:tabs>
        <w:kinsoku/>
        <w:wordWrap/>
        <w:overflowPunct/>
        <w:topLinePunct w:val="0"/>
        <w:autoSpaceDE/>
        <w:autoSpaceDN/>
        <w:bidi w:val="0"/>
        <w:adjustRightInd/>
        <w:snapToGrid/>
        <w:spacing w:before="0" w:line="440" w:lineRule="exact"/>
        <w:ind w:left="-420" w:leftChars="-200" w:right="0" w:rightChars="0" w:firstLine="0" w:firstLineChars="0"/>
        <w:jc w:val="right"/>
        <w:textAlignment w:val="auto"/>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ab/>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ab/>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ab/>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日</w:t>
      </w:r>
    </w:p>
    <w:p w14:paraId="430ECC9B">
      <w:pPr>
        <w:pageBreakBefore w:val="0"/>
        <w:kinsoku/>
        <w:wordWrap/>
        <w:overflowPunct/>
        <w:topLinePunct w:val="0"/>
        <w:autoSpaceDE/>
        <w:autoSpaceDN/>
        <w:bidi w:val="0"/>
        <w:adjustRightInd/>
        <w:snapToGrid/>
        <w:spacing w:line="440" w:lineRule="exact"/>
        <w:ind w:left="-420" w:leftChars="-200" w:right="-512" w:rightChars="-244" w:firstLine="0" w:firstLineChars="0"/>
        <w:textAlignment w:val="auto"/>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br w:type="page"/>
      </w:r>
    </w:p>
    <w:p w14:paraId="5D874609">
      <w:pPr>
        <w:pStyle w:val="4"/>
        <w:spacing w:before="120" w:after="120" w:line="240" w:lineRule="auto"/>
        <w:jc w:val="center"/>
        <w:rPr>
          <w:rFonts w:hint="eastAsia" w:asciiTheme="minorHAnsi" w:hAnsiTheme="minorHAnsi" w:eastAsiaTheme="minorEastAsia" w:cstheme="minorBidi"/>
          <w:b w:val="0"/>
          <w:bCs/>
          <w:color w:val="000000" w:themeColor="text1"/>
          <w:kern w:val="44"/>
          <w:sz w:val="32"/>
          <w:szCs w:val="32"/>
          <w:lang w:val="en-US" w:eastAsia="zh-CN" w:bidi="ar-SA"/>
          <w14:textFill>
            <w14:solidFill>
              <w14:schemeClr w14:val="tx1"/>
            </w14:solidFill>
          </w14:textFill>
        </w:rPr>
      </w:pPr>
      <w:bookmarkStart w:id="281" w:name="bookmark769"/>
      <w:bookmarkStart w:id="282" w:name="_Toc1689"/>
      <w:bookmarkStart w:id="283" w:name="bookmark768"/>
      <w:bookmarkStart w:id="284" w:name="_Toc21862"/>
      <w:bookmarkStart w:id="285" w:name="_Toc5480"/>
      <w:bookmarkStart w:id="286" w:name="_Toc5188"/>
      <w:bookmarkStart w:id="287" w:name="bookmark771"/>
      <w:r>
        <w:rPr>
          <w:rFonts w:hint="eastAsia" w:cstheme="minorBidi"/>
          <w:b w:val="0"/>
          <w:bCs/>
          <w:color w:val="000000" w:themeColor="text1"/>
          <w:kern w:val="44"/>
          <w:sz w:val="32"/>
          <w:szCs w:val="32"/>
          <w:lang w:val="en-US" w:eastAsia="zh-CN" w:bidi="ar-SA"/>
          <w14:textFill>
            <w14:solidFill>
              <w14:schemeClr w14:val="tx1"/>
            </w14:solidFill>
          </w14:textFill>
        </w:rPr>
        <w:t>三</w:t>
      </w:r>
      <w:r>
        <w:rPr>
          <w:rFonts w:hint="eastAsia" w:asciiTheme="minorHAnsi" w:hAnsiTheme="minorHAnsi" w:eastAsiaTheme="minorEastAsia" w:cstheme="minorBidi"/>
          <w:b w:val="0"/>
          <w:bCs/>
          <w:color w:val="000000" w:themeColor="text1"/>
          <w:kern w:val="44"/>
          <w:sz w:val="32"/>
          <w:szCs w:val="32"/>
          <w:lang w:val="en-US" w:eastAsia="zh-CN" w:bidi="ar-SA"/>
          <w14:textFill>
            <w14:solidFill>
              <w14:schemeClr w14:val="tx1"/>
            </w14:solidFill>
          </w14:textFill>
        </w:rPr>
        <w:t>、响应报价表</w:t>
      </w:r>
    </w:p>
    <w:p w14:paraId="704783CC">
      <w:pP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highlight w:val="white"/>
          <w:lang w:eastAsia="zh-CN"/>
        </w:rPr>
        <w:t>投标人</w:t>
      </w:r>
      <w:r>
        <w:rPr>
          <w:rFonts w:hint="eastAsia" w:asciiTheme="minorEastAsia" w:hAnsiTheme="minorEastAsia" w:eastAsiaTheme="minorEastAsia" w:cstheme="minorEastAsia"/>
          <w:color w:val="auto"/>
          <w:sz w:val="24"/>
          <w:szCs w:val="24"/>
          <w:highlight w:val="white"/>
        </w:rPr>
        <w:t>名称（盖</w:t>
      </w:r>
      <w:r>
        <w:rPr>
          <w:rFonts w:hint="eastAsia" w:asciiTheme="minorEastAsia" w:hAnsiTheme="minorEastAsia" w:eastAsiaTheme="minorEastAsia" w:cstheme="minorEastAsia"/>
          <w:color w:val="auto"/>
          <w:sz w:val="24"/>
          <w:szCs w:val="24"/>
          <w:highlight w:val="white"/>
          <w:lang w:eastAsia="zh-CN"/>
        </w:rPr>
        <w:t>单位公章</w:t>
      </w:r>
      <w:r>
        <w:rPr>
          <w:rFonts w:hint="eastAsia" w:asciiTheme="minorEastAsia" w:hAnsiTheme="minorEastAsia" w:eastAsiaTheme="minorEastAsia" w:cstheme="minorEastAsia"/>
          <w:color w:val="auto"/>
          <w:sz w:val="24"/>
          <w:szCs w:val="24"/>
          <w:highlight w:val="white"/>
        </w:rPr>
        <w:t xml:space="preserve">）：                        </w:t>
      </w:r>
      <w:r>
        <w:rPr>
          <w:rFonts w:hint="eastAsia" w:asciiTheme="minorEastAsia" w:hAnsiTheme="minorEastAsia" w:eastAsiaTheme="minorEastAsia" w:cstheme="minorEastAsia"/>
          <w:color w:val="auto"/>
          <w:sz w:val="24"/>
          <w:szCs w:val="24"/>
          <w:highlight w:val="white"/>
          <w:lang w:eastAsia="zh-CN"/>
        </w:rPr>
        <w:t>响应</w:t>
      </w:r>
      <w:r>
        <w:rPr>
          <w:rFonts w:hint="eastAsia" w:asciiTheme="minorEastAsia" w:hAnsiTheme="minorEastAsia" w:eastAsiaTheme="minorEastAsia" w:cstheme="minorEastAsia"/>
          <w:color w:val="auto"/>
          <w:sz w:val="24"/>
          <w:szCs w:val="24"/>
          <w:highlight w:val="white"/>
        </w:rPr>
        <w:t>日期：</w:t>
      </w:r>
      <w:r>
        <w:rPr>
          <w:rFonts w:hint="eastAsia" w:asciiTheme="minorEastAsia" w:hAnsiTheme="minorEastAsia" w:cstheme="minorEastAsia"/>
          <w:color w:val="auto"/>
          <w:sz w:val="24"/>
          <w:szCs w:val="24"/>
          <w:highlight w:val="white"/>
          <w:lang w:val="en-US" w:eastAsia="zh-CN"/>
        </w:rPr>
        <w:t xml:space="preserve">  </w:t>
      </w:r>
      <w:r>
        <w:rPr>
          <w:rFonts w:hint="eastAsia" w:asciiTheme="minorEastAsia" w:hAnsiTheme="minorEastAsia" w:eastAsiaTheme="minorEastAsia" w:cstheme="minorEastAsia"/>
          <w:color w:val="auto"/>
          <w:sz w:val="24"/>
          <w:szCs w:val="24"/>
          <w:highlight w:val="white"/>
        </w:rPr>
        <w:t>年　月　日</w:t>
      </w:r>
    </w:p>
    <w:tbl>
      <w:tblPr>
        <w:tblStyle w:val="23"/>
        <w:tblW w:w="8878" w:type="dxa"/>
        <w:jc w:val="center"/>
        <w:tblLayout w:type="fixed"/>
        <w:tblCellMar>
          <w:top w:w="0" w:type="dxa"/>
          <w:left w:w="108" w:type="dxa"/>
          <w:bottom w:w="0" w:type="dxa"/>
          <w:right w:w="108" w:type="dxa"/>
        </w:tblCellMar>
      </w:tblPr>
      <w:tblGrid>
        <w:gridCol w:w="1750"/>
        <w:gridCol w:w="2745"/>
        <w:gridCol w:w="1966"/>
        <w:gridCol w:w="1313"/>
        <w:gridCol w:w="1104"/>
      </w:tblGrid>
      <w:tr w14:paraId="3C49621A">
        <w:tblPrEx>
          <w:tblCellMar>
            <w:top w:w="0" w:type="dxa"/>
            <w:left w:w="108" w:type="dxa"/>
            <w:bottom w:w="0" w:type="dxa"/>
            <w:right w:w="108" w:type="dxa"/>
          </w:tblCellMar>
        </w:tblPrEx>
        <w:trPr>
          <w:trHeight w:val="1508" w:hRule="atLeast"/>
          <w:jc w:val="center"/>
        </w:trPr>
        <w:tc>
          <w:tcPr>
            <w:tcW w:w="175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9B7C57D">
            <w:pPr>
              <w:autoSpaceDE w:val="0"/>
              <w:autoSpaceDN w:val="0"/>
              <w:adjustRightInd w:val="0"/>
              <w:spacing w:line="400" w:lineRule="exact"/>
              <w:rPr>
                <w:rFonts w:ascii="宋体" w:cs="宋体"/>
                <w:color w:val="auto"/>
                <w:kern w:val="0"/>
                <w:sz w:val="24"/>
                <w:lang w:val="zh-CN"/>
              </w:rPr>
            </w:pPr>
            <w:r>
              <w:rPr>
                <w:rFonts w:ascii="宋体" w:hAnsi="宋体" w:cs="宋体"/>
                <w:color w:val="auto"/>
                <w:kern w:val="0"/>
                <w:sz w:val="24"/>
              </w:rPr>
              <w:t xml:space="preserve">  </w:t>
            </w:r>
            <w:r>
              <w:rPr>
                <w:rFonts w:hint="eastAsia" w:ascii="宋体" w:hAnsi="宋体" w:cs="宋体"/>
                <w:color w:val="auto"/>
                <w:kern w:val="0"/>
                <w:sz w:val="24"/>
                <w:lang w:val="zh-CN"/>
              </w:rPr>
              <w:t>项目名称</w:t>
            </w:r>
          </w:p>
        </w:tc>
        <w:tc>
          <w:tcPr>
            <w:tcW w:w="274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28F1CDD">
            <w:pPr>
              <w:autoSpaceDE w:val="0"/>
              <w:autoSpaceDN w:val="0"/>
              <w:adjustRightInd w:val="0"/>
              <w:spacing w:line="400" w:lineRule="exact"/>
              <w:jc w:val="center"/>
              <w:rPr>
                <w:rFonts w:ascii="宋体" w:cs="宋体"/>
                <w:color w:val="auto"/>
                <w:kern w:val="0"/>
                <w:sz w:val="24"/>
                <w:lang w:val="zh-CN"/>
              </w:rPr>
            </w:pPr>
            <w:r>
              <w:rPr>
                <w:rFonts w:hint="eastAsia" w:ascii="宋体" w:hAnsi="宋体" w:cs="宋体"/>
                <w:color w:val="auto"/>
                <w:kern w:val="0"/>
                <w:sz w:val="24"/>
                <w:lang w:val="zh-CN"/>
              </w:rPr>
              <w:t>响</w:t>
            </w:r>
            <w:r>
              <w:rPr>
                <w:rFonts w:hint="eastAsia" w:ascii="宋体" w:hAnsi="宋体" w:cs="宋体"/>
                <w:color w:val="auto"/>
                <w:kern w:val="0"/>
                <w:sz w:val="24"/>
                <w:lang w:val="en-US" w:eastAsia="zh-CN"/>
              </w:rPr>
              <w:t xml:space="preserve"> </w:t>
            </w:r>
            <w:r>
              <w:rPr>
                <w:rFonts w:hint="eastAsia" w:ascii="宋体" w:hAnsi="宋体" w:cs="宋体"/>
                <w:color w:val="auto"/>
                <w:kern w:val="0"/>
                <w:sz w:val="24"/>
                <w:lang w:val="zh-CN"/>
              </w:rPr>
              <w:t>应</w:t>
            </w:r>
            <w:r>
              <w:rPr>
                <w:rFonts w:ascii="宋体" w:hAnsi="宋体" w:cs="宋体"/>
                <w:color w:val="auto"/>
                <w:kern w:val="0"/>
                <w:sz w:val="24"/>
                <w:lang w:val="zh-CN"/>
              </w:rPr>
              <w:t xml:space="preserve"> </w:t>
            </w:r>
            <w:r>
              <w:rPr>
                <w:rFonts w:hint="eastAsia" w:ascii="宋体" w:hAnsi="宋体" w:cs="宋体"/>
                <w:color w:val="auto"/>
                <w:kern w:val="0"/>
                <w:sz w:val="24"/>
                <w:lang w:val="zh-CN"/>
              </w:rPr>
              <w:t>报</w:t>
            </w:r>
            <w:r>
              <w:rPr>
                <w:rFonts w:ascii="宋体" w:hAnsi="宋体" w:cs="宋体"/>
                <w:color w:val="auto"/>
                <w:kern w:val="0"/>
                <w:sz w:val="24"/>
                <w:lang w:val="zh-CN"/>
              </w:rPr>
              <w:t xml:space="preserve"> </w:t>
            </w:r>
            <w:r>
              <w:rPr>
                <w:rFonts w:hint="eastAsia" w:ascii="宋体" w:hAnsi="宋体" w:cs="宋体"/>
                <w:color w:val="auto"/>
                <w:kern w:val="0"/>
                <w:sz w:val="24"/>
                <w:lang w:val="zh-CN"/>
              </w:rPr>
              <w:t>价</w:t>
            </w:r>
          </w:p>
        </w:tc>
        <w:tc>
          <w:tcPr>
            <w:tcW w:w="196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0E6AEE9">
            <w:pPr>
              <w:autoSpaceDE w:val="0"/>
              <w:autoSpaceDN w:val="0"/>
              <w:adjustRightInd w:val="0"/>
              <w:spacing w:line="400" w:lineRule="exact"/>
              <w:jc w:val="center"/>
              <w:rPr>
                <w:rFonts w:hint="eastAsia" w:ascii="宋体" w:hAnsi="宋体" w:cs="宋体"/>
                <w:color w:val="auto"/>
                <w:kern w:val="0"/>
                <w:sz w:val="24"/>
                <w:lang w:val="zh-CN"/>
              </w:rPr>
            </w:pPr>
          </w:p>
          <w:p w14:paraId="1AA64B3B">
            <w:pPr>
              <w:autoSpaceDE w:val="0"/>
              <w:autoSpaceDN w:val="0"/>
              <w:adjustRightInd w:val="0"/>
              <w:spacing w:line="400" w:lineRule="exact"/>
              <w:jc w:val="center"/>
              <w:rPr>
                <w:rFonts w:hint="eastAsia" w:ascii="宋体" w:hAnsi="宋体" w:cs="宋体"/>
                <w:color w:val="auto"/>
                <w:kern w:val="0"/>
                <w:sz w:val="24"/>
                <w:lang w:val="zh-CN"/>
              </w:rPr>
            </w:pPr>
            <w:r>
              <w:rPr>
                <w:rFonts w:hint="eastAsia" w:ascii="宋体" w:hAnsi="宋体" w:cs="宋体"/>
                <w:color w:val="auto"/>
                <w:kern w:val="0"/>
                <w:sz w:val="24"/>
                <w:lang w:val="zh-CN"/>
              </w:rPr>
              <w:t>工期</w:t>
            </w:r>
          </w:p>
          <w:p w14:paraId="2691641C">
            <w:pPr>
              <w:autoSpaceDE w:val="0"/>
              <w:autoSpaceDN w:val="0"/>
              <w:adjustRightInd w:val="0"/>
              <w:spacing w:line="400" w:lineRule="exact"/>
              <w:jc w:val="center"/>
              <w:rPr>
                <w:rFonts w:hint="eastAsia" w:ascii="宋体" w:hAnsi="宋体" w:cs="宋体"/>
                <w:color w:val="auto"/>
                <w:kern w:val="0"/>
                <w:sz w:val="24"/>
                <w:lang w:val="zh-CN"/>
              </w:rPr>
            </w:pPr>
          </w:p>
        </w:tc>
        <w:tc>
          <w:tcPr>
            <w:tcW w:w="131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FA34F10">
            <w:pPr>
              <w:autoSpaceDE w:val="0"/>
              <w:autoSpaceDN w:val="0"/>
              <w:adjustRightInd w:val="0"/>
              <w:spacing w:line="400" w:lineRule="exact"/>
              <w:jc w:val="center"/>
              <w:rPr>
                <w:rFonts w:hint="eastAsia" w:ascii="宋体" w:hAnsi="宋体" w:cs="宋体"/>
                <w:color w:val="auto"/>
                <w:kern w:val="0"/>
                <w:sz w:val="24"/>
                <w:lang w:val="zh-CN"/>
              </w:rPr>
            </w:pPr>
            <w:r>
              <w:rPr>
                <w:rFonts w:hint="eastAsia" w:ascii="宋体" w:hAnsi="宋体" w:cs="宋体"/>
                <w:color w:val="auto"/>
                <w:kern w:val="0"/>
                <w:sz w:val="24"/>
                <w:lang w:val="zh-CN"/>
              </w:rPr>
              <w:t>工程质量</w:t>
            </w:r>
          </w:p>
        </w:tc>
        <w:tc>
          <w:tcPr>
            <w:tcW w:w="110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0207157">
            <w:pPr>
              <w:autoSpaceDE w:val="0"/>
              <w:autoSpaceDN w:val="0"/>
              <w:adjustRightInd w:val="0"/>
              <w:spacing w:line="400" w:lineRule="exact"/>
              <w:jc w:val="center"/>
              <w:rPr>
                <w:rFonts w:hint="eastAsia" w:ascii="宋体" w:hAnsi="宋体" w:cs="宋体"/>
                <w:color w:val="auto"/>
                <w:kern w:val="0"/>
                <w:sz w:val="24"/>
                <w:lang w:val="zh-CN"/>
              </w:rPr>
            </w:pPr>
            <w:r>
              <w:rPr>
                <w:rFonts w:hint="eastAsia" w:ascii="宋体" w:hAnsi="宋体" w:cs="宋体"/>
                <w:color w:val="auto"/>
                <w:kern w:val="0"/>
                <w:sz w:val="24"/>
                <w:lang w:val="zh-CN"/>
              </w:rPr>
              <w:t>备注</w:t>
            </w:r>
          </w:p>
        </w:tc>
      </w:tr>
      <w:tr w14:paraId="0C876D5D">
        <w:tblPrEx>
          <w:tblCellMar>
            <w:top w:w="0" w:type="dxa"/>
            <w:left w:w="108" w:type="dxa"/>
            <w:bottom w:w="0" w:type="dxa"/>
            <w:right w:w="108" w:type="dxa"/>
          </w:tblCellMar>
        </w:tblPrEx>
        <w:trPr>
          <w:trHeight w:val="1055" w:hRule="atLeast"/>
          <w:jc w:val="center"/>
        </w:trPr>
        <w:tc>
          <w:tcPr>
            <w:tcW w:w="1750" w:type="dxa"/>
            <w:vMerge w:val="restar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8375886">
            <w:pPr>
              <w:autoSpaceDE w:val="0"/>
              <w:autoSpaceDN w:val="0"/>
              <w:adjustRightInd w:val="0"/>
              <w:spacing w:line="400" w:lineRule="exact"/>
              <w:ind w:firstLine="480"/>
              <w:rPr>
                <w:rFonts w:ascii="宋体" w:cs="宋体"/>
                <w:color w:val="auto"/>
                <w:kern w:val="0"/>
                <w:sz w:val="24"/>
                <w:lang w:val="zh-CN"/>
              </w:rPr>
            </w:pPr>
          </w:p>
        </w:tc>
        <w:tc>
          <w:tcPr>
            <w:tcW w:w="2745"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744DE63">
            <w:pPr>
              <w:autoSpaceDE w:val="0"/>
              <w:autoSpaceDN w:val="0"/>
              <w:adjustRightInd w:val="0"/>
              <w:spacing w:line="400" w:lineRule="exact"/>
              <w:rPr>
                <w:rFonts w:ascii="宋体" w:cs="宋体"/>
                <w:color w:val="auto"/>
                <w:kern w:val="0"/>
                <w:sz w:val="24"/>
                <w:lang w:val="zh-CN"/>
              </w:rPr>
            </w:pPr>
            <w:r>
              <w:rPr>
                <w:rFonts w:hint="eastAsia" w:ascii="宋体" w:hAnsi="宋体" w:cs="宋体"/>
                <w:color w:val="auto"/>
                <w:kern w:val="0"/>
                <w:sz w:val="24"/>
                <w:lang w:val="zh-CN"/>
              </w:rPr>
              <w:t>大写：</w:t>
            </w:r>
          </w:p>
        </w:tc>
        <w:tc>
          <w:tcPr>
            <w:tcW w:w="1966" w:type="dxa"/>
            <w:vMerge w:val="restart"/>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BFCCDF1">
            <w:pPr>
              <w:autoSpaceDE w:val="0"/>
              <w:autoSpaceDN w:val="0"/>
              <w:adjustRightInd w:val="0"/>
              <w:spacing w:line="400" w:lineRule="exact"/>
              <w:ind w:firstLine="480"/>
              <w:rPr>
                <w:rFonts w:ascii="宋体" w:cs="宋体"/>
                <w:color w:val="auto"/>
                <w:kern w:val="0"/>
                <w:sz w:val="24"/>
                <w:lang w:val="zh-CN"/>
              </w:rPr>
            </w:pPr>
          </w:p>
        </w:tc>
        <w:tc>
          <w:tcPr>
            <w:tcW w:w="1313" w:type="dxa"/>
            <w:vMerge w:val="restart"/>
            <w:tcBorders>
              <w:top w:val="single" w:color="000000" w:sz="6" w:space="0"/>
              <w:left w:val="single" w:color="000000" w:sz="6" w:space="0"/>
              <w:right w:val="single" w:color="000000" w:sz="6" w:space="0"/>
            </w:tcBorders>
            <w:shd w:val="clear" w:color="000000" w:fill="FFFFFF"/>
            <w:noWrap w:val="0"/>
            <w:vAlign w:val="top"/>
          </w:tcPr>
          <w:p w14:paraId="5E8F4E06">
            <w:pPr>
              <w:autoSpaceDE w:val="0"/>
              <w:autoSpaceDN w:val="0"/>
              <w:adjustRightInd w:val="0"/>
              <w:spacing w:line="400" w:lineRule="exact"/>
              <w:ind w:firstLine="480"/>
              <w:rPr>
                <w:rFonts w:ascii="宋体" w:cs="宋体"/>
                <w:color w:val="auto"/>
                <w:kern w:val="0"/>
                <w:sz w:val="24"/>
                <w:lang w:val="zh-CN"/>
              </w:rPr>
            </w:pPr>
          </w:p>
        </w:tc>
        <w:tc>
          <w:tcPr>
            <w:tcW w:w="1104" w:type="dxa"/>
            <w:tcBorders>
              <w:top w:val="single" w:color="000000" w:sz="6" w:space="0"/>
              <w:left w:val="single" w:color="000000" w:sz="6" w:space="0"/>
              <w:right w:val="single" w:color="000000" w:sz="6" w:space="0"/>
            </w:tcBorders>
            <w:shd w:val="clear" w:color="000000" w:fill="FFFFFF"/>
            <w:noWrap w:val="0"/>
            <w:vAlign w:val="top"/>
          </w:tcPr>
          <w:p w14:paraId="56F82E92">
            <w:pPr>
              <w:autoSpaceDE w:val="0"/>
              <w:autoSpaceDN w:val="0"/>
              <w:adjustRightInd w:val="0"/>
              <w:spacing w:line="400" w:lineRule="exact"/>
              <w:ind w:firstLine="480"/>
              <w:rPr>
                <w:rFonts w:ascii="宋体" w:cs="宋体"/>
                <w:color w:val="auto"/>
                <w:kern w:val="0"/>
                <w:sz w:val="24"/>
                <w:lang w:val="zh-CN"/>
              </w:rPr>
            </w:pPr>
          </w:p>
        </w:tc>
      </w:tr>
      <w:tr w14:paraId="2336B44B">
        <w:tblPrEx>
          <w:tblCellMar>
            <w:top w:w="0" w:type="dxa"/>
            <w:left w:w="108" w:type="dxa"/>
            <w:bottom w:w="0" w:type="dxa"/>
            <w:right w:w="108" w:type="dxa"/>
          </w:tblCellMar>
        </w:tblPrEx>
        <w:trPr>
          <w:trHeight w:val="1123" w:hRule="atLeast"/>
          <w:jc w:val="center"/>
        </w:trPr>
        <w:tc>
          <w:tcPr>
            <w:tcW w:w="1750" w:type="dxa"/>
            <w:vMerge w:val="continue"/>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0DBB95B">
            <w:pPr>
              <w:autoSpaceDE w:val="0"/>
              <w:autoSpaceDN w:val="0"/>
              <w:adjustRightInd w:val="0"/>
              <w:spacing w:line="400" w:lineRule="exact"/>
              <w:ind w:firstLine="480"/>
              <w:rPr>
                <w:rFonts w:ascii="宋体" w:cs="宋体"/>
                <w:color w:val="auto"/>
                <w:kern w:val="0"/>
                <w:sz w:val="24"/>
                <w:lang w:val="zh-CN"/>
              </w:rPr>
            </w:pPr>
          </w:p>
        </w:tc>
        <w:tc>
          <w:tcPr>
            <w:tcW w:w="2745"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25E8D3F">
            <w:pPr>
              <w:autoSpaceDE w:val="0"/>
              <w:autoSpaceDN w:val="0"/>
              <w:adjustRightInd w:val="0"/>
              <w:spacing w:line="400" w:lineRule="exact"/>
              <w:rPr>
                <w:rFonts w:ascii="宋体" w:cs="宋体"/>
                <w:color w:val="auto"/>
                <w:kern w:val="0"/>
                <w:sz w:val="24"/>
                <w:lang w:val="zh-CN"/>
              </w:rPr>
            </w:pPr>
            <w:r>
              <w:rPr>
                <w:rFonts w:hint="eastAsia" w:ascii="宋体" w:hAnsi="宋体" w:cs="宋体"/>
                <w:color w:val="auto"/>
                <w:kern w:val="0"/>
                <w:sz w:val="24"/>
                <w:lang w:val="zh-CN"/>
              </w:rPr>
              <w:t>小写：</w:t>
            </w:r>
          </w:p>
        </w:tc>
        <w:tc>
          <w:tcPr>
            <w:tcW w:w="1966" w:type="dxa"/>
            <w:vMerge w:val="continue"/>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1290468">
            <w:pPr>
              <w:autoSpaceDE w:val="0"/>
              <w:autoSpaceDN w:val="0"/>
              <w:adjustRightInd w:val="0"/>
              <w:spacing w:line="400" w:lineRule="exact"/>
              <w:ind w:firstLine="480"/>
              <w:rPr>
                <w:rFonts w:ascii="宋体" w:cs="宋体"/>
                <w:color w:val="auto"/>
                <w:kern w:val="0"/>
                <w:sz w:val="24"/>
                <w:lang w:val="zh-CN"/>
              </w:rPr>
            </w:pPr>
          </w:p>
        </w:tc>
        <w:tc>
          <w:tcPr>
            <w:tcW w:w="1313" w:type="dxa"/>
            <w:vMerge w:val="continue"/>
            <w:tcBorders>
              <w:left w:val="single" w:color="000000" w:sz="6" w:space="0"/>
              <w:bottom w:val="single" w:color="000000" w:sz="6" w:space="0"/>
              <w:right w:val="single" w:color="000000" w:sz="6" w:space="0"/>
            </w:tcBorders>
            <w:shd w:val="clear" w:color="000000" w:fill="FFFFFF"/>
            <w:noWrap w:val="0"/>
            <w:vAlign w:val="center"/>
          </w:tcPr>
          <w:p w14:paraId="5C7FA322">
            <w:pPr>
              <w:autoSpaceDE w:val="0"/>
              <w:autoSpaceDN w:val="0"/>
              <w:adjustRightInd w:val="0"/>
              <w:spacing w:line="400" w:lineRule="exact"/>
              <w:ind w:firstLine="480"/>
              <w:rPr>
                <w:rFonts w:ascii="宋体" w:cs="宋体"/>
                <w:color w:val="auto"/>
                <w:kern w:val="0"/>
                <w:sz w:val="24"/>
                <w:lang w:val="zh-CN"/>
              </w:rPr>
            </w:pPr>
          </w:p>
        </w:tc>
        <w:tc>
          <w:tcPr>
            <w:tcW w:w="1104" w:type="dxa"/>
            <w:tcBorders>
              <w:left w:val="single" w:color="000000" w:sz="6" w:space="0"/>
              <w:bottom w:val="single" w:color="000000" w:sz="6" w:space="0"/>
              <w:right w:val="single" w:color="000000" w:sz="6" w:space="0"/>
            </w:tcBorders>
            <w:shd w:val="clear" w:color="000000" w:fill="FFFFFF"/>
            <w:noWrap w:val="0"/>
            <w:vAlign w:val="center"/>
          </w:tcPr>
          <w:p w14:paraId="0EAA656B">
            <w:pPr>
              <w:autoSpaceDE w:val="0"/>
              <w:autoSpaceDN w:val="0"/>
              <w:adjustRightInd w:val="0"/>
              <w:spacing w:line="400" w:lineRule="exact"/>
              <w:ind w:firstLine="480"/>
              <w:rPr>
                <w:rFonts w:ascii="宋体" w:cs="宋体"/>
                <w:color w:val="auto"/>
                <w:kern w:val="0"/>
                <w:sz w:val="24"/>
                <w:lang w:val="zh-CN"/>
              </w:rPr>
            </w:pPr>
          </w:p>
        </w:tc>
      </w:tr>
    </w:tbl>
    <w:p w14:paraId="5B6F3F45">
      <w:pPr>
        <w:rPr>
          <w:rFonts w:hint="eastAsia" w:asciiTheme="minorEastAsia" w:hAnsiTheme="minorEastAsia" w:eastAsiaTheme="minorEastAsia" w:cstheme="minorEastAsia"/>
          <w:b/>
          <w:color w:val="auto"/>
          <w:sz w:val="24"/>
          <w:szCs w:val="24"/>
          <w:highlight w:val="white"/>
        </w:rPr>
      </w:pPr>
    </w:p>
    <w:p w14:paraId="287339F4">
      <w:pPr>
        <w:rPr>
          <w:rFonts w:hint="eastAsia" w:ascii="宋体" w:hAnsi="宋体" w:cs="宋体"/>
          <w:color w:val="auto"/>
          <w:kern w:val="0"/>
          <w:sz w:val="24"/>
          <w:lang w:val="zh-CN"/>
        </w:rPr>
      </w:pPr>
      <w:r>
        <w:rPr>
          <w:rFonts w:hint="eastAsia" w:ascii="宋体" w:hAnsi="宋体" w:cs="宋体"/>
          <w:color w:val="auto"/>
          <w:kern w:val="0"/>
          <w:sz w:val="24"/>
          <w:lang w:val="zh-CN"/>
        </w:rPr>
        <w:t>注：</w:t>
      </w:r>
      <w:r>
        <w:rPr>
          <w:rFonts w:hint="eastAsia" w:ascii="宋体" w:hAnsi="宋体" w:cs="宋体"/>
          <w:color w:val="auto"/>
          <w:kern w:val="0"/>
          <w:sz w:val="24"/>
          <w:lang w:val="en-US" w:eastAsia="zh-CN"/>
        </w:rPr>
        <w:t>1.</w:t>
      </w:r>
      <w:r>
        <w:rPr>
          <w:rFonts w:hint="eastAsia" w:ascii="宋体" w:hAnsi="宋体" w:cs="宋体"/>
          <w:color w:val="auto"/>
          <w:kern w:val="0"/>
          <w:sz w:val="24"/>
          <w:lang w:val="zh-CN"/>
        </w:rPr>
        <w:t>填写此表时不得改变表格形式</w:t>
      </w:r>
    </w:p>
    <w:p w14:paraId="2A3F6D06">
      <w:pPr>
        <w:numPr>
          <w:ilvl w:val="0"/>
          <w:numId w:val="2"/>
        </w:numPr>
        <w:autoSpaceDE w:val="0"/>
        <w:autoSpaceDN w:val="0"/>
        <w:adjustRightInd w:val="0"/>
        <w:spacing w:line="400" w:lineRule="exact"/>
        <w:ind w:firstLine="480" w:firstLineChars="200"/>
        <w:rPr>
          <w:rFonts w:hint="eastAsia" w:ascii="宋体" w:hAnsi="宋体" w:cs="宋体"/>
          <w:color w:val="auto"/>
          <w:kern w:val="0"/>
          <w:sz w:val="24"/>
          <w:lang w:val="zh-CN"/>
        </w:rPr>
      </w:pPr>
      <w:r>
        <w:rPr>
          <w:rFonts w:hint="eastAsia" w:ascii="宋体" w:hAnsi="宋体" w:cs="宋体"/>
          <w:color w:val="auto"/>
          <w:kern w:val="0"/>
          <w:sz w:val="24"/>
          <w:lang w:val="zh-CN"/>
        </w:rPr>
        <w:t>响应报价必须包括：投标人完采购文件的施工范围内全部内容所需的费用，并全面考虑采购文件明示、暗示的所有风险和责任、义务等的全部费用。响应报价一经提交，则将被采购单位视为上述全部费用均已包含在其响应报价中，对投标人提出的任何追加报价，采购单位将不予接受；投标人亦不得以任何理由在响应报价中重复计价。</w:t>
      </w:r>
    </w:p>
    <w:p w14:paraId="02DB8EDB">
      <w:pPr>
        <w:autoSpaceDE w:val="0"/>
        <w:autoSpaceDN w:val="0"/>
        <w:adjustRightInd w:val="0"/>
        <w:spacing w:line="400" w:lineRule="exact"/>
        <w:ind w:firstLine="480" w:firstLineChars="200"/>
        <w:rPr>
          <w:rFonts w:hint="eastAsia" w:ascii="宋体" w:hAnsi="宋体" w:cs="宋体"/>
          <w:color w:val="auto"/>
          <w:kern w:val="0"/>
          <w:sz w:val="24"/>
          <w:lang w:val="zh-CN"/>
        </w:rPr>
      </w:pPr>
      <w:r>
        <w:rPr>
          <w:rFonts w:hint="eastAsia" w:ascii="宋体" w:hAnsi="宋体" w:cs="宋体"/>
          <w:color w:val="auto"/>
          <w:kern w:val="0"/>
          <w:sz w:val="24"/>
          <w:lang w:val="en-US" w:eastAsia="zh-CN"/>
        </w:rPr>
        <w:t>3</w:t>
      </w:r>
      <w:r>
        <w:rPr>
          <w:rFonts w:ascii="宋体" w:hAnsi="宋体" w:cs="宋体"/>
          <w:color w:val="auto"/>
          <w:kern w:val="0"/>
          <w:sz w:val="24"/>
        </w:rPr>
        <w:t>.</w:t>
      </w:r>
      <w:r>
        <w:rPr>
          <w:rFonts w:hint="eastAsia" w:ascii="宋体" w:hAnsi="宋体" w:cs="宋体"/>
          <w:color w:val="auto"/>
          <w:kern w:val="0"/>
          <w:sz w:val="24"/>
          <w:lang w:val="zh-CN"/>
        </w:rPr>
        <w:t>响应报价不能有两个或两个以上的报价方案。</w:t>
      </w:r>
    </w:p>
    <w:p w14:paraId="3804BD7E">
      <w:pPr>
        <w:rPr>
          <w:rFonts w:hint="eastAsia"/>
          <w:b w:val="0"/>
          <w:bCs/>
          <w:color w:val="000000" w:themeColor="text1"/>
          <w:sz w:val="32"/>
          <w:szCs w:val="32"/>
          <w:lang w:val="en-US" w:eastAsia="zh-CN"/>
          <w14:textFill>
            <w14:solidFill>
              <w14:schemeClr w14:val="tx1"/>
            </w14:solidFill>
          </w14:textFill>
        </w:rPr>
      </w:pPr>
      <w:r>
        <w:rPr>
          <w:rFonts w:hint="eastAsia"/>
          <w:b w:val="0"/>
          <w:bCs/>
          <w:color w:val="000000" w:themeColor="text1"/>
          <w:sz w:val="32"/>
          <w:szCs w:val="32"/>
          <w:lang w:val="en-US" w:eastAsia="zh-CN"/>
          <w14:textFill>
            <w14:solidFill>
              <w14:schemeClr w14:val="tx1"/>
            </w14:solidFill>
          </w14:textFill>
        </w:rPr>
        <w:br w:type="page"/>
      </w:r>
    </w:p>
    <w:p w14:paraId="0135BCF0">
      <w:pPr>
        <w:pStyle w:val="2"/>
        <w:numPr>
          <w:ilvl w:val="0"/>
          <w:numId w:val="0"/>
        </w:numPr>
        <w:bidi w:val="0"/>
        <w:jc w:val="center"/>
        <w:rPr>
          <w:rFonts w:hint="eastAsia"/>
          <w:b w:val="0"/>
          <w:bCs/>
          <w:color w:val="000000" w:themeColor="text1"/>
          <w:sz w:val="32"/>
          <w:szCs w:val="32"/>
          <w:lang w:val="en-US" w:eastAsia="zh-CN"/>
          <w14:textFill>
            <w14:solidFill>
              <w14:schemeClr w14:val="tx1"/>
            </w14:solidFill>
          </w14:textFill>
        </w:rPr>
      </w:pPr>
      <w:bookmarkStart w:id="288" w:name="_Toc26195"/>
      <w:r>
        <w:rPr>
          <w:rFonts w:hint="eastAsia"/>
          <w:b w:val="0"/>
          <w:bCs/>
          <w:color w:val="000000" w:themeColor="text1"/>
          <w:sz w:val="32"/>
          <w:szCs w:val="32"/>
          <w:lang w:val="en-US" w:eastAsia="zh-CN"/>
          <w14:textFill>
            <w14:solidFill>
              <w14:schemeClr w14:val="tx1"/>
            </w14:solidFill>
          </w14:textFill>
        </w:rPr>
        <w:t>四、商务和技术偏差表</w:t>
      </w:r>
      <w:bookmarkEnd w:id="281"/>
      <w:bookmarkEnd w:id="282"/>
      <w:bookmarkEnd w:id="283"/>
      <w:bookmarkEnd w:id="284"/>
      <w:bookmarkEnd w:id="285"/>
      <w:bookmarkEnd w:id="286"/>
      <w:bookmarkEnd w:id="287"/>
      <w:bookmarkEnd w:id="288"/>
    </w:p>
    <w:p w14:paraId="467B2DFD">
      <w:pPr>
        <w:pStyle w:val="28"/>
        <w:keepNext/>
        <w:keepLines/>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Chars="0" w:right="0" w:rightChars="0"/>
        <w:jc w:val="both"/>
        <w:textAlignment w:val="auto"/>
        <w:outlineLvl w:val="9"/>
        <w:rPr>
          <w:rFonts w:hint="eastAsia" w:asciiTheme="minorEastAsia" w:hAnsiTheme="minorEastAsia" w:eastAsiaTheme="minorEastAsia" w:cstheme="minorEastAsia"/>
          <w:b/>
          <w:bCs/>
          <w:color w:val="000000" w:themeColor="text1"/>
          <w:spacing w:val="0"/>
          <w:w w:val="100"/>
          <w:position w:val="0"/>
          <w:sz w:val="32"/>
          <w:szCs w:val="32"/>
          <w14:textFill>
            <w14:solidFill>
              <w14:schemeClr w14:val="tx1"/>
            </w14:solidFill>
          </w14:textFill>
        </w:rPr>
      </w:pPr>
    </w:p>
    <w:tbl>
      <w:tblPr>
        <w:tblStyle w:val="23"/>
        <w:tblW w:w="0" w:type="auto"/>
        <w:jc w:val="center"/>
        <w:tblLayout w:type="fixed"/>
        <w:tblCellMar>
          <w:top w:w="0" w:type="dxa"/>
          <w:left w:w="10" w:type="dxa"/>
          <w:bottom w:w="0" w:type="dxa"/>
          <w:right w:w="10" w:type="dxa"/>
        </w:tblCellMar>
      </w:tblPr>
      <w:tblGrid>
        <w:gridCol w:w="1147"/>
        <w:gridCol w:w="3130"/>
        <w:gridCol w:w="3120"/>
        <w:gridCol w:w="1709"/>
      </w:tblGrid>
      <w:tr w14:paraId="33666887">
        <w:tblPrEx>
          <w:tblCellMar>
            <w:top w:w="0" w:type="dxa"/>
            <w:left w:w="10" w:type="dxa"/>
            <w:bottom w:w="0" w:type="dxa"/>
            <w:right w:w="10" w:type="dxa"/>
          </w:tblCellMar>
        </w:tblPrEx>
        <w:trPr>
          <w:trHeight w:val="586" w:hRule="exact"/>
          <w:jc w:val="center"/>
        </w:trPr>
        <w:tc>
          <w:tcPr>
            <w:tcBorders>
              <w:top w:val="single" w:color="auto" w:sz="4" w:space="0"/>
              <w:left w:val="single" w:color="auto" w:sz="4" w:space="0"/>
            </w:tcBorders>
            <w:shd w:val="clear" w:color="auto" w:fill="FFFFFF"/>
            <w:vAlign w:val="center"/>
          </w:tcPr>
          <w:p w14:paraId="1319D96A">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序号</w:t>
            </w:r>
          </w:p>
        </w:tc>
        <w:tc>
          <w:tcPr>
            <w:tcBorders>
              <w:top w:val="single" w:color="auto" w:sz="4" w:space="0"/>
              <w:left w:val="single" w:color="auto" w:sz="4" w:space="0"/>
            </w:tcBorders>
            <w:shd w:val="clear" w:color="auto" w:fill="FFFFFF"/>
            <w:vAlign w:val="center"/>
          </w:tcPr>
          <w:p w14:paraId="01DEF602">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采购文件章节及条款号</w:t>
            </w:r>
          </w:p>
        </w:tc>
        <w:tc>
          <w:tcPr>
            <w:tcBorders>
              <w:top w:val="single" w:color="auto" w:sz="4" w:space="0"/>
              <w:left w:val="single" w:color="auto" w:sz="4" w:space="0"/>
            </w:tcBorders>
            <w:shd w:val="clear" w:color="auto" w:fill="FFFFFF"/>
            <w:vAlign w:val="center"/>
          </w:tcPr>
          <w:p w14:paraId="6B943DC3">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响应文件章节及条款号</w:t>
            </w:r>
          </w:p>
        </w:tc>
        <w:tc>
          <w:tcPr>
            <w:tcBorders>
              <w:top w:val="single" w:color="auto" w:sz="4" w:space="0"/>
              <w:left w:val="single" w:color="auto" w:sz="4" w:space="0"/>
              <w:right w:val="single" w:color="auto" w:sz="4" w:space="0"/>
            </w:tcBorders>
            <w:shd w:val="clear" w:color="auto" w:fill="FFFFFF"/>
            <w:vAlign w:val="center"/>
          </w:tcPr>
          <w:p w14:paraId="79699F82">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偏差说明</w:t>
            </w:r>
          </w:p>
        </w:tc>
      </w:tr>
      <w:tr w14:paraId="0E5636FD">
        <w:tblPrEx>
          <w:tblCellMar>
            <w:top w:w="0" w:type="dxa"/>
            <w:left w:w="10" w:type="dxa"/>
            <w:bottom w:w="0" w:type="dxa"/>
            <w:right w:w="10" w:type="dxa"/>
          </w:tblCellMar>
        </w:tblPrEx>
        <w:trPr>
          <w:trHeight w:val="566" w:hRule="exact"/>
          <w:jc w:val="center"/>
        </w:trPr>
        <w:tc>
          <w:tcPr>
            <w:tcBorders>
              <w:top w:val="single" w:color="auto" w:sz="4" w:space="0"/>
              <w:left w:val="single" w:color="auto" w:sz="4" w:space="0"/>
            </w:tcBorders>
            <w:shd w:val="clear" w:color="auto" w:fill="FFFFFF"/>
            <w:vAlign w:val="center"/>
          </w:tcPr>
          <w:p w14:paraId="7A250F19">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1</w:t>
            </w:r>
          </w:p>
        </w:tc>
        <w:tc>
          <w:tcPr>
            <w:tcBorders>
              <w:top w:val="single" w:color="auto" w:sz="4" w:space="0"/>
              <w:left w:val="single" w:color="auto" w:sz="4" w:space="0"/>
            </w:tcBorders>
            <w:shd w:val="clear" w:color="auto" w:fill="FFFFFF"/>
            <w:vAlign w:val="top"/>
          </w:tcPr>
          <w:p w14:paraId="6A008350">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tcBorders>
            <w:shd w:val="clear" w:color="auto" w:fill="FFFFFF"/>
            <w:vAlign w:val="top"/>
          </w:tcPr>
          <w:p w14:paraId="4E7D1DD8">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right w:val="single" w:color="auto" w:sz="4" w:space="0"/>
            </w:tcBorders>
            <w:shd w:val="clear" w:color="auto" w:fill="FFFFFF"/>
            <w:vAlign w:val="top"/>
          </w:tcPr>
          <w:p w14:paraId="4091B913">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3871B666">
        <w:tblPrEx>
          <w:tblCellMar>
            <w:top w:w="0" w:type="dxa"/>
            <w:left w:w="10" w:type="dxa"/>
            <w:bottom w:w="0" w:type="dxa"/>
            <w:right w:w="10" w:type="dxa"/>
          </w:tblCellMar>
        </w:tblPrEx>
        <w:trPr>
          <w:trHeight w:val="566" w:hRule="exact"/>
          <w:jc w:val="center"/>
        </w:trPr>
        <w:tc>
          <w:tcPr>
            <w:tcBorders>
              <w:top w:val="single" w:color="auto" w:sz="4" w:space="0"/>
              <w:left w:val="single" w:color="auto" w:sz="4" w:space="0"/>
            </w:tcBorders>
            <w:shd w:val="clear" w:color="auto" w:fill="FFFFFF"/>
            <w:vAlign w:val="center"/>
          </w:tcPr>
          <w:p w14:paraId="1F470710">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2</w:t>
            </w:r>
          </w:p>
        </w:tc>
        <w:tc>
          <w:tcPr>
            <w:tcBorders>
              <w:top w:val="single" w:color="auto" w:sz="4" w:space="0"/>
              <w:left w:val="single" w:color="auto" w:sz="4" w:space="0"/>
            </w:tcBorders>
            <w:shd w:val="clear" w:color="auto" w:fill="FFFFFF"/>
            <w:vAlign w:val="top"/>
          </w:tcPr>
          <w:p w14:paraId="36201FF8">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tcBorders>
            <w:shd w:val="clear" w:color="auto" w:fill="FFFFFF"/>
            <w:vAlign w:val="top"/>
          </w:tcPr>
          <w:p w14:paraId="6E42F341">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right w:val="single" w:color="auto" w:sz="4" w:space="0"/>
            </w:tcBorders>
            <w:shd w:val="clear" w:color="auto" w:fill="FFFFFF"/>
            <w:vAlign w:val="top"/>
          </w:tcPr>
          <w:p w14:paraId="44A763C1">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29E45832">
        <w:tblPrEx>
          <w:tblCellMar>
            <w:top w:w="0" w:type="dxa"/>
            <w:left w:w="10" w:type="dxa"/>
            <w:bottom w:w="0" w:type="dxa"/>
            <w:right w:w="10" w:type="dxa"/>
          </w:tblCellMar>
        </w:tblPrEx>
        <w:trPr>
          <w:trHeight w:val="571" w:hRule="exact"/>
          <w:jc w:val="center"/>
        </w:trPr>
        <w:tc>
          <w:tcPr>
            <w:tcBorders>
              <w:top w:val="single" w:color="auto" w:sz="4" w:space="0"/>
              <w:left w:val="single" w:color="auto" w:sz="4" w:space="0"/>
            </w:tcBorders>
            <w:shd w:val="clear" w:color="auto" w:fill="FFFFFF"/>
            <w:vAlign w:val="center"/>
          </w:tcPr>
          <w:p w14:paraId="6DA03484">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3</w:t>
            </w:r>
          </w:p>
        </w:tc>
        <w:tc>
          <w:tcPr>
            <w:tcBorders>
              <w:top w:val="single" w:color="auto" w:sz="4" w:space="0"/>
              <w:left w:val="single" w:color="auto" w:sz="4" w:space="0"/>
            </w:tcBorders>
            <w:shd w:val="clear" w:color="auto" w:fill="FFFFFF"/>
            <w:vAlign w:val="top"/>
          </w:tcPr>
          <w:p w14:paraId="3D094323">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tcBorders>
            <w:shd w:val="clear" w:color="auto" w:fill="FFFFFF"/>
            <w:vAlign w:val="top"/>
          </w:tcPr>
          <w:p w14:paraId="49672371">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right w:val="single" w:color="auto" w:sz="4" w:space="0"/>
            </w:tcBorders>
            <w:shd w:val="clear" w:color="auto" w:fill="FFFFFF"/>
            <w:vAlign w:val="top"/>
          </w:tcPr>
          <w:p w14:paraId="0483EEFE">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366157FB">
        <w:tblPrEx>
          <w:tblCellMar>
            <w:top w:w="0" w:type="dxa"/>
            <w:left w:w="10" w:type="dxa"/>
            <w:bottom w:w="0" w:type="dxa"/>
            <w:right w:w="10" w:type="dxa"/>
          </w:tblCellMar>
        </w:tblPrEx>
        <w:trPr>
          <w:trHeight w:val="566" w:hRule="exact"/>
          <w:jc w:val="center"/>
        </w:trPr>
        <w:tc>
          <w:tcPr>
            <w:tcBorders>
              <w:top w:val="single" w:color="auto" w:sz="4" w:space="0"/>
              <w:left w:val="single" w:color="auto" w:sz="4" w:space="0"/>
            </w:tcBorders>
            <w:shd w:val="clear" w:color="auto" w:fill="FFFFFF"/>
            <w:vAlign w:val="center"/>
          </w:tcPr>
          <w:p w14:paraId="0E860D3E">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4</w:t>
            </w:r>
          </w:p>
        </w:tc>
        <w:tc>
          <w:tcPr>
            <w:tcBorders>
              <w:top w:val="single" w:color="auto" w:sz="4" w:space="0"/>
              <w:left w:val="single" w:color="auto" w:sz="4" w:space="0"/>
            </w:tcBorders>
            <w:shd w:val="clear" w:color="auto" w:fill="FFFFFF"/>
            <w:vAlign w:val="top"/>
          </w:tcPr>
          <w:p w14:paraId="4B42D43B">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tcBorders>
            <w:shd w:val="clear" w:color="auto" w:fill="FFFFFF"/>
            <w:vAlign w:val="top"/>
          </w:tcPr>
          <w:p w14:paraId="012CE9B3">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right w:val="single" w:color="auto" w:sz="4" w:space="0"/>
            </w:tcBorders>
            <w:shd w:val="clear" w:color="auto" w:fill="FFFFFF"/>
            <w:vAlign w:val="top"/>
          </w:tcPr>
          <w:p w14:paraId="764C0B85">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71674292">
        <w:tblPrEx>
          <w:tblCellMar>
            <w:top w:w="0" w:type="dxa"/>
            <w:left w:w="10" w:type="dxa"/>
            <w:bottom w:w="0" w:type="dxa"/>
            <w:right w:w="10" w:type="dxa"/>
          </w:tblCellMar>
        </w:tblPrEx>
        <w:trPr>
          <w:trHeight w:val="571" w:hRule="exact"/>
          <w:jc w:val="center"/>
        </w:trPr>
        <w:tc>
          <w:tcPr>
            <w:tcBorders>
              <w:top w:val="single" w:color="auto" w:sz="4" w:space="0"/>
              <w:left w:val="single" w:color="auto" w:sz="4" w:space="0"/>
            </w:tcBorders>
            <w:shd w:val="clear" w:color="auto" w:fill="FFFFFF"/>
            <w:vAlign w:val="center"/>
          </w:tcPr>
          <w:p w14:paraId="1942B605">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5</w:t>
            </w:r>
          </w:p>
        </w:tc>
        <w:tc>
          <w:tcPr>
            <w:tcBorders>
              <w:top w:val="single" w:color="auto" w:sz="4" w:space="0"/>
              <w:left w:val="single" w:color="auto" w:sz="4" w:space="0"/>
            </w:tcBorders>
            <w:shd w:val="clear" w:color="auto" w:fill="FFFFFF"/>
            <w:vAlign w:val="top"/>
          </w:tcPr>
          <w:p w14:paraId="7A0EB019">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tcBorders>
            <w:shd w:val="clear" w:color="auto" w:fill="FFFFFF"/>
            <w:vAlign w:val="top"/>
          </w:tcPr>
          <w:p w14:paraId="68157301">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right w:val="single" w:color="auto" w:sz="4" w:space="0"/>
            </w:tcBorders>
            <w:shd w:val="clear" w:color="auto" w:fill="FFFFFF"/>
            <w:vAlign w:val="top"/>
          </w:tcPr>
          <w:p w14:paraId="0965E3D7">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7182DCF9">
        <w:tblPrEx>
          <w:tblCellMar>
            <w:top w:w="0" w:type="dxa"/>
            <w:left w:w="10" w:type="dxa"/>
            <w:bottom w:w="0" w:type="dxa"/>
            <w:right w:w="10" w:type="dxa"/>
          </w:tblCellMar>
        </w:tblPrEx>
        <w:trPr>
          <w:trHeight w:val="586" w:hRule="exact"/>
          <w:jc w:val="center"/>
        </w:trPr>
        <w:tc>
          <w:tcPr>
            <w:tcBorders>
              <w:top w:val="single" w:color="auto" w:sz="4" w:space="0"/>
              <w:left w:val="single" w:color="auto" w:sz="4" w:space="0"/>
              <w:bottom w:val="single" w:color="auto" w:sz="4" w:space="0"/>
            </w:tcBorders>
            <w:shd w:val="clear" w:color="auto" w:fill="FFFFFF"/>
            <w:vAlign w:val="center"/>
          </w:tcPr>
          <w:p w14:paraId="1DFE275D">
            <w:pPr>
              <w:pStyle w:val="31"/>
              <w:keepNext w:val="0"/>
              <w:keepLines w:val="0"/>
              <w:pageBreakBefore w:val="0"/>
              <w:widowControl w:val="0"/>
              <w:shd w:val="clear" w:color="auto" w:fill="auto"/>
              <w:tabs>
                <w:tab w:val="left" w:leader="dot" w:pos="379"/>
              </w:tabs>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lang w:val="en-US" w:eastAsia="en-US" w:bidi="en-US"/>
                <w14:textFill>
                  <w14:solidFill>
                    <w14:schemeClr w14:val="tx1"/>
                  </w14:solidFill>
                </w14:textFill>
              </w:rPr>
              <w:tab/>
            </w:r>
          </w:p>
        </w:tc>
        <w:tc>
          <w:tcPr>
            <w:tcBorders>
              <w:top w:val="single" w:color="auto" w:sz="4" w:space="0"/>
              <w:left w:val="single" w:color="auto" w:sz="4" w:space="0"/>
              <w:bottom w:val="single" w:color="auto" w:sz="4" w:space="0"/>
            </w:tcBorders>
            <w:shd w:val="clear" w:color="auto" w:fill="FFFFFF"/>
            <w:vAlign w:val="top"/>
          </w:tcPr>
          <w:p w14:paraId="6A973E19">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bottom w:val="single" w:color="auto" w:sz="4" w:space="0"/>
            </w:tcBorders>
            <w:shd w:val="clear" w:color="auto" w:fill="FFFFFF"/>
            <w:vAlign w:val="top"/>
          </w:tcPr>
          <w:p w14:paraId="770085A4">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14:paraId="00F42DC3">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bl>
    <w:p w14:paraId="21C5F63E">
      <w:pPr>
        <w:pStyle w:val="29"/>
        <w:keepNext w:val="0"/>
        <w:keepLines w:val="0"/>
        <w:pageBreakBefore w:val="0"/>
        <w:widowControl w:val="0"/>
        <w:shd w:val="clear" w:color="auto" w:fill="auto"/>
        <w:tabs>
          <w:tab w:val="left" w:pos="965"/>
          <w:tab w:val="left" w:pos="2170"/>
          <w:tab w:val="left" w:pos="3370"/>
        </w:tabs>
        <w:kinsoku/>
        <w:wordWrap/>
        <w:overflowPunct/>
        <w:topLinePunct w:val="0"/>
        <w:autoSpaceDE/>
        <w:autoSpaceDN/>
        <w:bidi w:val="0"/>
        <w:adjustRightInd/>
        <w:snapToGrid/>
        <w:spacing w:before="0" w:line="440" w:lineRule="exact"/>
        <w:ind w:left="0" w:leftChars="0" w:right="-512" w:rightChars="-244" w:firstLine="0" w:firstLineChars="0"/>
        <w:jc w:val="both"/>
        <w:textAlignment w:val="auto"/>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供应商保证：除商务和技术偏差表列出的偏差外，供应商响应采购文件的全部要求。</w:t>
      </w:r>
    </w:p>
    <w:p w14:paraId="30B1361F">
      <w:pPr>
        <w:rPr>
          <w:rFonts w:hint="eastAsia"/>
          <w:b w:val="0"/>
          <w:bCs/>
          <w:color w:val="000000" w:themeColor="text1"/>
          <w:sz w:val="32"/>
          <w:szCs w:val="32"/>
          <w:lang w:val="en-US" w:eastAsia="zh-CN"/>
          <w14:textFill>
            <w14:solidFill>
              <w14:schemeClr w14:val="tx1"/>
            </w14:solidFill>
          </w14:textFill>
        </w:rPr>
      </w:pPr>
      <w:bookmarkStart w:id="289" w:name="bookmark783"/>
      <w:bookmarkEnd w:id="289"/>
      <w:bookmarkStart w:id="290" w:name="_Toc5333"/>
      <w:bookmarkStart w:id="291" w:name="_Toc11180"/>
      <w:bookmarkStart w:id="292" w:name="_Toc26415"/>
      <w:bookmarkStart w:id="293" w:name="_Toc11165"/>
      <w:r>
        <w:rPr>
          <w:rFonts w:hint="eastAsia"/>
          <w:b w:val="0"/>
          <w:bCs/>
          <w:color w:val="000000" w:themeColor="text1"/>
          <w:sz w:val="32"/>
          <w:szCs w:val="32"/>
          <w:lang w:val="en-US" w:eastAsia="zh-CN"/>
          <w14:textFill>
            <w14:solidFill>
              <w14:schemeClr w14:val="tx1"/>
            </w14:solidFill>
          </w14:textFill>
        </w:rPr>
        <w:br w:type="page"/>
      </w:r>
    </w:p>
    <w:p w14:paraId="1D958A04">
      <w:pPr>
        <w:pageBreakBefore w:val="0"/>
        <w:kinsoku/>
        <w:wordWrap/>
        <w:overflowPunct/>
        <w:topLinePunct w:val="0"/>
        <w:autoSpaceDE/>
        <w:autoSpaceDN/>
        <w:bidi w:val="0"/>
        <w:adjustRightInd/>
        <w:snapToGrid/>
        <w:spacing w:line="440" w:lineRule="exact"/>
        <w:jc w:val="center"/>
        <w:textAlignment w:val="auto"/>
        <w:rPr>
          <w:rFonts w:hint="eastAsia"/>
          <w:b w:val="0"/>
          <w:bCs/>
          <w:color w:val="000000" w:themeColor="text1"/>
          <w:sz w:val="32"/>
          <w:szCs w:val="32"/>
          <w:lang w:val="en-US" w:eastAsia="en-US"/>
          <w14:textFill>
            <w14:solidFill>
              <w14:schemeClr w14:val="tx1"/>
            </w14:solidFill>
          </w14:textFill>
        </w:rPr>
      </w:pPr>
      <w:r>
        <w:rPr>
          <w:rFonts w:hint="eastAsia"/>
          <w:b w:val="0"/>
          <w:bCs/>
          <w:color w:val="000000" w:themeColor="text1"/>
          <w:sz w:val="32"/>
          <w:szCs w:val="32"/>
          <w:lang w:val="en-US" w:eastAsia="zh-CN"/>
          <w14:textFill>
            <w14:solidFill>
              <w14:schemeClr w14:val="tx1"/>
            </w14:solidFill>
          </w14:textFill>
        </w:rPr>
        <w:t>五、资格审查资料</w:t>
      </w:r>
      <w:bookmarkEnd w:id="290"/>
      <w:bookmarkEnd w:id="291"/>
      <w:bookmarkEnd w:id="292"/>
      <w:bookmarkEnd w:id="293"/>
    </w:p>
    <w:p w14:paraId="7BEB1068">
      <w:pPr>
        <w:pStyle w:val="28"/>
        <w:keepNext/>
        <w:keepLines/>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Chars="0" w:right="0" w:rightChars="0"/>
        <w:jc w:val="both"/>
        <w:textAlignment w:val="auto"/>
        <w:outlineLvl w:val="9"/>
        <w:rPr>
          <w:rFonts w:hint="eastAsia" w:asciiTheme="minorEastAsia" w:hAnsiTheme="minorEastAsia" w:eastAsiaTheme="minorEastAsia" w:cstheme="minorEastAsia"/>
          <w:b/>
          <w:bCs/>
          <w:color w:val="000000" w:themeColor="text1"/>
          <w:spacing w:val="0"/>
          <w:w w:val="100"/>
          <w:position w:val="0"/>
          <w:sz w:val="34"/>
          <w:szCs w:val="34"/>
          <w:lang w:val="en-US" w:eastAsia="en-US" w:bidi="en-US"/>
          <w14:textFill>
            <w14:solidFill>
              <w14:schemeClr w14:val="tx1"/>
            </w14:solidFill>
          </w14:textFill>
        </w:rPr>
      </w:pPr>
    </w:p>
    <w:p w14:paraId="546CFC98">
      <w:pPr>
        <w:pStyle w:val="33"/>
        <w:keepNext w:val="0"/>
        <w:keepLines w:val="0"/>
        <w:pageBreakBefore w:val="0"/>
        <w:widowControl w:val="0"/>
        <w:numPr>
          <w:ilvl w:val="0"/>
          <w:numId w:val="3"/>
        </w:numPr>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bookmarkStart w:id="294" w:name="bookmark800"/>
      <w:bookmarkEnd w:id="294"/>
      <w:r>
        <w:rPr>
          <w:rFonts w:hint="eastAsia" w:asciiTheme="minorEastAsia" w:hAnsiTheme="minorEastAsia" w:eastAsiaTheme="minorEastAsia" w:cstheme="minorEastAsia"/>
          <w:color w:val="000000" w:themeColor="text1"/>
          <w:spacing w:val="0"/>
          <w:w w:val="100"/>
          <w:position w:val="0"/>
          <w:sz w:val="30"/>
          <w:szCs w:val="30"/>
          <w14:textFill>
            <w14:solidFill>
              <w14:schemeClr w14:val="tx1"/>
            </w14:solidFill>
          </w14:textFill>
        </w:rPr>
        <w:t>基本情况</w:t>
      </w:r>
    </w:p>
    <w:p w14:paraId="497EF7F9">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Chars="0" w:right="0" w:rightChars="0"/>
        <w:jc w:val="both"/>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p>
    <w:p w14:paraId="79DC40F9">
      <w:pPr>
        <w:pStyle w:val="29"/>
        <w:keepNext w:val="0"/>
        <w:keepLines w:val="0"/>
        <w:pageBreakBefore w:val="0"/>
        <w:widowControl w:val="0"/>
        <w:shd w:val="clear" w:color="auto" w:fill="auto"/>
        <w:kinsoku/>
        <w:wordWrap/>
        <w:overflowPunct/>
        <w:topLinePunct w:val="0"/>
        <w:autoSpaceDE/>
        <w:autoSpaceDN/>
        <w:bidi w:val="0"/>
        <w:adjustRightInd/>
        <w:snapToGrid/>
        <w:spacing w:before="0" w:line="440" w:lineRule="exact"/>
        <w:ind w:left="-420" w:leftChars="-200" w:right="-313" w:rightChars="-149" w:firstLine="499" w:firstLineChars="208"/>
        <w:jc w:val="both"/>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供应商应根据供应商须知前附表第</w:t>
      </w:r>
      <w:r>
        <w:rPr>
          <w:rFonts w:hint="eastAsia" w:asciiTheme="minorEastAsia" w:hAnsiTheme="minorEastAsia" w:eastAsiaTheme="minorEastAsia" w:cstheme="minorEastAsia"/>
          <w:color w:val="000000" w:themeColor="text1"/>
          <w:spacing w:val="0"/>
          <w:w w:val="100"/>
          <w:position w:val="0"/>
          <w:sz w:val="24"/>
          <w:szCs w:val="24"/>
          <w:lang w:val="en-US" w:eastAsia="en-US" w:bidi="en-US"/>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5(1)项和第</w:t>
      </w:r>
      <w:r>
        <w:rPr>
          <w:rFonts w:hint="eastAsia" w:asciiTheme="minorEastAsia" w:hAnsiTheme="minorEastAsia" w:eastAsiaTheme="minorEastAsia" w:cstheme="minorEastAsia"/>
          <w:color w:val="000000" w:themeColor="text1"/>
          <w:spacing w:val="0"/>
          <w:w w:val="100"/>
          <w:position w:val="0"/>
          <w:sz w:val="24"/>
          <w:szCs w:val="24"/>
          <w:lang w:val="en-US" w:eastAsia="en-US" w:bidi="en-US"/>
          <w14:textFill>
            <w14:solidFill>
              <w14:schemeClr w14:val="tx1"/>
            </w14:solidFill>
          </w14:textFill>
        </w:rPr>
        <w:t xml:space="preserve">3.5 </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(2)项的要求提供主体资格证明及相关资质证明材料。</w:t>
      </w:r>
    </w:p>
    <w:p w14:paraId="5EB0F6D1">
      <w:pPr>
        <w:pStyle w:val="29"/>
        <w:keepNext w:val="0"/>
        <w:keepLines w:val="0"/>
        <w:pageBreakBefore w:val="0"/>
        <w:widowControl w:val="0"/>
        <w:shd w:val="clear" w:color="auto" w:fill="auto"/>
        <w:kinsoku/>
        <w:wordWrap/>
        <w:overflowPunct/>
        <w:topLinePunct w:val="0"/>
        <w:autoSpaceDE/>
        <w:autoSpaceDN/>
        <w:bidi w:val="0"/>
        <w:adjustRightInd/>
        <w:snapToGrid/>
        <w:spacing w:before="0" w:line="440" w:lineRule="exact"/>
        <w:ind w:left="-420" w:leftChars="-200" w:right="-313" w:rightChars="-149" w:firstLine="499" w:firstLineChars="208"/>
        <w:jc w:val="both"/>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供应商还应根据供应商须知前附表第</w:t>
      </w:r>
      <w:r>
        <w:rPr>
          <w:rFonts w:hint="eastAsia" w:asciiTheme="minorEastAsia" w:hAnsiTheme="minorEastAsia" w:eastAsiaTheme="minorEastAsia" w:cstheme="minorEastAsia"/>
          <w:color w:val="000000" w:themeColor="text1"/>
          <w:spacing w:val="0"/>
          <w:w w:val="100"/>
          <w:position w:val="0"/>
          <w:sz w:val="24"/>
          <w:szCs w:val="24"/>
          <w:lang w:val="en-US" w:eastAsia="en-US" w:bidi="en-US"/>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5(5)项、第</w:t>
      </w:r>
      <w:r>
        <w:rPr>
          <w:rFonts w:hint="eastAsia" w:asciiTheme="minorEastAsia" w:hAnsiTheme="minorEastAsia" w:eastAsiaTheme="minorEastAsia" w:cstheme="minorEastAsia"/>
          <w:color w:val="000000" w:themeColor="text1"/>
          <w:spacing w:val="0"/>
          <w:w w:val="100"/>
          <w:position w:val="0"/>
          <w:sz w:val="24"/>
          <w:szCs w:val="24"/>
          <w:lang w:val="en-US" w:eastAsia="en-US" w:bidi="en-US"/>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5(7)项和第</w:t>
      </w:r>
      <w:r>
        <w:rPr>
          <w:rFonts w:hint="eastAsia" w:asciiTheme="minorEastAsia" w:hAnsiTheme="minorEastAsia" w:eastAsiaTheme="minorEastAsia" w:cstheme="minorEastAsia"/>
          <w:color w:val="000000" w:themeColor="text1"/>
          <w:spacing w:val="0"/>
          <w:w w:val="100"/>
          <w:position w:val="0"/>
          <w:sz w:val="24"/>
          <w:szCs w:val="24"/>
          <w:lang w:val="en-US" w:eastAsia="en-US" w:bidi="en-US"/>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5(8)项的要求提供其他相关证明材料。</w:t>
      </w:r>
    </w:p>
    <w:p w14:paraId="255D0439">
      <w:pPr>
        <w:pStyle w:val="33"/>
        <w:keepNext w:val="0"/>
        <w:keepLines w:val="0"/>
        <w:pageBreakBefore w:val="0"/>
        <w:widowControl w:val="0"/>
        <w:numPr>
          <w:ilvl w:val="0"/>
          <w:numId w:val="3"/>
        </w:numPr>
        <w:shd w:val="clear" w:color="auto" w:fill="auto"/>
        <w:kinsoku/>
        <w:wordWrap/>
        <w:overflowPunct/>
        <w:topLinePunct w:val="0"/>
        <w:autoSpaceDE/>
        <w:autoSpaceDN/>
        <w:bidi w:val="0"/>
        <w:adjustRightInd/>
        <w:snapToGrid/>
        <w:spacing w:before="0" w:after="0" w:line="440" w:lineRule="exact"/>
        <w:ind w:left="-420" w:leftChars="-200" w:right="-313" w:rightChars="-149" w:firstLine="624" w:firstLineChars="208"/>
        <w:jc w:val="center"/>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bookmarkStart w:id="295" w:name="bookmark801"/>
      <w:bookmarkEnd w:id="295"/>
      <w:r>
        <w:rPr>
          <w:rFonts w:hint="eastAsia" w:asciiTheme="minorEastAsia" w:hAnsiTheme="minorEastAsia" w:eastAsiaTheme="minorEastAsia" w:cstheme="minorEastAsia"/>
          <w:color w:val="000000" w:themeColor="text1"/>
          <w:spacing w:val="0"/>
          <w:w w:val="100"/>
          <w:position w:val="0"/>
          <w:sz w:val="30"/>
          <w:szCs w:val="30"/>
          <w14:textFill>
            <w14:solidFill>
              <w14:schemeClr w14:val="tx1"/>
            </w14:solidFill>
          </w14:textFill>
        </w:rPr>
        <w:t>近年财务状况</w:t>
      </w:r>
    </w:p>
    <w:p w14:paraId="6E842E6B">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420" w:leftChars="-200" w:right="-313" w:rightChars="-149" w:firstLine="624" w:firstLineChars="208"/>
        <w:jc w:val="both"/>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p>
    <w:p w14:paraId="2613FD3F">
      <w:pPr>
        <w:pStyle w:val="29"/>
        <w:keepNext w:val="0"/>
        <w:keepLines w:val="0"/>
        <w:pageBreakBefore w:val="0"/>
        <w:widowControl w:val="0"/>
        <w:shd w:val="clear" w:color="auto" w:fill="auto"/>
        <w:kinsoku/>
        <w:wordWrap/>
        <w:overflowPunct/>
        <w:topLinePunct w:val="0"/>
        <w:autoSpaceDE/>
        <w:autoSpaceDN/>
        <w:bidi w:val="0"/>
        <w:adjustRightInd/>
        <w:snapToGrid/>
        <w:spacing w:before="0" w:line="440" w:lineRule="exact"/>
        <w:ind w:left="-420" w:leftChars="-200" w:right="-313" w:rightChars="-149" w:firstLine="499" w:firstLineChars="208"/>
        <w:jc w:val="both"/>
        <w:textAlignment w:val="auto"/>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供应商应根据供应商须知前附表第</w:t>
      </w:r>
      <w:r>
        <w:rPr>
          <w:rFonts w:hint="eastAsia" w:asciiTheme="minorEastAsia" w:hAnsiTheme="minorEastAsia" w:eastAsiaTheme="minorEastAsia" w:cstheme="minorEastAsia"/>
          <w:color w:val="000000" w:themeColor="text1"/>
          <w:spacing w:val="0"/>
          <w:w w:val="100"/>
          <w:position w:val="0"/>
          <w:sz w:val="24"/>
          <w:szCs w:val="24"/>
          <w:lang w:val="en-US" w:eastAsia="en-US" w:bidi="en-US"/>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5(3)项的要求提供近年财务会计报表复印件。</w:t>
      </w:r>
    </w:p>
    <w:p w14:paraId="71AB789B">
      <w:pP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br w:type="page"/>
      </w:r>
    </w:p>
    <w:p w14:paraId="0FF81F56">
      <w:pPr>
        <w:pStyle w:val="29"/>
        <w:keepNext w:val="0"/>
        <w:keepLines w:val="0"/>
        <w:pageBreakBefore w:val="0"/>
        <w:widowControl w:val="0"/>
        <w:shd w:val="clear" w:color="auto" w:fill="auto"/>
        <w:kinsoku/>
        <w:wordWrap/>
        <w:overflowPunct/>
        <w:topLinePunct w:val="0"/>
        <w:autoSpaceDE/>
        <w:autoSpaceDN/>
        <w:bidi w:val="0"/>
        <w:adjustRightInd/>
        <w:snapToGrid/>
        <w:spacing w:before="0" w:line="440" w:lineRule="exact"/>
        <w:ind w:left="0" w:right="0" w:firstLine="500"/>
        <w:jc w:val="both"/>
        <w:textAlignment w:val="auto"/>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pPr>
    </w:p>
    <w:p w14:paraId="46B8285F">
      <w:pPr>
        <w:pStyle w:val="33"/>
        <w:keepNext w:val="0"/>
        <w:keepLines w:val="0"/>
        <w:pageBreakBefore w:val="0"/>
        <w:widowControl w:val="0"/>
        <w:numPr>
          <w:ilvl w:val="0"/>
          <w:numId w:val="3"/>
        </w:numPr>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bookmarkStart w:id="296" w:name="bookmark802"/>
      <w:bookmarkEnd w:id="296"/>
      <w:r>
        <w:rPr>
          <w:rFonts w:hint="eastAsia" w:asciiTheme="minorEastAsia" w:hAnsiTheme="minorEastAsia" w:eastAsiaTheme="minorEastAsia" w:cstheme="minorEastAsia"/>
          <w:color w:val="000000" w:themeColor="text1"/>
          <w:spacing w:val="0"/>
          <w:w w:val="100"/>
          <w:position w:val="0"/>
          <w:sz w:val="30"/>
          <w:szCs w:val="30"/>
          <w14:textFill>
            <w14:solidFill>
              <w14:schemeClr w14:val="tx1"/>
            </w14:solidFill>
          </w14:textFill>
        </w:rPr>
        <w:t>近年的类似项目情况表</w:t>
      </w:r>
    </w:p>
    <w:p w14:paraId="00B2FA29">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Chars="0" w:right="0" w:rightChars="0"/>
        <w:jc w:val="both"/>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p>
    <w:tbl>
      <w:tblPr>
        <w:tblStyle w:val="23"/>
        <w:tblW w:w="0" w:type="auto"/>
        <w:jc w:val="center"/>
        <w:tblLayout w:type="fixed"/>
        <w:tblCellMar>
          <w:top w:w="0" w:type="dxa"/>
          <w:left w:w="10" w:type="dxa"/>
          <w:bottom w:w="0" w:type="dxa"/>
          <w:right w:w="10" w:type="dxa"/>
        </w:tblCellMar>
      </w:tblPr>
      <w:tblGrid>
        <w:gridCol w:w="2294"/>
        <w:gridCol w:w="6830"/>
      </w:tblGrid>
      <w:tr w14:paraId="769AF1F4">
        <w:tblPrEx>
          <w:tblCellMar>
            <w:top w:w="0" w:type="dxa"/>
            <w:left w:w="10" w:type="dxa"/>
            <w:bottom w:w="0" w:type="dxa"/>
            <w:right w:w="10" w:type="dxa"/>
          </w:tblCellMar>
        </w:tblPrEx>
        <w:trPr>
          <w:trHeight w:val="470" w:hRule="exact"/>
          <w:jc w:val="center"/>
        </w:trPr>
        <w:tc>
          <w:tcPr>
            <w:tcBorders>
              <w:top w:val="single" w:color="auto" w:sz="4" w:space="0"/>
              <w:left w:val="single" w:color="auto" w:sz="4" w:space="0"/>
            </w:tcBorders>
            <w:shd w:val="clear" w:color="auto" w:fill="FFFFFF"/>
            <w:vAlign w:val="center"/>
          </w:tcPr>
          <w:p w14:paraId="684A4EB4">
            <w:pPr>
              <w:pStyle w:val="31"/>
              <w:keepNext w:val="0"/>
              <w:keepLines w:val="0"/>
              <w:pageBreakBefore w:val="0"/>
              <w:widowControl w:val="0"/>
              <w:shd w:val="clear" w:color="auto" w:fill="auto"/>
              <w:kinsoku/>
              <w:wordWrap/>
              <w:overflowPunct/>
              <w:topLinePunct w:val="0"/>
              <w:autoSpaceDE/>
              <w:autoSpaceDN/>
              <w:bidi w:val="0"/>
              <w:adjustRightInd/>
              <w:snapToGrid/>
              <w:spacing w:before="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项目名称</w:t>
            </w:r>
          </w:p>
        </w:tc>
        <w:tc>
          <w:tcPr>
            <w:tcBorders>
              <w:top w:val="single" w:color="auto" w:sz="4" w:space="0"/>
              <w:left w:val="single" w:color="auto" w:sz="4" w:space="0"/>
              <w:right w:val="single" w:color="auto" w:sz="4" w:space="0"/>
            </w:tcBorders>
            <w:shd w:val="clear" w:color="auto" w:fill="FFFFFF"/>
            <w:vAlign w:val="top"/>
          </w:tcPr>
          <w:p w14:paraId="5A19C84F">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07A352A2">
        <w:tblPrEx>
          <w:tblCellMar>
            <w:top w:w="0" w:type="dxa"/>
            <w:left w:w="10" w:type="dxa"/>
            <w:bottom w:w="0" w:type="dxa"/>
            <w:right w:w="10" w:type="dxa"/>
          </w:tblCellMar>
        </w:tblPrEx>
        <w:trPr>
          <w:trHeight w:val="456" w:hRule="exact"/>
          <w:jc w:val="center"/>
        </w:trPr>
        <w:tc>
          <w:tcPr>
            <w:tcBorders>
              <w:top w:val="single" w:color="auto" w:sz="4" w:space="0"/>
              <w:left w:val="single" w:color="auto" w:sz="4" w:space="0"/>
            </w:tcBorders>
            <w:shd w:val="clear" w:color="auto" w:fill="FFFFFF"/>
            <w:vAlign w:val="center"/>
          </w:tcPr>
          <w:p w14:paraId="57A2951C">
            <w:pPr>
              <w:pStyle w:val="31"/>
              <w:keepNext w:val="0"/>
              <w:keepLines w:val="0"/>
              <w:pageBreakBefore w:val="0"/>
              <w:widowControl w:val="0"/>
              <w:shd w:val="clear" w:color="auto" w:fill="auto"/>
              <w:kinsoku/>
              <w:wordWrap/>
              <w:overflowPunct/>
              <w:topLinePunct w:val="0"/>
              <w:autoSpaceDE/>
              <w:autoSpaceDN/>
              <w:bidi w:val="0"/>
              <w:adjustRightInd/>
              <w:snapToGrid/>
              <w:spacing w:before="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服务内容</w:t>
            </w:r>
          </w:p>
        </w:tc>
        <w:tc>
          <w:tcPr>
            <w:tcBorders>
              <w:top w:val="single" w:color="auto" w:sz="4" w:space="0"/>
              <w:left w:val="single" w:color="auto" w:sz="4" w:space="0"/>
              <w:right w:val="single" w:color="auto" w:sz="4" w:space="0"/>
            </w:tcBorders>
            <w:shd w:val="clear" w:color="auto" w:fill="FFFFFF"/>
            <w:vAlign w:val="top"/>
          </w:tcPr>
          <w:p w14:paraId="7188388A">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76F5AEB6">
        <w:tblPrEx>
          <w:tblCellMar>
            <w:top w:w="0" w:type="dxa"/>
            <w:left w:w="10" w:type="dxa"/>
            <w:bottom w:w="0" w:type="dxa"/>
            <w:right w:w="10" w:type="dxa"/>
          </w:tblCellMar>
        </w:tblPrEx>
        <w:trPr>
          <w:trHeight w:val="461" w:hRule="exact"/>
          <w:jc w:val="center"/>
        </w:trPr>
        <w:tc>
          <w:tcPr>
            <w:tcBorders>
              <w:top w:val="single" w:color="auto" w:sz="4" w:space="0"/>
              <w:left w:val="single" w:color="auto" w:sz="4" w:space="0"/>
            </w:tcBorders>
            <w:shd w:val="clear" w:color="auto" w:fill="FFFFFF"/>
            <w:vAlign w:val="center"/>
          </w:tcPr>
          <w:p w14:paraId="70B994A0">
            <w:pPr>
              <w:pStyle w:val="31"/>
              <w:keepNext w:val="0"/>
              <w:keepLines w:val="0"/>
              <w:pageBreakBefore w:val="0"/>
              <w:widowControl w:val="0"/>
              <w:shd w:val="clear" w:color="auto" w:fill="auto"/>
              <w:kinsoku/>
              <w:wordWrap/>
              <w:overflowPunct/>
              <w:topLinePunct w:val="0"/>
              <w:autoSpaceDE/>
              <w:autoSpaceDN/>
              <w:bidi w:val="0"/>
              <w:adjustRightInd/>
              <w:snapToGrid/>
              <w:spacing w:before="0" w:line="440" w:lineRule="exact"/>
              <w:ind w:left="0" w:right="0" w:firstLine="22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委托人/发包人名称</w:t>
            </w:r>
          </w:p>
        </w:tc>
        <w:tc>
          <w:tcPr>
            <w:tcBorders>
              <w:top w:val="single" w:color="auto" w:sz="4" w:space="0"/>
              <w:left w:val="single" w:color="auto" w:sz="4" w:space="0"/>
              <w:right w:val="single" w:color="auto" w:sz="4" w:space="0"/>
            </w:tcBorders>
            <w:shd w:val="clear" w:color="auto" w:fill="FFFFFF"/>
            <w:vAlign w:val="top"/>
          </w:tcPr>
          <w:p w14:paraId="0FF5766C">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0FE355D7">
        <w:tblPrEx>
          <w:tblCellMar>
            <w:top w:w="0" w:type="dxa"/>
            <w:left w:w="10" w:type="dxa"/>
            <w:bottom w:w="0" w:type="dxa"/>
            <w:right w:w="10" w:type="dxa"/>
          </w:tblCellMar>
        </w:tblPrEx>
        <w:trPr>
          <w:trHeight w:val="848" w:hRule="exact"/>
          <w:jc w:val="center"/>
        </w:trPr>
        <w:tc>
          <w:tcPr>
            <w:tcBorders>
              <w:top w:val="single" w:color="auto" w:sz="4" w:space="0"/>
              <w:left w:val="single" w:color="auto" w:sz="4" w:space="0"/>
            </w:tcBorders>
            <w:shd w:val="clear" w:color="auto" w:fill="FFFFFF"/>
            <w:vAlign w:val="top"/>
          </w:tcPr>
          <w:p w14:paraId="32A4A4B6">
            <w:pPr>
              <w:pStyle w:val="31"/>
              <w:keepNext w:val="0"/>
              <w:keepLines w:val="0"/>
              <w:pageBreakBefore w:val="0"/>
              <w:widowControl w:val="0"/>
              <w:shd w:val="clear" w:color="auto" w:fill="auto"/>
              <w:kinsoku/>
              <w:wordWrap/>
              <w:overflowPunct/>
              <w:topLinePunct w:val="0"/>
              <w:autoSpaceDE/>
              <w:autoSpaceDN/>
              <w:bidi w:val="0"/>
              <w:adjustRightInd/>
              <w:snapToGrid/>
              <w:spacing w:before="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委托人/发包人 联系人及电话</w:t>
            </w:r>
          </w:p>
        </w:tc>
        <w:tc>
          <w:tcPr>
            <w:tcBorders>
              <w:top w:val="single" w:color="auto" w:sz="4" w:space="0"/>
              <w:left w:val="single" w:color="auto" w:sz="4" w:space="0"/>
              <w:right w:val="single" w:color="auto" w:sz="4" w:space="0"/>
            </w:tcBorders>
            <w:shd w:val="clear" w:color="auto" w:fill="FFFFFF"/>
            <w:vAlign w:val="top"/>
          </w:tcPr>
          <w:p w14:paraId="2A7C99B8">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2F0362DF">
        <w:tblPrEx>
          <w:tblCellMar>
            <w:top w:w="0" w:type="dxa"/>
            <w:left w:w="10" w:type="dxa"/>
            <w:bottom w:w="0" w:type="dxa"/>
            <w:right w:w="10" w:type="dxa"/>
          </w:tblCellMar>
        </w:tblPrEx>
        <w:trPr>
          <w:trHeight w:val="456" w:hRule="exact"/>
          <w:jc w:val="center"/>
        </w:trPr>
        <w:tc>
          <w:tcPr>
            <w:tcBorders>
              <w:top w:val="single" w:color="auto" w:sz="4" w:space="0"/>
              <w:left w:val="single" w:color="auto" w:sz="4" w:space="0"/>
            </w:tcBorders>
            <w:shd w:val="clear" w:color="auto" w:fill="FFFFFF"/>
            <w:vAlign w:val="center"/>
          </w:tcPr>
          <w:p w14:paraId="4C98AECD">
            <w:pPr>
              <w:pStyle w:val="31"/>
              <w:keepNext w:val="0"/>
              <w:keepLines w:val="0"/>
              <w:pageBreakBefore w:val="0"/>
              <w:widowControl w:val="0"/>
              <w:shd w:val="clear" w:color="auto" w:fill="auto"/>
              <w:kinsoku/>
              <w:wordWrap/>
              <w:overflowPunct/>
              <w:topLinePunct w:val="0"/>
              <w:autoSpaceDE/>
              <w:autoSpaceDN/>
              <w:bidi w:val="0"/>
              <w:adjustRightInd/>
              <w:snapToGrid/>
              <w:spacing w:before="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合同价格</w:t>
            </w:r>
          </w:p>
        </w:tc>
        <w:tc>
          <w:tcPr>
            <w:tcBorders>
              <w:top w:val="single" w:color="auto" w:sz="4" w:space="0"/>
              <w:left w:val="single" w:color="auto" w:sz="4" w:space="0"/>
              <w:right w:val="single" w:color="auto" w:sz="4" w:space="0"/>
            </w:tcBorders>
            <w:shd w:val="clear" w:color="auto" w:fill="FFFFFF"/>
            <w:vAlign w:val="top"/>
          </w:tcPr>
          <w:p w14:paraId="71BF87AC">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76A56B53">
        <w:tblPrEx>
          <w:tblCellMar>
            <w:top w:w="0" w:type="dxa"/>
            <w:left w:w="10" w:type="dxa"/>
            <w:bottom w:w="0" w:type="dxa"/>
            <w:right w:w="10" w:type="dxa"/>
          </w:tblCellMar>
        </w:tblPrEx>
        <w:trPr>
          <w:trHeight w:val="456" w:hRule="exact"/>
          <w:jc w:val="center"/>
        </w:trPr>
        <w:tc>
          <w:tcPr>
            <w:tcBorders>
              <w:top w:val="single" w:color="auto" w:sz="4" w:space="0"/>
              <w:left w:val="single" w:color="auto" w:sz="4" w:space="0"/>
            </w:tcBorders>
            <w:shd w:val="clear" w:color="auto" w:fill="FFFFFF"/>
            <w:vAlign w:val="center"/>
          </w:tcPr>
          <w:p w14:paraId="39839ECD">
            <w:pPr>
              <w:pStyle w:val="31"/>
              <w:keepNext w:val="0"/>
              <w:keepLines w:val="0"/>
              <w:pageBreakBefore w:val="0"/>
              <w:widowControl w:val="0"/>
              <w:shd w:val="clear" w:color="auto" w:fill="auto"/>
              <w:kinsoku/>
              <w:wordWrap/>
              <w:overflowPunct/>
              <w:topLinePunct w:val="0"/>
              <w:autoSpaceDE/>
              <w:autoSpaceDN/>
              <w:bidi w:val="0"/>
              <w:adjustRightInd/>
              <w:snapToGrid/>
              <w:spacing w:before="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lang w:val="en-US" w:eastAsia="zh-CN"/>
                <w14:textFill>
                  <w14:solidFill>
                    <w14:schemeClr w14:val="tx1"/>
                  </w14:solidFill>
                </w14:textFill>
              </w:rPr>
              <w:t>工程</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是否完成</w:t>
            </w:r>
          </w:p>
        </w:tc>
        <w:tc>
          <w:tcPr>
            <w:tcBorders>
              <w:top w:val="single" w:color="auto" w:sz="4" w:space="0"/>
              <w:left w:val="single" w:color="auto" w:sz="4" w:space="0"/>
              <w:right w:val="single" w:color="auto" w:sz="4" w:space="0"/>
            </w:tcBorders>
            <w:shd w:val="clear" w:color="auto" w:fill="FFFFFF"/>
            <w:vAlign w:val="top"/>
          </w:tcPr>
          <w:p w14:paraId="26067FD7">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611A29AF">
        <w:tblPrEx>
          <w:tblCellMar>
            <w:top w:w="0" w:type="dxa"/>
            <w:left w:w="10" w:type="dxa"/>
            <w:bottom w:w="0" w:type="dxa"/>
            <w:right w:w="10" w:type="dxa"/>
          </w:tblCellMar>
        </w:tblPrEx>
        <w:trPr>
          <w:trHeight w:val="456" w:hRule="exact"/>
          <w:jc w:val="center"/>
        </w:trPr>
        <w:tc>
          <w:tcPr>
            <w:tcBorders>
              <w:top w:val="single" w:color="auto" w:sz="4" w:space="0"/>
              <w:left w:val="single" w:color="auto" w:sz="4" w:space="0"/>
            </w:tcBorders>
            <w:shd w:val="clear" w:color="auto" w:fill="FFFFFF"/>
            <w:vAlign w:val="center"/>
          </w:tcPr>
          <w:p w14:paraId="0168BF66">
            <w:pPr>
              <w:pStyle w:val="31"/>
              <w:keepNext w:val="0"/>
              <w:keepLines w:val="0"/>
              <w:pageBreakBefore w:val="0"/>
              <w:widowControl w:val="0"/>
              <w:shd w:val="clear" w:color="auto" w:fill="auto"/>
              <w:kinsoku/>
              <w:wordWrap/>
              <w:overflowPunct/>
              <w:topLinePunct w:val="0"/>
              <w:autoSpaceDE/>
              <w:autoSpaceDN/>
              <w:bidi w:val="0"/>
              <w:adjustRightInd/>
              <w:snapToGrid/>
              <w:spacing w:before="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项目负责人(如有)</w:t>
            </w:r>
          </w:p>
        </w:tc>
        <w:tc>
          <w:tcPr>
            <w:tcBorders>
              <w:top w:val="single" w:color="auto" w:sz="4" w:space="0"/>
              <w:left w:val="single" w:color="auto" w:sz="4" w:space="0"/>
              <w:right w:val="single" w:color="auto" w:sz="4" w:space="0"/>
            </w:tcBorders>
            <w:shd w:val="clear" w:color="auto" w:fill="FFFFFF"/>
            <w:vAlign w:val="top"/>
          </w:tcPr>
          <w:p w14:paraId="4ABC3625">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4A0F585B">
        <w:tblPrEx>
          <w:tblCellMar>
            <w:top w:w="0" w:type="dxa"/>
            <w:left w:w="10" w:type="dxa"/>
            <w:bottom w:w="0" w:type="dxa"/>
            <w:right w:w="10" w:type="dxa"/>
          </w:tblCellMar>
        </w:tblPrEx>
        <w:trPr>
          <w:trHeight w:val="1368" w:hRule="exact"/>
          <w:jc w:val="center"/>
        </w:trPr>
        <w:tc>
          <w:tcPr>
            <w:tcBorders>
              <w:top w:val="single" w:color="auto" w:sz="4" w:space="0"/>
              <w:left w:val="single" w:color="auto" w:sz="4" w:space="0"/>
            </w:tcBorders>
            <w:shd w:val="clear" w:color="auto" w:fill="FFFFFF"/>
            <w:vAlign w:val="center"/>
          </w:tcPr>
          <w:p w14:paraId="3DD11833">
            <w:pPr>
              <w:pStyle w:val="31"/>
              <w:keepNext w:val="0"/>
              <w:keepLines w:val="0"/>
              <w:pageBreakBefore w:val="0"/>
              <w:widowControl w:val="0"/>
              <w:shd w:val="clear" w:color="auto" w:fill="auto"/>
              <w:kinsoku/>
              <w:wordWrap/>
              <w:overflowPunct/>
              <w:topLinePunct w:val="0"/>
              <w:autoSpaceDE/>
              <w:autoSpaceDN/>
              <w:bidi w:val="0"/>
              <w:adjustRightInd/>
              <w:snapToGrid/>
              <w:spacing w:before="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项目概况及供应商 履约情况</w:t>
            </w:r>
          </w:p>
        </w:tc>
        <w:tc>
          <w:tcPr>
            <w:tcBorders>
              <w:top w:val="single" w:color="auto" w:sz="4" w:space="0"/>
              <w:left w:val="single" w:color="auto" w:sz="4" w:space="0"/>
              <w:right w:val="single" w:color="auto" w:sz="4" w:space="0"/>
            </w:tcBorders>
            <w:shd w:val="clear" w:color="auto" w:fill="FFFFFF"/>
            <w:vAlign w:val="top"/>
          </w:tcPr>
          <w:p w14:paraId="63BE2D94">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1475E842">
        <w:tblPrEx>
          <w:tblCellMar>
            <w:top w:w="0" w:type="dxa"/>
            <w:left w:w="10" w:type="dxa"/>
            <w:bottom w:w="0" w:type="dxa"/>
            <w:right w:w="10" w:type="dxa"/>
          </w:tblCellMar>
        </w:tblPrEx>
        <w:trPr>
          <w:trHeight w:val="475" w:hRule="exact"/>
          <w:jc w:val="center"/>
        </w:trPr>
        <w:tc>
          <w:tcPr>
            <w:tcBorders>
              <w:top w:val="single" w:color="auto" w:sz="4" w:space="0"/>
              <w:left w:val="single" w:color="auto" w:sz="4" w:space="0"/>
              <w:bottom w:val="single" w:color="auto" w:sz="4" w:space="0"/>
            </w:tcBorders>
            <w:shd w:val="clear" w:color="auto" w:fill="FFFFFF"/>
            <w:vAlign w:val="center"/>
          </w:tcPr>
          <w:p w14:paraId="1CCAE5BF">
            <w:pPr>
              <w:pStyle w:val="31"/>
              <w:keepNext w:val="0"/>
              <w:keepLines w:val="0"/>
              <w:pageBreakBefore w:val="0"/>
              <w:widowControl w:val="0"/>
              <w:shd w:val="clear" w:color="auto" w:fill="auto"/>
              <w:kinsoku/>
              <w:wordWrap/>
              <w:overflowPunct/>
              <w:topLinePunct w:val="0"/>
              <w:autoSpaceDE/>
              <w:autoSpaceDN/>
              <w:bidi w:val="0"/>
              <w:adjustRightInd/>
              <w:snapToGrid/>
              <w:spacing w:before="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备注</w:t>
            </w:r>
          </w:p>
        </w:tc>
        <w:tc>
          <w:tcPr>
            <w:tcBorders>
              <w:top w:val="single" w:color="auto" w:sz="4" w:space="0"/>
              <w:left w:val="single" w:color="auto" w:sz="4" w:space="0"/>
              <w:bottom w:val="single" w:color="auto" w:sz="4" w:space="0"/>
              <w:right w:val="single" w:color="auto" w:sz="4" w:space="0"/>
            </w:tcBorders>
            <w:shd w:val="clear" w:color="auto" w:fill="FFFFFF"/>
            <w:vAlign w:val="top"/>
          </w:tcPr>
          <w:p w14:paraId="214F96F0">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bl>
    <w:p w14:paraId="4CF1AD1C">
      <w:pPr>
        <w:pageBreakBefore w:val="0"/>
        <w:widowControl w:val="0"/>
        <w:kinsoku/>
        <w:wordWrap/>
        <w:overflowPunct/>
        <w:topLinePunct w:val="0"/>
        <w:autoSpaceDE/>
        <w:autoSpaceDN/>
        <w:bidi w:val="0"/>
        <w:adjustRightInd/>
        <w:snapToGrid/>
        <w:spacing w:line="440" w:lineRule="exact"/>
        <w:ind w:left="-420" w:leftChars="-200" w:right="-313" w:rightChars="-149" w:firstLine="0" w:firstLineChars="0"/>
        <w:textAlignment w:val="auto"/>
        <w:rPr>
          <w:rFonts w:hint="eastAsia" w:asciiTheme="minorEastAsia" w:hAnsiTheme="minorEastAsia" w:eastAsiaTheme="minorEastAsia" w:cstheme="minorEastAsia"/>
          <w:color w:val="000000" w:themeColor="text1"/>
          <w:spacing w:val="0"/>
          <w:w w:val="100"/>
          <w:position w:val="0"/>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注：供应商应根据供应商须知前附表第</w:t>
      </w:r>
      <w:r>
        <w:rPr>
          <w:rFonts w:hint="eastAsia" w:asciiTheme="minorEastAsia" w:hAnsiTheme="minorEastAsia" w:eastAsiaTheme="minorEastAsia" w:cstheme="minorEastAsia"/>
          <w:color w:val="000000" w:themeColor="text1"/>
          <w:spacing w:val="0"/>
          <w:w w:val="100"/>
          <w:position w:val="0"/>
          <w:sz w:val="24"/>
          <w:szCs w:val="24"/>
          <w:lang w:val="en-US" w:eastAsia="en-US" w:bidi="en-US"/>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5(4)项的要求在本表后附相关证明材料</w:t>
      </w:r>
      <w:r>
        <w:rPr>
          <w:rFonts w:hint="eastAsia" w:asciiTheme="minorEastAsia" w:hAnsiTheme="minorEastAsia" w:eastAsiaTheme="minorEastAsia" w:cstheme="minorEastAsia"/>
          <w:color w:val="000000" w:themeColor="text1"/>
          <w:spacing w:val="0"/>
          <w:w w:val="100"/>
          <w:position w:val="0"/>
          <w:sz w:val="24"/>
          <w:szCs w:val="24"/>
          <w:lang w:eastAsia="zh-CN"/>
          <w14:textFill>
            <w14:solidFill>
              <w14:schemeClr w14:val="tx1"/>
            </w14:solidFill>
          </w14:textFill>
        </w:rPr>
        <w:t>。</w:t>
      </w:r>
    </w:p>
    <w:p w14:paraId="1DC558DF">
      <w:pPr>
        <w:pageBreakBefore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pacing w:val="0"/>
          <w:w w:val="100"/>
          <w:position w:val="0"/>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lang w:eastAsia="zh-CN"/>
          <w14:textFill>
            <w14:solidFill>
              <w14:schemeClr w14:val="tx1"/>
            </w14:solidFill>
          </w14:textFill>
        </w:rPr>
        <w:br w:type="page"/>
      </w:r>
    </w:p>
    <w:p w14:paraId="60B551B7">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440" w:line="440" w:lineRule="exact"/>
        <w:ind w:leftChars="0" w:right="0" w:rightChars="0"/>
        <w:jc w:val="center"/>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30"/>
          <w:szCs w:val="30"/>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30"/>
          <w:szCs w:val="30"/>
          <w:lang w:val="en-US" w:eastAsia="zh-CN"/>
          <w14:textFill>
            <w14:solidFill>
              <w14:schemeClr w14:val="tx1"/>
            </w14:solidFill>
          </w14:textFill>
        </w:rPr>
        <w:t>四）</w:t>
      </w:r>
      <w:r>
        <w:rPr>
          <w:rFonts w:hint="eastAsia" w:asciiTheme="minorEastAsia" w:hAnsiTheme="minorEastAsia" w:eastAsiaTheme="minorEastAsia" w:cstheme="minorEastAsia"/>
          <w:color w:val="000000" w:themeColor="text1"/>
          <w:spacing w:val="0"/>
          <w:w w:val="100"/>
          <w:position w:val="0"/>
          <w:sz w:val="30"/>
          <w:szCs w:val="30"/>
          <w14:textFill>
            <w14:solidFill>
              <w14:schemeClr w14:val="tx1"/>
            </w14:solidFill>
          </w14:textFill>
        </w:rPr>
        <w:t>主要人员简历表</w:t>
      </w:r>
    </w:p>
    <w:tbl>
      <w:tblPr>
        <w:tblStyle w:val="23"/>
        <w:tblW w:w="9139" w:type="dxa"/>
        <w:jc w:val="center"/>
        <w:tblLayout w:type="fixed"/>
        <w:tblCellMar>
          <w:top w:w="0" w:type="dxa"/>
          <w:left w:w="10" w:type="dxa"/>
          <w:bottom w:w="0" w:type="dxa"/>
          <w:right w:w="10" w:type="dxa"/>
        </w:tblCellMar>
      </w:tblPr>
      <w:tblGrid>
        <w:gridCol w:w="1234"/>
        <w:gridCol w:w="336"/>
        <w:gridCol w:w="720"/>
        <w:gridCol w:w="960"/>
        <w:gridCol w:w="1070"/>
        <w:gridCol w:w="686"/>
        <w:gridCol w:w="1267"/>
        <w:gridCol w:w="919"/>
        <w:gridCol w:w="1947"/>
      </w:tblGrid>
      <w:tr w14:paraId="2103CD14">
        <w:tblPrEx>
          <w:tblCellMar>
            <w:top w:w="0" w:type="dxa"/>
            <w:left w:w="10" w:type="dxa"/>
            <w:bottom w:w="0" w:type="dxa"/>
            <w:right w:w="10" w:type="dxa"/>
          </w:tblCellMar>
        </w:tblPrEx>
        <w:trPr>
          <w:trHeight w:val="893" w:hRule="exact"/>
          <w:jc w:val="center"/>
        </w:trPr>
        <w:tc>
          <w:tcPr>
            <w:tcBorders>
              <w:top w:val="single" w:color="auto" w:sz="4" w:space="0"/>
              <w:left w:val="single" w:color="auto" w:sz="4" w:space="0"/>
            </w:tcBorders>
            <w:shd w:val="clear" w:color="auto" w:fill="FFFFFF"/>
            <w:vAlign w:val="center"/>
          </w:tcPr>
          <w:p w14:paraId="76C79353">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30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姓名</w:t>
            </w:r>
          </w:p>
        </w:tc>
        <w:tc>
          <w:tcPr>
            <w:gridSpan w:val="2"/>
            <w:tcBorders>
              <w:top w:val="single" w:color="auto" w:sz="4" w:space="0"/>
              <w:left w:val="single" w:color="auto" w:sz="4" w:space="0"/>
            </w:tcBorders>
            <w:shd w:val="clear" w:color="auto" w:fill="FFFFFF"/>
            <w:vAlign w:val="top"/>
          </w:tcPr>
          <w:p w14:paraId="61C3D854">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tcBorders>
            <w:shd w:val="clear" w:color="auto" w:fill="FFFFFF"/>
            <w:vAlign w:val="center"/>
          </w:tcPr>
          <w:p w14:paraId="42C2E302">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年龄</w:t>
            </w:r>
          </w:p>
        </w:tc>
        <w:tc>
          <w:tcPr>
            <w:tcBorders>
              <w:top w:val="single" w:color="auto" w:sz="4" w:space="0"/>
              <w:left w:val="single" w:color="auto" w:sz="4" w:space="0"/>
            </w:tcBorders>
            <w:shd w:val="clear" w:color="auto" w:fill="FFFFFF"/>
            <w:vAlign w:val="top"/>
          </w:tcPr>
          <w:p w14:paraId="119C3425">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2872" w:type="dxa"/>
            <w:gridSpan w:val="3"/>
            <w:tcBorders>
              <w:top w:val="single" w:color="auto" w:sz="4" w:space="0"/>
              <w:left w:val="single" w:color="auto" w:sz="4" w:space="0"/>
            </w:tcBorders>
            <w:shd w:val="clear" w:color="auto" w:fill="FFFFFF"/>
            <w:vAlign w:val="center"/>
          </w:tcPr>
          <w:p w14:paraId="61F86A48">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执业或职业 资格证书名称</w:t>
            </w:r>
          </w:p>
        </w:tc>
        <w:tc>
          <w:tcPr>
            <w:tcW w:w="1947" w:type="dxa"/>
            <w:tcBorders>
              <w:top w:val="single" w:color="auto" w:sz="4" w:space="0"/>
              <w:left w:val="single" w:color="auto" w:sz="4" w:space="0"/>
              <w:right w:val="single" w:color="auto" w:sz="4" w:space="0"/>
            </w:tcBorders>
            <w:shd w:val="clear" w:color="auto" w:fill="FFFFFF"/>
            <w:vAlign w:val="top"/>
          </w:tcPr>
          <w:p w14:paraId="2B5BC1B5">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7BE89355">
        <w:tblPrEx>
          <w:tblCellMar>
            <w:top w:w="0" w:type="dxa"/>
            <w:left w:w="10" w:type="dxa"/>
            <w:bottom w:w="0" w:type="dxa"/>
            <w:right w:w="10" w:type="dxa"/>
          </w:tblCellMar>
        </w:tblPrEx>
        <w:trPr>
          <w:trHeight w:val="874" w:hRule="exact"/>
          <w:jc w:val="center"/>
        </w:trPr>
        <w:tc>
          <w:tcPr>
            <w:tcBorders>
              <w:top w:val="single" w:color="auto" w:sz="4" w:space="0"/>
              <w:left w:val="single" w:color="auto" w:sz="4" w:space="0"/>
            </w:tcBorders>
            <w:shd w:val="clear" w:color="auto" w:fill="FFFFFF"/>
            <w:vAlign w:val="center"/>
          </w:tcPr>
          <w:p w14:paraId="088DDDE5">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30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职称</w:t>
            </w:r>
          </w:p>
        </w:tc>
        <w:tc>
          <w:tcPr>
            <w:gridSpan w:val="2"/>
            <w:tcBorders>
              <w:top w:val="single" w:color="auto" w:sz="4" w:space="0"/>
              <w:left w:val="single" w:color="auto" w:sz="4" w:space="0"/>
            </w:tcBorders>
            <w:shd w:val="clear" w:color="auto" w:fill="FFFFFF"/>
            <w:vAlign w:val="top"/>
          </w:tcPr>
          <w:p w14:paraId="0B899F61">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tcBorders>
            <w:shd w:val="clear" w:color="auto" w:fill="FFFFFF"/>
            <w:vAlign w:val="center"/>
          </w:tcPr>
          <w:p w14:paraId="3D8BECAC">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学历</w:t>
            </w:r>
          </w:p>
        </w:tc>
        <w:tc>
          <w:tcPr>
            <w:tcBorders>
              <w:top w:val="single" w:color="auto" w:sz="4" w:space="0"/>
              <w:left w:val="single" w:color="auto" w:sz="4" w:space="0"/>
            </w:tcBorders>
            <w:shd w:val="clear" w:color="auto" w:fill="FFFFFF"/>
            <w:vAlign w:val="top"/>
          </w:tcPr>
          <w:p w14:paraId="779524EF">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2872" w:type="dxa"/>
            <w:gridSpan w:val="3"/>
            <w:tcBorders>
              <w:top w:val="single" w:color="auto" w:sz="4" w:space="0"/>
              <w:left w:val="single" w:color="auto" w:sz="4" w:space="0"/>
            </w:tcBorders>
            <w:shd w:val="clear" w:color="auto" w:fill="FFFFFF"/>
            <w:vAlign w:val="center"/>
          </w:tcPr>
          <w:p w14:paraId="7B105B33">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拟在本项目任职</w:t>
            </w:r>
          </w:p>
        </w:tc>
        <w:tc>
          <w:tcPr>
            <w:tcW w:w="1947" w:type="dxa"/>
            <w:tcBorders>
              <w:top w:val="single" w:color="auto" w:sz="4" w:space="0"/>
              <w:left w:val="single" w:color="auto" w:sz="4" w:space="0"/>
              <w:right w:val="single" w:color="auto" w:sz="4" w:space="0"/>
            </w:tcBorders>
            <w:shd w:val="clear" w:color="auto" w:fill="FFFFFF"/>
            <w:vAlign w:val="top"/>
          </w:tcPr>
          <w:p w14:paraId="13C29BB5">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15AA6B37">
        <w:tblPrEx>
          <w:tblCellMar>
            <w:top w:w="0" w:type="dxa"/>
            <w:left w:w="10" w:type="dxa"/>
            <w:bottom w:w="0" w:type="dxa"/>
            <w:right w:w="10" w:type="dxa"/>
          </w:tblCellMar>
        </w:tblPrEx>
        <w:trPr>
          <w:trHeight w:val="878" w:hRule="exact"/>
          <w:jc w:val="center"/>
        </w:trPr>
        <w:tc>
          <w:tcPr>
            <w:tcBorders>
              <w:top w:val="single" w:color="auto" w:sz="4" w:space="0"/>
              <w:left w:val="single" w:color="auto" w:sz="4" w:space="0"/>
            </w:tcBorders>
            <w:shd w:val="clear" w:color="auto" w:fill="FFFFFF"/>
            <w:vAlign w:val="center"/>
          </w:tcPr>
          <w:p w14:paraId="5D08CDFF">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18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工作年限</w:t>
            </w:r>
          </w:p>
        </w:tc>
        <w:tc>
          <w:tcPr>
            <w:gridSpan w:val="4"/>
            <w:tcBorders>
              <w:top w:val="single" w:color="auto" w:sz="4" w:space="0"/>
              <w:left w:val="single" w:color="auto" w:sz="4" w:space="0"/>
            </w:tcBorders>
            <w:shd w:val="clear" w:color="auto" w:fill="FFFFFF"/>
            <w:vAlign w:val="top"/>
          </w:tcPr>
          <w:p w14:paraId="72F58D34">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2872" w:type="dxa"/>
            <w:gridSpan w:val="3"/>
            <w:tcBorders>
              <w:top w:val="single" w:color="auto" w:sz="4" w:space="0"/>
              <w:left w:val="single" w:color="auto" w:sz="4" w:space="0"/>
            </w:tcBorders>
            <w:shd w:val="clear" w:color="auto" w:fill="FFFFFF"/>
            <w:vAlign w:val="center"/>
          </w:tcPr>
          <w:p w14:paraId="2624DFEB">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从事类似工作年限</w:t>
            </w:r>
          </w:p>
        </w:tc>
        <w:tc>
          <w:tcPr>
            <w:tcW w:w="1947" w:type="dxa"/>
            <w:tcBorders>
              <w:top w:val="single" w:color="auto" w:sz="4" w:space="0"/>
              <w:left w:val="single" w:color="auto" w:sz="4" w:space="0"/>
              <w:right w:val="single" w:color="auto" w:sz="4" w:space="0"/>
            </w:tcBorders>
            <w:shd w:val="clear" w:color="auto" w:fill="FFFFFF"/>
            <w:vAlign w:val="top"/>
          </w:tcPr>
          <w:p w14:paraId="00DF729E">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747E97A0">
        <w:tblPrEx>
          <w:tblCellMar>
            <w:top w:w="0" w:type="dxa"/>
            <w:left w:w="10" w:type="dxa"/>
            <w:bottom w:w="0" w:type="dxa"/>
            <w:right w:w="10" w:type="dxa"/>
          </w:tblCellMar>
        </w:tblPrEx>
        <w:trPr>
          <w:trHeight w:val="878" w:hRule="exact"/>
          <w:jc w:val="center"/>
        </w:trPr>
        <w:tc>
          <w:tcPr>
            <w:tcBorders>
              <w:top w:val="single" w:color="auto" w:sz="4" w:space="0"/>
              <w:left w:val="single" w:color="auto" w:sz="4" w:space="0"/>
            </w:tcBorders>
            <w:shd w:val="clear" w:color="auto" w:fill="FFFFFF"/>
            <w:vAlign w:val="center"/>
          </w:tcPr>
          <w:p w14:paraId="1455B2F2">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18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毕业学校</w:t>
            </w:r>
          </w:p>
        </w:tc>
        <w:tc>
          <w:tcPr>
            <w:gridSpan w:val="8"/>
            <w:tcBorders>
              <w:top w:val="single" w:color="auto" w:sz="4" w:space="0"/>
              <w:left w:val="single" w:color="auto" w:sz="4" w:space="0"/>
              <w:right w:val="single" w:color="auto" w:sz="4" w:space="0"/>
            </w:tcBorders>
            <w:shd w:val="clear" w:color="auto" w:fill="FFFFFF"/>
            <w:vAlign w:val="center"/>
          </w:tcPr>
          <w:p w14:paraId="389960DB">
            <w:pPr>
              <w:pStyle w:val="31"/>
              <w:keepNext w:val="0"/>
              <w:keepLines w:val="0"/>
              <w:pageBreakBefore w:val="0"/>
              <w:widowControl w:val="0"/>
              <w:shd w:val="clear" w:color="auto" w:fill="auto"/>
              <w:tabs>
                <w:tab w:val="left" w:pos="2074"/>
                <w:tab w:val="left" w:pos="3355"/>
              </w:tabs>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年毕业于</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ab/>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学校</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ab/>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专业</w:t>
            </w:r>
          </w:p>
        </w:tc>
      </w:tr>
      <w:tr w14:paraId="1FBB333F">
        <w:tblPrEx>
          <w:tblCellMar>
            <w:top w:w="0" w:type="dxa"/>
            <w:left w:w="10" w:type="dxa"/>
            <w:bottom w:w="0" w:type="dxa"/>
            <w:right w:w="10" w:type="dxa"/>
          </w:tblCellMar>
        </w:tblPrEx>
        <w:trPr>
          <w:trHeight w:val="874" w:hRule="exact"/>
          <w:jc w:val="center"/>
        </w:trPr>
        <w:tc>
          <w:tcPr>
            <w:gridSpan w:val="9"/>
            <w:tcBorders>
              <w:top w:val="single" w:color="auto" w:sz="4" w:space="0"/>
              <w:left w:val="single" w:color="auto" w:sz="4" w:space="0"/>
              <w:right w:val="single" w:color="auto" w:sz="4" w:space="0"/>
            </w:tcBorders>
            <w:shd w:val="clear" w:color="auto" w:fill="FFFFFF"/>
            <w:vAlign w:val="center"/>
          </w:tcPr>
          <w:p w14:paraId="53BCACD7">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主要工作经历</w:t>
            </w:r>
          </w:p>
        </w:tc>
      </w:tr>
      <w:tr w14:paraId="4FBAE068">
        <w:tblPrEx>
          <w:tblCellMar>
            <w:top w:w="0" w:type="dxa"/>
            <w:left w:w="10" w:type="dxa"/>
            <w:bottom w:w="0" w:type="dxa"/>
            <w:right w:w="10" w:type="dxa"/>
          </w:tblCellMar>
        </w:tblPrEx>
        <w:trPr>
          <w:trHeight w:val="878" w:hRule="exact"/>
          <w:jc w:val="center"/>
        </w:trPr>
        <w:tc>
          <w:tcPr>
            <w:gridSpan w:val="2"/>
            <w:tcBorders>
              <w:top w:val="single" w:color="auto" w:sz="4" w:space="0"/>
              <w:left w:val="single" w:color="auto" w:sz="4" w:space="0"/>
            </w:tcBorders>
            <w:shd w:val="clear" w:color="auto" w:fill="FFFFFF"/>
            <w:vAlign w:val="center"/>
          </w:tcPr>
          <w:p w14:paraId="343AC4AE">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时间</w:t>
            </w:r>
          </w:p>
        </w:tc>
        <w:tc>
          <w:tcPr>
            <w:gridSpan w:val="4"/>
            <w:tcBorders>
              <w:top w:val="single" w:color="auto" w:sz="4" w:space="0"/>
              <w:left w:val="single" w:color="auto" w:sz="4" w:space="0"/>
            </w:tcBorders>
            <w:shd w:val="clear" w:color="auto" w:fill="FFFFFF"/>
            <w:vAlign w:val="center"/>
          </w:tcPr>
          <w:p w14:paraId="4AF72775">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参加过的类似项目</w:t>
            </w:r>
          </w:p>
        </w:tc>
        <w:tc>
          <w:tcPr>
            <w:tcBorders>
              <w:top w:val="single" w:color="auto" w:sz="4" w:space="0"/>
              <w:left w:val="single" w:color="auto" w:sz="4" w:space="0"/>
            </w:tcBorders>
            <w:shd w:val="clear" w:color="auto" w:fill="FFFFFF"/>
            <w:vAlign w:val="center"/>
          </w:tcPr>
          <w:p w14:paraId="60912D0B">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担任职务</w:t>
            </w:r>
          </w:p>
        </w:tc>
        <w:tc>
          <w:tcPr>
            <w:gridSpan w:val="2"/>
            <w:tcBorders>
              <w:top w:val="single" w:color="auto" w:sz="4" w:space="0"/>
              <w:left w:val="single" w:color="auto" w:sz="4" w:space="0"/>
              <w:right w:val="single" w:color="auto" w:sz="4" w:space="0"/>
            </w:tcBorders>
            <w:shd w:val="clear" w:color="auto" w:fill="FFFFFF"/>
            <w:vAlign w:val="center"/>
          </w:tcPr>
          <w:p w14:paraId="23904742">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0"/>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委托人/发包人及联系电话</w:t>
            </w:r>
          </w:p>
        </w:tc>
      </w:tr>
      <w:tr w14:paraId="6EE4C374">
        <w:tblPrEx>
          <w:tblCellMar>
            <w:top w:w="0" w:type="dxa"/>
            <w:left w:w="10" w:type="dxa"/>
            <w:bottom w:w="0" w:type="dxa"/>
            <w:right w:w="10" w:type="dxa"/>
          </w:tblCellMar>
        </w:tblPrEx>
        <w:trPr>
          <w:trHeight w:val="878" w:hRule="exact"/>
          <w:jc w:val="center"/>
        </w:trPr>
        <w:tc>
          <w:tcPr>
            <w:gridSpan w:val="2"/>
            <w:tcBorders>
              <w:top w:val="single" w:color="auto" w:sz="4" w:space="0"/>
              <w:left w:val="single" w:color="auto" w:sz="4" w:space="0"/>
            </w:tcBorders>
            <w:shd w:val="clear" w:color="auto" w:fill="FFFFFF"/>
            <w:vAlign w:val="top"/>
          </w:tcPr>
          <w:p w14:paraId="0E6B9514">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gridSpan w:val="4"/>
            <w:tcBorders>
              <w:top w:val="single" w:color="auto" w:sz="4" w:space="0"/>
              <w:left w:val="single" w:color="auto" w:sz="4" w:space="0"/>
            </w:tcBorders>
            <w:shd w:val="clear" w:color="auto" w:fill="FFFFFF"/>
            <w:vAlign w:val="top"/>
          </w:tcPr>
          <w:p w14:paraId="39EE4220">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tcBorders>
            <w:shd w:val="clear" w:color="auto" w:fill="FFFFFF"/>
            <w:vAlign w:val="top"/>
          </w:tcPr>
          <w:p w14:paraId="34DBEAA6">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gridSpan w:val="2"/>
            <w:tcBorders>
              <w:top w:val="single" w:color="auto" w:sz="4" w:space="0"/>
              <w:left w:val="single" w:color="auto" w:sz="4" w:space="0"/>
              <w:right w:val="single" w:color="auto" w:sz="4" w:space="0"/>
            </w:tcBorders>
            <w:shd w:val="clear" w:color="auto" w:fill="FFFFFF"/>
            <w:vAlign w:val="top"/>
          </w:tcPr>
          <w:p w14:paraId="2A010202">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15C1CAC5">
        <w:tblPrEx>
          <w:tblCellMar>
            <w:top w:w="0" w:type="dxa"/>
            <w:left w:w="10" w:type="dxa"/>
            <w:bottom w:w="0" w:type="dxa"/>
            <w:right w:w="10" w:type="dxa"/>
          </w:tblCellMar>
        </w:tblPrEx>
        <w:trPr>
          <w:trHeight w:val="878" w:hRule="exact"/>
          <w:jc w:val="center"/>
        </w:trPr>
        <w:tc>
          <w:tcPr>
            <w:gridSpan w:val="2"/>
            <w:tcBorders>
              <w:top w:val="single" w:color="auto" w:sz="4" w:space="0"/>
              <w:left w:val="single" w:color="auto" w:sz="4" w:space="0"/>
            </w:tcBorders>
            <w:shd w:val="clear" w:color="auto" w:fill="FFFFFF"/>
            <w:vAlign w:val="top"/>
          </w:tcPr>
          <w:p w14:paraId="06F67B8D">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gridSpan w:val="4"/>
            <w:tcBorders>
              <w:top w:val="single" w:color="auto" w:sz="4" w:space="0"/>
              <w:left w:val="single" w:color="auto" w:sz="4" w:space="0"/>
            </w:tcBorders>
            <w:shd w:val="clear" w:color="auto" w:fill="FFFFFF"/>
            <w:vAlign w:val="top"/>
          </w:tcPr>
          <w:p w14:paraId="1C4BF93F">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tcBorders>
            <w:shd w:val="clear" w:color="auto" w:fill="FFFFFF"/>
            <w:vAlign w:val="top"/>
          </w:tcPr>
          <w:p w14:paraId="5ADAED0D">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gridSpan w:val="2"/>
            <w:tcBorders>
              <w:top w:val="single" w:color="auto" w:sz="4" w:space="0"/>
              <w:left w:val="single" w:color="auto" w:sz="4" w:space="0"/>
              <w:right w:val="single" w:color="auto" w:sz="4" w:space="0"/>
            </w:tcBorders>
            <w:shd w:val="clear" w:color="auto" w:fill="FFFFFF"/>
            <w:vAlign w:val="top"/>
          </w:tcPr>
          <w:p w14:paraId="646CE603">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4A854BA8">
        <w:tblPrEx>
          <w:tblCellMar>
            <w:top w:w="0" w:type="dxa"/>
            <w:left w:w="10" w:type="dxa"/>
            <w:bottom w:w="0" w:type="dxa"/>
            <w:right w:w="10" w:type="dxa"/>
          </w:tblCellMar>
        </w:tblPrEx>
        <w:trPr>
          <w:trHeight w:val="878" w:hRule="exact"/>
          <w:jc w:val="center"/>
        </w:trPr>
        <w:tc>
          <w:tcPr>
            <w:gridSpan w:val="2"/>
            <w:tcBorders>
              <w:top w:val="single" w:color="auto" w:sz="4" w:space="0"/>
              <w:left w:val="single" w:color="auto" w:sz="4" w:space="0"/>
            </w:tcBorders>
            <w:shd w:val="clear" w:color="auto" w:fill="FFFFFF"/>
            <w:vAlign w:val="top"/>
          </w:tcPr>
          <w:p w14:paraId="27C66FFD">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gridSpan w:val="4"/>
            <w:tcBorders>
              <w:top w:val="single" w:color="auto" w:sz="4" w:space="0"/>
              <w:left w:val="single" w:color="auto" w:sz="4" w:space="0"/>
            </w:tcBorders>
            <w:shd w:val="clear" w:color="auto" w:fill="FFFFFF"/>
            <w:vAlign w:val="top"/>
          </w:tcPr>
          <w:p w14:paraId="6FFA3C45">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tcBorders>
            <w:shd w:val="clear" w:color="auto" w:fill="FFFFFF"/>
            <w:vAlign w:val="top"/>
          </w:tcPr>
          <w:p w14:paraId="4AFA8A13">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gridSpan w:val="2"/>
            <w:tcBorders>
              <w:top w:val="single" w:color="auto" w:sz="4" w:space="0"/>
              <w:left w:val="single" w:color="auto" w:sz="4" w:space="0"/>
              <w:right w:val="single" w:color="auto" w:sz="4" w:space="0"/>
            </w:tcBorders>
            <w:shd w:val="clear" w:color="auto" w:fill="FFFFFF"/>
            <w:vAlign w:val="top"/>
          </w:tcPr>
          <w:p w14:paraId="73B51EB7">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2B174D9A">
        <w:tblPrEx>
          <w:tblCellMar>
            <w:top w:w="0" w:type="dxa"/>
            <w:left w:w="10" w:type="dxa"/>
            <w:bottom w:w="0" w:type="dxa"/>
            <w:right w:w="10" w:type="dxa"/>
          </w:tblCellMar>
        </w:tblPrEx>
        <w:trPr>
          <w:trHeight w:val="878" w:hRule="exact"/>
          <w:jc w:val="center"/>
        </w:trPr>
        <w:tc>
          <w:tcPr>
            <w:gridSpan w:val="2"/>
            <w:tcBorders>
              <w:top w:val="single" w:color="auto" w:sz="4" w:space="0"/>
              <w:left w:val="single" w:color="auto" w:sz="4" w:space="0"/>
            </w:tcBorders>
            <w:shd w:val="clear" w:color="auto" w:fill="FFFFFF"/>
            <w:vAlign w:val="top"/>
          </w:tcPr>
          <w:p w14:paraId="5F532D88">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gridSpan w:val="4"/>
            <w:tcBorders>
              <w:top w:val="single" w:color="auto" w:sz="4" w:space="0"/>
              <w:left w:val="single" w:color="auto" w:sz="4" w:space="0"/>
            </w:tcBorders>
            <w:shd w:val="clear" w:color="auto" w:fill="FFFFFF"/>
            <w:vAlign w:val="top"/>
          </w:tcPr>
          <w:p w14:paraId="65281726">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tcBorders>
            <w:shd w:val="clear" w:color="auto" w:fill="FFFFFF"/>
            <w:vAlign w:val="top"/>
          </w:tcPr>
          <w:p w14:paraId="0274B3D7">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gridSpan w:val="2"/>
            <w:tcBorders>
              <w:top w:val="single" w:color="auto" w:sz="4" w:space="0"/>
              <w:left w:val="single" w:color="auto" w:sz="4" w:space="0"/>
              <w:right w:val="single" w:color="auto" w:sz="4" w:space="0"/>
            </w:tcBorders>
            <w:shd w:val="clear" w:color="auto" w:fill="FFFFFF"/>
            <w:vAlign w:val="top"/>
          </w:tcPr>
          <w:p w14:paraId="46E840C7">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78CCDE3F">
        <w:tblPrEx>
          <w:tblCellMar>
            <w:top w:w="0" w:type="dxa"/>
            <w:left w:w="10" w:type="dxa"/>
            <w:bottom w:w="0" w:type="dxa"/>
            <w:right w:w="10" w:type="dxa"/>
          </w:tblCellMar>
        </w:tblPrEx>
        <w:trPr>
          <w:trHeight w:val="878" w:hRule="exact"/>
          <w:jc w:val="center"/>
        </w:trPr>
        <w:tc>
          <w:tcPr>
            <w:gridSpan w:val="2"/>
            <w:tcBorders>
              <w:top w:val="single" w:color="auto" w:sz="4" w:space="0"/>
              <w:left w:val="single" w:color="auto" w:sz="4" w:space="0"/>
            </w:tcBorders>
            <w:shd w:val="clear" w:color="auto" w:fill="FFFFFF"/>
            <w:vAlign w:val="top"/>
          </w:tcPr>
          <w:p w14:paraId="06FAE7A4">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gridSpan w:val="4"/>
            <w:tcBorders>
              <w:top w:val="single" w:color="auto" w:sz="4" w:space="0"/>
              <w:left w:val="single" w:color="auto" w:sz="4" w:space="0"/>
            </w:tcBorders>
            <w:shd w:val="clear" w:color="auto" w:fill="FFFFFF"/>
            <w:vAlign w:val="top"/>
          </w:tcPr>
          <w:p w14:paraId="0D38DBBB">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tcBorders>
            <w:shd w:val="clear" w:color="auto" w:fill="FFFFFF"/>
            <w:vAlign w:val="top"/>
          </w:tcPr>
          <w:p w14:paraId="5775C89F">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gridSpan w:val="2"/>
            <w:tcBorders>
              <w:top w:val="single" w:color="auto" w:sz="4" w:space="0"/>
              <w:left w:val="single" w:color="auto" w:sz="4" w:space="0"/>
              <w:right w:val="single" w:color="auto" w:sz="4" w:space="0"/>
            </w:tcBorders>
            <w:shd w:val="clear" w:color="auto" w:fill="FFFFFF"/>
            <w:vAlign w:val="top"/>
          </w:tcPr>
          <w:p w14:paraId="6FC817B3">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256D2604">
        <w:tblPrEx>
          <w:tblCellMar>
            <w:top w:w="0" w:type="dxa"/>
            <w:left w:w="10" w:type="dxa"/>
            <w:bottom w:w="0" w:type="dxa"/>
            <w:right w:w="10" w:type="dxa"/>
          </w:tblCellMar>
        </w:tblPrEx>
        <w:trPr>
          <w:trHeight w:val="878" w:hRule="exact"/>
          <w:jc w:val="center"/>
        </w:trPr>
        <w:tc>
          <w:tcPr>
            <w:gridSpan w:val="2"/>
            <w:tcBorders>
              <w:top w:val="single" w:color="auto" w:sz="4" w:space="0"/>
              <w:left w:val="single" w:color="auto" w:sz="4" w:space="0"/>
            </w:tcBorders>
            <w:shd w:val="clear" w:color="auto" w:fill="FFFFFF"/>
            <w:vAlign w:val="top"/>
          </w:tcPr>
          <w:p w14:paraId="142249FF">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gridSpan w:val="4"/>
            <w:tcBorders>
              <w:top w:val="single" w:color="auto" w:sz="4" w:space="0"/>
              <w:left w:val="single" w:color="auto" w:sz="4" w:space="0"/>
            </w:tcBorders>
            <w:shd w:val="clear" w:color="auto" w:fill="FFFFFF"/>
            <w:vAlign w:val="top"/>
          </w:tcPr>
          <w:p w14:paraId="35110541">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tcBorders>
            <w:shd w:val="clear" w:color="auto" w:fill="FFFFFF"/>
            <w:vAlign w:val="top"/>
          </w:tcPr>
          <w:p w14:paraId="5519E840">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gridSpan w:val="2"/>
            <w:tcBorders>
              <w:top w:val="single" w:color="auto" w:sz="4" w:space="0"/>
              <w:left w:val="single" w:color="auto" w:sz="4" w:space="0"/>
              <w:right w:val="single" w:color="auto" w:sz="4" w:space="0"/>
            </w:tcBorders>
            <w:shd w:val="clear" w:color="auto" w:fill="FFFFFF"/>
            <w:vAlign w:val="top"/>
          </w:tcPr>
          <w:p w14:paraId="1971CF07">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14:paraId="1CBEA3E5">
        <w:tblPrEx>
          <w:tblCellMar>
            <w:top w:w="0" w:type="dxa"/>
            <w:left w:w="10" w:type="dxa"/>
            <w:bottom w:w="0" w:type="dxa"/>
            <w:right w:w="10" w:type="dxa"/>
          </w:tblCellMar>
        </w:tblPrEx>
        <w:trPr>
          <w:trHeight w:val="902" w:hRule="exact"/>
          <w:jc w:val="center"/>
        </w:trPr>
        <w:tc>
          <w:tcPr>
            <w:gridSpan w:val="2"/>
            <w:tcBorders>
              <w:top w:val="single" w:color="auto" w:sz="4" w:space="0"/>
              <w:left w:val="single" w:color="auto" w:sz="4" w:space="0"/>
              <w:bottom w:val="single" w:color="auto" w:sz="4" w:space="0"/>
            </w:tcBorders>
            <w:shd w:val="clear" w:color="auto" w:fill="FFFFFF"/>
            <w:vAlign w:val="top"/>
          </w:tcPr>
          <w:p w14:paraId="7A2B4444">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gridSpan w:val="4"/>
            <w:tcBorders>
              <w:top w:val="single" w:color="auto" w:sz="4" w:space="0"/>
              <w:left w:val="single" w:color="auto" w:sz="4" w:space="0"/>
              <w:bottom w:val="single" w:color="auto" w:sz="4" w:space="0"/>
            </w:tcBorders>
            <w:shd w:val="clear" w:color="auto" w:fill="FFFFFF"/>
            <w:vAlign w:val="top"/>
          </w:tcPr>
          <w:p w14:paraId="1C35A14A">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Borders>
              <w:top w:val="single" w:color="auto" w:sz="4" w:space="0"/>
              <w:left w:val="single" w:color="auto" w:sz="4" w:space="0"/>
              <w:bottom w:val="single" w:color="auto" w:sz="4" w:space="0"/>
            </w:tcBorders>
            <w:shd w:val="clear" w:color="auto" w:fill="FFFFFF"/>
            <w:vAlign w:val="top"/>
          </w:tcPr>
          <w:p w14:paraId="1CC49F0A">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gridSpan w:val="2"/>
            <w:tcBorders>
              <w:top w:val="single" w:color="auto" w:sz="4" w:space="0"/>
              <w:left w:val="single" w:color="auto" w:sz="4" w:space="0"/>
              <w:bottom w:val="single" w:color="auto" w:sz="4" w:space="0"/>
              <w:right w:val="single" w:color="auto" w:sz="4" w:space="0"/>
            </w:tcBorders>
            <w:shd w:val="clear" w:color="auto" w:fill="FFFFFF"/>
            <w:vAlign w:val="top"/>
          </w:tcPr>
          <w:p w14:paraId="2BCD75EE">
            <w:pPr>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bl>
    <w:p w14:paraId="414F2805">
      <w:pPr>
        <w:keepNext w:val="0"/>
        <w:keepLines w:val="0"/>
        <w:pageBreakBefore w:val="0"/>
        <w:widowControl/>
        <w:suppressLineNumbers w:val="0"/>
        <w:kinsoku/>
        <w:wordWrap/>
        <w:overflowPunct/>
        <w:topLinePunct w:val="0"/>
        <w:autoSpaceDE/>
        <w:autoSpaceDN/>
        <w:bidi w:val="0"/>
        <w:adjustRightInd/>
        <w:snapToGrid/>
        <w:spacing w:line="440" w:lineRule="exact"/>
        <w:ind w:left="-420" w:leftChars="-200" w:right="-512" w:rightChars="-244" w:firstLine="0" w:firstLineChars="0"/>
        <w:jc w:val="both"/>
        <w:textAlignment w:val="auto"/>
        <w:rPr>
          <w:rFonts w:hint="eastAsia" w:asciiTheme="minorEastAsia" w:hAnsiTheme="minorEastAsia" w:eastAsiaTheme="minorEastAsia" w:cstheme="minorEastAsia"/>
          <w:color w:val="000000" w:themeColor="text1"/>
          <w:spacing w:val="0"/>
          <w:w w:val="100"/>
          <w:position w:val="0"/>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注：供应商应根据供应商须知前附表第</w:t>
      </w:r>
      <w:r>
        <w:rPr>
          <w:rFonts w:hint="eastAsia" w:asciiTheme="minorEastAsia" w:hAnsiTheme="minorEastAsia" w:eastAsiaTheme="minorEastAsia" w:cstheme="minorEastAsia"/>
          <w:color w:val="000000" w:themeColor="text1"/>
          <w:spacing w:val="0"/>
          <w:w w:val="100"/>
          <w:position w:val="0"/>
          <w:sz w:val="24"/>
          <w:szCs w:val="24"/>
          <w:lang w:val="en-US" w:eastAsia="en-US" w:bidi="en-US"/>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position w:val="0"/>
          <w:sz w:val="24"/>
          <w:szCs w:val="24"/>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)项的要求在本表后附相关证明材料</w:t>
      </w:r>
      <w:r>
        <w:rPr>
          <w:rFonts w:hint="eastAsia" w:asciiTheme="minorEastAsia" w:hAnsiTheme="minorEastAsia" w:eastAsiaTheme="minorEastAsia" w:cstheme="minorEastAsia"/>
          <w:color w:val="000000" w:themeColor="text1"/>
          <w:spacing w:val="0"/>
          <w:w w:val="100"/>
          <w:position w:val="0"/>
          <w:sz w:val="24"/>
          <w:szCs w:val="24"/>
          <w:lang w:eastAsia="zh-CN"/>
          <w14:textFill>
            <w14:solidFill>
              <w14:schemeClr w14:val="tx1"/>
            </w14:solidFill>
          </w14:textFill>
        </w:rPr>
        <w:t>。</w:t>
      </w:r>
    </w:p>
    <w:p w14:paraId="2647FCE2">
      <w:pPr>
        <w:pageBreakBefore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bCs/>
          <w:color w:val="000000" w:themeColor="text1"/>
          <w:spacing w:val="0"/>
          <w:w w:val="100"/>
          <w:position w:val="0"/>
          <w:sz w:val="30"/>
          <w:szCs w:val="30"/>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0"/>
          <w:szCs w:val="20"/>
          <w:lang w:eastAsia="zh-CN"/>
          <w14:textFill>
            <w14:solidFill>
              <w14:schemeClr w14:val="tx1"/>
            </w14:solidFill>
          </w14:textFill>
        </w:rPr>
        <w:br w:type="page"/>
      </w:r>
    </w:p>
    <w:p w14:paraId="501944C7">
      <w:pPr>
        <w:pStyle w:val="2"/>
        <w:numPr>
          <w:ilvl w:val="0"/>
          <w:numId w:val="0"/>
        </w:numPr>
        <w:bidi w:val="0"/>
        <w:jc w:val="center"/>
        <w:rPr>
          <w:rFonts w:hint="eastAsia" w:asciiTheme="minorEastAsia" w:hAnsiTheme="minorEastAsia" w:eastAsiaTheme="minorEastAsia" w:cstheme="minorEastAsia"/>
          <w:b w:val="0"/>
          <w:bCs/>
          <w:color w:val="000000" w:themeColor="text1"/>
          <w:sz w:val="32"/>
          <w:szCs w:val="32"/>
          <w:lang w:val="en-US" w:eastAsia="en-US"/>
          <w14:textFill>
            <w14:solidFill>
              <w14:schemeClr w14:val="tx1"/>
            </w14:solidFill>
          </w14:textFill>
        </w:rPr>
      </w:pPr>
      <w:bookmarkStart w:id="297" w:name="bookmark814"/>
      <w:bookmarkStart w:id="298" w:name="bookmark815"/>
      <w:bookmarkStart w:id="299" w:name="_Toc5025"/>
      <w:bookmarkStart w:id="300" w:name="_Toc8097"/>
      <w:bookmarkStart w:id="301" w:name="_Toc20631"/>
      <w:bookmarkStart w:id="302" w:name="bookmark816"/>
      <w:bookmarkStart w:id="303" w:name="_Toc19548"/>
      <w:r>
        <w:rPr>
          <w:rFonts w:hint="eastAsia"/>
          <w:b w:val="0"/>
          <w:bCs/>
          <w:color w:val="000000" w:themeColor="text1"/>
          <w:sz w:val="32"/>
          <w:szCs w:val="32"/>
          <w:lang w:val="en-US" w:eastAsia="zh-CN"/>
          <w14:textFill>
            <w14:solidFill>
              <w14:schemeClr w14:val="tx1"/>
            </w14:solidFill>
          </w14:textFill>
        </w:rPr>
        <w:t>六、施工方案</w:t>
      </w:r>
      <w:bookmarkEnd w:id="297"/>
      <w:bookmarkEnd w:id="298"/>
      <w:bookmarkEnd w:id="299"/>
      <w:bookmarkEnd w:id="300"/>
      <w:bookmarkEnd w:id="301"/>
      <w:bookmarkEnd w:id="302"/>
      <w:bookmarkEnd w:id="303"/>
    </w:p>
    <w:p w14:paraId="1F3CF934">
      <w:pPr>
        <w:pStyle w:val="50"/>
        <w:spacing w:line="440" w:lineRule="exact"/>
        <w:ind w:left="0" w:leftChars="0" w:firstLine="0" w:firstLineChars="0"/>
        <w:rPr>
          <w:rFonts w:hint="eastAsia" w:asciiTheme="minorHAnsi" w:hAnsiTheme="minorHAnsi" w:eastAsiaTheme="minorEastAsia" w:cstheme="minorBidi"/>
          <w:b w:val="0"/>
          <w:bCs w:val="0"/>
          <w:kern w:val="2"/>
          <w:sz w:val="24"/>
          <w:szCs w:val="32"/>
          <w:lang w:val="en-US" w:eastAsia="zh-CN" w:bidi="ar-SA"/>
        </w:rPr>
      </w:pPr>
      <w:bookmarkStart w:id="304" w:name="_Toc11254"/>
      <w:bookmarkStart w:id="305" w:name="bookmark827"/>
      <w:bookmarkStart w:id="306" w:name="bookmark826"/>
      <w:bookmarkStart w:id="307" w:name="bookmark828"/>
      <w:bookmarkStart w:id="308" w:name="_Toc16137"/>
      <w:r>
        <w:rPr>
          <w:rFonts w:hint="eastAsia" w:asciiTheme="minorHAnsi" w:hAnsiTheme="minorHAnsi" w:eastAsiaTheme="minorEastAsia" w:cstheme="minorBidi"/>
          <w:b w:val="0"/>
          <w:bCs w:val="0"/>
          <w:kern w:val="2"/>
          <w:sz w:val="24"/>
          <w:szCs w:val="32"/>
          <w:lang w:val="en-US" w:eastAsia="zh-CN" w:bidi="ar-SA"/>
        </w:rPr>
        <w:t>投标人应按文件要求编制施工组织设计（格式自拟）：</w:t>
      </w:r>
    </w:p>
    <w:p w14:paraId="73D78E96">
      <w:pPr>
        <w:rPr>
          <w:rFonts w:hint="eastAsia"/>
          <w:b w:val="0"/>
          <w:bCs/>
          <w:color w:val="000000" w:themeColor="text1"/>
          <w:sz w:val="32"/>
          <w:szCs w:val="32"/>
          <w:lang w:val="en-US" w:eastAsia="zh-CN"/>
          <w14:textFill>
            <w14:solidFill>
              <w14:schemeClr w14:val="tx1"/>
            </w14:solidFill>
          </w14:textFill>
        </w:rPr>
      </w:pPr>
    </w:p>
    <w:p w14:paraId="3775630B">
      <w:pPr>
        <w:rPr>
          <w:rFonts w:hint="eastAsia"/>
          <w:b w:val="0"/>
          <w:bCs/>
          <w:color w:val="000000" w:themeColor="text1"/>
          <w:sz w:val="32"/>
          <w:szCs w:val="32"/>
          <w:lang w:val="en-US" w:eastAsia="zh-CN"/>
          <w14:textFill>
            <w14:solidFill>
              <w14:schemeClr w14:val="tx1"/>
            </w14:solidFill>
          </w14:textFill>
        </w:rPr>
      </w:pPr>
      <w:r>
        <w:rPr>
          <w:rFonts w:hint="eastAsia"/>
          <w:b w:val="0"/>
          <w:bCs/>
          <w:color w:val="000000" w:themeColor="text1"/>
          <w:sz w:val="32"/>
          <w:szCs w:val="32"/>
          <w:lang w:val="en-US" w:eastAsia="zh-CN"/>
          <w14:textFill>
            <w14:solidFill>
              <w14:schemeClr w14:val="tx1"/>
            </w14:solidFill>
          </w14:textFill>
        </w:rPr>
        <w:br w:type="page"/>
      </w:r>
    </w:p>
    <w:p w14:paraId="717A643D">
      <w:pPr>
        <w:pStyle w:val="2"/>
        <w:numPr>
          <w:ilvl w:val="0"/>
          <w:numId w:val="0"/>
        </w:numPr>
        <w:bidi w:val="0"/>
        <w:jc w:val="center"/>
        <w:rPr>
          <w:rFonts w:hint="eastAsia"/>
          <w:b w:val="0"/>
          <w:bCs/>
          <w:color w:val="000000" w:themeColor="text1"/>
          <w:sz w:val="32"/>
          <w:szCs w:val="32"/>
          <w:lang w:val="en-US" w:eastAsia="zh-CN"/>
          <w14:textFill>
            <w14:solidFill>
              <w14:schemeClr w14:val="tx1"/>
            </w14:solidFill>
          </w14:textFill>
        </w:rPr>
      </w:pPr>
      <w:bookmarkStart w:id="309" w:name="_Toc3570"/>
      <w:bookmarkStart w:id="310" w:name="_Toc629"/>
      <w:r>
        <w:rPr>
          <w:rFonts w:hint="eastAsia"/>
          <w:b w:val="0"/>
          <w:bCs/>
          <w:color w:val="000000" w:themeColor="text1"/>
          <w:sz w:val="32"/>
          <w:szCs w:val="32"/>
          <w:lang w:val="en-US" w:eastAsia="zh-CN"/>
          <w14:textFill>
            <w14:solidFill>
              <w14:schemeClr w14:val="tx1"/>
            </w14:solidFill>
          </w14:textFill>
        </w:rPr>
        <w:t>七、其他资料</w:t>
      </w:r>
      <w:bookmarkEnd w:id="304"/>
      <w:bookmarkEnd w:id="305"/>
      <w:bookmarkEnd w:id="306"/>
      <w:bookmarkEnd w:id="307"/>
      <w:bookmarkEnd w:id="308"/>
      <w:bookmarkEnd w:id="309"/>
      <w:bookmarkEnd w:id="310"/>
    </w:p>
    <w:p w14:paraId="19B26D5D">
      <w:pPr>
        <w:pStyle w:val="29"/>
        <w:keepNext w:val="0"/>
        <w:keepLines w:val="0"/>
        <w:pageBreakBefore w:val="0"/>
        <w:widowControl w:val="0"/>
        <w:numPr>
          <w:ilvl w:val="0"/>
          <w:numId w:val="0"/>
        </w:numPr>
        <w:shd w:val="clear" w:color="auto" w:fill="auto"/>
        <w:tabs>
          <w:tab w:val="left" w:pos="1151"/>
        </w:tabs>
        <w:kinsoku/>
        <w:wordWrap/>
        <w:overflowPunct/>
        <w:topLinePunct w:val="0"/>
        <w:autoSpaceDE/>
        <w:autoSpaceDN/>
        <w:bidi w:val="0"/>
        <w:adjustRightInd/>
        <w:snapToGrid/>
        <w:spacing w:before="0" w:after="100" w:line="440" w:lineRule="exact"/>
        <w:ind w:right="0" w:rightChars="0"/>
        <w:jc w:val="left"/>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4"/>
          <w:szCs w:val="24"/>
          <w14:textFill>
            <w14:solidFill>
              <w14:schemeClr w14:val="tx1"/>
            </w14:solidFill>
          </w14:textFill>
        </w:rPr>
        <w:t>供应商需提交的其他资料</w:t>
      </w:r>
      <w:r>
        <w:rPr>
          <w:rFonts w:hint="eastAsia" w:asciiTheme="minorEastAsia" w:hAnsiTheme="minorEastAsia" w:eastAsiaTheme="minorEastAsia" w:cstheme="minorEastAsia"/>
          <w:color w:val="000000" w:themeColor="text1"/>
          <w:spacing w:val="0"/>
          <w:w w:val="100"/>
          <w:position w:val="0"/>
          <w:sz w:val="24"/>
          <w:szCs w:val="24"/>
          <w:lang w:eastAsia="zh-CN"/>
          <w14:textFill>
            <w14:solidFill>
              <w14:schemeClr w14:val="tx1"/>
            </w14:solidFill>
          </w14:textFill>
        </w:rPr>
        <w:t>。</w:t>
      </w:r>
    </w:p>
    <w:p w14:paraId="643D2D3D">
      <w:pPr>
        <w:pageBreakBefore w:val="0"/>
        <w:numPr>
          <w:ilvl w:val="0"/>
          <w:numId w:val="0"/>
        </w:numPr>
        <w:kinsoku/>
        <w:wordWrap/>
        <w:overflowPunct/>
        <w:topLinePunct w:val="0"/>
        <w:autoSpaceDE/>
        <w:autoSpaceDN/>
        <w:bidi w:val="0"/>
        <w:adjustRightInd/>
        <w:snapToGrid/>
        <w:spacing w:line="440" w:lineRule="exact"/>
        <w:ind w:leftChars="-200" w:right="-512" w:rightChars="-244"/>
        <w:jc w:val="both"/>
        <w:textAlignment w:val="auto"/>
        <w:rPr>
          <w:rFonts w:hint="eastAsia" w:asciiTheme="minorEastAsia" w:hAnsiTheme="minorEastAsia" w:eastAsiaTheme="minorEastAsia" w:cstheme="minorEastAsia"/>
          <w:color w:val="000000" w:themeColor="text1"/>
          <w:spacing w:val="0"/>
          <w:w w:val="100"/>
          <w:position w:val="0"/>
          <w:sz w:val="30"/>
          <w:szCs w:val="30"/>
          <w14:textFill>
            <w14:solidFill>
              <w14:schemeClr w14:val="tx1"/>
            </w14:solidFill>
          </w14:textFill>
        </w:rPr>
      </w:pPr>
      <w:bookmarkStart w:id="311" w:name="bookmark825"/>
      <w:bookmarkEnd w:id="311"/>
    </w:p>
    <w:p w14:paraId="4CFEB4F4">
      <w:pPr>
        <w:rPr>
          <w:rFonts w:ascii="Calibri" w:hAnsi="Calibri" w:eastAsia="宋体" w:cs="Times New Roman"/>
          <w:color w:val="000000" w:themeColor="text1"/>
          <w:highlight w:val="none"/>
          <w14:textFill>
            <w14:solidFill>
              <w14:schemeClr w14:val="tx1"/>
            </w14:solidFill>
          </w14:textFill>
        </w:rPr>
      </w:pPr>
    </w:p>
    <w:bookmarkEnd w:id="217"/>
    <w:bookmarkEnd w:id="218"/>
    <w:bookmarkEnd w:id="219"/>
    <w:bookmarkEnd w:id="220"/>
    <w:p w14:paraId="04C2D53A">
      <w:pPr>
        <w:rPr>
          <w:rFonts w:hint="eastAsia" w:asciiTheme="minorEastAsia" w:hAnsiTheme="minorEastAsia" w:eastAsiaTheme="minorEastAsia" w:cstheme="minorEastAsia"/>
          <w:b/>
          <w:bCs/>
          <w:color w:val="000000" w:themeColor="text1"/>
          <w:sz w:val="36"/>
          <w:szCs w:val="36"/>
          <w:highlight w:val="none"/>
          <w:u w:val="none"/>
          <w:lang w:val="en-US" w:eastAsia="zh-CN"/>
          <w14:textFill>
            <w14:solidFill>
              <w14:schemeClr w14:val="tx1"/>
            </w14:solidFill>
          </w14:textFill>
        </w:rPr>
      </w:pPr>
    </w:p>
    <w:sectPr>
      <w:pgSz w:w="11906" w:h="16838"/>
      <w:pgMar w:top="1440" w:right="1800" w:bottom="1440" w:left="1800"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E62CF">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9461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946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96178">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74.5pt;width:144pt;mso-position-horizontal:center;mso-position-horizontal-relative:margin;mso-wrap-style:none;z-index:251667456;mso-width-relative:page;mso-height-relative:page;" filled="f" stroked="f" coordsize="21600,21600" o:gfxdata="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fouJa1AAAAAUBAAAPAAAAAAAAAAEAIAAAACIAAABkcnMvZG93bnJldi54bWxQ&#10;SwECFAAUAAAACACHTuJAhNgM3TQCAABgBAAADgAAAAAAAAABACAAAAAjAQAAZHJzL2Uyb0RvYy54&#10;bWxQSwUGAAAAAAYABgBZAQAAyQUAAAAA&#10;">
              <v:fill on="f" focussize="0,0"/>
              <v:stroke on="f" weight="0.5pt"/>
              <v:imagedata o:title=""/>
              <o:lock v:ext="edit" aspectratio="f"/>
              <v:textbox inset="0mm,0mm,0mm,0mm">
                <w:txbxContent>
                  <w:p w14:paraId="66596178">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8F62A">
    <w:pPr>
      <w:pStyle w:val="14"/>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8F0181">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38F0181">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B86D2">
    <w:pPr>
      <w:pStyle w:val="14"/>
      <w:ind w:firstLine="180" w:firstLineChars="100"/>
      <w:rPr>
        <w:rFonts w:hint="default"/>
        <w:lang w:val="en-US"/>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79A8D">
                          <w:pPr>
                            <w:pStyle w:val="14"/>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D679A8D">
                    <w:pPr>
                      <w:pStyle w:val="14"/>
                    </w:pPr>
                    <w:r>
                      <w:fldChar w:fldCharType="begin"/>
                    </w:r>
                    <w:r>
                      <w:instrText xml:space="preserve"> PAGE  \* MERGEFORMAT </w:instrText>
                    </w:r>
                    <w:r>
                      <w:fldChar w:fldCharType="separate"/>
                    </w:r>
                    <w:r>
                      <w:t>124</w:t>
                    </w:r>
                    <w:r>
                      <w:fldChar w:fldCharType="end"/>
                    </w:r>
                  </w:p>
                </w:txbxContent>
              </v:textbox>
            </v:shape>
          </w:pict>
        </mc:Fallback>
      </mc:AlternateContent>
    </w: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0D79A">
    <w:pPr>
      <w:pStyle w:val="15"/>
      <w:pBdr>
        <w:bottom w:val="none" w:color="auto" w:sz="0" w:space="1"/>
      </w:pBdr>
      <w:rPr>
        <w:rFonts w:hint="eastAsia"/>
        <w:lang w:val="en-US" w:eastAsia="zh-CN"/>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895945"/>
    <w:multiLevelType w:val="singleLevel"/>
    <w:tmpl w:val="03895945"/>
    <w:lvl w:ilvl="0" w:tentative="0">
      <w:start w:val="2"/>
      <w:numFmt w:val="decimal"/>
      <w:lvlText w:val="%1."/>
      <w:lvlJc w:val="left"/>
      <w:pPr>
        <w:tabs>
          <w:tab w:val="left" w:pos="312"/>
        </w:tabs>
      </w:pPr>
    </w:lvl>
  </w:abstractNum>
  <w:abstractNum w:abstractNumId="1">
    <w:nsid w:val="5FCE4367"/>
    <w:multiLevelType w:val="singleLevel"/>
    <w:tmpl w:val="5FCE4367"/>
    <w:lvl w:ilvl="0" w:tentative="0">
      <w:start w:val="1"/>
      <w:numFmt w:val="ideographDigital"/>
      <w:lvlText w:val="(%1)"/>
      <w:lvlJc w:val="left"/>
      <w:rPr>
        <w:rFonts w:ascii="宋体" w:hAnsi="宋体" w:eastAsia="宋体" w:cs="宋体"/>
        <w:b w:val="0"/>
        <w:bCs w:val="0"/>
        <w:i w:val="0"/>
        <w:iCs w:val="0"/>
        <w:smallCaps w:val="0"/>
        <w:strike w:val="0"/>
        <w:color w:val="000000"/>
        <w:spacing w:val="0"/>
        <w:w w:val="100"/>
        <w:position w:val="0"/>
        <w:sz w:val="30"/>
        <w:szCs w:val="30"/>
        <w:u w:val="none"/>
        <w:shd w:val="clear" w:color="auto" w:fill="auto"/>
        <w:lang w:val="zh-TW" w:eastAsia="zh-TW" w:bidi="zh-TW"/>
      </w:rPr>
    </w:lvl>
  </w:abstractNum>
  <w:abstractNum w:abstractNumId="2">
    <w:nsid w:val="63DE72EA"/>
    <w:multiLevelType w:val="singleLevel"/>
    <w:tmpl w:val="63DE72EA"/>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zOGQxMjI3ODQ5MzdmZGM3OTcwNjJjNTNkZDNiMTIifQ=="/>
  </w:docVars>
  <w:rsids>
    <w:rsidRoot w:val="52226305"/>
    <w:rsid w:val="001000FD"/>
    <w:rsid w:val="002D0294"/>
    <w:rsid w:val="0073007C"/>
    <w:rsid w:val="0073385E"/>
    <w:rsid w:val="00AF36C1"/>
    <w:rsid w:val="012A2D3C"/>
    <w:rsid w:val="014275B3"/>
    <w:rsid w:val="014F40A1"/>
    <w:rsid w:val="016A126C"/>
    <w:rsid w:val="01821914"/>
    <w:rsid w:val="01A5284E"/>
    <w:rsid w:val="01EF7662"/>
    <w:rsid w:val="01FD5FE8"/>
    <w:rsid w:val="02011F93"/>
    <w:rsid w:val="02064E34"/>
    <w:rsid w:val="0211090E"/>
    <w:rsid w:val="026B16B7"/>
    <w:rsid w:val="02F470A2"/>
    <w:rsid w:val="031159BC"/>
    <w:rsid w:val="032C3091"/>
    <w:rsid w:val="032F117A"/>
    <w:rsid w:val="032F5C5B"/>
    <w:rsid w:val="037648FB"/>
    <w:rsid w:val="037C4323"/>
    <w:rsid w:val="03960557"/>
    <w:rsid w:val="03C81F81"/>
    <w:rsid w:val="03C9393C"/>
    <w:rsid w:val="03D83300"/>
    <w:rsid w:val="03E931A9"/>
    <w:rsid w:val="03F40DED"/>
    <w:rsid w:val="03FB6858"/>
    <w:rsid w:val="040704A5"/>
    <w:rsid w:val="045C5FCD"/>
    <w:rsid w:val="0461476A"/>
    <w:rsid w:val="04661B9F"/>
    <w:rsid w:val="048017F0"/>
    <w:rsid w:val="04AF424E"/>
    <w:rsid w:val="04D46B3B"/>
    <w:rsid w:val="04E207AA"/>
    <w:rsid w:val="04EC7DF2"/>
    <w:rsid w:val="04F25B3F"/>
    <w:rsid w:val="04FA233C"/>
    <w:rsid w:val="05224131"/>
    <w:rsid w:val="05412A5E"/>
    <w:rsid w:val="054D6B5C"/>
    <w:rsid w:val="0580239E"/>
    <w:rsid w:val="063042BF"/>
    <w:rsid w:val="065F14C3"/>
    <w:rsid w:val="06963384"/>
    <w:rsid w:val="06C56BD3"/>
    <w:rsid w:val="06E44A33"/>
    <w:rsid w:val="06EB40A6"/>
    <w:rsid w:val="07055BEE"/>
    <w:rsid w:val="07287718"/>
    <w:rsid w:val="07516F96"/>
    <w:rsid w:val="07850B5E"/>
    <w:rsid w:val="07935887"/>
    <w:rsid w:val="07BE54E7"/>
    <w:rsid w:val="07C670EF"/>
    <w:rsid w:val="07C80753"/>
    <w:rsid w:val="07C96164"/>
    <w:rsid w:val="07E524F7"/>
    <w:rsid w:val="07EB2D68"/>
    <w:rsid w:val="07FB12DF"/>
    <w:rsid w:val="080A71B9"/>
    <w:rsid w:val="0832243E"/>
    <w:rsid w:val="084725B5"/>
    <w:rsid w:val="084C5688"/>
    <w:rsid w:val="084F575D"/>
    <w:rsid w:val="08582F69"/>
    <w:rsid w:val="08A748F7"/>
    <w:rsid w:val="09354C1C"/>
    <w:rsid w:val="093F5188"/>
    <w:rsid w:val="096948AB"/>
    <w:rsid w:val="096B4234"/>
    <w:rsid w:val="09A4339E"/>
    <w:rsid w:val="09BF555D"/>
    <w:rsid w:val="09C52EE9"/>
    <w:rsid w:val="09E63FAA"/>
    <w:rsid w:val="0A032331"/>
    <w:rsid w:val="0A687D68"/>
    <w:rsid w:val="0A7A2D42"/>
    <w:rsid w:val="0AA66742"/>
    <w:rsid w:val="0AD03D3D"/>
    <w:rsid w:val="0AD248AB"/>
    <w:rsid w:val="0AD42054"/>
    <w:rsid w:val="0AEA0A36"/>
    <w:rsid w:val="0B2A69C1"/>
    <w:rsid w:val="0B334E65"/>
    <w:rsid w:val="0B641C19"/>
    <w:rsid w:val="0B666A92"/>
    <w:rsid w:val="0B860FBD"/>
    <w:rsid w:val="0B8F2E3A"/>
    <w:rsid w:val="0BB83D24"/>
    <w:rsid w:val="0BC85101"/>
    <w:rsid w:val="0C011A05"/>
    <w:rsid w:val="0C113809"/>
    <w:rsid w:val="0C152235"/>
    <w:rsid w:val="0C2C7CC2"/>
    <w:rsid w:val="0CE76CF9"/>
    <w:rsid w:val="0D1360A0"/>
    <w:rsid w:val="0D674460"/>
    <w:rsid w:val="0D817E52"/>
    <w:rsid w:val="0DCB5384"/>
    <w:rsid w:val="0DDC3207"/>
    <w:rsid w:val="0DE34399"/>
    <w:rsid w:val="0E367645"/>
    <w:rsid w:val="0E3B69A1"/>
    <w:rsid w:val="0E655DDB"/>
    <w:rsid w:val="0E845831"/>
    <w:rsid w:val="0EBD4BDB"/>
    <w:rsid w:val="0F336E36"/>
    <w:rsid w:val="0F387D12"/>
    <w:rsid w:val="0F3B05EC"/>
    <w:rsid w:val="0F9B2A24"/>
    <w:rsid w:val="0FA053DC"/>
    <w:rsid w:val="0FAF7EC3"/>
    <w:rsid w:val="0FBE1511"/>
    <w:rsid w:val="100B0FA5"/>
    <w:rsid w:val="104A685F"/>
    <w:rsid w:val="105F3771"/>
    <w:rsid w:val="106A44DC"/>
    <w:rsid w:val="10857989"/>
    <w:rsid w:val="10887D92"/>
    <w:rsid w:val="10C00F92"/>
    <w:rsid w:val="10C83867"/>
    <w:rsid w:val="10FB238E"/>
    <w:rsid w:val="11637025"/>
    <w:rsid w:val="118C4161"/>
    <w:rsid w:val="11BD0FE9"/>
    <w:rsid w:val="11C917F8"/>
    <w:rsid w:val="11DE0D64"/>
    <w:rsid w:val="123B7890"/>
    <w:rsid w:val="123E400D"/>
    <w:rsid w:val="124236BA"/>
    <w:rsid w:val="12534ACC"/>
    <w:rsid w:val="12696DA4"/>
    <w:rsid w:val="12B52FAE"/>
    <w:rsid w:val="12B928A3"/>
    <w:rsid w:val="12CE66EB"/>
    <w:rsid w:val="12F23B36"/>
    <w:rsid w:val="13057FA2"/>
    <w:rsid w:val="133D116E"/>
    <w:rsid w:val="134F43A7"/>
    <w:rsid w:val="1370454D"/>
    <w:rsid w:val="137951D8"/>
    <w:rsid w:val="13F7028C"/>
    <w:rsid w:val="14025832"/>
    <w:rsid w:val="14322C4E"/>
    <w:rsid w:val="14CB1CA5"/>
    <w:rsid w:val="14DC36FC"/>
    <w:rsid w:val="1526186C"/>
    <w:rsid w:val="15363694"/>
    <w:rsid w:val="154430F5"/>
    <w:rsid w:val="155E1736"/>
    <w:rsid w:val="157C0CAF"/>
    <w:rsid w:val="15942A2F"/>
    <w:rsid w:val="15A120DE"/>
    <w:rsid w:val="15ED236A"/>
    <w:rsid w:val="163F6A38"/>
    <w:rsid w:val="16523DB5"/>
    <w:rsid w:val="16534618"/>
    <w:rsid w:val="166C33F2"/>
    <w:rsid w:val="16754C6B"/>
    <w:rsid w:val="16780CF9"/>
    <w:rsid w:val="167855AA"/>
    <w:rsid w:val="16AE5895"/>
    <w:rsid w:val="16D611B2"/>
    <w:rsid w:val="170263CA"/>
    <w:rsid w:val="172F0E02"/>
    <w:rsid w:val="173450D2"/>
    <w:rsid w:val="173A0A3E"/>
    <w:rsid w:val="17514870"/>
    <w:rsid w:val="17524123"/>
    <w:rsid w:val="17DA270E"/>
    <w:rsid w:val="180B37B0"/>
    <w:rsid w:val="182E5E8C"/>
    <w:rsid w:val="184E1928"/>
    <w:rsid w:val="1862353C"/>
    <w:rsid w:val="18697447"/>
    <w:rsid w:val="188B7CF8"/>
    <w:rsid w:val="189045B8"/>
    <w:rsid w:val="18BA7315"/>
    <w:rsid w:val="18F342D6"/>
    <w:rsid w:val="193749C5"/>
    <w:rsid w:val="19902F89"/>
    <w:rsid w:val="19C269F3"/>
    <w:rsid w:val="19DD43CE"/>
    <w:rsid w:val="1A282D07"/>
    <w:rsid w:val="1A6102CE"/>
    <w:rsid w:val="1ABA1298"/>
    <w:rsid w:val="1AEA145D"/>
    <w:rsid w:val="1B92190E"/>
    <w:rsid w:val="1BEE1466"/>
    <w:rsid w:val="1C015759"/>
    <w:rsid w:val="1C2F48A6"/>
    <w:rsid w:val="1C4A4A1C"/>
    <w:rsid w:val="1C5832EC"/>
    <w:rsid w:val="1C6126AF"/>
    <w:rsid w:val="1CB6410F"/>
    <w:rsid w:val="1CBB4733"/>
    <w:rsid w:val="1D91066D"/>
    <w:rsid w:val="1D962111"/>
    <w:rsid w:val="1DA465B3"/>
    <w:rsid w:val="1E2A4B14"/>
    <w:rsid w:val="1E792D87"/>
    <w:rsid w:val="1EA1551B"/>
    <w:rsid w:val="1EBC7762"/>
    <w:rsid w:val="1ECA0762"/>
    <w:rsid w:val="1EDC1545"/>
    <w:rsid w:val="1EE43423"/>
    <w:rsid w:val="1F161856"/>
    <w:rsid w:val="1F403189"/>
    <w:rsid w:val="1F5A4A6B"/>
    <w:rsid w:val="1F8000EA"/>
    <w:rsid w:val="1F8C0F87"/>
    <w:rsid w:val="1FA40D84"/>
    <w:rsid w:val="1FF65846"/>
    <w:rsid w:val="20414359"/>
    <w:rsid w:val="206770AC"/>
    <w:rsid w:val="206B609A"/>
    <w:rsid w:val="2072524E"/>
    <w:rsid w:val="20C07572"/>
    <w:rsid w:val="20C7062A"/>
    <w:rsid w:val="21234BC6"/>
    <w:rsid w:val="2133092B"/>
    <w:rsid w:val="21785390"/>
    <w:rsid w:val="218423BC"/>
    <w:rsid w:val="218D3B7D"/>
    <w:rsid w:val="21AD6D40"/>
    <w:rsid w:val="21CA2C1F"/>
    <w:rsid w:val="22053C04"/>
    <w:rsid w:val="221E7528"/>
    <w:rsid w:val="22286EE9"/>
    <w:rsid w:val="22467C78"/>
    <w:rsid w:val="22715C85"/>
    <w:rsid w:val="229972C4"/>
    <w:rsid w:val="22AE156A"/>
    <w:rsid w:val="22BB17ED"/>
    <w:rsid w:val="22C07D24"/>
    <w:rsid w:val="233C55FE"/>
    <w:rsid w:val="23517938"/>
    <w:rsid w:val="236B6074"/>
    <w:rsid w:val="237B512F"/>
    <w:rsid w:val="2389378E"/>
    <w:rsid w:val="23F039BA"/>
    <w:rsid w:val="23FB1B3C"/>
    <w:rsid w:val="247E01A5"/>
    <w:rsid w:val="248B64D8"/>
    <w:rsid w:val="24CE061D"/>
    <w:rsid w:val="255F1E58"/>
    <w:rsid w:val="25800651"/>
    <w:rsid w:val="261B0A37"/>
    <w:rsid w:val="263A7115"/>
    <w:rsid w:val="26821407"/>
    <w:rsid w:val="26CE0CEE"/>
    <w:rsid w:val="26D46B1D"/>
    <w:rsid w:val="26F84998"/>
    <w:rsid w:val="27003862"/>
    <w:rsid w:val="27120691"/>
    <w:rsid w:val="272F53F6"/>
    <w:rsid w:val="273921EC"/>
    <w:rsid w:val="27AA2E17"/>
    <w:rsid w:val="2827728D"/>
    <w:rsid w:val="2837123E"/>
    <w:rsid w:val="284B59FE"/>
    <w:rsid w:val="284D2493"/>
    <w:rsid w:val="285269C9"/>
    <w:rsid w:val="285A5FF2"/>
    <w:rsid w:val="28C4412C"/>
    <w:rsid w:val="293F0A07"/>
    <w:rsid w:val="294F276D"/>
    <w:rsid w:val="2973158F"/>
    <w:rsid w:val="29F144BF"/>
    <w:rsid w:val="2A7F5E8F"/>
    <w:rsid w:val="2A8913E4"/>
    <w:rsid w:val="2AB566FF"/>
    <w:rsid w:val="2AC4525A"/>
    <w:rsid w:val="2ACA6963"/>
    <w:rsid w:val="2AE5754B"/>
    <w:rsid w:val="2B3A0EA1"/>
    <w:rsid w:val="2B4F7AFE"/>
    <w:rsid w:val="2B584FC3"/>
    <w:rsid w:val="2B6564AB"/>
    <w:rsid w:val="2B6E62AB"/>
    <w:rsid w:val="2B9D1BD3"/>
    <w:rsid w:val="2BAA269F"/>
    <w:rsid w:val="2BB71878"/>
    <w:rsid w:val="2BE5357A"/>
    <w:rsid w:val="2BEC0DB8"/>
    <w:rsid w:val="2BFB6EAE"/>
    <w:rsid w:val="2C8B7B94"/>
    <w:rsid w:val="2C911054"/>
    <w:rsid w:val="2C923B9D"/>
    <w:rsid w:val="2CA2363A"/>
    <w:rsid w:val="2CB01069"/>
    <w:rsid w:val="2CB73DEA"/>
    <w:rsid w:val="2CD83831"/>
    <w:rsid w:val="2CDE0055"/>
    <w:rsid w:val="2D5A56F0"/>
    <w:rsid w:val="2D5B1D46"/>
    <w:rsid w:val="2E003FF9"/>
    <w:rsid w:val="2E240215"/>
    <w:rsid w:val="2E6651EA"/>
    <w:rsid w:val="2E9C1EB3"/>
    <w:rsid w:val="2EEF055E"/>
    <w:rsid w:val="2EF00847"/>
    <w:rsid w:val="2F04251A"/>
    <w:rsid w:val="2F183DFD"/>
    <w:rsid w:val="2F1D1ADB"/>
    <w:rsid w:val="2F5770A7"/>
    <w:rsid w:val="2F650C5A"/>
    <w:rsid w:val="2FC65ACD"/>
    <w:rsid w:val="2FC95E73"/>
    <w:rsid w:val="30106F25"/>
    <w:rsid w:val="301E705B"/>
    <w:rsid w:val="30277D4E"/>
    <w:rsid w:val="30420C05"/>
    <w:rsid w:val="30735B1D"/>
    <w:rsid w:val="30901D07"/>
    <w:rsid w:val="3094331C"/>
    <w:rsid w:val="30B70189"/>
    <w:rsid w:val="31013D43"/>
    <w:rsid w:val="31426A25"/>
    <w:rsid w:val="31707702"/>
    <w:rsid w:val="317E461D"/>
    <w:rsid w:val="31B578A7"/>
    <w:rsid w:val="31CE1F30"/>
    <w:rsid w:val="31E96E14"/>
    <w:rsid w:val="31EE3A79"/>
    <w:rsid w:val="320737DA"/>
    <w:rsid w:val="32082755"/>
    <w:rsid w:val="32447F5E"/>
    <w:rsid w:val="324C1767"/>
    <w:rsid w:val="32D93217"/>
    <w:rsid w:val="330A28A8"/>
    <w:rsid w:val="331A1604"/>
    <w:rsid w:val="334B63B9"/>
    <w:rsid w:val="33913E89"/>
    <w:rsid w:val="33F31CDD"/>
    <w:rsid w:val="33FF6CDF"/>
    <w:rsid w:val="34880359"/>
    <w:rsid w:val="34B439DF"/>
    <w:rsid w:val="34E31178"/>
    <w:rsid w:val="34FD534F"/>
    <w:rsid w:val="35193F78"/>
    <w:rsid w:val="35193F93"/>
    <w:rsid w:val="353124F7"/>
    <w:rsid w:val="354B7F71"/>
    <w:rsid w:val="35772208"/>
    <w:rsid w:val="3592057B"/>
    <w:rsid w:val="362B22E5"/>
    <w:rsid w:val="36374947"/>
    <w:rsid w:val="3639654E"/>
    <w:rsid w:val="36634569"/>
    <w:rsid w:val="36A07107"/>
    <w:rsid w:val="36A0738B"/>
    <w:rsid w:val="36A925CB"/>
    <w:rsid w:val="36C11679"/>
    <w:rsid w:val="36CA2EF7"/>
    <w:rsid w:val="36DA63D8"/>
    <w:rsid w:val="36E01BF8"/>
    <w:rsid w:val="371B6578"/>
    <w:rsid w:val="376465F1"/>
    <w:rsid w:val="37C94A6B"/>
    <w:rsid w:val="37E90ED8"/>
    <w:rsid w:val="380B4183"/>
    <w:rsid w:val="380D00E1"/>
    <w:rsid w:val="389230B8"/>
    <w:rsid w:val="38936EF9"/>
    <w:rsid w:val="38AC1B6B"/>
    <w:rsid w:val="38CC537B"/>
    <w:rsid w:val="395E297C"/>
    <w:rsid w:val="39AF1F32"/>
    <w:rsid w:val="39BC1425"/>
    <w:rsid w:val="39E55E12"/>
    <w:rsid w:val="39E62348"/>
    <w:rsid w:val="39E91CA0"/>
    <w:rsid w:val="3A416E8E"/>
    <w:rsid w:val="3A724CE5"/>
    <w:rsid w:val="3AB807D8"/>
    <w:rsid w:val="3ACD0AD4"/>
    <w:rsid w:val="3ADF1019"/>
    <w:rsid w:val="3AE1712E"/>
    <w:rsid w:val="3AE95879"/>
    <w:rsid w:val="3AF91A87"/>
    <w:rsid w:val="3B1B4223"/>
    <w:rsid w:val="3B1E43B3"/>
    <w:rsid w:val="3B2B038C"/>
    <w:rsid w:val="3B4A5BCE"/>
    <w:rsid w:val="3B4D78F5"/>
    <w:rsid w:val="3B5C0DCC"/>
    <w:rsid w:val="3BAB1F9E"/>
    <w:rsid w:val="3BBD669D"/>
    <w:rsid w:val="3BC547BC"/>
    <w:rsid w:val="3BC708B9"/>
    <w:rsid w:val="3BCB31D1"/>
    <w:rsid w:val="3BD14DFB"/>
    <w:rsid w:val="3BDC5B4F"/>
    <w:rsid w:val="3C353099"/>
    <w:rsid w:val="3C552056"/>
    <w:rsid w:val="3C68539A"/>
    <w:rsid w:val="3CE14969"/>
    <w:rsid w:val="3CE73089"/>
    <w:rsid w:val="3CED0322"/>
    <w:rsid w:val="3D5D217D"/>
    <w:rsid w:val="3DA419E4"/>
    <w:rsid w:val="3DCD1536"/>
    <w:rsid w:val="3E0A397E"/>
    <w:rsid w:val="3E3D538A"/>
    <w:rsid w:val="3E4E28C2"/>
    <w:rsid w:val="3EB2553E"/>
    <w:rsid w:val="3ECB5C5B"/>
    <w:rsid w:val="3EF85BA5"/>
    <w:rsid w:val="3F3066A1"/>
    <w:rsid w:val="3F6D1804"/>
    <w:rsid w:val="3F756124"/>
    <w:rsid w:val="3F8830B1"/>
    <w:rsid w:val="3FE32FF9"/>
    <w:rsid w:val="3FE9366E"/>
    <w:rsid w:val="40016058"/>
    <w:rsid w:val="40394B64"/>
    <w:rsid w:val="40446E45"/>
    <w:rsid w:val="407F48D9"/>
    <w:rsid w:val="40842D49"/>
    <w:rsid w:val="40C25ABB"/>
    <w:rsid w:val="40EC0210"/>
    <w:rsid w:val="40F005A0"/>
    <w:rsid w:val="41093E29"/>
    <w:rsid w:val="413A2423"/>
    <w:rsid w:val="41617919"/>
    <w:rsid w:val="416F1A36"/>
    <w:rsid w:val="418814A0"/>
    <w:rsid w:val="41BB5401"/>
    <w:rsid w:val="41DB35DE"/>
    <w:rsid w:val="41F71CFF"/>
    <w:rsid w:val="42421638"/>
    <w:rsid w:val="43284021"/>
    <w:rsid w:val="43B33F47"/>
    <w:rsid w:val="43C83613"/>
    <w:rsid w:val="444057DA"/>
    <w:rsid w:val="445C0680"/>
    <w:rsid w:val="44856D63"/>
    <w:rsid w:val="44860287"/>
    <w:rsid w:val="4489505B"/>
    <w:rsid w:val="44E7745B"/>
    <w:rsid w:val="45367702"/>
    <w:rsid w:val="454A2D0D"/>
    <w:rsid w:val="454C5B8F"/>
    <w:rsid w:val="45790D7C"/>
    <w:rsid w:val="45B16CA0"/>
    <w:rsid w:val="45D46A26"/>
    <w:rsid w:val="45D75090"/>
    <w:rsid w:val="45E87CC6"/>
    <w:rsid w:val="46711B33"/>
    <w:rsid w:val="46727191"/>
    <w:rsid w:val="469316F2"/>
    <w:rsid w:val="469370BD"/>
    <w:rsid w:val="46CD13B8"/>
    <w:rsid w:val="471707D3"/>
    <w:rsid w:val="473517E4"/>
    <w:rsid w:val="476D6300"/>
    <w:rsid w:val="478E5298"/>
    <w:rsid w:val="47DE6480"/>
    <w:rsid w:val="47FB1E9E"/>
    <w:rsid w:val="483A36B2"/>
    <w:rsid w:val="483A6826"/>
    <w:rsid w:val="487C2F88"/>
    <w:rsid w:val="487D48A2"/>
    <w:rsid w:val="48AD582C"/>
    <w:rsid w:val="48D20808"/>
    <w:rsid w:val="492E593D"/>
    <w:rsid w:val="493D037E"/>
    <w:rsid w:val="494349CE"/>
    <w:rsid w:val="49A95D8C"/>
    <w:rsid w:val="49D01E13"/>
    <w:rsid w:val="49D62BDE"/>
    <w:rsid w:val="49DF56FE"/>
    <w:rsid w:val="49FD7B5F"/>
    <w:rsid w:val="4A0B353C"/>
    <w:rsid w:val="4A0B4298"/>
    <w:rsid w:val="4A285A46"/>
    <w:rsid w:val="4A2C4522"/>
    <w:rsid w:val="4A380D0F"/>
    <w:rsid w:val="4A3C288A"/>
    <w:rsid w:val="4A4B3C12"/>
    <w:rsid w:val="4A4D383B"/>
    <w:rsid w:val="4A5329CB"/>
    <w:rsid w:val="4A800260"/>
    <w:rsid w:val="4AB32D6A"/>
    <w:rsid w:val="4AC86161"/>
    <w:rsid w:val="4B0340A7"/>
    <w:rsid w:val="4B061978"/>
    <w:rsid w:val="4B335A2B"/>
    <w:rsid w:val="4B421F3B"/>
    <w:rsid w:val="4B8F7333"/>
    <w:rsid w:val="4BBC65E4"/>
    <w:rsid w:val="4BC930B0"/>
    <w:rsid w:val="4BF1268E"/>
    <w:rsid w:val="4C000479"/>
    <w:rsid w:val="4C095244"/>
    <w:rsid w:val="4C337C80"/>
    <w:rsid w:val="4C347B22"/>
    <w:rsid w:val="4C7B7FC5"/>
    <w:rsid w:val="4CAD338D"/>
    <w:rsid w:val="4CD6137B"/>
    <w:rsid w:val="4CE452D3"/>
    <w:rsid w:val="4CEA1498"/>
    <w:rsid w:val="4CEA575D"/>
    <w:rsid w:val="4CF52C96"/>
    <w:rsid w:val="4D0E072B"/>
    <w:rsid w:val="4D17309C"/>
    <w:rsid w:val="4D4A4582"/>
    <w:rsid w:val="4D7671B3"/>
    <w:rsid w:val="4D7F6802"/>
    <w:rsid w:val="4D947CB1"/>
    <w:rsid w:val="4D966FF1"/>
    <w:rsid w:val="4DBA5B4F"/>
    <w:rsid w:val="4DBC6984"/>
    <w:rsid w:val="4DD0280B"/>
    <w:rsid w:val="4E090AB6"/>
    <w:rsid w:val="4E3A651D"/>
    <w:rsid w:val="4ED47570"/>
    <w:rsid w:val="4EFD5CCC"/>
    <w:rsid w:val="4F89726B"/>
    <w:rsid w:val="4FAA36BB"/>
    <w:rsid w:val="4FAB2F7E"/>
    <w:rsid w:val="4FF95DE6"/>
    <w:rsid w:val="504751C9"/>
    <w:rsid w:val="50784DEF"/>
    <w:rsid w:val="508334F5"/>
    <w:rsid w:val="50E2563F"/>
    <w:rsid w:val="50FC547D"/>
    <w:rsid w:val="511E3AF8"/>
    <w:rsid w:val="51257A26"/>
    <w:rsid w:val="512962D9"/>
    <w:rsid w:val="519874CF"/>
    <w:rsid w:val="51A54E58"/>
    <w:rsid w:val="51AC565D"/>
    <w:rsid w:val="51AF1925"/>
    <w:rsid w:val="51B92F8F"/>
    <w:rsid w:val="51D03DDE"/>
    <w:rsid w:val="51E732F9"/>
    <w:rsid w:val="51E86D1D"/>
    <w:rsid w:val="51F15D55"/>
    <w:rsid w:val="52226305"/>
    <w:rsid w:val="52294511"/>
    <w:rsid w:val="525D3588"/>
    <w:rsid w:val="5266194E"/>
    <w:rsid w:val="528B2DCD"/>
    <w:rsid w:val="52AC70FB"/>
    <w:rsid w:val="52E511BE"/>
    <w:rsid w:val="52FE3B5C"/>
    <w:rsid w:val="53221D31"/>
    <w:rsid w:val="535F1EE6"/>
    <w:rsid w:val="538F00CE"/>
    <w:rsid w:val="53B83BC0"/>
    <w:rsid w:val="53E3259F"/>
    <w:rsid w:val="53EE3F58"/>
    <w:rsid w:val="544055D0"/>
    <w:rsid w:val="54405FEF"/>
    <w:rsid w:val="54692D00"/>
    <w:rsid w:val="54CF0136"/>
    <w:rsid w:val="54E32E00"/>
    <w:rsid w:val="5506698B"/>
    <w:rsid w:val="55562C6F"/>
    <w:rsid w:val="555D6F26"/>
    <w:rsid w:val="55786F20"/>
    <w:rsid w:val="557B6B7E"/>
    <w:rsid w:val="55B62876"/>
    <w:rsid w:val="55B97F04"/>
    <w:rsid w:val="55CA689A"/>
    <w:rsid w:val="56756F8A"/>
    <w:rsid w:val="56922232"/>
    <w:rsid w:val="56BF19B6"/>
    <w:rsid w:val="56E310ED"/>
    <w:rsid w:val="571D37D8"/>
    <w:rsid w:val="575C415C"/>
    <w:rsid w:val="5786053F"/>
    <w:rsid w:val="57D35921"/>
    <w:rsid w:val="58132B0F"/>
    <w:rsid w:val="58207565"/>
    <w:rsid w:val="5834108D"/>
    <w:rsid w:val="588E3210"/>
    <w:rsid w:val="58C94DB0"/>
    <w:rsid w:val="58EF6029"/>
    <w:rsid w:val="59352783"/>
    <w:rsid w:val="593F5250"/>
    <w:rsid w:val="594D0FBF"/>
    <w:rsid w:val="594F3A6C"/>
    <w:rsid w:val="59702A76"/>
    <w:rsid w:val="597413DA"/>
    <w:rsid w:val="59F638BF"/>
    <w:rsid w:val="59FF2588"/>
    <w:rsid w:val="5A211992"/>
    <w:rsid w:val="5A2C15CE"/>
    <w:rsid w:val="5A3C7D55"/>
    <w:rsid w:val="5A415869"/>
    <w:rsid w:val="5A8411D1"/>
    <w:rsid w:val="5AD86383"/>
    <w:rsid w:val="5AEB508B"/>
    <w:rsid w:val="5B1A64BE"/>
    <w:rsid w:val="5B3D7B52"/>
    <w:rsid w:val="5B4A00FB"/>
    <w:rsid w:val="5B60343D"/>
    <w:rsid w:val="5C290E6D"/>
    <w:rsid w:val="5C5A5D61"/>
    <w:rsid w:val="5C6C5041"/>
    <w:rsid w:val="5C815128"/>
    <w:rsid w:val="5CDD5FF0"/>
    <w:rsid w:val="5CFF4FFF"/>
    <w:rsid w:val="5D296EBB"/>
    <w:rsid w:val="5D362FB2"/>
    <w:rsid w:val="5D391DF1"/>
    <w:rsid w:val="5D7B015B"/>
    <w:rsid w:val="5DAC6D07"/>
    <w:rsid w:val="5DB905A3"/>
    <w:rsid w:val="5E495A74"/>
    <w:rsid w:val="5E6C3D60"/>
    <w:rsid w:val="5E781961"/>
    <w:rsid w:val="5E8E04A4"/>
    <w:rsid w:val="5E903ABB"/>
    <w:rsid w:val="5EBA4AF0"/>
    <w:rsid w:val="5EC91BA8"/>
    <w:rsid w:val="5EFD599C"/>
    <w:rsid w:val="5F034072"/>
    <w:rsid w:val="5F0F6BA0"/>
    <w:rsid w:val="5F216AA1"/>
    <w:rsid w:val="5F6852EC"/>
    <w:rsid w:val="5F6A4D6F"/>
    <w:rsid w:val="5F734D30"/>
    <w:rsid w:val="5F830A2A"/>
    <w:rsid w:val="5FBF2C95"/>
    <w:rsid w:val="5FE72BB3"/>
    <w:rsid w:val="5FEF5863"/>
    <w:rsid w:val="5FF7388C"/>
    <w:rsid w:val="605927A7"/>
    <w:rsid w:val="605C3D7A"/>
    <w:rsid w:val="606954DE"/>
    <w:rsid w:val="60BC6599"/>
    <w:rsid w:val="60F31B81"/>
    <w:rsid w:val="611B157A"/>
    <w:rsid w:val="615D0EE2"/>
    <w:rsid w:val="61624DDD"/>
    <w:rsid w:val="618C0A3B"/>
    <w:rsid w:val="618E6F88"/>
    <w:rsid w:val="619D338C"/>
    <w:rsid w:val="61A069DD"/>
    <w:rsid w:val="61A60ADB"/>
    <w:rsid w:val="61B50F31"/>
    <w:rsid w:val="62186F2C"/>
    <w:rsid w:val="62582B22"/>
    <w:rsid w:val="626E1897"/>
    <w:rsid w:val="627921C2"/>
    <w:rsid w:val="62912F78"/>
    <w:rsid w:val="6296793D"/>
    <w:rsid w:val="62BC78F0"/>
    <w:rsid w:val="62D019B8"/>
    <w:rsid w:val="62DF24C1"/>
    <w:rsid w:val="63060ECB"/>
    <w:rsid w:val="63147367"/>
    <w:rsid w:val="63566974"/>
    <w:rsid w:val="635B6281"/>
    <w:rsid w:val="63780255"/>
    <w:rsid w:val="637A0101"/>
    <w:rsid w:val="638F2607"/>
    <w:rsid w:val="63D90487"/>
    <w:rsid w:val="64042601"/>
    <w:rsid w:val="644011D0"/>
    <w:rsid w:val="645261C1"/>
    <w:rsid w:val="646D354A"/>
    <w:rsid w:val="64C0672D"/>
    <w:rsid w:val="6529744E"/>
    <w:rsid w:val="65943764"/>
    <w:rsid w:val="65A85347"/>
    <w:rsid w:val="65B02F4A"/>
    <w:rsid w:val="65FD50F2"/>
    <w:rsid w:val="66157C4A"/>
    <w:rsid w:val="662E0172"/>
    <w:rsid w:val="666943CE"/>
    <w:rsid w:val="66B024EE"/>
    <w:rsid w:val="66CF2DED"/>
    <w:rsid w:val="671B2F56"/>
    <w:rsid w:val="67237050"/>
    <w:rsid w:val="67504906"/>
    <w:rsid w:val="67CA6A90"/>
    <w:rsid w:val="67E24438"/>
    <w:rsid w:val="684574E3"/>
    <w:rsid w:val="684D534F"/>
    <w:rsid w:val="689B2072"/>
    <w:rsid w:val="68C41ED5"/>
    <w:rsid w:val="68EF4ED4"/>
    <w:rsid w:val="68FF499B"/>
    <w:rsid w:val="691343D1"/>
    <w:rsid w:val="69563088"/>
    <w:rsid w:val="69601EB7"/>
    <w:rsid w:val="69612C79"/>
    <w:rsid w:val="69BE2B58"/>
    <w:rsid w:val="69C335BA"/>
    <w:rsid w:val="69C726D8"/>
    <w:rsid w:val="69ED4D6A"/>
    <w:rsid w:val="6A977C5B"/>
    <w:rsid w:val="6AE95FB4"/>
    <w:rsid w:val="6AED069C"/>
    <w:rsid w:val="6B157AA6"/>
    <w:rsid w:val="6B193DE1"/>
    <w:rsid w:val="6B3C7491"/>
    <w:rsid w:val="6B52689C"/>
    <w:rsid w:val="6B5C050A"/>
    <w:rsid w:val="6B5E35CC"/>
    <w:rsid w:val="6B700039"/>
    <w:rsid w:val="6B7900B7"/>
    <w:rsid w:val="6B8B5ADB"/>
    <w:rsid w:val="6BA105E0"/>
    <w:rsid w:val="6BB93DB5"/>
    <w:rsid w:val="6BFF3D8C"/>
    <w:rsid w:val="6C1464C2"/>
    <w:rsid w:val="6C1D020A"/>
    <w:rsid w:val="6C465FDF"/>
    <w:rsid w:val="6C4A5E03"/>
    <w:rsid w:val="6C635137"/>
    <w:rsid w:val="6CA1681C"/>
    <w:rsid w:val="6CA860AF"/>
    <w:rsid w:val="6CD7235C"/>
    <w:rsid w:val="6D0F7AA5"/>
    <w:rsid w:val="6D13487F"/>
    <w:rsid w:val="6D516262"/>
    <w:rsid w:val="6DE4192E"/>
    <w:rsid w:val="6E06662F"/>
    <w:rsid w:val="6E192634"/>
    <w:rsid w:val="6E2868A4"/>
    <w:rsid w:val="6E3F7CAB"/>
    <w:rsid w:val="6E4C2425"/>
    <w:rsid w:val="6E7066A8"/>
    <w:rsid w:val="6E837CA2"/>
    <w:rsid w:val="6E8C68BC"/>
    <w:rsid w:val="6EB74327"/>
    <w:rsid w:val="6EFB00B6"/>
    <w:rsid w:val="6F072E3E"/>
    <w:rsid w:val="6F38738C"/>
    <w:rsid w:val="6F4E613D"/>
    <w:rsid w:val="6F8B1310"/>
    <w:rsid w:val="6FDA22A7"/>
    <w:rsid w:val="70040E93"/>
    <w:rsid w:val="702B0EE2"/>
    <w:rsid w:val="70794CAA"/>
    <w:rsid w:val="708A21D1"/>
    <w:rsid w:val="70B27187"/>
    <w:rsid w:val="710069A6"/>
    <w:rsid w:val="71075DA1"/>
    <w:rsid w:val="71427771"/>
    <w:rsid w:val="715951AD"/>
    <w:rsid w:val="71817B69"/>
    <w:rsid w:val="718C44F9"/>
    <w:rsid w:val="71C64881"/>
    <w:rsid w:val="71DA7F19"/>
    <w:rsid w:val="72000127"/>
    <w:rsid w:val="720A47FF"/>
    <w:rsid w:val="724E37F4"/>
    <w:rsid w:val="725F18A0"/>
    <w:rsid w:val="727445CC"/>
    <w:rsid w:val="72AE30DF"/>
    <w:rsid w:val="7308635A"/>
    <w:rsid w:val="731A5E4B"/>
    <w:rsid w:val="732D5E85"/>
    <w:rsid w:val="73A25DBC"/>
    <w:rsid w:val="73A27FC4"/>
    <w:rsid w:val="73D26395"/>
    <w:rsid w:val="74044B3E"/>
    <w:rsid w:val="74491540"/>
    <w:rsid w:val="745F0B9E"/>
    <w:rsid w:val="746B5C8F"/>
    <w:rsid w:val="746E50D4"/>
    <w:rsid w:val="74DF5788"/>
    <w:rsid w:val="75202B59"/>
    <w:rsid w:val="75265B0F"/>
    <w:rsid w:val="75423659"/>
    <w:rsid w:val="75DA2661"/>
    <w:rsid w:val="761C7020"/>
    <w:rsid w:val="762D53CD"/>
    <w:rsid w:val="765948AE"/>
    <w:rsid w:val="76913043"/>
    <w:rsid w:val="76DF5EFB"/>
    <w:rsid w:val="76FB5503"/>
    <w:rsid w:val="770D466E"/>
    <w:rsid w:val="77244286"/>
    <w:rsid w:val="77374B6D"/>
    <w:rsid w:val="773E5612"/>
    <w:rsid w:val="774D2A9B"/>
    <w:rsid w:val="775E1C09"/>
    <w:rsid w:val="77732DB5"/>
    <w:rsid w:val="77E43CB3"/>
    <w:rsid w:val="77E9657E"/>
    <w:rsid w:val="780352DF"/>
    <w:rsid w:val="780608C3"/>
    <w:rsid w:val="781376A8"/>
    <w:rsid w:val="782C7892"/>
    <w:rsid w:val="78430C36"/>
    <w:rsid w:val="78502BE0"/>
    <w:rsid w:val="786027DA"/>
    <w:rsid w:val="78613F13"/>
    <w:rsid w:val="78956723"/>
    <w:rsid w:val="78B8678A"/>
    <w:rsid w:val="79102454"/>
    <w:rsid w:val="79201B08"/>
    <w:rsid w:val="79DD76F8"/>
    <w:rsid w:val="79DD7EE1"/>
    <w:rsid w:val="7A0A690F"/>
    <w:rsid w:val="7A4576B0"/>
    <w:rsid w:val="7AA94747"/>
    <w:rsid w:val="7AD31206"/>
    <w:rsid w:val="7AE300BE"/>
    <w:rsid w:val="7AE47AC3"/>
    <w:rsid w:val="7AF34939"/>
    <w:rsid w:val="7B286C91"/>
    <w:rsid w:val="7B471F75"/>
    <w:rsid w:val="7BA8519C"/>
    <w:rsid w:val="7BAA5C2D"/>
    <w:rsid w:val="7BCA1074"/>
    <w:rsid w:val="7BD6547B"/>
    <w:rsid w:val="7BF8649E"/>
    <w:rsid w:val="7C081804"/>
    <w:rsid w:val="7C830909"/>
    <w:rsid w:val="7C9822E3"/>
    <w:rsid w:val="7D0048D4"/>
    <w:rsid w:val="7D091265"/>
    <w:rsid w:val="7D1604F2"/>
    <w:rsid w:val="7D373966"/>
    <w:rsid w:val="7D53463A"/>
    <w:rsid w:val="7D5C2D36"/>
    <w:rsid w:val="7D6B425C"/>
    <w:rsid w:val="7D750DA8"/>
    <w:rsid w:val="7D7A59D8"/>
    <w:rsid w:val="7D8D70E7"/>
    <w:rsid w:val="7DB6722A"/>
    <w:rsid w:val="7DC36179"/>
    <w:rsid w:val="7DD65A11"/>
    <w:rsid w:val="7DDD49D0"/>
    <w:rsid w:val="7E153D01"/>
    <w:rsid w:val="7E962855"/>
    <w:rsid w:val="7E983635"/>
    <w:rsid w:val="7ECB4096"/>
    <w:rsid w:val="7F147063"/>
    <w:rsid w:val="7F3E67C1"/>
    <w:rsid w:val="7F4D354C"/>
    <w:rsid w:val="7FC91B77"/>
    <w:rsid w:val="7FCE20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4"/>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35"/>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5">
    <w:name w:val="Default Paragraph Font"/>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widowControl w:val="0"/>
      <w:spacing w:line="300" w:lineRule="auto"/>
      <w:ind w:firstLine="420" w:firstLineChars="200"/>
      <w:jc w:val="both"/>
    </w:pPr>
    <w:rPr>
      <w:rFonts w:asciiTheme="minorAscii" w:hAnsiTheme="minorAscii" w:eastAsiaTheme="minorEastAsia" w:cstheme="minorBidi"/>
      <w:kern w:val="2"/>
      <w:sz w:val="21"/>
      <w:szCs w:val="24"/>
      <w:lang w:val="en-US" w:eastAsia="zh-CN" w:bidi="ar-SA"/>
    </w:rPr>
  </w:style>
  <w:style w:type="paragraph" w:styleId="7">
    <w:name w:val="Body Text 3"/>
    <w:basedOn w:val="1"/>
    <w:unhideWhenUsed/>
    <w:qFormat/>
    <w:uiPriority w:val="99"/>
    <w:rPr>
      <w:rFonts w:ascii="宋体" w:hAnsi="宋体"/>
      <w:sz w:val="24"/>
      <w:szCs w:val="24"/>
    </w:rPr>
  </w:style>
  <w:style w:type="paragraph" w:styleId="8">
    <w:name w:val="Body Text"/>
    <w:basedOn w:val="1"/>
    <w:next w:val="9"/>
    <w:autoRedefine/>
    <w:qFormat/>
    <w:uiPriority w:val="0"/>
    <w:pPr>
      <w:widowControl w:val="0"/>
      <w:spacing w:after="120" w:afterLines="0" w:afterAutospacing="0"/>
      <w:jc w:val="both"/>
    </w:pPr>
    <w:rPr>
      <w:rFonts w:ascii="Calibri" w:hAnsi="Calibri" w:eastAsia="宋体" w:cs="Times New Roman"/>
      <w:kern w:val="2"/>
      <w:sz w:val="21"/>
      <w:szCs w:val="24"/>
      <w:lang w:val="en-US" w:eastAsia="zh-CN" w:bidi="ar-SA"/>
    </w:rPr>
  </w:style>
  <w:style w:type="paragraph" w:customStyle="1" w:styleId="9">
    <w:name w:val="一级条标题"/>
    <w:basedOn w:val="10"/>
    <w:next w:val="11"/>
    <w:autoRedefine/>
    <w:qFormat/>
    <w:uiPriority w:val="99"/>
    <w:pPr>
      <w:spacing w:line="240" w:lineRule="auto"/>
      <w:ind w:left="420"/>
      <w:jc w:val="both"/>
      <w:outlineLvl w:val="2"/>
    </w:pPr>
    <w:rPr>
      <w:rFonts w:ascii="黑体" w:hAnsi="Times New Roman" w:eastAsia="黑体" w:cs="黑体"/>
      <w:sz w:val="21"/>
      <w:szCs w:val="21"/>
      <w:lang w:val="en-US" w:eastAsia="zh-CN" w:bidi="ar-SA"/>
    </w:rPr>
  </w:style>
  <w:style w:type="paragraph" w:customStyle="1" w:styleId="10">
    <w:name w:val="章标题"/>
    <w:next w:val="1"/>
    <w:autoRedefine/>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11">
    <w:name w:val="段"/>
    <w:next w:val="1"/>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styleId="12">
    <w:name w:val="Body Text Indent"/>
    <w:basedOn w:val="1"/>
    <w:next w:val="1"/>
    <w:autoRedefine/>
    <w:qFormat/>
    <w:uiPriority w:val="0"/>
    <w:pPr>
      <w:ind w:firstLine="573"/>
    </w:pPr>
    <w:rPr>
      <w:sz w:val="28"/>
    </w:rPr>
  </w:style>
  <w:style w:type="paragraph" w:styleId="13">
    <w:name w:val="toc 3"/>
    <w:basedOn w:val="1"/>
    <w:next w:val="1"/>
    <w:autoRedefine/>
    <w:qFormat/>
    <w:uiPriority w:val="0"/>
    <w:pPr>
      <w:ind w:left="840" w:leftChars="400"/>
    </w:pPr>
  </w:style>
  <w:style w:type="paragraph" w:styleId="14">
    <w:name w:val="footer"/>
    <w:basedOn w:val="1"/>
    <w:autoRedefine/>
    <w:qFormat/>
    <w:uiPriority w:val="0"/>
    <w:pPr>
      <w:tabs>
        <w:tab w:val="center" w:pos="4153"/>
        <w:tab w:val="right" w:pos="8306"/>
      </w:tabs>
      <w:snapToGrid w:val="0"/>
      <w:jc w:val="left"/>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unhideWhenUsed/>
    <w:qFormat/>
    <w:uiPriority w:val="39"/>
    <w:pPr>
      <w:tabs>
        <w:tab w:val="right" w:leader="dot" w:pos="9259"/>
      </w:tabs>
      <w:spacing w:before="120" w:after="120"/>
      <w:jc w:val="center"/>
    </w:pPr>
    <w:rPr>
      <w:rFonts w:ascii="Calibri" w:hAnsi="Calibri"/>
      <w:b/>
      <w:bCs/>
      <w:caps/>
      <w:kern w:val="2"/>
      <w:sz w:val="32"/>
      <w:szCs w:val="32"/>
    </w:rPr>
  </w:style>
  <w:style w:type="paragraph" w:styleId="17">
    <w:name w:val="footnote text"/>
    <w:basedOn w:val="1"/>
    <w:autoRedefine/>
    <w:qFormat/>
    <w:uiPriority w:val="0"/>
    <w:pPr>
      <w:snapToGrid w:val="0"/>
      <w:jc w:val="left"/>
    </w:pPr>
    <w:rPr>
      <w:sz w:val="18"/>
      <w:szCs w:val="18"/>
    </w:rPr>
  </w:style>
  <w:style w:type="paragraph" w:styleId="18">
    <w:name w:val="toc 2"/>
    <w:basedOn w:val="1"/>
    <w:next w:val="1"/>
    <w:autoRedefine/>
    <w:qFormat/>
    <w:uiPriority w:val="0"/>
    <w:pPr>
      <w:ind w:left="420" w:leftChars="200"/>
    </w:pPr>
  </w:style>
  <w:style w:type="paragraph" w:styleId="19">
    <w:name w:val="Normal (Web)"/>
    <w:basedOn w:val="1"/>
    <w:autoRedefine/>
    <w:unhideWhenUsed/>
    <w:qFormat/>
    <w:uiPriority w:val="99"/>
    <w:pPr>
      <w:widowControl/>
      <w:spacing w:before="100" w:beforeAutospacing="1" w:after="100" w:afterAutospacing="1"/>
      <w:jc w:val="left"/>
    </w:pPr>
    <w:rPr>
      <w:rFonts w:ascii="宋体" w:hAnsi="宋体" w:eastAsia="宋体" w:cs="宋体"/>
      <w:color w:val="auto"/>
      <w:kern w:val="2"/>
      <w:sz w:val="24"/>
      <w:szCs w:val="24"/>
      <w:lang w:val="en-US" w:eastAsia="zh-CN" w:bidi="ar-SA"/>
    </w:rPr>
  </w:style>
  <w:style w:type="paragraph" w:styleId="20">
    <w:name w:val="Title"/>
    <w:next w:val="1"/>
    <w:autoRedefine/>
    <w:qFormat/>
    <w:uiPriority w:val="99"/>
    <w:pPr>
      <w:widowControl w:val="0"/>
      <w:spacing w:before="240" w:after="60"/>
      <w:jc w:val="center"/>
      <w:outlineLvl w:val="0"/>
    </w:pPr>
    <w:rPr>
      <w:rFonts w:ascii="Cambria" w:hAnsi="Cambria" w:eastAsia="宋体" w:cs="Cambria"/>
      <w:b/>
      <w:bCs/>
      <w:kern w:val="0"/>
      <w:sz w:val="36"/>
      <w:szCs w:val="36"/>
      <w:lang w:val="en-US" w:eastAsia="zh-CN" w:bidi="ar-SA"/>
    </w:rPr>
  </w:style>
  <w:style w:type="paragraph" w:styleId="21">
    <w:name w:val="Body Text First Indent"/>
    <w:next w:val="1"/>
    <w:autoRedefine/>
    <w:qFormat/>
    <w:uiPriority w:val="0"/>
    <w:pPr>
      <w:widowControl w:val="0"/>
      <w:spacing w:after="120" w:afterLines="0" w:afterAutospacing="0"/>
      <w:ind w:firstLine="420" w:firstLineChars="100"/>
      <w:jc w:val="both"/>
    </w:pPr>
    <w:rPr>
      <w:rFonts w:ascii="Calibri" w:hAnsi="Calibri" w:eastAsia="宋体" w:cs="Times New Roman"/>
      <w:kern w:val="2"/>
      <w:sz w:val="21"/>
      <w:szCs w:val="24"/>
      <w:lang w:val="en-US" w:eastAsia="zh-CN" w:bidi="ar-SA"/>
    </w:rPr>
  </w:style>
  <w:style w:type="paragraph" w:styleId="22">
    <w:name w:val="Body Text First Indent 2"/>
    <w:basedOn w:val="12"/>
    <w:autoRedefine/>
    <w:qFormat/>
    <w:uiPriority w:val="0"/>
    <w:pPr>
      <w:ind w:firstLine="420" w:firstLineChars="200"/>
    </w:pPr>
  </w:style>
  <w:style w:type="table" w:styleId="24">
    <w:name w:val="Table Grid"/>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autoRedefine/>
    <w:unhideWhenUsed/>
    <w:qFormat/>
    <w:uiPriority w:val="99"/>
    <w:rPr>
      <w:color w:val="0000FF"/>
      <w:u w:val="single"/>
    </w:rPr>
  </w:style>
  <w:style w:type="character" w:styleId="27">
    <w:name w:val="footnote reference"/>
    <w:autoRedefine/>
    <w:qFormat/>
    <w:uiPriority w:val="0"/>
    <w:rPr>
      <w:position w:val="-2"/>
      <w:vertAlign w:val="superscript"/>
    </w:rPr>
  </w:style>
  <w:style w:type="paragraph" w:customStyle="1" w:styleId="28">
    <w:name w:val="Heading #6|1"/>
    <w:autoRedefine/>
    <w:qFormat/>
    <w:uiPriority w:val="0"/>
    <w:pPr>
      <w:widowControl w:val="0"/>
      <w:shd w:val="clear" w:color="auto" w:fill="auto"/>
      <w:spacing w:after="300"/>
      <w:jc w:val="center"/>
      <w:outlineLvl w:val="5"/>
    </w:pPr>
    <w:rPr>
      <w:rFonts w:ascii="宋体" w:hAnsi="宋体" w:eastAsia="宋体" w:cs="宋体"/>
      <w:kern w:val="2"/>
      <w:sz w:val="32"/>
      <w:szCs w:val="32"/>
      <w:u w:val="none"/>
      <w:shd w:val="clear" w:color="auto" w:fill="auto"/>
      <w:lang w:val="zh-TW" w:eastAsia="zh-TW" w:bidi="zh-TW"/>
    </w:rPr>
  </w:style>
  <w:style w:type="paragraph" w:customStyle="1" w:styleId="29">
    <w:name w:val="Body text|1"/>
    <w:autoRedefine/>
    <w:qFormat/>
    <w:uiPriority w:val="0"/>
    <w:pPr>
      <w:widowControl w:val="0"/>
      <w:shd w:val="clear" w:color="auto" w:fill="auto"/>
      <w:spacing w:line="480" w:lineRule="auto"/>
      <w:ind w:firstLine="40"/>
      <w:jc w:val="both"/>
    </w:pPr>
    <w:rPr>
      <w:rFonts w:ascii="宋体" w:hAnsi="宋体" w:eastAsia="宋体" w:cs="宋体"/>
      <w:kern w:val="2"/>
      <w:sz w:val="21"/>
      <w:szCs w:val="24"/>
      <w:u w:val="none"/>
      <w:shd w:val="clear" w:color="auto" w:fill="auto"/>
      <w:lang w:val="zh-TW" w:eastAsia="zh-TW" w:bidi="zh-TW"/>
    </w:rPr>
  </w:style>
  <w:style w:type="paragraph" w:customStyle="1" w:styleId="30">
    <w:name w:val="Body text|2"/>
    <w:autoRedefine/>
    <w:qFormat/>
    <w:uiPriority w:val="0"/>
    <w:pPr>
      <w:widowControl w:val="0"/>
      <w:shd w:val="clear" w:color="auto" w:fill="auto"/>
      <w:spacing w:after="220" w:line="334" w:lineRule="auto"/>
      <w:ind w:left="1280" w:firstLine="20"/>
      <w:jc w:val="both"/>
    </w:pPr>
    <w:rPr>
      <w:rFonts w:ascii="宋体" w:hAnsi="宋体" w:eastAsia="宋体" w:cs="宋体"/>
      <w:kern w:val="2"/>
      <w:sz w:val="16"/>
      <w:szCs w:val="16"/>
      <w:u w:val="none"/>
      <w:shd w:val="clear" w:color="auto" w:fill="auto"/>
      <w:lang w:val="zh-TW" w:eastAsia="zh-TW" w:bidi="zh-TW"/>
    </w:rPr>
  </w:style>
  <w:style w:type="paragraph" w:customStyle="1" w:styleId="31">
    <w:name w:val="Other|1"/>
    <w:autoRedefine/>
    <w:qFormat/>
    <w:uiPriority w:val="0"/>
    <w:pPr>
      <w:widowControl w:val="0"/>
      <w:shd w:val="clear" w:color="auto" w:fill="auto"/>
      <w:spacing w:line="480" w:lineRule="auto"/>
      <w:ind w:firstLine="40"/>
      <w:jc w:val="both"/>
    </w:pPr>
    <w:rPr>
      <w:rFonts w:ascii="宋体" w:hAnsi="宋体" w:eastAsia="宋体" w:cs="宋体"/>
      <w:kern w:val="2"/>
      <w:sz w:val="21"/>
      <w:szCs w:val="24"/>
      <w:u w:val="none"/>
      <w:shd w:val="clear" w:color="auto" w:fill="auto"/>
      <w:lang w:val="zh-TW" w:eastAsia="zh-TW" w:bidi="zh-TW"/>
    </w:rPr>
  </w:style>
  <w:style w:type="paragraph" w:customStyle="1" w:styleId="32">
    <w:name w:val="Heading #5|1"/>
    <w:autoRedefine/>
    <w:qFormat/>
    <w:uiPriority w:val="0"/>
    <w:pPr>
      <w:widowControl w:val="0"/>
      <w:shd w:val="clear" w:color="auto" w:fill="auto"/>
      <w:spacing w:before="290" w:after="520"/>
      <w:jc w:val="center"/>
      <w:outlineLvl w:val="4"/>
    </w:pPr>
    <w:rPr>
      <w:rFonts w:ascii="宋体" w:hAnsi="宋体" w:eastAsia="宋体" w:cs="宋体"/>
      <w:kern w:val="2"/>
      <w:sz w:val="32"/>
      <w:szCs w:val="32"/>
      <w:u w:val="none"/>
      <w:shd w:val="clear" w:color="auto" w:fill="auto"/>
      <w:lang w:val="zh-TW" w:eastAsia="zh-TW" w:bidi="zh-TW"/>
    </w:rPr>
  </w:style>
  <w:style w:type="paragraph" w:customStyle="1" w:styleId="33">
    <w:name w:val="Body text|3"/>
    <w:autoRedefine/>
    <w:qFormat/>
    <w:uiPriority w:val="0"/>
    <w:pPr>
      <w:widowControl w:val="0"/>
      <w:shd w:val="clear" w:color="auto" w:fill="auto"/>
      <w:spacing w:after="1100"/>
      <w:jc w:val="both"/>
    </w:pPr>
    <w:rPr>
      <w:rFonts w:ascii="宋体" w:hAnsi="宋体" w:eastAsia="宋体" w:cs="宋体"/>
      <w:kern w:val="2"/>
      <w:sz w:val="32"/>
      <w:szCs w:val="32"/>
      <w:u w:val="none"/>
      <w:shd w:val="clear" w:color="auto" w:fill="auto"/>
      <w:lang w:val="zh-TW" w:eastAsia="zh-TW" w:bidi="zh-TW"/>
    </w:rPr>
  </w:style>
  <w:style w:type="character" w:customStyle="1" w:styleId="34">
    <w:name w:val="标题 1 Char"/>
    <w:link w:val="2"/>
    <w:autoRedefine/>
    <w:qFormat/>
    <w:uiPriority w:val="0"/>
    <w:rPr>
      <w:b/>
      <w:kern w:val="44"/>
      <w:sz w:val="44"/>
    </w:rPr>
  </w:style>
  <w:style w:type="character" w:customStyle="1" w:styleId="35">
    <w:name w:val="标题 2 Char"/>
    <w:link w:val="3"/>
    <w:autoRedefine/>
    <w:qFormat/>
    <w:uiPriority w:val="0"/>
    <w:rPr>
      <w:rFonts w:ascii="Arial" w:hAnsi="Arial" w:eastAsia="黑体"/>
      <w:b/>
      <w:sz w:val="32"/>
    </w:rPr>
  </w:style>
  <w:style w:type="paragraph" w:customStyle="1" w:styleId="3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37">
    <w:name w:val="Table Paragraph"/>
    <w:basedOn w:val="1"/>
    <w:autoRedefine/>
    <w:qFormat/>
    <w:uiPriority w:val="1"/>
  </w:style>
  <w:style w:type="character" w:customStyle="1" w:styleId="38">
    <w:name w:val="font21"/>
    <w:basedOn w:val="25"/>
    <w:autoRedefine/>
    <w:qFormat/>
    <w:uiPriority w:val="0"/>
    <w:rPr>
      <w:rFonts w:hint="eastAsia" w:ascii="宋体" w:hAnsi="宋体" w:eastAsia="宋体" w:cs="宋体"/>
      <w:color w:val="000000"/>
      <w:sz w:val="20"/>
      <w:szCs w:val="20"/>
      <w:u w:val="none"/>
    </w:rPr>
  </w:style>
  <w:style w:type="character" w:customStyle="1" w:styleId="39">
    <w:name w:val="font01"/>
    <w:basedOn w:val="25"/>
    <w:autoRedefine/>
    <w:qFormat/>
    <w:uiPriority w:val="0"/>
    <w:rPr>
      <w:rFonts w:hint="eastAsia" w:ascii="宋体" w:hAnsi="宋体" w:eastAsia="宋体" w:cs="宋体"/>
      <w:color w:val="000000"/>
      <w:sz w:val="20"/>
      <w:szCs w:val="20"/>
      <w:u w:val="none"/>
      <w:vertAlign w:val="superscript"/>
    </w:rPr>
  </w:style>
  <w:style w:type="character" w:customStyle="1" w:styleId="40">
    <w:name w:val="font11"/>
    <w:basedOn w:val="25"/>
    <w:autoRedefine/>
    <w:qFormat/>
    <w:uiPriority w:val="0"/>
    <w:rPr>
      <w:rFonts w:hint="eastAsia" w:ascii="宋体" w:hAnsi="宋体" w:eastAsia="宋体" w:cs="宋体"/>
      <w:color w:val="000000"/>
      <w:sz w:val="24"/>
      <w:szCs w:val="24"/>
      <w:u w:val="none"/>
    </w:rPr>
  </w:style>
  <w:style w:type="paragraph" w:customStyle="1" w:styleId="41">
    <w:name w:val="Normal_1"/>
    <w:autoRedefine/>
    <w:qFormat/>
    <w:uiPriority w:val="0"/>
    <w:rPr>
      <w:rFonts w:ascii="Times New Roman" w:hAnsi="Times New Roman" w:eastAsia="Times New Roman" w:cs="Times New Roman"/>
      <w:sz w:val="24"/>
      <w:szCs w:val="24"/>
    </w:rPr>
  </w:style>
  <w:style w:type="paragraph" w:customStyle="1" w:styleId="42">
    <w:name w:val="TOC 标题1"/>
    <w:basedOn w:val="2"/>
    <w:next w:val="1"/>
    <w:autoRedefine/>
    <w:qFormat/>
    <w:uiPriority w:val="0"/>
    <w:pPr>
      <w:outlineLvl w:val="9"/>
    </w:pPr>
    <w:rPr>
      <w:rFonts w:ascii="Calibri" w:hAnsi="Calibri"/>
    </w:rPr>
  </w:style>
  <w:style w:type="character" w:customStyle="1" w:styleId="43">
    <w:name w:val="页码1"/>
    <w:basedOn w:val="25"/>
    <w:autoRedefine/>
    <w:qFormat/>
    <w:uiPriority w:val="0"/>
    <w:rPr>
      <w:rFonts w:cs="Times New Roman"/>
    </w:rPr>
  </w:style>
  <w:style w:type="paragraph" w:customStyle="1" w:styleId="44">
    <w:name w:val="Table caption|1"/>
    <w:autoRedefine/>
    <w:qFormat/>
    <w:uiPriority w:val="0"/>
    <w:pPr>
      <w:widowControl w:val="0"/>
      <w:shd w:val="clear" w:color="auto" w:fill="auto"/>
      <w:jc w:val="both"/>
    </w:pPr>
    <w:rPr>
      <w:rFonts w:ascii="宋体" w:hAnsi="宋体" w:eastAsia="宋体" w:cs="宋体"/>
      <w:kern w:val="2"/>
      <w:sz w:val="26"/>
      <w:szCs w:val="26"/>
      <w:u w:val="none"/>
      <w:shd w:val="clear" w:color="auto" w:fill="auto"/>
      <w:lang w:val="zh-TW" w:eastAsia="zh-TW" w:bidi="zh-TW"/>
    </w:rPr>
  </w:style>
  <w:style w:type="paragraph" w:customStyle="1" w:styleId="45">
    <w:name w:val="Heading 3"/>
    <w:basedOn w:val="46"/>
    <w:next w:val="47"/>
    <w:autoRedefine/>
    <w:qFormat/>
    <w:uiPriority w:val="0"/>
    <w:pPr>
      <w:keepNext/>
      <w:keepLines/>
      <w:spacing w:before="260" w:after="260" w:line="412" w:lineRule="auto"/>
      <w:outlineLvl w:val="2"/>
    </w:pPr>
    <w:rPr>
      <w:rFonts w:ascii="Times New Roman" w:hAnsi="Times New Roman" w:eastAsia="宋体" w:cs="Times New Roman"/>
      <w:b/>
      <w:bCs/>
      <w:sz w:val="32"/>
      <w:szCs w:val="32"/>
    </w:rPr>
  </w:style>
  <w:style w:type="paragraph" w:customStyle="1" w:styleId="46">
    <w:name w:val="Normal_0"/>
    <w:autoRedefine/>
    <w:qFormat/>
    <w:uiPriority w:val="0"/>
    <w:pPr>
      <w:widowControl w:val="0"/>
      <w:jc w:val="both"/>
    </w:pPr>
    <w:rPr>
      <w:rFonts w:ascii="Calibri" w:hAnsi="Calibri" w:eastAsia="宋体" w:cs="Times New Roman"/>
    </w:rPr>
  </w:style>
  <w:style w:type="paragraph" w:customStyle="1" w:styleId="47">
    <w:name w:val="Heading 4"/>
    <w:basedOn w:val="46"/>
    <w:next w:val="46"/>
    <w:autoRedefine/>
    <w:qFormat/>
    <w:uiPriority w:val="0"/>
    <w:pPr>
      <w:keepNext/>
      <w:keepLines/>
      <w:spacing w:before="280" w:after="290" w:line="372" w:lineRule="auto"/>
      <w:outlineLvl w:val="3"/>
    </w:pPr>
    <w:rPr>
      <w:rFonts w:ascii="Arial" w:hAnsi="Arial" w:eastAsia="黑体" w:cs="Times New Roman"/>
      <w:b/>
      <w:bCs/>
      <w:sz w:val="28"/>
      <w:szCs w:val="28"/>
    </w:rPr>
  </w:style>
  <w:style w:type="paragraph" w:customStyle="1" w:styleId="48">
    <w:name w:val="正文_1"/>
    <w:autoRedefine/>
    <w:qFormat/>
    <w:uiPriority w:val="0"/>
    <w:pPr>
      <w:widowControl w:val="0"/>
      <w:jc w:val="both"/>
    </w:pPr>
    <w:rPr>
      <w:rFonts w:ascii="Calibri" w:hAnsi="Calibri" w:eastAsia="宋体" w:cs="Times New Roman"/>
      <w:kern w:val="2"/>
      <w:sz w:val="21"/>
      <w:szCs w:val="22"/>
      <w:lang w:val="en-US" w:eastAsia="zh-CN" w:bidi="ar-SA"/>
    </w:rPr>
  </w:style>
  <w:style w:type="table" w:customStyle="1" w:styleId="49">
    <w:name w:val="Table Normal"/>
    <w:autoRedefine/>
    <w:unhideWhenUsed/>
    <w:qFormat/>
    <w:uiPriority w:val="0"/>
    <w:rPr>
      <w:rFonts w:ascii="Calibri" w:hAnsi="Calibri"/>
    </w:rPr>
    <w:tblPr>
      <w:tblCellMar>
        <w:top w:w="0" w:type="dxa"/>
        <w:left w:w="0" w:type="dxa"/>
        <w:bottom w:w="0" w:type="dxa"/>
        <w:right w:w="0" w:type="dxa"/>
      </w:tblCellMar>
    </w:tblPr>
  </w:style>
  <w:style w:type="paragraph" w:customStyle="1" w:styleId="50">
    <w:name w:val="正文_5_0"/>
    <w:autoRedefine/>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113</Pages>
  <Words>3955</Words>
  <Characters>4470</Characters>
  <Lines>0</Lines>
  <Paragraphs>0</Paragraphs>
  <TotalTime>44</TotalTime>
  <ScaleCrop>false</ScaleCrop>
  <LinksUpToDate>false</LinksUpToDate>
  <CharactersWithSpaces>4821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2020-11-17T03:15:00Z</dcterms:created>
  <dc:creator>留恋巴黎铁塔的高度</dc:creator>
  <cp:lastModifiedBy>Administrator</cp:lastModifiedBy>
  <cp:lastPrinted>2024-04-28T07:56:00Z</cp:lastPrinted>
  <dcterms:modified xsi:type="dcterms:W3CDTF">2026-04-08T10:07:26Z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C99E744122E54008B163C9B8E9295B64_13</vt:lpwstr>
  </property>
  <property fmtid="{D5CDD505-2E9C-101B-9397-08002B2CF9AE}" pid="4" name="KSOTemplateDocerSaveRecord">
    <vt:lpwstr>eyJoZGlkIjoiMDUzOGQxMjI3ODQ5MzdmZGM3OTcwNjJjNTNkZDNiMTIiLCJ1c2VySWQiOiI0Nzk1NTEwMzAifQ==</vt:lpwstr>
  </property>
</Properties>
</file>