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兴业银行西宁分行业务营销用品（特产类）集中采购项目（二次征集）</w:t>
      </w:r>
      <w:r>
        <w:rPr>
          <w:rFonts w:hint="eastAsia" w:ascii="宋体" w:hAnsi="宋体" w:eastAsia="宋体" w:cs="宋体"/>
          <w:b/>
          <w:sz w:val="44"/>
          <w:szCs w:val="44"/>
          <w:lang w:val="en-US" w:eastAsia="zh-CN"/>
        </w:rPr>
        <w:t>》供应商征集反馈材料-公司名称（全称）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1142"/>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.1 采购需求</w:t>
            </w:r>
          </w:p>
          <w:p>
            <w:pPr>
              <w:keepNext w:val="0"/>
              <w:keepLines w:val="0"/>
              <w:pageBreakBefore w:val="0"/>
              <w:numPr>
                <w:ilvl w:val="0"/>
                <w:numId w:val="0"/>
              </w:numPr>
              <w:kinsoku/>
              <w:wordWrap/>
              <w:overflowPunct/>
              <w:bidi w:val="0"/>
              <w:snapToGrid/>
              <w:spacing w:line="240" w:lineRule="auto"/>
              <w:ind w:firstLine="480" w:firstLineChars="200"/>
              <w:textAlignment w:val="auto"/>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我行开展的各类业务营销活动提供营销用品（特产类）“以下简称营销用品”，包含但不限于牛肉干、当地酒水饮品、当地奶制品、当地农副产品、本地特色工艺/文创用品等，在满足条件且完成招标采购程序后我行将与中标供应商签订框架协议，在协议范围内根据实际需求据实结算，供应商需配合我行完成营销用品、宣传用品采购以及客户积分兑换等工作。</w:t>
            </w:r>
          </w:p>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Times New Roman" w:hAnsi="Times New Roman" w:eastAsia="宋体" w:cs="Times New Roman"/>
                <w:kern w:val="2"/>
                <w:sz w:val="24"/>
                <w:szCs w:val="24"/>
                <w:lang w:val="en-US" w:eastAsia="zh-CN" w:bidi="ar-SA"/>
              </w:rPr>
              <w:t>1.2.1 供应商应按照合同约定，根据我行的具体情况和实际需求，向我行提供相应规格的营销用品，以全面的服务内容、定制化的服务方案保证营销用品品质，保障货品送达时效性。</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 供应商应提供包装和配送服务，确保运输过程中物品的完好性，根据实际订单需求配送至分行辖内5家营业网点及分行本部。</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1.2.3 供应商应提供售后服务，实行“三包”（即包退、包换、包修）。如产品出现质量问题，应第一时间更换并提供相应售后服务。</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 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1.3.1 企业成立一年以上，近三年财务稳健，可稳定提供服务。在青海省西宁市有固定的经营场所。</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1.3.2 </w:t>
            </w:r>
            <w:r>
              <w:rPr>
                <w:rFonts w:hint="eastAsia" w:ascii="仿宋" w:hAnsi="仿宋" w:eastAsia="仿宋" w:cs="仿宋"/>
                <w:b w:val="0"/>
                <w:bCs w:val="0"/>
                <w:sz w:val="28"/>
                <w:szCs w:val="28"/>
                <w:lang w:val="en-US" w:eastAsia="zh-CN"/>
              </w:rPr>
              <w:t>具备2023年至今在青海地区与金融行业、重点企事业单位等合作开展的与本项目相似的成功案例（须提供相关案例合同证明材料，以合同签订日</w:t>
            </w:r>
            <w:bookmarkStart w:id="0" w:name="_GoBack"/>
            <w:bookmarkEnd w:id="0"/>
            <w:r>
              <w:rPr>
                <w:rFonts w:hint="eastAsia" w:ascii="仿宋" w:hAnsi="仿宋" w:eastAsia="仿宋" w:cs="仿宋"/>
                <w:b w:val="0"/>
                <w:bCs w:val="0"/>
                <w:sz w:val="28"/>
                <w:szCs w:val="28"/>
                <w:lang w:val="en-US" w:eastAsia="zh-CN"/>
              </w:rPr>
              <w:t>期为准）。</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2.1依法成立，为存续、在营、开业、在册、登记成立等正常企业状态。</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2.2在兴业银行开立对公账户，若中标本项目，则通过兴业银行对公账户结算该项目相关费用。</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2.3充分理解我行服务需求并能够根据需求提供相应的服务。</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2.4具有良好的商业信誉和财务情况。</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2.5依法缴纳税收和社会保障资金。</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2.7经营范围经国家行政管理部门依法批准，同时获得从事行业有效执业证明、行政许可、专业资质等证照。</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2.8两年内目标服务领域未出现严重安全事件。</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color w:val="FF0000"/>
          <w:sz w:val="32"/>
          <w:szCs w:val="32"/>
        </w:rPr>
        <w:t>兴业银行西宁分行业务营销用品（</w:t>
      </w:r>
      <w:r>
        <w:rPr>
          <w:rFonts w:hint="eastAsia" w:ascii="仿宋" w:hAnsi="仿宋" w:eastAsia="仿宋" w:cs="仿宋"/>
          <w:b w:val="0"/>
          <w:bCs w:val="0"/>
          <w:color w:val="FF0000"/>
          <w:sz w:val="32"/>
          <w:szCs w:val="32"/>
          <w:lang w:eastAsia="zh-CN"/>
        </w:rPr>
        <w:t>特产类</w:t>
      </w:r>
      <w:r>
        <w:rPr>
          <w:rFonts w:hint="eastAsia" w:ascii="仿宋" w:hAnsi="仿宋" w:eastAsia="仿宋" w:cs="仿宋"/>
          <w:b w:val="0"/>
          <w:bCs w:val="0"/>
          <w:color w:val="FF0000"/>
          <w:sz w:val="32"/>
          <w:szCs w:val="32"/>
        </w:rPr>
        <w:t>）集中采购项目</w:t>
      </w:r>
      <w:r>
        <w:rPr>
          <w:rFonts w:hint="eastAsia" w:ascii="仿宋" w:hAnsi="仿宋" w:eastAsia="仿宋" w:cs="仿宋"/>
          <w:b w:val="0"/>
          <w:bCs w:val="0"/>
          <w:sz w:val="32"/>
          <w:szCs w:val="32"/>
        </w:rPr>
        <w:t>》相关案例情况</w:t>
      </w:r>
      <w:r>
        <w:rPr>
          <w:rFonts w:hint="eastAsia" w:ascii="仿宋" w:hAnsi="仿宋" w:eastAsia="仿宋" w:cs="仿宋"/>
          <w:b w:val="0"/>
          <w:bCs w:val="0"/>
          <w:sz w:val="32"/>
          <w:szCs w:val="32"/>
          <w:lang w:eastAsia="zh-CN"/>
        </w:rPr>
        <w:t>：具备2023年至今在青海地区与金融行业、重点企事业单位等合作开展的与本项目相似的成功案例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DED7F9F"/>
    <w:rsid w:val="12084D55"/>
    <w:rsid w:val="13DD0D7A"/>
    <w:rsid w:val="27252CBE"/>
    <w:rsid w:val="291E3912"/>
    <w:rsid w:val="301F45BC"/>
    <w:rsid w:val="30A002F4"/>
    <w:rsid w:val="31C52187"/>
    <w:rsid w:val="365B1D40"/>
    <w:rsid w:val="503B1E49"/>
    <w:rsid w:val="5966279D"/>
    <w:rsid w:val="597A4A15"/>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2</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cibadmin</cp:lastModifiedBy>
  <dcterms:modified xsi:type="dcterms:W3CDTF">2026-04-27T08:46:56Z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