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AF8AE">
      <w:pPr>
        <w:keepNext/>
        <w:keepLines/>
        <w:widowControl/>
        <w:numPr>
          <w:ilvl w:val="0"/>
          <w:numId w:val="0"/>
        </w:numPr>
        <w:snapToGrid w:val="0"/>
        <w:spacing w:line="360" w:lineRule="auto"/>
        <w:jc w:val="center"/>
        <w:outlineLvl w:val="0"/>
        <w:rPr>
          <w:rFonts w:ascii="宋体" w:hAnsi="宋体" w:cs="宋体"/>
          <w:b/>
          <w:color w:val="auto"/>
          <w:kern w:val="28"/>
          <w:sz w:val="36"/>
          <w:szCs w:val="20"/>
          <w:highlight w:val="none"/>
        </w:rPr>
      </w:pPr>
      <w:bookmarkStart w:id="0" w:name="_Toc12037"/>
      <w:bookmarkStart w:id="1" w:name="_Toc12883"/>
      <w:r>
        <w:rPr>
          <w:rFonts w:hint="eastAsia" w:ascii="宋体" w:hAnsi="宋体" w:cs="宋体"/>
          <w:b/>
          <w:color w:val="auto"/>
          <w:kern w:val="28"/>
          <w:sz w:val="36"/>
          <w:szCs w:val="20"/>
          <w:highlight w:val="none"/>
        </w:rPr>
        <w:t>采购项目要求</w:t>
      </w:r>
      <w:bookmarkEnd w:id="0"/>
      <w:bookmarkEnd w:id="1"/>
    </w:p>
    <w:p w14:paraId="15939951">
      <w:pPr>
        <w:spacing w:line="360" w:lineRule="auto"/>
        <w:ind w:firstLine="0" w:firstLineChars="0"/>
        <w:jc w:val="left"/>
        <w:outlineLvl w:val="0"/>
        <w:rPr>
          <w:rFonts w:ascii="宋体" w:hAnsi="宋体" w:cs="宋体"/>
          <w:b/>
          <w:bCs/>
          <w:color w:val="auto"/>
          <w:sz w:val="24"/>
          <w:szCs w:val="24"/>
          <w:highlight w:val="none"/>
          <w:lang w:val="zh-CN"/>
        </w:rPr>
      </w:pPr>
      <w:bookmarkStart w:id="2" w:name="_Toc32595"/>
      <w:bookmarkStart w:id="3" w:name="_Toc32606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zh-CN"/>
        </w:rPr>
        <w:t>商务要求</w:t>
      </w:r>
      <w:bookmarkEnd w:id="2"/>
      <w:bookmarkEnd w:id="3"/>
    </w:p>
    <w:p w14:paraId="4F542767">
      <w:pPr>
        <w:autoSpaceDE w:val="0"/>
        <w:autoSpaceDN w:val="0"/>
        <w:spacing w:line="360" w:lineRule="auto"/>
        <w:ind w:firstLine="480"/>
        <w:rPr>
          <w:rFonts w:hint="eastAsia" w:ascii="方正公文小标宋" w:hAnsi="方正公文小标宋" w:eastAsia="方正公文小标宋" w:cs="方正公文小标宋"/>
          <w:b/>
          <w:color w:val="auto"/>
          <w:sz w:val="3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1.交货时间：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自合同签订之日起60个自然日</w:t>
      </w:r>
    </w:p>
    <w:p w14:paraId="0034C449">
      <w:pPr>
        <w:autoSpaceDE w:val="0"/>
        <w:autoSpaceDN w:val="0"/>
        <w:spacing w:line="360" w:lineRule="auto"/>
        <w:ind w:firstLine="480"/>
        <w:rPr>
          <w:rFonts w:hint="eastAsia"/>
          <w:color w:val="auto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2.交货地点：青海省西宁市（青海九七一一所）</w:t>
      </w:r>
    </w:p>
    <w:p w14:paraId="152AADCA">
      <w:pPr>
        <w:autoSpaceDE w:val="0"/>
        <w:autoSpaceDN w:val="0"/>
        <w:spacing w:line="360" w:lineRule="auto"/>
        <w:ind w:firstLine="48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3.付款方式：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详见“第四部分  采购项目合同书”中“四、付款方式”的规定</w:t>
      </w:r>
    </w:p>
    <w:p w14:paraId="56F3208F">
      <w:pPr>
        <w:autoSpaceDE w:val="0"/>
        <w:autoSpaceDN w:val="0"/>
        <w:spacing w:line="360" w:lineRule="auto"/>
        <w:ind w:firstLine="48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4.免费质保期：自验收合格起2年</w:t>
      </w:r>
    </w:p>
    <w:p w14:paraId="06CDBB4B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售后服务要求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质保期内如发生</w:t>
      </w:r>
      <w:bookmarkStart w:id="6" w:name="_GoBack"/>
      <w:bookmarkEnd w:id="6"/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质量问题，供应商应在24小时内予以配合解决，并承担由此发生的全部费用。</w:t>
      </w:r>
    </w:p>
    <w:p w14:paraId="5E36A2D6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其他要求(包装和运输，保险等)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运输过程中产品发生损坏的由供应商自行承担。</w:t>
      </w:r>
    </w:p>
    <w:p w14:paraId="2A31BF42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7.为保障施工安全，供应商须在响应文件中承诺：项目实施期间，派往现场进行高处作业、电工作业、焊接（热切割）作业的人员，必须持有有效的《特种作业操作证》，并在响应文件中提供证书复印件。未提供承诺或承诺不符合要求的，按无效响应处理。</w:t>
      </w:r>
    </w:p>
    <w:p w14:paraId="28C21B5E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8.供应商</w:t>
      </w:r>
      <w:r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所投产品属于《强制性产品认证目录》以内的，须提供中国强制性产品认证（CCC认证，简称3C认证），否则按无效投标处理。</w:t>
      </w:r>
    </w:p>
    <w:p w14:paraId="5FBF5DB6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9.供应商</w:t>
      </w:r>
      <w:r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所投产品属于《节能产品政府采购品目清单》以内带“★”标注的产品的，须提供相关认证证明，否则按无效投标处理。</w:t>
      </w:r>
    </w:p>
    <w:p w14:paraId="3C6724F1"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111CEAB"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二、技术参数及要求</w:t>
      </w:r>
    </w:p>
    <w:p w14:paraId="4935976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tbl>
      <w:tblPr>
        <w:tblStyle w:val="3"/>
        <w:tblW w:w="10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369"/>
        <w:gridCol w:w="1325"/>
        <w:gridCol w:w="1532"/>
        <w:gridCol w:w="3057"/>
      </w:tblGrid>
      <w:tr w14:paraId="023A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22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D1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73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7B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9B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E8F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ED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1A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展馆LED展示屏(含控制系统)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25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62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12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含11块屏（含1块弧形）</w:t>
            </w:r>
          </w:p>
        </w:tc>
      </w:tr>
      <w:tr w14:paraId="506D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09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B0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联体式空调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F3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15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35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 台 5 匹顶吸 + 2 台 1.5 匹挂机</w:t>
            </w:r>
          </w:p>
        </w:tc>
      </w:tr>
      <w:tr w14:paraId="0CD4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00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B7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投影仪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7A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5C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73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40A27A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28BAE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74335B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技术参数</w:t>
      </w:r>
    </w:p>
    <w:p w14:paraId="112AF79A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一、LED屏幕：</w:t>
      </w:r>
    </w:p>
    <w:p w14:paraId="3FEDC00B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4" w:name="heading_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（一）技术参数</w:t>
      </w:r>
      <w:bookmarkEnd w:id="4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0"/>
        <w:gridCol w:w="6643"/>
      </w:tblGrid>
      <w:tr w14:paraId="2956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3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参数项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B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指标要求</w:t>
            </w:r>
          </w:p>
        </w:tc>
      </w:tr>
      <w:tr w14:paraId="24FC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C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亮度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C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≥600 cd/㎡</w:t>
            </w:r>
          </w:p>
        </w:tc>
      </w:tr>
      <w:tr w14:paraId="7695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C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可视角度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F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水平≥160° / 垂直≥160°</w:t>
            </w:r>
          </w:p>
        </w:tc>
      </w:tr>
      <w:tr w14:paraId="7D80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3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功耗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7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峰值≤420W/㎡；平均≤140W/㎡</w:t>
            </w:r>
          </w:p>
        </w:tc>
      </w:tr>
      <w:tr w14:paraId="3DAA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D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工作温度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7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-10℃~40℃</w:t>
            </w:r>
          </w:p>
        </w:tc>
      </w:tr>
      <w:tr w14:paraId="6B29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D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工作湿度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2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10%~80%RH（无冷凝）</w:t>
            </w:r>
          </w:p>
        </w:tc>
      </w:tr>
      <w:tr w14:paraId="7F7C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1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寿命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1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≥100000小时</w:t>
            </w:r>
          </w:p>
        </w:tc>
      </w:tr>
      <w:tr w14:paraId="3D2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像素点间距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1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≤1.56mm</w:t>
            </w:r>
          </w:p>
        </w:tc>
      </w:tr>
      <w:tr w14:paraId="1B52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A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像素密度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2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≥422500点/㎡</w:t>
            </w:r>
          </w:p>
        </w:tc>
      </w:tr>
      <w:tr w14:paraId="5F53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6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换帧频率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3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≥60帧/秒</w:t>
            </w:r>
          </w:p>
        </w:tc>
      </w:tr>
      <w:tr w14:paraId="3B19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4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刷新率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A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≥3840Hz</w:t>
            </w:r>
          </w:p>
        </w:tc>
      </w:tr>
      <w:tr w14:paraId="3801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5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灰度等级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2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≥16bit</w:t>
            </w:r>
          </w:p>
        </w:tc>
      </w:tr>
      <w:tr w14:paraId="4920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4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5" w:name="heading_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导体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8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纯铜，具备独立电源开关与保护</w:t>
            </w:r>
          </w:p>
        </w:tc>
      </w:tr>
      <w:tr w14:paraId="68BC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C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控制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A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LED大屏采用一套一控制系统；集成视频处理器、接收卡和音视频播放控制软件系统(包含配电系统)。</w:t>
            </w:r>
          </w:p>
        </w:tc>
      </w:tr>
      <w:tr w14:paraId="185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1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功能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D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支持电视可视化、监控画面及本地源画面上墙操作：支持添加字幕，编辑字幕信息，包括文字字幕、时钟字幕等，支持编辑字幕背景色，透明度。</w:t>
            </w:r>
          </w:p>
          <w:p w14:paraId="6A0C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481B861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（二）单屏尺寸明细（总面积约82㎡）</w:t>
      </w:r>
      <w:bookmarkEnd w:id="5"/>
    </w:p>
    <w:tbl>
      <w:tblPr>
        <w:tblStyle w:val="3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9"/>
        <w:gridCol w:w="1601"/>
        <w:gridCol w:w="1804"/>
        <w:gridCol w:w="2108"/>
        <w:gridCol w:w="1825"/>
      </w:tblGrid>
      <w:tr w14:paraId="101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1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E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长（m）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5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宽（m）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1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单屏面积（㎡）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D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52D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B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8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5.22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C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1.70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2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8.87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4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1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3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B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2.66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1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7.14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6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18.99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E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D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D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8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7.46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C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2.66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EE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19.84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C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弧形屏</w:t>
            </w:r>
          </w:p>
        </w:tc>
      </w:tr>
      <w:tr w14:paraId="0C79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0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A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D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5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2.11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0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4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A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5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4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2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4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6C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4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D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3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7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7.66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3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9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D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2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5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1.84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B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C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2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B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D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9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4.76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1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00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F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7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A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D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E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4C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A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1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B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3.57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2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C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B8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B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C0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3.30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7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6.11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3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3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4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5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4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A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A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00E4145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（三）施工要求</w:t>
      </w:r>
    </w:p>
    <w:p w14:paraId="14D56BAB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包含旧屏幕拆除搬运、新建屏幕安装调试，电缆、电源及音视频线束铺设及集成，同时因安装造成的展馆吊顶墙体等破坏需复原(拆除破坏情况需现场踏勘)。</w:t>
      </w:r>
    </w:p>
    <w:p w14:paraId="47C9E444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二、投影仪：</w:t>
      </w:r>
    </w:p>
    <w:p w14:paraId="14E56FDB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（一）技术参数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0"/>
        <w:gridCol w:w="6643"/>
      </w:tblGrid>
      <w:tr w14:paraId="45A1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4A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参数项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7D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指标要求</w:t>
            </w:r>
          </w:p>
        </w:tc>
      </w:tr>
      <w:tr w14:paraId="260D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B4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物理分辨率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≥1920x1200</w:t>
            </w:r>
          </w:p>
        </w:tc>
      </w:tr>
      <w:tr w14:paraId="6AFA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C7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支持分辨率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38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4k</w:t>
            </w:r>
          </w:p>
        </w:tc>
      </w:tr>
      <w:tr w14:paraId="407A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80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亮度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2C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≥6000流明</w:t>
            </w:r>
          </w:p>
        </w:tc>
      </w:tr>
      <w:tr w14:paraId="3804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34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CC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激光，寿命≥20000 小时</w:t>
            </w:r>
          </w:p>
        </w:tc>
      </w:tr>
      <w:tr w14:paraId="2CAF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01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E4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≤30dB(A)</w:t>
            </w:r>
          </w:p>
        </w:tc>
      </w:tr>
      <w:tr w14:paraId="533A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C7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投射比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D5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1.2-1.56</w:t>
            </w:r>
          </w:p>
        </w:tc>
      </w:tr>
      <w:tr w14:paraId="378B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6B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镜头位移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C3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垂直≥±40%，水平≥±20%；</w:t>
            </w:r>
          </w:p>
        </w:tc>
      </w:tr>
      <w:tr w14:paraId="151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37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梯形校正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B3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≥±30°，支持畸变矫正</w:t>
            </w:r>
          </w:p>
        </w:tc>
      </w:tr>
      <w:tr w14:paraId="1D6D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35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0D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支持网制及常规视频信号输入（含HDMI、VGA、网口等主流接口），可适配多种信号源接入。</w:t>
            </w:r>
          </w:p>
        </w:tc>
      </w:tr>
      <w:tr w14:paraId="323B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86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40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包含标准镜头</w:t>
            </w:r>
          </w:p>
        </w:tc>
      </w:tr>
      <w:tr w14:paraId="0EFE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AD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54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七色调整、DCR、数字变焦、一键遮屏</w:t>
            </w:r>
          </w:p>
        </w:tc>
      </w:tr>
    </w:tbl>
    <w:p w14:paraId="3DB62ABB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（二）施工要求</w:t>
      </w:r>
    </w:p>
    <w:p w14:paraId="3CD3FF3D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包含旧投影拆除搬运、新建投影安装调试，电缆、电源及音视频线束铺设及集成，同时因安装造成的展馆吊顶墙体等破坏需复原(拆除破坏情况需现场踏勘)。</w:t>
      </w:r>
    </w:p>
    <w:p w14:paraId="02626855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 空调：5匹顶吸式室内机：13 台；1.5匹变频挂机：2 台</w:t>
      </w:r>
    </w:p>
    <w:p w14:paraId="1FC4309B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（一）技术参数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0"/>
        <w:gridCol w:w="6643"/>
      </w:tblGrid>
      <w:tr w14:paraId="7A95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59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参数项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2E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指标要求</w:t>
            </w:r>
          </w:p>
        </w:tc>
      </w:tr>
      <w:tr w14:paraId="3047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35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1.5匹，变频 2台</w:t>
            </w:r>
          </w:p>
        </w:tc>
      </w:tr>
      <w:tr w14:paraId="1267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35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26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380V/50Hz</w:t>
            </w:r>
          </w:p>
        </w:tc>
      </w:tr>
      <w:tr w14:paraId="6B38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11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B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90KW</w:t>
            </w:r>
          </w:p>
        </w:tc>
      </w:tr>
      <w:tr w14:paraId="2453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96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制热量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92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100KW</w:t>
            </w:r>
          </w:p>
        </w:tc>
      </w:tr>
      <w:tr w14:paraId="6327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BC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制冷输入功率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84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24.1KW</w:t>
            </w:r>
          </w:p>
        </w:tc>
      </w:tr>
      <w:tr w14:paraId="118F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B9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制热输入功率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5F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24.4KW</w:t>
            </w:r>
          </w:p>
        </w:tc>
      </w:tr>
      <w:tr w14:paraId="79BE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BC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E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1级能效</w:t>
            </w:r>
          </w:p>
        </w:tc>
      </w:tr>
      <w:tr w14:paraId="6F54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2D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1F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冷暖双制式</w:t>
            </w:r>
          </w:p>
        </w:tc>
      </w:tr>
      <w:tr w14:paraId="20C2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31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5匹顶吸式室内机：13台</w:t>
            </w:r>
          </w:p>
        </w:tc>
      </w:tr>
      <w:tr w14:paraId="2546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33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单台制冷量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21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12.5KW</w:t>
            </w:r>
          </w:p>
        </w:tc>
      </w:tr>
      <w:tr w14:paraId="1322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8E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制热量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1E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14KW</w:t>
            </w:r>
          </w:p>
        </w:tc>
      </w:tr>
      <w:tr w14:paraId="1545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FA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C1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 w14:paraId="0756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7B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C4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1级能效</w:t>
            </w:r>
          </w:p>
        </w:tc>
      </w:tr>
      <w:tr w14:paraId="1C67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26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DD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冷暖双制式</w:t>
            </w:r>
          </w:p>
        </w:tc>
      </w:tr>
      <w:tr w14:paraId="6C75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32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35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≤44dB(A)</w:t>
            </w:r>
          </w:p>
        </w:tc>
      </w:tr>
      <w:tr w14:paraId="71EF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70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机外静压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52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≥180Pa</w:t>
            </w:r>
          </w:p>
        </w:tc>
      </w:tr>
    </w:tbl>
    <w:p w14:paraId="7B393B1E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 材质：具有可控高效油循环技术，纯铜管线材质。</w:t>
      </w:r>
    </w:p>
    <w:p w14:paraId="374F1DA0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 包含空调总管道、分歧管、保温材料、支架等全套安装辅材</w:t>
      </w:r>
    </w:p>
    <w:p w14:paraId="56C02CEE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 包含单体空调与联体空调的安装与调试，电缆电源及空调排水管的铺设，同时因安装造成的吊顶墙体等破坏需复原(拆除破坏情况需现场踏勘)。联机空调外机安装位置处于13楼(楼顶)，楼顶可供安装区域较小，同时涉及高空作业(具体情况需现场踏勘)</w:t>
      </w:r>
    </w:p>
    <w:p w14:paraId="32333D79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054713F"/>
    <w:sectPr>
      <w:pgSz w:w="11906" w:h="16838"/>
      <w:pgMar w:top="1440" w:right="148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2BED"/>
    <w:rsid w:val="598D6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List Paragraph"/>
    <w:basedOn w:val="1"/>
    <w:qFormat/>
    <w:uiPriority w:val="34"/>
    <w:pPr>
      <w:spacing w:line="240" w:lineRule="auto"/>
      <w:ind w:firstLine="42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1727</Characters>
  <Lines>0</Lines>
  <Paragraphs>0</Paragraphs>
  <TotalTime>0</TotalTime>
  <ScaleCrop>false</ScaleCrop>
  <LinksUpToDate>false</LinksUpToDate>
  <CharactersWithSpaces>1748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2026-05-09T04:27:36Z</dcterms:created>
  <dc:creator>Administrator</dc:creator>
  <cp:lastModifiedBy>玉簪轻绾融于发</cp:lastModifiedBy>
  <dcterms:modified xsi:type="dcterms:W3CDTF">2026-05-09T06:28:02Z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eyJoZGlkIjoiMTMzYjhjNTk5ZjkyZjE2OWI2OTQ5ZjRkMGY4ZjU1MzciLCJ1c2VySWQiOiIxODI3MDM3NTk0In0=</vt:lpwstr>
  </property>
  <property fmtid="{D5CDD505-2E9C-101B-9397-08002B2CF9AE}" pid="4" name="ICV">
    <vt:lpwstr>349B6571859045EDBD675A36681E8AFC_13</vt:lpwstr>
  </property>
</Properties>
</file>