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F35A2">
      <w:pPr>
        <w:pStyle w:val="21"/>
        <w:spacing w:beforeLines="0" w:afterLines="0"/>
        <w:rPr>
          <w:rFonts w:hint="eastAsia" w:ascii="黑体" w:hAnsi="黑体" w:eastAsia="黑体" w:cs="黑体"/>
          <w:b/>
          <w:color w:val="auto"/>
          <w:kern w:val="2"/>
          <w:sz w:val="24"/>
          <w:szCs w:val="24"/>
          <w:highlight w:val="none"/>
          <w:lang w:val="en-US" w:eastAsia="zh-CN"/>
        </w:rPr>
      </w:pPr>
      <w:r>
        <w:rPr>
          <w:rFonts w:hint="eastAsia" w:ascii="黑体" w:hAnsi="黑体" w:eastAsia="黑体" w:cs="黑体"/>
          <w:b/>
          <w:color w:val="auto"/>
          <w:kern w:val="2"/>
          <w:sz w:val="24"/>
          <w:szCs w:val="24"/>
          <w:highlight w:val="none"/>
          <w:lang w:val="en-US"/>
        </w:rPr>
        <w:t>附件</w:t>
      </w:r>
      <w:r>
        <w:rPr>
          <w:rFonts w:hint="eastAsia" w:ascii="黑体" w:hAnsi="黑体" w:eastAsia="黑体" w:cs="黑体"/>
          <w:b/>
          <w:color w:val="auto"/>
          <w:kern w:val="2"/>
          <w:sz w:val="24"/>
          <w:szCs w:val="24"/>
          <w:highlight w:val="none"/>
          <w:lang w:val="en-US" w:eastAsia="zh-CN"/>
        </w:rPr>
        <w:t>1</w:t>
      </w:r>
      <w:r>
        <w:rPr>
          <w:rFonts w:hint="eastAsia" w:ascii="黑体" w:hAnsi="黑体" w:eastAsia="黑体" w:cs="黑体"/>
          <w:b/>
          <w:color w:val="auto"/>
          <w:kern w:val="2"/>
          <w:sz w:val="24"/>
          <w:szCs w:val="24"/>
          <w:highlight w:val="none"/>
          <w:lang w:val="en-US"/>
        </w:rPr>
        <w:t>：专用资质业绩要求</w:t>
      </w:r>
    </w:p>
    <w:p w14:paraId="02CE0C5F">
      <w:pPr>
        <w:pStyle w:val="22"/>
        <w:spacing w:beforeLines="0" w:afterLines="0"/>
        <w:jc w:val="both"/>
        <w:rPr>
          <w:rFonts w:hint="eastAsia" w:hAnsi="Calibri" w:cs="Times New Roman"/>
          <w:color w:val="auto"/>
          <w:sz w:val="24"/>
          <w:szCs w:val="24"/>
          <w:highlight w:val="none"/>
        </w:rPr>
      </w:pPr>
    </w:p>
    <w:tbl>
      <w:tblPr>
        <w:tblStyle w:val="18"/>
        <w:tblW w:w="13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861"/>
        <w:gridCol w:w="1540"/>
        <w:gridCol w:w="2050"/>
        <w:gridCol w:w="2830"/>
        <w:gridCol w:w="1955"/>
        <w:gridCol w:w="2744"/>
      </w:tblGrid>
      <w:tr w14:paraId="014A1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4" w:hRule="atLeast"/>
          <w:tblHeader/>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D9631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适用标包</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A7547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小类</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6C352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业绩要求（不少于）</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C76C7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试验报告</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4A229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生产设备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343B1D">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eastAsia" w:ascii="宋体" w:hAnsi="宋体" w:eastAsia="宋体" w:cs="宋体"/>
                <w:b/>
                <w:i w:val="0"/>
                <w:color w:val="000000"/>
                <w:kern w:val="0"/>
                <w:sz w:val="20"/>
                <w:szCs w:val="20"/>
                <w:u w:val="none"/>
                <w:lang w:val="en-US" w:eastAsia="zh-CN" w:bidi="ar"/>
              </w:rPr>
              <w:t>试验设备</w:t>
            </w:r>
          </w:p>
        </w:tc>
      </w:tr>
      <w:tr w14:paraId="53BCF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A0DE9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001充气式高压开关柜包1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4FC47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充气式高压开关柜</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EE3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近三年业绩不少于</w:t>
            </w:r>
            <w:r>
              <w:rPr>
                <w:rFonts w:hint="default" w:ascii="Times New Roman" w:hAnsi="Times New Roman" w:eastAsia="宋体" w:cs="Times New Roman"/>
                <w:i w:val="0"/>
                <w:color w:val="000000"/>
                <w:kern w:val="0"/>
                <w:sz w:val="18"/>
                <w:szCs w:val="18"/>
                <w:u w:val="none"/>
                <w:lang w:val="en-US" w:eastAsia="zh-CN" w:bidi="ar"/>
              </w:rPr>
              <w:t>150</w:t>
            </w:r>
            <w:r>
              <w:rPr>
                <w:rFonts w:hint="eastAsia" w:ascii="宋体" w:hAnsi="宋体" w:eastAsia="宋体" w:cs="宋体"/>
                <w:i w:val="0"/>
                <w:color w:val="000000"/>
                <w:kern w:val="0"/>
                <w:sz w:val="18"/>
                <w:szCs w:val="18"/>
                <w:u w:val="none"/>
                <w:lang w:val="en-US" w:eastAsia="zh-CN" w:bidi="ar"/>
              </w:rPr>
              <w:t>台。</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8B8ED7">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国家认可的第三方检测机构出具的有效的本体型式试验报告</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A7345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内部电弧允许持续时间≧0.5s；</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温升试验1.1倍额定电流；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接地开关额定短路电流关合次数≧2次；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局放试验≤100pC。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可移开部件的机械操作试验≧3000次。</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9F96A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1、数控折弯机（或具备折剪冲功能的数控加工中心）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2、数控剪板机（或具备折剪冲功能的数控加工中心）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3、数控冲床（或具备折剪冲功能的数控加工中心）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4、母排加工机</w:t>
            </w:r>
          </w:p>
        </w:tc>
      </w:tr>
      <w:tr w14:paraId="10AFB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1A6A0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002交流断路器包1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09215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瓷柱式交流断路器</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B3C80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8D766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39DF7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FDCAC5">
            <w:pPr>
              <w:keepNext w:val="0"/>
              <w:keepLines w:val="0"/>
              <w:widowControl/>
              <w:suppressLineNumbers w:val="0"/>
              <w:jc w:val="center"/>
              <w:textAlignment w:val="center"/>
              <w:rPr>
                <w:rFonts w:hint="default"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C0E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8BA6B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002交流断路器包2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2A35F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柜内交流断路器</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4A5A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52B74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国家认可的第三方检测机构出具的有效的本体型式试验报告</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72DEA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5AD29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3631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C9E27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003低压开关柜包1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EAF97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低压开关柜</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88FF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3117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F423C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AEE5A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E73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7A2E4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004箱式变电站包1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54724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35kA箱式变电站</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F81B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CE07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7DD7C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04612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02C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43A4B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005避雷器配件包1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84B72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避雷器配件</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367D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近三年业绩不少于</w:t>
            </w:r>
            <w:r>
              <w:rPr>
                <w:rFonts w:hint="default" w:ascii="Times New Roman" w:hAnsi="Times New Roman" w:eastAsia="宋体" w:cs="Times New Roman"/>
                <w:i w:val="0"/>
                <w:color w:val="000000"/>
                <w:kern w:val="0"/>
                <w:sz w:val="18"/>
                <w:szCs w:val="18"/>
                <w:u w:val="none"/>
                <w:lang w:val="en-US" w:eastAsia="zh-CN" w:bidi="ar"/>
              </w:rPr>
              <w:t>100</w:t>
            </w:r>
            <w:r>
              <w:rPr>
                <w:rFonts w:hint="eastAsia" w:ascii="宋体" w:hAnsi="宋体" w:eastAsia="宋体" w:cs="宋体"/>
                <w:i w:val="0"/>
                <w:color w:val="000000"/>
                <w:kern w:val="0"/>
                <w:sz w:val="18"/>
                <w:szCs w:val="18"/>
                <w:u w:val="none"/>
                <w:lang w:val="en-US" w:eastAsia="zh-CN" w:bidi="ar"/>
              </w:rPr>
              <w:t>万元</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310F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所投产品中配件或配件对应整设备须提供国家认可的第三方检测机构出具有效的的检测报告以及通过型式试验设备的主要组部件应用证明。</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5EE83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35BF1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C842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CDB80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006变压器配件包1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101B2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变压器PLC模块、变压器储油柜、变压器胶囊、变压器气体继电器</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0795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近三年业绩不少于200万元</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52D0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所投产品中配件或配件对应整设备须提供国家认可的第三方检测机构出具有效的的检测报告以及通过型式试验设备的主要组部件应用证明。</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E0913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4BAD5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1FBF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A7C91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007变压器套管包1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48550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变压器套管</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6E19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近三年业绩不少于200万元</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9959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所投产品中配件或配件对应整设备须提供国家认可的第三方检测机构出具有效的的检测报告以及通过型式试验设备的主要组部件应用证明。</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5D881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9AA52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B341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67176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007变压器套管包2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34715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变压器套管</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970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近三年业绩不少于200万元</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C2B7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所投产品中配件或配件对应整设备须提供国家认可的第三方检测机构出具有效的的检测报告以及通过型式试验设备的主要组部件应用证明。</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43AA7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E536F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669E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D79F4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008电抗器配件包1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5C258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电抗器配件</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776A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近三年业绩不少于100万元</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CC82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所投产品中配件或配件对应整设备须提供国家认可的第三方检测机构出具有效的的检测报告以及通过型式试验设备的主要组部件应用证明。</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7594E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61F6E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4F44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6C63C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009电流互感器配件包1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1A4BA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电流互感器配件直流电流互感器电子测量模块</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288C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近三年业绩不少于50万元</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39E1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所投产品中配件或配件对应整设备须提供国家认可的第三方检测机构出具有效的的检测报告以及通过型式试验设备的主要组部件应用证明。</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07416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5C1CA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83E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F91E7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010调相机配件包1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8E920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调相机配件,主机配件</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928D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ECD0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A28D6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D29C4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74C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70664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011断路器操动机构包1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7AC8E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断路器操动机构</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6E2E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EF6B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4E519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C2A6A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504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084FC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012隔离开关传动配件包1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51584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隔离开关传动配件、隔离开关导电配件</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E5A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5241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1346C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945DC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C80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6336A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013开关柜传动配件包1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7D8BA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开关柜（箱）传动配件、开关柜（箱）绝缘配件、开关柜（箱）壳体配件</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D47F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67A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5FC94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796A2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10CB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6B00A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014组合电器配件包1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B1735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组合电器汇控柜</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AEDF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E90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FC251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A3408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B452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442A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014组合电器配件包2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5914A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组合电器内隔离开关</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583E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14E6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4C399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6E5FE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205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9584A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015UPS电源包1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C9A04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UPS电源</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E9AE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C7EA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BB083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07AF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B289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06EDF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016电源系统包1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AF011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智能一体化电源系统、、一体化电源系统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64F8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A858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7C440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FE1B8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5D31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BDE2F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016电源系统包2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63DF3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直流-48V通信电源成套设备、馈电屏</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7100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29AF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840D0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C4F15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09F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FBA03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017变电在线监测装置包1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8E3F9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变电在线监测装置,变压器在线监测系统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7564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A987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5744D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2DD78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380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6204D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017变电在线监测装置包2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B1AAD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变电在线监测装置,剩余电流监测系统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3085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8C97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9C2E1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451C9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8FE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F7AE5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017变电在线监测装置包3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AFF35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变电在线监测装置,测温监测系统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9819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0AE4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55A25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3C793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35C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A5F95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017变电在线监测装置包4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5B391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变电在线监测装置,油色谱监测系统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D382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A5B2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CE7AA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C0CED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D09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517C9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017变电在线监测装置包5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C4D77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智能变电站状态监测,二次状态在线监测</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A3E0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BB69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提供国家认可第三方检验检测机构出具的型式试验报告或检验检测报告</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029AA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6EEFA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916F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09847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018换流站设备在线监测包1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9780B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换流站设备在线监测</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DF70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A85C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09E13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5FAB1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3FBE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A3BC3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019线路在线监测装置包1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05E63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线路在线监测装置</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CC4C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5F7C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EB029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57B59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932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8AD56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020变电站在线智能巡视系统包1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C8C63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变电站在线智能巡视系统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9BC0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F513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EF997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5A7EB6">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AB3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299CB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021变电站一键顺控系统包1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0D25B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变电站一键顺控系统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7049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0BC25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D9439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08F1B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141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2F785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022换流变主动防御保护装置包1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1F565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换流变主动防御保护装置</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312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82C41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2C79CC">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23472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F95D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8C74A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023辅助系统综合监控平台包1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9E440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智能变电站辅助系统综合监控平台</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849D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C604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81B0D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634FE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F816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36213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023辅助系统综合监控平台包2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FD941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智能变电站辅助系统综合监控平台</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C159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8459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2B657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F6F53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1CF5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AD1B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024防误闭锁系统包1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963F8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防误闭锁系统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0CE0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E003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69328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CE6AF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C1A6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19745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025图像监视系统包1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20CF2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图像监视系统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DCF4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9F38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7CD4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68A414">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295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1C4D4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026机房环境监控系统包1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945F9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机房环境监控系统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35C4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B100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DBB3E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DAAD6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FF0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9E678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027采集系统包1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E8A08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智能变电站电能量采集终端</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38D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EB2B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提供国家认可第三方检验检测机构出具的型式试验报告或检验检测报告</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335EA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C9272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8EE0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6032C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028智能终端合并单元一体化装置包1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A3281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智能终端合并单元一体化装置</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361DB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009B2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36535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566799">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6D78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FFA3A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029蓄电池放电仪包1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14FD2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蓄电池放电仪</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92B30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9F08F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提供国家认可第三方检验检测机构出具的型式试验报告或检验检测报告</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084A8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48FE2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F6A7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42EBF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030变电在线监测装置配件包1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985B6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变电在线监测装置配件</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402D7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近三年业绩不少于</w:t>
            </w:r>
            <w:r>
              <w:rPr>
                <w:rFonts w:hint="default" w:ascii="Times New Roman" w:hAnsi="Times New Roman" w:eastAsia="宋体" w:cs="Times New Roman"/>
                <w:i w:val="0"/>
                <w:color w:val="000000"/>
                <w:kern w:val="0"/>
                <w:sz w:val="18"/>
                <w:szCs w:val="18"/>
                <w:u w:val="none"/>
                <w:lang w:val="en-US" w:eastAsia="zh-CN" w:bidi="ar"/>
              </w:rPr>
              <w:t>100</w:t>
            </w:r>
            <w:r>
              <w:rPr>
                <w:rFonts w:hint="eastAsia" w:ascii="宋体" w:hAnsi="宋体" w:eastAsia="宋体" w:cs="宋体"/>
                <w:i w:val="0"/>
                <w:color w:val="000000"/>
                <w:kern w:val="0"/>
                <w:sz w:val="18"/>
                <w:szCs w:val="18"/>
                <w:u w:val="none"/>
                <w:lang w:val="en-US" w:eastAsia="zh-CN" w:bidi="ar"/>
              </w:rPr>
              <w:t>万元</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109F8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所投产品中配件或配件对应整设备须提供国家认可的第三方检测机构出具有效的的检测报告以及通过型式试验设备的主要组部件应用证明。</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55A5C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1A48C3">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0CE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5FDB4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031调相机配件包1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F4F18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调相机配件</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C4B1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197D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9534E2">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9E884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503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3B7C1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032换流站控制保护配件包1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39A00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换流站控制保护配件</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3F83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38D1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2A8E2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A8C780">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813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51C99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033电视会议外围成套设备包1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0449D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电视会议外围成套设备</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B590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9312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023908">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0581CA">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3E16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36B43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033电视会议外围成套设备包2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88AA8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电视会议外围成套设备</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80CA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1F35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A4A41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AECCA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E1D1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D925E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034通信设备包1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B5557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接入设备、数字程控交换系统、、综合接入设备</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875A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FE9C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406EC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9D7C81">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040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31AD1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034通信设备包2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92FB0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数字无线多地址通信系统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A481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7132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EDB12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2E940F">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F63D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14A7F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034通信设备包3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FCADC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通信监控系统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76FE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043F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01D4AD">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D48D45">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ED01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2BED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035生产管理系统包1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F773E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生产管理系统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D6989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0DEB1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DB3DE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968A1E">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54B8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0BA86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036钢芯耐热铝合金绞线包1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5971D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钢芯耐热铝合金绞线</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A142A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FEAA6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E8AF5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D2A95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C9C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1F2E3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037同轴电缆及网络线包1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D5592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同轴电缆、网络线、信号电缆、通信电缆</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B128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E986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BC7BC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93E38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AC4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87E58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038电缆附件包1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80087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电缆夹具、电缆相色管、热缩绝缘带、热缩绝缘盒、热缩绝缘护套</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4871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41C4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A87D7B">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BB74B7">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AD6B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C0A7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039光缆附件包1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73E81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光缆槽盒、光缆防振金具</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B24E4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F482B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F4DDA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6555D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082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59C94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040变电站预制仓包1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BB7A5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变电站预制仓</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46FF2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15A6F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B8703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E916A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537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9310D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041接地模块包1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64753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接地模块</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AD738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FA8D4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83C03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0CE3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314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21383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042燃料化工包1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F0F5B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防火堵料、绝缘涂料</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32EDD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近三年业绩不少于</w:t>
            </w:r>
            <w:r>
              <w:rPr>
                <w:rFonts w:hint="default" w:ascii="Times New Roman" w:hAnsi="Times New Roman" w:eastAsia="宋体" w:cs="Times New Roman"/>
                <w:i w:val="0"/>
                <w:color w:val="000000"/>
                <w:kern w:val="0"/>
                <w:sz w:val="18"/>
                <w:szCs w:val="18"/>
                <w:u w:val="none"/>
                <w:lang w:val="en-US" w:eastAsia="zh-CN" w:bidi="ar"/>
              </w:rPr>
              <w:t>100</w:t>
            </w:r>
            <w:r>
              <w:rPr>
                <w:rFonts w:hint="eastAsia" w:ascii="宋体" w:hAnsi="宋体" w:eastAsia="宋体" w:cs="宋体"/>
                <w:i w:val="0"/>
                <w:color w:val="000000"/>
                <w:kern w:val="0"/>
                <w:sz w:val="18"/>
                <w:szCs w:val="18"/>
                <w:u w:val="none"/>
                <w:lang w:val="en-US" w:eastAsia="zh-CN" w:bidi="ar"/>
              </w:rPr>
              <w:t>万元</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6E783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国家认可的第三方检测机构出具的有效的型式试验报告</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18B9B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367A6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27B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D2FF5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043SF6气体检漏仪包1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1643B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SF6气体检漏仪</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FAB69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BD7E5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w:t>
            </w:r>
            <w:r>
              <w:rPr>
                <w:rFonts w:hint="default" w:ascii="Times New Roman" w:hAnsi="Times New Roman" w:eastAsia="宋体" w:cs="Times New Roman"/>
                <w:i w:val="0"/>
                <w:color w:val="000000"/>
                <w:kern w:val="0"/>
                <w:sz w:val="18"/>
                <w:szCs w:val="18"/>
                <w:u w:val="none"/>
                <w:lang w:val="en-US" w:eastAsia="zh-CN" w:bidi="ar"/>
              </w:rPr>
              <w:t>SF6</w:t>
            </w:r>
            <w:r>
              <w:rPr>
                <w:rFonts w:hint="eastAsia" w:ascii="宋体" w:hAnsi="宋体" w:eastAsia="宋体" w:cs="宋体"/>
                <w:i w:val="0"/>
                <w:color w:val="000000"/>
                <w:kern w:val="0"/>
                <w:sz w:val="18"/>
                <w:szCs w:val="18"/>
                <w:u w:val="none"/>
                <w:lang w:val="en-US" w:eastAsia="zh-CN" w:bidi="ar"/>
              </w:rPr>
              <w:t>气体检漏仪的型式试验报告。</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65E9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41B3A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1、装配类设备</w:t>
            </w:r>
            <w:r>
              <w:rPr>
                <w:rFonts w:hint="default" w:ascii="Times New Roman" w:hAnsi="Times New Roman" w:eastAsia="宋体" w:cs="Times New Roman"/>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、焊接类设备</w:t>
            </w:r>
            <w:r>
              <w:rPr>
                <w:rFonts w:hint="default" w:ascii="Times New Roman" w:hAnsi="Times New Roman" w:eastAsia="宋体" w:cs="Times New Roman"/>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、包装类设备</w:t>
            </w:r>
          </w:p>
        </w:tc>
      </w:tr>
      <w:tr w14:paraId="2DB09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35E5D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044避雷器阻性电流检测仪包1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7F30F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避雷器阻性电流检测仪</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21D45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B018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国家认可的第三方检测机构出具的有效的避雷器阻性电流检测仪的型式试验报告。</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5CE81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7CF58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1、装配类设备</w:t>
            </w:r>
            <w:r>
              <w:rPr>
                <w:rFonts w:hint="default" w:ascii="Times New Roman" w:hAnsi="Times New Roman" w:eastAsia="宋体" w:cs="Times New Roman"/>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、焊接类设备</w:t>
            </w:r>
            <w:r>
              <w:rPr>
                <w:rFonts w:hint="default" w:ascii="Times New Roman" w:hAnsi="Times New Roman" w:eastAsia="宋体" w:cs="Times New Roman"/>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、包装类设备</w:t>
            </w:r>
            <w:r>
              <w:rPr>
                <w:rFonts w:hint="default" w:ascii="Times New Roman" w:hAnsi="Times New Roman" w:eastAsia="宋体" w:cs="Times New Roman"/>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、包装类设备</w:t>
            </w:r>
          </w:p>
        </w:tc>
      </w:tr>
      <w:tr w14:paraId="64594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F0A42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045高压设备参数测量系统包1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CC258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高压设备参数测量系统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E24D6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FCCE1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35F2E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501EE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39D3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52C37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046红外热成像仪包1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E9B89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红外热成像仪</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A0286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78917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国家认可的第三方检测机构出具的有效的红外热成像仪的型式试验报告。</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192C3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E366F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1、装配类设备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2、焊接类设备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3、包装类设备</w:t>
            </w:r>
          </w:p>
        </w:tc>
      </w:tr>
      <w:tr w14:paraId="0EEEE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869DB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046红外热成像仪包2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4D85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红外热成像仪</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ED0E3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0E2D2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国家认可的第三方检测机构出具的有效的红外热成像仪的型式试验报告。</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68A81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2DAF3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1、装配类设备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2、焊接类设备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3、包装类设备</w:t>
            </w:r>
          </w:p>
        </w:tc>
      </w:tr>
      <w:tr w14:paraId="22BC9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BF3C2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047回路电阻测试仪包1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A915F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回路电阻测试仪</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C42E6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4DC56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D96F3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3A1CA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E9F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3B172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048局放测试仪包1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9E471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局放测试仪</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F2CF1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6C90C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国家认可的第三方检测机构出具的有效的局放测试仪的型式试验报告。</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0BA2CA">
            <w:pPr>
              <w:jc w:val="center"/>
              <w:rPr>
                <w:rFonts w:hint="eastAsia" w:ascii="宋体" w:hAnsi="宋体" w:eastAsia="宋体" w:cs="宋体"/>
                <w:i w:val="0"/>
                <w:color w:val="000000"/>
                <w:kern w:val="0"/>
                <w:sz w:val="18"/>
                <w:szCs w:val="18"/>
                <w:u w:val="none"/>
                <w:lang w:val="en-US" w:eastAsia="zh-CN" w:bidi="ar"/>
              </w:rPr>
            </w:pP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567DA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1、装配类设备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2、焊接类设备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3、包装类设备</w:t>
            </w:r>
          </w:p>
        </w:tc>
      </w:tr>
      <w:tr w14:paraId="3255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A04E3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049颗粒度仪包1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BC7E6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颗粒度仪</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59F74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60B23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A064B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1AB03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B13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AB6F0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050温度校验装置包1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078D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温度校验装置</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99D40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51E2A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FAF19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145A5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6CD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91E9D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051在线监测装置检验装置包1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E5550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在线监测装置检验装置,油中溶解气体在线监测装置</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BF4B7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53C5D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030DD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A0591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A6FD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2684C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051在线监测装置检验装置包2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86BBD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在线监测装置检验装置,电容型设备及MOA带电检测仪检验装置</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33F01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54C5E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86F1F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2853D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8041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5A822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052安全标识牌包1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26BC2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安全标识牌</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CE29F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近三年业绩不少于8</w:t>
            </w:r>
            <w:r>
              <w:rPr>
                <w:rFonts w:hint="default" w:ascii="Times New Roman" w:hAnsi="Times New Roman" w:eastAsia="宋体" w:cs="Times New Roman"/>
                <w:i w:val="0"/>
                <w:color w:val="000000"/>
                <w:kern w:val="0"/>
                <w:sz w:val="18"/>
                <w:szCs w:val="18"/>
                <w:u w:val="none"/>
                <w:lang w:val="en-US" w:eastAsia="zh-CN" w:bidi="ar"/>
              </w:rPr>
              <w:t>00</w:t>
            </w:r>
            <w:r>
              <w:rPr>
                <w:rFonts w:hint="eastAsia" w:ascii="宋体" w:hAnsi="宋体" w:eastAsia="宋体" w:cs="宋体"/>
                <w:i w:val="0"/>
                <w:color w:val="000000"/>
                <w:kern w:val="0"/>
                <w:sz w:val="18"/>
                <w:szCs w:val="18"/>
                <w:u w:val="none"/>
                <w:lang w:val="en-US" w:eastAsia="zh-CN" w:bidi="ar"/>
              </w:rPr>
              <w:t>万元</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86882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国家认可的第三方检测机构出具的有效的检验报告。</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CB8BF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B43E0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B8C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A95F8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053安全工器具柜包1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E163C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安全工器具柜（架）</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4D176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FEDF4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D7293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94DA6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68F0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3C579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054电缆切割机包1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58A81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电缆切割机</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17D69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C2618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7E835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95FD7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AEA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CC592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055携带型短路接地线包1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F07AD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携带型短路接地线</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BD752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37B3E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7318D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50563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C7B3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BA58D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056真空补油装置包1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45A0D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真空补油装置</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2030C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6B4EB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16F51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457F2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913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D89C5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057引流线包1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D9E0A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引流线</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BA9C3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C475C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F1423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DBD0F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E22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0E0C0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058喷涂工具包1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1397A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喷涂工具</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EB350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5EEAC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995EE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B7F17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278D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EA70A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059货架包1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F5DB6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货架</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BE58F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72943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E807C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4DBC8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83EB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4160A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060仓储成套设备包1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8FED4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仓储成套设备</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5BA32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939E8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C9612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6DCB4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2F3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88C54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060仓储成套设备包2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D1EDD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仓储成套设备</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19B7A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CEBD0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D824E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CFDCE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31E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50439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060仓储成套设备包3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C8794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仓储成套设备</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0CECA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9E500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3F377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2335B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66A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4BCD4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061变压器灭火装置包1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DCFC6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变压器灭火装置</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F8581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253E9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676DA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C796C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1FA4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5DBA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062火灾报警系统包1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A4A9C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火灾报警系统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AD555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4402E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D3EB9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921A4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589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F5389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063消防系统包1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4AE94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消防系统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16B8A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6C04B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26ACF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D4AD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77E2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FAFD3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064防雷设备包1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8C895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防雷设备</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A66A1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85F2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C81C7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5F1C6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168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A6F24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065无人机包1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128F7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无人机</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51E59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017E6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BAF5B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29B27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4D1A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50E88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066应急电源快速接入装置包1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42BC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应急电源快速接入装置</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1D300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B7F34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4DAA7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15E26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FCA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820DC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067单元式空调机包1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C4E9A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单元式空调机</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0FCEF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685E4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82366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AC9D3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495C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1DEC3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068供水系统包1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B91A0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供水系统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D22DB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F5E17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2914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998C1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DC2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7526D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069暖通系统包1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F190F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暖通系统</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E6B9D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471A3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B7829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E703A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5609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A66EE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070制氧设备包1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116E8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制氧设备</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DAAA7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45EF9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E2385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D78A2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259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A8FBD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071起重设备包1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17270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起重设备</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7CC0B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1C7A6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94D0D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5F6C9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7EE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02783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072轮式自行机械车包1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A1B7A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轮式自行机械车</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9010A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0B209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0EABD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411AD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BE41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B1F85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073减速机包1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0F021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减速机</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49B03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6FAFD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BEE28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4D17D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1D0AD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7C1DB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074扫地机包1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32669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扫地机</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86EA7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E42A6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EA693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A7768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018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B28B2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075小型发电机包1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D7923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小型发电机</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C46AF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FCD40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3E84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99B20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30F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8A9D8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076工业泵包1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BD11C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工业泵</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3DEC0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D9C69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AA6AD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51B99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7AD4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269BE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77堆垛机包1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7E5EA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堆垛机</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19C88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BE8C9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F0D5B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EC59F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E915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8B584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078方舱包1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87A97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应急方舱</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BFFBB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4D1A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9259A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1F499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3D618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726B8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078方舱包2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D856A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充电方舱</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7BDAD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52F38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32DC7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8564A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A9AF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97513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078方舱包3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E10BD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住宿方舱</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C348B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4E65B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F9397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FF05D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59F60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DDFC7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079实验台包1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6348B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实验台</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A3CF9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2957A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12F38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499A4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66F25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0B7BA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079实验台包2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5CB4E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实验台</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B5755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F77D4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B3BD1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6E81F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7E82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2A22E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079实验台包3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15AB3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实验台</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A5AAF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8A587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99936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04442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2165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6B9C1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080厨房成套设备包1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B3210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厨房成套设备、消毒柜</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E9998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近三年具有任意一项的销售业绩。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BB992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868CA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2F518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D78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14E9F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081密集架包1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751D1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密集架</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C15B2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近三年具有同类产品销售业绩。</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7C56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3685E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80E9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473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34B49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082自动体外除颤器包1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84D6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自动体外除颤器</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AD756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近三年已完成同类业绩不少于1项。</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27BA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所投产品须提供《医疗器械注册证》生产商提供《医疗器械生产许可证》；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非生产商提供《医疗器械经营许可证》或备案证明；</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320BF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F2FD6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0E85D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56112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083办公家具包1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DDCB1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办公家具</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EADC5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近三年业绩不少于2000万元</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65F7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国家认可的第三方检测机构出具的有效的检验报告。</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E6C64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706A1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9C2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18687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083办公家具包2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2FD49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办公家具</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4D438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近三年业绩不少于2000万元</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0E152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国家认可的第三方检测机构出具的有效的检验报告。</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27712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EE0B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14:paraId="4EB2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28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26C3C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083办公家具包3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50027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办公家具</w:t>
            </w:r>
          </w:p>
        </w:tc>
        <w:tc>
          <w:tcPr>
            <w:tcW w:w="20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83432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近三年业绩不少于2000万元</w:t>
            </w:r>
          </w:p>
        </w:tc>
        <w:tc>
          <w:tcPr>
            <w:tcW w:w="28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5A5B9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国家认可的第三方检测机构出具的有效的检验报告。</w:t>
            </w: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538C7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5DB67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14:paraId="29A9FB70"/>
    <w:p w14:paraId="47255340">
      <w:bookmarkStart w:id="0" w:name="_GoBack"/>
      <w:bookmarkEnd w:id="0"/>
    </w:p>
    <w:sectPr>
      <w:headerReference r:id="rId3" w:type="default"/>
      <w:footerReference r:id="rId4" w:type="default"/>
      <w:pgSz w:w="16839" w:h="11907" w:orient="landscape"/>
      <w:pgMar w:top="1771" w:right="1502" w:bottom="1464" w:left="1026" w:header="594" w:footer="867" w:gutter="0"/>
      <w:pgNumType w:fmt="decimal"/>
      <w:cols w:equalWidth="0" w:num="1">
        <w:col w:w="8672"/>
      </w:cols>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424ED">
    <w:pPr>
      <w:pStyle w:val="13"/>
      <w:spacing w:beforeLines="0" w:afterLines="0"/>
      <w:jc w:val="center"/>
      <w:rPr>
        <w:rFonts w:hint="eastAsia" w:eastAsia="等线"/>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B1608">
                          <w:pPr>
                            <w:pStyle w:val="13"/>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CB1608">
                    <w:pPr>
                      <w:pStyle w:val="13"/>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eastAsia="等线"/>
        <w:sz w:val="18"/>
        <w:szCs w:val="18"/>
      </w:rPr>
      <w:t xml:space="preserve">     </w:t>
    </w:r>
  </w:p>
  <w:p w14:paraId="736F190F">
    <w:pPr>
      <w:pStyle w:val="13"/>
      <w:spacing w:beforeLines="0" w:afterLines="0"/>
      <w:rPr>
        <w:rFonts w:hint="default"/>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C497A">
    <w:pPr>
      <w:pStyle w:val="14"/>
      <w:pBdr>
        <w:bottom w:val="none" w:color="auto" w:sz="0" w:space="0"/>
      </w:pBdr>
      <w:spacing w:beforeLines="0" w:afterLines="0"/>
      <w:ind w:firstLine="360"/>
      <w:rPr>
        <w:rFonts w:hint="default" w:eastAsia="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0ZTIzMGE4YjllZGVhMWVkNDJjZGM1NWFlODMwMWYifQ=="/>
  </w:docVars>
  <w:rsids>
    <w:rsidRoot w:val="00000000"/>
    <w:rsid w:val="00C57B49"/>
    <w:rsid w:val="00EB7E60"/>
    <w:rsid w:val="03C1176A"/>
    <w:rsid w:val="047A5783"/>
    <w:rsid w:val="07843BCF"/>
    <w:rsid w:val="0B002EE6"/>
    <w:rsid w:val="0D760085"/>
    <w:rsid w:val="13A256FD"/>
    <w:rsid w:val="1BAA6B1A"/>
    <w:rsid w:val="1F5C3F63"/>
    <w:rsid w:val="22F34C27"/>
    <w:rsid w:val="231F47FA"/>
    <w:rsid w:val="272F01F7"/>
    <w:rsid w:val="27FA35E3"/>
    <w:rsid w:val="2B960845"/>
    <w:rsid w:val="2F9C03F4"/>
    <w:rsid w:val="34FE7C28"/>
    <w:rsid w:val="36A1532C"/>
    <w:rsid w:val="37241E80"/>
    <w:rsid w:val="38303CF3"/>
    <w:rsid w:val="38696225"/>
    <w:rsid w:val="39B527DE"/>
    <w:rsid w:val="41B44DB5"/>
    <w:rsid w:val="43E77D22"/>
    <w:rsid w:val="494860EE"/>
    <w:rsid w:val="4BDF01F4"/>
    <w:rsid w:val="4F6770A0"/>
    <w:rsid w:val="4FFF435B"/>
    <w:rsid w:val="51FC6DA4"/>
    <w:rsid w:val="5F3C0B5F"/>
    <w:rsid w:val="5F6E694F"/>
    <w:rsid w:val="674E7F37"/>
    <w:rsid w:val="6815703C"/>
    <w:rsid w:val="68BC6DD9"/>
    <w:rsid w:val="69E928AD"/>
    <w:rsid w:val="6E6C6C08"/>
    <w:rsid w:val="6FCC14AA"/>
    <w:rsid w:val="71706A0F"/>
    <w:rsid w:val="7525634D"/>
    <w:rsid w:val="75714ADB"/>
    <w:rsid w:val="7B0D3543"/>
    <w:rsid w:val="7E795155"/>
    <w:rsid w:val="7F453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next w:val="1"/>
    <w:qFormat/>
    <w:uiPriority w:val="0"/>
    <w:pPr>
      <w:keepNext/>
      <w:keepLines/>
      <w:widowControl w:val="0"/>
      <w:spacing w:before="340" w:beforeLines="0" w:after="330" w:afterLines="0" w:line="576" w:lineRule="auto"/>
      <w:jc w:val="both"/>
      <w:outlineLvl w:val="0"/>
    </w:pPr>
    <w:rPr>
      <w:rFonts w:ascii="Times New Roman" w:hAnsi="Times New Roman" w:eastAsia="宋体" w:cs="Times New Roman"/>
      <w:b/>
      <w:bCs/>
      <w:kern w:val="44"/>
      <w:sz w:val="44"/>
      <w:szCs w:val="44"/>
      <w:lang w:val="en-US" w:eastAsia="zh-CN" w:bidi="ar-SA"/>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4">
    <w:name w:val="envelope return"/>
    <w:basedOn w:val="1"/>
    <w:qFormat/>
    <w:uiPriority w:val="0"/>
    <w:pPr>
      <w:snapToGrid w:val="0"/>
    </w:pPr>
    <w:rPr>
      <w:rFonts w:hint="eastAsia" w:ascii="Arial" w:hAnsi="Arial" w:eastAsia="宋体" w:cs="Times New Roman"/>
      <w:szCs w:val="20"/>
    </w:rPr>
  </w:style>
  <w:style w:type="paragraph" w:customStyle="1" w:styleId="5">
    <w:name w:val="表格文字"/>
    <w:basedOn w:val="6"/>
    <w:next w:val="1"/>
    <w:unhideWhenUsed/>
    <w:qFormat/>
    <w:uiPriority w:val="0"/>
    <w:pPr>
      <w:spacing w:beforeLines="0" w:afterLines="0"/>
      <w:ind w:firstLine="0" w:firstLineChars="0"/>
      <w:jc w:val="center"/>
    </w:pPr>
    <w:rPr>
      <w:rFonts w:hint="eastAsia"/>
      <w:sz w:val="21"/>
      <w:szCs w:val="20"/>
    </w:rPr>
  </w:style>
  <w:style w:type="paragraph" w:styleId="6">
    <w:name w:val="List"/>
    <w:basedOn w:val="1"/>
    <w:unhideWhenUsed/>
    <w:qFormat/>
    <w:uiPriority w:val="0"/>
    <w:pPr>
      <w:spacing w:beforeLines="0" w:afterLines="0"/>
      <w:ind w:left="200" w:hanging="200" w:hangingChars="200"/>
    </w:pPr>
    <w:rPr>
      <w:rFonts w:hint="eastAsia" w:ascii="宋体" w:hAnsi="宋体" w:eastAsia="宋体" w:cs="宋体"/>
      <w:sz w:val="21"/>
      <w:szCs w:val="21"/>
    </w:rPr>
  </w:style>
  <w:style w:type="paragraph" w:styleId="8">
    <w:name w:val="Normal Indent"/>
    <w:basedOn w:val="1"/>
    <w:qFormat/>
    <w:uiPriority w:val="0"/>
    <w:pPr>
      <w:ind w:firstLine="420" w:firstLineChars="200"/>
    </w:pPr>
    <w:rPr>
      <w:sz w:val="21"/>
    </w:rPr>
  </w:style>
  <w:style w:type="paragraph" w:styleId="9">
    <w:name w:val="Body Text"/>
    <w:basedOn w:val="1"/>
    <w:next w:val="10"/>
    <w:qFormat/>
    <w:uiPriority w:val="1"/>
    <w:rPr>
      <w:rFonts w:ascii="宋体" w:hAnsi="宋体" w:eastAsia="宋体" w:cs="宋体"/>
      <w:sz w:val="21"/>
      <w:szCs w:val="21"/>
    </w:rPr>
  </w:style>
  <w:style w:type="paragraph" w:customStyle="1" w:styleId="10">
    <w:name w:val="一级条标题"/>
    <w:basedOn w:val="11"/>
    <w:next w:val="1"/>
    <w:qFormat/>
    <w:uiPriority w:val="0"/>
    <w:pPr>
      <w:spacing w:line="240" w:lineRule="auto"/>
      <w:ind w:left="420"/>
      <w:outlineLvl w:val="2"/>
    </w:pPr>
  </w:style>
  <w:style w:type="paragraph" w:customStyle="1" w:styleId="11">
    <w:name w:val="章标题"/>
    <w:next w:val="1"/>
    <w:qFormat/>
    <w:uiPriority w:val="0"/>
    <w:pPr>
      <w:spacing w:line="360" w:lineRule="auto"/>
      <w:jc w:val="both"/>
      <w:outlineLvl w:val="1"/>
    </w:pPr>
    <w:rPr>
      <w:rFonts w:ascii="黑体" w:hAnsi="Times New Roman" w:eastAsia="黑体" w:cs="Times New Roman"/>
      <w:sz w:val="21"/>
      <w:lang w:val="en-US" w:eastAsia="zh-CN" w:bidi="ar-SA"/>
    </w:r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15">
    <w:name w:val="Normal (Web)"/>
    <w:basedOn w:val="1"/>
    <w:next w:val="16"/>
    <w:unhideWhenUsed/>
    <w:qFormat/>
    <w:uiPriority w:val="0"/>
    <w:pPr>
      <w:widowControl/>
      <w:spacing w:before="100" w:beforeAutospacing="1" w:after="100" w:afterAutospacing="1"/>
      <w:jc w:val="left"/>
    </w:pPr>
    <w:rPr>
      <w:rFonts w:ascii="宋体" w:hAnsi="宋体" w:cs="宋体"/>
      <w:kern w:val="0"/>
      <w:sz w:val="24"/>
    </w:rPr>
  </w:style>
  <w:style w:type="paragraph" w:customStyle="1" w:styleId="1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7">
    <w:name w:val="Title"/>
    <w:basedOn w:val="1"/>
    <w:next w:val="1"/>
    <w:qFormat/>
    <w:uiPriority w:val="10"/>
    <w:pPr>
      <w:spacing w:before="240" w:after="60"/>
      <w:jc w:val="center"/>
      <w:outlineLvl w:val="0"/>
    </w:pPr>
    <w:rPr>
      <w:rFonts w:ascii="Cambria" w:hAnsi="Cambria"/>
      <w:b/>
      <w:bCs/>
      <w:sz w:val="36"/>
      <w:szCs w:val="32"/>
    </w:rPr>
  </w:style>
  <w:style w:type="character" w:customStyle="1" w:styleId="20">
    <w:name w:val="NormalCharacter"/>
    <w:semiHidden/>
    <w:qFormat/>
    <w:uiPriority w:val="0"/>
    <w:rPr>
      <w:kern w:val="2"/>
      <w:sz w:val="21"/>
      <w:szCs w:val="24"/>
      <w:lang w:val="en-US" w:eastAsia="zh-CN" w:bidi="ar-SA"/>
    </w:rPr>
  </w:style>
  <w:style w:type="paragraph" w:customStyle="1" w:styleId="21">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 w:type="paragraph" w:customStyle="1" w:styleId="22">
    <w:name w:val="样式8"/>
    <w:basedOn w:val="23"/>
    <w:unhideWhenUsed/>
    <w:qFormat/>
    <w:uiPriority w:val="1"/>
    <w:pPr>
      <w:spacing w:beforeLines="0" w:afterLines="0"/>
    </w:pPr>
    <w:rPr>
      <w:rFonts w:hint="eastAsia"/>
      <w:sz w:val="28"/>
      <w:szCs w:val="28"/>
    </w:rPr>
  </w:style>
  <w:style w:type="paragraph" w:customStyle="1" w:styleId="23">
    <w:name w:val="一级标题"/>
    <w:basedOn w:val="1"/>
    <w:unhideWhenUsed/>
    <w:qFormat/>
    <w:uiPriority w:val="0"/>
    <w:pPr>
      <w:adjustRightInd w:val="0"/>
      <w:snapToGrid w:val="0"/>
      <w:spacing w:beforeLines="0" w:afterLines="0"/>
      <w:jc w:val="center"/>
      <w:outlineLvl w:val="0"/>
    </w:pPr>
    <w:rPr>
      <w:rFonts w:hint="eastAsia" w:ascii="黑体" w:hAnsi="宋体" w:eastAsia="黑体" w:cs="宋体"/>
      <w:b/>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1484</Words>
  <Characters>1710</Characters>
  <Lines>0</Lines>
  <Paragraphs>0</Paragraphs>
  <TotalTime>0</TotalTime>
  <ScaleCrop>false</ScaleCrop>
  <LinksUpToDate>false</LinksUpToDate>
  <CharactersWithSpaces>1712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2024-08-19T08:43:00Z</dcterms:created>
  <dc:creator>Administrator</dc:creator>
  <cp:lastModifiedBy>玉簪轻绾融于发</cp:lastModifiedBy>
  <dcterms:modified xsi:type="dcterms:W3CDTF">2026-05-20T09:02:42Z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0A020C57BF674145B2D8924C6694C206_13</vt:lpwstr>
  </property>
  <property fmtid="{D5CDD505-2E9C-101B-9397-08002B2CF9AE}" pid="4" name="KSOTemplateDocerSaveRecord">
    <vt:lpwstr>eyJoZGlkIjoiYWNhNTE3YjFmZjAxOGQ2Y2ZlNDFmMjMwNGMzYzhiMWUiLCJ1c2VySWQiOiIxMjY4MjI5OTY0In0=</vt:lpwstr>
  </property>
</Properties>
</file>