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w:t>
      </w:r>
      <w:r>
        <w:rPr>
          <w:rFonts w:hint="eastAsia" w:ascii="宋体" w:hAnsi="宋体" w:cs="宋体"/>
          <w:b/>
          <w:sz w:val="44"/>
          <w:szCs w:val="44"/>
          <w:lang w:val="en-US" w:eastAsia="zh-CN"/>
        </w:rPr>
        <w:t>兴业银行西宁分行2026年影院映前广告项目</w:t>
      </w:r>
      <w:r>
        <w:rPr>
          <w:rFonts w:hint="eastAsia" w:ascii="宋体" w:hAnsi="宋体" w:eastAsia="宋体" w:cs="宋体"/>
          <w:b/>
          <w:sz w:val="44"/>
          <w:szCs w:val="44"/>
          <w:lang w:val="en-US" w:eastAsia="zh-CN"/>
        </w:rPr>
        <w:t>》供应商征集反馈材料-公司名称（全称）</w:t>
      </w:r>
    </w:p>
    <w:p>
      <w:pPr>
        <w:ind w:left="0" w:leftChars="0" w:firstLine="0" w:firstLineChars="0"/>
        <w:jc w:val="center"/>
        <w:rPr>
          <w:rFonts w:hint="eastAsia" w:ascii="仿宋" w:hAnsi="仿宋" w:eastAsia="仿宋"/>
          <w:b/>
          <w:bCs/>
          <w:sz w:val="36"/>
          <w:szCs w:val="36"/>
          <w:lang w:val="en-US" w:eastAsia="zh-CN"/>
        </w:rPr>
      </w:pPr>
    </w:p>
    <w:p>
      <w:pPr>
        <w:ind w:left="0" w:leftChars="0" w:firstLine="0" w:firstLineChars="0"/>
        <w:jc w:val="center"/>
        <w:outlineLvl w:val="0"/>
        <w:rPr>
          <w:rFonts w:hint="default" w:ascii="仿宋" w:hAnsi="仿宋" w:eastAsia="仿宋"/>
          <w:b/>
          <w:bCs/>
          <w:color w:val="FF0000"/>
          <w:sz w:val="24"/>
          <w:szCs w:val="24"/>
          <w:highlight w:val="none"/>
          <w:lang w:val="en-US" w:eastAsia="zh-CN"/>
        </w:rPr>
      </w:pPr>
      <w:r>
        <w:rPr>
          <w:rFonts w:hint="eastAsia" w:ascii="仿宋" w:hAnsi="仿宋" w:eastAsia="仿宋"/>
          <w:b/>
          <w:bCs/>
          <w:sz w:val="36"/>
          <w:szCs w:val="36"/>
          <w:lang w:val="en-US" w:eastAsia="zh-CN"/>
        </w:rPr>
        <w:t>目录指引</w:t>
      </w:r>
      <w:r>
        <w:rPr>
          <w:rFonts w:hint="eastAsia" w:ascii="仿宋" w:hAnsi="仿宋" w:eastAsia="仿宋"/>
          <w:b/>
          <w:bCs/>
          <w:color w:val="FF0000"/>
          <w:sz w:val="24"/>
          <w:szCs w:val="24"/>
          <w:highlight w:val="none"/>
          <w:lang w:val="en-US" w:eastAsia="zh-CN"/>
        </w:rPr>
        <w:t>（请报名供应商据实修改）</w:t>
      </w:r>
    </w:p>
    <w:p>
      <w:pPr>
        <w:pStyle w:val="4"/>
        <w:keepNext w:val="0"/>
        <w:keepLines w:val="0"/>
        <w:pageBreakBefore w:val="0"/>
        <w:widowControl w:val="0"/>
        <w:tabs>
          <w:tab w:val="left" w:pos="992"/>
        </w:tabs>
        <w:kinsoku/>
        <w:wordWrap/>
        <w:overflowPunct/>
        <w:topLinePunct/>
        <w:autoSpaceDE/>
        <w:autoSpaceDN/>
        <w:bidi w:val="0"/>
        <w:adjustRightInd/>
        <w:snapToGrid/>
        <w:ind w:left="0" w:leftChars="0" w:firstLine="0" w:firstLineChars="0"/>
        <w:jc w:val="center"/>
        <w:textAlignment w:val="auto"/>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第一部分 对应页码P1-P20</w:t>
      </w:r>
    </w:p>
    <w:p>
      <w:pPr>
        <w:pStyle w:val="4"/>
        <w:tabs>
          <w:tab w:val="left" w:pos="992"/>
        </w:tabs>
        <w:ind w:left="0" w:leftChars="0" w:firstLine="0" w:firstLineChars="0"/>
        <w:jc w:val="center"/>
        <w:outlineLvl w:val="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第二部分 对应页码P21-P30</w:t>
      </w:r>
    </w:p>
    <w:p>
      <w:pPr>
        <w:pStyle w:val="4"/>
        <w:tabs>
          <w:tab w:val="left" w:pos="992"/>
        </w:tabs>
        <w:ind w:left="0" w:leftChars="0" w:firstLine="0" w:firstLineChars="0"/>
        <w:jc w:val="center"/>
        <w:outlineLvl w:val="0"/>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第三部分 对应页码P31-P40</w:t>
      </w:r>
    </w:p>
    <w:p>
      <w:pPr>
        <w:pStyle w:val="4"/>
        <w:tabs>
          <w:tab w:val="left" w:pos="992"/>
        </w:tabs>
        <w:ind w:firstLine="0" w:firstLineChars="0"/>
        <w:jc w:val="center"/>
        <w:outlineLvl w:val="0"/>
        <w:rPr>
          <w:rFonts w:hint="eastAsia"/>
          <w:lang w:val="en-US" w:eastAsia="zh-CN"/>
        </w:rPr>
      </w:pPr>
      <w:r>
        <w:rPr>
          <w:rFonts w:hint="eastAsia" w:ascii="仿宋" w:hAnsi="仿宋" w:eastAsia="仿宋" w:cs="Times New Roman"/>
          <w:b/>
          <w:bCs/>
          <w:kern w:val="2"/>
          <w:sz w:val="28"/>
          <w:szCs w:val="28"/>
          <w:lang w:val="en-US" w:eastAsia="zh-CN" w:bidi="ar-SA"/>
        </w:rPr>
        <w:t>第四部分 对应页码P41-P50</w:t>
      </w: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251" w:beforeLines="80"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项目要求应答部分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5"/>
        <w:gridCol w:w="1142"/>
        <w:gridCol w:w="4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审核事项</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是否满足（是/否）</w:t>
            </w: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center"/>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基本情况说明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一、采购需求及资格要求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 采购需求</w:t>
            </w:r>
          </w:p>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r>
              <w:rPr>
                <w:rFonts w:hint="eastAsia" w:ascii="仿宋" w:hAnsi="仿宋" w:eastAsia="仿宋" w:cs="仿宋"/>
                <w:b w:val="0"/>
                <w:bCs w:val="0"/>
                <w:sz w:val="28"/>
                <w:szCs w:val="28"/>
                <w:lang w:val="en-US" w:eastAsia="zh-CN"/>
              </w:rPr>
              <w:t>结合业务发展需要，为做好业务和产品推广，拟通过影院映前广告开展相关宣传，意向投放点位如下：万达影城（西宁市海湖新区</w:t>
            </w:r>
            <w:bookmarkStart w:id="0" w:name="_GoBack"/>
            <w:bookmarkEnd w:id="0"/>
            <w:r>
              <w:rPr>
                <w:rFonts w:hint="eastAsia" w:ascii="仿宋" w:hAnsi="仿宋" w:eastAsia="仿宋" w:cs="仿宋"/>
                <w:b w:val="0"/>
                <w:bCs w:val="0"/>
                <w:sz w:val="28"/>
                <w:szCs w:val="28"/>
                <w:lang w:val="en-US" w:eastAsia="zh-CN"/>
              </w:rPr>
              <w:t>万达广场）、上影国际影城（西宁市城北区吾悦广场）、横店影城（西宁市城中区王府井）、中惠万达影城（西宁市城东区万达广场）。</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1.2</w:t>
            </w:r>
            <w:r>
              <w:rPr>
                <w:rFonts w:hint="eastAsia" w:ascii="仿宋" w:hAnsi="仿宋" w:eastAsia="仿宋" w:cs="仿宋"/>
                <w:b w:val="0"/>
                <w:bCs w:val="0"/>
                <w:sz w:val="28"/>
                <w:szCs w:val="28"/>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rPr>
            </w:pPr>
            <w:r>
              <w:rPr>
                <w:rFonts w:hint="eastAsia" w:ascii="仿宋" w:hAnsi="仿宋" w:eastAsia="仿宋" w:cs="仿宋"/>
                <w:b w:val="0"/>
                <w:bCs w:val="0"/>
                <w:sz w:val="28"/>
                <w:szCs w:val="28"/>
                <w:lang w:val="en-US" w:eastAsia="zh-CN"/>
              </w:rPr>
              <w:t>1.2.1 我行负责提供拟发布的广告内容，供应商负责进行发布；负责办理广告发布审批、备案等手续（如需）。</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1.2.2广告发布期间，供应商负责广告载体及其相关设施的安全及日常维护。</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1.3 供应商资质要求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1.3.1 企业成立一年以上，近三年财务稳健，可稳定提供服务。</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1.3.2 具备202</w:t>
            </w: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年至今与青海省内各企事业单位、金融机构合作开展与本项目相似的成功案例（须提供相关案例合同证明材料，以合同签订日期为准）。</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1.3.3 具备广告发布的合法主体资格，并且已经取得广告发布所需的各种批准、许可、授权等证明文件，相关运营授权需在有效期内。</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000" w:type="pct"/>
            <w:gridSpan w:val="3"/>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二、报名要求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2.1依法成立，为存续、在营、开业、在册、登记成立等正常企业状态。</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2.2在兴业银行开立对公账户，若中标本项目，则通过兴业银行对公账户结算该项目相关费用。</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2.3充分理解我行服务需求并能够根据需求提供相应的服务。</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2.4具有良好的商业信誉和财务情况。</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2.5依法缴纳税收和社会保障资金。</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2.6未被“信用中国”网列入“重大税收违法案件当事人名单”、未被“中国执行信息公开网”列入“失信被执行人名单”、未被“中国政府采购网”列入“政府采购严重违法失信行为信息记录名单”、未被“国家企业信用信息公示系统”列入网站“严重违法失信企业名单”，不在兴业银行供应商禁用/退出期内。</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2.7经营范围经国家行政管理部门依法批准，同时获得从事行业有效执业证明、行政许可、专业资质等证照。</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40" w:type="pct"/>
            <w:vAlign w:val="center"/>
          </w:tcPr>
          <w:p>
            <w:pPr>
              <w:keepNext w:val="0"/>
              <w:keepLines w:val="0"/>
              <w:pageBreakBefore w:val="0"/>
              <w:widowControl w:val="0"/>
              <w:kinsoku/>
              <w:wordWrap/>
              <w:overflowPunct/>
              <w:topLinePunct/>
              <w:autoSpaceDE/>
              <w:autoSpaceDN/>
              <w:bidi w:val="0"/>
              <w:adjustRightInd/>
              <w:snapToGrid/>
              <w:spacing w:line="320" w:lineRule="exact"/>
              <w:ind w:left="0" w:leftChars="0" w:firstLine="0" w:firstLineChars="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2.8两年内目标服务领域未出现严重安全事件。</w:t>
            </w:r>
          </w:p>
        </w:tc>
        <w:tc>
          <w:tcPr>
            <w:tcW w:w="670"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c>
          <w:tcPr>
            <w:tcW w:w="2489" w:type="pct"/>
            <w:vAlign w:val="center"/>
          </w:tcPr>
          <w:p>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仿宋" w:hAnsi="仿宋" w:eastAsia="仿宋" w:cs="仿宋"/>
                <w:b w:val="0"/>
                <w:bCs w:val="0"/>
                <w:sz w:val="28"/>
                <w:szCs w:val="28"/>
              </w:rPr>
            </w:pPr>
          </w:p>
        </w:tc>
      </w:tr>
    </w:tbl>
    <w:p>
      <w:pPr>
        <w:keepNext w:val="0"/>
        <w:keepLines w:val="0"/>
        <w:pageBreakBefore w:val="0"/>
        <w:widowControl w:val="0"/>
        <w:kinsoku/>
        <w:wordWrap/>
        <w:overflowPunct/>
        <w:topLinePunct/>
        <w:autoSpaceDE/>
        <w:autoSpaceDN/>
        <w:bidi w:val="0"/>
        <w:adjustRightInd/>
        <w:snapToGrid/>
        <w:spacing w:line="579"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rPr>
        <w:t>供应商须对报名信息和资料的真实性负责。如提供虚假材料，将取消报名资格并列入我行供应商黑名单。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供应商基础信息部分</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9"/>
        <w:gridCol w:w="4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基本信息项</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基本说明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注册资金及实缴资本（万）</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注册资金：    万</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实缴资金：    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上一年度是否盈利</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公司注册所在地</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公司办公地址</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是否可以在兴业银行开立对公账户，并承诺若中标本项目，则通过兴业银行对公账户结算该项目相关费用。</w:t>
            </w:r>
            <w:r>
              <w:rPr>
                <w:rFonts w:hint="eastAsia" w:ascii="仿宋" w:hAnsi="仿宋" w:eastAsia="仿宋" w:cs="仿宋"/>
                <w:b/>
                <w:color w:val="FF0000"/>
                <w:sz w:val="28"/>
                <w:szCs w:val="28"/>
              </w:rPr>
              <w:t>（如无法在本行开户则将无法参与本行项目招标工作）</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是否已在兴业银行开立对公账户：</w:t>
            </w:r>
            <w:r>
              <w:rPr>
                <w:rFonts w:hint="eastAsia" w:ascii="仿宋" w:hAnsi="仿宋" w:eastAsia="仿宋" w:cs="仿宋"/>
                <w:b/>
                <w:sz w:val="28"/>
                <w:szCs w:val="28"/>
              </w:rPr>
              <w:t>是/否</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若未开户，是否可以承诺若中标则在兴业银行开立对公账户并通过该账户结算该项目相关费用：</w:t>
            </w:r>
            <w:r>
              <w:rPr>
                <w:rFonts w:hint="eastAsia" w:ascii="仿宋" w:hAnsi="仿宋" w:eastAsia="仿宋" w:cs="仿宋"/>
                <w:b/>
                <w:sz w:val="28"/>
                <w:szCs w:val="2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公司法人</w:t>
            </w:r>
          </w:p>
        </w:tc>
        <w:tc>
          <w:tcPr>
            <w:tcW w:w="4563" w:type="dxa"/>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企业性质</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i w:val="0"/>
                <w:iCs w:val="0"/>
                <w:sz w:val="28"/>
                <w:szCs w:val="28"/>
              </w:rPr>
              <w:t>国有企业/集体所有制/私营企业/中外合资企业/股份制企业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财务指标</w:t>
            </w:r>
          </w:p>
        </w:tc>
        <w:tc>
          <w:tcPr>
            <w:tcW w:w="4563" w:type="dxa"/>
          </w:tcPr>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一、资产总额：</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二、营业收入：</w:t>
            </w:r>
            <w:r>
              <w:rPr>
                <w:rFonts w:hint="eastAsia" w:ascii="仿宋" w:hAnsi="仿宋" w:eastAsia="仿宋" w:cs="仿宋"/>
                <w:color w:val="000000" w:themeColor="text1"/>
                <w:sz w:val="28"/>
                <w:szCs w:val="28"/>
                <w:lang w:val="en-US" w:eastAsia="zh-CN"/>
                <w14:textFill>
                  <w14:solidFill>
                    <w14:schemeClr w14:val="tx1"/>
                  </w14:solidFill>
                </w14:textFill>
              </w:rPr>
              <w:t>近三年营收及合计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三、净利润等财务指标：</w:t>
            </w:r>
            <w:r>
              <w:rPr>
                <w:rFonts w:hint="eastAsia" w:ascii="仿宋" w:hAnsi="仿宋" w:eastAsia="仿宋" w:cs="仿宋"/>
                <w:color w:val="000000" w:themeColor="text1"/>
                <w:sz w:val="28"/>
                <w:szCs w:val="28"/>
                <w:lang w:val="en-US" w:eastAsia="zh-CN"/>
                <w14:textFill>
                  <w14:solidFill>
                    <w14:schemeClr w14:val="tx1"/>
                  </w14:solidFill>
                </w14:textFill>
              </w:rPr>
              <w:t>近三年净利润及合计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autoSpaceDE/>
              <w:autoSpaceDN/>
              <w:bidi w:val="0"/>
              <w:adjustRightInd/>
              <w:snapToGrid/>
              <w:spacing w:before="0" w:beforeAutospacing="0" w:after="0" w:afterAutospacing="0" w:line="440" w:lineRule="exact"/>
              <w:ind w:leftChars="0"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auto"/>
                <w:kern w:val="2"/>
                <w:sz w:val="28"/>
                <w:szCs w:val="28"/>
                <w:lang w:val="en-US" w:eastAsia="zh-CN" w:bidi="ar-SA"/>
              </w:rPr>
              <w:t>四、最近两年来自兴业银行集团贡献的营业收入是否高于公司营收70%（含）：是/否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企业资质、认证</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分公司名单</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仅列分公司名单，无需列子公司名单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公司员工数量</w:t>
            </w:r>
          </w:p>
        </w:tc>
        <w:tc>
          <w:tcPr>
            <w:tcW w:w="4563"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*人（不含子公司人数）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联系人信息</w:t>
            </w:r>
          </w:p>
        </w:tc>
        <w:tc>
          <w:tcPr>
            <w:tcW w:w="4563" w:type="dxa"/>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姓名：</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职务：</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手机：</w:t>
            </w:r>
          </w:p>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经营范围</w:t>
            </w:r>
          </w:p>
        </w:tc>
        <w:tc>
          <w:tcPr>
            <w:tcW w:w="4563" w:type="dxa"/>
          </w:tcPr>
          <w:p>
            <w:pPr>
              <w:keepNext w:val="0"/>
              <w:keepLines w:val="0"/>
              <w:pageBreakBefore w:val="0"/>
              <w:kinsoku/>
              <w:wordWrap/>
              <w:overflowPunct/>
              <w:autoSpaceDE/>
              <w:autoSpaceDN/>
              <w:bidi w:val="0"/>
              <w:adjustRightInd/>
              <w:snapToGrid/>
              <w:spacing w:line="44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0" w:hRule="atLeast"/>
        </w:trPr>
        <w:tc>
          <w:tcPr>
            <w:tcW w:w="3909" w:type="dxa"/>
            <w:vAlign w:val="center"/>
          </w:tcPr>
          <w:p>
            <w:pPr>
              <w:keepNext w:val="0"/>
              <w:keepLines w:val="0"/>
              <w:pageBreakBefore w:val="0"/>
              <w:kinsoku/>
              <w:wordWrap/>
              <w:overflowPunct/>
              <w:autoSpaceDE/>
              <w:autoSpaceDN/>
              <w:bidi w:val="0"/>
              <w:adjustRightInd/>
              <w:snapToGrid/>
              <w:spacing w:line="440" w:lineRule="exact"/>
              <w:ind w:left="0" w:leftChars="0" w:firstLine="0" w:firstLineChars="0"/>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负面信息</w:t>
            </w:r>
          </w:p>
        </w:tc>
        <w:tc>
          <w:tcPr>
            <w:tcW w:w="4563" w:type="dxa"/>
          </w:tcPr>
          <w:p>
            <w:pPr>
              <w:keepNext w:val="0"/>
              <w:keepLines w:val="0"/>
              <w:pageBreakBefore w:val="0"/>
              <w:kinsoku/>
              <w:wordWrap/>
              <w:overflowPunct/>
              <w:topLinePunct/>
              <w:autoSpaceDE/>
              <w:autoSpaceDN/>
              <w:bidi w:val="0"/>
              <w:adjustRightInd/>
              <w:snapToGrid/>
              <w:spacing w:line="440" w:lineRule="exact"/>
              <w:textAlignment w:val="auto"/>
              <w:rPr>
                <w:rFonts w:hint="eastAsia" w:ascii="仿宋" w:hAnsi="仿宋" w:eastAsia="仿宋" w:cs="仿宋"/>
                <w:sz w:val="28"/>
                <w:szCs w:val="28"/>
                <w:lang w:val="en-GB"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GB" w:eastAsia="zh-CN"/>
              </w:rPr>
              <w:t>目标服务领域</w:t>
            </w:r>
            <w:r>
              <w:rPr>
                <w:rFonts w:hint="eastAsia" w:ascii="仿宋" w:hAnsi="仿宋" w:eastAsia="仿宋" w:cs="仿宋"/>
                <w:sz w:val="28"/>
                <w:szCs w:val="28"/>
                <w:lang w:val="en-US" w:eastAsia="zh-CN"/>
              </w:rPr>
              <w:t>是否</w:t>
            </w:r>
            <w:r>
              <w:rPr>
                <w:rFonts w:hint="eastAsia" w:ascii="仿宋" w:hAnsi="仿宋" w:eastAsia="仿宋" w:cs="仿宋"/>
                <w:sz w:val="28"/>
                <w:szCs w:val="28"/>
                <w:lang w:val="en-GB" w:eastAsia="zh-CN"/>
              </w:rPr>
              <w:t>出现严重安全事件。</w:t>
            </w:r>
          </w:p>
          <w:p>
            <w:pPr>
              <w:pStyle w:val="9"/>
              <w:keepNext w:val="0"/>
              <w:keepLines w:val="0"/>
              <w:pageBreakBefore w:val="0"/>
              <w:kinsoku/>
              <w:wordWrap/>
              <w:overflowPunct/>
              <w:topLinePunct/>
              <w:autoSpaceDE/>
              <w:autoSpaceDN/>
              <w:bidi w:val="0"/>
              <w:adjustRightInd/>
              <w:snapToGrid/>
              <w:spacing w:line="440" w:lineRule="exact"/>
              <w:ind w:left="0" w:leftChars="0" w:firstLine="0" w:firstLineChars="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2.提供</w:t>
            </w:r>
            <w:r>
              <w:rPr>
                <w:rFonts w:hint="eastAsia" w:ascii="仿宋" w:hAnsi="仿宋" w:eastAsia="仿宋" w:cs="仿宋"/>
                <w:sz w:val="28"/>
                <w:szCs w:val="28"/>
                <w:lang w:val="en-GB" w:eastAsia="zh-CN"/>
              </w:rPr>
              <w:t>“信用中国</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重大税收违法案件当事人名单”、“中国执行信息公开网</w:t>
            </w:r>
            <w:r>
              <w:rPr>
                <w:rFonts w:hint="eastAsia" w:ascii="仿宋" w:hAnsi="仿宋" w:eastAsia="仿宋" w:cs="仿宋"/>
                <w:sz w:val="28"/>
                <w:szCs w:val="28"/>
                <w:lang w:val="en-US" w:eastAsia="zh-CN"/>
              </w:rPr>
              <w:t>-</w:t>
            </w:r>
            <w:r>
              <w:rPr>
                <w:rFonts w:hint="eastAsia" w:ascii="仿宋" w:hAnsi="仿宋" w:eastAsia="仿宋" w:cs="仿宋"/>
                <w:sz w:val="28"/>
                <w:szCs w:val="28"/>
                <w:lang w:val="en-GB" w:eastAsia="zh-CN"/>
              </w:rPr>
              <w:t>失信被执行人名单”、“中国政府采购网</w:t>
            </w:r>
            <w:r>
              <w:rPr>
                <w:rFonts w:hint="eastAsia" w:ascii="仿宋" w:hAnsi="仿宋" w:eastAsia="仿宋" w:cs="仿宋"/>
                <w:sz w:val="28"/>
                <w:szCs w:val="28"/>
                <w:lang w:val="en-US" w:eastAsia="zh-CN"/>
              </w:rPr>
              <w:t>-政府采购严重违法失信行为信息记录名单</w:t>
            </w:r>
            <w:r>
              <w:rPr>
                <w:rFonts w:hint="eastAsia" w:ascii="仿宋" w:hAnsi="仿宋" w:eastAsia="仿宋" w:cs="仿宋"/>
                <w:sz w:val="28"/>
                <w:szCs w:val="28"/>
                <w:lang w:val="en-GB" w:eastAsia="zh-CN"/>
              </w:rPr>
              <w:t>”、“国家企业信用信息公示系统</w:t>
            </w:r>
            <w:r>
              <w:rPr>
                <w:rFonts w:hint="eastAsia" w:ascii="仿宋" w:hAnsi="仿宋" w:eastAsia="仿宋" w:cs="仿宋"/>
                <w:sz w:val="28"/>
                <w:szCs w:val="28"/>
                <w:lang w:val="en-US" w:eastAsia="zh-CN"/>
              </w:rPr>
              <w:t>-严重违法失信企业名单</w:t>
            </w:r>
            <w:r>
              <w:rPr>
                <w:rFonts w:hint="eastAsia" w:ascii="仿宋" w:hAnsi="仿宋" w:eastAsia="仿宋" w:cs="仿宋"/>
                <w:sz w:val="28"/>
                <w:szCs w:val="28"/>
                <w:lang w:val="en-GB" w:eastAsia="zh-CN"/>
              </w:rPr>
              <w:t>”平台</w:t>
            </w:r>
            <w:r>
              <w:rPr>
                <w:rFonts w:hint="eastAsia" w:ascii="仿宋" w:hAnsi="仿宋" w:eastAsia="仿宋" w:cs="仿宋"/>
                <w:sz w:val="28"/>
                <w:szCs w:val="28"/>
                <w:lang w:val="en-US" w:eastAsia="zh-CN"/>
              </w:rPr>
              <w:t>查询截图。</w:t>
            </w:r>
          </w:p>
        </w:tc>
      </w:tr>
    </w:tbl>
    <w:p>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请提供：</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公司章程（如有）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营业执照（事业单位法人证书或类似执业许可证）</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公司法人身份证的原件扫描件</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4.提供国家企业信用信息公示系统查询，为存续、在营、开业、在册、登记成立等正常企业状态的截图。</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5.近三年经公司内部审核流程审定的</w:t>
      </w:r>
      <w:r>
        <w:rPr>
          <w:rFonts w:hint="eastAsia" w:ascii="仿宋" w:hAnsi="仿宋" w:eastAsia="仿宋" w:cs="仿宋"/>
          <w:color w:val="000000" w:themeColor="text1"/>
          <w:sz w:val="32"/>
          <w:szCs w:val="32"/>
          <w:highlight w:val="none"/>
          <w14:textFill>
            <w14:solidFill>
              <w14:schemeClr w14:val="tx1"/>
            </w14:solidFill>
          </w14:textFill>
        </w:rPr>
        <w:t>财务会计报表（财务会计报表需至少包含资产负债表、现金流量表和利润表）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原件扫描件</w:t>
      </w:r>
      <w:r>
        <w:rPr>
          <w:rFonts w:hint="eastAsia" w:ascii="仿宋" w:hAnsi="仿宋" w:eastAsia="仿宋" w:cs="仿宋"/>
          <w:color w:val="000000" w:themeColor="text1"/>
          <w:sz w:val="32"/>
          <w:szCs w:val="32"/>
          <w:highlight w:val="none"/>
          <w14:textFill>
            <w14:solidFill>
              <w14:schemeClr w14:val="tx1"/>
            </w14:solidFill>
          </w14:textFill>
        </w:rPr>
        <w:t>或有效的企业资信证明材料</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证明材料不全不予认可</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2"/>
        <w:keepNext w:val="0"/>
        <w:keepLines w:val="0"/>
        <w:pageBreakBefore w:val="0"/>
        <w:kinsoku/>
        <w:wordWrap/>
        <w:overflowPunct/>
        <w:bidi w:val="0"/>
        <w:snapToGrid/>
        <w:spacing w:after="0" w:line="579" w:lineRule="exact"/>
        <w:ind w:left="0"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6.提供</w:t>
      </w:r>
      <w:r>
        <w:rPr>
          <w:rFonts w:hint="eastAsia" w:ascii="仿宋" w:hAnsi="仿宋" w:eastAsia="仿宋" w:cs="仿宋"/>
          <w:color w:val="000000" w:themeColor="text1"/>
          <w:sz w:val="32"/>
          <w:szCs w:val="32"/>
          <w:highlight w:val="none"/>
          <w:lang w:val="en-GB" w:eastAsia="zh-CN"/>
          <w14:textFill>
            <w14:solidFill>
              <w14:schemeClr w14:val="tx1"/>
            </w14:solidFill>
          </w14:textFill>
        </w:rPr>
        <w:t>“信用中国</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重大税收违法案件当事人名单”、“中国执行信息公开网</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r>
        <w:rPr>
          <w:rFonts w:hint="eastAsia" w:ascii="仿宋" w:hAnsi="仿宋" w:eastAsia="仿宋" w:cs="仿宋"/>
          <w:color w:val="000000" w:themeColor="text1"/>
          <w:sz w:val="32"/>
          <w:szCs w:val="32"/>
          <w:highlight w:val="none"/>
          <w:lang w:val="en-GB" w:eastAsia="zh-CN"/>
          <w14:textFill>
            <w14:solidFill>
              <w14:schemeClr w14:val="tx1"/>
            </w14:solidFill>
          </w14:textFill>
        </w:rPr>
        <w:t>失信被执行人名单”、“中国政府采购网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-政府采购严重违法失信行为信息记录名单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”、“国家企业信用信息公示系统</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-严重违法失信企业名单</w:t>
      </w:r>
      <w:r>
        <w:rPr>
          <w:rFonts w:hint="eastAsia" w:ascii="仿宋" w:hAnsi="仿宋" w:eastAsia="仿宋" w:cs="仿宋"/>
          <w:color w:val="000000" w:themeColor="text1"/>
          <w:sz w:val="32"/>
          <w:szCs w:val="32"/>
          <w:highlight w:val="none"/>
          <w:lang w:val="en-GB" w:eastAsia="zh-CN"/>
          <w14:textFill>
            <w14:solidFill>
              <w14:schemeClr w14:val="tx1"/>
            </w14:solidFill>
          </w14:textFill>
        </w:rPr>
        <w:t>”平台</w:t>
      </w:r>
      <w:r>
        <w:rPr>
          <w:rFonts w:hint="eastAsia" w:ascii="仿宋" w:hAnsi="仿宋" w:eastAsia="仿宋" w:cs="仿宋"/>
          <w:color w:val="000000" w:themeColor="text1"/>
          <w:sz w:val="32"/>
          <w:szCs w:val="32"/>
          <w:highlight w:val="none"/>
          <w:lang w:val="en-US" w:eastAsia="zh-CN"/>
          <w14:textFill>
            <w14:solidFill>
              <w14:schemeClr w14:val="tx1"/>
            </w14:solidFill>
          </w14:textFill>
        </w:rPr>
        <w:t>查询截图。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与本项目相关的案例情况</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color w:val="auto"/>
          <w:sz w:val="32"/>
          <w:szCs w:val="32"/>
        </w:rPr>
        <w:t>《兴业银行西宁分行</w:t>
      </w:r>
      <w:r>
        <w:rPr>
          <w:rFonts w:hint="eastAsia" w:ascii="仿宋" w:hAnsi="仿宋" w:eastAsia="仿宋" w:cs="仿宋"/>
          <w:b w:val="0"/>
          <w:bCs w:val="0"/>
          <w:color w:val="auto"/>
          <w:sz w:val="32"/>
          <w:szCs w:val="32"/>
          <w:lang w:val="en-US" w:eastAsia="zh-CN"/>
        </w:rPr>
        <w:t>2026年</w:t>
      </w:r>
      <w:r>
        <w:rPr>
          <w:rFonts w:hint="eastAsia" w:ascii="仿宋" w:hAnsi="仿宋" w:eastAsia="仿宋" w:cs="仿宋"/>
          <w:b w:val="0"/>
          <w:bCs w:val="0"/>
          <w:color w:val="auto"/>
          <w:sz w:val="32"/>
          <w:szCs w:val="32"/>
        </w:rPr>
        <w:t>影院映前广告项目》相关</w:t>
      </w:r>
      <w:r>
        <w:rPr>
          <w:rFonts w:hint="eastAsia" w:ascii="仿宋" w:hAnsi="仿宋" w:eastAsia="仿宋" w:cs="仿宋"/>
          <w:b w:val="0"/>
          <w:bCs w:val="0"/>
          <w:sz w:val="32"/>
          <w:szCs w:val="32"/>
        </w:rPr>
        <w:t>案例情况</w:t>
      </w:r>
      <w:r>
        <w:rPr>
          <w:rFonts w:hint="eastAsia" w:ascii="仿宋" w:hAnsi="仿宋" w:eastAsia="仿宋" w:cs="仿宋"/>
          <w:b w:val="0"/>
          <w:bCs w:val="0"/>
          <w:sz w:val="32"/>
          <w:szCs w:val="32"/>
          <w:lang w:eastAsia="zh-CN"/>
        </w:rPr>
        <w:t>：具备202</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lang w:eastAsia="zh-CN"/>
        </w:rPr>
        <w:t>年至今与青海省内各企事业单位、金融机构合作开展与本项目相似的成功案例。</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97"/>
        <w:gridCol w:w="1721"/>
        <w:gridCol w:w="1877"/>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465"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p>
        </w:tc>
        <w:tc>
          <w:tcPr>
            <w:tcW w:w="1010"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合同名称</w:t>
            </w:r>
          </w:p>
        </w:tc>
        <w:tc>
          <w:tcPr>
            <w:tcW w:w="1101"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案例简介</w:t>
            </w:r>
          </w:p>
        </w:tc>
        <w:tc>
          <w:tcPr>
            <w:tcW w:w="852" w:type="pct"/>
            <w:vAlign w:val="center"/>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例：建设银行</w:t>
            </w:r>
            <w:r>
              <w:rPr>
                <w:rFonts w:hint="eastAsia" w:ascii="仿宋" w:hAnsi="仿宋" w:eastAsia="仿宋" w:cs="仿宋"/>
                <w:sz w:val="28"/>
                <w:szCs w:val="28"/>
              </w:rPr>
              <w:br w:type="textWrapping"/>
            </w:r>
            <w:r>
              <w:rPr>
                <w:rFonts w:hint="eastAsia" w:ascii="仿宋" w:hAnsi="仿宋" w:eastAsia="仿宋" w:cs="仿宋"/>
                <w:sz w:val="28"/>
                <w:szCs w:val="28"/>
              </w:rPr>
              <w:t>（甲方全称）</w:t>
            </w: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查见本文档第四部分第*页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57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465"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010"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1101"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c>
          <w:tcPr>
            <w:tcW w:w="852" w:type="pct"/>
          </w:tcPr>
          <w:p>
            <w:pPr>
              <w:keepNext w:val="0"/>
              <w:keepLines w:val="0"/>
              <w:pageBreakBefore w:val="0"/>
              <w:widowControl w:val="0"/>
              <w:kinsoku/>
              <w:wordWrap/>
              <w:overflowPunct/>
              <w:topLinePunct/>
              <w:autoSpaceDE/>
              <w:autoSpaceDN/>
              <w:bidi w:val="0"/>
              <w:adjustRightInd/>
              <w:snapToGrid/>
              <w:spacing w:line="460" w:lineRule="exact"/>
              <w:textAlignment w:val="auto"/>
              <w:rPr>
                <w:rFonts w:hint="eastAsia" w:ascii="仿宋" w:hAnsi="仿宋" w:eastAsia="仿宋" w:cs="仿宋"/>
                <w:sz w:val="28"/>
                <w:szCs w:val="28"/>
              </w:rPr>
            </w:pPr>
          </w:p>
        </w:tc>
      </w:tr>
    </w:tbl>
    <w:p>
      <w:pPr>
        <w:keepNext w:val="0"/>
        <w:keepLines w:val="0"/>
        <w:pageBreakBefore w:val="0"/>
        <w:kinsoku/>
        <w:wordWrap/>
        <w:overflowPunct/>
        <w:autoSpaceDE/>
        <w:autoSpaceDN/>
        <w:bidi w:val="0"/>
        <w:adjustRightInd/>
        <w:snapToGrid/>
        <w:spacing w:line="579" w:lineRule="exact"/>
        <w:ind w:firstLine="643" w:firstLineChars="200"/>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在此根据上述合所列合同清单依次附录合同证明材料。需包含合同首尾页，内容页及服务内容证明页的扫描件。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详细介绍</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一</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公司简介</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color w:val="0000FF"/>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包括但不限于：公司全称，统一社会信用代码，公司类型，注册资本，法人代表姓名，企业网址，纳税人类型，员工数量，公司通讯地址及邮编，联系人及职务，联系人手机号码及电子邮箱地址，公司主营业务，分公司或办事处的详细地址和联系方式。</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（二）公司资质、认证等材料（</w:t>
      </w:r>
      <w:r>
        <w:rPr>
          <w:rFonts w:hint="eastAsia" w:ascii="楷体" w:hAnsi="楷体" w:eastAsia="楷体" w:cs="楷体"/>
          <w:b w:val="0"/>
          <w:bCs w:val="0"/>
          <w:sz w:val="32"/>
          <w:szCs w:val="32"/>
          <w:lang w:val="en-US" w:eastAsia="zh-CN"/>
        </w:rPr>
        <w:t>扫描件</w:t>
      </w:r>
      <w:r>
        <w:rPr>
          <w:rFonts w:hint="eastAsia" w:ascii="楷体" w:hAnsi="楷体" w:eastAsia="楷体" w:cs="楷体"/>
          <w:b w:val="0"/>
          <w:bCs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包括但不限于：</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1.行业资质认证。例如：质量管理体系认证，环境管理体系认证，职业健康安全管理体系认证等。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2.产品认证。如3C 认证，节能环保产品认证等。</w:t>
      </w:r>
    </w:p>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Cs/>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3.技术能力介绍：①公司拥有的自主知识产权名称、数量（须提供扫描件作为证明），②行业内龙头企业排名或优质企业资质认证材料。</w:t>
      </w:r>
    </w:p>
    <w:p>
      <w:pPr>
        <w:keepNext w:val="0"/>
        <w:keepLines w:val="0"/>
        <w:pageBreakBefore w:val="0"/>
        <w:kinsoku/>
        <w:wordWrap/>
        <w:overflowPunct/>
        <w:autoSpaceDE/>
        <w:autoSpaceDN/>
        <w:bidi w:val="0"/>
        <w:adjustRightInd/>
        <w:snapToGrid/>
        <w:spacing w:line="579" w:lineRule="exact"/>
        <w:ind w:firstLine="640" w:firstLineChars="200"/>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（三）与兴业银行历史合作情况</w:t>
      </w:r>
    </w:p>
    <w:tbl>
      <w:tblPr>
        <w:tblStyle w:val="6"/>
        <w:tblpPr w:leftFromText="180" w:rightFromText="180" w:vertAnchor="text" w:horzAnchor="page" w:tblpX="1894" w:tblpY="3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91"/>
        <w:gridCol w:w="1265"/>
        <w:gridCol w:w="1233"/>
        <w:gridCol w:w="1276"/>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852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b/>
                <w:bCs/>
                <w:i w:val="0"/>
                <w:iCs w:val="0"/>
                <w:color w:val="000000"/>
                <w:sz w:val="28"/>
                <w:szCs w:val="28"/>
                <w:u w:val="none"/>
              </w:rPr>
            </w:pPr>
            <w:r>
              <w:rPr>
                <w:rFonts w:hint="eastAsia" w:ascii="仿宋" w:hAnsi="仿宋" w:eastAsia="仿宋" w:cs="仿宋"/>
                <w:color w:val="000000" w:themeColor="text1"/>
                <w:sz w:val="32"/>
                <w:szCs w:val="32"/>
                <w:lang w:val="en-US" w:eastAsia="zh-CN"/>
                <w14:textFill>
                  <w14:solidFill>
                    <w14:schemeClr w14:val="tx1"/>
                  </w14:solidFill>
                </w14:textFill>
              </w:rPr>
              <w:t>提供与兴业银行近两年采购合作情况，并说明是否在与兴业银行的历史合作期间出现违约或严重过失行为的情况说明。</w:t>
            </w:r>
            <w:r>
              <w:rPr>
                <w:rFonts w:hint="eastAsia" w:ascii="仿宋" w:hAnsi="仿宋" w:eastAsia="仿宋" w:cs="仿宋"/>
                <w:b/>
                <w:bCs/>
                <w:i w:val="0"/>
                <w:iCs w:val="0"/>
                <w:color w:val="000000"/>
                <w:kern w:val="0"/>
                <w:sz w:val="28"/>
                <w:szCs w:val="28"/>
                <w:u w:val="none"/>
                <w:lang w:val="en-US" w:eastAsia="zh-CN" w:bidi="ar"/>
              </w:rPr>
              <w:t>与兴业银行合作情况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4"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合作起止时间</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合同名称</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合同编号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兴业银行机构名称</w:t>
            </w:r>
          </w:p>
        </w:tc>
        <w:tc>
          <w:tcPr>
            <w:tcW w:w="2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autoSpaceDE/>
              <w:autoSpaceDN/>
              <w:bidi w:val="0"/>
              <w:adjustRightInd/>
              <w:snapToGrid/>
              <w:spacing w:line="460" w:lineRule="exact"/>
              <w:ind w:left="0" w:leftChars="0" w:firstLine="0" w:firstLineChars="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与兴业银行历史合作期间出现违约或严重过失行为的情况说明（不限于近两年）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8"/>
                <w:szCs w:val="28"/>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仿宋" w:hAnsi="仿宋" w:eastAsia="仿宋" w:cs="仿宋"/>
                <w:i w:val="0"/>
                <w:iCs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0"/>
        <w:rPr>
          <w:rFonts w:hint="eastAsia" w:ascii="宋体" w:hAnsi="宋体" w:eastAsia="宋体" w:cs="宋体"/>
          <w:b/>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6279D"/>
    <w:rsid w:val="0A72534D"/>
    <w:rsid w:val="0DED7F9F"/>
    <w:rsid w:val="12084D55"/>
    <w:rsid w:val="13DD0D7A"/>
    <w:rsid w:val="27252CBE"/>
    <w:rsid w:val="301F45BC"/>
    <w:rsid w:val="30A002F4"/>
    <w:rsid w:val="365B1D40"/>
    <w:rsid w:val="49BA6D94"/>
    <w:rsid w:val="503B1E49"/>
    <w:rsid w:val="590F4C8C"/>
    <w:rsid w:val="5966279D"/>
    <w:rsid w:val="597A4A15"/>
    <w:rsid w:val="631D7FB3"/>
    <w:rsid w:val="6AC90FAD"/>
    <w:rsid w:val="6B3B332A"/>
    <w:rsid w:val="72FA5C80"/>
    <w:rsid w:val="79330017"/>
    <w:rsid w:val="7C151580"/>
    <w:rsid w:val="7F7B98EB"/>
    <w:rsid w:val="FFBFDA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HTML Preformatted"/>
    <w:basedOn w:val="1"/>
    <w:semiHidden/>
    <w:qFormat/>
    <w:uiPriority w:val="0"/>
    <w:pPr>
      <w:topLinePunct w:val="0"/>
    </w:pPr>
    <w:rPr>
      <w:rFonts w:ascii="Courier New" w:hAnsi="Courier New" w:cs="Courier New"/>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首行缩进 21"/>
    <w:basedOn w:val="10"/>
    <w:qFormat/>
    <w:uiPriority w:val="0"/>
    <w:pPr>
      <w:widowControl/>
      <w:ind w:firstLine="420"/>
    </w:pPr>
    <w:rPr>
      <w:szCs w:val="20"/>
    </w:rPr>
  </w:style>
  <w:style w:type="paragraph" w:customStyle="1" w:styleId="10">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20</TotalTime>
  <ScaleCrop>false</ScaleCrop>
  <LinksUpToDate>false</LinksUpToDate>
  <CharactersWithSpaces>0</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2024-11-21T19:06:00Z</dcterms:created>
  <dc:creator>石瑜</dc:creator>
  <cp:lastModifiedBy>cibadmin</cp:lastModifiedBy>
  <dcterms:modified xsi:type="dcterms:W3CDTF">2026-05-29T01:55:59Z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