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BB56E">
      <w:pPr>
        <w:autoSpaceDE w:val="0"/>
        <w:autoSpaceDN w:val="0"/>
        <w:adjustRightInd w:val="0"/>
        <w:jc w:val="center"/>
        <w:rPr>
          <w:rFonts w:hint="eastAsia" w:ascii="宋体" w:hAnsi="宋体" w:cs="宋体"/>
          <w:b/>
          <w:bCs/>
          <w:kern w:val="0"/>
          <w:sz w:val="44"/>
          <w:szCs w:val="44"/>
          <w:lang w:val="zh-CN"/>
        </w:rPr>
      </w:pPr>
      <w:bookmarkStart w:id="347" w:name="_GoBack"/>
      <w:bookmarkEnd w:id="347"/>
    </w:p>
    <w:p w14:paraId="5A35CA72">
      <w:pPr>
        <w:pStyle w:val="9"/>
        <w:rPr>
          <w:rFonts w:hint="eastAsia" w:ascii="宋体" w:hAnsi="宋体" w:cs="宋体"/>
          <w:b/>
          <w:bCs/>
          <w:kern w:val="0"/>
          <w:sz w:val="44"/>
          <w:szCs w:val="44"/>
          <w:lang w:val="zh-CN"/>
        </w:rPr>
      </w:pPr>
    </w:p>
    <w:p w14:paraId="292572B0">
      <w:pPr>
        <w:pStyle w:val="48"/>
        <w:rPr>
          <w:rFonts w:hint="eastAsia" w:ascii="宋体" w:hAnsi="宋体" w:cs="宋体"/>
          <w:b/>
          <w:bCs/>
          <w:sz w:val="44"/>
          <w:szCs w:val="44"/>
          <w:lang w:val="zh-CN"/>
        </w:rPr>
      </w:pPr>
    </w:p>
    <w:p w14:paraId="5EA85568">
      <w:pPr>
        <w:pStyle w:val="50"/>
        <w:ind w:firstLine="420"/>
        <w:rPr>
          <w:rFonts w:hint="eastAsia"/>
          <w:lang w:val="zh-CN"/>
        </w:rPr>
      </w:pPr>
    </w:p>
    <w:p w14:paraId="0A2A49A3">
      <w:pPr>
        <w:autoSpaceDE w:val="0"/>
        <w:autoSpaceDN w:val="0"/>
        <w:adjustRightInd w:val="0"/>
        <w:spacing w:line="360" w:lineRule="auto"/>
        <w:jc w:val="center"/>
        <w:rPr>
          <w:rFonts w:hint="eastAsia" w:ascii="宋体" w:hAnsi="宋体" w:cs="宋体"/>
          <w:b/>
          <w:bCs/>
          <w:kern w:val="0"/>
          <w:sz w:val="84"/>
          <w:szCs w:val="84"/>
          <w:lang w:val="zh-CN"/>
        </w:rPr>
      </w:pPr>
      <w:r>
        <w:rPr>
          <w:rFonts w:hint="eastAsia" w:ascii="宋体" w:hAnsi="宋体" w:cs="宋体"/>
          <w:b/>
          <w:bCs/>
          <w:kern w:val="0"/>
          <w:sz w:val="44"/>
          <w:szCs w:val="44"/>
          <w:lang w:val="zh-CN"/>
        </w:rPr>
        <w:t>青海民族大学东序校区运动场维修项目设计、造价咨询服务</w:t>
      </w:r>
    </w:p>
    <w:p w14:paraId="281BD813">
      <w:pPr>
        <w:autoSpaceDE w:val="0"/>
        <w:autoSpaceDN w:val="0"/>
        <w:adjustRightInd w:val="0"/>
        <w:spacing w:line="360" w:lineRule="auto"/>
        <w:jc w:val="center"/>
        <w:rPr>
          <w:rFonts w:hint="eastAsia" w:ascii="宋体" w:hAnsi="宋体" w:cs="宋体"/>
          <w:b/>
          <w:bCs/>
          <w:kern w:val="0"/>
          <w:sz w:val="84"/>
          <w:szCs w:val="84"/>
          <w:lang w:val="zh-CN"/>
        </w:rPr>
      </w:pPr>
    </w:p>
    <w:p w14:paraId="4927AE67">
      <w:pPr>
        <w:autoSpaceDE w:val="0"/>
        <w:autoSpaceDN w:val="0"/>
        <w:adjustRightInd w:val="0"/>
        <w:spacing w:line="360" w:lineRule="auto"/>
        <w:jc w:val="center"/>
        <w:rPr>
          <w:rFonts w:hint="eastAsia" w:ascii="宋体" w:hAnsi="宋体" w:cs="宋体"/>
          <w:b/>
          <w:bCs/>
          <w:kern w:val="0"/>
          <w:sz w:val="84"/>
          <w:szCs w:val="84"/>
          <w:lang w:val="zh-CN"/>
        </w:rPr>
      </w:pPr>
      <w:r>
        <w:rPr>
          <w:rFonts w:hint="eastAsia" w:ascii="宋体" w:hAnsi="宋体" w:cs="宋体"/>
          <w:b/>
          <w:bCs/>
          <w:kern w:val="0"/>
          <w:sz w:val="84"/>
          <w:szCs w:val="84"/>
          <w:lang w:val="zh-CN"/>
        </w:rPr>
        <w:t>询比采购文件</w:t>
      </w:r>
    </w:p>
    <w:p w14:paraId="5AEE5079">
      <w:pPr>
        <w:autoSpaceDE w:val="0"/>
        <w:autoSpaceDN w:val="0"/>
        <w:adjustRightInd w:val="0"/>
        <w:spacing w:line="360" w:lineRule="auto"/>
        <w:jc w:val="center"/>
        <w:rPr>
          <w:rFonts w:hint="eastAsia" w:ascii="宋体" w:hAnsi="宋体" w:cs="宋体"/>
          <w:b/>
          <w:bCs/>
          <w:kern w:val="0"/>
          <w:sz w:val="84"/>
          <w:szCs w:val="84"/>
          <w:lang w:val="zh-CN"/>
        </w:rPr>
      </w:pPr>
    </w:p>
    <w:p w14:paraId="7F6D0DB4">
      <w:pPr>
        <w:autoSpaceDE w:val="0"/>
        <w:autoSpaceDN w:val="0"/>
        <w:adjustRightInd w:val="0"/>
        <w:spacing w:line="360" w:lineRule="auto"/>
        <w:jc w:val="left"/>
        <w:rPr>
          <w:rFonts w:hint="eastAsia" w:ascii="宋体" w:hAnsi="宋体" w:eastAsia="宋体" w:cs="宋体"/>
          <w:kern w:val="0"/>
          <w:sz w:val="36"/>
          <w:szCs w:val="36"/>
          <w:lang w:eastAsia="zh-CN"/>
        </w:rPr>
      </w:pPr>
      <w:r>
        <w:rPr>
          <w:rFonts w:hint="eastAsia" w:ascii="宋体" w:hAnsi="宋体" w:cs="宋体"/>
          <w:b/>
          <w:bCs/>
          <w:kern w:val="0"/>
          <w:sz w:val="36"/>
          <w:szCs w:val="36"/>
          <w:lang w:val="zh-CN"/>
        </w:rPr>
        <w:t>采购项目编号：</w:t>
      </w:r>
      <w:r>
        <w:rPr>
          <w:rFonts w:hint="eastAsia" w:ascii="宋体" w:hAnsi="宋体" w:cs="宋体"/>
          <w:b/>
          <w:bCs/>
          <w:kern w:val="0"/>
          <w:sz w:val="36"/>
          <w:szCs w:val="36"/>
          <w:lang w:eastAsia="zh-CN"/>
        </w:rPr>
        <w:t>DY2026-06-11A</w:t>
      </w:r>
    </w:p>
    <w:p w14:paraId="5E827740">
      <w:pPr>
        <w:autoSpaceDE w:val="0"/>
        <w:autoSpaceDN w:val="0"/>
        <w:adjustRightInd w:val="0"/>
        <w:spacing w:line="360" w:lineRule="auto"/>
        <w:jc w:val="left"/>
        <w:rPr>
          <w:rFonts w:hint="eastAsia" w:ascii="宋体" w:hAnsi="宋体" w:cs="宋体"/>
          <w:b/>
          <w:bCs/>
          <w:kern w:val="0"/>
          <w:sz w:val="36"/>
          <w:szCs w:val="36"/>
          <w:lang w:val="zh-CN"/>
        </w:rPr>
      </w:pPr>
    </w:p>
    <w:p w14:paraId="07FF5D60">
      <w:pPr>
        <w:autoSpaceDE w:val="0"/>
        <w:autoSpaceDN w:val="0"/>
        <w:adjustRightInd w:val="0"/>
        <w:spacing w:line="360" w:lineRule="auto"/>
        <w:ind w:left="2530" w:hanging="2530" w:hangingChars="700"/>
        <w:jc w:val="left"/>
        <w:rPr>
          <w:rFonts w:hint="eastAsia" w:ascii="宋体" w:hAnsi="宋体" w:cs="宋体"/>
          <w:b/>
          <w:bCs/>
          <w:kern w:val="0"/>
          <w:sz w:val="36"/>
          <w:szCs w:val="36"/>
          <w:lang w:val="zh-CN"/>
        </w:rPr>
      </w:pPr>
      <w:r>
        <w:rPr>
          <w:rFonts w:hint="eastAsia" w:ascii="宋体" w:hAnsi="宋体" w:cs="宋体"/>
          <w:b/>
          <w:bCs/>
          <w:kern w:val="0"/>
          <w:sz w:val="36"/>
          <w:szCs w:val="36"/>
          <w:lang w:val="zh-CN"/>
        </w:rPr>
        <w:t>采购项目名称：青海民族大学东序校区运动场维修项目设计、造价咨询服务</w:t>
      </w:r>
    </w:p>
    <w:p w14:paraId="5879A986">
      <w:pPr>
        <w:autoSpaceDE w:val="0"/>
        <w:autoSpaceDN w:val="0"/>
        <w:adjustRightInd w:val="0"/>
        <w:spacing w:line="360" w:lineRule="auto"/>
        <w:ind w:left="2530" w:hanging="2530" w:hangingChars="700"/>
        <w:jc w:val="left"/>
        <w:rPr>
          <w:rFonts w:hint="eastAsia" w:ascii="宋体" w:hAnsi="宋体" w:cs="宋体"/>
          <w:b/>
          <w:bCs/>
          <w:kern w:val="0"/>
          <w:sz w:val="36"/>
          <w:szCs w:val="36"/>
          <w:lang w:val="zh-CN"/>
        </w:rPr>
      </w:pPr>
      <w:r>
        <w:rPr>
          <w:rFonts w:hint="eastAsia" w:ascii="宋体" w:hAnsi="宋体" w:cs="宋体"/>
          <w:b/>
          <w:bCs/>
          <w:kern w:val="0"/>
          <w:sz w:val="36"/>
          <w:szCs w:val="36"/>
          <w:lang w:val="zh-CN"/>
        </w:rPr>
        <w:t>采购人：青海民族大学</w:t>
      </w:r>
    </w:p>
    <w:p w14:paraId="6B2B687B">
      <w:pPr>
        <w:autoSpaceDE w:val="0"/>
        <w:autoSpaceDN w:val="0"/>
        <w:adjustRightInd w:val="0"/>
        <w:spacing w:line="360" w:lineRule="auto"/>
        <w:rPr>
          <w:rFonts w:hint="eastAsia" w:ascii="宋体" w:hAnsi="宋体" w:cs="宋体"/>
          <w:b/>
          <w:bCs/>
          <w:kern w:val="0"/>
          <w:sz w:val="36"/>
          <w:szCs w:val="36"/>
        </w:rPr>
      </w:pPr>
    </w:p>
    <w:p w14:paraId="358D9F10">
      <w:pPr>
        <w:autoSpaceDE w:val="0"/>
        <w:autoSpaceDN w:val="0"/>
        <w:adjustRightInd w:val="0"/>
        <w:spacing w:line="360" w:lineRule="auto"/>
        <w:rPr>
          <w:rFonts w:hint="eastAsia" w:ascii="宋体" w:hAnsi="宋体" w:cs="宋体"/>
          <w:b/>
          <w:bCs/>
          <w:kern w:val="0"/>
          <w:sz w:val="36"/>
          <w:szCs w:val="36"/>
          <w:lang w:val="zh-CN"/>
        </w:rPr>
      </w:pPr>
      <w:r>
        <w:rPr>
          <w:rFonts w:hint="eastAsia" w:ascii="宋体" w:hAnsi="宋体" w:cs="宋体"/>
          <w:b/>
          <w:bCs/>
          <w:kern w:val="0"/>
          <w:sz w:val="36"/>
          <w:szCs w:val="36"/>
          <w:lang w:val="zh-CN"/>
        </w:rPr>
        <w:t>采购代理机构：青海鼎誉工程咨询有限公司</w:t>
      </w:r>
    </w:p>
    <w:p w14:paraId="56AF65BE">
      <w:pPr>
        <w:autoSpaceDE w:val="0"/>
        <w:autoSpaceDN w:val="0"/>
        <w:adjustRightInd w:val="0"/>
        <w:spacing w:line="360" w:lineRule="auto"/>
        <w:jc w:val="center"/>
        <w:rPr>
          <w:rFonts w:hint="eastAsia" w:ascii="宋体" w:hAnsi="宋体" w:cs="宋体"/>
          <w:b/>
          <w:bCs/>
          <w:sz w:val="36"/>
          <w:szCs w:val="36"/>
        </w:rPr>
      </w:pPr>
      <w:r>
        <w:rPr>
          <w:rFonts w:hint="eastAsia" w:ascii="宋体" w:hAnsi="宋体" w:cs="宋体"/>
          <w:b/>
          <w:bCs/>
          <w:kern w:val="0"/>
          <w:sz w:val="36"/>
          <w:szCs w:val="36"/>
          <w:lang w:val="zh-CN"/>
        </w:rPr>
        <w:t>2026年0</w:t>
      </w:r>
      <w:r>
        <w:rPr>
          <w:rFonts w:hint="eastAsia" w:ascii="宋体" w:hAnsi="宋体" w:cs="宋体"/>
          <w:b/>
          <w:bCs/>
          <w:kern w:val="0"/>
          <w:sz w:val="36"/>
          <w:szCs w:val="36"/>
          <w:lang w:val="en-US" w:eastAsia="zh-CN"/>
        </w:rPr>
        <w:t>6</w:t>
      </w:r>
      <w:r>
        <w:rPr>
          <w:rFonts w:hint="eastAsia" w:ascii="宋体" w:hAnsi="宋体" w:cs="宋体"/>
          <w:b/>
          <w:bCs/>
          <w:kern w:val="0"/>
          <w:sz w:val="36"/>
          <w:szCs w:val="36"/>
          <w:lang w:val="zh-CN"/>
        </w:rPr>
        <w:t>月</w:t>
      </w:r>
    </w:p>
    <w:p w14:paraId="24DB2E23">
      <w:pPr>
        <w:keepNext/>
        <w:pageBreakBefore/>
        <w:adjustRightInd w:val="0"/>
        <w:spacing w:line="360" w:lineRule="auto"/>
        <w:jc w:val="center"/>
        <w:textAlignment w:val="baseline"/>
        <w:rPr>
          <w:rFonts w:hint="eastAsia" w:ascii="宋体" w:hAnsi="宋体" w:cs="宋体"/>
          <w:sz w:val="24"/>
        </w:rPr>
      </w:pPr>
      <w:r>
        <w:rPr>
          <w:rFonts w:hint="eastAsia" w:ascii="宋体" w:hAnsi="宋体" w:cs="宋体"/>
          <w:b/>
          <w:bCs/>
          <w:sz w:val="40"/>
          <w:szCs w:val="40"/>
        </w:rPr>
        <w:t>目  录</w:t>
      </w:r>
    </w:p>
    <w:p w14:paraId="0A7F8510">
      <w:pPr>
        <w:pStyle w:val="22"/>
        <w:tabs>
          <w:tab w:val="right" w:leader="dot" w:pos="9240"/>
        </w:tabs>
      </w:pPr>
      <w:r>
        <w:rPr>
          <w:rFonts w:hint="eastAsia" w:ascii="宋体" w:hAnsi="宋体" w:cs="宋体"/>
          <w:b w:val="0"/>
          <w:bCs w:val="0"/>
          <w:szCs w:val="24"/>
          <w:lang w:val="zh-CN"/>
        </w:rPr>
        <w:fldChar w:fldCharType="begin"/>
      </w:r>
      <w:r>
        <w:rPr>
          <w:rStyle w:val="38"/>
          <w:rFonts w:hint="eastAsia"/>
          <w:b w:val="0"/>
          <w:bCs w:val="0"/>
          <w:color w:val="auto"/>
          <w:szCs w:val="24"/>
          <w:lang w:val="zh-CN"/>
        </w:rPr>
        <w:instrText xml:space="preserve"> TOC \o "1-3" \h \z \u </w:instrText>
      </w:r>
      <w:r>
        <w:rPr>
          <w:rFonts w:hint="eastAsia" w:ascii="宋体" w:hAnsi="宋体" w:cs="宋体"/>
          <w:b w:val="0"/>
          <w:bCs w:val="0"/>
          <w:szCs w:val="24"/>
          <w:lang w:val="zh-CN"/>
        </w:rPr>
        <w:fldChar w:fldCharType="separate"/>
      </w:r>
      <w:r>
        <w:rPr>
          <w:rFonts w:hint="eastAsia" w:ascii="宋体" w:hAnsi="宋体" w:cs="宋体"/>
          <w:bCs w:val="0"/>
          <w:szCs w:val="24"/>
          <w:lang w:val="zh-CN"/>
        </w:rPr>
        <w:fldChar w:fldCharType="begin"/>
      </w:r>
      <w:r>
        <w:rPr>
          <w:rFonts w:hint="eastAsia" w:ascii="宋体" w:hAnsi="宋体" w:cs="宋体"/>
          <w:bCs w:val="0"/>
          <w:szCs w:val="24"/>
          <w:lang w:val="zh-CN"/>
        </w:rPr>
        <w:instrText xml:space="preserve"> HYPERLINK \l _Toc9787 </w:instrText>
      </w:r>
      <w:r>
        <w:rPr>
          <w:rFonts w:hint="eastAsia" w:ascii="宋体" w:hAnsi="宋体" w:cs="宋体"/>
          <w:bCs w:val="0"/>
          <w:szCs w:val="24"/>
          <w:lang w:val="zh-CN"/>
        </w:rPr>
        <w:fldChar w:fldCharType="separate"/>
      </w:r>
      <w:r>
        <w:rPr>
          <w:rFonts w:hint="eastAsia" w:ascii="宋体" w:hAnsi="宋体" w:cs="宋体"/>
          <w:lang w:val="zh-CN"/>
        </w:rPr>
        <w:t>第一部分</w:t>
      </w:r>
      <w:r>
        <w:rPr>
          <w:rFonts w:hint="eastAsia" w:ascii="宋体" w:hAnsi="宋体" w:cs="宋体"/>
        </w:rPr>
        <w:t xml:space="preserve">  采购公告</w:t>
      </w:r>
      <w:r>
        <w:tab/>
      </w:r>
      <w:r>
        <w:fldChar w:fldCharType="begin"/>
      </w:r>
      <w:r>
        <w:instrText xml:space="preserve"> PAGEREF _Toc9787 \h </w:instrText>
      </w:r>
      <w:r>
        <w:fldChar w:fldCharType="separate"/>
      </w:r>
      <w:r>
        <w:t>4</w:t>
      </w:r>
      <w:r>
        <w:fldChar w:fldCharType="end"/>
      </w:r>
      <w:r>
        <w:rPr>
          <w:rFonts w:hint="eastAsia" w:ascii="宋体" w:hAnsi="宋体" w:cs="宋体"/>
          <w:bCs w:val="0"/>
          <w:szCs w:val="24"/>
          <w:lang w:val="zh-CN"/>
        </w:rPr>
        <w:fldChar w:fldCharType="end"/>
      </w:r>
    </w:p>
    <w:p w14:paraId="2C6D2A7D">
      <w:pPr>
        <w:pStyle w:val="22"/>
        <w:tabs>
          <w:tab w:val="right" w:leader="dot" w:pos="9240"/>
        </w:tabs>
      </w:pPr>
      <w:r>
        <w:rPr>
          <w:rFonts w:hint="eastAsia" w:ascii="宋体" w:hAnsi="宋体" w:cs="宋体"/>
          <w:bCs w:val="0"/>
          <w:lang w:val="zh-CN"/>
        </w:rPr>
        <w:fldChar w:fldCharType="begin"/>
      </w:r>
      <w:r>
        <w:rPr>
          <w:rFonts w:hint="eastAsia" w:ascii="宋体" w:hAnsi="宋体" w:cs="宋体"/>
          <w:bCs w:val="0"/>
          <w:lang w:val="zh-CN"/>
        </w:rPr>
        <w:instrText xml:space="preserve"> HYPERLINK \l _Toc18712 </w:instrText>
      </w:r>
      <w:r>
        <w:rPr>
          <w:rFonts w:hint="eastAsia" w:ascii="宋体" w:hAnsi="宋体" w:cs="宋体"/>
          <w:bCs w:val="0"/>
          <w:lang w:val="zh-CN"/>
        </w:rPr>
        <w:fldChar w:fldCharType="separate"/>
      </w:r>
      <w:r>
        <w:rPr>
          <w:rFonts w:hint="eastAsia" w:ascii="宋体" w:hAnsi="宋体" w:cs="宋体"/>
          <w:lang w:val="zh-CN"/>
        </w:rPr>
        <w:t>第二部分</w:t>
      </w:r>
      <w:r>
        <w:rPr>
          <w:rFonts w:hint="eastAsia" w:ascii="宋体" w:hAnsi="宋体" w:cs="宋体"/>
        </w:rPr>
        <w:t xml:space="preserve">  </w:t>
      </w:r>
      <w:r>
        <w:rPr>
          <w:rFonts w:hint="eastAsia" w:ascii="宋体" w:hAnsi="宋体" w:cs="宋体"/>
          <w:lang w:val="zh-CN"/>
        </w:rPr>
        <w:t>供应商须知前附表</w:t>
      </w:r>
      <w:r>
        <w:tab/>
      </w:r>
      <w:r>
        <w:fldChar w:fldCharType="begin"/>
      </w:r>
      <w:r>
        <w:instrText xml:space="preserve"> PAGEREF _Toc18712 \h </w:instrText>
      </w:r>
      <w:r>
        <w:fldChar w:fldCharType="separate"/>
      </w:r>
      <w:r>
        <w:t>6</w:t>
      </w:r>
      <w:r>
        <w:fldChar w:fldCharType="end"/>
      </w:r>
      <w:r>
        <w:rPr>
          <w:rFonts w:hint="eastAsia" w:ascii="宋体" w:hAnsi="宋体" w:cs="宋体"/>
          <w:bCs w:val="0"/>
          <w:lang w:val="zh-CN"/>
        </w:rPr>
        <w:fldChar w:fldCharType="end"/>
      </w:r>
    </w:p>
    <w:p w14:paraId="459B82AF">
      <w:pPr>
        <w:pStyle w:val="22"/>
        <w:tabs>
          <w:tab w:val="right" w:leader="dot" w:pos="9240"/>
        </w:tabs>
      </w:pPr>
      <w:r>
        <w:rPr>
          <w:rFonts w:hint="eastAsia" w:ascii="宋体" w:hAnsi="宋体" w:cs="宋体"/>
          <w:bCs w:val="0"/>
          <w:lang w:val="zh-CN"/>
        </w:rPr>
        <w:fldChar w:fldCharType="begin"/>
      </w:r>
      <w:r>
        <w:rPr>
          <w:rFonts w:hint="eastAsia" w:ascii="宋体" w:hAnsi="宋体" w:cs="宋体"/>
          <w:bCs w:val="0"/>
          <w:lang w:val="zh-CN"/>
        </w:rPr>
        <w:instrText xml:space="preserve"> HYPERLINK \l _Toc10282 </w:instrText>
      </w:r>
      <w:r>
        <w:rPr>
          <w:rFonts w:hint="eastAsia" w:ascii="宋体" w:hAnsi="宋体" w:cs="宋体"/>
          <w:bCs w:val="0"/>
          <w:lang w:val="zh-CN"/>
        </w:rPr>
        <w:fldChar w:fldCharType="separate"/>
      </w:r>
      <w:r>
        <w:rPr>
          <w:rFonts w:hint="eastAsia" w:ascii="宋体" w:hAnsi="宋体" w:cs="宋体"/>
          <w:bCs/>
          <w:kern w:val="28"/>
          <w:szCs w:val="36"/>
        </w:rPr>
        <w:t>第三部分  供应商须知</w:t>
      </w:r>
      <w:r>
        <w:tab/>
      </w:r>
      <w:r>
        <w:fldChar w:fldCharType="begin"/>
      </w:r>
      <w:r>
        <w:instrText xml:space="preserve"> PAGEREF _Toc10282 \h </w:instrText>
      </w:r>
      <w:r>
        <w:fldChar w:fldCharType="separate"/>
      </w:r>
      <w:r>
        <w:t>9</w:t>
      </w:r>
      <w:r>
        <w:fldChar w:fldCharType="end"/>
      </w:r>
      <w:r>
        <w:rPr>
          <w:rFonts w:hint="eastAsia" w:ascii="宋体" w:hAnsi="宋体" w:cs="宋体"/>
          <w:bCs w:val="0"/>
          <w:lang w:val="zh-CN"/>
        </w:rPr>
        <w:fldChar w:fldCharType="end"/>
      </w:r>
    </w:p>
    <w:p w14:paraId="6900C030">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_Toc16168 </w:instrText>
      </w:r>
      <w:r>
        <w:rPr>
          <w:rFonts w:hint="eastAsia" w:ascii="宋体" w:hAnsi="宋体" w:cs="宋体"/>
          <w:bCs/>
          <w:lang w:val="zh-CN"/>
        </w:rPr>
        <w:fldChar w:fldCharType="separate"/>
      </w:r>
      <w:r>
        <w:rPr>
          <w:rFonts w:hint="eastAsia" w:ascii="宋体" w:hAnsi="宋体" w:cs="宋体"/>
          <w:bCs/>
        </w:rPr>
        <w:t>一、说  明</w:t>
      </w:r>
      <w:r>
        <w:tab/>
      </w:r>
      <w:r>
        <w:fldChar w:fldCharType="begin"/>
      </w:r>
      <w:r>
        <w:instrText xml:space="preserve"> PAGEREF _Toc16168 \h </w:instrText>
      </w:r>
      <w:r>
        <w:fldChar w:fldCharType="separate"/>
      </w:r>
      <w:r>
        <w:t>9</w:t>
      </w:r>
      <w:r>
        <w:fldChar w:fldCharType="end"/>
      </w:r>
      <w:r>
        <w:rPr>
          <w:rFonts w:hint="eastAsia" w:ascii="宋体" w:hAnsi="宋体" w:cs="宋体"/>
          <w:bCs/>
          <w:lang w:val="zh-CN"/>
        </w:rPr>
        <w:fldChar w:fldCharType="end"/>
      </w:r>
    </w:p>
    <w:p w14:paraId="70F3D241">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_Toc31744 </w:instrText>
      </w:r>
      <w:r>
        <w:rPr>
          <w:rFonts w:hint="eastAsia" w:ascii="宋体" w:hAnsi="宋体" w:cs="宋体"/>
          <w:bCs/>
          <w:lang w:val="zh-CN"/>
        </w:rPr>
        <w:fldChar w:fldCharType="separate"/>
      </w:r>
      <w:r>
        <w:rPr>
          <w:rFonts w:hint="eastAsia" w:ascii="宋体" w:hAnsi="宋体" w:cs="宋体"/>
          <w:bCs/>
        </w:rPr>
        <w:t>1.适用范围</w:t>
      </w:r>
      <w:r>
        <w:tab/>
      </w:r>
      <w:r>
        <w:fldChar w:fldCharType="begin"/>
      </w:r>
      <w:r>
        <w:instrText xml:space="preserve"> PAGEREF _Toc31744 \h </w:instrText>
      </w:r>
      <w:r>
        <w:fldChar w:fldCharType="separate"/>
      </w:r>
      <w:r>
        <w:t>9</w:t>
      </w:r>
      <w:r>
        <w:fldChar w:fldCharType="end"/>
      </w:r>
      <w:r>
        <w:rPr>
          <w:rFonts w:hint="eastAsia" w:ascii="宋体" w:hAnsi="宋体" w:cs="宋体"/>
          <w:bCs/>
          <w:lang w:val="zh-CN"/>
        </w:rPr>
        <w:fldChar w:fldCharType="end"/>
      </w:r>
    </w:p>
    <w:p w14:paraId="5084576F">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_Toc9394 </w:instrText>
      </w:r>
      <w:r>
        <w:rPr>
          <w:rFonts w:hint="eastAsia" w:ascii="宋体" w:hAnsi="宋体" w:cs="宋体"/>
          <w:bCs/>
          <w:lang w:val="zh-CN"/>
        </w:rPr>
        <w:fldChar w:fldCharType="separate"/>
      </w:r>
      <w:r>
        <w:rPr>
          <w:rFonts w:hint="eastAsia" w:ascii="宋体" w:hAnsi="宋体" w:cs="宋体"/>
          <w:bCs/>
        </w:rPr>
        <w:t>2.采购方式、合格的供应商</w:t>
      </w:r>
      <w:r>
        <w:tab/>
      </w:r>
      <w:r>
        <w:fldChar w:fldCharType="begin"/>
      </w:r>
      <w:r>
        <w:instrText xml:space="preserve"> PAGEREF _Toc9394 \h </w:instrText>
      </w:r>
      <w:r>
        <w:fldChar w:fldCharType="separate"/>
      </w:r>
      <w:r>
        <w:t>9</w:t>
      </w:r>
      <w:r>
        <w:fldChar w:fldCharType="end"/>
      </w:r>
      <w:r>
        <w:rPr>
          <w:rFonts w:hint="eastAsia" w:ascii="宋体" w:hAnsi="宋体" w:cs="宋体"/>
          <w:bCs/>
          <w:lang w:val="zh-CN"/>
        </w:rPr>
        <w:fldChar w:fldCharType="end"/>
      </w:r>
    </w:p>
    <w:p w14:paraId="0B9CBEA9">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_Toc7898 </w:instrText>
      </w:r>
      <w:r>
        <w:rPr>
          <w:rFonts w:hint="eastAsia" w:ascii="宋体" w:hAnsi="宋体" w:cs="宋体"/>
          <w:bCs/>
          <w:lang w:val="zh-CN"/>
        </w:rPr>
        <w:fldChar w:fldCharType="separate"/>
      </w:r>
      <w:r>
        <w:rPr>
          <w:rFonts w:hint="eastAsia" w:ascii="宋体" w:hAnsi="宋体" w:cs="宋体"/>
          <w:bCs/>
        </w:rPr>
        <w:t>3.询比费用</w:t>
      </w:r>
      <w:r>
        <w:tab/>
      </w:r>
      <w:r>
        <w:fldChar w:fldCharType="begin"/>
      </w:r>
      <w:r>
        <w:instrText xml:space="preserve"> PAGEREF _Toc7898 \h </w:instrText>
      </w:r>
      <w:r>
        <w:fldChar w:fldCharType="separate"/>
      </w:r>
      <w:r>
        <w:t>9</w:t>
      </w:r>
      <w:r>
        <w:fldChar w:fldCharType="end"/>
      </w:r>
      <w:r>
        <w:rPr>
          <w:rFonts w:hint="eastAsia" w:ascii="宋体" w:hAnsi="宋体" w:cs="宋体"/>
          <w:bCs/>
          <w:lang w:val="zh-CN"/>
        </w:rPr>
        <w:fldChar w:fldCharType="end"/>
      </w:r>
    </w:p>
    <w:p w14:paraId="75158466">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_Toc24026 </w:instrText>
      </w:r>
      <w:r>
        <w:rPr>
          <w:rFonts w:hint="eastAsia" w:ascii="宋体" w:hAnsi="宋体" w:cs="宋体"/>
          <w:bCs/>
          <w:lang w:val="zh-CN"/>
        </w:rPr>
        <w:fldChar w:fldCharType="separate"/>
      </w:r>
      <w:r>
        <w:rPr>
          <w:rFonts w:hint="eastAsia" w:ascii="宋体" w:hAnsi="宋体" w:cs="宋体"/>
          <w:bCs/>
        </w:rPr>
        <w:t>二、询比采购文件说明</w:t>
      </w:r>
      <w:r>
        <w:tab/>
      </w:r>
      <w:r>
        <w:fldChar w:fldCharType="begin"/>
      </w:r>
      <w:r>
        <w:instrText xml:space="preserve"> PAGEREF _Toc24026 \h </w:instrText>
      </w:r>
      <w:r>
        <w:fldChar w:fldCharType="separate"/>
      </w:r>
      <w:r>
        <w:t>9</w:t>
      </w:r>
      <w:r>
        <w:fldChar w:fldCharType="end"/>
      </w:r>
      <w:r>
        <w:rPr>
          <w:rFonts w:hint="eastAsia" w:ascii="宋体" w:hAnsi="宋体" w:cs="宋体"/>
          <w:bCs/>
          <w:lang w:val="zh-CN"/>
        </w:rPr>
        <w:fldChar w:fldCharType="end"/>
      </w:r>
    </w:p>
    <w:p w14:paraId="5FDEA891">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_Toc14813 </w:instrText>
      </w:r>
      <w:r>
        <w:rPr>
          <w:rFonts w:hint="eastAsia" w:ascii="宋体" w:hAnsi="宋体" w:cs="宋体"/>
          <w:bCs/>
          <w:lang w:val="zh-CN"/>
        </w:rPr>
        <w:fldChar w:fldCharType="separate"/>
      </w:r>
      <w:r>
        <w:rPr>
          <w:rFonts w:hint="eastAsia" w:ascii="宋体" w:hAnsi="宋体" w:cs="宋体"/>
          <w:bCs/>
        </w:rPr>
        <w:t>4.询比采购文件的构成</w:t>
      </w:r>
      <w:r>
        <w:tab/>
      </w:r>
      <w:r>
        <w:fldChar w:fldCharType="begin"/>
      </w:r>
      <w:r>
        <w:instrText xml:space="preserve"> PAGEREF _Toc14813 \h </w:instrText>
      </w:r>
      <w:r>
        <w:fldChar w:fldCharType="separate"/>
      </w:r>
      <w:r>
        <w:t>9</w:t>
      </w:r>
      <w:r>
        <w:fldChar w:fldCharType="end"/>
      </w:r>
      <w:r>
        <w:rPr>
          <w:rFonts w:hint="eastAsia" w:ascii="宋体" w:hAnsi="宋体" w:cs="宋体"/>
          <w:bCs/>
          <w:lang w:val="zh-CN"/>
        </w:rPr>
        <w:fldChar w:fldCharType="end"/>
      </w:r>
    </w:p>
    <w:p w14:paraId="395EF2A4">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_Toc13948 </w:instrText>
      </w:r>
      <w:r>
        <w:rPr>
          <w:rFonts w:hint="eastAsia" w:ascii="宋体" w:hAnsi="宋体" w:cs="宋体"/>
          <w:bCs/>
          <w:lang w:val="zh-CN"/>
        </w:rPr>
        <w:fldChar w:fldCharType="separate"/>
      </w:r>
      <w:r>
        <w:rPr>
          <w:rFonts w:hint="eastAsia" w:ascii="宋体" w:hAnsi="宋体" w:cs="宋体"/>
          <w:bCs/>
        </w:rPr>
        <w:t>5.询比采购文件的异议</w:t>
      </w:r>
      <w:r>
        <w:tab/>
      </w:r>
      <w:r>
        <w:fldChar w:fldCharType="begin"/>
      </w:r>
      <w:r>
        <w:instrText xml:space="preserve"> PAGEREF _Toc13948 \h </w:instrText>
      </w:r>
      <w:r>
        <w:fldChar w:fldCharType="separate"/>
      </w:r>
      <w:r>
        <w:t>9</w:t>
      </w:r>
      <w:r>
        <w:fldChar w:fldCharType="end"/>
      </w:r>
      <w:r>
        <w:rPr>
          <w:rFonts w:hint="eastAsia" w:ascii="宋体" w:hAnsi="宋体" w:cs="宋体"/>
          <w:bCs/>
          <w:lang w:val="zh-CN"/>
        </w:rPr>
        <w:fldChar w:fldCharType="end"/>
      </w:r>
    </w:p>
    <w:p w14:paraId="0DAD9D00">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_Toc15260 </w:instrText>
      </w:r>
      <w:r>
        <w:rPr>
          <w:rFonts w:hint="eastAsia" w:ascii="宋体" w:hAnsi="宋体" w:cs="宋体"/>
          <w:bCs/>
          <w:lang w:val="zh-CN"/>
        </w:rPr>
        <w:fldChar w:fldCharType="separate"/>
      </w:r>
      <w:r>
        <w:rPr>
          <w:rFonts w:hint="eastAsia" w:ascii="宋体" w:hAnsi="宋体" w:cs="宋体"/>
          <w:bCs/>
        </w:rPr>
        <w:t>6.询比采购文件的澄清、修改</w:t>
      </w:r>
      <w:r>
        <w:tab/>
      </w:r>
      <w:r>
        <w:fldChar w:fldCharType="begin"/>
      </w:r>
      <w:r>
        <w:instrText xml:space="preserve"> PAGEREF _Toc15260 \h </w:instrText>
      </w:r>
      <w:r>
        <w:fldChar w:fldCharType="separate"/>
      </w:r>
      <w:r>
        <w:t>10</w:t>
      </w:r>
      <w:r>
        <w:fldChar w:fldCharType="end"/>
      </w:r>
      <w:r>
        <w:rPr>
          <w:rFonts w:hint="eastAsia" w:ascii="宋体" w:hAnsi="宋体" w:cs="宋体"/>
          <w:bCs/>
          <w:lang w:val="zh-CN"/>
        </w:rPr>
        <w:fldChar w:fldCharType="end"/>
      </w:r>
    </w:p>
    <w:p w14:paraId="0EC63514">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_Toc29813 </w:instrText>
      </w:r>
      <w:r>
        <w:rPr>
          <w:rFonts w:hint="eastAsia" w:ascii="宋体" w:hAnsi="宋体" w:cs="宋体"/>
          <w:bCs/>
          <w:lang w:val="zh-CN"/>
        </w:rPr>
        <w:fldChar w:fldCharType="separate"/>
      </w:r>
      <w:r>
        <w:rPr>
          <w:rFonts w:hint="eastAsia" w:ascii="宋体" w:hAnsi="宋体" w:cs="宋体"/>
          <w:bCs/>
        </w:rPr>
        <w:t>三、响应文件的编制</w:t>
      </w:r>
      <w:r>
        <w:tab/>
      </w:r>
      <w:r>
        <w:fldChar w:fldCharType="begin"/>
      </w:r>
      <w:r>
        <w:instrText xml:space="preserve"> PAGEREF _Toc29813 \h </w:instrText>
      </w:r>
      <w:r>
        <w:fldChar w:fldCharType="separate"/>
      </w:r>
      <w:r>
        <w:t>10</w:t>
      </w:r>
      <w:r>
        <w:fldChar w:fldCharType="end"/>
      </w:r>
      <w:r>
        <w:rPr>
          <w:rFonts w:hint="eastAsia" w:ascii="宋体" w:hAnsi="宋体" w:cs="宋体"/>
          <w:bCs/>
          <w:lang w:val="zh-CN"/>
        </w:rPr>
        <w:fldChar w:fldCharType="end"/>
      </w:r>
    </w:p>
    <w:p w14:paraId="4D4057D1">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_Toc1453 </w:instrText>
      </w:r>
      <w:r>
        <w:rPr>
          <w:rFonts w:hint="eastAsia" w:ascii="宋体" w:hAnsi="宋体" w:cs="宋体"/>
          <w:bCs/>
          <w:lang w:val="zh-CN"/>
        </w:rPr>
        <w:fldChar w:fldCharType="separate"/>
      </w:r>
      <w:r>
        <w:rPr>
          <w:rFonts w:hint="eastAsia" w:ascii="宋体" w:hAnsi="宋体" w:cs="宋体"/>
          <w:bCs/>
        </w:rPr>
        <w:t>7.响应文件的语言及度量衡单位</w:t>
      </w:r>
      <w:r>
        <w:tab/>
      </w:r>
      <w:r>
        <w:fldChar w:fldCharType="begin"/>
      </w:r>
      <w:r>
        <w:instrText xml:space="preserve"> PAGEREF _Toc1453 \h </w:instrText>
      </w:r>
      <w:r>
        <w:fldChar w:fldCharType="separate"/>
      </w:r>
      <w:r>
        <w:t>10</w:t>
      </w:r>
      <w:r>
        <w:fldChar w:fldCharType="end"/>
      </w:r>
      <w:r>
        <w:rPr>
          <w:rFonts w:hint="eastAsia" w:ascii="宋体" w:hAnsi="宋体" w:cs="宋体"/>
          <w:bCs/>
          <w:lang w:val="zh-CN"/>
        </w:rPr>
        <w:fldChar w:fldCharType="end"/>
      </w:r>
    </w:p>
    <w:p w14:paraId="564CE78D">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_Toc8562 </w:instrText>
      </w:r>
      <w:r>
        <w:rPr>
          <w:rFonts w:hint="eastAsia" w:ascii="宋体" w:hAnsi="宋体" w:cs="宋体"/>
          <w:bCs/>
          <w:lang w:val="zh-CN"/>
        </w:rPr>
        <w:fldChar w:fldCharType="separate"/>
      </w:r>
      <w:r>
        <w:rPr>
          <w:rFonts w:hint="eastAsia" w:ascii="宋体" w:hAnsi="宋体" w:cs="宋体"/>
          <w:szCs w:val="24"/>
        </w:rPr>
        <w:t>8.投标报价及币种</w:t>
      </w:r>
      <w:r>
        <w:tab/>
      </w:r>
      <w:r>
        <w:fldChar w:fldCharType="begin"/>
      </w:r>
      <w:r>
        <w:instrText xml:space="preserve"> PAGEREF _Toc8562 \h </w:instrText>
      </w:r>
      <w:r>
        <w:fldChar w:fldCharType="separate"/>
      </w:r>
      <w:r>
        <w:t>10</w:t>
      </w:r>
      <w:r>
        <w:fldChar w:fldCharType="end"/>
      </w:r>
      <w:r>
        <w:rPr>
          <w:rFonts w:hint="eastAsia" w:ascii="宋体" w:hAnsi="宋体" w:cs="宋体"/>
          <w:bCs/>
          <w:lang w:val="zh-CN"/>
        </w:rPr>
        <w:fldChar w:fldCharType="end"/>
      </w:r>
    </w:p>
    <w:p w14:paraId="2C04EDEE">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_Toc6091 </w:instrText>
      </w:r>
      <w:r>
        <w:rPr>
          <w:rFonts w:hint="eastAsia" w:ascii="宋体" w:hAnsi="宋体" w:cs="宋体"/>
          <w:bCs/>
          <w:lang w:val="zh-CN"/>
        </w:rPr>
        <w:fldChar w:fldCharType="separate"/>
      </w:r>
      <w:r>
        <w:rPr>
          <w:rFonts w:hint="eastAsia" w:ascii="宋体" w:hAnsi="宋体" w:cs="宋体"/>
          <w:bCs/>
        </w:rPr>
        <w:t>9.响应保证金</w:t>
      </w:r>
      <w:r>
        <w:tab/>
      </w:r>
      <w:r>
        <w:fldChar w:fldCharType="begin"/>
      </w:r>
      <w:r>
        <w:instrText xml:space="preserve"> PAGEREF _Toc6091 \h </w:instrText>
      </w:r>
      <w:r>
        <w:fldChar w:fldCharType="separate"/>
      </w:r>
      <w:r>
        <w:t>10</w:t>
      </w:r>
      <w:r>
        <w:fldChar w:fldCharType="end"/>
      </w:r>
      <w:r>
        <w:rPr>
          <w:rFonts w:hint="eastAsia" w:ascii="宋体" w:hAnsi="宋体" w:cs="宋体"/>
          <w:bCs/>
          <w:lang w:val="zh-CN"/>
        </w:rPr>
        <w:fldChar w:fldCharType="end"/>
      </w:r>
    </w:p>
    <w:p w14:paraId="42A56E37">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_Toc28661 </w:instrText>
      </w:r>
      <w:r>
        <w:rPr>
          <w:rFonts w:hint="eastAsia" w:ascii="宋体" w:hAnsi="宋体" w:cs="宋体"/>
          <w:bCs/>
          <w:lang w:val="zh-CN"/>
        </w:rPr>
        <w:fldChar w:fldCharType="separate"/>
      </w:r>
      <w:r>
        <w:rPr>
          <w:rFonts w:hint="eastAsia" w:ascii="宋体" w:hAnsi="宋体" w:cs="宋体"/>
          <w:bCs/>
        </w:rPr>
        <w:t>10.询比有效期</w:t>
      </w:r>
      <w:r>
        <w:tab/>
      </w:r>
      <w:r>
        <w:fldChar w:fldCharType="begin"/>
      </w:r>
      <w:r>
        <w:instrText xml:space="preserve"> PAGEREF _Toc28661 \h </w:instrText>
      </w:r>
      <w:r>
        <w:fldChar w:fldCharType="separate"/>
      </w:r>
      <w:r>
        <w:t>11</w:t>
      </w:r>
      <w:r>
        <w:fldChar w:fldCharType="end"/>
      </w:r>
      <w:r>
        <w:rPr>
          <w:rFonts w:hint="eastAsia" w:ascii="宋体" w:hAnsi="宋体" w:cs="宋体"/>
          <w:bCs/>
          <w:lang w:val="zh-CN"/>
        </w:rPr>
        <w:fldChar w:fldCharType="end"/>
      </w:r>
    </w:p>
    <w:p w14:paraId="7DE920DC">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_Toc11587 </w:instrText>
      </w:r>
      <w:r>
        <w:rPr>
          <w:rFonts w:hint="eastAsia" w:ascii="宋体" w:hAnsi="宋体" w:cs="宋体"/>
          <w:bCs/>
          <w:lang w:val="zh-CN"/>
        </w:rPr>
        <w:fldChar w:fldCharType="separate"/>
      </w:r>
      <w:r>
        <w:rPr>
          <w:rFonts w:hint="eastAsia" w:ascii="宋体" w:hAnsi="宋体" w:cs="宋体"/>
          <w:bCs/>
        </w:rPr>
        <w:t>11.响应文件的构成</w:t>
      </w:r>
      <w:r>
        <w:tab/>
      </w:r>
      <w:r>
        <w:fldChar w:fldCharType="begin"/>
      </w:r>
      <w:r>
        <w:instrText xml:space="preserve"> PAGEREF _Toc11587 \h </w:instrText>
      </w:r>
      <w:r>
        <w:fldChar w:fldCharType="separate"/>
      </w:r>
      <w:r>
        <w:t>11</w:t>
      </w:r>
      <w:r>
        <w:fldChar w:fldCharType="end"/>
      </w:r>
      <w:r>
        <w:rPr>
          <w:rFonts w:hint="eastAsia" w:ascii="宋体" w:hAnsi="宋体" w:cs="宋体"/>
          <w:bCs/>
          <w:lang w:val="zh-CN"/>
        </w:rPr>
        <w:fldChar w:fldCharType="end"/>
      </w:r>
    </w:p>
    <w:p w14:paraId="549AC283">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_Toc32170 </w:instrText>
      </w:r>
      <w:r>
        <w:rPr>
          <w:rFonts w:hint="eastAsia" w:ascii="宋体" w:hAnsi="宋体" w:cs="宋体"/>
          <w:bCs/>
          <w:lang w:val="zh-CN"/>
        </w:rPr>
        <w:fldChar w:fldCharType="separate"/>
      </w:r>
      <w:r>
        <w:rPr>
          <w:rFonts w:hint="eastAsia" w:ascii="宋体" w:hAnsi="宋体" w:cs="宋体"/>
          <w:bCs/>
        </w:rPr>
        <w:t>12.响应文件编印和签署</w:t>
      </w:r>
      <w:r>
        <w:tab/>
      </w:r>
      <w:r>
        <w:fldChar w:fldCharType="begin"/>
      </w:r>
      <w:r>
        <w:instrText xml:space="preserve"> PAGEREF _Toc32170 \h </w:instrText>
      </w:r>
      <w:r>
        <w:fldChar w:fldCharType="separate"/>
      </w:r>
      <w:r>
        <w:t>12</w:t>
      </w:r>
      <w:r>
        <w:fldChar w:fldCharType="end"/>
      </w:r>
      <w:r>
        <w:rPr>
          <w:rFonts w:hint="eastAsia" w:ascii="宋体" w:hAnsi="宋体" w:cs="宋体"/>
          <w:bCs/>
          <w:lang w:val="zh-CN"/>
        </w:rPr>
        <w:fldChar w:fldCharType="end"/>
      </w:r>
    </w:p>
    <w:p w14:paraId="63C32B2E">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_Toc9844 </w:instrText>
      </w:r>
      <w:r>
        <w:rPr>
          <w:rFonts w:hint="eastAsia" w:ascii="宋体" w:hAnsi="宋体" w:cs="宋体"/>
          <w:bCs/>
          <w:lang w:val="zh-CN"/>
        </w:rPr>
        <w:fldChar w:fldCharType="separate"/>
      </w:r>
      <w:r>
        <w:rPr>
          <w:rFonts w:hint="eastAsia" w:hAnsi="宋体" w:cs="宋体"/>
          <w:bCs/>
          <w:szCs w:val="24"/>
        </w:rPr>
        <w:t>四、响应文件的递交</w:t>
      </w:r>
      <w:r>
        <w:tab/>
      </w:r>
      <w:r>
        <w:fldChar w:fldCharType="begin"/>
      </w:r>
      <w:r>
        <w:instrText xml:space="preserve"> PAGEREF _Toc9844 \h </w:instrText>
      </w:r>
      <w:r>
        <w:fldChar w:fldCharType="separate"/>
      </w:r>
      <w:r>
        <w:t>12</w:t>
      </w:r>
      <w:r>
        <w:fldChar w:fldCharType="end"/>
      </w:r>
      <w:r>
        <w:rPr>
          <w:rFonts w:hint="eastAsia" w:ascii="宋体" w:hAnsi="宋体" w:cs="宋体"/>
          <w:bCs/>
          <w:lang w:val="zh-CN"/>
        </w:rPr>
        <w:fldChar w:fldCharType="end"/>
      </w:r>
    </w:p>
    <w:p w14:paraId="1BD908B1">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_Toc1351 </w:instrText>
      </w:r>
      <w:r>
        <w:rPr>
          <w:rFonts w:hint="eastAsia" w:ascii="宋体" w:hAnsi="宋体" w:cs="宋体"/>
          <w:bCs/>
          <w:lang w:val="zh-CN"/>
        </w:rPr>
        <w:fldChar w:fldCharType="separate"/>
      </w:r>
      <w:r>
        <w:rPr>
          <w:rFonts w:hint="eastAsia" w:ascii="宋体" w:hAnsi="宋体" w:cs="宋体"/>
          <w:bCs/>
        </w:rPr>
        <w:t>13．响应文件的递交</w:t>
      </w:r>
      <w:r>
        <w:tab/>
      </w:r>
      <w:r>
        <w:fldChar w:fldCharType="begin"/>
      </w:r>
      <w:r>
        <w:instrText xml:space="preserve"> PAGEREF _Toc1351 \h </w:instrText>
      </w:r>
      <w:r>
        <w:fldChar w:fldCharType="separate"/>
      </w:r>
      <w:r>
        <w:t>12</w:t>
      </w:r>
      <w:r>
        <w:fldChar w:fldCharType="end"/>
      </w:r>
      <w:r>
        <w:rPr>
          <w:rFonts w:hint="eastAsia" w:ascii="宋体" w:hAnsi="宋体" w:cs="宋体"/>
          <w:bCs/>
          <w:lang w:val="zh-CN"/>
        </w:rPr>
        <w:fldChar w:fldCharType="end"/>
      </w:r>
    </w:p>
    <w:p w14:paraId="3FA36268">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_Toc10157 </w:instrText>
      </w:r>
      <w:r>
        <w:rPr>
          <w:rFonts w:hint="eastAsia" w:ascii="宋体" w:hAnsi="宋体" w:cs="宋体"/>
          <w:bCs/>
          <w:lang w:val="zh-CN"/>
        </w:rPr>
        <w:fldChar w:fldCharType="separate"/>
      </w:r>
      <w:r>
        <w:rPr>
          <w:rFonts w:hint="eastAsia" w:ascii="宋体" w:hAnsi="宋体" w:cs="宋体"/>
          <w:bCs/>
        </w:rPr>
        <w:t>14．提交响应文件截止时间、地点</w:t>
      </w:r>
      <w:r>
        <w:tab/>
      </w:r>
      <w:r>
        <w:fldChar w:fldCharType="begin"/>
      </w:r>
      <w:r>
        <w:instrText xml:space="preserve"> PAGEREF _Toc10157 \h </w:instrText>
      </w:r>
      <w:r>
        <w:fldChar w:fldCharType="separate"/>
      </w:r>
      <w:r>
        <w:t>12</w:t>
      </w:r>
      <w:r>
        <w:fldChar w:fldCharType="end"/>
      </w:r>
      <w:r>
        <w:rPr>
          <w:rFonts w:hint="eastAsia" w:ascii="宋体" w:hAnsi="宋体" w:cs="宋体"/>
          <w:bCs/>
          <w:lang w:val="zh-CN"/>
        </w:rPr>
        <w:fldChar w:fldCharType="end"/>
      </w:r>
    </w:p>
    <w:p w14:paraId="0795BA77">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_Toc25738 </w:instrText>
      </w:r>
      <w:r>
        <w:rPr>
          <w:rFonts w:hint="eastAsia" w:ascii="宋体" w:hAnsi="宋体" w:cs="宋体"/>
          <w:bCs/>
          <w:lang w:val="zh-CN"/>
        </w:rPr>
        <w:fldChar w:fldCharType="separate"/>
      </w:r>
      <w:r>
        <w:rPr>
          <w:rFonts w:hint="eastAsia" w:ascii="宋体" w:hAnsi="宋体" w:cs="宋体"/>
          <w:bCs/>
        </w:rPr>
        <w:t>五、询比采购过程</w:t>
      </w:r>
      <w:r>
        <w:tab/>
      </w:r>
      <w:r>
        <w:fldChar w:fldCharType="begin"/>
      </w:r>
      <w:r>
        <w:instrText xml:space="preserve"> PAGEREF _Toc25738 \h </w:instrText>
      </w:r>
      <w:r>
        <w:fldChar w:fldCharType="separate"/>
      </w:r>
      <w:r>
        <w:t>12</w:t>
      </w:r>
      <w:r>
        <w:fldChar w:fldCharType="end"/>
      </w:r>
      <w:r>
        <w:rPr>
          <w:rFonts w:hint="eastAsia" w:ascii="宋体" w:hAnsi="宋体" w:cs="宋体"/>
          <w:bCs/>
          <w:lang w:val="zh-CN"/>
        </w:rPr>
        <w:fldChar w:fldCharType="end"/>
      </w:r>
    </w:p>
    <w:p w14:paraId="631629E6">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_Toc24502 </w:instrText>
      </w:r>
      <w:r>
        <w:rPr>
          <w:rFonts w:hint="eastAsia" w:ascii="宋体" w:hAnsi="宋体" w:cs="宋体"/>
          <w:bCs/>
          <w:lang w:val="zh-CN"/>
        </w:rPr>
        <w:fldChar w:fldCharType="separate"/>
      </w:r>
      <w:r>
        <w:rPr>
          <w:rFonts w:hint="eastAsia" w:ascii="宋体" w:hAnsi="宋体" w:cs="宋体"/>
          <w:bCs/>
        </w:rPr>
        <w:t>15．询比采购过程</w:t>
      </w:r>
      <w:r>
        <w:tab/>
      </w:r>
      <w:r>
        <w:fldChar w:fldCharType="begin"/>
      </w:r>
      <w:r>
        <w:instrText xml:space="preserve"> PAGEREF _Toc24502 \h </w:instrText>
      </w:r>
      <w:r>
        <w:fldChar w:fldCharType="separate"/>
      </w:r>
      <w:r>
        <w:t>12</w:t>
      </w:r>
      <w:r>
        <w:fldChar w:fldCharType="end"/>
      </w:r>
      <w:r>
        <w:rPr>
          <w:rFonts w:hint="eastAsia" w:ascii="宋体" w:hAnsi="宋体" w:cs="宋体"/>
          <w:bCs/>
          <w:lang w:val="zh-CN"/>
        </w:rPr>
        <w:fldChar w:fldCharType="end"/>
      </w:r>
    </w:p>
    <w:p w14:paraId="76D73C52">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_Toc16150 </w:instrText>
      </w:r>
      <w:r>
        <w:rPr>
          <w:rFonts w:hint="eastAsia" w:ascii="宋体" w:hAnsi="宋体" w:cs="宋体"/>
          <w:bCs/>
          <w:lang w:val="zh-CN"/>
        </w:rPr>
        <w:fldChar w:fldCharType="separate"/>
      </w:r>
      <w:r>
        <w:rPr>
          <w:rFonts w:hint="eastAsia" w:ascii="宋体" w:hAnsi="宋体" w:cs="宋体"/>
          <w:bCs/>
        </w:rPr>
        <w:t>六、询比采购程序及方法</w:t>
      </w:r>
      <w:r>
        <w:tab/>
      </w:r>
      <w:r>
        <w:fldChar w:fldCharType="begin"/>
      </w:r>
      <w:r>
        <w:instrText xml:space="preserve"> PAGEREF _Toc16150 \h </w:instrText>
      </w:r>
      <w:r>
        <w:fldChar w:fldCharType="separate"/>
      </w:r>
      <w:r>
        <w:t>13</w:t>
      </w:r>
      <w:r>
        <w:fldChar w:fldCharType="end"/>
      </w:r>
      <w:r>
        <w:rPr>
          <w:rFonts w:hint="eastAsia" w:ascii="宋体" w:hAnsi="宋体" w:cs="宋体"/>
          <w:bCs/>
          <w:lang w:val="zh-CN"/>
        </w:rPr>
        <w:fldChar w:fldCharType="end"/>
      </w:r>
    </w:p>
    <w:p w14:paraId="6053F07C">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_Toc15289 </w:instrText>
      </w:r>
      <w:r>
        <w:rPr>
          <w:rFonts w:hint="eastAsia" w:ascii="宋体" w:hAnsi="宋体" w:cs="宋体"/>
          <w:bCs/>
          <w:lang w:val="zh-CN"/>
        </w:rPr>
        <w:fldChar w:fldCharType="separate"/>
      </w:r>
      <w:r>
        <w:rPr>
          <w:rFonts w:hint="eastAsia" w:ascii="宋体" w:hAnsi="宋体" w:cs="宋体"/>
          <w:bCs/>
        </w:rPr>
        <w:t>16．评审专家组</w:t>
      </w:r>
      <w:r>
        <w:tab/>
      </w:r>
      <w:r>
        <w:fldChar w:fldCharType="begin"/>
      </w:r>
      <w:r>
        <w:instrText xml:space="preserve"> PAGEREF _Toc15289 \h </w:instrText>
      </w:r>
      <w:r>
        <w:fldChar w:fldCharType="separate"/>
      </w:r>
      <w:r>
        <w:t>13</w:t>
      </w:r>
      <w:r>
        <w:fldChar w:fldCharType="end"/>
      </w:r>
      <w:r>
        <w:rPr>
          <w:rFonts w:hint="eastAsia" w:ascii="宋体" w:hAnsi="宋体" w:cs="宋体"/>
          <w:bCs/>
          <w:lang w:val="zh-CN"/>
        </w:rPr>
        <w:fldChar w:fldCharType="end"/>
      </w:r>
    </w:p>
    <w:p w14:paraId="123442E0">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_Toc3385 </w:instrText>
      </w:r>
      <w:r>
        <w:rPr>
          <w:rFonts w:hint="eastAsia" w:ascii="宋体" w:hAnsi="宋体" w:cs="宋体"/>
          <w:bCs/>
          <w:lang w:val="zh-CN"/>
        </w:rPr>
        <w:fldChar w:fldCharType="separate"/>
      </w:r>
      <w:r>
        <w:rPr>
          <w:rFonts w:hint="eastAsia" w:ascii="宋体" w:hAnsi="宋体" w:cs="宋体"/>
          <w:bCs/>
        </w:rPr>
        <w:t xml:space="preserve">17． </w:t>
      </w:r>
      <w:r>
        <w:rPr>
          <w:rFonts w:hint="eastAsia" w:ascii="宋体" w:hAnsi="宋体" w:cs="宋体"/>
          <w:bCs/>
        </w:rPr>
        <w:t>询比程序</w:t>
      </w:r>
      <w:r>
        <w:tab/>
      </w:r>
      <w:r>
        <w:fldChar w:fldCharType="begin"/>
      </w:r>
      <w:r>
        <w:instrText xml:space="preserve"> PAGEREF _Toc3385 \h </w:instrText>
      </w:r>
      <w:r>
        <w:fldChar w:fldCharType="separate"/>
      </w:r>
      <w:r>
        <w:t>13</w:t>
      </w:r>
      <w:r>
        <w:fldChar w:fldCharType="end"/>
      </w:r>
      <w:r>
        <w:rPr>
          <w:rFonts w:hint="eastAsia" w:ascii="宋体" w:hAnsi="宋体" w:cs="宋体"/>
          <w:bCs/>
          <w:lang w:val="zh-CN"/>
        </w:rPr>
        <w:fldChar w:fldCharType="end"/>
      </w:r>
    </w:p>
    <w:p w14:paraId="26C85A1A">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_Toc15215 </w:instrText>
      </w:r>
      <w:r>
        <w:rPr>
          <w:rFonts w:hint="eastAsia" w:ascii="宋体" w:hAnsi="宋体" w:cs="宋体"/>
          <w:bCs/>
          <w:lang w:val="zh-CN"/>
        </w:rPr>
        <w:fldChar w:fldCharType="separate"/>
      </w:r>
      <w:r>
        <w:rPr>
          <w:rFonts w:hint="eastAsia" w:ascii="宋体" w:hAnsi="宋体" w:cs="宋体"/>
          <w:bCs/>
        </w:rPr>
        <w:t xml:space="preserve">18． </w:t>
      </w:r>
      <w:r>
        <w:rPr>
          <w:rFonts w:hint="eastAsia" w:ascii="宋体" w:hAnsi="宋体" w:cs="宋体"/>
          <w:bCs/>
        </w:rPr>
        <w:t>评审办法</w:t>
      </w:r>
      <w:r>
        <w:tab/>
      </w:r>
      <w:r>
        <w:fldChar w:fldCharType="begin"/>
      </w:r>
      <w:r>
        <w:instrText xml:space="preserve"> PAGEREF _Toc15215 \h </w:instrText>
      </w:r>
      <w:r>
        <w:fldChar w:fldCharType="separate"/>
      </w:r>
      <w:r>
        <w:t>15</w:t>
      </w:r>
      <w:r>
        <w:fldChar w:fldCharType="end"/>
      </w:r>
      <w:r>
        <w:rPr>
          <w:rFonts w:hint="eastAsia" w:ascii="宋体" w:hAnsi="宋体" w:cs="宋体"/>
          <w:bCs/>
          <w:lang w:val="zh-CN"/>
        </w:rPr>
        <w:fldChar w:fldCharType="end"/>
      </w:r>
    </w:p>
    <w:p w14:paraId="531753EF">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_Toc7650 </w:instrText>
      </w:r>
      <w:r>
        <w:rPr>
          <w:rFonts w:hint="eastAsia" w:ascii="宋体" w:hAnsi="宋体" w:cs="宋体"/>
          <w:bCs/>
          <w:lang w:val="zh-CN"/>
        </w:rPr>
        <w:fldChar w:fldCharType="separate"/>
      </w:r>
      <w:r>
        <w:rPr>
          <w:rFonts w:hint="eastAsia" w:ascii="宋体" w:hAnsi="宋体" w:cs="宋体"/>
          <w:bCs/>
        </w:rPr>
        <w:t>19.推荐并确定成交供应商</w:t>
      </w:r>
      <w:r>
        <w:tab/>
      </w:r>
      <w:r>
        <w:fldChar w:fldCharType="begin"/>
      </w:r>
      <w:r>
        <w:instrText xml:space="preserve"> PAGEREF _Toc7650 \h </w:instrText>
      </w:r>
      <w:r>
        <w:fldChar w:fldCharType="separate"/>
      </w:r>
      <w:r>
        <w:t>17</w:t>
      </w:r>
      <w:r>
        <w:fldChar w:fldCharType="end"/>
      </w:r>
      <w:r>
        <w:rPr>
          <w:rFonts w:hint="eastAsia" w:ascii="宋体" w:hAnsi="宋体" w:cs="宋体"/>
          <w:bCs/>
          <w:lang w:val="zh-CN"/>
        </w:rPr>
        <w:fldChar w:fldCharType="end"/>
      </w:r>
    </w:p>
    <w:p w14:paraId="4E8B4385">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_Toc28601 </w:instrText>
      </w:r>
      <w:r>
        <w:rPr>
          <w:rFonts w:hint="eastAsia" w:ascii="宋体" w:hAnsi="宋体" w:cs="宋体"/>
          <w:bCs/>
          <w:lang w:val="zh-CN"/>
        </w:rPr>
        <w:fldChar w:fldCharType="separate"/>
      </w:r>
      <w:r>
        <w:rPr>
          <w:rFonts w:hint="eastAsia" w:ascii="宋体" w:hAnsi="宋体" w:cs="宋体"/>
          <w:bCs/>
        </w:rPr>
        <w:t>20.成交通知</w:t>
      </w:r>
      <w:r>
        <w:tab/>
      </w:r>
      <w:r>
        <w:fldChar w:fldCharType="begin"/>
      </w:r>
      <w:r>
        <w:instrText xml:space="preserve"> PAGEREF _Toc28601 \h </w:instrText>
      </w:r>
      <w:r>
        <w:fldChar w:fldCharType="separate"/>
      </w:r>
      <w:r>
        <w:t>17</w:t>
      </w:r>
      <w:r>
        <w:fldChar w:fldCharType="end"/>
      </w:r>
      <w:r>
        <w:rPr>
          <w:rFonts w:hint="eastAsia" w:ascii="宋体" w:hAnsi="宋体" w:cs="宋体"/>
          <w:bCs/>
          <w:lang w:val="zh-CN"/>
        </w:rPr>
        <w:fldChar w:fldCharType="end"/>
      </w:r>
    </w:p>
    <w:p w14:paraId="58AEEC03">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_Toc3411 </w:instrText>
      </w:r>
      <w:r>
        <w:rPr>
          <w:rFonts w:hint="eastAsia" w:ascii="宋体" w:hAnsi="宋体" w:cs="宋体"/>
          <w:bCs/>
          <w:lang w:val="zh-CN"/>
        </w:rPr>
        <w:fldChar w:fldCharType="separate"/>
      </w:r>
      <w:r>
        <w:rPr>
          <w:rFonts w:hint="eastAsia" w:ascii="宋体" w:hAnsi="宋体" w:cs="宋体"/>
          <w:bCs/>
        </w:rPr>
        <w:t>七、授予合同</w:t>
      </w:r>
      <w:r>
        <w:tab/>
      </w:r>
      <w:r>
        <w:fldChar w:fldCharType="begin"/>
      </w:r>
      <w:r>
        <w:instrText xml:space="preserve"> PAGEREF _Toc3411 \h </w:instrText>
      </w:r>
      <w:r>
        <w:fldChar w:fldCharType="separate"/>
      </w:r>
      <w:r>
        <w:t>17</w:t>
      </w:r>
      <w:r>
        <w:fldChar w:fldCharType="end"/>
      </w:r>
      <w:r>
        <w:rPr>
          <w:rFonts w:hint="eastAsia" w:ascii="宋体" w:hAnsi="宋体" w:cs="宋体"/>
          <w:bCs/>
          <w:lang w:val="zh-CN"/>
        </w:rPr>
        <w:fldChar w:fldCharType="end"/>
      </w:r>
    </w:p>
    <w:p w14:paraId="6F5C3831">
      <w:pPr>
        <w:pStyle w:val="13"/>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_Toc16149 </w:instrText>
      </w:r>
      <w:r>
        <w:rPr>
          <w:rFonts w:hint="eastAsia" w:ascii="宋体" w:hAnsi="宋体" w:cs="宋体"/>
          <w:bCs/>
          <w:lang w:val="zh-CN"/>
        </w:rPr>
        <w:fldChar w:fldCharType="separate"/>
      </w:r>
      <w:r>
        <w:rPr>
          <w:rFonts w:hint="eastAsia" w:ascii="宋体" w:hAnsi="宋体" w:cs="宋体"/>
          <w:bCs/>
        </w:rPr>
        <w:t>21.签订合同</w:t>
      </w:r>
      <w:r>
        <w:tab/>
      </w:r>
      <w:r>
        <w:fldChar w:fldCharType="begin"/>
      </w:r>
      <w:r>
        <w:instrText xml:space="preserve"> PAGEREF _Toc16149 \h </w:instrText>
      </w:r>
      <w:r>
        <w:fldChar w:fldCharType="separate"/>
      </w:r>
      <w:r>
        <w:t>17</w:t>
      </w:r>
      <w:r>
        <w:fldChar w:fldCharType="end"/>
      </w:r>
      <w:r>
        <w:rPr>
          <w:rFonts w:hint="eastAsia" w:ascii="宋体" w:hAnsi="宋体" w:cs="宋体"/>
          <w:bCs/>
          <w:lang w:val="zh-CN"/>
        </w:rPr>
        <w:fldChar w:fldCharType="end"/>
      </w:r>
    </w:p>
    <w:p w14:paraId="5E43B5B7">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_Toc32338 </w:instrText>
      </w:r>
      <w:r>
        <w:rPr>
          <w:rFonts w:hint="eastAsia" w:ascii="宋体" w:hAnsi="宋体" w:cs="宋体"/>
          <w:bCs/>
          <w:lang w:val="zh-CN"/>
        </w:rPr>
        <w:fldChar w:fldCharType="separate"/>
      </w:r>
      <w:r>
        <w:rPr>
          <w:rFonts w:hint="eastAsia" w:ascii="宋体" w:hAnsi="宋体" w:cs="宋体"/>
          <w:bCs/>
        </w:rPr>
        <w:t>八、终止情形</w:t>
      </w:r>
      <w:r>
        <w:tab/>
      </w:r>
      <w:r>
        <w:fldChar w:fldCharType="begin"/>
      </w:r>
      <w:r>
        <w:instrText xml:space="preserve"> PAGEREF _Toc32338 \h </w:instrText>
      </w:r>
      <w:r>
        <w:fldChar w:fldCharType="separate"/>
      </w:r>
      <w:r>
        <w:t>18</w:t>
      </w:r>
      <w:r>
        <w:fldChar w:fldCharType="end"/>
      </w:r>
      <w:r>
        <w:rPr>
          <w:rFonts w:hint="eastAsia" w:ascii="宋体" w:hAnsi="宋体" w:cs="宋体"/>
          <w:bCs/>
          <w:lang w:val="zh-CN"/>
        </w:rPr>
        <w:fldChar w:fldCharType="end"/>
      </w:r>
    </w:p>
    <w:p w14:paraId="6A77B72D">
      <w:pPr>
        <w:pStyle w:val="22"/>
        <w:tabs>
          <w:tab w:val="right" w:leader="dot" w:pos="9240"/>
        </w:tabs>
      </w:pPr>
      <w:r>
        <w:rPr>
          <w:rFonts w:hint="eastAsia" w:ascii="宋体" w:hAnsi="宋体" w:cs="宋体"/>
          <w:bCs w:val="0"/>
          <w:lang w:val="zh-CN"/>
        </w:rPr>
        <w:fldChar w:fldCharType="begin"/>
      </w:r>
      <w:r>
        <w:rPr>
          <w:rFonts w:hint="eastAsia" w:ascii="宋体" w:hAnsi="宋体" w:cs="宋体"/>
          <w:bCs w:val="0"/>
          <w:lang w:val="zh-CN"/>
        </w:rPr>
        <w:instrText xml:space="preserve"> HYPERLINK \l _Toc9860 </w:instrText>
      </w:r>
      <w:r>
        <w:rPr>
          <w:rFonts w:hint="eastAsia" w:ascii="宋体" w:hAnsi="宋体" w:cs="宋体"/>
          <w:bCs w:val="0"/>
          <w:lang w:val="zh-CN"/>
        </w:rPr>
        <w:fldChar w:fldCharType="separate"/>
      </w:r>
      <w:r>
        <w:rPr>
          <w:rFonts w:hint="eastAsia" w:ascii="宋体" w:hAnsi="宋体" w:cs="宋体"/>
          <w:kern w:val="28"/>
          <w:szCs w:val="36"/>
        </w:rPr>
        <w:t>第四部分 项目合同文本</w:t>
      </w:r>
      <w:r>
        <w:tab/>
      </w:r>
      <w:r>
        <w:fldChar w:fldCharType="begin"/>
      </w:r>
      <w:r>
        <w:instrText xml:space="preserve"> PAGEREF _Toc9860 \h </w:instrText>
      </w:r>
      <w:r>
        <w:fldChar w:fldCharType="separate"/>
      </w:r>
      <w:r>
        <w:t>19</w:t>
      </w:r>
      <w:r>
        <w:fldChar w:fldCharType="end"/>
      </w:r>
      <w:r>
        <w:rPr>
          <w:rFonts w:hint="eastAsia" w:ascii="宋体" w:hAnsi="宋体" w:cs="宋体"/>
          <w:bCs w:val="0"/>
          <w:lang w:val="zh-CN"/>
        </w:rPr>
        <w:fldChar w:fldCharType="end"/>
      </w:r>
    </w:p>
    <w:p w14:paraId="32E70615">
      <w:pPr>
        <w:pStyle w:val="22"/>
        <w:tabs>
          <w:tab w:val="right" w:leader="dot" w:pos="9240"/>
        </w:tabs>
      </w:pPr>
      <w:r>
        <w:rPr>
          <w:rFonts w:hint="eastAsia" w:ascii="宋体" w:hAnsi="宋体" w:cs="宋体"/>
          <w:bCs w:val="0"/>
          <w:lang w:val="zh-CN"/>
        </w:rPr>
        <w:fldChar w:fldCharType="begin"/>
      </w:r>
      <w:r>
        <w:rPr>
          <w:rFonts w:hint="eastAsia" w:ascii="宋体" w:hAnsi="宋体" w:cs="宋体"/>
          <w:bCs w:val="0"/>
          <w:lang w:val="zh-CN"/>
        </w:rPr>
        <w:instrText xml:space="preserve"> HYPERLINK \l _Toc4577 </w:instrText>
      </w:r>
      <w:r>
        <w:rPr>
          <w:rFonts w:hint="eastAsia" w:ascii="宋体" w:hAnsi="宋体" w:cs="宋体"/>
          <w:bCs w:val="0"/>
          <w:lang w:val="zh-CN"/>
        </w:rPr>
        <w:fldChar w:fldCharType="separate"/>
      </w:r>
      <w:r>
        <w:rPr>
          <w:rFonts w:hint="eastAsia" w:ascii="宋体" w:hAnsi="宋体" w:cs="宋体"/>
          <w:bCs/>
          <w:kern w:val="28"/>
          <w:szCs w:val="36"/>
        </w:rPr>
        <w:t>第五部分  服务内容</w:t>
      </w:r>
      <w:r>
        <w:tab/>
      </w:r>
      <w:r>
        <w:fldChar w:fldCharType="begin"/>
      </w:r>
      <w:r>
        <w:instrText xml:space="preserve"> PAGEREF _Toc4577 \h </w:instrText>
      </w:r>
      <w:r>
        <w:fldChar w:fldCharType="separate"/>
      </w:r>
      <w:r>
        <w:t>21</w:t>
      </w:r>
      <w:r>
        <w:fldChar w:fldCharType="end"/>
      </w:r>
      <w:r>
        <w:rPr>
          <w:rFonts w:hint="eastAsia" w:ascii="宋体" w:hAnsi="宋体" w:cs="宋体"/>
          <w:bCs w:val="0"/>
          <w:lang w:val="zh-CN"/>
        </w:rPr>
        <w:fldChar w:fldCharType="end"/>
      </w:r>
    </w:p>
    <w:p w14:paraId="32021DDA">
      <w:pPr>
        <w:pStyle w:val="22"/>
        <w:tabs>
          <w:tab w:val="right" w:leader="dot" w:pos="9240"/>
        </w:tabs>
      </w:pPr>
      <w:r>
        <w:rPr>
          <w:rFonts w:hint="eastAsia" w:ascii="宋体" w:hAnsi="宋体" w:cs="宋体"/>
          <w:bCs w:val="0"/>
          <w:lang w:val="zh-CN"/>
        </w:rPr>
        <w:fldChar w:fldCharType="begin"/>
      </w:r>
      <w:r>
        <w:rPr>
          <w:rFonts w:hint="eastAsia" w:ascii="宋体" w:hAnsi="宋体" w:cs="宋体"/>
          <w:bCs w:val="0"/>
          <w:lang w:val="zh-CN"/>
        </w:rPr>
        <w:instrText xml:space="preserve"> HYPERLINK \l _Toc8929 </w:instrText>
      </w:r>
      <w:r>
        <w:rPr>
          <w:rFonts w:hint="eastAsia" w:ascii="宋体" w:hAnsi="宋体" w:cs="宋体"/>
          <w:bCs w:val="0"/>
          <w:lang w:val="zh-CN"/>
        </w:rPr>
        <w:fldChar w:fldCharType="separate"/>
      </w:r>
      <w:r>
        <w:rPr>
          <w:rFonts w:hint="eastAsia" w:ascii="宋体" w:hAnsi="宋体" w:cs="宋体"/>
          <w:bCs/>
          <w:kern w:val="28"/>
          <w:szCs w:val="36"/>
        </w:rPr>
        <w:t>第六部分  响应文件格式</w:t>
      </w:r>
      <w:r>
        <w:tab/>
      </w:r>
      <w:r>
        <w:fldChar w:fldCharType="begin"/>
      </w:r>
      <w:r>
        <w:instrText xml:space="preserve"> PAGEREF _Toc8929 \h </w:instrText>
      </w:r>
      <w:r>
        <w:fldChar w:fldCharType="separate"/>
      </w:r>
      <w:r>
        <w:t>22</w:t>
      </w:r>
      <w:r>
        <w:fldChar w:fldCharType="end"/>
      </w:r>
      <w:r>
        <w:rPr>
          <w:rFonts w:hint="eastAsia" w:ascii="宋体" w:hAnsi="宋体" w:cs="宋体"/>
          <w:bCs w:val="0"/>
          <w:lang w:val="zh-CN"/>
        </w:rPr>
        <w:fldChar w:fldCharType="end"/>
      </w:r>
    </w:p>
    <w:p w14:paraId="57761BE6">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_Toc14795 </w:instrText>
      </w:r>
      <w:r>
        <w:rPr>
          <w:rFonts w:hint="eastAsia" w:ascii="宋体" w:hAnsi="宋体" w:cs="宋体"/>
          <w:bCs/>
          <w:lang w:val="zh-CN"/>
        </w:rPr>
        <w:fldChar w:fldCharType="separate"/>
      </w:r>
      <w:r>
        <w:rPr>
          <w:rFonts w:hint="eastAsia" w:ascii="宋体" w:hAnsi="宋体"/>
          <w:szCs w:val="28"/>
        </w:rPr>
        <w:t>附件1：响应函</w:t>
      </w:r>
      <w:r>
        <w:tab/>
      </w:r>
      <w:r>
        <w:fldChar w:fldCharType="begin"/>
      </w:r>
      <w:r>
        <w:instrText xml:space="preserve"> PAGEREF _Toc14795 \h </w:instrText>
      </w:r>
      <w:r>
        <w:fldChar w:fldCharType="separate"/>
      </w:r>
      <w:r>
        <w:t>23</w:t>
      </w:r>
      <w:r>
        <w:fldChar w:fldCharType="end"/>
      </w:r>
      <w:r>
        <w:rPr>
          <w:rFonts w:hint="eastAsia" w:ascii="宋体" w:hAnsi="宋体" w:cs="宋体"/>
          <w:bCs/>
          <w:lang w:val="zh-CN"/>
        </w:rPr>
        <w:fldChar w:fldCharType="end"/>
      </w:r>
    </w:p>
    <w:p w14:paraId="135E1152">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_Toc3517 </w:instrText>
      </w:r>
      <w:r>
        <w:rPr>
          <w:rFonts w:hint="eastAsia" w:ascii="宋体" w:hAnsi="宋体" w:cs="宋体"/>
          <w:bCs/>
          <w:lang w:val="zh-CN"/>
        </w:rPr>
        <w:fldChar w:fldCharType="separate"/>
      </w:r>
      <w:r>
        <w:rPr>
          <w:rFonts w:hint="eastAsia" w:ascii="宋体" w:hAnsi="宋体"/>
        </w:rPr>
        <w:t>附件2：报价表</w:t>
      </w:r>
      <w:r>
        <w:tab/>
      </w:r>
      <w:r>
        <w:fldChar w:fldCharType="begin"/>
      </w:r>
      <w:r>
        <w:instrText xml:space="preserve"> PAGEREF _Toc3517 \h </w:instrText>
      </w:r>
      <w:r>
        <w:fldChar w:fldCharType="separate"/>
      </w:r>
      <w:r>
        <w:t>24</w:t>
      </w:r>
      <w:r>
        <w:fldChar w:fldCharType="end"/>
      </w:r>
      <w:r>
        <w:rPr>
          <w:rFonts w:hint="eastAsia" w:ascii="宋体" w:hAnsi="宋体" w:cs="宋体"/>
          <w:bCs/>
          <w:lang w:val="zh-CN"/>
        </w:rPr>
        <w:fldChar w:fldCharType="end"/>
      </w:r>
    </w:p>
    <w:p w14:paraId="7D091C0E">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_Toc9352 </w:instrText>
      </w:r>
      <w:r>
        <w:rPr>
          <w:rFonts w:hint="eastAsia" w:ascii="宋体" w:hAnsi="宋体" w:cs="宋体"/>
          <w:bCs/>
          <w:lang w:val="zh-CN"/>
        </w:rPr>
        <w:fldChar w:fldCharType="separate"/>
      </w:r>
      <w:r>
        <w:rPr>
          <w:rFonts w:hint="eastAsia" w:ascii="宋体" w:hAnsi="宋体"/>
        </w:rPr>
        <w:t>附件3：法定代表人证明书</w:t>
      </w:r>
      <w:r>
        <w:tab/>
      </w:r>
      <w:r>
        <w:fldChar w:fldCharType="begin"/>
      </w:r>
      <w:r>
        <w:instrText xml:space="preserve"> PAGEREF _Toc9352 \h </w:instrText>
      </w:r>
      <w:r>
        <w:fldChar w:fldCharType="separate"/>
      </w:r>
      <w:r>
        <w:t>25</w:t>
      </w:r>
      <w:r>
        <w:fldChar w:fldCharType="end"/>
      </w:r>
      <w:r>
        <w:rPr>
          <w:rFonts w:hint="eastAsia" w:ascii="宋体" w:hAnsi="宋体" w:cs="宋体"/>
          <w:bCs/>
          <w:lang w:val="zh-CN"/>
        </w:rPr>
        <w:fldChar w:fldCharType="end"/>
      </w:r>
    </w:p>
    <w:p w14:paraId="28534B81">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_Toc21043 </w:instrText>
      </w:r>
      <w:r>
        <w:rPr>
          <w:rFonts w:hint="eastAsia" w:ascii="宋体" w:hAnsi="宋体" w:cs="宋体"/>
          <w:bCs/>
          <w:lang w:val="zh-CN"/>
        </w:rPr>
        <w:fldChar w:fldCharType="separate"/>
      </w:r>
      <w:r>
        <w:rPr>
          <w:rFonts w:hint="eastAsia" w:ascii="宋体" w:hAnsi="宋体"/>
        </w:rPr>
        <w:t>附件4：</w:t>
      </w:r>
      <w:r>
        <w:rPr>
          <w:rFonts w:hint="eastAsia" w:ascii="宋体" w:hAnsi="宋体"/>
          <w:lang w:val="zh-CN"/>
        </w:rPr>
        <w:t>法定代表人授权书</w:t>
      </w:r>
      <w:r>
        <w:tab/>
      </w:r>
      <w:r>
        <w:fldChar w:fldCharType="begin"/>
      </w:r>
      <w:r>
        <w:instrText xml:space="preserve"> PAGEREF _Toc21043 \h </w:instrText>
      </w:r>
      <w:r>
        <w:fldChar w:fldCharType="separate"/>
      </w:r>
      <w:r>
        <w:t>26</w:t>
      </w:r>
      <w:r>
        <w:fldChar w:fldCharType="end"/>
      </w:r>
      <w:r>
        <w:rPr>
          <w:rFonts w:hint="eastAsia" w:ascii="宋体" w:hAnsi="宋体" w:cs="宋体"/>
          <w:bCs/>
          <w:lang w:val="zh-CN"/>
        </w:rPr>
        <w:fldChar w:fldCharType="end"/>
      </w:r>
    </w:p>
    <w:p w14:paraId="20E4DD22">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_Toc13633 </w:instrText>
      </w:r>
      <w:r>
        <w:rPr>
          <w:rFonts w:hint="eastAsia" w:ascii="宋体" w:hAnsi="宋体" w:cs="宋体"/>
          <w:bCs/>
          <w:lang w:val="zh-CN"/>
        </w:rPr>
        <w:fldChar w:fldCharType="separate"/>
      </w:r>
      <w:r>
        <w:rPr>
          <w:rFonts w:cs="宋体"/>
          <w:bCs/>
          <w:szCs w:val="24"/>
        </w:rPr>
        <w:t>附件5：资格证明材料</w:t>
      </w:r>
      <w:r>
        <w:tab/>
      </w:r>
      <w:r>
        <w:fldChar w:fldCharType="begin"/>
      </w:r>
      <w:r>
        <w:instrText xml:space="preserve"> PAGEREF _Toc13633 \h </w:instrText>
      </w:r>
      <w:r>
        <w:fldChar w:fldCharType="separate"/>
      </w:r>
      <w:r>
        <w:t>27</w:t>
      </w:r>
      <w:r>
        <w:fldChar w:fldCharType="end"/>
      </w:r>
      <w:r>
        <w:rPr>
          <w:rFonts w:hint="eastAsia" w:ascii="宋体" w:hAnsi="宋体" w:cs="宋体"/>
          <w:bCs/>
          <w:lang w:val="zh-CN"/>
        </w:rPr>
        <w:fldChar w:fldCharType="end"/>
      </w:r>
    </w:p>
    <w:p w14:paraId="111961BE">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_Toc16728 </w:instrText>
      </w:r>
      <w:r>
        <w:rPr>
          <w:rFonts w:hint="eastAsia" w:ascii="宋体" w:hAnsi="宋体" w:cs="宋体"/>
          <w:bCs/>
          <w:lang w:val="zh-CN"/>
        </w:rPr>
        <w:fldChar w:fldCharType="separate"/>
      </w:r>
      <w:r>
        <w:rPr>
          <w:rFonts w:cs="宋体"/>
          <w:bCs/>
          <w:szCs w:val="24"/>
        </w:rPr>
        <w:t>附件6：响应保证金</w:t>
      </w:r>
      <w:r>
        <w:tab/>
      </w:r>
      <w:r>
        <w:fldChar w:fldCharType="begin"/>
      </w:r>
      <w:r>
        <w:instrText xml:space="preserve"> PAGEREF _Toc16728 \h </w:instrText>
      </w:r>
      <w:r>
        <w:fldChar w:fldCharType="separate"/>
      </w:r>
      <w:r>
        <w:t>28</w:t>
      </w:r>
      <w:r>
        <w:fldChar w:fldCharType="end"/>
      </w:r>
      <w:r>
        <w:rPr>
          <w:rFonts w:hint="eastAsia" w:ascii="宋体" w:hAnsi="宋体" w:cs="宋体"/>
          <w:bCs/>
          <w:lang w:val="zh-CN"/>
        </w:rPr>
        <w:fldChar w:fldCharType="end"/>
      </w:r>
    </w:p>
    <w:p w14:paraId="68642C6D">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_Toc20736 </w:instrText>
      </w:r>
      <w:r>
        <w:rPr>
          <w:rFonts w:hint="eastAsia" w:ascii="宋体" w:hAnsi="宋体" w:cs="宋体"/>
          <w:bCs/>
          <w:lang w:val="zh-CN"/>
        </w:rPr>
        <w:fldChar w:fldCharType="separate"/>
      </w:r>
      <w:r>
        <w:rPr>
          <w:rFonts w:cs="宋体"/>
          <w:bCs/>
          <w:szCs w:val="24"/>
        </w:rPr>
        <w:t>附件7: 类似项目业绩</w:t>
      </w:r>
      <w:r>
        <w:tab/>
      </w:r>
      <w:r>
        <w:fldChar w:fldCharType="begin"/>
      </w:r>
      <w:r>
        <w:instrText xml:space="preserve"> PAGEREF _Toc20736 \h </w:instrText>
      </w:r>
      <w:r>
        <w:fldChar w:fldCharType="separate"/>
      </w:r>
      <w:r>
        <w:t>29</w:t>
      </w:r>
      <w:r>
        <w:fldChar w:fldCharType="end"/>
      </w:r>
      <w:r>
        <w:rPr>
          <w:rFonts w:hint="eastAsia" w:ascii="宋体" w:hAnsi="宋体" w:cs="宋体"/>
          <w:bCs/>
          <w:lang w:val="zh-CN"/>
        </w:rPr>
        <w:fldChar w:fldCharType="end"/>
      </w:r>
    </w:p>
    <w:p w14:paraId="5D14ACBF">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_Toc19250 </w:instrText>
      </w:r>
      <w:r>
        <w:rPr>
          <w:rFonts w:hint="eastAsia" w:ascii="宋体" w:hAnsi="宋体" w:cs="宋体"/>
          <w:bCs/>
          <w:lang w:val="zh-CN"/>
        </w:rPr>
        <w:fldChar w:fldCharType="separate"/>
      </w:r>
      <w:r>
        <w:rPr>
          <w:rFonts w:hint="eastAsia" w:ascii="宋体" w:hAnsi="宋体" w:cs="宋体"/>
          <w:szCs w:val="30"/>
        </w:rPr>
        <w:t>附件8：服务方案</w:t>
      </w:r>
      <w:r>
        <w:tab/>
      </w:r>
      <w:r>
        <w:fldChar w:fldCharType="begin"/>
      </w:r>
      <w:r>
        <w:instrText xml:space="preserve"> PAGEREF _Toc19250 \h </w:instrText>
      </w:r>
      <w:r>
        <w:fldChar w:fldCharType="separate"/>
      </w:r>
      <w:r>
        <w:t>30</w:t>
      </w:r>
      <w:r>
        <w:fldChar w:fldCharType="end"/>
      </w:r>
      <w:r>
        <w:rPr>
          <w:rFonts w:hint="eastAsia" w:ascii="宋体" w:hAnsi="宋体" w:cs="宋体"/>
          <w:bCs/>
          <w:lang w:val="zh-CN"/>
        </w:rPr>
        <w:fldChar w:fldCharType="end"/>
      </w:r>
    </w:p>
    <w:p w14:paraId="10155C1A">
      <w:pPr>
        <w:pStyle w:val="26"/>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_Toc21069 </w:instrText>
      </w:r>
      <w:r>
        <w:rPr>
          <w:rFonts w:hint="eastAsia" w:ascii="宋体" w:hAnsi="宋体" w:cs="宋体"/>
          <w:bCs/>
          <w:lang w:val="zh-CN"/>
        </w:rPr>
        <w:fldChar w:fldCharType="separate"/>
      </w:r>
      <w:r>
        <w:rPr>
          <w:rFonts w:hint="eastAsia" w:ascii="宋体" w:hAnsi="宋体" w:cs="宋体"/>
          <w:szCs w:val="30"/>
        </w:rPr>
        <w:t>附件9：</w:t>
      </w:r>
      <w:r>
        <w:rPr>
          <w:rFonts w:hint="eastAsia" w:ascii="宋体" w:hAnsi="宋体" w:cs="宋体"/>
          <w:szCs w:val="30"/>
          <w:lang w:val="zh-CN"/>
        </w:rPr>
        <w:t>供应商认为在其他方面有必要说明的事项</w:t>
      </w:r>
      <w:r>
        <w:tab/>
      </w:r>
      <w:r>
        <w:fldChar w:fldCharType="begin"/>
      </w:r>
      <w:r>
        <w:instrText xml:space="preserve"> PAGEREF _Toc21069 \h </w:instrText>
      </w:r>
      <w:r>
        <w:fldChar w:fldCharType="separate"/>
      </w:r>
      <w:r>
        <w:t>31</w:t>
      </w:r>
      <w:r>
        <w:fldChar w:fldCharType="end"/>
      </w:r>
      <w:r>
        <w:rPr>
          <w:rFonts w:hint="eastAsia" w:ascii="宋体" w:hAnsi="宋体" w:cs="宋体"/>
          <w:bCs/>
          <w:lang w:val="zh-CN"/>
        </w:rPr>
        <w:fldChar w:fldCharType="end"/>
      </w:r>
    </w:p>
    <w:p w14:paraId="735675CE">
      <w:pPr>
        <w:tabs>
          <w:tab w:val="center" w:pos="4830"/>
        </w:tabs>
        <w:spacing w:line="320" w:lineRule="exact"/>
        <w:ind w:left="-199" w:leftChars="-95" w:firstLine="594" w:firstLineChars="283"/>
        <w:jc w:val="center"/>
        <w:rPr>
          <w:rFonts w:hint="eastAsia" w:ascii="宋体" w:hAnsi="宋体" w:cs="宋体"/>
          <w:lang w:val="zh-CN"/>
        </w:rPr>
      </w:pPr>
      <w:r>
        <w:rPr>
          <w:rFonts w:hint="eastAsia" w:ascii="宋体" w:hAnsi="宋体" w:cs="宋体"/>
          <w:bCs/>
          <w:lang w:val="zh-CN"/>
        </w:rPr>
        <w:fldChar w:fldCharType="end"/>
      </w:r>
      <w:bookmarkStart w:id="0" w:name="_Toc10494"/>
    </w:p>
    <w:p w14:paraId="5DE35951">
      <w:pPr>
        <w:pStyle w:val="30"/>
        <w:spacing w:before="0" w:after="0"/>
        <w:rPr>
          <w:rFonts w:hint="eastAsia" w:ascii="宋体" w:hAnsi="宋体" w:cs="宋体"/>
          <w:lang w:val="zh-CN"/>
        </w:rPr>
      </w:pPr>
    </w:p>
    <w:p w14:paraId="0ED91E29">
      <w:pPr>
        <w:rPr>
          <w:rFonts w:hint="eastAsia"/>
          <w:lang w:val="zh-CN"/>
        </w:rPr>
      </w:pPr>
    </w:p>
    <w:p w14:paraId="14CB801F">
      <w:pPr>
        <w:tabs>
          <w:tab w:val="left" w:pos="2284"/>
        </w:tabs>
        <w:jc w:val="left"/>
        <w:rPr>
          <w:rFonts w:hint="eastAsia"/>
          <w:lang w:val="zh-CN"/>
        </w:rPr>
      </w:pPr>
      <w:r>
        <w:rPr>
          <w:rFonts w:hint="eastAsia"/>
          <w:lang w:val="zh-CN"/>
        </w:rPr>
        <w:tab/>
      </w:r>
    </w:p>
    <w:p w14:paraId="76526707">
      <w:pPr>
        <w:rPr>
          <w:rFonts w:hint="eastAsia"/>
          <w:lang w:val="zh-CN"/>
        </w:rPr>
      </w:pPr>
    </w:p>
    <w:p w14:paraId="304DFDC8">
      <w:pPr>
        <w:rPr>
          <w:rFonts w:hint="eastAsia"/>
          <w:lang w:val="zh-CN"/>
        </w:rPr>
      </w:pPr>
    </w:p>
    <w:p w14:paraId="5B0BE606">
      <w:pPr>
        <w:rPr>
          <w:rFonts w:hint="eastAsia"/>
          <w:lang w:val="zh-CN"/>
        </w:rPr>
      </w:pPr>
    </w:p>
    <w:p w14:paraId="494DC7D5">
      <w:pPr>
        <w:rPr>
          <w:rFonts w:hint="eastAsia"/>
          <w:lang w:val="zh-CN"/>
        </w:rPr>
      </w:pPr>
    </w:p>
    <w:p w14:paraId="15DACC5A">
      <w:pPr>
        <w:rPr>
          <w:rFonts w:hint="eastAsia"/>
          <w:lang w:val="zh-CN"/>
        </w:rPr>
      </w:pPr>
    </w:p>
    <w:p w14:paraId="289B150C">
      <w:pPr>
        <w:rPr>
          <w:rFonts w:hint="eastAsia"/>
          <w:lang w:val="zh-CN"/>
        </w:rPr>
      </w:pPr>
    </w:p>
    <w:p w14:paraId="10F620BD">
      <w:pPr>
        <w:rPr>
          <w:rFonts w:hint="eastAsia"/>
          <w:lang w:val="zh-CN"/>
        </w:rPr>
      </w:pPr>
    </w:p>
    <w:p w14:paraId="5401EDC5">
      <w:pPr>
        <w:rPr>
          <w:rFonts w:hint="eastAsia"/>
          <w:lang w:val="zh-CN"/>
        </w:rPr>
      </w:pPr>
    </w:p>
    <w:p w14:paraId="05ABD9A4">
      <w:pPr>
        <w:tabs>
          <w:tab w:val="left" w:pos="3254"/>
        </w:tabs>
        <w:jc w:val="left"/>
        <w:rPr>
          <w:rFonts w:hint="eastAsia"/>
          <w:lang w:val="zh-CN"/>
        </w:rPr>
        <w:sectPr>
          <w:headerReference r:id="rId3" w:type="default"/>
          <w:footerReference r:id="rId4" w:type="default"/>
          <w:pgSz w:w="11906" w:h="16838"/>
          <w:pgMar w:top="1090" w:right="1569" w:bottom="1440" w:left="1097" w:header="851" w:footer="992" w:gutter="0"/>
          <w:cols w:space="720" w:num="1"/>
          <w:docGrid w:linePitch="312" w:charSpace="0"/>
        </w:sectPr>
      </w:pPr>
      <w:r>
        <w:rPr>
          <w:rFonts w:hint="eastAsia"/>
          <w:lang w:val="zh-CN"/>
        </w:rPr>
        <w:tab/>
      </w:r>
    </w:p>
    <w:p w14:paraId="2EE25918">
      <w:pPr>
        <w:pStyle w:val="30"/>
        <w:spacing w:before="0" w:after="0"/>
        <w:rPr>
          <w:rFonts w:ascii="宋体" w:hAnsi="宋体" w:cs="宋体"/>
        </w:rPr>
      </w:pPr>
      <w:bookmarkStart w:id="1" w:name="_Toc19560"/>
      <w:bookmarkStart w:id="2" w:name="_Toc20012"/>
      <w:bookmarkStart w:id="3" w:name="_Toc1206"/>
      <w:bookmarkStart w:id="4" w:name="_Toc13131"/>
      <w:bookmarkStart w:id="5" w:name="_Toc9787"/>
      <w:r>
        <w:rPr>
          <w:rFonts w:hint="eastAsia" w:ascii="宋体" w:hAnsi="宋体" w:cs="宋体"/>
          <w:lang w:val="zh-CN"/>
        </w:rPr>
        <w:t>第一部分</w:t>
      </w:r>
      <w:r>
        <w:rPr>
          <w:rFonts w:hint="eastAsia" w:ascii="宋体" w:hAnsi="宋体" w:cs="宋体"/>
        </w:rPr>
        <w:t xml:space="preserve">  </w:t>
      </w:r>
      <w:bookmarkEnd w:id="0"/>
      <w:bookmarkEnd w:id="1"/>
      <w:bookmarkEnd w:id="2"/>
      <w:bookmarkEnd w:id="3"/>
      <w:bookmarkEnd w:id="4"/>
      <w:r>
        <w:rPr>
          <w:rFonts w:hint="eastAsia" w:ascii="宋体" w:hAnsi="宋体" w:cs="宋体"/>
        </w:rPr>
        <w:t>采购公告</w:t>
      </w:r>
      <w:bookmarkEnd w:id="5"/>
    </w:p>
    <w:p w14:paraId="5B012EDB">
      <w:pPr>
        <w:spacing w:line="380" w:lineRule="exact"/>
        <w:ind w:firstLine="482" w:firstLineChars="200"/>
        <w:jc w:val="center"/>
        <w:rPr>
          <w:rFonts w:hint="eastAsia" w:ascii="宋体" w:hAnsi="宋体" w:eastAsia="宋体" w:cs="宋体"/>
          <w:b/>
          <w:sz w:val="24"/>
          <w:lang w:eastAsia="zh-CN"/>
        </w:rPr>
      </w:pPr>
      <w:bookmarkStart w:id="6" w:name="_Toc3201"/>
      <w:r>
        <w:rPr>
          <w:rFonts w:hint="eastAsia" w:ascii="宋体" w:hAnsi="宋体" w:cs="宋体"/>
          <w:b/>
          <w:sz w:val="24"/>
          <w:lang w:eastAsia="zh-CN"/>
        </w:rPr>
        <w:t>青海民族大学东序校区运动场维修项目设计、造价咨询服务</w:t>
      </w:r>
    </w:p>
    <w:p w14:paraId="2158DF22">
      <w:pPr>
        <w:spacing w:line="380" w:lineRule="exact"/>
        <w:ind w:firstLine="482" w:firstLineChars="200"/>
        <w:jc w:val="center"/>
        <w:rPr>
          <w:rFonts w:hint="eastAsia" w:ascii="宋体" w:hAnsi="宋体" w:cs="宋体"/>
          <w:b/>
          <w:sz w:val="24"/>
        </w:rPr>
      </w:pPr>
      <w:r>
        <w:rPr>
          <w:rFonts w:hint="eastAsia" w:ascii="宋体" w:hAnsi="宋体" w:cs="宋体"/>
          <w:b/>
          <w:sz w:val="24"/>
        </w:rPr>
        <w:t>询比采购公告</w:t>
      </w:r>
    </w:p>
    <w:p w14:paraId="4592DBC2">
      <w:pPr>
        <w:spacing w:line="380" w:lineRule="exact"/>
        <w:ind w:firstLine="480" w:firstLineChars="200"/>
        <w:rPr>
          <w:rFonts w:hint="eastAsia" w:ascii="宋体" w:hAnsi="宋体" w:cs="宋体"/>
          <w:sz w:val="24"/>
        </w:rPr>
      </w:pPr>
      <w:r>
        <w:rPr>
          <w:rFonts w:hint="eastAsia" w:ascii="宋体" w:hAnsi="宋体" w:cs="宋体"/>
          <w:sz w:val="24"/>
        </w:rPr>
        <w:t>青海鼎誉工程咨询有限公司受青海民族大学委托，拟对</w:t>
      </w:r>
      <w:r>
        <w:rPr>
          <w:rFonts w:hint="eastAsia" w:ascii="宋体" w:hAnsi="宋体" w:cs="宋体"/>
          <w:sz w:val="24"/>
          <w:lang w:eastAsia="zh-CN"/>
        </w:rPr>
        <w:t>青海民族大学东序校区运动场维修项目设计、造价咨询服务</w:t>
      </w:r>
      <w:r>
        <w:rPr>
          <w:rFonts w:hint="eastAsia" w:ascii="宋体" w:hAnsi="宋体" w:cs="宋体"/>
          <w:sz w:val="24"/>
        </w:rPr>
        <w:t>进行国内询比采购。现予以公告，欢迎符合条件的供应商前来参加采购活动。</w:t>
      </w:r>
    </w:p>
    <w:tbl>
      <w:tblPr>
        <w:tblStyle w:val="32"/>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7024"/>
      </w:tblGrid>
      <w:tr w14:paraId="59C7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73" w:type="dxa"/>
            <w:noWrap w:val="0"/>
            <w:vAlign w:val="center"/>
          </w:tcPr>
          <w:p w14:paraId="1B554891">
            <w:pPr>
              <w:spacing w:line="276" w:lineRule="auto"/>
              <w:jc w:val="center"/>
              <w:rPr>
                <w:rFonts w:hint="eastAsia" w:ascii="宋体" w:hAnsi="宋体" w:eastAsia="宋体" w:cs="宋体"/>
                <w:sz w:val="24"/>
              </w:rPr>
            </w:pPr>
            <w:r>
              <w:rPr>
                <w:rFonts w:hint="eastAsia" w:ascii="宋体" w:hAnsi="宋体" w:eastAsia="宋体" w:cs="宋体"/>
                <w:sz w:val="24"/>
              </w:rPr>
              <w:t>项目名称</w:t>
            </w:r>
          </w:p>
        </w:tc>
        <w:tc>
          <w:tcPr>
            <w:tcW w:w="7024" w:type="dxa"/>
            <w:noWrap w:val="0"/>
            <w:vAlign w:val="center"/>
          </w:tcPr>
          <w:p w14:paraId="13C52028">
            <w:pPr>
              <w:spacing w:line="276" w:lineRule="auto"/>
              <w:rPr>
                <w:rFonts w:hint="eastAsia" w:ascii="宋体" w:hAnsi="宋体" w:eastAsia="宋体" w:cs="宋体"/>
                <w:sz w:val="24"/>
                <w:lang w:val="zh-CN"/>
              </w:rPr>
            </w:pPr>
            <w:r>
              <w:rPr>
                <w:rFonts w:hint="eastAsia" w:ascii="宋体" w:hAnsi="宋体" w:eastAsia="宋体" w:cs="宋体"/>
                <w:sz w:val="24"/>
                <w:lang w:val="zh-CN"/>
              </w:rPr>
              <w:t>青海民族大学东序校区运动场维修项目设计、造价咨询服务</w:t>
            </w:r>
          </w:p>
        </w:tc>
      </w:tr>
      <w:tr w14:paraId="3305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673" w:type="dxa"/>
            <w:noWrap w:val="0"/>
            <w:vAlign w:val="center"/>
          </w:tcPr>
          <w:p w14:paraId="17D80FAE">
            <w:pPr>
              <w:spacing w:line="276" w:lineRule="auto"/>
              <w:jc w:val="center"/>
              <w:rPr>
                <w:rFonts w:hint="eastAsia" w:ascii="宋体" w:hAnsi="宋体" w:eastAsia="宋体" w:cs="宋体"/>
                <w:sz w:val="24"/>
              </w:rPr>
            </w:pPr>
            <w:r>
              <w:rPr>
                <w:rFonts w:hint="eastAsia" w:ascii="宋体" w:hAnsi="宋体" w:eastAsia="宋体" w:cs="宋体"/>
                <w:sz w:val="24"/>
              </w:rPr>
              <w:t>项目编号</w:t>
            </w:r>
          </w:p>
        </w:tc>
        <w:tc>
          <w:tcPr>
            <w:tcW w:w="7024" w:type="dxa"/>
            <w:noWrap w:val="0"/>
            <w:vAlign w:val="center"/>
          </w:tcPr>
          <w:p w14:paraId="7176DAE1">
            <w:pPr>
              <w:spacing w:line="276" w:lineRule="auto"/>
              <w:rPr>
                <w:rFonts w:hint="eastAsia" w:ascii="宋体" w:hAnsi="宋体" w:eastAsia="宋体" w:cs="宋体"/>
                <w:sz w:val="24"/>
                <w:lang w:eastAsia="zh-CN"/>
              </w:rPr>
            </w:pPr>
            <w:r>
              <w:rPr>
                <w:rFonts w:hint="eastAsia" w:ascii="宋体" w:hAnsi="宋体" w:eastAsia="宋体" w:cs="宋体"/>
                <w:sz w:val="24"/>
                <w:lang w:eastAsia="zh-CN"/>
              </w:rPr>
              <w:t>DY2026-06-11A</w:t>
            </w:r>
          </w:p>
        </w:tc>
      </w:tr>
      <w:tr w14:paraId="5B4A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73" w:type="dxa"/>
            <w:noWrap w:val="0"/>
            <w:vAlign w:val="center"/>
          </w:tcPr>
          <w:p w14:paraId="706764FB">
            <w:pPr>
              <w:spacing w:line="276" w:lineRule="auto"/>
              <w:jc w:val="center"/>
              <w:rPr>
                <w:rFonts w:hint="eastAsia" w:ascii="宋体" w:hAnsi="宋体" w:eastAsia="宋体" w:cs="宋体"/>
                <w:sz w:val="24"/>
              </w:rPr>
            </w:pPr>
            <w:r>
              <w:rPr>
                <w:rFonts w:hint="eastAsia" w:ascii="宋体" w:hAnsi="宋体" w:eastAsia="宋体" w:cs="宋体"/>
                <w:sz w:val="24"/>
              </w:rPr>
              <w:t>采购方式</w:t>
            </w:r>
          </w:p>
        </w:tc>
        <w:tc>
          <w:tcPr>
            <w:tcW w:w="7024" w:type="dxa"/>
            <w:noWrap w:val="0"/>
            <w:vAlign w:val="center"/>
          </w:tcPr>
          <w:p w14:paraId="52412E7A">
            <w:pPr>
              <w:spacing w:line="276" w:lineRule="auto"/>
              <w:rPr>
                <w:rFonts w:hint="eastAsia" w:ascii="宋体" w:hAnsi="宋体" w:eastAsia="宋体" w:cs="宋体"/>
                <w:sz w:val="24"/>
                <w:lang w:val="zh-CN"/>
              </w:rPr>
            </w:pPr>
            <w:r>
              <w:rPr>
                <w:rFonts w:hint="eastAsia" w:ascii="宋体" w:hAnsi="宋体" w:eastAsia="宋体" w:cs="宋体"/>
                <w:sz w:val="24"/>
                <w:lang w:val="zh-CN"/>
              </w:rPr>
              <w:t>询比采购（非招标方式）</w:t>
            </w:r>
          </w:p>
        </w:tc>
      </w:tr>
      <w:tr w14:paraId="1F96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73" w:type="dxa"/>
            <w:noWrap w:val="0"/>
            <w:vAlign w:val="center"/>
          </w:tcPr>
          <w:p w14:paraId="20BD6847">
            <w:pPr>
              <w:autoSpaceDE w:val="0"/>
              <w:autoSpaceDN w:val="0"/>
              <w:adjustRightInd w:val="0"/>
              <w:spacing w:line="340" w:lineRule="exact"/>
              <w:jc w:val="center"/>
              <w:rPr>
                <w:rFonts w:hint="eastAsia" w:ascii="宋体" w:hAnsi="宋体" w:eastAsia="宋体" w:cs="宋体"/>
                <w:kern w:val="0"/>
                <w:sz w:val="24"/>
              </w:rPr>
            </w:pPr>
            <w:r>
              <w:rPr>
                <w:rFonts w:hint="eastAsia" w:ascii="宋体" w:hAnsi="宋体" w:eastAsia="宋体" w:cs="宋体"/>
                <w:kern w:val="0"/>
                <w:sz w:val="24"/>
              </w:rPr>
              <w:t>邀请方式</w:t>
            </w:r>
          </w:p>
        </w:tc>
        <w:tc>
          <w:tcPr>
            <w:tcW w:w="7024" w:type="dxa"/>
            <w:noWrap w:val="0"/>
            <w:vAlign w:val="center"/>
          </w:tcPr>
          <w:p w14:paraId="2068CF7D">
            <w:pPr>
              <w:spacing w:line="276" w:lineRule="auto"/>
              <w:rPr>
                <w:rFonts w:hint="eastAsia" w:ascii="宋体" w:hAnsi="宋体" w:eastAsia="宋体" w:cs="宋体"/>
                <w:sz w:val="24"/>
                <w:lang w:val="zh-CN"/>
              </w:rPr>
            </w:pPr>
            <w:r>
              <w:rPr>
                <w:rFonts w:hint="eastAsia" w:ascii="宋体" w:hAnsi="宋体" w:eastAsia="宋体" w:cs="宋体"/>
                <w:sz w:val="24"/>
                <w:lang w:val="zh-CN"/>
              </w:rPr>
              <w:t>公告邀请</w:t>
            </w:r>
          </w:p>
        </w:tc>
      </w:tr>
      <w:tr w14:paraId="29EC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673" w:type="dxa"/>
            <w:noWrap w:val="0"/>
            <w:vAlign w:val="center"/>
          </w:tcPr>
          <w:p w14:paraId="01B756CB">
            <w:pPr>
              <w:spacing w:line="276" w:lineRule="auto"/>
              <w:jc w:val="center"/>
              <w:rPr>
                <w:rFonts w:hint="eastAsia" w:ascii="宋体" w:hAnsi="宋体" w:eastAsia="宋体" w:cs="宋体"/>
                <w:sz w:val="24"/>
              </w:rPr>
            </w:pPr>
            <w:r>
              <w:rPr>
                <w:rFonts w:hint="eastAsia" w:ascii="宋体" w:hAnsi="宋体" w:eastAsia="宋体" w:cs="宋体"/>
                <w:sz w:val="24"/>
                <w:lang w:val="zh-CN"/>
              </w:rPr>
              <w:t>最高投标限价</w:t>
            </w:r>
          </w:p>
        </w:tc>
        <w:tc>
          <w:tcPr>
            <w:tcW w:w="7024" w:type="dxa"/>
            <w:noWrap w:val="0"/>
            <w:vAlign w:val="center"/>
          </w:tcPr>
          <w:p w14:paraId="22F3688C">
            <w:pPr>
              <w:spacing w:line="276" w:lineRule="auto"/>
              <w:rPr>
                <w:rFonts w:hint="eastAsia" w:ascii="宋体" w:hAnsi="宋体" w:eastAsia="宋体" w:cs="宋体"/>
                <w:sz w:val="24"/>
              </w:rPr>
            </w:pPr>
            <w:r>
              <w:rPr>
                <w:rFonts w:hint="eastAsia" w:ascii="宋体" w:hAnsi="宋体" w:eastAsia="宋体" w:cs="宋体"/>
                <w:color w:val="auto"/>
                <w:sz w:val="24"/>
                <w:szCs w:val="24"/>
                <w:lang w:eastAsia="zh-CN"/>
              </w:rPr>
              <w:t>102621.67元</w:t>
            </w:r>
          </w:p>
        </w:tc>
      </w:tr>
      <w:tr w14:paraId="26BB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673" w:type="dxa"/>
            <w:noWrap w:val="0"/>
            <w:vAlign w:val="center"/>
          </w:tcPr>
          <w:p w14:paraId="598D12AB">
            <w:pPr>
              <w:spacing w:line="276" w:lineRule="auto"/>
              <w:jc w:val="center"/>
              <w:rPr>
                <w:rFonts w:hint="eastAsia" w:ascii="宋体" w:hAnsi="宋体" w:eastAsia="宋体" w:cs="宋体"/>
                <w:sz w:val="24"/>
              </w:rPr>
            </w:pPr>
            <w:r>
              <w:rPr>
                <w:rFonts w:hint="eastAsia" w:ascii="宋体" w:hAnsi="宋体" w:eastAsia="宋体" w:cs="宋体"/>
                <w:sz w:val="24"/>
              </w:rPr>
              <w:t>项目分包</w:t>
            </w:r>
          </w:p>
        </w:tc>
        <w:tc>
          <w:tcPr>
            <w:tcW w:w="7024" w:type="dxa"/>
            <w:noWrap w:val="0"/>
            <w:vAlign w:val="center"/>
          </w:tcPr>
          <w:p w14:paraId="6C96B301">
            <w:pPr>
              <w:spacing w:line="276" w:lineRule="auto"/>
              <w:rPr>
                <w:rFonts w:hint="eastAsia" w:ascii="宋体" w:hAnsi="宋体" w:eastAsia="宋体" w:cs="宋体"/>
                <w:sz w:val="24"/>
              </w:rPr>
            </w:pPr>
            <w:r>
              <w:rPr>
                <w:rFonts w:hint="eastAsia" w:ascii="宋体" w:hAnsi="宋体" w:eastAsia="宋体" w:cs="宋体"/>
                <w:sz w:val="24"/>
              </w:rPr>
              <w:t>无分包</w:t>
            </w:r>
          </w:p>
        </w:tc>
      </w:tr>
      <w:tr w14:paraId="1434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73" w:type="dxa"/>
            <w:noWrap w:val="0"/>
            <w:vAlign w:val="center"/>
          </w:tcPr>
          <w:p w14:paraId="16B72E27">
            <w:pPr>
              <w:spacing w:line="276" w:lineRule="auto"/>
              <w:jc w:val="center"/>
              <w:rPr>
                <w:rFonts w:hint="eastAsia" w:ascii="宋体" w:hAnsi="宋体" w:eastAsia="宋体" w:cs="宋体"/>
                <w:sz w:val="24"/>
              </w:rPr>
            </w:pPr>
            <w:r>
              <w:rPr>
                <w:rFonts w:hint="eastAsia" w:ascii="宋体" w:hAnsi="宋体" w:eastAsia="宋体" w:cs="宋体"/>
                <w:sz w:val="24"/>
              </w:rPr>
              <w:t>采购内容</w:t>
            </w:r>
          </w:p>
        </w:tc>
        <w:tc>
          <w:tcPr>
            <w:tcW w:w="7024" w:type="dxa"/>
            <w:noWrap w:val="0"/>
            <w:vAlign w:val="center"/>
          </w:tcPr>
          <w:p w14:paraId="7AB51922">
            <w:pPr>
              <w:spacing w:line="276" w:lineRule="auto"/>
              <w:rPr>
                <w:rFonts w:ascii="宋体" w:hAnsi="宋体" w:eastAsia="宋体" w:cs="宋体"/>
                <w:sz w:val="24"/>
              </w:rPr>
            </w:pPr>
            <w:r>
              <w:rPr>
                <w:rFonts w:hint="eastAsia" w:ascii="宋体" w:hAnsi="宋体" w:eastAsia="宋体" w:cs="宋体"/>
                <w:color w:val="auto"/>
                <w:sz w:val="24"/>
                <w:szCs w:val="24"/>
              </w:rPr>
              <w:t>工程设计</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造价咨询</w:t>
            </w:r>
            <w:r>
              <w:rPr>
                <w:rFonts w:hint="eastAsia" w:ascii="宋体" w:hAnsi="宋体" w:eastAsia="宋体" w:cs="宋体"/>
                <w:color w:val="auto"/>
                <w:sz w:val="24"/>
                <w:szCs w:val="24"/>
              </w:rPr>
              <w:t>服务</w:t>
            </w:r>
            <w:r>
              <w:rPr>
                <w:rFonts w:ascii="宋体" w:hAnsi="宋体" w:eastAsia="宋体" w:cs="宋体"/>
                <w:sz w:val="24"/>
              </w:rPr>
              <w:t>，具体内容详见《询比采购文件》</w:t>
            </w:r>
          </w:p>
        </w:tc>
      </w:tr>
      <w:tr w14:paraId="7917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673" w:type="dxa"/>
            <w:noWrap w:val="0"/>
            <w:vAlign w:val="center"/>
          </w:tcPr>
          <w:p w14:paraId="6E2354DE">
            <w:pPr>
              <w:spacing w:line="276" w:lineRule="auto"/>
              <w:jc w:val="center"/>
              <w:rPr>
                <w:rFonts w:hint="eastAsia" w:ascii="宋体" w:hAnsi="宋体" w:eastAsia="宋体" w:cs="宋体"/>
                <w:sz w:val="24"/>
              </w:rPr>
            </w:pPr>
            <w:r>
              <w:rPr>
                <w:rFonts w:hint="eastAsia" w:ascii="宋体" w:hAnsi="宋体" w:eastAsia="宋体" w:cs="宋体"/>
                <w:sz w:val="24"/>
              </w:rPr>
              <w:t>各包供应商资格条件</w:t>
            </w:r>
          </w:p>
        </w:tc>
        <w:tc>
          <w:tcPr>
            <w:tcW w:w="7024" w:type="dxa"/>
            <w:noWrap w:val="0"/>
            <w:vAlign w:val="center"/>
          </w:tcPr>
          <w:p w14:paraId="0B9AF8C6">
            <w:pPr>
              <w:spacing w:line="276" w:lineRule="auto"/>
              <w:rPr>
                <w:rFonts w:hint="eastAsia" w:ascii="宋体" w:hAnsi="宋体" w:eastAsia="宋体" w:cs="宋体"/>
                <w:color w:val="auto"/>
                <w:sz w:val="24"/>
                <w:highlight w:val="none"/>
                <w:lang w:val="en-US" w:eastAsia="zh-CN"/>
              </w:rPr>
            </w:pPr>
            <w:r>
              <w:rPr>
                <w:rFonts w:ascii="宋体" w:hAnsi="宋体" w:eastAsia="宋体" w:cs="宋体"/>
                <w:color w:val="auto"/>
                <w:sz w:val="24"/>
                <w:szCs w:val="24"/>
              </w:rPr>
              <w:t>1、本次采购要求供应商具备建筑行业（建筑工程专业）</w:t>
            </w:r>
            <w:r>
              <w:rPr>
                <w:rFonts w:hint="eastAsia" w:ascii="宋体" w:hAnsi="宋体" w:eastAsia="宋体" w:cs="宋体"/>
                <w:color w:val="auto"/>
                <w:sz w:val="24"/>
                <w:szCs w:val="24"/>
                <w:lang w:val="en-US" w:eastAsia="zh-CN"/>
              </w:rPr>
              <w:t>乙级</w:t>
            </w:r>
            <w:r>
              <w:rPr>
                <w:rFonts w:ascii="宋体" w:hAnsi="宋体" w:eastAsia="宋体" w:cs="宋体"/>
                <w:color w:val="auto"/>
                <w:sz w:val="24"/>
                <w:szCs w:val="24"/>
              </w:rPr>
              <w:t>及以上</w:t>
            </w:r>
            <w:r>
              <w:rPr>
                <w:rFonts w:hint="eastAsia" w:ascii="宋体" w:hAnsi="宋体" w:eastAsia="宋体" w:cs="宋体"/>
                <w:color w:val="auto"/>
                <w:sz w:val="24"/>
                <w:szCs w:val="24"/>
              </w:rPr>
              <w:t>工程设计</w:t>
            </w:r>
            <w:r>
              <w:rPr>
                <w:rFonts w:ascii="宋体" w:hAnsi="宋体" w:eastAsia="宋体" w:cs="宋体"/>
                <w:color w:val="auto"/>
                <w:sz w:val="24"/>
                <w:szCs w:val="24"/>
              </w:rPr>
              <w:t>资质，</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highlight w:val="none"/>
                <w:lang w:val="en-US" w:eastAsia="zh-CN"/>
              </w:rPr>
              <w:t>在青海省工程建设监管和信用管理平台完成工程造价咨询企业入库登记，并提供入库截图。</w:t>
            </w:r>
          </w:p>
          <w:p w14:paraId="422CA53E">
            <w:pPr>
              <w:spacing w:line="276" w:lineRule="auto"/>
              <w:rPr>
                <w:rFonts w:ascii="宋体" w:hAnsi="宋体" w:eastAsia="宋体" w:cs="宋体"/>
                <w:color w:val="auto"/>
                <w:sz w:val="24"/>
                <w:szCs w:val="24"/>
              </w:rPr>
            </w:pPr>
            <w:r>
              <w:rPr>
                <w:rFonts w:ascii="宋体" w:hAnsi="宋体" w:eastAsia="宋体" w:cs="宋体"/>
                <w:color w:val="auto"/>
                <w:sz w:val="24"/>
                <w:szCs w:val="24"/>
              </w:rPr>
              <w:t>2、设计负责人具备建筑相关专业注册工程师资格或具备注册建筑师资格；</w:t>
            </w:r>
          </w:p>
          <w:p w14:paraId="680F42FE">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highlight w:val="none"/>
                <w:lang w:val="en-US" w:eastAsia="zh-CN"/>
              </w:rPr>
              <w:t>造价咨询负责人须具备二级及以上注册造价师执业资格证书</w:t>
            </w:r>
            <w:r>
              <w:rPr>
                <w:rFonts w:hint="eastAsia" w:ascii="宋体" w:hAnsi="宋体" w:eastAsia="宋体" w:cs="宋体"/>
                <w:color w:val="auto"/>
                <w:sz w:val="24"/>
                <w:szCs w:val="24"/>
                <w:highlight w:val="none"/>
                <w:lang w:val="zh-CN"/>
              </w:rPr>
              <w:t>（注册单位须与投标单位一致）；（</w:t>
            </w:r>
            <w:r>
              <w:rPr>
                <w:rFonts w:ascii="宋体" w:hAnsi="宋体" w:eastAsia="宋体" w:cs="宋体"/>
                <w:color w:val="auto"/>
                <w:sz w:val="24"/>
                <w:szCs w:val="24"/>
              </w:rPr>
              <w:t>设计负责人</w:t>
            </w:r>
            <w:r>
              <w:rPr>
                <w:rFonts w:hint="eastAsia" w:ascii="宋体" w:hAnsi="宋体" w:eastAsia="宋体" w:cs="宋体"/>
                <w:color w:val="auto"/>
                <w:sz w:val="24"/>
                <w:szCs w:val="24"/>
                <w:lang w:val="en-US" w:eastAsia="zh-CN"/>
              </w:rPr>
              <w:t>与</w:t>
            </w:r>
            <w:r>
              <w:rPr>
                <w:rFonts w:hint="eastAsia" w:ascii="宋体" w:hAnsi="宋体" w:eastAsia="宋体" w:cs="宋体"/>
                <w:color w:val="auto"/>
                <w:sz w:val="24"/>
                <w:highlight w:val="none"/>
                <w:lang w:val="en-US" w:eastAsia="zh-CN"/>
              </w:rPr>
              <w:t>造价咨询</w:t>
            </w:r>
            <w:r>
              <w:rPr>
                <w:rFonts w:ascii="宋体" w:hAnsi="宋体" w:eastAsia="宋体" w:cs="宋体"/>
                <w:color w:val="auto"/>
                <w:sz w:val="24"/>
                <w:szCs w:val="24"/>
              </w:rPr>
              <w:t>负责人</w:t>
            </w:r>
            <w:r>
              <w:rPr>
                <w:rFonts w:hint="eastAsia" w:ascii="宋体" w:hAnsi="宋体" w:eastAsia="宋体" w:cs="宋体"/>
                <w:color w:val="auto"/>
                <w:sz w:val="24"/>
                <w:szCs w:val="24"/>
                <w:lang w:val="en-US" w:eastAsia="zh-CN"/>
              </w:rPr>
              <w:t>不能为同一人</w:t>
            </w:r>
            <w:r>
              <w:rPr>
                <w:rFonts w:hint="eastAsia" w:ascii="宋体" w:hAnsi="宋体" w:eastAsia="宋体" w:cs="宋体"/>
                <w:color w:val="auto"/>
                <w:sz w:val="24"/>
                <w:szCs w:val="24"/>
                <w:highlight w:val="none"/>
                <w:lang w:val="zh-CN"/>
              </w:rPr>
              <w:t>）</w:t>
            </w:r>
          </w:p>
          <w:p w14:paraId="5D40C4B5">
            <w:pPr>
              <w:spacing w:line="276" w:lineRule="auto"/>
              <w:rPr>
                <w:rFonts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、省外企业须提供省外企业提供有效的《青海省省外建设工程企业》（设计</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highlight w:val="none"/>
                <w:lang w:val="en-US" w:eastAsia="zh-CN"/>
              </w:rPr>
              <w:t>造价咨询单位</w:t>
            </w:r>
            <w:r>
              <w:rPr>
                <w:rFonts w:ascii="宋体" w:hAnsi="宋体" w:eastAsia="宋体" w:cs="宋体"/>
                <w:color w:val="auto"/>
                <w:sz w:val="24"/>
                <w:szCs w:val="24"/>
              </w:rPr>
              <w:t>）登记册复印件；</w:t>
            </w:r>
          </w:p>
          <w:p w14:paraId="1FBB85E2">
            <w:pPr>
              <w:spacing w:line="276" w:lineRule="auto"/>
              <w:rPr>
                <w:rFonts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、经信用中国（www.creditchina.gov.cn）查询后，列入失信被执行人、重大税收违法案件当事人名单取消投标资格；</w:t>
            </w:r>
          </w:p>
          <w:p w14:paraId="5018A687">
            <w:pPr>
              <w:spacing w:line="276" w:lineRule="auto"/>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、本项目不接受联合体投标；</w:t>
            </w:r>
          </w:p>
          <w:p w14:paraId="4B216F81">
            <w:pPr>
              <w:spacing w:line="276" w:lineRule="auto"/>
              <w:rPr>
                <w:rFonts w:ascii="宋体" w:hAnsi="宋体" w:eastAsia="宋体" w:cs="宋体"/>
                <w:sz w:val="24"/>
              </w:rPr>
            </w:pPr>
            <w:r>
              <w:rPr>
                <w:rFonts w:hint="eastAsia" w:ascii="宋体" w:hAnsi="宋体" w:eastAsia="宋体" w:cs="宋体"/>
                <w:color w:val="auto"/>
                <w:sz w:val="24"/>
                <w:szCs w:val="24"/>
                <w:lang w:val="en-US" w:eastAsia="zh-CN"/>
              </w:rPr>
              <w:t>7</w:t>
            </w:r>
            <w:r>
              <w:rPr>
                <w:rFonts w:ascii="宋体" w:hAnsi="宋体" w:eastAsia="宋体" w:cs="宋体"/>
                <w:color w:val="auto"/>
                <w:sz w:val="24"/>
                <w:szCs w:val="24"/>
              </w:rPr>
              <w:t>、供应商可对上述项目进行投标，但不得就本项目内容拆分投标，所投包内容必须完全响应询比采购文件所列示内容。</w:t>
            </w:r>
          </w:p>
        </w:tc>
      </w:tr>
      <w:tr w14:paraId="12BC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3" w:type="dxa"/>
            <w:noWrap w:val="0"/>
            <w:vAlign w:val="center"/>
          </w:tcPr>
          <w:p w14:paraId="7BE69535">
            <w:pPr>
              <w:spacing w:line="276" w:lineRule="auto"/>
              <w:jc w:val="center"/>
              <w:rPr>
                <w:rFonts w:hint="eastAsia" w:ascii="宋体" w:hAnsi="宋体" w:eastAsia="宋体" w:cs="宋体"/>
                <w:sz w:val="24"/>
              </w:rPr>
            </w:pPr>
            <w:r>
              <w:rPr>
                <w:rFonts w:hint="eastAsia" w:ascii="宋体" w:hAnsi="宋体" w:eastAsia="宋体" w:cs="宋体"/>
                <w:sz w:val="24"/>
              </w:rPr>
              <w:t>公告发布时间</w:t>
            </w:r>
          </w:p>
        </w:tc>
        <w:tc>
          <w:tcPr>
            <w:tcW w:w="7024" w:type="dxa"/>
            <w:noWrap w:val="0"/>
            <w:vAlign w:val="center"/>
          </w:tcPr>
          <w:p w14:paraId="70BDEDF2">
            <w:pPr>
              <w:spacing w:line="276" w:lineRule="auto"/>
              <w:rPr>
                <w:rFonts w:hint="eastAsia" w:ascii="宋体" w:hAnsi="宋体" w:eastAsia="宋体" w:cs="宋体"/>
                <w:sz w:val="24"/>
              </w:rPr>
            </w:pPr>
            <w:r>
              <w:rPr>
                <w:rFonts w:hint="eastAsia" w:ascii="宋体" w:hAnsi="宋体" w:eastAsia="宋体" w:cs="宋体"/>
                <w:b/>
                <w:bCs/>
                <w:color w:val="auto"/>
                <w:sz w:val="24"/>
                <w:szCs w:val="24"/>
              </w:rPr>
              <w:t>202</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06</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12</w:t>
            </w:r>
            <w:r>
              <w:rPr>
                <w:rFonts w:hint="eastAsia" w:ascii="宋体" w:hAnsi="宋体" w:eastAsia="宋体" w:cs="宋体"/>
                <w:b/>
                <w:bCs/>
                <w:color w:val="auto"/>
                <w:sz w:val="24"/>
                <w:szCs w:val="24"/>
              </w:rPr>
              <w:t>日</w:t>
            </w:r>
          </w:p>
        </w:tc>
      </w:tr>
      <w:tr w14:paraId="3622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73" w:type="dxa"/>
            <w:noWrap w:val="0"/>
            <w:vAlign w:val="center"/>
          </w:tcPr>
          <w:p w14:paraId="380CB378">
            <w:pPr>
              <w:spacing w:line="276" w:lineRule="auto"/>
              <w:jc w:val="center"/>
              <w:rPr>
                <w:rFonts w:hint="eastAsia" w:ascii="宋体" w:hAnsi="宋体" w:eastAsia="宋体" w:cs="宋体"/>
                <w:sz w:val="24"/>
              </w:rPr>
            </w:pPr>
            <w:r>
              <w:rPr>
                <w:rFonts w:hint="eastAsia" w:ascii="宋体" w:hAnsi="宋体" w:eastAsia="宋体" w:cs="宋体"/>
                <w:sz w:val="24"/>
                <w:lang w:val="zh-CN"/>
              </w:rPr>
              <w:t>获取询比采购文件的时间期限</w:t>
            </w:r>
          </w:p>
        </w:tc>
        <w:tc>
          <w:tcPr>
            <w:tcW w:w="7024" w:type="dxa"/>
            <w:noWrap w:val="0"/>
            <w:vAlign w:val="center"/>
          </w:tcPr>
          <w:p w14:paraId="2BFFDBA2">
            <w:pPr>
              <w:spacing w:line="276"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202</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06月15</w:t>
            </w:r>
            <w:r>
              <w:rPr>
                <w:rFonts w:hint="eastAsia" w:ascii="宋体" w:hAnsi="宋体" w:eastAsia="宋体" w:cs="宋体"/>
                <w:b/>
                <w:bCs/>
                <w:color w:val="auto"/>
                <w:sz w:val="24"/>
                <w:szCs w:val="24"/>
              </w:rPr>
              <w:t>日至202</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06</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17</w:t>
            </w:r>
            <w:r>
              <w:rPr>
                <w:rFonts w:hint="eastAsia" w:ascii="宋体" w:hAnsi="宋体" w:eastAsia="宋体" w:cs="宋体"/>
                <w:b/>
                <w:bCs/>
                <w:color w:val="auto"/>
                <w:sz w:val="24"/>
                <w:szCs w:val="24"/>
              </w:rPr>
              <w:t>日，每日上午8：30时至12:00时(北京时间，下同)，下午14:30时至18:00时</w:t>
            </w:r>
          </w:p>
          <w:p w14:paraId="62E05778">
            <w:pPr>
              <w:spacing w:line="276" w:lineRule="auto"/>
              <w:rPr>
                <w:rFonts w:hint="eastAsia" w:ascii="宋体" w:hAnsi="宋体" w:eastAsia="宋体" w:cs="宋体"/>
                <w:b/>
                <w:bCs/>
                <w:sz w:val="24"/>
              </w:rPr>
            </w:pPr>
            <w:r>
              <w:rPr>
                <w:rFonts w:hint="eastAsia" w:ascii="宋体" w:hAnsi="宋体" w:eastAsia="宋体" w:cs="宋体"/>
                <w:sz w:val="24"/>
              </w:rPr>
              <w:t>潜在供应商应通过《青海新点招标采购电子交易平台》使用CA数字证书点击“我要申请”自行下载。</w:t>
            </w:r>
          </w:p>
        </w:tc>
      </w:tr>
      <w:tr w14:paraId="2DF6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673" w:type="dxa"/>
            <w:noWrap w:val="0"/>
            <w:vAlign w:val="center"/>
          </w:tcPr>
          <w:p w14:paraId="6B1A13E6">
            <w:pPr>
              <w:spacing w:line="276" w:lineRule="auto"/>
              <w:jc w:val="center"/>
              <w:rPr>
                <w:rFonts w:hint="eastAsia" w:ascii="宋体" w:hAnsi="宋体" w:eastAsia="宋体" w:cs="宋体"/>
                <w:sz w:val="24"/>
              </w:rPr>
            </w:pPr>
            <w:r>
              <w:rPr>
                <w:rFonts w:hint="eastAsia" w:ascii="宋体" w:hAnsi="宋体" w:eastAsia="宋体" w:cs="宋体"/>
                <w:sz w:val="24"/>
              </w:rPr>
              <w:t>询比采购文件获取方式</w:t>
            </w:r>
          </w:p>
        </w:tc>
        <w:tc>
          <w:tcPr>
            <w:tcW w:w="7024" w:type="dxa"/>
            <w:noWrap w:val="0"/>
            <w:vAlign w:val="center"/>
          </w:tcPr>
          <w:p w14:paraId="276632C4">
            <w:pPr>
              <w:spacing w:line="276" w:lineRule="auto"/>
              <w:rPr>
                <w:rFonts w:hint="eastAsia" w:ascii="宋体" w:hAnsi="宋体" w:eastAsia="宋体" w:cs="宋体"/>
                <w:sz w:val="24"/>
                <w:lang w:val="zh-CN"/>
              </w:rPr>
            </w:pPr>
            <w:r>
              <w:rPr>
                <w:rFonts w:hint="eastAsia" w:ascii="宋体" w:hAnsi="宋体" w:eastAsia="宋体" w:cs="宋体"/>
                <w:sz w:val="24"/>
              </w:rPr>
              <w:t>凡有意参与的供应商，应当在青海新点限额以下交易平台（http://qinghai.etrading.cn/）（以下简称“省平台”）获取采购文件。具体操作详见《青海新点招标采购电子交易平台》</w:t>
            </w:r>
          </w:p>
          <w:p w14:paraId="7C2E64DD">
            <w:pPr>
              <w:spacing w:line="276" w:lineRule="auto"/>
              <w:rPr>
                <w:rFonts w:hint="eastAsia" w:ascii="宋体" w:hAnsi="宋体" w:eastAsia="宋体" w:cs="宋体"/>
                <w:sz w:val="24"/>
              </w:rPr>
            </w:pPr>
            <w:r>
              <w:rPr>
                <w:rFonts w:hint="eastAsia" w:ascii="宋体" w:hAnsi="宋体" w:eastAsia="宋体" w:cs="宋体"/>
                <w:sz w:val="24"/>
              </w:rPr>
              <w:t>（https://qinghai.etrading.cn/bszn/service_guide.html）办事指南栏的《投标人操作手册》。</w:t>
            </w:r>
          </w:p>
        </w:tc>
      </w:tr>
      <w:tr w14:paraId="5FEE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673" w:type="dxa"/>
            <w:noWrap w:val="0"/>
            <w:vAlign w:val="center"/>
          </w:tcPr>
          <w:p w14:paraId="3623EF00">
            <w:pPr>
              <w:spacing w:line="276" w:lineRule="auto"/>
              <w:jc w:val="center"/>
              <w:rPr>
                <w:rFonts w:hint="eastAsia" w:ascii="宋体" w:hAnsi="宋体" w:eastAsia="宋体" w:cs="宋体"/>
                <w:sz w:val="24"/>
              </w:rPr>
            </w:pPr>
            <w:r>
              <w:rPr>
                <w:rFonts w:hint="eastAsia" w:ascii="宋体" w:hAnsi="宋体" w:eastAsia="宋体" w:cs="宋体"/>
                <w:sz w:val="24"/>
              </w:rPr>
              <w:t>询比采购文件售价</w:t>
            </w:r>
          </w:p>
        </w:tc>
        <w:tc>
          <w:tcPr>
            <w:tcW w:w="7024" w:type="dxa"/>
            <w:noWrap w:val="0"/>
            <w:vAlign w:val="center"/>
          </w:tcPr>
          <w:p w14:paraId="748C00E9">
            <w:pPr>
              <w:spacing w:line="276" w:lineRule="auto"/>
              <w:rPr>
                <w:rFonts w:hint="eastAsia" w:ascii="宋体" w:hAnsi="宋体" w:eastAsia="宋体" w:cs="宋体"/>
                <w:sz w:val="24"/>
              </w:rPr>
            </w:pPr>
            <w:r>
              <w:rPr>
                <w:rFonts w:hint="eastAsia" w:ascii="宋体" w:hAnsi="宋体" w:eastAsia="宋体" w:cs="宋体"/>
                <w:sz w:val="24"/>
              </w:rPr>
              <w:t>500.00元</w:t>
            </w:r>
          </w:p>
          <w:p w14:paraId="13128BF4">
            <w:pPr>
              <w:spacing w:line="276" w:lineRule="auto"/>
              <w:rPr>
                <w:rFonts w:hint="eastAsia" w:ascii="宋体" w:hAnsi="宋体" w:eastAsia="宋体" w:cs="宋体"/>
                <w:sz w:val="24"/>
              </w:rPr>
            </w:pPr>
            <w:r>
              <w:rPr>
                <w:rFonts w:hint="eastAsia" w:ascii="宋体" w:hAnsi="宋体" w:eastAsia="宋体" w:cs="宋体"/>
                <w:sz w:val="24"/>
                <w:lang w:val="zh-CN"/>
              </w:rPr>
              <w:t>代理机构开户银行：</w:t>
            </w:r>
            <w:r>
              <w:rPr>
                <w:rFonts w:hint="eastAsia" w:ascii="宋体" w:hAnsi="宋体" w:eastAsia="宋体" w:cs="宋体"/>
                <w:sz w:val="24"/>
              </w:rPr>
              <w:t>招商银行股份有限公司西宁分行</w:t>
            </w:r>
          </w:p>
          <w:p w14:paraId="245871D8">
            <w:pPr>
              <w:spacing w:line="276" w:lineRule="auto"/>
              <w:rPr>
                <w:rFonts w:hint="eastAsia" w:ascii="宋体" w:hAnsi="宋体" w:eastAsia="宋体" w:cs="宋体"/>
                <w:sz w:val="24"/>
              </w:rPr>
            </w:pPr>
            <w:r>
              <w:rPr>
                <w:rFonts w:hint="eastAsia" w:ascii="宋体" w:hAnsi="宋体" w:eastAsia="宋体" w:cs="宋体"/>
                <w:sz w:val="24"/>
                <w:lang w:val="zh-CN"/>
              </w:rPr>
              <w:t>收款人：</w:t>
            </w:r>
            <w:r>
              <w:rPr>
                <w:rFonts w:hint="eastAsia" w:ascii="宋体" w:hAnsi="宋体" w:eastAsia="宋体" w:cs="宋体"/>
                <w:sz w:val="24"/>
              </w:rPr>
              <w:t>青海鼎誉工程咨询有限公司</w:t>
            </w:r>
          </w:p>
          <w:p w14:paraId="489EF2B0">
            <w:pPr>
              <w:spacing w:line="276" w:lineRule="auto"/>
              <w:rPr>
                <w:rFonts w:hint="eastAsia" w:ascii="宋体" w:hAnsi="宋体" w:eastAsia="宋体" w:cs="宋体"/>
                <w:sz w:val="24"/>
              </w:rPr>
            </w:pPr>
            <w:r>
              <w:rPr>
                <w:rFonts w:hint="eastAsia" w:ascii="宋体" w:hAnsi="宋体" w:eastAsia="宋体" w:cs="宋体"/>
                <w:sz w:val="24"/>
                <w:lang w:val="zh-CN"/>
              </w:rPr>
              <w:t>银行账号:</w:t>
            </w:r>
            <w:r>
              <w:rPr>
                <w:rFonts w:hint="eastAsia" w:ascii="宋体" w:hAnsi="宋体" w:eastAsia="宋体" w:cs="宋体"/>
                <w:sz w:val="24"/>
              </w:rPr>
              <w:t>972901972510000</w:t>
            </w:r>
          </w:p>
          <w:p w14:paraId="2D669471">
            <w:pPr>
              <w:spacing w:line="276" w:lineRule="auto"/>
              <w:rPr>
                <w:rFonts w:hint="eastAsia" w:ascii="宋体" w:hAnsi="宋体" w:eastAsia="宋体" w:cs="宋体"/>
                <w:sz w:val="24"/>
              </w:rPr>
            </w:pPr>
            <w:r>
              <w:rPr>
                <w:rFonts w:hint="eastAsia" w:ascii="宋体" w:hAnsi="宋体" w:eastAsia="宋体" w:cs="宋体"/>
                <w:sz w:val="24"/>
              </w:rPr>
              <w:t>行号：308851000019</w:t>
            </w:r>
          </w:p>
          <w:p w14:paraId="5552AA53">
            <w:pPr>
              <w:spacing w:line="276" w:lineRule="auto"/>
              <w:rPr>
                <w:rFonts w:hint="eastAsia" w:ascii="宋体" w:hAnsi="宋体" w:eastAsia="宋体" w:cs="宋体"/>
                <w:sz w:val="24"/>
              </w:rPr>
            </w:pPr>
            <w:r>
              <w:rPr>
                <w:rFonts w:hint="eastAsia" w:ascii="宋体" w:hAnsi="宋体" w:eastAsia="宋体" w:cs="宋体"/>
                <w:sz w:val="24"/>
                <w:lang w:val="zh-CN"/>
              </w:rPr>
              <w:t>(资料费公对公转账）</w:t>
            </w:r>
          </w:p>
          <w:p w14:paraId="5CC146EB">
            <w:pPr>
              <w:spacing w:line="276" w:lineRule="auto"/>
              <w:rPr>
                <w:rFonts w:hint="eastAsia" w:ascii="宋体" w:hAnsi="宋体" w:eastAsia="宋体" w:cs="宋体"/>
                <w:sz w:val="24"/>
              </w:rPr>
            </w:pPr>
            <w:r>
              <w:rPr>
                <w:rFonts w:hint="eastAsia" w:ascii="宋体" w:hAnsi="宋体" w:eastAsia="宋体" w:cs="宋体"/>
                <w:sz w:val="24"/>
              </w:rPr>
              <w:t>询比采购文件售后不退，投标资格不能转让</w:t>
            </w:r>
          </w:p>
        </w:tc>
      </w:tr>
      <w:tr w14:paraId="4C58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3" w:type="dxa"/>
            <w:noWrap w:val="0"/>
            <w:vAlign w:val="center"/>
          </w:tcPr>
          <w:p w14:paraId="389C5F39">
            <w:pPr>
              <w:spacing w:line="276" w:lineRule="auto"/>
              <w:jc w:val="center"/>
              <w:rPr>
                <w:rFonts w:hint="eastAsia" w:ascii="宋体" w:hAnsi="宋体" w:eastAsia="宋体" w:cs="宋体"/>
                <w:sz w:val="24"/>
              </w:rPr>
            </w:pPr>
            <w:r>
              <w:rPr>
                <w:rFonts w:hint="eastAsia" w:ascii="宋体" w:hAnsi="宋体" w:eastAsia="宋体" w:cs="宋体"/>
                <w:sz w:val="24"/>
              </w:rPr>
              <w:t>购买询比采购文件时应提供材料</w:t>
            </w:r>
          </w:p>
        </w:tc>
        <w:tc>
          <w:tcPr>
            <w:tcW w:w="7024" w:type="dxa"/>
            <w:noWrap w:val="0"/>
            <w:vAlign w:val="center"/>
          </w:tcPr>
          <w:p w14:paraId="67AB9261">
            <w:pPr>
              <w:spacing w:line="276" w:lineRule="auto"/>
              <w:rPr>
                <w:rFonts w:hint="eastAsia" w:ascii="宋体" w:hAnsi="宋体" w:eastAsia="宋体" w:cs="宋体"/>
                <w:sz w:val="24"/>
              </w:rPr>
            </w:pPr>
            <w:r>
              <w:rPr>
                <w:rFonts w:hint="eastAsia" w:ascii="宋体" w:hAnsi="宋体" w:eastAsia="宋体" w:cs="宋体"/>
                <w:sz w:val="24"/>
              </w:rPr>
              <w:t>获取询比采购</w:t>
            </w:r>
            <w:r>
              <w:rPr>
                <w:rFonts w:hint="eastAsia" w:ascii="宋体" w:hAnsi="宋体" w:eastAsia="宋体" w:cs="宋体"/>
                <w:sz w:val="24"/>
                <w:lang w:val="zh-CN"/>
              </w:rPr>
              <w:t>文件的供应商请将企业介绍信</w:t>
            </w:r>
            <w:r>
              <w:rPr>
                <w:rFonts w:hint="eastAsia" w:ascii="宋体" w:hAnsi="宋体" w:eastAsia="宋体" w:cs="宋体"/>
                <w:sz w:val="24"/>
              </w:rPr>
              <w:t>（</w:t>
            </w:r>
            <w:r>
              <w:rPr>
                <w:rFonts w:hint="eastAsia" w:ascii="宋体" w:hAnsi="宋体" w:eastAsia="宋体" w:cs="宋体"/>
                <w:sz w:val="24"/>
                <w:lang w:val="zh-CN"/>
              </w:rPr>
              <w:t>或授权委托书</w:t>
            </w:r>
            <w:r>
              <w:rPr>
                <w:rFonts w:hint="eastAsia" w:ascii="宋体" w:hAnsi="宋体" w:eastAsia="宋体" w:cs="宋体"/>
                <w:sz w:val="24"/>
              </w:rPr>
              <w:t>）及询比采购文件费转账凭证</w:t>
            </w:r>
            <w:r>
              <w:rPr>
                <w:rFonts w:hint="eastAsia" w:ascii="宋体" w:hAnsi="宋体" w:eastAsia="宋体" w:cs="宋体"/>
                <w:sz w:val="24"/>
                <w:lang w:val="zh-CN"/>
              </w:rPr>
              <w:t>原件扫描后</w:t>
            </w:r>
            <w:r>
              <w:rPr>
                <w:rFonts w:hint="eastAsia" w:ascii="宋体" w:hAnsi="宋体" w:eastAsia="宋体" w:cs="宋体"/>
                <w:sz w:val="24"/>
              </w:rPr>
              <w:t>上传至青海新点限额以下交易平台（http://qinghai.etrading.cn/）（以下简称“省平台”）。具体操作详见《青海新点招标采购电子交易平台》（https://qinghai.etrading.cn/bszn/service_guide.html）办事指南栏的《投标人操作手册》</w:t>
            </w:r>
            <w:r>
              <w:rPr>
                <w:rFonts w:hint="eastAsia" w:ascii="宋体" w:hAnsi="宋体" w:eastAsia="宋体" w:cs="宋体"/>
                <w:sz w:val="24"/>
                <w:lang w:val="zh-CN"/>
              </w:rPr>
              <w:t>。</w:t>
            </w:r>
          </w:p>
        </w:tc>
      </w:tr>
      <w:tr w14:paraId="37F2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73" w:type="dxa"/>
            <w:noWrap w:val="0"/>
            <w:vAlign w:val="center"/>
          </w:tcPr>
          <w:p w14:paraId="221A2772">
            <w:pPr>
              <w:spacing w:line="276" w:lineRule="auto"/>
              <w:jc w:val="center"/>
              <w:rPr>
                <w:rFonts w:hint="eastAsia" w:ascii="宋体" w:hAnsi="宋体" w:eastAsia="宋体" w:cs="宋体"/>
                <w:sz w:val="24"/>
                <w:lang w:val="zh-CN"/>
              </w:rPr>
            </w:pPr>
            <w:r>
              <w:rPr>
                <w:rFonts w:hint="eastAsia" w:ascii="宋体" w:hAnsi="宋体" w:eastAsia="宋体" w:cs="宋体"/>
                <w:sz w:val="24"/>
              </w:rPr>
              <w:t>响应文件</w:t>
            </w:r>
            <w:r>
              <w:rPr>
                <w:rFonts w:hint="eastAsia" w:ascii="宋体" w:hAnsi="宋体" w:eastAsia="宋体" w:cs="宋体"/>
                <w:sz w:val="24"/>
                <w:lang w:val="zh-CN"/>
              </w:rPr>
              <w:t>递交及开启时间</w:t>
            </w:r>
          </w:p>
        </w:tc>
        <w:tc>
          <w:tcPr>
            <w:tcW w:w="7024" w:type="dxa"/>
            <w:noWrap w:val="0"/>
            <w:vAlign w:val="center"/>
          </w:tcPr>
          <w:p w14:paraId="5F0A72A3">
            <w:pPr>
              <w:spacing w:line="276" w:lineRule="auto"/>
              <w:rPr>
                <w:rFonts w:hint="eastAsia" w:ascii="宋体" w:hAnsi="宋体" w:eastAsia="宋体" w:cs="宋体"/>
                <w:sz w:val="24"/>
              </w:rPr>
            </w:pPr>
            <w:r>
              <w:rPr>
                <w:rFonts w:hint="eastAsia" w:ascii="宋体" w:hAnsi="宋体" w:eastAsia="宋体" w:cs="宋体"/>
                <w:b/>
                <w:bCs/>
                <w:sz w:val="24"/>
                <w:lang w:val="zh-CN"/>
              </w:rPr>
              <w:t>2026年06月22日09:00时（北京时间）</w:t>
            </w:r>
          </w:p>
        </w:tc>
      </w:tr>
      <w:tr w14:paraId="5E87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673" w:type="dxa"/>
            <w:noWrap w:val="0"/>
            <w:vAlign w:val="center"/>
          </w:tcPr>
          <w:p w14:paraId="26B0BB4B">
            <w:pPr>
              <w:spacing w:line="276" w:lineRule="auto"/>
              <w:jc w:val="center"/>
              <w:rPr>
                <w:rFonts w:hint="eastAsia" w:ascii="宋体" w:hAnsi="宋体" w:eastAsia="宋体" w:cs="宋体"/>
                <w:sz w:val="24"/>
                <w:lang w:val="zh-CN"/>
              </w:rPr>
            </w:pPr>
            <w:r>
              <w:rPr>
                <w:rFonts w:hint="eastAsia" w:ascii="宋体" w:hAnsi="宋体" w:eastAsia="宋体" w:cs="宋体"/>
                <w:sz w:val="24"/>
                <w:lang w:val="zh-CN"/>
              </w:rPr>
              <w:t>响应文件递交地点及</w:t>
            </w:r>
            <w:r>
              <w:rPr>
                <w:rFonts w:hint="eastAsia" w:ascii="宋体" w:hAnsi="宋体" w:eastAsia="宋体" w:cs="宋体"/>
                <w:sz w:val="24"/>
              </w:rPr>
              <w:t>响应文件文件开启</w:t>
            </w:r>
            <w:r>
              <w:rPr>
                <w:rFonts w:hint="eastAsia" w:ascii="宋体" w:hAnsi="宋体" w:eastAsia="宋体" w:cs="宋体"/>
                <w:sz w:val="24"/>
                <w:lang w:val="zh-CN"/>
              </w:rPr>
              <w:t>地点</w:t>
            </w:r>
          </w:p>
        </w:tc>
        <w:tc>
          <w:tcPr>
            <w:tcW w:w="7024" w:type="dxa"/>
            <w:noWrap w:val="0"/>
            <w:vAlign w:val="center"/>
          </w:tcPr>
          <w:p w14:paraId="6A0897A4">
            <w:pPr>
              <w:spacing w:line="360" w:lineRule="auto"/>
              <w:rPr>
                <w:rFonts w:hint="eastAsia" w:ascii="宋体" w:hAnsi="宋体" w:eastAsia="宋体" w:cs="宋体"/>
                <w:sz w:val="24"/>
              </w:rPr>
            </w:pPr>
            <w:r>
              <w:rPr>
                <w:rFonts w:hint="eastAsia" w:ascii="宋体" w:hAnsi="宋体" w:eastAsia="宋体" w:cs="宋体"/>
                <w:sz w:val="24"/>
              </w:rPr>
              <w:t>由采购人（代理机构）组织远程解密、远程在线开标。潜在供应商应当在响应文件递交截止时间前，通过互联网使用CA数字证书登录“青海新点招标采购电子交易平台”远程解密、远程在线的“不见面开标方式”依法组织开标活动。供应商无需到开标现场。</w:t>
            </w:r>
          </w:p>
        </w:tc>
      </w:tr>
      <w:tr w14:paraId="4091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673" w:type="dxa"/>
            <w:noWrap w:val="0"/>
            <w:vAlign w:val="center"/>
          </w:tcPr>
          <w:p w14:paraId="172049B5">
            <w:pPr>
              <w:spacing w:line="276" w:lineRule="auto"/>
              <w:jc w:val="center"/>
              <w:rPr>
                <w:rFonts w:hint="eastAsia" w:ascii="宋体" w:hAnsi="宋体" w:eastAsia="宋体" w:cs="宋体"/>
                <w:sz w:val="24"/>
              </w:rPr>
            </w:pPr>
            <w:r>
              <w:rPr>
                <w:rFonts w:hint="eastAsia" w:ascii="宋体" w:hAnsi="宋体" w:eastAsia="宋体" w:cs="宋体"/>
                <w:sz w:val="24"/>
              </w:rPr>
              <w:t>采购单位及联系人电话</w:t>
            </w:r>
          </w:p>
        </w:tc>
        <w:tc>
          <w:tcPr>
            <w:tcW w:w="7024" w:type="dxa"/>
            <w:noWrap w:val="0"/>
            <w:vAlign w:val="center"/>
          </w:tcPr>
          <w:p w14:paraId="09184EF8">
            <w:pPr>
              <w:spacing w:line="276" w:lineRule="auto"/>
              <w:rPr>
                <w:rFonts w:hint="eastAsia" w:ascii="宋体" w:hAnsi="宋体" w:eastAsia="宋体" w:cs="宋体"/>
                <w:sz w:val="24"/>
              </w:rPr>
            </w:pPr>
            <w:r>
              <w:rPr>
                <w:rFonts w:hint="eastAsia" w:ascii="宋体" w:hAnsi="宋体" w:eastAsia="宋体" w:cs="宋体"/>
                <w:sz w:val="24"/>
              </w:rPr>
              <w:t>青海民族大学</w:t>
            </w:r>
          </w:p>
          <w:p w14:paraId="2215AAC8">
            <w:pPr>
              <w:spacing w:line="276"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lang w:val="en-US" w:eastAsia="zh-CN"/>
              </w:rPr>
              <w:t>李</w:t>
            </w:r>
            <w:r>
              <w:rPr>
                <w:rFonts w:hint="eastAsia" w:ascii="宋体" w:hAnsi="宋体" w:eastAsia="宋体" w:cs="宋体"/>
                <w:sz w:val="24"/>
              </w:rPr>
              <w:t>老师           电话：0971-6126471</w:t>
            </w:r>
          </w:p>
          <w:p w14:paraId="51BD9573">
            <w:pPr>
              <w:spacing w:line="276"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lang w:eastAsia="zh-CN"/>
              </w:rPr>
              <w:t>西宁市八一中路3号</w:t>
            </w:r>
            <w:r>
              <w:rPr>
                <w:rFonts w:hint="eastAsia" w:ascii="宋体" w:hAnsi="宋体" w:eastAsia="宋体" w:cs="宋体"/>
                <w:sz w:val="24"/>
                <w:lang w:val="en-US" w:eastAsia="zh-CN"/>
              </w:rPr>
              <w:t xml:space="preserve"> </w:t>
            </w:r>
          </w:p>
        </w:tc>
      </w:tr>
      <w:tr w14:paraId="7F61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673" w:type="dxa"/>
            <w:noWrap w:val="0"/>
            <w:vAlign w:val="center"/>
          </w:tcPr>
          <w:p w14:paraId="16C503F0">
            <w:pPr>
              <w:spacing w:line="276" w:lineRule="auto"/>
              <w:jc w:val="center"/>
              <w:rPr>
                <w:rFonts w:hint="eastAsia" w:ascii="宋体" w:hAnsi="宋体" w:eastAsia="宋体" w:cs="宋体"/>
                <w:sz w:val="24"/>
              </w:rPr>
            </w:pPr>
            <w:r>
              <w:rPr>
                <w:rFonts w:hint="eastAsia" w:ascii="宋体" w:hAnsi="宋体" w:eastAsia="宋体" w:cs="宋体"/>
                <w:sz w:val="24"/>
              </w:rPr>
              <w:t>采购代理机构及联系人电话</w:t>
            </w:r>
          </w:p>
        </w:tc>
        <w:tc>
          <w:tcPr>
            <w:tcW w:w="7024" w:type="dxa"/>
            <w:noWrap w:val="0"/>
            <w:vAlign w:val="center"/>
          </w:tcPr>
          <w:p w14:paraId="699C461E">
            <w:pPr>
              <w:spacing w:line="276" w:lineRule="auto"/>
              <w:rPr>
                <w:rFonts w:hint="eastAsia" w:ascii="宋体" w:hAnsi="宋体" w:eastAsia="宋体" w:cs="宋体"/>
                <w:sz w:val="24"/>
              </w:rPr>
            </w:pPr>
            <w:r>
              <w:rPr>
                <w:rFonts w:hint="eastAsia" w:ascii="宋体" w:hAnsi="宋体" w:eastAsia="宋体" w:cs="宋体"/>
                <w:sz w:val="24"/>
              </w:rPr>
              <w:t>青海鼎誉工程咨询有限公司</w:t>
            </w:r>
          </w:p>
          <w:p w14:paraId="73291394">
            <w:pPr>
              <w:spacing w:line="276" w:lineRule="auto"/>
              <w:rPr>
                <w:rFonts w:hint="eastAsia" w:ascii="宋体" w:hAnsi="宋体" w:eastAsia="宋体" w:cs="宋体"/>
                <w:sz w:val="24"/>
              </w:rPr>
            </w:pPr>
            <w:r>
              <w:rPr>
                <w:rFonts w:hint="eastAsia" w:ascii="宋体" w:hAnsi="宋体" w:eastAsia="宋体" w:cs="宋体"/>
                <w:sz w:val="24"/>
              </w:rPr>
              <w:t>联系人：邓女士、苏女士        电话：0971-8241868</w:t>
            </w:r>
          </w:p>
          <w:p w14:paraId="425DE38C">
            <w:pPr>
              <w:spacing w:line="360" w:lineRule="auto"/>
              <w:jc w:val="left"/>
              <w:rPr>
                <w:rFonts w:hint="eastAsia" w:ascii="宋体" w:hAnsi="宋体" w:eastAsia="宋体" w:cs="宋体"/>
                <w:sz w:val="24"/>
              </w:rPr>
            </w:pPr>
            <w:r>
              <w:rPr>
                <w:rFonts w:hint="eastAsia" w:ascii="宋体" w:hAnsi="宋体" w:eastAsia="宋体" w:cs="宋体"/>
                <w:sz w:val="24"/>
              </w:rPr>
              <w:t xml:space="preserve">地址:青海省西宁市城北区海西路59号副一号(萨尔斯堡西区三期北门东侧43号楼) </w:t>
            </w:r>
          </w:p>
        </w:tc>
      </w:tr>
      <w:tr w14:paraId="124F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73" w:type="dxa"/>
            <w:noWrap w:val="0"/>
            <w:vAlign w:val="center"/>
          </w:tcPr>
          <w:p w14:paraId="38C0025E">
            <w:pPr>
              <w:spacing w:line="276" w:lineRule="auto"/>
              <w:jc w:val="center"/>
              <w:rPr>
                <w:rFonts w:hint="eastAsia" w:ascii="宋体" w:hAnsi="宋体" w:eastAsia="宋体" w:cs="宋体"/>
                <w:sz w:val="24"/>
              </w:rPr>
            </w:pPr>
            <w:r>
              <w:rPr>
                <w:rFonts w:hint="eastAsia" w:ascii="宋体" w:hAnsi="宋体" w:eastAsia="宋体" w:cs="宋体"/>
                <w:sz w:val="24"/>
              </w:rPr>
              <w:t>其他事项</w:t>
            </w:r>
          </w:p>
        </w:tc>
        <w:tc>
          <w:tcPr>
            <w:tcW w:w="7024" w:type="dxa"/>
            <w:noWrap w:val="0"/>
            <w:vAlign w:val="center"/>
          </w:tcPr>
          <w:p w14:paraId="3B0C6F9C">
            <w:pPr>
              <w:spacing w:line="276" w:lineRule="auto"/>
              <w:jc w:val="left"/>
              <w:rPr>
                <w:rFonts w:hint="eastAsia" w:ascii="宋体" w:hAnsi="宋体" w:eastAsia="宋体" w:cs="宋体"/>
                <w:sz w:val="24"/>
                <w:lang w:val="zh-CN"/>
              </w:rPr>
            </w:pPr>
            <w:r>
              <w:rPr>
                <w:rFonts w:hint="eastAsia" w:ascii="宋体" w:hAnsi="宋体" w:eastAsia="宋体" w:cs="宋体"/>
                <w:sz w:val="24"/>
              </w:rPr>
              <w:t>本公告在《青海新点招标采购电子交易平台》《青海项目信息网》上发布</w:t>
            </w:r>
          </w:p>
        </w:tc>
      </w:tr>
    </w:tbl>
    <w:p w14:paraId="38378C87">
      <w:pPr>
        <w:spacing w:line="276" w:lineRule="auto"/>
        <w:jc w:val="right"/>
        <w:rPr>
          <w:rFonts w:ascii="宋体" w:hAnsi="宋体"/>
          <w:sz w:val="24"/>
        </w:rPr>
      </w:pPr>
    </w:p>
    <w:p w14:paraId="3EFC0354">
      <w:pPr>
        <w:spacing w:line="276" w:lineRule="auto"/>
        <w:jc w:val="right"/>
        <w:rPr>
          <w:rFonts w:hint="eastAsia" w:ascii="宋体" w:hAnsi="宋体" w:cs="宋体"/>
          <w:sz w:val="24"/>
        </w:rPr>
      </w:pPr>
      <w:r>
        <w:rPr>
          <w:rFonts w:hint="eastAsia" w:ascii="宋体" w:hAnsi="宋体" w:cs="宋体"/>
          <w:sz w:val="24"/>
        </w:rPr>
        <w:t>青海鼎誉工程咨询有限公司</w:t>
      </w:r>
    </w:p>
    <w:p w14:paraId="475F8FAA">
      <w:pPr>
        <w:spacing w:line="276" w:lineRule="auto"/>
        <w:jc w:val="right"/>
        <w:rPr>
          <w:rFonts w:hint="eastAsia" w:ascii="宋体" w:hAnsi="宋体" w:cs="宋体"/>
          <w:szCs w:val="21"/>
          <w:lang w:val="zh-CN"/>
        </w:rPr>
      </w:pPr>
      <w:r>
        <w:rPr>
          <w:rFonts w:hint="eastAsia" w:ascii="宋体" w:hAnsi="宋体" w:cs="宋体"/>
          <w:sz w:val="24"/>
        </w:rPr>
        <w:t xml:space="preserve">                                         2026年0</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12</w:t>
      </w:r>
      <w:r>
        <w:rPr>
          <w:rFonts w:hint="eastAsia" w:ascii="宋体" w:hAnsi="宋体" w:cs="宋体"/>
          <w:sz w:val="24"/>
        </w:rPr>
        <w:t>日</w:t>
      </w:r>
    </w:p>
    <w:p w14:paraId="40E34ADC">
      <w:pPr>
        <w:pStyle w:val="30"/>
        <w:spacing w:before="0" w:after="0" w:line="360" w:lineRule="auto"/>
        <w:rPr>
          <w:rFonts w:hint="eastAsia" w:ascii="宋体" w:hAnsi="宋体" w:cs="宋体"/>
          <w:lang w:val="zh-CN"/>
        </w:rPr>
      </w:pPr>
      <w:bookmarkStart w:id="7" w:name="_Toc311"/>
      <w:r>
        <w:rPr>
          <w:rFonts w:hint="eastAsia" w:ascii="宋体" w:hAnsi="宋体" w:cs="宋体"/>
          <w:lang w:val="zh-CN"/>
        </w:rPr>
        <w:br w:type="page"/>
      </w:r>
      <w:bookmarkStart w:id="8" w:name="_Toc28848"/>
      <w:bookmarkStart w:id="9" w:name="_Toc18712"/>
      <w:bookmarkStart w:id="10" w:name="_Toc28550"/>
      <w:bookmarkStart w:id="11" w:name="_Toc26525"/>
      <w:r>
        <w:rPr>
          <w:rFonts w:hint="eastAsia" w:ascii="宋体" w:hAnsi="宋体" w:cs="宋体"/>
          <w:lang w:val="zh-CN"/>
        </w:rPr>
        <w:t>第二部分</w:t>
      </w:r>
      <w:r>
        <w:rPr>
          <w:rFonts w:hint="eastAsia" w:ascii="宋体" w:hAnsi="宋体" w:cs="宋体"/>
        </w:rPr>
        <w:t xml:space="preserve">  </w:t>
      </w:r>
      <w:r>
        <w:rPr>
          <w:rFonts w:hint="eastAsia" w:ascii="宋体" w:hAnsi="宋体" w:cs="宋体"/>
          <w:lang w:val="zh-CN"/>
        </w:rPr>
        <w:t>供应商须知前附表</w:t>
      </w:r>
      <w:bookmarkEnd w:id="6"/>
      <w:bookmarkEnd w:id="7"/>
      <w:bookmarkEnd w:id="8"/>
      <w:bookmarkEnd w:id="9"/>
      <w:bookmarkEnd w:id="10"/>
      <w:bookmarkEnd w:id="11"/>
    </w:p>
    <w:tbl>
      <w:tblPr>
        <w:tblStyle w:val="32"/>
        <w:tblW w:w="9573" w:type="dxa"/>
        <w:jc w:val="center"/>
        <w:tblLayout w:type="fixed"/>
        <w:tblCellMar>
          <w:top w:w="0" w:type="dxa"/>
          <w:left w:w="57" w:type="dxa"/>
          <w:bottom w:w="0" w:type="dxa"/>
          <w:right w:w="57" w:type="dxa"/>
        </w:tblCellMar>
      </w:tblPr>
      <w:tblGrid>
        <w:gridCol w:w="653"/>
        <w:gridCol w:w="2530"/>
        <w:gridCol w:w="6390"/>
      </w:tblGrid>
      <w:tr w14:paraId="1658BAD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640A277">
            <w:pPr>
              <w:autoSpaceDE w:val="0"/>
              <w:autoSpaceDN w:val="0"/>
              <w:spacing w:line="360" w:lineRule="auto"/>
              <w:jc w:val="center"/>
              <w:rPr>
                <w:rFonts w:hint="eastAsia" w:ascii="宋体" w:hAnsi="宋体" w:cs="宋体"/>
                <w:color w:val="auto"/>
                <w:sz w:val="24"/>
                <w:lang w:val="zh-CN"/>
              </w:rPr>
            </w:pPr>
            <w:r>
              <w:rPr>
                <w:rFonts w:hint="eastAsia" w:ascii="宋体" w:hAnsi="宋体" w:cs="宋体"/>
                <w:b/>
                <w:bCs/>
                <w:color w:val="auto"/>
                <w:sz w:val="24"/>
                <w:lang w:val="zh-CN"/>
              </w:rPr>
              <w:t>序号</w:t>
            </w:r>
          </w:p>
        </w:tc>
        <w:tc>
          <w:tcPr>
            <w:tcW w:w="8920" w:type="dxa"/>
            <w:gridSpan w:val="2"/>
            <w:tcBorders>
              <w:top w:val="single" w:color="000000" w:sz="6" w:space="0"/>
              <w:left w:val="single" w:color="000000" w:sz="6" w:space="0"/>
              <w:bottom w:val="single" w:color="000000" w:sz="6" w:space="0"/>
              <w:right w:val="single" w:color="000000" w:sz="6" w:space="0"/>
            </w:tcBorders>
            <w:noWrap w:val="0"/>
            <w:vAlign w:val="center"/>
          </w:tcPr>
          <w:p w14:paraId="5E48659D">
            <w:pPr>
              <w:autoSpaceDE w:val="0"/>
              <w:autoSpaceDN w:val="0"/>
              <w:spacing w:line="360" w:lineRule="auto"/>
              <w:jc w:val="center"/>
              <w:rPr>
                <w:rFonts w:hint="eastAsia" w:ascii="宋体" w:hAnsi="宋体" w:cs="宋体"/>
                <w:color w:val="auto"/>
                <w:sz w:val="24"/>
                <w:lang w:val="zh-CN"/>
              </w:rPr>
            </w:pPr>
            <w:r>
              <w:rPr>
                <w:rFonts w:hint="eastAsia" w:ascii="宋体" w:hAnsi="宋体" w:cs="宋体"/>
                <w:b/>
                <w:bCs/>
                <w:color w:val="auto"/>
                <w:sz w:val="24"/>
                <w:lang w:val="zh-CN"/>
              </w:rPr>
              <w:t>内容</w:t>
            </w:r>
          </w:p>
        </w:tc>
      </w:tr>
      <w:tr w14:paraId="10B0F6C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0FA0CD9">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1709150">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采购项目编号</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385AF05B">
            <w:pPr>
              <w:autoSpaceDE w:val="0"/>
              <w:autoSpaceDN w:val="0"/>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DY2026-06-11A</w:t>
            </w:r>
          </w:p>
        </w:tc>
      </w:tr>
      <w:tr w14:paraId="0FBD509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C1EF6A4">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6F3A6B11">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采购项目名称</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2A22804A">
            <w:pPr>
              <w:autoSpaceDE w:val="0"/>
              <w:autoSpaceDN w:val="0"/>
              <w:spacing w:line="360" w:lineRule="auto"/>
              <w:jc w:val="left"/>
              <w:rPr>
                <w:rFonts w:hint="eastAsia" w:ascii="宋体" w:hAnsi="宋体" w:cs="宋体"/>
                <w:color w:val="auto"/>
                <w:sz w:val="24"/>
                <w:lang w:val="zh-CN"/>
              </w:rPr>
            </w:pPr>
            <w:r>
              <w:rPr>
                <w:rFonts w:hint="eastAsia" w:ascii="宋体" w:hAnsi="宋体" w:cs="宋体"/>
                <w:color w:val="auto"/>
                <w:sz w:val="24"/>
                <w:lang w:val="zh-CN"/>
              </w:rPr>
              <w:t>青海民族大学东序校区运动场维修项目设计、造价咨询服务</w:t>
            </w:r>
          </w:p>
        </w:tc>
      </w:tr>
      <w:tr w14:paraId="1C85B8E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874EA12">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9DE049B">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采购人</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7E0B073C">
            <w:pPr>
              <w:autoSpaceDE w:val="0"/>
              <w:autoSpaceDN w:val="0"/>
              <w:spacing w:line="360" w:lineRule="auto"/>
              <w:jc w:val="left"/>
              <w:rPr>
                <w:rFonts w:hint="eastAsia" w:ascii="宋体" w:hAnsi="宋体" w:cs="宋体"/>
                <w:color w:val="auto"/>
                <w:sz w:val="24"/>
                <w:lang w:val="zh-CN"/>
              </w:rPr>
            </w:pPr>
            <w:r>
              <w:rPr>
                <w:rFonts w:hint="eastAsia" w:ascii="宋体" w:hAnsi="宋体" w:cs="宋体"/>
                <w:color w:val="auto"/>
                <w:sz w:val="24"/>
                <w:lang w:val="zh-CN"/>
              </w:rPr>
              <w:t>青海民族大学</w:t>
            </w:r>
          </w:p>
        </w:tc>
      </w:tr>
      <w:tr w14:paraId="52D216E6">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4E8A532">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2F8CE8E">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采购代理机构</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7070D3A4">
            <w:pPr>
              <w:autoSpaceDE w:val="0"/>
              <w:autoSpaceDN w:val="0"/>
              <w:spacing w:line="360" w:lineRule="auto"/>
              <w:jc w:val="left"/>
              <w:rPr>
                <w:rFonts w:hint="eastAsia" w:ascii="宋体" w:hAnsi="宋体" w:cs="宋体"/>
                <w:color w:val="auto"/>
                <w:sz w:val="24"/>
                <w:lang w:val="zh-CN"/>
              </w:rPr>
            </w:pPr>
            <w:r>
              <w:rPr>
                <w:rFonts w:hint="eastAsia" w:ascii="宋体" w:hAnsi="宋体" w:cs="宋体"/>
                <w:color w:val="auto"/>
                <w:sz w:val="24"/>
                <w:lang w:val="zh-CN"/>
              </w:rPr>
              <w:t>青海鼎誉工程咨询有限公司</w:t>
            </w:r>
          </w:p>
        </w:tc>
      </w:tr>
      <w:tr w14:paraId="25F24E6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D37AD06">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9C7B867">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采购方式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7792F27D">
            <w:pPr>
              <w:autoSpaceDE w:val="0"/>
              <w:autoSpaceDN w:val="0"/>
              <w:spacing w:line="360" w:lineRule="auto"/>
              <w:jc w:val="left"/>
              <w:rPr>
                <w:rFonts w:hint="eastAsia" w:ascii="宋体" w:hAnsi="宋体" w:eastAsia="宋体" w:cs="宋体"/>
                <w:color w:val="auto"/>
                <w:sz w:val="24"/>
              </w:rPr>
            </w:pPr>
            <w:r>
              <w:rPr>
                <w:rFonts w:hint="eastAsia" w:ascii="宋体" w:hAnsi="宋体" w:cs="宋体"/>
                <w:color w:val="auto"/>
                <w:sz w:val="24"/>
              </w:rPr>
              <w:t>询比采购（非招标</w:t>
            </w:r>
            <w:r>
              <w:rPr>
                <w:rFonts w:hint="eastAsia" w:ascii="宋体" w:hAnsi="宋体" w:cs="宋体"/>
                <w:color w:val="auto"/>
                <w:sz w:val="24"/>
                <w:lang w:val="en-US" w:eastAsia="zh-CN"/>
              </w:rPr>
              <w:t>方式</w:t>
            </w:r>
            <w:r>
              <w:rPr>
                <w:rFonts w:hint="eastAsia" w:ascii="宋体" w:hAnsi="宋体" w:cs="宋体"/>
                <w:color w:val="auto"/>
                <w:sz w:val="24"/>
              </w:rPr>
              <w:t>）</w:t>
            </w:r>
          </w:p>
        </w:tc>
      </w:tr>
      <w:tr w14:paraId="6C8C8AF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F3FAF1D">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1DBCE93">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rPr>
              <w:t>邀请方式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7BD42EE0">
            <w:pPr>
              <w:autoSpaceDE w:val="0"/>
              <w:autoSpaceDN w:val="0"/>
              <w:spacing w:line="360" w:lineRule="auto"/>
              <w:jc w:val="left"/>
              <w:rPr>
                <w:rFonts w:ascii="宋体" w:hAnsi="宋体" w:cs="宋体"/>
                <w:color w:val="auto"/>
                <w:sz w:val="24"/>
              </w:rPr>
            </w:pPr>
            <w:r>
              <w:rPr>
                <w:rFonts w:hint="eastAsia" w:ascii="宋体" w:hAnsi="宋体" w:cs="宋体"/>
                <w:color w:val="auto"/>
                <w:sz w:val="24"/>
              </w:rPr>
              <w:t>公告邀请</w:t>
            </w:r>
          </w:p>
        </w:tc>
      </w:tr>
      <w:tr w14:paraId="6386294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541032E">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56F5F38">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评分办法</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A1FED63">
            <w:pPr>
              <w:autoSpaceDE w:val="0"/>
              <w:autoSpaceDN w:val="0"/>
              <w:spacing w:line="360" w:lineRule="auto"/>
              <w:jc w:val="left"/>
              <w:rPr>
                <w:rFonts w:hint="eastAsia" w:ascii="宋体" w:hAnsi="宋体" w:eastAsia="宋体" w:cs="宋体"/>
                <w:color w:val="auto"/>
                <w:sz w:val="24"/>
                <w:lang w:val="zh-CN"/>
              </w:rPr>
            </w:pPr>
            <w:r>
              <w:rPr>
                <w:rFonts w:hint="eastAsia" w:ascii="宋体" w:hAnsi="宋体" w:eastAsia="宋体" w:cs="宋体"/>
                <w:color w:val="auto"/>
                <w:sz w:val="24"/>
                <w:lang w:val="zh-CN"/>
              </w:rPr>
              <w:t>综合评分法</w:t>
            </w:r>
          </w:p>
        </w:tc>
      </w:tr>
      <w:tr w14:paraId="7380F09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6A4774EE">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055B723">
            <w:pPr>
              <w:autoSpaceDE w:val="0"/>
              <w:autoSpaceDN w:val="0"/>
              <w:adjustRightInd w:val="0"/>
              <w:spacing w:line="340" w:lineRule="exact"/>
              <w:rPr>
                <w:rFonts w:hint="eastAsia" w:ascii="宋体" w:hAnsi="宋体" w:cs="宋体"/>
                <w:b/>
                <w:bCs/>
                <w:color w:val="auto"/>
                <w:sz w:val="24"/>
                <w:lang w:val="zh-CN"/>
              </w:rPr>
            </w:pPr>
            <w:r>
              <w:rPr>
                <w:rFonts w:hint="eastAsia" w:ascii="宋体" w:hAnsi="宋体" w:cs="宋体"/>
                <w:b/>
                <w:bCs/>
                <w:color w:val="auto"/>
                <w:sz w:val="24"/>
                <w:lang w:val="zh-CN"/>
              </w:rPr>
              <w:t>采购内容</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2546EE09">
            <w:pPr>
              <w:autoSpaceDE w:val="0"/>
              <w:autoSpaceDN w:val="0"/>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青海民族大学东序校区运动场维修项目设计、造价咨询服务</w:t>
            </w:r>
          </w:p>
        </w:tc>
      </w:tr>
      <w:tr w14:paraId="431620E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625024F9">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C660A35">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项目分包个数</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4408519A">
            <w:pPr>
              <w:spacing w:line="360" w:lineRule="auto"/>
              <w:rPr>
                <w:rFonts w:hint="eastAsia" w:ascii="宋体" w:hAnsi="宋体" w:eastAsia="宋体" w:cs="宋体"/>
                <w:color w:val="auto"/>
                <w:sz w:val="24"/>
              </w:rPr>
            </w:pPr>
            <w:r>
              <w:rPr>
                <w:rFonts w:hint="eastAsia" w:ascii="宋体" w:hAnsi="宋体" w:cs="宋体"/>
                <w:color w:val="auto"/>
                <w:sz w:val="24"/>
              </w:rPr>
              <w:t>无分包</w:t>
            </w:r>
          </w:p>
        </w:tc>
      </w:tr>
      <w:tr w14:paraId="7EFD49C1">
        <w:tblPrEx>
          <w:tblCellMar>
            <w:top w:w="0" w:type="dxa"/>
            <w:left w:w="57" w:type="dxa"/>
            <w:bottom w:w="0" w:type="dxa"/>
            <w:right w:w="57" w:type="dxa"/>
          </w:tblCellMar>
        </w:tblPrEx>
        <w:trPr>
          <w:trHeight w:val="548"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2094604">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F3A869B">
            <w:pPr>
              <w:autoSpaceDE w:val="0"/>
              <w:autoSpaceDN w:val="0"/>
              <w:spacing w:line="360" w:lineRule="auto"/>
              <w:jc w:val="left"/>
              <w:rPr>
                <w:rFonts w:ascii="宋体" w:hAnsi="宋体" w:cs="宋体"/>
                <w:b/>
                <w:bCs/>
                <w:color w:val="auto"/>
                <w:sz w:val="24"/>
              </w:rPr>
            </w:pPr>
            <w:r>
              <w:rPr>
                <w:rFonts w:hint="eastAsia" w:ascii="宋体" w:hAnsi="宋体" w:cs="宋体"/>
                <w:b/>
                <w:bCs/>
                <w:color w:val="auto"/>
                <w:sz w:val="24"/>
              </w:rPr>
              <w:t>采购要求及规范</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2E06E01A">
            <w:pPr>
              <w:autoSpaceDE w:val="0"/>
              <w:autoSpaceDN w:val="0"/>
              <w:spacing w:line="360" w:lineRule="auto"/>
              <w:rPr>
                <w:rFonts w:hint="eastAsia" w:ascii="宋体" w:hAnsi="宋体" w:cs="宋体"/>
                <w:color w:val="auto"/>
                <w:sz w:val="24"/>
                <w:lang w:val="zh-CN"/>
              </w:rPr>
            </w:pPr>
            <w:r>
              <w:rPr>
                <w:rFonts w:hint="eastAsia" w:ascii="宋体" w:hAnsi="宋体" w:cs="宋体"/>
                <w:color w:val="auto"/>
                <w:sz w:val="24"/>
                <w:lang w:val="zh-CN"/>
              </w:rPr>
              <w:t>详见询比采购文件第</w:t>
            </w:r>
            <w:r>
              <w:rPr>
                <w:rFonts w:hint="eastAsia" w:ascii="宋体" w:hAnsi="宋体" w:cs="宋体"/>
                <w:color w:val="auto"/>
                <w:sz w:val="24"/>
              </w:rPr>
              <w:t>五</w:t>
            </w:r>
            <w:r>
              <w:rPr>
                <w:rFonts w:hint="eastAsia" w:ascii="宋体" w:hAnsi="宋体" w:cs="宋体"/>
                <w:color w:val="auto"/>
                <w:sz w:val="24"/>
                <w:lang w:val="zh-CN"/>
              </w:rPr>
              <w:t>部分</w:t>
            </w:r>
          </w:p>
        </w:tc>
      </w:tr>
      <w:tr w14:paraId="251472C5">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FA9F7EE">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C4A4927">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供应商资格条件</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234F603">
            <w:pPr>
              <w:spacing w:line="276" w:lineRule="auto"/>
              <w:rPr>
                <w:rFonts w:hint="eastAsia" w:ascii="宋体" w:hAnsi="宋体" w:eastAsia="宋体" w:cs="宋体"/>
                <w:color w:val="auto"/>
                <w:sz w:val="24"/>
                <w:highlight w:val="none"/>
                <w:lang w:val="en-US" w:eastAsia="zh-CN"/>
              </w:rPr>
            </w:pPr>
            <w:r>
              <w:rPr>
                <w:rFonts w:ascii="宋体" w:hAnsi="宋体" w:eastAsia="宋体" w:cs="宋体"/>
                <w:color w:val="auto"/>
                <w:sz w:val="24"/>
                <w:szCs w:val="24"/>
              </w:rPr>
              <w:t>1、本次采购要求供应商具备建筑行业（建筑工程专业）</w:t>
            </w:r>
            <w:r>
              <w:rPr>
                <w:rFonts w:hint="eastAsia" w:ascii="宋体" w:hAnsi="宋体" w:eastAsia="宋体" w:cs="宋体"/>
                <w:color w:val="auto"/>
                <w:sz w:val="24"/>
                <w:szCs w:val="24"/>
                <w:lang w:val="en-US" w:eastAsia="zh-CN"/>
              </w:rPr>
              <w:t>乙级</w:t>
            </w:r>
            <w:r>
              <w:rPr>
                <w:rFonts w:ascii="宋体" w:hAnsi="宋体" w:eastAsia="宋体" w:cs="宋体"/>
                <w:color w:val="auto"/>
                <w:sz w:val="24"/>
                <w:szCs w:val="24"/>
              </w:rPr>
              <w:t>及以上</w:t>
            </w:r>
            <w:r>
              <w:rPr>
                <w:rFonts w:hint="eastAsia" w:ascii="宋体" w:hAnsi="宋体" w:eastAsia="宋体" w:cs="宋体"/>
                <w:color w:val="auto"/>
                <w:sz w:val="24"/>
                <w:szCs w:val="24"/>
              </w:rPr>
              <w:t>工程设计</w:t>
            </w:r>
            <w:r>
              <w:rPr>
                <w:rFonts w:ascii="宋体" w:hAnsi="宋体" w:eastAsia="宋体" w:cs="宋体"/>
                <w:color w:val="auto"/>
                <w:sz w:val="24"/>
                <w:szCs w:val="24"/>
              </w:rPr>
              <w:t>资质，</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highlight w:val="none"/>
                <w:lang w:val="en-US" w:eastAsia="zh-CN"/>
              </w:rPr>
              <w:t>在青海省工程建设监管和信用管理平台完成工程造价咨询企业入库登记，并提供入库截图。</w:t>
            </w:r>
          </w:p>
          <w:p w14:paraId="311E710C">
            <w:pPr>
              <w:spacing w:line="276" w:lineRule="auto"/>
              <w:rPr>
                <w:rFonts w:ascii="宋体" w:hAnsi="宋体" w:eastAsia="宋体" w:cs="宋体"/>
                <w:color w:val="auto"/>
                <w:sz w:val="24"/>
                <w:szCs w:val="24"/>
              </w:rPr>
            </w:pPr>
            <w:r>
              <w:rPr>
                <w:rFonts w:ascii="宋体" w:hAnsi="宋体" w:eastAsia="宋体" w:cs="宋体"/>
                <w:color w:val="auto"/>
                <w:sz w:val="24"/>
                <w:szCs w:val="24"/>
              </w:rPr>
              <w:t>2、设计负责人具备建筑相关专业注册工程师资格或具备注册建筑师资格；</w:t>
            </w:r>
          </w:p>
          <w:p w14:paraId="52B59699">
            <w:pPr>
              <w:spacing w:line="276"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highlight w:val="none"/>
                <w:lang w:val="en-US" w:eastAsia="zh-CN"/>
              </w:rPr>
              <w:t>造价咨询负责人须具备二级及以上注册造价师执业资格证书</w:t>
            </w:r>
            <w:r>
              <w:rPr>
                <w:rFonts w:hint="eastAsia" w:ascii="宋体" w:hAnsi="宋体" w:eastAsia="宋体" w:cs="宋体"/>
                <w:color w:val="auto"/>
                <w:sz w:val="24"/>
                <w:szCs w:val="24"/>
                <w:highlight w:val="none"/>
                <w:lang w:val="zh-CN"/>
              </w:rPr>
              <w:t>（注册单位须与投标单位一致）；</w:t>
            </w:r>
            <w:r>
              <w:rPr>
                <w:rFonts w:hint="eastAsia" w:ascii="宋体" w:hAnsi="宋体" w:eastAsia="宋体" w:cs="宋体"/>
                <w:color w:val="auto"/>
                <w:sz w:val="24"/>
                <w:szCs w:val="24"/>
                <w:highlight w:val="none"/>
                <w:lang w:val="zh-CN"/>
              </w:rPr>
              <w:t>（</w:t>
            </w:r>
            <w:r>
              <w:rPr>
                <w:rFonts w:ascii="宋体" w:hAnsi="宋体" w:eastAsia="宋体" w:cs="宋体"/>
                <w:color w:val="auto"/>
                <w:sz w:val="24"/>
                <w:szCs w:val="24"/>
              </w:rPr>
              <w:t>设计负责人</w:t>
            </w:r>
            <w:r>
              <w:rPr>
                <w:rFonts w:hint="eastAsia" w:ascii="宋体" w:hAnsi="宋体" w:eastAsia="宋体" w:cs="宋体"/>
                <w:color w:val="auto"/>
                <w:sz w:val="24"/>
                <w:szCs w:val="24"/>
                <w:lang w:val="en-US" w:eastAsia="zh-CN"/>
              </w:rPr>
              <w:t>与</w:t>
            </w:r>
            <w:r>
              <w:rPr>
                <w:rFonts w:hint="eastAsia" w:ascii="宋体" w:hAnsi="宋体" w:eastAsia="宋体" w:cs="宋体"/>
                <w:color w:val="auto"/>
                <w:sz w:val="24"/>
                <w:highlight w:val="none"/>
                <w:lang w:val="en-US" w:eastAsia="zh-CN"/>
              </w:rPr>
              <w:t>造价咨询</w:t>
            </w:r>
            <w:r>
              <w:rPr>
                <w:rFonts w:ascii="宋体" w:hAnsi="宋体" w:eastAsia="宋体" w:cs="宋体"/>
                <w:color w:val="auto"/>
                <w:sz w:val="24"/>
                <w:szCs w:val="24"/>
              </w:rPr>
              <w:t>负责人</w:t>
            </w:r>
            <w:r>
              <w:rPr>
                <w:rFonts w:hint="eastAsia" w:ascii="宋体" w:hAnsi="宋体" w:eastAsia="宋体" w:cs="宋体"/>
                <w:color w:val="auto"/>
                <w:sz w:val="24"/>
                <w:szCs w:val="24"/>
                <w:lang w:val="en-US" w:eastAsia="zh-CN"/>
              </w:rPr>
              <w:t>不能为同一人</w:t>
            </w:r>
            <w:r>
              <w:rPr>
                <w:rFonts w:hint="eastAsia" w:ascii="宋体" w:hAnsi="宋体" w:eastAsia="宋体" w:cs="宋体"/>
                <w:color w:val="auto"/>
                <w:sz w:val="24"/>
                <w:szCs w:val="24"/>
                <w:highlight w:val="none"/>
                <w:lang w:val="zh-CN"/>
              </w:rPr>
              <w:t>）</w:t>
            </w:r>
          </w:p>
          <w:p w14:paraId="5558791D">
            <w:pPr>
              <w:spacing w:line="276" w:lineRule="auto"/>
              <w:rPr>
                <w:rFonts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、省外企业须提供省外企业提供有效的《青海省省外建设工程企业》（设计</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highlight w:val="none"/>
                <w:lang w:val="en-US" w:eastAsia="zh-CN"/>
              </w:rPr>
              <w:t>造价咨询单位</w:t>
            </w:r>
            <w:r>
              <w:rPr>
                <w:rFonts w:ascii="宋体" w:hAnsi="宋体" w:eastAsia="宋体" w:cs="宋体"/>
                <w:color w:val="auto"/>
                <w:sz w:val="24"/>
                <w:szCs w:val="24"/>
              </w:rPr>
              <w:t>）登记册复印件；</w:t>
            </w:r>
          </w:p>
          <w:p w14:paraId="19EA451B">
            <w:pPr>
              <w:spacing w:line="276" w:lineRule="auto"/>
              <w:rPr>
                <w:rFonts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、经信用中国（www.creditchina.gov.cn）查询后，列入失信被执行人、重大税收违法案件当事人名单取消投标资格；</w:t>
            </w:r>
          </w:p>
          <w:p w14:paraId="07BC79CC">
            <w:pPr>
              <w:spacing w:line="276" w:lineRule="auto"/>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、本项目不接受联合体投标；</w:t>
            </w:r>
          </w:p>
          <w:p w14:paraId="4794A737">
            <w:pPr>
              <w:autoSpaceDE w:val="0"/>
              <w:autoSpaceDN w:val="0"/>
              <w:spacing w:line="360" w:lineRule="auto"/>
              <w:jc w:val="left"/>
              <w:rPr>
                <w:rFonts w:hint="eastAsia" w:ascii="宋体" w:hAnsi="宋体" w:cs="宋体"/>
                <w:color w:val="auto"/>
                <w:sz w:val="24"/>
                <w:lang w:val="zh-CN"/>
              </w:rPr>
            </w:pPr>
            <w:r>
              <w:rPr>
                <w:rFonts w:hint="eastAsia" w:ascii="宋体" w:hAnsi="宋体" w:eastAsia="宋体" w:cs="宋体"/>
                <w:color w:val="auto"/>
                <w:sz w:val="24"/>
                <w:szCs w:val="24"/>
                <w:lang w:val="en-US" w:eastAsia="zh-CN"/>
              </w:rPr>
              <w:t>7</w:t>
            </w:r>
            <w:r>
              <w:rPr>
                <w:rFonts w:ascii="宋体" w:hAnsi="宋体" w:eastAsia="宋体" w:cs="宋体"/>
                <w:color w:val="auto"/>
                <w:sz w:val="24"/>
                <w:szCs w:val="24"/>
              </w:rPr>
              <w:t>、供应商可对上述项目进行投标，但不得就本项目内容拆分投标，所投包内容必须完全响应询比采购文件所列示内容。</w:t>
            </w:r>
          </w:p>
        </w:tc>
      </w:tr>
      <w:tr w14:paraId="4EBC961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0A62F80">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0E6EFF8">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响应保证金</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0A1605F7">
            <w:pPr>
              <w:spacing w:line="360" w:lineRule="auto"/>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是否收取保证金：</w:t>
            </w:r>
            <w:r>
              <w:rPr>
                <w:rFonts w:hint="eastAsia" w:ascii="宋体" w:hAnsi="宋体" w:cs="宋体"/>
                <w:color w:val="auto"/>
                <w:sz w:val="24"/>
                <w:lang w:val="en-US" w:eastAsia="zh-CN"/>
              </w:rPr>
              <w:sym w:font="Wingdings" w:char="00FE"/>
            </w:r>
            <w:r>
              <w:rPr>
                <w:rFonts w:hint="eastAsia" w:ascii="宋体" w:hAnsi="宋体" w:cs="宋体"/>
                <w:color w:val="auto"/>
                <w:sz w:val="24"/>
                <w:lang w:val="en-US" w:eastAsia="zh-CN"/>
              </w:rPr>
              <w:t xml:space="preserve">是    </w:t>
            </w:r>
            <w:r>
              <w:rPr>
                <w:rFonts w:hint="eastAsia" w:ascii="宋体" w:hAnsi="宋体" w:cs="宋体"/>
                <w:color w:val="auto"/>
                <w:sz w:val="24"/>
                <w:lang w:val="en-US" w:eastAsia="zh-CN"/>
              </w:rPr>
              <w:sym w:font="Wingdings" w:char="00A8"/>
            </w:r>
            <w:r>
              <w:rPr>
                <w:rFonts w:hint="eastAsia" w:ascii="宋体" w:hAnsi="宋体" w:cs="宋体"/>
                <w:color w:val="auto"/>
                <w:sz w:val="24"/>
                <w:lang w:val="en-US" w:eastAsia="zh-CN"/>
              </w:rPr>
              <w:t>否</w:t>
            </w:r>
          </w:p>
          <w:p w14:paraId="12C3D3B4">
            <w:pPr>
              <w:autoSpaceDE w:val="0"/>
              <w:autoSpaceDN w:val="0"/>
              <w:spacing w:line="360" w:lineRule="auto"/>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（大写）</w:t>
            </w:r>
            <w:r>
              <w:rPr>
                <w:rFonts w:hint="eastAsia" w:ascii="宋体" w:hAnsi="宋体" w:eastAsia="宋体" w:cs="宋体"/>
                <w:b/>
                <w:bCs/>
                <w:color w:val="auto"/>
                <w:kern w:val="0"/>
                <w:sz w:val="24"/>
                <w:lang w:val="en-US" w:eastAsia="zh-CN"/>
              </w:rPr>
              <w:t>贰仟元整</w:t>
            </w:r>
            <w:r>
              <w:rPr>
                <w:rFonts w:hint="eastAsia" w:ascii="宋体" w:hAnsi="宋体" w:eastAsia="宋体" w:cs="宋体"/>
                <w:b/>
                <w:bCs/>
                <w:color w:val="auto"/>
                <w:kern w:val="0"/>
                <w:sz w:val="24"/>
                <w:lang w:val="zh-CN"/>
              </w:rPr>
              <w:t xml:space="preserve">       （小写）</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lang w:val="en-US" w:eastAsia="zh-CN"/>
              </w:rPr>
              <w:t>000</w:t>
            </w:r>
            <w:r>
              <w:rPr>
                <w:rFonts w:hint="eastAsia" w:ascii="宋体" w:hAnsi="宋体" w:eastAsia="宋体" w:cs="宋体"/>
                <w:b/>
                <w:bCs/>
                <w:color w:val="auto"/>
                <w:kern w:val="0"/>
                <w:sz w:val="24"/>
                <w:lang w:val="zh-CN"/>
              </w:rPr>
              <w:t xml:space="preserve">.00元 </w:t>
            </w:r>
          </w:p>
          <w:p w14:paraId="21056E04">
            <w:pPr>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zh-CN" w:eastAsia="zh-CN"/>
              </w:rPr>
              <w:t>开户银行：</w:t>
            </w:r>
            <w:r>
              <w:rPr>
                <w:rFonts w:hint="eastAsia" w:ascii="宋体" w:hAnsi="宋体" w:eastAsia="宋体" w:cs="宋体"/>
                <w:color w:val="auto"/>
                <w:sz w:val="24"/>
                <w:lang w:val="en-US" w:eastAsia="zh-CN"/>
              </w:rPr>
              <w:t>中国民生银行股份有限公司西宁海湖科技支行</w:t>
            </w:r>
          </w:p>
          <w:p w14:paraId="1E1D67EC">
            <w:pPr>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zh-CN" w:eastAsia="zh-CN"/>
              </w:rPr>
              <w:t>保证金账号：</w:t>
            </w:r>
            <w:r>
              <w:rPr>
                <w:rFonts w:hint="eastAsia" w:ascii="宋体" w:hAnsi="宋体" w:eastAsia="宋体" w:cs="宋体"/>
                <w:color w:val="auto"/>
                <w:sz w:val="24"/>
                <w:lang w:val="en-US" w:eastAsia="zh-CN"/>
              </w:rPr>
              <w:t>633052169</w:t>
            </w:r>
          </w:p>
          <w:p w14:paraId="1C1EC7B8">
            <w:pPr>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行号：305851007028</w:t>
            </w:r>
          </w:p>
          <w:p w14:paraId="11257BB3">
            <w:pPr>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zh-CN" w:eastAsia="zh-CN"/>
              </w:rPr>
              <w:t>收款单位：</w:t>
            </w:r>
            <w:r>
              <w:rPr>
                <w:rFonts w:hint="eastAsia" w:ascii="宋体" w:hAnsi="宋体" w:eastAsia="宋体" w:cs="宋体"/>
                <w:color w:val="auto"/>
                <w:sz w:val="24"/>
                <w:lang w:val="en-US" w:eastAsia="zh-CN"/>
              </w:rPr>
              <w:t>青海鼎誉工程咨询有限公司</w:t>
            </w:r>
          </w:p>
          <w:p w14:paraId="2CD6AECA">
            <w:pPr>
              <w:autoSpaceDE w:val="0"/>
              <w:autoSpaceDN w:val="0"/>
              <w:spacing w:line="360" w:lineRule="auto"/>
              <w:jc w:val="left"/>
              <w:rPr>
                <w:rFonts w:ascii="宋体" w:hAnsi="宋体" w:eastAsia="宋体" w:cs="宋体"/>
                <w:color w:val="auto"/>
                <w:sz w:val="24"/>
              </w:rPr>
            </w:pPr>
            <w:r>
              <w:rPr>
                <w:rFonts w:hint="eastAsia" w:ascii="宋体" w:hAnsi="宋体" w:eastAsia="宋体" w:cs="宋体"/>
                <w:color w:val="auto"/>
                <w:sz w:val="24"/>
                <w:lang w:val="zh-CN" w:eastAsia="zh-CN"/>
              </w:rPr>
              <w:t>缴费时间：供应商在</w:t>
            </w:r>
            <w:r>
              <w:rPr>
                <w:rFonts w:hint="eastAsia" w:ascii="宋体" w:hAnsi="宋体" w:eastAsia="宋体" w:cs="宋体"/>
                <w:color w:val="auto"/>
                <w:sz w:val="24"/>
                <w:lang w:val="en-US" w:eastAsia="zh-CN"/>
              </w:rPr>
              <w:t>响应文件递交</w:t>
            </w:r>
            <w:r>
              <w:rPr>
                <w:rFonts w:hint="eastAsia" w:ascii="宋体" w:hAnsi="宋体" w:eastAsia="宋体" w:cs="宋体"/>
                <w:color w:val="auto"/>
                <w:sz w:val="24"/>
                <w:lang w:val="zh-CN" w:eastAsia="zh-CN"/>
              </w:rPr>
              <w:t>截止</w:t>
            </w:r>
            <w:r>
              <w:rPr>
                <w:rFonts w:hint="eastAsia" w:ascii="宋体" w:hAnsi="宋体" w:eastAsia="宋体" w:cs="宋体"/>
                <w:color w:val="auto"/>
                <w:sz w:val="24"/>
                <w:lang w:val="en-US" w:eastAsia="zh-CN"/>
              </w:rPr>
              <w:t>时间</w:t>
            </w:r>
            <w:r>
              <w:rPr>
                <w:rFonts w:hint="eastAsia" w:ascii="宋体" w:hAnsi="宋体" w:eastAsia="宋体" w:cs="宋体"/>
                <w:color w:val="auto"/>
                <w:sz w:val="24"/>
                <w:lang w:val="zh-CN" w:eastAsia="zh-CN"/>
              </w:rPr>
              <w:t>前以银行到账时间为准。</w:t>
            </w:r>
          </w:p>
        </w:tc>
      </w:tr>
      <w:tr w14:paraId="4C1CDDC3">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E54FDB4">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3DA84E5">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缴费方式</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63CDC295">
            <w:pPr>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1、形式：</w:t>
            </w:r>
            <w:r>
              <w:rPr>
                <w:rFonts w:hint="eastAsia" w:ascii="宋体" w:hAnsi="宋体" w:cs="宋体"/>
                <w:color w:val="auto"/>
                <w:sz w:val="24"/>
                <w:highlight w:val="none"/>
                <w:lang w:val="zh-CN"/>
              </w:rPr>
              <w:t>转账、电汇（不接受现金）、</w:t>
            </w:r>
            <w:r>
              <w:rPr>
                <w:rFonts w:hint="eastAsia" w:ascii="宋体" w:hAnsi="宋体" w:cs="宋体"/>
                <w:color w:val="auto"/>
                <w:sz w:val="24"/>
                <w:highlight w:val="none"/>
                <w:lang w:val="en-US" w:eastAsia="zh-CN"/>
              </w:rPr>
              <w:t>银行保函、担保机构保单等</w:t>
            </w:r>
            <w:r>
              <w:rPr>
                <w:rFonts w:hint="eastAsia" w:ascii="宋体" w:hAnsi="宋体" w:eastAsia="宋体" w:cs="宋体"/>
                <w:color w:val="auto"/>
                <w:sz w:val="24"/>
                <w:highlight w:val="none"/>
                <w:lang w:val="zh-CN"/>
              </w:rPr>
              <w:t>形式缴纳。</w:t>
            </w:r>
          </w:p>
          <w:p w14:paraId="6F796272">
            <w:pPr>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银行电汇、转账</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lang w:val="zh-CN"/>
              </w:rPr>
              <w:t>须由供应商从其企业账户转入指定专用账户，票据附言栏内须注明项目（包括标段）名称及用途；</w:t>
            </w:r>
          </w:p>
          <w:p w14:paraId="7D95AD12">
            <w:pPr>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2、响应保证金及利息的退还：由采购代理机构通过银行转入未中标</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zh-CN"/>
              </w:rPr>
              <w:t>和</w:t>
            </w:r>
            <w:r>
              <w:rPr>
                <w:rFonts w:hint="eastAsia" w:ascii="宋体" w:hAnsi="宋体" w:cs="宋体"/>
                <w:color w:val="auto"/>
                <w:sz w:val="24"/>
                <w:highlight w:val="none"/>
                <w:lang w:val="en-US" w:eastAsia="zh-CN"/>
              </w:rPr>
              <w:t>成交供应商</w:t>
            </w:r>
            <w:r>
              <w:rPr>
                <w:rFonts w:hint="eastAsia" w:ascii="宋体" w:hAnsi="宋体" w:eastAsia="宋体" w:cs="宋体"/>
                <w:color w:val="auto"/>
                <w:sz w:val="24"/>
                <w:highlight w:val="none"/>
                <w:lang w:val="zh-CN"/>
              </w:rPr>
              <w:t>的原银行汇（转）出账户；</w:t>
            </w:r>
          </w:p>
          <w:p w14:paraId="69B8096E">
            <w:pPr>
              <w:spacing w:line="360" w:lineRule="auto"/>
              <w:jc w:val="left"/>
              <w:rPr>
                <w:rFonts w:hint="eastAsia" w:ascii="宋体" w:hAnsi="宋体" w:cs="宋体"/>
                <w:color w:val="auto"/>
                <w:sz w:val="24"/>
                <w:lang w:val="zh-CN"/>
              </w:rPr>
            </w:pPr>
            <w:r>
              <w:rPr>
                <w:rFonts w:hint="eastAsia" w:ascii="宋体" w:hAnsi="宋体" w:eastAsia="宋体" w:cs="宋体"/>
                <w:color w:val="auto"/>
                <w:sz w:val="24"/>
                <w:highlight w:val="none"/>
                <w:lang w:val="zh-CN"/>
              </w:rPr>
              <w:t>3、</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zh-CN"/>
              </w:rPr>
              <w:t>在响应文件递交截止时间前撤回响应文件的，</w:t>
            </w:r>
            <w:r>
              <w:rPr>
                <w:rFonts w:hint="eastAsia" w:ascii="宋体" w:hAnsi="宋体" w:cs="宋体"/>
                <w:color w:val="auto"/>
                <w:sz w:val="24"/>
                <w:highlight w:val="none"/>
                <w:lang w:val="en-US" w:eastAsia="zh-CN"/>
              </w:rPr>
              <w:t>采购人或采购代理机构</w:t>
            </w:r>
            <w:r>
              <w:rPr>
                <w:rFonts w:hint="eastAsia" w:ascii="宋体" w:hAnsi="宋体" w:eastAsia="宋体" w:cs="宋体"/>
                <w:color w:val="auto"/>
                <w:sz w:val="24"/>
                <w:highlight w:val="none"/>
                <w:lang w:val="zh-CN"/>
              </w:rPr>
              <w:t>自收到</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zh-CN"/>
              </w:rPr>
              <w:t>书面撤回通知之日起5</w:t>
            </w:r>
            <w:r>
              <w:rPr>
                <w:rFonts w:hint="eastAsia" w:ascii="宋体" w:hAnsi="宋体" w:cs="宋体"/>
                <w:color w:val="auto"/>
                <w:sz w:val="24"/>
                <w:highlight w:val="none"/>
                <w:lang w:val="en-US" w:eastAsia="zh-CN"/>
              </w:rPr>
              <w:t>个工作</w:t>
            </w:r>
            <w:r>
              <w:rPr>
                <w:rFonts w:hint="eastAsia" w:ascii="宋体" w:hAnsi="宋体" w:eastAsia="宋体" w:cs="宋体"/>
                <w:color w:val="auto"/>
                <w:sz w:val="24"/>
                <w:highlight w:val="none"/>
                <w:lang w:val="zh-CN"/>
              </w:rPr>
              <w:t>日内退还响应保证金。</w:t>
            </w:r>
          </w:p>
        </w:tc>
      </w:tr>
      <w:tr w14:paraId="7160D26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5551484">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6CA55BF">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响应保证金退还</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66668863">
            <w:pPr>
              <w:spacing w:line="360" w:lineRule="auto"/>
              <w:jc w:val="left"/>
              <w:rPr>
                <w:rFonts w:hint="eastAsia" w:ascii="宋体" w:hAnsi="宋体" w:cs="宋体"/>
                <w:color w:val="auto"/>
                <w:sz w:val="24"/>
                <w:lang w:val="zh-CN"/>
              </w:rPr>
            </w:pPr>
            <w:r>
              <w:rPr>
                <w:rFonts w:hint="eastAsia" w:ascii="宋体" w:hAnsi="宋体" w:cs="宋体"/>
                <w:color w:val="auto"/>
                <w:sz w:val="24"/>
                <w:highlight w:val="none"/>
                <w:lang w:val="zh-CN"/>
              </w:rPr>
              <w:t>未中标人的响应保证金自成交结果通知书发出之日起5个工作日内全额无息退还；中标人的响应保证金，自合同签订之日起5个工作日内全额无息退还；（不退现金）。</w:t>
            </w:r>
          </w:p>
        </w:tc>
      </w:tr>
      <w:tr w14:paraId="1DA7AB6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2DC3AEC">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A62E36A">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递交响应文件方式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618A7ADB">
            <w:pPr>
              <w:autoSpaceDE w:val="0"/>
              <w:autoSpaceDN w:val="0"/>
              <w:spacing w:line="360" w:lineRule="auto"/>
              <w:jc w:val="left"/>
              <w:rPr>
                <w:rFonts w:hint="eastAsia" w:ascii="宋体" w:hAnsi="宋体" w:cs="宋体"/>
                <w:color w:val="auto"/>
                <w:sz w:val="24"/>
                <w:lang w:val="zh-CN"/>
              </w:rPr>
            </w:pPr>
            <w:r>
              <w:rPr>
                <w:rFonts w:hint="eastAsia" w:ascii="宋体" w:hAnsi="宋体" w:eastAsia="宋体" w:cs="宋体"/>
                <w:color w:val="auto"/>
                <w:sz w:val="24"/>
              </w:rPr>
              <w:t>供应商在响应文件递交截止时间前递交加密的数据电文形式的响应文件，即上传至</w:t>
            </w:r>
            <w:r>
              <w:rPr>
                <w:rFonts w:hint="eastAsia" w:ascii="宋体" w:hAnsi="宋体" w:eastAsia="宋体"/>
                <w:color w:val="auto"/>
                <w:sz w:val="24"/>
              </w:rPr>
              <w:t>青海新点招标采购电子交易平台。具体操作详见《青海新点招标采购电子交易平台》（https://qinghai.etrading.cn/bszn/service_guide.html）办事指南栏的《投标人操作手册》</w:t>
            </w:r>
            <w:r>
              <w:rPr>
                <w:rFonts w:hint="eastAsia" w:ascii="宋体" w:hAnsi="宋体" w:eastAsia="宋体"/>
                <w:color w:val="auto"/>
                <w:sz w:val="24"/>
                <w:lang w:val="zh-CN"/>
              </w:rPr>
              <w:t>。</w:t>
            </w:r>
          </w:p>
        </w:tc>
      </w:tr>
      <w:tr w14:paraId="3CBF7F6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68C84CCF">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217E46C">
            <w:pPr>
              <w:spacing w:line="360" w:lineRule="auto"/>
              <w:jc w:val="left"/>
              <w:rPr>
                <w:rFonts w:hint="eastAsia" w:ascii="宋体" w:hAnsi="宋体" w:cs="宋体"/>
                <w:b/>
                <w:bCs/>
                <w:color w:val="auto"/>
                <w:sz w:val="24"/>
                <w:lang w:val="zh-CN"/>
              </w:rPr>
            </w:pPr>
            <w:r>
              <w:rPr>
                <w:rFonts w:hint="eastAsia" w:ascii="宋体" w:hAnsi="宋体" w:cs="宋体"/>
                <w:b/>
                <w:bCs/>
                <w:color w:val="auto"/>
                <w:sz w:val="24"/>
              </w:rPr>
              <w:t>提交响应文件截止时间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46B6465D">
            <w:pPr>
              <w:spacing w:line="360" w:lineRule="auto"/>
              <w:jc w:val="left"/>
              <w:rPr>
                <w:rFonts w:hint="eastAsia" w:ascii="宋体" w:hAnsi="宋体" w:cs="宋体"/>
                <w:b/>
                <w:bCs/>
                <w:color w:val="auto"/>
                <w:kern w:val="0"/>
                <w:sz w:val="24"/>
                <w:lang w:val="zh-CN"/>
              </w:rPr>
            </w:pPr>
            <w:r>
              <w:rPr>
                <w:rFonts w:hint="eastAsia" w:ascii="宋体" w:hAnsi="宋体" w:cs="宋体"/>
                <w:b/>
                <w:bCs/>
                <w:color w:val="auto"/>
                <w:kern w:val="0"/>
                <w:sz w:val="24"/>
                <w:lang w:val="zh-CN"/>
              </w:rPr>
              <w:t>2026年06月22日09:00时（北京时间）</w:t>
            </w:r>
          </w:p>
        </w:tc>
      </w:tr>
      <w:tr w14:paraId="6781355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EFF6DB3">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C2E22D2">
            <w:pPr>
              <w:spacing w:line="360" w:lineRule="auto"/>
              <w:jc w:val="left"/>
              <w:rPr>
                <w:rFonts w:hint="eastAsia" w:ascii="宋体" w:hAnsi="宋体" w:cs="宋体"/>
                <w:b/>
                <w:bCs/>
                <w:color w:val="auto"/>
                <w:sz w:val="24"/>
                <w:lang w:val="zh-CN"/>
              </w:rPr>
            </w:pPr>
            <w:r>
              <w:rPr>
                <w:rFonts w:hint="eastAsia" w:ascii="宋体" w:hAnsi="宋体" w:cs="宋体"/>
                <w:b/>
                <w:bCs/>
                <w:color w:val="auto"/>
                <w:sz w:val="24"/>
              </w:rPr>
              <w:t>响应文件开启时间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635EB3CC">
            <w:pPr>
              <w:spacing w:line="360" w:lineRule="auto"/>
              <w:jc w:val="left"/>
              <w:rPr>
                <w:rFonts w:hint="eastAsia" w:ascii="宋体" w:hAnsi="宋体" w:cs="宋体"/>
                <w:b/>
                <w:bCs/>
                <w:color w:val="auto"/>
                <w:kern w:val="0"/>
                <w:sz w:val="24"/>
                <w:lang w:val="zh-CN"/>
              </w:rPr>
            </w:pPr>
            <w:r>
              <w:rPr>
                <w:rFonts w:hint="eastAsia" w:ascii="宋体" w:hAnsi="宋体" w:cs="宋体"/>
                <w:b/>
                <w:bCs/>
                <w:color w:val="auto"/>
                <w:kern w:val="0"/>
                <w:sz w:val="24"/>
                <w:lang w:val="zh-CN"/>
              </w:rPr>
              <w:t>2026年06月22日09:00时（北京时间）</w:t>
            </w:r>
          </w:p>
        </w:tc>
      </w:tr>
      <w:tr w14:paraId="6079C99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61821AF4">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81E9933">
            <w:pPr>
              <w:spacing w:line="360" w:lineRule="auto"/>
              <w:jc w:val="left"/>
              <w:rPr>
                <w:rFonts w:ascii="宋体" w:hAnsi="宋体" w:eastAsia="宋体" w:cs="宋体"/>
                <w:b/>
                <w:bCs/>
                <w:color w:val="auto"/>
                <w:sz w:val="24"/>
              </w:rPr>
            </w:pPr>
            <w:r>
              <w:rPr>
                <w:rFonts w:hint="eastAsia" w:ascii="宋体" w:hAnsi="宋体" w:cs="宋体"/>
                <w:b/>
                <w:bCs/>
                <w:color w:val="auto"/>
                <w:sz w:val="24"/>
              </w:rPr>
              <w:t>提交响应文件地点及响应文件开启地点</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018F6F16">
            <w:pPr>
              <w:spacing w:line="360" w:lineRule="auto"/>
              <w:jc w:val="left"/>
              <w:rPr>
                <w:rFonts w:ascii="宋体" w:hAnsi="宋体" w:eastAsia="宋体" w:cs="宋体"/>
                <w:color w:val="auto"/>
                <w:sz w:val="24"/>
              </w:rPr>
            </w:pPr>
            <w:r>
              <w:rPr>
                <w:rFonts w:hint="eastAsia" w:ascii="宋体" w:hAnsi="宋体" w:eastAsia="宋体" w:cs="宋体"/>
                <w:color w:val="auto"/>
                <w:sz w:val="24"/>
              </w:rPr>
              <w:t>由采购人（代理机构）组织远程解密、远程在线开标。潜在供应商应当在响应文件递交截止时间前，通过互联网使用CA数字证书登录“青海新点招标采购电子交易平台”远程解密、远程在线的“不见面开标方式”依法组织开标活动。供应商无需到开标现场。</w:t>
            </w:r>
          </w:p>
        </w:tc>
      </w:tr>
      <w:tr w14:paraId="2C921C6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CD29992">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330857F">
            <w:pPr>
              <w:autoSpaceDE w:val="0"/>
              <w:autoSpaceDN w:val="0"/>
              <w:spacing w:line="360" w:lineRule="auto"/>
              <w:jc w:val="left"/>
              <w:rPr>
                <w:rFonts w:hint="eastAsia" w:ascii="宋体" w:hAnsi="宋体" w:cs="宋体"/>
                <w:b/>
                <w:bCs/>
                <w:color w:val="auto"/>
                <w:sz w:val="24"/>
                <w:lang w:val="zh-CN"/>
              </w:rPr>
            </w:pPr>
            <w:r>
              <w:rPr>
                <w:rFonts w:hint="eastAsia" w:ascii="宋体" w:hAnsi="宋体" w:eastAsia="宋体" w:cs="宋体"/>
                <w:b/>
                <w:bCs/>
                <w:color w:val="auto"/>
                <w:sz w:val="22"/>
                <w:szCs w:val="22"/>
              </w:rPr>
              <w:t>对询比采购文件提出异议的形式及时间</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357A8A1F">
            <w:pPr>
              <w:autoSpaceDE w:val="0"/>
              <w:autoSpaceDN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形式：书面</w:t>
            </w:r>
          </w:p>
          <w:p w14:paraId="54C04BEE">
            <w:pPr>
              <w:autoSpaceDE w:val="0"/>
              <w:autoSpaceDN w:val="0"/>
              <w:spacing w:line="360" w:lineRule="auto"/>
              <w:jc w:val="left"/>
              <w:rPr>
                <w:rFonts w:hint="eastAsia" w:ascii="宋体" w:hAnsi="宋体" w:cs="宋体"/>
                <w:color w:val="auto"/>
                <w:sz w:val="24"/>
                <w:lang w:val="zh-CN"/>
              </w:rPr>
            </w:pPr>
            <w:r>
              <w:rPr>
                <w:rFonts w:hint="eastAsia" w:ascii="宋体" w:hAnsi="宋体" w:eastAsia="宋体" w:cs="宋体"/>
                <w:color w:val="auto"/>
                <w:sz w:val="24"/>
              </w:rPr>
              <w:t>时间：</w:t>
            </w:r>
            <w:r>
              <w:rPr>
                <w:rFonts w:hint="eastAsia" w:ascii="宋体" w:hAnsi="宋体" w:eastAsia="宋体" w:cs="宋体"/>
                <w:color w:val="auto"/>
                <w:sz w:val="24"/>
                <w:lang w:val="zh-CN"/>
              </w:rPr>
              <w:t>供应商对询比采购文件有异议的，应在提交响应文件截止时间至少</w:t>
            </w:r>
            <w:r>
              <w:rPr>
                <w:rFonts w:hint="eastAsia" w:ascii="宋体" w:hAnsi="宋体" w:eastAsia="宋体" w:cs="宋体"/>
                <w:color w:val="auto"/>
                <w:sz w:val="24"/>
              </w:rPr>
              <w:t>1</w:t>
            </w:r>
            <w:r>
              <w:rPr>
                <w:rFonts w:hint="eastAsia" w:ascii="宋体" w:hAnsi="宋体" w:eastAsia="宋体" w:cs="宋体"/>
                <w:color w:val="auto"/>
                <w:sz w:val="24"/>
                <w:lang w:val="zh-CN"/>
              </w:rPr>
              <w:t>日前</w:t>
            </w:r>
            <w:r>
              <w:rPr>
                <w:rFonts w:hint="eastAsia" w:ascii="宋体" w:hAnsi="宋体" w:eastAsia="宋体" w:cs="宋体"/>
                <w:color w:val="auto"/>
                <w:sz w:val="24"/>
              </w:rPr>
              <w:t>一次性</w:t>
            </w:r>
            <w:r>
              <w:rPr>
                <w:rFonts w:hint="eastAsia" w:ascii="宋体" w:hAnsi="宋体" w:eastAsia="宋体" w:cs="宋体"/>
                <w:color w:val="auto"/>
                <w:sz w:val="24"/>
                <w:lang w:val="zh-CN"/>
              </w:rPr>
              <w:t>以书面形式提出（不接受匿名质疑），采购代理机构在收到供应商的书面质疑后视情况予以答复，并将变更事宜</w:t>
            </w:r>
            <w:r>
              <w:rPr>
                <w:rFonts w:hint="eastAsia" w:ascii="宋体" w:hAnsi="宋体" w:eastAsia="宋体" w:cs="宋体"/>
                <w:color w:val="auto"/>
                <w:sz w:val="24"/>
              </w:rPr>
              <w:t>发布在</w:t>
            </w:r>
            <w:r>
              <w:rPr>
                <w:rFonts w:hint="eastAsia" w:ascii="宋体" w:hAnsi="宋体" w:eastAsia="宋体" w:cs="仿宋_GB2312"/>
                <w:color w:val="auto"/>
                <w:sz w:val="24"/>
              </w:rPr>
              <w:t>《青海新点招标采购电子交易平台》及《青海项目信息网》</w:t>
            </w:r>
            <w:r>
              <w:rPr>
                <w:rFonts w:hint="eastAsia" w:ascii="宋体" w:hAnsi="宋体" w:eastAsia="宋体" w:cs="宋体"/>
                <w:color w:val="auto"/>
                <w:sz w:val="24"/>
                <w:lang w:val="zh-CN"/>
              </w:rPr>
              <w:t>。</w:t>
            </w:r>
          </w:p>
        </w:tc>
      </w:tr>
      <w:tr w14:paraId="6AD547A6">
        <w:tblPrEx>
          <w:tblCellMar>
            <w:top w:w="0" w:type="dxa"/>
            <w:left w:w="57" w:type="dxa"/>
            <w:bottom w:w="0" w:type="dxa"/>
            <w:right w:w="57" w:type="dxa"/>
          </w:tblCellMar>
        </w:tblPrEx>
        <w:trPr>
          <w:trHeight w:val="1595"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D3DF94B">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ADAB6D9">
            <w:pPr>
              <w:spacing w:line="460" w:lineRule="exact"/>
              <w:rPr>
                <w:rFonts w:hint="eastAsia" w:ascii="宋体" w:hAnsi="宋体" w:eastAsia="宋体" w:cs="宋体"/>
                <w:b/>
                <w:bCs/>
                <w:color w:val="auto"/>
                <w:sz w:val="24"/>
                <w:lang w:val="zh-CN"/>
              </w:rPr>
            </w:pPr>
            <w:r>
              <w:rPr>
                <w:rFonts w:hint="eastAsia" w:ascii="宋体" w:hAnsi="宋体"/>
                <w:b/>
                <w:bCs/>
                <w:color w:val="auto"/>
                <w:sz w:val="24"/>
              </w:rPr>
              <w:t>最高投标限价</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3D7C42BE">
            <w:pPr>
              <w:autoSpaceDE w:val="0"/>
              <w:autoSpaceDN w:val="0"/>
              <w:spacing w:line="360" w:lineRule="auto"/>
              <w:jc w:val="left"/>
              <w:rPr>
                <w:rFonts w:hint="eastAsia" w:ascii="宋体" w:hAnsi="宋体" w:eastAsia="宋体" w:cs="宋体"/>
                <w:b/>
                <w:bCs/>
                <w:color w:val="auto"/>
                <w:sz w:val="24"/>
                <w:lang w:eastAsia="zh-CN"/>
              </w:rPr>
            </w:pPr>
            <w:r>
              <w:rPr>
                <w:rFonts w:hint="eastAsia" w:ascii="宋体" w:hAnsi="宋体" w:eastAsia="宋体" w:cs="宋体"/>
                <w:b/>
                <w:bCs/>
                <w:color w:val="auto"/>
                <w:sz w:val="24"/>
                <w:lang w:val="zh-CN"/>
              </w:rPr>
              <w:t>（</w:t>
            </w:r>
            <w:r>
              <w:rPr>
                <w:rFonts w:hint="eastAsia" w:ascii="宋体" w:hAnsi="宋体" w:eastAsia="宋体" w:cs="宋体"/>
                <w:b/>
                <w:bCs/>
                <w:color w:val="auto"/>
                <w:sz w:val="24"/>
              </w:rPr>
              <w:t>大写</w:t>
            </w:r>
            <w:r>
              <w:rPr>
                <w:rFonts w:hint="eastAsia" w:ascii="宋体" w:hAnsi="宋体" w:eastAsia="宋体" w:cs="宋体"/>
                <w:b/>
                <w:bCs/>
                <w:color w:val="auto"/>
                <w:sz w:val="24"/>
                <w:lang w:val="zh-CN"/>
              </w:rPr>
              <w:t>）</w:t>
            </w:r>
            <w:r>
              <w:rPr>
                <w:rFonts w:hint="eastAsia" w:ascii="宋体" w:hAnsi="宋体" w:eastAsia="宋体" w:cs="宋体"/>
                <w:b/>
                <w:bCs/>
                <w:color w:val="auto"/>
                <w:sz w:val="24"/>
                <w:lang w:val="en-US" w:eastAsia="zh-CN"/>
              </w:rPr>
              <w:t>壹拾万零贰仟陆佰贰拾壹元陆角柒分</w:t>
            </w:r>
          </w:p>
          <w:p w14:paraId="0036CBF4">
            <w:pPr>
              <w:autoSpaceDE w:val="0"/>
              <w:autoSpaceDN w:val="0"/>
              <w:spacing w:line="360" w:lineRule="auto"/>
              <w:jc w:val="left"/>
              <w:rPr>
                <w:rFonts w:hint="eastAsia" w:ascii="宋体" w:hAnsi="宋体" w:eastAsia="宋体" w:cs="宋体"/>
                <w:b/>
                <w:bCs/>
                <w:color w:val="auto"/>
                <w:sz w:val="24"/>
                <w:lang w:val="zh-CN"/>
              </w:rPr>
            </w:pPr>
            <w:r>
              <w:rPr>
                <w:rFonts w:hint="eastAsia" w:ascii="宋体" w:hAnsi="宋体" w:eastAsia="宋体" w:cs="宋体"/>
                <w:b/>
                <w:bCs/>
                <w:color w:val="auto"/>
                <w:sz w:val="24"/>
                <w:lang w:val="zh-CN"/>
              </w:rPr>
              <w:t>（</w:t>
            </w:r>
            <w:r>
              <w:rPr>
                <w:rFonts w:hint="eastAsia" w:ascii="宋体" w:hAnsi="宋体" w:eastAsia="宋体" w:cs="宋体"/>
                <w:b/>
                <w:bCs/>
                <w:color w:val="auto"/>
                <w:sz w:val="24"/>
              </w:rPr>
              <w:t>小写</w:t>
            </w:r>
            <w:r>
              <w:rPr>
                <w:rFonts w:hint="eastAsia" w:ascii="宋体" w:hAnsi="宋体" w:eastAsia="宋体" w:cs="宋体"/>
                <w:b/>
                <w:bCs/>
                <w:color w:val="auto"/>
                <w:sz w:val="24"/>
                <w:lang w:val="zh-CN"/>
              </w:rPr>
              <w:t>）</w:t>
            </w:r>
            <w:r>
              <w:rPr>
                <w:rFonts w:hint="eastAsia" w:ascii="宋体" w:hAnsi="宋体" w:eastAsia="宋体" w:cs="宋体"/>
                <w:b/>
                <w:bCs/>
                <w:color w:val="auto"/>
                <w:sz w:val="24"/>
                <w:lang w:val="zh-CN" w:eastAsia="zh-CN"/>
              </w:rPr>
              <w:t>102621.67</w:t>
            </w:r>
            <w:r>
              <w:rPr>
                <w:rFonts w:hint="eastAsia" w:ascii="宋体" w:hAnsi="宋体" w:eastAsia="宋体" w:cs="宋体"/>
                <w:b/>
                <w:bCs/>
                <w:color w:val="auto"/>
                <w:sz w:val="24"/>
                <w:lang w:val="zh-CN"/>
              </w:rPr>
              <w:t>元</w:t>
            </w:r>
          </w:p>
          <w:p w14:paraId="40BF4DF1">
            <w:pPr>
              <w:autoSpaceDE w:val="0"/>
              <w:autoSpaceDN w:val="0"/>
              <w:spacing w:line="360" w:lineRule="auto"/>
              <w:jc w:val="left"/>
              <w:rPr>
                <w:rFonts w:hint="eastAsia" w:ascii="宋体" w:hAnsi="宋体" w:cs="宋体"/>
                <w:color w:val="auto"/>
                <w:sz w:val="24"/>
                <w:lang w:val="zh-CN"/>
              </w:rPr>
            </w:pPr>
            <w:r>
              <w:rPr>
                <w:rFonts w:hint="eastAsia" w:ascii="宋体" w:hAnsi="宋体" w:eastAsia="宋体" w:cs="宋体"/>
                <w:b/>
                <w:bCs/>
                <w:color w:val="auto"/>
                <w:sz w:val="24"/>
                <w:lang w:val="zh-CN"/>
              </w:rPr>
              <w:t>注：报价不得超过</w:t>
            </w:r>
            <w:r>
              <w:rPr>
                <w:rFonts w:hint="eastAsia" w:ascii="宋体" w:hAnsi="宋体" w:eastAsia="宋体" w:cs="宋体"/>
                <w:b/>
                <w:bCs/>
                <w:color w:val="auto"/>
                <w:sz w:val="24"/>
              </w:rPr>
              <w:t>最高投标限价</w:t>
            </w:r>
            <w:r>
              <w:rPr>
                <w:rFonts w:hint="eastAsia" w:ascii="宋体" w:hAnsi="宋体" w:eastAsia="宋体" w:cs="宋体"/>
                <w:b/>
                <w:bCs/>
                <w:color w:val="auto"/>
                <w:sz w:val="24"/>
                <w:lang w:val="zh-CN"/>
              </w:rPr>
              <w:t>，否则</w:t>
            </w:r>
            <w:r>
              <w:rPr>
                <w:rFonts w:hint="eastAsia" w:ascii="宋体" w:hAnsi="宋体" w:eastAsia="宋体" w:cs="宋体"/>
                <w:b/>
                <w:bCs/>
                <w:color w:val="auto"/>
                <w:sz w:val="24"/>
              </w:rPr>
              <w:t>否决其投标</w:t>
            </w:r>
            <w:r>
              <w:rPr>
                <w:rFonts w:hint="eastAsia" w:ascii="宋体" w:hAnsi="宋体" w:eastAsia="宋体" w:cs="宋体"/>
                <w:b/>
                <w:bCs/>
                <w:color w:val="auto"/>
                <w:sz w:val="24"/>
                <w:lang w:val="zh-CN"/>
              </w:rPr>
              <w:t>。</w:t>
            </w:r>
          </w:p>
        </w:tc>
      </w:tr>
      <w:tr w14:paraId="1342E5AF">
        <w:tblPrEx>
          <w:tblCellMar>
            <w:top w:w="0" w:type="dxa"/>
            <w:left w:w="57" w:type="dxa"/>
            <w:bottom w:w="0" w:type="dxa"/>
            <w:right w:w="57" w:type="dxa"/>
          </w:tblCellMar>
        </w:tblPrEx>
        <w:trPr>
          <w:trHeight w:val="392"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D56F211">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2AF8EB4">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代理服务费收取</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701DD8D">
            <w:pPr>
              <w:autoSpaceDE w:val="0"/>
              <w:autoSpaceDN w:val="0"/>
              <w:spacing w:line="360" w:lineRule="auto"/>
              <w:jc w:val="left"/>
              <w:rPr>
                <w:rFonts w:hint="eastAsia" w:ascii="宋体" w:hAnsi="宋体" w:eastAsia="宋体" w:cs="宋体"/>
                <w:b/>
                <w:bCs/>
                <w:color w:val="auto"/>
                <w:sz w:val="24"/>
                <w:lang w:val="zh-CN"/>
              </w:rPr>
            </w:pPr>
            <w:r>
              <w:rPr>
                <w:rFonts w:hint="eastAsia" w:ascii="宋体" w:hAnsi="宋体" w:cs="宋体"/>
                <w:b/>
                <w:bCs/>
                <w:color w:val="auto"/>
                <w:sz w:val="24"/>
                <w:lang w:val="zh-CN"/>
              </w:rPr>
              <w:t>招</w:t>
            </w:r>
            <w:r>
              <w:rPr>
                <w:rFonts w:hint="eastAsia" w:ascii="宋体" w:hAnsi="宋体" w:eastAsia="宋体" w:cs="宋体"/>
                <w:b/>
                <w:bCs/>
                <w:color w:val="auto"/>
                <w:sz w:val="24"/>
                <w:lang w:val="zh-CN"/>
              </w:rPr>
              <w:t>标代理服务费：</w:t>
            </w:r>
          </w:p>
          <w:p w14:paraId="2379156F">
            <w:pPr>
              <w:autoSpaceDE w:val="0"/>
              <w:autoSpaceDN w:val="0"/>
              <w:spacing w:line="360" w:lineRule="auto"/>
              <w:jc w:val="left"/>
              <w:rPr>
                <w:rFonts w:hint="eastAsia" w:ascii="宋体" w:hAnsi="宋体" w:eastAsia="宋体" w:cs="宋体"/>
                <w:b/>
                <w:bCs/>
                <w:color w:val="auto"/>
                <w:sz w:val="24"/>
                <w:lang w:val="zh-CN"/>
              </w:rPr>
            </w:pPr>
            <w:r>
              <w:rPr>
                <w:rFonts w:hint="eastAsia" w:ascii="宋体" w:hAnsi="宋体" w:eastAsia="宋体" w:cs="宋体"/>
                <w:b/>
                <w:bCs/>
                <w:color w:val="auto"/>
                <w:sz w:val="24"/>
                <w:lang w:val="zh-CN"/>
              </w:rPr>
              <w:t>（1）根据国家发改委《关于进一步放开建设项目专业服务价格的通知》（发改价格[2015]299号）规定，本项目招标代理服务费已与采购人约定共计</w:t>
            </w:r>
            <w:r>
              <w:rPr>
                <w:rFonts w:hint="eastAsia" w:ascii="宋体" w:hAnsi="宋体" w:eastAsia="宋体" w:cs="宋体"/>
                <w:b/>
                <w:bCs/>
                <w:color w:val="auto"/>
                <w:sz w:val="24"/>
                <w:u w:val="single"/>
              </w:rPr>
              <w:t>4000.00</w:t>
            </w:r>
            <w:r>
              <w:rPr>
                <w:rFonts w:hint="eastAsia" w:ascii="宋体" w:hAnsi="宋体" w:eastAsia="宋体" w:cs="宋体"/>
                <w:b/>
                <w:bCs/>
                <w:color w:val="auto"/>
                <w:sz w:val="24"/>
                <w:lang w:val="zh-CN"/>
              </w:rPr>
              <w:t>元。</w:t>
            </w:r>
          </w:p>
          <w:p w14:paraId="1EA25759">
            <w:pPr>
              <w:autoSpaceDE w:val="0"/>
              <w:autoSpaceDN w:val="0"/>
              <w:spacing w:line="360" w:lineRule="auto"/>
              <w:jc w:val="left"/>
              <w:rPr>
                <w:rFonts w:hint="eastAsia" w:ascii="宋体" w:hAnsi="宋体" w:eastAsia="宋体" w:cs="宋体"/>
                <w:b/>
                <w:bCs/>
                <w:color w:val="auto"/>
                <w:sz w:val="24"/>
                <w:lang w:val="zh-CN"/>
              </w:rPr>
            </w:pPr>
            <w:r>
              <w:rPr>
                <w:rFonts w:hint="eastAsia" w:ascii="宋体" w:hAnsi="宋体" w:eastAsia="宋体" w:cs="宋体"/>
                <w:b/>
                <w:bCs/>
                <w:color w:val="auto"/>
                <w:sz w:val="24"/>
                <w:lang w:val="zh-CN"/>
              </w:rPr>
              <w:t>（2）本项目招标代理费由</w:t>
            </w:r>
            <w:r>
              <w:rPr>
                <w:rFonts w:hint="eastAsia" w:ascii="宋体" w:hAnsi="宋体" w:eastAsia="宋体" w:cs="宋体"/>
                <w:b/>
                <w:bCs/>
                <w:color w:val="auto"/>
                <w:sz w:val="24"/>
              </w:rPr>
              <w:t>成交供应商</w:t>
            </w:r>
            <w:r>
              <w:rPr>
                <w:rFonts w:hint="eastAsia" w:ascii="宋体" w:hAnsi="宋体" w:eastAsia="宋体" w:cs="宋体"/>
                <w:b/>
                <w:bCs/>
                <w:color w:val="auto"/>
                <w:sz w:val="24"/>
                <w:lang w:val="zh-CN"/>
              </w:rPr>
              <w:t>在成交结果通知书发出之</w:t>
            </w:r>
            <w:r>
              <w:rPr>
                <w:rFonts w:hint="eastAsia" w:ascii="宋体" w:hAnsi="宋体" w:eastAsia="宋体" w:cs="宋体"/>
                <w:b/>
                <w:bCs/>
                <w:color w:val="auto"/>
                <w:sz w:val="24"/>
              </w:rPr>
              <w:t>前一</w:t>
            </w:r>
            <w:r>
              <w:rPr>
                <w:rFonts w:hint="eastAsia" w:ascii="宋体" w:hAnsi="宋体" w:eastAsia="宋体" w:cs="宋体"/>
                <w:b/>
                <w:bCs/>
                <w:color w:val="auto"/>
                <w:sz w:val="24"/>
                <w:lang w:val="zh-CN"/>
              </w:rPr>
              <w:t>次性向采购代理机构支付。</w:t>
            </w:r>
          </w:p>
        </w:tc>
      </w:tr>
      <w:tr w14:paraId="29260B96">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DFF0089">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FA748D8">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合同签订有效期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0E7F385D">
            <w:pPr>
              <w:autoSpaceDE w:val="0"/>
              <w:autoSpaceDN w:val="0"/>
              <w:spacing w:line="360" w:lineRule="auto"/>
              <w:jc w:val="left"/>
              <w:rPr>
                <w:rFonts w:hint="eastAsia" w:ascii="宋体" w:hAnsi="宋体" w:cs="宋体"/>
                <w:color w:val="auto"/>
                <w:sz w:val="24"/>
                <w:lang w:val="zh-CN"/>
              </w:rPr>
            </w:pPr>
            <w:r>
              <w:rPr>
                <w:rFonts w:hint="eastAsia" w:ascii="宋体" w:hAnsi="宋体" w:cs="宋体"/>
                <w:color w:val="auto"/>
                <w:sz w:val="24"/>
                <w:lang w:val="zh-CN"/>
              </w:rPr>
              <w:t>自成交结果通知书发出之日起</w:t>
            </w:r>
            <w:r>
              <w:rPr>
                <w:rFonts w:hint="eastAsia" w:ascii="宋体" w:hAnsi="宋体" w:cs="宋体"/>
                <w:color w:val="auto"/>
                <w:sz w:val="24"/>
              </w:rPr>
              <w:t>30</w:t>
            </w:r>
            <w:r>
              <w:rPr>
                <w:rFonts w:hint="eastAsia" w:ascii="宋体" w:hAnsi="宋体" w:cs="宋体"/>
                <w:color w:val="auto"/>
                <w:sz w:val="24"/>
                <w:lang w:val="zh-CN"/>
              </w:rPr>
              <w:t>日内与采购人签订合同</w:t>
            </w:r>
          </w:p>
        </w:tc>
      </w:tr>
      <w:tr w14:paraId="7B8406B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DAD4A93">
            <w:pPr>
              <w:numPr>
                <w:ilvl w:val="0"/>
                <w:numId w:val="1"/>
              </w:numPr>
              <w:autoSpaceDE w:val="0"/>
              <w:autoSpaceDN w:val="0"/>
              <w:spacing w:line="360" w:lineRule="auto"/>
              <w:jc w:val="center"/>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C39FB4E">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rPr>
              <w:t>询比有效期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4071CBD2">
            <w:pPr>
              <w:autoSpaceDE w:val="0"/>
              <w:autoSpaceDN w:val="0"/>
              <w:spacing w:line="360" w:lineRule="auto"/>
              <w:jc w:val="left"/>
              <w:rPr>
                <w:rFonts w:hint="eastAsia" w:ascii="宋体" w:hAnsi="宋体" w:cs="宋体"/>
                <w:color w:val="auto"/>
                <w:sz w:val="24"/>
                <w:lang w:val="zh-CN"/>
              </w:rPr>
            </w:pPr>
            <w:r>
              <w:rPr>
                <w:rFonts w:hint="eastAsia" w:ascii="宋体" w:hAnsi="宋体" w:cs="宋体"/>
                <w:color w:val="auto"/>
                <w:sz w:val="24"/>
              </w:rPr>
              <w:t>询比有效期为自响应文件递交截止之日起60天</w:t>
            </w:r>
          </w:p>
        </w:tc>
      </w:tr>
    </w:tbl>
    <w:p w14:paraId="3C280051">
      <w:pPr>
        <w:keepNext/>
        <w:keepLines/>
        <w:pageBreakBefore/>
        <w:widowControl/>
        <w:snapToGrid w:val="0"/>
        <w:spacing w:line="360" w:lineRule="auto"/>
        <w:jc w:val="center"/>
        <w:outlineLvl w:val="0"/>
        <w:rPr>
          <w:rFonts w:hint="eastAsia" w:ascii="宋体" w:hAnsi="宋体" w:cs="宋体"/>
          <w:b/>
          <w:bCs/>
          <w:kern w:val="28"/>
          <w:sz w:val="36"/>
          <w:szCs w:val="36"/>
        </w:rPr>
      </w:pPr>
      <w:bookmarkStart w:id="12" w:name="_Toc9507"/>
      <w:bookmarkStart w:id="13" w:name="_Toc15478"/>
      <w:bookmarkStart w:id="14" w:name="_Toc18363"/>
      <w:bookmarkStart w:id="15" w:name="_Toc28130"/>
      <w:bookmarkStart w:id="16" w:name="_Toc10282"/>
      <w:bookmarkStart w:id="17" w:name="_Toc325725997"/>
      <w:r>
        <w:rPr>
          <w:rFonts w:hint="eastAsia" w:ascii="宋体" w:hAnsi="宋体" w:cs="宋体"/>
          <w:b/>
          <w:bCs/>
          <w:kern w:val="28"/>
          <w:sz w:val="36"/>
          <w:szCs w:val="36"/>
        </w:rPr>
        <w:t>第三部分  供应商须知</w:t>
      </w:r>
      <w:bookmarkEnd w:id="12"/>
      <w:bookmarkEnd w:id="13"/>
      <w:bookmarkEnd w:id="14"/>
      <w:bookmarkEnd w:id="15"/>
      <w:bookmarkEnd w:id="16"/>
    </w:p>
    <w:p w14:paraId="1BC68BF7">
      <w:pPr>
        <w:widowControl/>
        <w:spacing w:line="360" w:lineRule="auto"/>
        <w:jc w:val="center"/>
        <w:outlineLvl w:val="1"/>
        <w:rPr>
          <w:rFonts w:hint="eastAsia" w:ascii="宋体" w:hAnsi="宋体" w:cs="宋体"/>
          <w:b/>
          <w:bCs/>
          <w:sz w:val="24"/>
        </w:rPr>
      </w:pPr>
      <w:bookmarkStart w:id="18" w:name="_Toc13908"/>
      <w:bookmarkStart w:id="19" w:name="_Toc29820"/>
      <w:bookmarkStart w:id="20" w:name="_Toc16168"/>
      <w:bookmarkStart w:id="21" w:name="_Toc14943"/>
      <w:bookmarkStart w:id="22" w:name="_Toc376936728"/>
      <w:bookmarkStart w:id="23" w:name="_Toc24622"/>
      <w:bookmarkStart w:id="24" w:name="_Toc5727"/>
      <w:bookmarkStart w:id="25" w:name="_Toc23895"/>
      <w:r>
        <w:rPr>
          <w:rFonts w:hint="eastAsia" w:ascii="宋体" w:hAnsi="宋体" w:cs="宋体"/>
          <w:b/>
          <w:bCs/>
          <w:sz w:val="24"/>
        </w:rPr>
        <w:t>一、说  明</w:t>
      </w:r>
      <w:bookmarkEnd w:id="17"/>
      <w:bookmarkEnd w:id="18"/>
      <w:bookmarkEnd w:id="19"/>
      <w:bookmarkEnd w:id="20"/>
      <w:bookmarkEnd w:id="21"/>
      <w:bookmarkEnd w:id="22"/>
      <w:bookmarkEnd w:id="23"/>
      <w:bookmarkEnd w:id="24"/>
      <w:bookmarkEnd w:id="25"/>
    </w:p>
    <w:p w14:paraId="7D977D39">
      <w:pPr>
        <w:widowControl/>
        <w:spacing w:line="480" w:lineRule="exact"/>
        <w:jc w:val="left"/>
        <w:outlineLvl w:val="2"/>
        <w:rPr>
          <w:rFonts w:hint="eastAsia" w:ascii="宋体" w:hAnsi="宋体" w:cs="宋体"/>
          <w:b/>
          <w:bCs/>
          <w:sz w:val="24"/>
        </w:rPr>
      </w:pPr>
      <w:bookmarkStart w:id="26" w:name="_Toc31744"/>
      <w:bookmarkStart w:id="27" w:name="_Toc28692"/>
      <w:bookmarkStart w:id="28" w:name="_Toc376936729"/>
      <w:bookmarkStart w:id="29" w:name="_Toc1101"/>
      <w:bookmarkStart w:id="30" w:name="_Toc20378"/>
      <w:bookmarkStart w:id="31" w:name="_Toc325725998"/>
      <w:bookmarkStart w:id="32" w:name="_Toc26944"/>
      <w:bookmarkStart w:id="33" w:name="_Toc23463"/>
      <w:bookmarkStart w:id="34" w:name="_Toc9770"/>
      <w:r>
        <w:rPr>
          <w:rFonts w:hint="eastAsia" w:ascii="宋体" w:hAnsi="宋体" w:cs="宋体"/>
          <w:b/>
          <w:bCs/>
          <w:sz w:val="24"/>
        </w:rPr>
        <w:t>1.适用范围</w:t>
      </w:r>
      <w:bookmarkEnd w:id="26"/>
      <w:bookmarkEnd w:id="27"/>
      <w:bookmarkEnd w:id="28"/>
      <w:bookmarkEnd w:id="29"/>
      <w:bookmarkEnd w:id="30"/>
      <w:bookmarkEnd w:id="31"/>
      <w:bookmarkEnd w:id="32"/>
      <w:bookmarkEnd w:id="33"/>
      <w:bookmarkEnd w:id="34"/>
    </w:p>
    <w:p w14:paraId="7F9C063C">
      <w:pPr>
        <w:tabs>
          <w:tab w:val="left" w:pos="840"/>
        </w:tabs>
        <w:spacing w:line="480" w:lineRule="exact"/>
        <w:ind w:firstLine="480"/>
        <w:rPr>
          <w:rFonts w:hint="eastAsia" w:ascii="宋体" w:hAnsi="宋体" w:cs="宋体"/>
          <w:sz w:val="24"/>
        </w:rPr>
      </w:pPr>
      <w:r>
        <w:rPr>
          <w:rFonts w:hint="eastAsia" w:ascii="宋体" w:hAnsi="宋体" w:cs="宋体"/>
          <w:sz w:val="24"/>
        </w:rPr>
        <w:t>本次采购依据采购人的采购计划，仅适用于本询比采购文件中所叙述的项目。</w:t>
      </w:r>
    </w:p>
    <w:p w14:paraId="6D2A3553">
      <w:pPr>
        <w:widowControl/>
        <w:spacing w:line="480" w:lineRule="exact"/>
        <w:jc w:val="left"/>
        <w:outlineLvl w:val="2"/>
        <w:rPr>
          <w:rFonts w:hint="eastAsia" w:ascii="宋体" w:hAnsi="宋体" w:cs="宋体"/>
          <w:b/>
          <w:bCs/>
          <w:sz w:val="24"/>
        </w:rPr>
      </w:pPr>
      <w:bookmarkStart w:id="35" w:name="_Toc376936730"/>
      <w:bookmarkStart w:id="36" w:name="_Toc21998"/>
      <w:bookmarkStart w:id="37" w:name="_Toc325725999"/>
      <w:bookmarkStart w:id="38" w:name="_Toc31556"/>
      <w:bookmarkStart w:id="39" w:name="_Toc20631"/>
      <w:bookmarkStart w:id="40" w:name="_Toc9394"/>
      <w:bookmarkStart w:id="41" w:name="_Toc28920"/>
      <w:bookmarkStart w:id="42" w:name="_Toc20490"/>
      <w:bookmarkStart w:id="43" w:name="_Toc15"/>
      <w:r>
        <w:rPr>
          <w:rFonts w:hint="eastAsia" w:ascii="宋体" w:hAnsi="宋体" w:cs="宋体"/>
          <w:b/>
          <w:bCs/>
          <w:sz w:val="24"/>
        </w:rPr>
        <w:t>2.采购方式、合格的</w:t>
      </w:r>
      <w:bookmarkEnd w:id="35"/>
      <w:bookmarkEnd w:id="36"/>
      <w:bookmarkEnd w:id="37"/>
      <w:bookmarkEnd w:id="38"/>
      <w:r>
        <w:rPr>
          <w:rFonts w:hint="eastAsia" w:ascii="宋体" w:hAnsi="宋体" w:cs="宋体"/>
          <w:b/>
          <w:bCs/>
          <w:sz w:val="24"/>
        </w:rPr>
        <w:t>供应商</w:t>
      </w:r>
      <w:bookmarkEnd w:id="39"/>
      <w:bookmarkEnd w:id="40"/>
      <w:bookmarkEnd w:id="41"/>
      <w:bookmarkEnd w:id="42"/>
      <w:bookmarkEnd w:id="43"/>
    </w:p>
    <w:p w14:paraId="71204B54">
      <w:pPr>
        <w:tabs>
          <w:tab w:val="left" w:pos="840"/>
        </w:tabs>
        <w:spacing w:line="480" w:lineRule="exact"/>
        <w:ind w:firstLine="480"/>
        <w:rPr>
          <w:rFonts w:hint="eastAsia" w:ascii="宋体" w:hAnsi="宋体" w:cs="宋体"/>
          <w:sz w:val="24"/>
        </w:rPr>
      </w:pPr>
      <w:r>
        <w:rPr>
          <w:rFonts w:hint="eastAsia" w:ascii="宋体" w:hAnsi="宋体" w:cs="宋体"/>
          <w:sz w:val="24"/>
        </w:rPr>
        <w:t>2.1本次采购采取询比采购方式。</w:t>
      </w:r>
    </w:p>
    <w:p w14:paraId="0D887855">
      <w:pPr>
        <w:tabs>
          <w:tab w:val="left" w:pos="840"/>
        </w:tabs>
        <w:spacing w:line="480" w:lineRule="exact"/>
        <w:ind w:firstLine="480"/>
        <w:rPr>
          <w:rFonts w:hint="eastAsia" w:ascii="宋体" w:hAnsi="宋体" w:cs="宋体"/>
          <w:sz w:val="24"/>
          <w:lang w:val="zh-CN"/>
        </w:rPr>
      </w:pPr>
      <w:r>
        <w:rPr>
          <w:rFonts w:hint="eastAsia" w:ascii="宋体" w:hAnsi="宋体" w:cs="宋体"/>
          <w:sz w:val="24"/>
        </w:rPr>
        <w:t>2.2合格的供应商：</w:t>
      </w:r>
    </w:p>
    <w:p w14:paraId="16EEBD6F">
      <w:pPr>
        <w:tabs>
          <w:tab w:val="left" w:pos="840"/>
        </w:tabs>
        <w:spacing w:line="480" w:lineRule="exact"/>
        <w:ind w:firstLine="480"/>
        <w:rPr>
          <w:rFonts w:hint="eastAsia" w:ascii="宋体" w:hAnsi="宋体" w:cs="宋体"/>
          <w:sz w:val="24"/>
          <w:lang w:val="zh-CN"/>
        </w:rPr>
      </w:pPr>
      <w:r>
        <w:rPr>
          <w:rFonts w:hint="eastAsia" w:ascii="宋体" w:hAnsi="宋体" w:cs="宋体"/>
          <w:sz w:val="24"/>
          <w:lang w:val="zh-CN"/>
        </w:rPr>
        <w:t>(1)在中华人民共和国境内合法注册的，具有独立</w:t>
      </w:r>
      <w:r>
        <w:rPr>
          <w:rFonts w:hint="eastAsia" w:ascii="宋体" w:hAnsi="宋体" w:cs="宋体"/>
          <w:sz w:val="24"/>
        </w:rPr>
        <w:t>承担民事责任的能力</w:t>
      </w:r>
      <w:r>
        <w:rPr>
          <w:rFonts w:hint="eastAsia" w:ascii="宋体" w:hAnsi="宋体" w:cs="宋体"/>
          <w:sz w:val="24"/>
          <w:lang w:val="zh-CN"/>
        </w:rPr>
        <w:t>；</w:t>
      </w:r>
    </w:p>
    <w:p w14:paraId="1971E025">
      <w:pPr>
        <w:tabs>
          <w:tab w:val="left" w:pos="840"/>
        </w:tabs>
        <w:spacing w:line="480" w:lineRule="exact"/>
        <w:ind w:firstLine="480"/>
        <w:rPr>
          <w:rFonts w:hint="eastAsia" w:ascii="宋体" w:hAnsi="宋体" w:cs="宋体"/>
          <w:sz w:val="24"/>
          <w:lang w:val="zh-CN"/>
        </w:rPr>
      </w:pPr>
      <w:r>
        <w:rPr>
          <w:rFonts w:hint="eastAsia" w:ascii="宋体" w:hAnsi="宋体" w:cs="宋体"/>
          <w:sz w:val="24"/>
          <w:lang w:val="zh-CN"/>
        </w:rPr>
        <w:t>(2)</w:t>
      </w:r>
      <w:r>
        <w:rPr>
          <w:rFonts w:hint="eastAsia" w:ascii="宋体" w:hAnsi="宋体" w:cs="宋体"/>
          <w:sz w:val="24"/>
        </w:rPr>
        <w:t>供应商必须在青海新点招标采购电子交易平台获取询比采购文件，未经青海新点招标采购电子交易平台获取询比采购文件的潜在供应商均无资格参加本次采购；</w:t>
      </w:r>
    </w:p>
    <w:p w14:paraId="388DCDED">
      <w:pPr>
        <w:tabs>
          <w:tab w:val="left" w:pos="840"/>
        </w:tabs>
        <w:spacing w:line="480" w:lineRule="exact"/>
        <w:ind w:firstLine="480"/>
        <w:rPr>
          <w:rFonts w:hint="eastAsia" w:ascii="宋体" w:hAnsi="宋体" w:cs="宋体"/>
          <w:sz w:val="24"/>
          <w:lang w:val="zh-CN"/>
        </w:rPr>
      </w:pPr>
      <w:r>
        <w:rPr>
          <w:rFonts w:hint="eastAsia" w:ascii="宋体" w:hAnsi="宋体" w:cs="宋体"/>
          <w:sz w:val="24"/>
        </w:rPr>
        <w:t>(3)</w:t>
      </w:r>
      <w:r>
        <w:rPr>
          <w:rFonts w:hint="eastAsia" w:ascii="宋体" w:hAnsi="宋体" w:cs="宋体"/>
          <w:sz w:val="24"/>
          <w:lang w:val="zh-CN"/>
        </w:rPr>
        <w:t>符合供应商须知前附表1</w:t>
      </w:r>
      <w:r>
        <w:rPr>
          <w:rFonts w:hint="eastAsia" w:ascii="宋体" w:hAnsi="宋体" w:cs="宋体"/>
          <w:sz w:val="24"/>
        </w:rPr>
        <w:t>1</w:t>
      </w:r>
      <w:r>
        <w:rPr>
          <w:rFonts w:hint="eastAsia" w:ascii="宋体" w:hAnsi="宋体" w:cs="宋体"/>
          <w:sz w:val="24"/>
          <w:lang w:val="zh-CN"/>
        </w:rPr>
        <w:t>款供应商供应商资格条件中的内容。</w:t>
      </w:r>
    </w:p>
    <w:p w14:paraId="4351CB18">
      <w:pPr>
        <w:widowControl/>
        <w:spacing w:line="480" w:lineRule="exact"/>
        <w:jc w:val="left"/>
        <w:outlineLvl w:val="2"/>
        <w:rPr>
          <w:rFonts w:hint="eastAsia" w:ascii="宋体" w:hAnsi="宋体" w:cs="宋体"/>
          <w:b/>
          <w:bCs/>
          <w:sz w:val="24"/>
        </w:rPr>
      </w:pPr>
      <w:bookmarkStart w:id="44" w:name="_Toc7898"/>
      <w:bookmarkStart w:id="45" w:name="_Toc18679"/>
      <w:bookmarkStart w:id="46" w:name="_Toc325726000"/>
      <w:bookmarkStart w:id="47" w:name="_Toc1189"/>
      <w:bookmarkStart w:id="48" w:name="_Toc8805"/>
      <w:bookmarkStart w:id="49" w:name="_Toc8820"/>
      <w:bookmarkStart w:id="50" w:name="_Toc9974"/>
      <w:bookmarkStart w:id="51" w:name="_Toc376936731"/>
      <w:bookmarkStart w:id="52" w:name="_Toc14199"/>
      <w:r>
        <w:rPr>
          <w:rFonts w:hint="eastAsia" w:ascii="宋体" w:hAnsi="宋体" w:cs="宋体"/>
          <w:b/>
          <w:bCs/>
          <w:sz w:val="24"/>
        </w:rPr>
        <w:t>3.询比费用</w:t>
      </w:r>
      <w:bookmarkEnd w:id="44"/>
      <w:bookmarkEnd w:id="45"/>
      <w:bookmarkEnd w:id="46"/>
      <w:bookmarkEnd w:id="47"/>
      <w:bookmarkEnd w:id="48"/>
      <w:bookmarkEnd w:id="49"/>
      <w:bookmarkEnd w:id="50"/>
      <w:bookmarkEnd w:id="51"/>
      <w:bookmarkEnd w:id="52"/>
    </w:p>
    <w:p w14:paraId="1A4D4D9A">
      <w:pPr>
        <w:tabs>
          <w:tab w:val="left" w:pos="840"/>
        </w:tabs>
        <w:spacing w:line="480" w:lineRule="exact"/>
        <w:ind w:firstLine="480"/>
        <w:rPr>
          <w:rFonts w:hint="eastAsia" w:ascii="宋体" w:hAnsi="宋体" w:cs="宋体"/>
          <w:b/>
          <w:bCs/>
          <w:sz w:val="24"/>
        </w:rPr>
      </w:pPr>
      <w:r>
        <w:rPr>
          <w:rFonts w:hint="eastAsia" w:ascii="宋体" w:hAnsi="宋体" w:cs="宋体"/>
          <w:sz w:val="24"/>
        </w:rPr>
        <w:t>供应商应自愿承担与参加本次投标有关的费用。采购代理机构对供应商发生的费用不承担任何责任。</w:t>
      </w:r>
    </w:p>
    <w:p w14:paraId="5326EEBE">
      <w:pPr>
        <w:tabs>
          <w:tab w:val="left" w:pos="840"/>
        </w:tabs>
        <w:spacing w:line="360" w:lineRule="auto"/>
        <w:jc w:val="center"/>
        <w:outlineLvl w:val="1"/>
        <w:rPr>
          <w:rFonts w:hint="eastAsia" w:ascii="宋体" w:hAnsi="宋体" w:cs="宋体"/>
          <w:b/>
          <w:bCs/>
          <w:sz w:val="24"/>
        </w:rPr>
      </w:pPr>
      <w:bookmarkStart w:id="53" w:name="_Toc24026"/>
      <w:bookmarkStart w:id="54" w:name="_Toc4720"/>
      <w:r>
        <w:rPr>
          <w:rFonts w:hint="eastAsia" w:ascii="宋体" w:hAnsi="宋体" w:cs="宋体"/>
          <w:b/>
          <w:bCs/>
          <w:sz w:val="24"/>
        </w:rPr>
        <w:t>二、询比采购文件说明</w:t>
      </w:r>
      <w:bookmarkEnd w:id="53"/>
      <w:bookmarkEnd w:id="54"/>
    </w:p>
    <w:p w14:paraId="4F9A24D5">
      <w:pPr>
        <w:widowControl/>
        <w:spacing w:line="360" w:lineRule="auto"/>
        <w:jc w:val="left"/>
        <w:outlineLvl w:val="2"/>
        <w:rPr>
          <w:rFonts w:hint="eastAsia" w:ascii="宋体" w:hAnsi="宋体" w:cs="宋体"/>
          <w:b/>
          <w:bCs/>
          <w:sz w:val="24"/>
        </w:rPr>
      </w:pPr>
      <w:bookmarkStart w:id="55" w:name="_Toc23862"/>
      <w:bookmarkStart w:id="56" w:name="_Toc10649"/>
      <w:bookmarkStart w:id="57" w:name="_Toc325726002"/>
      <w:bookmarkStart w:id="58" w:name="_Toc14813"/>
      <w:bookmarkStart w:id="59" w:name="_Toc14153"/>
      <w:bookmarkStart w:id="60" w:name="_Toc19547"/>
      <w:bookmarkStart w:id="61" w:name="_Toc18537"/>
      <w:bookmarkStart w:id="62" w:name="_Toc29402"/>
      <w:bookmarkStart w:id="63" w:name="_Toc376936733"/>
      <w:r>
        <w:rPr>
          <w:rFonts w:hint="eastAsia" w:ascii="宋体" w:hAnsi="宋体" w:cs="宋体"/>
          <w:b/>
          <w:bCs/>
          <w:sz w:val="24"/>
        </w:rPr>
        <w:t>4.询比采购文件的构成</w:t>
      </w:r>
      <w:bookmarkEnd w:id="55"/>
      <w:bookmarkEnd w:id="56"/>
      <w:bookmarkEnd w:id="57"/>
      <w:bookmarkEnd w:id="58"/>
      <w:bookmarkEnd w:id="59"/>
      <w:bookmarkEnd w:id="60"/>
      <w:bookmarkEnd w:id="61"/>
      <w:bookmarkEnd w:id="62"/>
      <w:bookmarkEnd w:id="63"/>
    </w:p>
    <w:p w14:paraId="7BD931F5">
      <w:pPr>
        <w:spacing w:line="360" w:lineRule="auto"/>
        <w:ind w:firstLine="480" w:firstLineChars="200"/>
        <w:rPr>
          <w:rFonts w:hint="eastAsia" w:ascii="宋体" w:hAnsi="宋体" w:cs="宋体"/>
          <w:sz w:val="24"/>
        </w:rPr>
      </w:pPr>
      <w:r>
        <w:rPr>
          <w:rFonts w:hint="eastAsia" w:ascii="宋体" w:hAnsi="宋体" w:cs="宋体"/>
          <w:sz w:val="24"/>
        </w:rPr>
        <w:t>4.1询比采购文件包括：</w:t>
      </w:r>
    </w:p>
    <w:p w14:paraId="16028015">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zh-CN"/>
        </w:rPr>
        <w:t>（1）</w:t>
      </w:r>
      <w:r>
        <w:rPr>
          <w:rFonts w:hint="eastAsia" w:ascii="宋体" w:hAnsi="宋体" w:cs="宋体"/>
          <w:sz w:val="24"/>
          <w:lang w:val="en-US" w:eastAsia="zh-CN"/>
        </w:rPr>
        <w:t>采购公告</w:t>
      </w:r>
    </w:p>
    <w:p w14:paraId="7B616A4C">
      <w:pPr>
        <w:spacing w:line="360" w:lineRule="auto"/>
        <w:ind w:firstLine="480" w:firstLineChars="200"/>
        <w:rPr>
          <w:rFonts w:hint="eastAsia" w:ascii="宋体" w:hAnsi="宋体" w:cs="宋体"/>
          <w:sz w:val="24"/>
          <w:lang w:val="zh-CN"/>
        </w:rPr>
      </w:pPr>
      <w:r>
        <w:rPr>
          <w:rFonts w:hint="eastAsia" w:ascii="宋体" w:hAnsi="宋体" w:cs="宋体"/>
          <w:sz w:val="24"/>
          <w:lang w:val="zh-CN"/>
        </w:rPr>
        <w:t>（2）供应商须知前附表</w:t>
      </w:r>
    </w:p>
    <w:p w14:paraId="5D84A0D2">
      <w:pPr>
        <w:spacing w:line="360" w:lineRule="auto"/>
        <w:ind w:firstLine="480" w:firstLineChars="200"/>
        <w:rPr>
          <w:rFonts w:hint="eastAsia" w:ascii="宋体" w:hAnsi="宋体" w:cs="宋体"/>
          <w:sz w:val="24"/>
          <w:lang w:val="zh-CN"/>
        </w:rPr>
      </w:pPr>
      <w:r>
        <w:rPr>
          <w:rFonts w:hint="eastAsia" w:ascii="宋体" w:hAnsi="宋体" w:cs="宋体"/>
          <w:sz w:val="24"/>
          <w:lang w:val="zh-CN"/>
        </w:rPr>
        <w:t>（3）供应商须知</w:t>
      </w:r>
    </w:p>
    <w:p w14:paraId="7DEFF7D5">
      <w:pPr>
        <w:spacing w:line="360" w:lineRule="auto"/>
        <w:ind w:firstLine="480" w:firstLineChars="200"/>
        <w:rPr>
          <w:rFonts w:hint="eastAsia" w:ascii="宋体" w:hAnsi="宋体" w:cs="宋体"/>
          <w:sz w:val="24"/>
          <w:lang w:val="zh-CN"/>
        </w:rPr>
      </w:pPr>
      <w:r>
        <w:rPr>
          <w:rFonts w:hint="eastAsia" w:ascii="宋体" w:hAnsi="宋体" w:cs="宋体"/>
          <w:sz w:val="24"/>
          <w:lang w:val="zh-CN"/>
        </w:rPr>
        <w:t>（4）项目合同书</w:t>
      </w:r>
    </w:p>
    <w:p w14:paraId="30959D19">
      <w:pPr>
        <w:spacing w:line="360" w:lineRule="auto"/>
        <w:ind w:firstLine="480" w:firstLineChars="200"/>
        <w:rPr>
          <w:rFonts w:hint="eastAsia" w:ascii="宋体" w:hAnsi="宋体" w:cs="宋体"/>
          <w:sz w:val="24"/>
          <w:lang w:val="zh-CN"/>
        </w:rPr>
      </w:pPr>
      <w:r>
        <w:rPr>
          <w:rFonts w:hint="eastAsia" w:ascii="宋体" w:hAnsi="宋体" w:cs="宋体"/>
          <w:sz w:val="24"/>
          <w:lang w:val="zh-CN"/>
        </w:rPr>
        <w:t>（5）服务内容</w:t>
      </w:r>
    </w:p>
    <w:p w14:paraId="1A1E74FC">
      <w:pPr>
        <w:spacing w:line="360" w:lineRule="auto"/>
        <w:ind w:firstLine="480" w:firstLineChars="200"/>
        <w:rPr>
          <w:rFonts w:hint="eastAsia" w:ascii="宋体" w:hAnsi="宋体" w:cs="宋体"/>
          <w:sz w:val="24"/>
          <w:lang w:val="zh-CN"/>
        </w:rPr>
      </w:pPr>
      <w:r>
        <w:rPr>
          <w:rFonts w:hint="eastAsia" w:ascii="宋体" w:hAnsi="宋体" w:cs="宋体"/>
          <w:sz w:val="24"/>
          <w:lang w:val="zh-CN"/>
        </w:rPr>
        <w:t>（6）响应文件格式（相关附件）</w:t>
      </w:r>
      <w:r>
        <w:rPr>
          <w:rFonts w:hint="eastAsia" w:ascii="宋体" w:hAnsi="宋体" w:cs="宋体"/>
          <w:sz w:val="24"/>
          <w:lang w:val="zh-CN"/>
        </w:rPr>
        <w:tab/>
      </w:r>
    </w:p>
    <w:p w14:paraId="65F5BA35">
      <w:pPr>
        <w:spacing w:line="360" w:lineRule="auto"/>
        <w:ind w:firstLine="480" w:firstLineChars="200"/>
        <w:rPr>
          <w:rFonts w:hint="eastAsia" w:ascii="宋体" w:hAnsi="宋体" w:cs="宋体"/>
          <w:sz w:val="24"/>
        </w:rPr>
      </w:pPr>
      <w:r>
        <w:rPr>
          <w:rFonts w:hint="eastAsia" w:ascii="宋体" w:hAnsi="宋体" w:cs="宋体"/>
          <w:sz w:val="24"/>
        </w:rPr>
        <w:t>4.2 供应商应认真阅读询比采购文件中列示的事项、格式、条款和要求等内容。如果供应商未按询比采购文件要求提交全部资料，或者对询比采购文件未作出实质性响应的，将视为无效响应。</w:t>
      </w:r>
    </w:p>
    <w:p w14:paraId="3845B815">
      <w:pPr>
        <w:widowControl/>
        <w:spacing w:line="360" w:lineRule="auto"/>
        <w:jc w:val="left"/>
        <w:outlineLvl w:val="2"/>
        <w:rPr>
          <w:rFonts w:hint="eastAsia" w:ascii="宋体" w:hAnsi="宋体" w:cs="宋体"/>
          <w:b/>
          <w:bCs/>
          <w:sz w:val="24"/>
        </w:rPr>
      </w:pPr>
      <w:bookmarkStart w:id="64" w:name="_Toc325726003"/>
      <w:bookmarkStart w:id="65" w:name="_Toc6482"/>
      <w:bookmarkStart w:id="66" w:name="_Toc7487"/>
      <w:bookmarkStart w:id="67" w:name="_Toc31623"/>
      <w:bookmarkStart w:id="68" w:name="_Toc5761"/>
      <w:bookmarkStart w:id="69" w:name="_Toc23561"/>
      <w:bookmarkStart w:id="70" w:name="_Toc3451"/>
      <w:bookmarkStart w:id="71" w:name="_Toc376936734"/>
      <w:bookmarkStart w:id="72" w:name="_Toc13948"/>
      <w:r>
        <w:rPr>
          <w:rFonts w:hint="eastAsia" w:ascii="宋体" w:hAnsi="宋体" w:cs="宋体"/>
          <w:b/>
          <w:bCs/>
          <w:sz w:val="24"/>
        </w:rPr>
        <w:t>5.询比采购文件的</w:t>
      </w:r>
      <w:bookmarkEnd w:id="64"/>
      <w:bookmarkEnd w:id="65"/>
      <w:bookmarkEnd w:id="66"/>
      <w:bookmarkEnd w:id="67"/>
      <w:bookmarkEnd w:id="68"/>
      <w:bookmarkEnd w:id="69"/>
      <w:bookmarkEnd w:id="70"/>
      <w:bookmarkEnd w:id="71"/>
      <w:r>
        <w:rPr>
          <w:rFonts w:hint="eastAsia" w:ascii="宋体" w:hAnsi="宋体" w:cs="宋体"/>
          <w:b/>
          <w:bCs/>
          <w:sz w:val="24"/>
        </w:rPr>
        <w:t>异议</w:t>
      </w:r>
      <w:bookmarkEnd w:id="72"/>
    </w:p>
    <w:p w14:paraId="5815D475">
      <w:pPr>
        <w:spacing w:line="360" w:lineRule="auto"/>
        <w:ind w:firstLine="480" w:firstLineChars="200"/>
        <w:rPr>
          <w:rFonts w:hint="eastAsia" w:ascii="宋体" w:hAnsi="宋体" w:cs="宋体"/>
          <w:sz w:val="24"/>
          <w:lang w:val="zh-CN"/>
        </w:rPr>
      </w:pPr>
      <w:r>
        <w:rPr>
          <w:rFonts w:hint="eastAsia" w:ascii="宋体" w:hAnsi="宋体" w:cs="宋体"/>
          <w:sz w:val="24"/>
        </w:rPr>
        <w:t>供应商对询比采购文件有异议的，应在提交首次响应文件截止时间至少1日前以书面形式提出（不接受匿名质疑），采购代理机构在收到供应商的书面质疑后视情况予以答复，</w:t>
      </w:r>
      <w:r>
        <w:rPr>
          <w:rFonts w:hint="eastAsia" w:ascii="宋体" w:hAnsi="宋体" w:cs="宋体"/>
          <w:sz w:val="24"/>
          <w:lang w:val="zh-CN"/>
        </w:rPr>
        <w:t>并将变更事宜在《青海新点招标采购电子交易平台》《</w:t>
      </w:r>
      <w:r>
        <w:rPr>
          <w:rFonts w:hint="eastAsia" w:ascii="宋体" w:hAnsi="宋体" w:cs="宋体"/>
          <w:sz w:val="24"/>
        </w:rPr>
        <w:t>青海项目信息网</w:t>
      </w:r>
      <w:r>
        <w:rPr>
          <w:rFonts w:hint="eastAsia" w:ascii="宋体" w:hAnsi="宋体" w:cs="宋体"/>
          <w:sz w:val="24"/>
          <w:lang w:val="zh-CN"/>
        </w:rPr>
        <w:t>》上发布。</w:t>
      </w:r>
    </w:p>
    <w:p w14:paraId="7C7F99FF">
      <w:pPr>
        <w:widowControl/>
        <w:spacing w:line="360" w:lineRule="auto"/>
        <w:jc w:val="left"/>
        <w:outlineLvl w:val="2"/>
        <w:rPr>
          <w:rFonts w:hint="eastAsia" w:ascii="宋体" w:hAnsi="宋体" w:cs="宋体"/>
          <w:b/>
          <w:bCs/>
          <w:sz w:val="24"/>
        </w:rPr>
      </w:pPr>
      <w:bookmarkStart w:id="73" w:name="_Toc376936735"/>
      <w:bookmarkStart w:id="74" w:name="_Toc25288"/>
      <w:bookmarkStart w:id="75" w:name="_Toc16007"/>
      <w:bookmarkStart w:id="76" w:name="_Toc325726004"/>
      <w:bookmarkStart w:id="77" w:name="_Toc2077"/>
      <w:bookmarkStart w:id="78" w:name="_Toc733"/>
      <w:bookmarkStart w:id="79" w:name="_Toc26515"/>
      <w:bookmarkStart w:id="80" w:name="_Toc13050"/>
      <w:bookmarkStart w:id="81" w:name="_Toc15260"/>
      <w:r>
        <w:rPr>
          <w:rFonts w:hint="eastAsia" w:ascii="宋体" w:hAnsi="宋体" w:cs="宋体"/>
          <w:b/>
          <w:bCs/>
          <w:sz w:val="24"/>
        </w:rPr>
        <w:t>6.询比采购文件的澄清、修改</w:t>
      </w:r>
      <w:bookmarkEnd w:id="73"/>
      <w:bookmarkEnd w:id="74"/>
      <w:bookmarkEnd w:id="75"/>
      <w:bookmarkEnd w:id="76"/>
      <w:bookmarkEnd w:id="77"/>
      <w:bookmarkEnd w:id="78"/>
      <w:bookmarkEnd w:id="79"/>
      <w:bookmarkEnd w:id="80"/>
      <w:bookmarkEnd w:id="81"/>
    </w:p>
    <w:p w14:paraId="097662AB">
      <w:pPr>
        <w:spacing w:line="480" w:lineRule="exact"/>
        <w:ind w:firstLine="480" w:firstLineChars="200"/>
        <w:rPr>
          <w:rFonts w:hint="eastAsia" w:ascii="宋体" w:hAnsi="宋体" w:cs="宋体"/>
          <w:sz w:val="24"/>
        </w:rPr>
      </w:pPr>
      <w:r>
        <w:rPr>
          <w:rFonts w:hint="eastAsia" w:ascii="宋体" w:hAnsi="宋体" w:cs="宋体"/>
          <w:sz w:val="24"/>
        </w:rPr>
        <w:t>6.1</w:t>
      </w:r>
      <w:r>
        <w:rPr>
          <w:rFonts w:hint="eastAsia" w:ascii="宋体" w:hAnsi="宋体" w:cs="宋体"/>
          <w:snapToGrid w:val="0"/>
          <w:sz w:val="24"/>
        </w:rPr>
        <w:t>提交响应文件截止之日前，采购代理机构可以对已发出的询比采购文件进行必要的澄清或者修改，澄清或者修改的内容作为询比采购文件的组成部分。澄清或者修改的内容可能影响响应文件编制的，采购代理机构应在提交首次响应文件截止时间至少1日前，</w:t>
      </w:r>
      <w:r>
        <w:rPr>
          <w:rFonts w:hint="eastAsia" w:ascii="宋体" w:hAnsi="宋体" w:cs="宋体"/>
          <w:sz w:val="24"/>
          <w:lang w:val="zh-CN"/>
        </w:rPr>
        <w:t>将变更事宜在《青海新点招标采购电子交易平台》《</w:t>
      </w:r>
      <w:r>
        <w:rPr>
          <w:rFonts w:hint="eastAsia" w:ascii="宋体" w:hAnsi="宋体" w:cs="宋体"/>
          <w:sz w:val="24"/>
        </w:rPr>
        <w:t>青海项目信息网</w:t>
      </w:r>
      <w:r>
        <w:rPr>
          <w:rFonts w:hint="eastAsia" w:ascii="宋体" w:hAnsi="宋体" w:cs="宋体"/>
          <w:sz w:val="24"/>
          <w:lang w:val="zh-CN"/>
        </w:rPr>
        <w:t>》上发布</w:t>
      </w:r>
      <w:r>
        <w:rPr>
          <w:rFonts w:hint="eastAsia" w:ascii="宋体" w:hAnsi="宋体" w:cs="宋体"/>
          <w:snapToGrid w:val="0"/>
          <w:sz w:val="24"/>
        </w:rPr>
        <w:t>；不足1日的，采购代理机构应当顺延提交响应文件截止时间。</w:t>
      </w:r>
    </w:p>
    <w:p w14:paraId="30118A8F">
      <w:pPr>
        <w:spacing w:line="480" w:lineRule="exact"/>
        <w:ind w:firstLine="480" w:firstLineChars="200"/>
        <w:rPr>
          <w:rFonts w:hint="eastAsia" w:ascii="宋体" w:hAnsi="宋体" w:cs="宋体"/>
          <w:sz w:val="24"/>
        </w:rPr>
      </w:pPr>
      <w:r>
        <w:rPr>
          <w:rFonts w:hint="eastAsia" w:ascii="宋体" w:hAnsi="宋体" w:cs="宋体"/>
          <w:sz w:val="24"/>
        </w:rPr>
        <w:t>6.2在提交响应文件截止时间前，采购代理机构可以视采购具体情况，延长提交响应文件截止时间和开启时间，并在询比采购文件中要求的提交响应文件截止时间和开启时间的1日前，</w:t>
      </w:r>
      <w:r>
        <w:rPr>
          <w:rFonts w:hint="eastAsia" w:ascii="宋体" w:hAnsi="宋体" w:cs="宋体"/>
          <w:sz w:val="24"/>
          <w:lang w:val="zh-CN"/>
        </w:rPr>
        <w:t>将变更事宜在《青海新点招标采购电子交易平台》《</w:t>
      </w:r>
      <w:r>
        <w:rPr>
          <w:rFonts w:hint="eastAsia" w:ascii="宋体" w:hAnsi="宋体" w:cs="宋体"/>
          <w:sz w:val="24"/>
        </w:rPr>
        <w:t>青海项目信息网</w:t>
      </w:r>
      <w:r>
        <w:rPr>
          <w:rFonts w:hint="eastAsia" w:ascii="宋体" w:hAnsi="宋体" w:cs="宋体"/>
          <w:sz w:val="24"/>
          <w:lang w:val="zh-CN"/>
        </w:rPr>
        <w:t>》上发布</w:t>
      </w:r>
      <w:r>
        <w:rPr>
          <w:rFonts w:hint="eastAsia" w:ascii="宋体" w:hAnsi="宋体" w:cs="宋体"/>
          <w:sz w:val="24"/>
        </w:rPr>
        <w:t>。</w:t>
      </w:r>
      <w:bookmarkStart w:id="82" w:name="_Toc325726005"/>
      <w:bookmarkStart w:id="83" w:name="_Toc376936736"/>
      <w:bookmarkStart w:id="84" w:name="_Toc23340"/>
    </w:p>
    <w:p w14:paraId="143030A4">
      <w:pPr>
        <w:pStyle w:val="9"/>
        <w:spacing w:line="480" w:lineRule="exact"/>
        <w:ind w:firstLine="482" w:firstLineChars="200"/>
        <w:rPr>
          <w:rFonts w:hint="eastAsia" w:ascii="宋体" w:hAnsi="宋体" w:cs="宋体"/>
          <w:b/>
          <w:bCs/>
        </w:rPr>
      </w:pPr>
      <w:r>
        <w:rPr>
          <w:rFonts w:hint="eastAsia" w:ascii="宋体" w:hAnsi="宋体" w:cs="宋体"/>
          <w:b/>
          <w:bCs/>
        </w:rPr>
        <w:t>注：潜在供应商自确认参加投标起至响应文件递交截止时间前应随时登录《</w:t>
      </w:r>
      <w:r>
        <w:rPr>
          <w:rFonts w:hint="eastAsia" w:ascii="宋体" w:hAnsi="宋体" w:cs="宋体"/>
          <w:b/>
          <w:bCs/>
          <w:lang w:val="zh-CN"/>
        </w:rPr>
        <w:t>青海新点招标采购电子交易平台</w:t>
      </w:r>
      <w:r>
        <w:rPr>
          <w:rFonts w:hint="eastAsia" w:ascii="宋体" w:hAnsi="宋体" w:cs="宋体"/>
          <w:b/>
          <w:bCs/>
        </w:rPr>
        <w:t>》，及时查看该项目的采购代理机构发出的通知、变更、答疑等内容。</w:t>
      </w:r>
    </w:p>
    <w:p w14:paraId="56D545AB">
      <w:pPr>
        <w:spacing w:line="360" w:lineRule="auto"/>
        <w:jc w:val="center"/>
        <w:outlineLvl w:val="1"/>
        <w:rPr>
          <w:rFonts w:hint="eastAsia" w:ascii="宋体" w:hAnsi="宋体" w:cs="宋体"/>
          <w:b/>
          <w:bCs/>
          <w:sz w:val="24"/>
        </w:rPr>
      </w:pPr>
      <w:bookmarkStart w:id="85" w:name="_Toc29813"/>
      <w:bookmarkStart w:id="86" w:name="_Toc16749"/>
      <w:r>
        <w:rPr>
          <w:rFonts w:hint="eastAsia" w:ascii="宋体" w:hAnsi="宋体" w:cs="宋体"/>
          <w:b/>
          <w:bCs/>
          <w:sz w:val="24"/>
        </w:rPr>
        <w:t>三、响应文件的编制</w:t>
      </w:r>
      <w:bookmarkEnd w:id="82"/>
      <w:bookmarkEnd w:id="83"/>
      <w:bookmarkEnd w:id="84"/>
      <w:bookmarkEnd w:id="85"/>
      <w:bookmarkEnd w:id="86"/>
      <w:bookmarkStart w:id="87" w:name="_Toc9674"/>
      <w:bookmarkStart w:id="88" w:name="_Toc376936737"/>
      <w:bookmarkStart w:id="89" w:name="_Toc325726006"/>
      <w:bookmarkStart w:id="90" w:name="_Toc13057"/>
    </w:p>
    <w:p w14:paraId="513EBB4A">
      <w:pPr>
        <w:widowControl/>
        <w:spacing w:line="360" w:lineRule="auto"/>
        <w:jc w:val="left"/>
        <w:outlineLvl w:val="2"/>
        <w:rPr>
          <w:rFonts w:hint="eastAsia" w:ascii="宋体" w:hAnsi="宋体" w:cs="宋体"/>
          <w:b/>
          <w:bCs/>
          <w:sz w:val="24"/>
        </w:rPr>
      </w:pPr>
      <w:bookmarkStart w:id="91" w:name="_Toc12463"/>
      <w:bookmarkStart w:id="92" w:name="_Toc30516"/>
      <w:bookmarkStart w:id="93" w:name="_Toc1453"/>
      <w:bookmarkStart w:id="94" w:name="_Toc15044"/>
      <w:bookmarkStart w:id="95" w:name="_Toc2553"/>
      <w:r>
        <w:rPr>
          <w:rFonts w:hint="eastAsia" w:ascii="宋体" w:hAnsi="宋体" w:cs="宋体"/>
          <w:b/>
          <w:bCs/>
          <w:sz w:val="24"/>
        </w:rPr>
        <w:t>7.响应文件的语言及度量衡单位</w:t>
      </w:r>
      <w:bookmarkEnd w:id="87"/>
      <w:bookmarkEnd w:id="88"/>
      <w:bookmarkEnd w:id="89"/>
      <w:bookmarkEnd w:id="90"/>
      <w:bookmarkEnd w:id="91"/>
      <w:bookmarkEnd w:id="92"/>
      <w:bookmarkEnd w:id="93"/>
      <w:bookmarkEnd w:id="94"/>
      <w:bookmarkEnd w:id="95"/>
    </w:p>
    <w:p w14:paraId="4B91D30E">
      <w:pPr>
        <w:spacing w:line="360" w:lineRule="auto"/>
        <w:ind w:firstLine="480" w:firstLineChars="200"/>
        <w:rPr>
          <w:rFonts w:hint="eastAsia" w:ascii="宋体" w:hAnsi="宋体" w:cs="宋体"/>
          <w:sz w:val="24"/>
        </w:rPr>
      </w:pPr>
      <w:r>
        <w:rPr>
          <w:rFonts w:hint="eastAsia" w:ascii="宋体" w:hAnsi="宋体" w:cs="宋体"/>
          <w:sz w:val="24"/>
        </w:rPr>
        <w:t>7.1供应商提交的响应文件以及供应商与采购代理机构就此询比发生的所有来往函电均应使用简体中文。</w:t>
      </w:r>
    </w:p>
    <w:p w14:paraId="01D03979">
      <w:pPr>
        <w:spacing w:line="360" w:lineRule="auto"/>
        <w:ind w:firstLine="480" w:firstLineChars="200"/>
        <w:rPr>
          <w:rFonts w:hint="eastAsia" w:ascii="宋体" w:hAnsi="宋体" w:cs="宋体"/>
          <w:sz w:val="24"/>
        </w:rPr>
      </w:pPr>
      <w:r>
        <w:rPr>
          <w:rFonts w:hint="eastAsia" w:ascii="宋体" w:hAnsi="宋体" w:cs="宋体"/>
          <w:sz w:val="24"/>
        </w:rPr>
        <w:t>7.2 除询比采购文件中另有规定外，响应文件所使用的度量衡单位，均须采用国家法定计量单位。</w:t>
      </w:r>
    </w:p>
    <w:p w14:paraId="49239330">
      <w:pPr>
        <w:spacing w:line="360" w:lineRule="auto"/>
        <w:ind w:firstLine="480" w:firstLineChars="200"/>
        <w:rPr>
          <w:rFonts w:hint="eastAsia" w:ascii="宋体" w:hAnsi="宋体" w:cs="宋体"/>
          <w:sz w:val="24"/>
        </w:rPr>
      </w:pPr>
      <w:r>
        <w:rPr>
          <w:rFonts w:hint="eastAsia" w:ascii="宋体" w:hAnsi="宋体" w:cs="宋体"/>
          <w:sz w:val="24"/>
        </w:rPr>
        <w:t>7.3附有外文资料的，须翻译成中文并加盖供应商公章，如果翻译的中文资料与外文资料存在差异和矛盾时，以中文资料为准。其准确性由供应商负责。</w:t>
      </w:r>
    </w:p>
    <w:p w14:paraId="355CCB81">
      <w:pPr>
        <w:pStyle w:val="30"/>
        <w:jc w:val="left"/>
        <w:outlineLvl w:val="2"/>
        <w:rPr>
          <w:rFonts w:hint="eastAsia" w:ascii="宋体" w:hAnsi="宋体" w:cs="宋体"/>
          <w:sz w:val="24"/>
          <w:szCs w:val="24"/>
        </w:rPr>
      </w:pPr>
      <w:bookmarkStart w:id="96" w:name="_Toc10110"/>
      <w:bookmarkStart w:id="97" w:name="_Toc29674"/>
      <w:bookmarkStart w:id="98" w:name="_Toc25970"/>
      <w:bookmarkStart w:id="99" w:name="_Toc430937642"/>
      <w:bookmarkStart w:id="100" w:name="_Toc19024"/>
      <w:bookmarkStart w:id="101" w:name="_Toc8562"/>
      <w:r>
        <w:rPr>
          <w:rFonts w:hint="eastAsia" w:ascii="宋体" w:hAnsi="宋体" w:cs="宋体"/>
          <w:sz w:val="24"/>
          <w:szCs w:val="24"/>
        </w:rPr>
        <w:t>8.投标报价及币种</w:t>
      </w:r>
      <w:bookmarkEnd w:id="96"/>
      <w:bookmarkEnd w:id="97"/>
      <w:bookmarkEnd w:id="98"/>
      <w:bookmarkEnd w:id="99"/>
      <w:bookmarkEnd w:id="100"/>
      <w:bookmarkEnd w:id="101"/>
    </w:p>
    <w:p w14:paraId="7B78ED1C">
      <w:pPr>
        <w:autoSpaceDE w:val="0"/>
        <w:autoSpaceDN w:val="0"/>
        <w:adjustRightInd w:val="0"/>
        <w:spacing w:line="420" w:lineRule="exact"/>
        <w:ind w:firstLine="480" w:firstLineChars="200"/>
        <w:rPr>
          <w:rFonts w:hint="eastAsia" w:ascii="宋体" w:hAnsi="宋体" w:cs="宋体"/>
          <w:kern w:val="0"/>
          <w:sz w:val="24"/>
        </w:rPr>
      </w:pPr>
      <w:bookmarkStart w:id="102" w:name="_Toc21569"/>
      <w:bookmarkStart w:id="103" w:name="_Toc376936743"/>
      <w:bookmarkStart w:id="104" w:name="_Toc17093"/>
      <w:bookmarkStart w:id="105" w:name="_Toc325726012"/>
      <w:r>
        <w:rPr>
          <w:rFonts w:hint="eastAsia" w:ascii="宋体" w:hAnsi="宋体" w:cs="宋体"/>
          <w:kern w:val="0"/>
          <w:sz w:val="24"/>
          <w:lang w:val="zh-CN"/>
        </w:rPr>
        <w:t>8.1投标报价：包括</w:t>
      </w:r>
      <w:r>
        <w:rPr>
          <w:rFonts w:hint="eastAsia" w:ascii="宋体" w:hAnsi="宋体" w:cs="宋体"/>
          <w:kern w:val="0"/>
          <w:sz w:val="24"/>
        </w:rPr>
        <w:t>服务费、人工费、售前、售中、售后服务费、招标代理服务费、税金及不可预见费等全部费用。</w:t>
      </w:r>
    </w:p>
    <w:p w14:paraId="220EC8F7">
      <w:pPr>
        <w:autoSpaceDE w:val="0"/>
        <w:autoSpaceDN w:val="0"/>
        <w:adjustRightInd w:val="0"/>
        <w:spacing w:line="480" w:lineRule="exact"/>
        <w:ind w:firstLine="480" w:firstLineChars="200"/>
        <w:rPr>
          <w:rFonts w:hint="eastAsia" w:ascii="宋体" w:hAnsi="宋体" w:cs="宋体"/>
          <w:sz w:val="24"/>
          <w:lang w:val="zh-CN"/>
        </w:rPr>
      </w:pPr>
      <w:bookmarkStart w:id="106" w:name="_Toc30699"/>
      <w:bookmarkStart w:id="107" w:name="_Toc6679"/>
      <w:bookmarkStart w:id="108" w:name="_Toc28413"/>
      <w:bookmarkStart w:id="109" w:name="_Toc1974"/>
      <w:r>
        <w:rPr>
          <w:rFonts w:hint="eastAsia" w:ascii="宋体" w:hAnsi="宋体" w:cs="宋体"/>
          <w:sz w:val="24"/>
        </w:rPr>
        <w:t>8.2</w:t>
      </w:r>
      <w:r>
        <w:rPr>
          <w:rFonts w:hint="eastAsia" w:ascii="宋体" w:hAnsi="宋体" w:cs="宋体"/>
          <w:sz w:val="24"/>
          <w:lang w:val="zh-CN"/>
        </w:rPr>
        <w:t>供应商应根据询比采购文件规定的格式完整填写所有内容，并保证所提供的全部资料真实可信，自愿承担相应责任。</w:t>
      </w:r>
    </w:p>
    <w:p w14:paraId="6036CCE7">
      <w:pPr>
        <w:autoSpaceDE w:val="0"/>
        <w:autoSpaceDN w:val="0"/>
        <w:adjustRightInd w:val="0"/>
        <w:spacing w:line="480" w:lineRule="exact"/>
        <w:ind w:firstLine="480" w:firstLineChars="200"/>
        <w:rPr>
          <w:rFonts w:hint="eastAsia" w:ascii="宋体" w:hAnsi="宋体" w:cs="宋体"/>
          <w:sz w:val="24"/>
          <w:lang w:val="zh-CN"/>
        </w:rPr>
      </w:pPr>
      <w:r>
        <w:rPr>
          <w:rFonts w:hint="eastAsia" w:ascii="宋体" w:hAnsi="宋体" w:cs="宋体"/>
          <w:sz w:val="24"/>
        </w:rPr>
        <w:t>8.3</w:t>
      </w:r>
      <w:r>
        <w:rPr>
          <w:rFonts w:hint="eastAsia" w:ascii="宋体" w:hAnsi="宋体" w:cs="宋体"/>
          <w:sz w:val="24"/>
          <w:lang w:val="zh-CN"/>
        </w:rPr>
        <w:t>投标报价为闭口价，即中标后在合同有效期内价格不变。</w:t>
      </w:r>
    </w:p>
    <w:p w14:paraId="04F39237">
      <w:pPr>
        <w:widowControl/>
        <w:spacing w:line="480" w:lineRule="exact"/>
        <w:jc w:val="left"/>
        <w:outlineLvl w:val="2"/>
        <w:rPr>
          <w:rFonts w:hint="eastAsia" w:ascii="宋体" w:hAnsi="宋体" w:cs="宋体"/>
          <w:b/>
          <w:bCs/>
          <w:sz w:val="24"/>
        </w:rPr>
      </w:pPr>
      <w:bookmarkStart w:id="110" w:name="_Toc6091"/>
      <w:r>
        <w:rPr>
          <w:rFonts w:hint="eastAsia" w:ascii="宋体" w:hAnsi="宋体" w:cs="宋体"/>
          <w:b/>
          <w:bCs/>
          <w:sz w:val="24"/>
        </w:rPr>
        <w:t>9.</w:t>
      </w:r>
      <w:bookmarkEnd w:id="102"/>
      <w:bookmarkEnd w:id="103"/>
      <w:bookmarkEnd w:id="104"/>
      <w:bookmarkEnd w:id="105"/>
      <w:r>
        <w:rPr>
          <w:rFonts w:hint="eastAsia" w:ascii="宋体" w:hAnsi="宋体" w:cs="宋体"/>
          <w:b/>
          <w:bCs/>
          <w:sz w:val="24"/>
        </w:rPr>
        <w:t>响应保证金</w:t>
      </w:r>
      <w:bookmarkEnd w:id="106"/>
      <w:bookmarkEnd w:id="107"/>
      <w:bookmarkEnd w:id="108"/>
      <w:bookmarkEnd w:id="109"/>
      <w:bookmarkEnd w:id="110"/>
    </w:p>
    <w:p w14:paraId="33130A9D">
      <w:pPr>
        <w:autoSpaceDE w:val="0"/>
        <w:autoSpaceDN w:val="0"/>
        <w:adjustRightInd w:val="0"/>
        <w:spacing w:line="480" w:lineRule="exact"/>
        <w:ind w:firstLine="480"/>
        <w:rPr>
          <w:rFonts w:hint="eastAsia" w:ascii="宋体" w:hAnsi="宋体" w:cs="宋体"/>
          <w:color w:val="auto"/>
          <w:sz w:val="24"/>
          <w:highlight w:val="none"/>
          <w:lang w:val="zh-CN"/>
        </w:rPr>
      </w:pPr>
      <w:bookmarkStart w:id="111" w:name="_Toc325726013"/>
      <w:bookmarkStart w:id="112" w:name="_Toc376936744"/>
      <w:bookmarkStart w:id="113" w:name="_Toc20999"/>
      <w:bookmarkStart w:id="114" w:name="_Toc23502"/>
      <w:bookmarkStart w:id="115" w:name="_Toc22044"/>
      <w:bookmarkStart w:id="116" w:name="_Toc19315"/>
      <w:bookmarkStart w:id="117" w:name="_Toc32704"/>
      <w:bookmarkStart w:id="118" w:name="_Toc12113"/>
      <w:r>
        <w:rPr>
          <w:rFonts w:hint="eastAsia" w:ascii="宋体" w:hAnsi="宋体" w:cs="宋体"/>
          <w:color w:val="auto"/>
          <w:sz w:val="24"/>
          <w:lang w:val="zh-CN"/>
        </w:rPr>
        <w:t>9.1</w:t>
      </w:r>
      <w:r>
        <w:rPr>
          <w:rFonts w:hint="eastAsia" w:ascii="宋体" w:hAnsi="宋体" w:cs="宋体"/>
          <w:color w:val="auto"/>
          <w:sz w:val="24"/>
          <w:highlight w:val="none"/>
          <w:lang w:val="zh-CN"/>
        </w:rPr>
        <w:t>供应商应将响应保证金缴款证明做为响应文件的内容一并提供。交纳的响应保证金用于因供应商的行为使本次采购活动受到损失的抵项。在本次采购活动中未中标且供应商未发生过失行为的，采购代理机构将在自成交结果通知书发出之日起5个工作日内全额无息退还。</w:t>
      </w:r>
    </w:p>
    <w:p w14:paraId="6A302C74">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9.2供应商应在投标截止期前将响应保证金缴纳到采购代理机构账户，以银行到账时间为准。</w:t>
      </w:r>
    </w:p>
    <w:p w14:paraId="454C2CC2">
      <w:pPr>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9.</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CN"/>
        </w:rPr>
        <w:t>响应保证金交纳形式：转账、电汇（不接受现金）、</w:t>
      </w:r>
      <w:r>
        <w:rPr>
          <w:rFonts w:hint="eastAsia" w:ascii="宋体" w:hAnsi="宋体" w:cs="宋体"/>
          <w:color w:val="auto"/>
          <w:sz w:val="24"/>
          <w:highlight w:val="none"/>
          <w:lang w:val="en-US" w:eastAsia="zh-CN"/>
        </w:rPr>
        <w:t>银行保函、担保机构保单；转账或</w:t>
      </w:r>
      <w:r>
        <w:rPr>
          <w:rFonts w:hint="eastAsia" w:ascii="宋体" w:hAnsi="宋体" w:cs="宋体"/>
          <w:color w:val="auto"/>
          <w:sz w:val="24"/>
          <w:highlight w:val="none"/>
          <w:lang w:val="zh-CN"/>
        </w:rPr>
        <w:t>电汇</w:t>
      </w:r>
      <w:r>
        <w:rPr>
          <w:rFonts w:hint="eastAsia" w:ascii="宋体" w:hAnsi="宋体" w:cs="宋体"/>
          <w:color w:val="auto"/>
          <w:sz w:val="24"/>
          <w:highlight w:val="none"/>
          <w:lang w:val="en-US" w:eastAsia="zh-CN"/>
        </w:rPr>
        <w:t>的</w:t>
      </w:r>
      <w:r>
        <w:rPr>
          <w:rFonts w:hint="eastAsia" w:ascii="宋体" w:hAnsi="宋体" w:cs="宋体"/>
          <w:color w:val="auto"/>
          <w:sz w:val="24"/>
          <w:highlight w:val="none"/>
          <w:lang w:val="zh-CN"/>
        </w:rPr>
        <w:t>须由供应商从其</w:t>
      </w:r>
      <w:r>
        <w:rPr>
          <w:rFonts w:hint="eastAsia" w:ascii="宋体" w:hAnsi="宋体" w:cs="宋体"/>
          <w:color w:val="auto"/>
          <w:sz w:val="24"/>
          <w:highlight w:val="none"/>
        </w:rPr>
        <w:t>企业</w:t>
      </w:r>
      <w:r>
        <w:rPr>
          <w:rFonts w:hint="eastAsia" w:ascii="宋体" w:hAnsi="宋体" w:cs="宋体"/>
          <w:color w:val="auto"/>
          <w:sz w:val="24"/>
          <w:highlight w:val="none"/>
          <w:lang w:val="zh-CN"/>
        </w:rPr>
        <w:t>账户转入指定专用账户，汇单附言栏内注明项目名称，并附</w:t>
      </w:r>
      <w:r>
        <w:rPr>
          <w:rFonts w:hint="eastAsia" w:ascii="宋体" w:hAnsi="宋体" w:cs="宋体"/>
          <w:color w:val="auto"/>
          <w:sz w:val="24"/>
          <w:highlight w:val="none"/>
        </w:rPr>
        <w:t>转账凭证</w:t>
      </w:r>
      <w:r>
        <w:rPr>
          <w:rFonts w:hint="eastAsia" w:ascii="宋体" w:hAnsi="宋体" w:cs="宋体"/>
          <w:color w:val="auto"/>
          <w:sz w:val="24"/>
          <w:highlight w:val="none"/>
          <w:lang w:val="zh-CN"/>
        </w:rPr>
        <w:t>复印件。</w:t>
      </w:r>
    </w:p>
    <w:p w14:paraId="10D6D149">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9.4未按询比采购文件要求在规定时间前交纳规定数额响应保证金的投标将被</w:t>
      </w:r>
      <w:r>
        <w:rPr>
          <w:rFonts w:hint="eastAsia" w:ascii="宋体" w:hAnsi="宋体" w:cs="宋体"/>
          <w:color w:val="auto"/>
          <w:sz w:val="24"/>
          <w:highlight w:val="none"/>
        </w:rPr>
        <w:t>否决</w:t>
      </w:r>
      <w:r>
        <w:rPr>
          <w:rFonts w:hint="eastAsia" w:ascii="宋体" w:hAnsi="宋体" w:cs="宋体"/>
          <w:color w:val="auto"/>
          <w:sz w:val="24"/>
          <w:highlight w:val="none"/>
          <w:lang w:val="zh-CN"/>
        </w:rPr>
        <w:t>。</w:t>
      </w:r>
    </w:p>
    <w:p w14:paraId="44827F48">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9.5未中标人的响应保证金自成交结果通知书发出之日起5个工作日内全额无息退还；中标人的响应保证金，自合同签订之日起5个工作日内全额无息退还；（不退现金）。</w:t>
      </w:r>
    </w:p>
    <w:p w14:paraId="4D9FADE7">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9.6下列任何情况发生时，响应保证金将不予退还：</w:t>
      </w:r>
    </w:p>
    <w:p w14:paraId="751F33D3">
      <w:pPr>
        <w:autoSpaceDE w:val="0"/>
        <w:autoSpaceDN w:val="0"/>
        <w:adjustRightInd w:val="0"/>
        <w:spacing w:line="480" w:lineRule="exact"/>
        <w:ind w:firstLine="480"/>
        <w:rPr>
          <w:rFonts w:ascii="宋体" w:hAnsi="宋体" w:cs="宋体"/>
          <w:color w:val="auto"/>
          <w:sz w:val="24"/>
          <w:highlight w:val="none"/>
        </w:rPr>
      </w:pPr>
      <w:r>
        <w:rPr>
          <w:rFonts w:hint="eastAsia" w:ascii="宋体" w:hAnsi="宋体" w:cs="宋体"/>
          <w:color w:val="auto"/>
          <w:sz w:val="24"/>
          <w:highlight w:val="none"/>
          <w:lang w:val="zh-CN"/>
        </w:rPr>
        <w:t>（1）供应商在</w:t>
      </w:r>
      <w:r>
        <w:rPr>
          <w:rFonts w:hint="eastAsia" w:ascii="宋体" w:hAnsi="宋体" w:cs="宋体"/>
          <w:color w:val="auto"/>
          <w:sz w:val="24"/>
          <w:highlight w:val="none"/>
        </w:rPr>
        <w:t>响应文件有效期内撤销响应文件；</w:t>
      </w:r>
    </w:p>
    <w:p w14:paraId="07BFF673">
      <w:pPr>
        <w:autoSpaceDE w:val="0"/>
        <w:autoSpaceDN w:val="0"/>
        <w:adjustRightInd w:val="0"/>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lang w:val="zh-CN"/>
        </w:rPr>
        <w:t>（2）</w:t>
      </w:r>
      <w:r>
        <w:rPr>
          <w:rFonts w:hint="eastAsia" w:ascii="宋体" w:hAnsi="宋体" w:cs="宋体"/>
          <w:color w:val="auto"/>
          <w:sz w:val="24"/>
          <w:highlight w:val="none"/>
        </w:rPr>
        <w:t>成交供应商无正当理由不与采购人订立合同；</w:t>
      </w:r>
    </w:p>
    <w:p w14:paraId="26FD7F6E">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w:t>
      </w:r>
      <w:r>
        <w:rPr>
          <w:rFonts w:hint="eastAsia" w:ascii="宋体" w:hAnsi="宋体" w:cs="宋体"/>
          <w:color w:val="auto"/>
          <w:sz w:val="24"/>
          <w:highlight w:val="none"/>
        </w:rPr>
        <w:t>在签订合同时成交供应商向采购人提出附加条件</w:t>
      </w:r>
      <w:r>
        <w:rPr>
          <w:rFonts w:hint="eastAsia" w:ascii="宋体" w:hAnsi="宋体" w:cs="宋体"/>
          <w:color w:val="auto"/>
          <w:sz w:val="24"/>
          <w:highlight w:val="none"/>
          <w:lang w:val="zh-CN"/>
        </w:rPr>
        <w:t>；</w:t>
      </w:r>
    </w:p>
    <w:p w14:paraId="77AB2585">
      <w:pPr>
        <w:autoSpaceDE w:val="0"/>
        <w:autoSpaceDN w:val="0"/>
        <w:adjustRightInd w:val="0"/>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lang w:val="zh-CN"/>
        </w:rPr>
        <w:t>（4）</w:t>
      </w:r>
      <w:r>
        <w:rPr>
          <w:rFonts w:hint="eastAsia" w:ascii="宋体" w:hAnsi="宋体" w:cs="宋体"/>
          <w:color w:val="auto"/>
          <w:sz w:val="24"/>
          <w:highlight w:val="none"/>
        </w:rPr>
        <w:t>成交供应商不按照采购文件要求提交履约保证金的。</w:t>
      </w:r>
    </w:p>
    <w:p w14:paraId="63A6800B">
      <w:pPr>
        <w:autoSpaceDE w:val="0"/>
        <w:autoSpaceDN w:val="0"/>
        <w:adjustRightInd w:val="0"/>
        <w:spacing w:line="480" w:lineRule="exact"/>
        <w:ind w:firstLine="480"/>
        <w:rPr>
          <w:rFonts w:hint="eastAsia" w:ascii="宋体" w:hAnsi="宋体" w:cs="宋体"/>
          <w:color w:val="auto"/>
          <w:sz w:val="24"/>
          <w:lang w:val="zh-CN"/>
        </w:rPr>
      </w:pPr>
      <w:r>
        <w:rPr>
          <w:rFonts w:hint="eastAsia" w:ascii="宋体" w:hAnsi="宋体" w:cs="宋体"/>
          <w:color w:val="auto"/>
          <w:sz w:val="24"/>
          <w:highlight w:val="none"/>
          <w:lang w:val="zh-CN"/>
        </w:rPr>
        <w:t>以保函形式递交响应保证金的，如果出现响应保证金不予退还的情形，采购代理机构应根据采购人要求协助其向出具保函的金融机构、担保机构或其他机构进行索赔。</w:t>
      </w:r>
    </w:p>
    <w:p w14:paraId="28206EC8">
      <w:pPr>
        <w:widowControl/>
        <w:spacing w:line="480" w:lineRule="exact"/>
        <w:jc w:val="left"/>
        <w:outlineLvl w:val="2"/>
        <w:rPr>
          <w:rFonts w:hint="eastAsia" w:ascii="宋体" w:hAnsi="宋体" w:cs="宋体"/>
          <w:b/>
          <w:bCs/>
          <w:sz w:val="24"/>
        </w:rPr>
      </w:pPr>
      <w:bookmarkStart w:id="119" w:name="_Toc28661"/>
      <w:r>
        <w:rPr>
          <w:rFonts w:hint="eastAsia" w:ascii="宋体" w:hAnsi="宋体" w:cs="宋体"/>
          <w:b/>
          <w:bCs/>
          <w:sz w:val="24"/>
        </w:rPr>
        <w:t>10.询比有效期</w:t>
      </w:r>
      <w:bookmarkEnd w:id="111"/>
      <w:bookmarkEnd w:id="112"/>
      <w:bookmarkEnd w:id="113"/>
      <w:bookmarkEnd w:id="114"/>
      <w:bookmarkEnd w:id="115"/>
      <w:bookmarkEnd w:id="116"/>
      <w:bookmarkEnd w:id="117"/>
      <w:bookmarkEnd w:id="118"/>
      <w:bookmarkEnd w:id="119"/>
    </w:p>
    <w:p w14:paraId="204FB0EC">
      <w:pPr>
        <w:spacing w:line="480" w:lineRule="exact"/>
        <w:ind w:firstLine="482"/>
        <w:rPr>
          <w:rFonts w:hint="eastAsia" w:ascii="宋体" w:hAnsi="宋体" w:cs="宋体"/>
          <w:b/>
          <w:bCs/>
          <w:sz w:val="24"/>
        </w:rPr>
      </w:pPr>
      <w:r>
        <w:rPr>
          <w:rFonts w:hint="eastAsia" w:ascii="宋体" w:hAnsi="宋体" w:cs="宋体"/>
          <w:sz w:val="24"/>
          <w:lang w:val="zh-CN"/>
        </w:rPr>
        <w:t>询比有效期为自</w:t>
      </w:r>
      <w:r>
        <w:rPr>
          <w:rFonts w:hint="eastAsia" w:ascii="宋体" w:hAnsi="宋体" w:cs="宋体"/>
          <w:sz w:val="24"/>
        </w:rPr>
        <w:t>响应文件递交截止</w:t>
      </w:r>
      <w:r>
        <w:rPr>
          <w:rFonts w:hint="eastAsia" w:ascii="宋体" w:hAnsi="宋体" w:cs="宋体"/>
          <w:sz w:val="24"/>
          <w:lang w:val="zh-CN"/>
        </w:rPr>
        <w:t>之日起60日</w:t>
      </w:r>
      <w:r>
        <w:rPr>
          <w:rFonts w:hint="eastAsia" w:ascii="宋体" w:hAnsi="宋体" w:cs="宋体"/>
          <w:sz w:val="24"/>
        </w:rPr>
        <w:t>。</w:t>
      </w:r>
    </w:p>
    <w:p w14:paraId="4B492D8B">
      <w:pPr>
        <w:widowControl/>
        <w:spacing w:line="480" w:lineRule="exact"/>
        <w:jc w:val="left"/>
        <w:outlineLvl w:val="2"/>
        <w:rPr>
          <w:rFonts w:hint="eastAsia" w:ascii="宋体" w:hAnsi="宋体" w:cs="宋体"/>
          <w:b/>
          <w:bCs/>
          <w:sz w:val="24"/>
        </w:rPr>
      </w:pPr>
      <w:bookmarkStart w:id="120" w:name="_Toc8447"/>
      <w:bookmarkStart w:id="121" w:name="_Toc11587"/>
      <w:bookmarkStart w:id="122" w:name="_Toc590"/>
      <w:bookmarkStart w:id="123" w:name="_Toc376936739"/>
      <w:bookmarkStart w:id="124" w:name="_Toc325726008"/>
      <w:bookmarkStart w:id="125" w:name="_Toc31761"/>
      <w:bookmarkStart w:id="126" w:name="_Toc16445"/>
      <w:bookmarkStart w:id="127" w:name="_Toc29691"/>
      <w:bookmarkStart w:id="128" w:name="_Toc31915"/>
      <w:r>
        <w:rPr>
          <w:rFonts w:hint="eastAsia" w:ascii="宋体" w:hAnsi="宋体" w:cs="宋体"/>
          <w:b/>
          <w:bCs/>
          <w:sz w:val="24"/>
        </w:rPr>
        <w:t>11.响应文件的构成</w:t>
      </w:r>
      <w:bookmarkEnd w:id="120"/>
      <w:bookmarkEnd w:id="121"/>
      <w:bookmarkEnd w:id="122"/>
      <w:bookmarkEnd w:id="123"/>
      <w:bookmarkEnd w:id="124"/>
      <w:bookmarkEnd w:id="125"/>
      <w:bookmarkEnd w:id="126"/>
      <w:bookmarkEnd w:id="127"/>
      <w:bookmarkEnd w:id="128"/>
    </w:p>
    <w:p w14:paraId="2F1C4250">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供应商应提交相关证明材料，作为其参加投标和成交后有能力履行合同的证明。编写的响应文件须包括以下内容（格式详见询比采购文件第</w:t>
      </w:r>
      <w:r>
        <w:rPr>
          <w:rFonts w:hint="eastAsia" w:ascii="宋体" w:hAnsi="宋体" w:cs="宋体"/>
          <w:sz w:val="24"/>
        </w:rPr>
        <w:t>六</w:t>
      </w:r>
      <w:r>
        <w:rPr>
          <w:rFonts w:hint="eastAsia" w:ascii="宋体" w:hAnsi="宋体" w:cs="宋体"/>
          <w:sz w:val="24"/>
          <w:lang w:val="zh-CN"/>
        </w:rPr>
        <w:t>部分内容）：</w:t>
      </w:r>
    </w:p>
    <w:p w14:paraId="6901B937">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（1）响应文件封面</w:t>
      </w:r>
    </w:p>
    <w:p w14:paraId="4A5622B8">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（2）响应函</w:t>
      </w:r>
    </w:p>
    <w:p w14:paraId="316C4DD8">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（3）报价表</w:t>
      </w:r>
    </w:p>
    <w:p w14:paraId="10876E16">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）法定代表人身份证明书</w:t>
      </w:r>
    </w:p>
    <w:p w14:paraId="0972812C">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5</w:t>
      </w:r>
      <w:r>
        <w:rPr>
          <w:rFonts w:hint="eastAsia" w:ascii="宋体" w:hAnsi="宋体" w:cs="宋体"/>
          <w:sz w:val="24"/>
          <w:lang w:val="zh-CN"/>
        </w:rPr>
        <w:t>）法定代表人授权委托书</w:t>
      </w:r>
    </w:p>
    <w:p w14:paraId="2524CDBD">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6</w:t>
      </w:r>
      <w:r>
        <w:rPr>
          <w:rFonts w:hint="eastAsia" w:ascii="宋体" w:hAnsi="宋体" w:cs="宋体"/>
          <w:sz w:val="24"/>
          <w:lang w:val="zh-CN"/>
        </w:rPr>
        <w:t>）资格证明材料</w:t>
      </w:r>
    </w:p>
    <w:p w14:paraId="18A3D23A">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）响应保证金</w:t>
      </w:r>
    </w:p>
    <w:p w14:paraId="0D640FA4">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8</w:t>
      </w:r>
      <w:r>
        <w:rPr>
          <w:rFonts w:hint="eastAsia" w:ascii="宋体" w:hAnsi="宋体" w:cs="宋体"/>
          <w:sz w:val="24"/>
          <w:lang w:val="zh-CN"/>
        </w:rPr>
        <w:t>）类似项目业绩</w:t>
      </w:r>
    </w:p>
    <w:p w14:paraId="7D2B95AB">
      <w:pPr>
        <w:autoSpaceDE w:val="0"/>
        <w:autoSpaceDN w:val="0"/>
        <w:adjustRightInd w:val="0"/>
        <w:spacing w:line="480" w:lineRule="exact"/>
        <w:ind w:firstLine="480"/>
        <w:rPr>
          <w:rFonts w:hint="eastAsia" w:ascii="宋体" w:hAnsi="宋体" w:cs="宋体"/>
          <w:sz w:val="24"/>
        </w:rPr>
      </w:pP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w:t>
      </w:r>
      <w:r>
        <w:rPr>
          <w:rFonts w:hint="eastAsia" w:ascii="宋体" w:hAnsi="宋体" w:cs="宋体"/>
          <w:sz w:val="24"/>
        </w:rPr>
        <w:t>服务方案</w:t>
      </w:r>
    </w:p>
    <w:p w14:paraId="594C5DCE">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rPr>
        <w:t>（10）</w:t>
      </w:r>
      <w:r>
        <w:rPr>
          <w:rFonts w:hint="eastAsia" w:ascii="宋体" w:hAnsi="宋体" w:cs="宋体"/>
          <w:sz w:val="24"/>
          <w:lang w:val="zh-CN"/>
        </w:rPr>
        <w:t>供应商认为在其他方面有必要说明的事项</w:t>
      </w:r>
    </w:p>
    <w:p w14:paraId="52F7AD05">
      <w:pPr>
        <w:autoSpaceDE w:val="0"/>
        <w:autoSpaceDN w:val="0"/>
        <w:adjustRightInd w:val="0"/>
        <w:spacing w:line="480" w:lineRule="exact"/>
        <w:ind w:firstLine="480"/>
        <w:rPr>
          <w:rFonts w:hint="eastAsia" w:ascii="宋体" w:hAnsi="宋体" w:cs="宋体"/>
          <w:sz w:val="24"/>
        </w:rPr>
      </w:pPr>
      <w:r>
        <w:rPr>
          <w:rFonts w:hint="eastAsia" w:ascii="宋体" w:hAnsi="宋体" w:cs="宋体"/>
          <w:sz w:val="24"/>
          <w:lang w:val="zh-CN"/>
        </w:rPr>
        <w:t>注：询比采购文件要求签字、盖章的地方必须由供应商的法定代表人或委托代理人按要求签字、盖章；供应商提供的扫描（或复印）件均需加盖公章。供应商须按上述内容、顺序和格式编制响应文件，并按要求编制目录、页码。</w:t>
      </w:r>
    </w:p>
    <w:p w14:paraId="4FE7F950">
      <w:pPr>
        <w:widowControl/>
        <w:spacing w:line="480" w:lineRule="exact"/>
        <w:jc w:val="left"/>
        <w:outlineLvl w:val="2"/>
        <w:rPr>
          <w:rFonts w:hint="eastAsia" w:ascii="宋体" w:hAnsi="宋体" w:cs="宋体"/>
          <w:b/>
          <w:bCs/>
          <w:sz w:val="24"/>
        </w:rPr>
      </w:pPr>
      <w:bookmarkStart w:id="129" w:name="_Toc32170"/>
      <w:bookmarkStart w:id="130" w:name="_Toc16453"/>
      <w:bookmarkStart w:id="131" w:name="_Toc3727"/>
      <w:bookmarkStart w:id="132" w:name="_Toc11377"/>
      <w:bookmarkStart w:id="133" w:name="_Toc17504"/>
      <w:bookmarkStart w:id="134" w:name="_Toc5001"/>
      <w:bookmarkStart w:id="135" w:name="_Toc412617729"/>
      <w:bookmarkStart w:id="136" w:name="_Toc6639"/>
      <w:bookmarkStart w:id="137" w:name="_Toc373392580"/>
      <w:r>
        <w:rPr>
          <w:rFonts w:hint="eastAsia" w:ascii="宋体" w:hAnsi="宋体" w:cs="宋体"/>
          <w:b/>
          <w:bCs/>
          <w:sz w:val="24"/>
        </w:rPr>
        <w:t>12.响应文件编印和签署</w:t>
      </w:r>
      <w:bookmarkEnd w:id="129"/>
      <w:bookmarkEnd w:id="130"/>
      <w:bookmarkEnd w:id="131"/>
      <w:bookmarkEnd w:id="132"/>
      <w:bookmarkEnd w:id="133"/>
      <w:bookmarkEnd w:id="134"/>
      <w:bookmarkEnd w:id="135"/>
      <w:bookmarkEnd w:id="136"/>
      <w:bookmarkEnd w:id="137"/>
    </w:p>
    <w:p w14:paraId="7AF6B8E5">
      <w:pPr>
        <w:spacing w:line="480" w:lineRule="exact"/>
        <w:ind w:firstLine="480" w:firstLineChars="200"/>
        <w:rPr>
          <w:rFonts w:hint="eastAsia" w:ascii="宋体" w:hAnsi="宋体" w:cs="宋体"/>
          <w:sz w:val="24"/>
        </w:rPr>
      </w:pPr>
      <w:bookmarkStart w:id="138" w:name="_Toc15033"/>
      <w:bookmarkStart w:id="139" w:name="_Toc15102"/>
      <w:bookmarkStart w:id="140" w:name="_Toc412617730"/>
      <w:bookmarkStart w:id="141" w:name="_Toc371090029"/>
      <w:bookmarkStart w:id="142" w:name="_Toc376936748"/>
      <w:r>
        <w:rPr>
          <w:rFonts w:hint="eastAsia" w:ascii="宋体" w:hAnsi="宋体" w:cs="宋体"/>
          <w:sz w:val="24"/>
        </w:rPr>
        <w:t>12.1 供应商应按照询比采购文件所提供的响应文件格式，分别填写询比采购文件第六部分的内容，应分别注明所提供服务的内容、价格等；询比采购文件要求签字、盖章的地方必须由供应商的法定代表人或委托代理人按要求签字、盖章且文件中的扫描件或复印件内容应清晰可辨。供应商须按上述内容、顺序和格式编制响应文件，并按要求编制目录、页码。</w:t>
      </w:r>
    </w:p>
    <w:p w14:paraId="340B0B38">
      <w:pPr>
        <w:spacing w:line="480" w:lineRule="exact"/>
        <w:ind w:firstLine="480" w:firstLineChars="200"/>
        <w:rPr>
          <w:rFonts w:hint="eastAsia" w:ascii="宋体" w:hAnsi="宋体" w:cs="宋体"/>
          <w:sz w:val="24"/>
        </w:rPr>
      </w:pPr>
      <w:r>
        <w:rPr>
          <w:rFonts w:hint="eastAsia" w:ascii="宋体" w:hAnsi="宋体" w:cs="宋体"/>
          <w:sz w:val="24"/>
        </w:rPr>
        <w:t>12.2 供应商</w:t>
      </w:r>
      <w:r>
        <w:rPr>
          <w:rFonts w:hint="eastAsia" w:ascii="宋体" w:hAnsi="宋体" w:cs="宋体"/>
          <w:sz w:val="24"/>
          <w:lang w:val="zh-CN"/>
        </w:rPr>
        <w:t>应在《</w:t>
      </w:r>
      <w:r>
        <w:rPr>
          <w:rFonts w:hint="eastAsia" w:ascii="宋体" w:hAnsi="宋体" w:cs="宋体"/>
          <w:sz w:val="24"/>
        </w:rPr>
        <w:t>青海新点招标采购电子交易平台</w:t>
      </w:r>
      <w:r>
        <w:rPr>
          <w:rFonts w:hint="eastAsia" w:ascii="宋体" w:hAnsi="宋体" w:cs="宋体"/>
          <w:sz w:val="24"/>
          <w:lang w:val="zh-CN"/>
        </w:rPr>
        <w:t>》上上传电子响应文件。</w:t>
      </w:r>
    </w:p>
    <w:p w14:paraId="07820357">
      <w:pPr>
        <w:spacing w:line="480" w:lineRule="exact"/>
        <w:ind w:firstLine="480" w:firstLineChars="200"/>
        <w:rPr>
          <w:rFonts w:hint="eastAsia" w:ascii="宋体" w:hAnsi="宋体" w:cs="宋体"/>
          <w:sz w:val="24"/>
        </w:rPr>
      </w:pPr>
      <w:r>
        <w:rPr>
          <w:rFonts w:hint="eastAsia" w:ascii="宋体" w:hAnsi="宋体" w:cs="宋体"/>
          <w:sz w:val="24"/>
        </w:rPr>
        <w:t>12.3 响应文件中不得行间插字、涂改或增删，如有修改错漏处，须由供应商法定代表人或其委托代理人签字、加盖公章。</w:t>
      </w:r>
    </w:p>
    <w:p w14:paraId="0AFB8740">
      <w:pPr>
        <w:spacing w:line="480" w:lineRule="exact"/>
        <w:ind w:firstLine="480" w:firstLineChars="200"/>
        <w:rPr>
          <w:rFonts w:hint="eastAsia" w:ascii="宋体" w:hAnsi="宋体" w:cs="宋体"/>
          <w:sz w:val="24"/>
        </w:rPr>
      </w:pPr>
      <w:r>
        <w:rPr>
          <w:rFonts w:hint="eastAsia" w:ascii="宋体" w:hAnsi="宋体" w:cs="宋体"/>
          <w:sz w:val="24"/>
        </w:rPr>
        <w:t>12.4 供应商应在提交截止时间前上传响应文件。因文件过大、未提交全部文件内容或文件内容错误、上传效果差等原因导致无法评审的，供应商自行承担后果。</w:t>
      </w:r>
    </w:p>
    <w:p w14:paraId="64E64808">
      <w:pPr>
        <w:pStyle w:val="14"/>
        <w:spacing w:line="480" w:lineRule="exact"/>
        <w:jc w:val="center"/>
        <w:outlineLvl w:val="1"/>
        <w:rPr>
          <w:rFonts w:hint="eastAsia" w:hAnsi="宋体" w:cs="宋体"/>
          <w:b/>
          <w:bCs/>
          <w:sz w:val="24"/>
          <w:szCs w:val="24"/>
        </w:rPr>
      </w:pPr>
      <w:bookmarkStart w:id="143" w:name="_Toc9844"/>
      <w:r>
        <w:rPr>
          <w:rFonts w:hint="eastAsia" w:hAnsi="宋体" w:cs="宋体"/>
          <w:b/>
          <w:bCs/>
          <w:sz w:val="24"/>
          <w:szCs w:val="24"/>
        </w:rPr>
        <w:t>四、响应文件的递交</w:t>
      </w:r>
      <w:bookmarkEnd w:id="138"/>
      <w:bookmarkEnd w:id="139"/>
      <w:bookmarkEnd w:id="140"/>
      <w:bookmarkEnd w:id="143"/>
    </w:p>
    <w:p w14:paraId="6101CBA1">
      <w:pPr>
        <w:widowControl/>
        <w:spacing w:line="480" w:lineRule="exact"/>
        <w:jc w:val="left"/>
        <w:outlineLvl w:val="2"/>
        <w:rPr>
          <w:rFonts w:hint="eastAsia" w:ascii="宋体" w:hAnsi="宋体" w:cs="宋体"/>
          <w:b/>
          <w:bCs/>
          <w:sz w:val="24"/>
        </w:rPr>
      </w:pPr>
      <w:bookmarkStart w:id="144" w:name="_Toc21315"/>
      <w:bookmarkStart w:id="145" w:name="_Toc373392582"/>
      <w:bookmarkStart w:id="146" w:name="_Toc2101"/>
      <w:bookmarkStart w:id="147" w:name="_Toc325726016"/>
      <w:bookmarkStart w:id="148" w:name="_Toc1176"/>
      <w:bookmarkStart w:id="149" w:name="_Toc1898"/>
      <w:bookmarkStart w:id="150" w:name="_Toc13289"/>
      <w:bookmarkStart w:id="151" w:name="_Toc23823"/>
      <w:bookmarkStart w:id="152" w:name="_Toc412617731"/>
      <w:bookmarkStart w:id="153" w:name="_Toc1351"/>
      <w:r>
        <w:rPr>
          <w:rFonts w:hint="eastAsia" w:ascii="宋体" w:hAnsi="宋体" w:cs="宋体"/>
          <w:b/>
          <w:bCs/>
          <w:sz w:val="24"/>
        </w:rPr>
        <w:t>13．响应文件的</w:t>
      </w:r>
      <w:bookmarkEnd w:id="144"/>
      <w:bookmarkEnd w:id="145"/>
      <w:bookmarkEnd w:id="146"/>
      <w:bookmarkEnd w:id="147"/>
      <w:bookmarkEnd w:id="148"/>
      <w:bookmarkEnd w:id="149"/>
      <w:bookmarkEnd w:id="150"/>
      <w:bookmarkEnd w:id="151"/>
      <w:bookmarkEnd w:id="152"/>
      <w:r>
        <w:rPr>
          <w:rFonts w:hint="eastAsia" w:ascii="宋体" w:hAnsi="宋体" w:cs="宋体"/>
          <w:b/>
          <w:bCs/>
          <w:sz w:val="24"/>
        </w:rPr>
        <w:t>递交</w:t>
      </w:r>
      <w:bookmarkEnd w:id="153"/>
    </w:p>
    <w:p w14:paraId="057333F4">
      <w:pPr>
        <w:pStyle w:val="14"/>
        <w:spacing w:line="480" w:lineRule="exact"/>
        <w:ind w:firstLine="480" w:firstLineChars="200"/>
        <w:rPr>
          <w:rFonts w:hint="eastAsia" w:hAnsi="宋体" w:cs="宋体"/>
          <w:sz w:val="24"/>
          <w:szCs w:val="24"/>
        </w:rPr>
      </w:pPr>
      <w:r>
        <w:rPr>
          <w:rFonts w:hint="eastAsia" w:hAnsi="宋体" w:cs="宋体"/>
          <w:sz w:val="24"/>
          <w:szCs w:val="24"/>
        </w:rPr>
        <w:t>供应商</w:t>
      </w:r>
      <w:r>
        <w:rPr>
          <w:rFonts w:hint="eastAsia" w:hAnsi="宋体" w:cs="宋体"/>
          <w:sz w:val="24"/>
          <w:szCs w:val="24"/>
          <w:lang w:val="zh-CN"/>
        </w:rPr>
        <w:t>应在</w:t>
      </w:r>
      <w:r>
        <w:rPr>
          <w:rFonts w:hint="eastAsia" w:hAnsi="宋体" w:cs="宋体"/>
          <w:sz w:val="24"/>
          <w:szCs w:val="24"/>
        </w:rPr>
        <w:t>响应文件递交截止时间前在</w:t>
      </w:r>
      <w:r>
        <w:rPr>
          <w:rFonts w:hint="eastAsia" w:hAnsi="宋体" w:cs="宋体"/>
          <w:sz w:val="24"/>
          <w:szCs w:val="24"/>
          <w:lang w:val="zh-CN"/>
        </w:rPr>
        <w:t>《</w:t>
      </w:r>
      <w:r>
        <w:rPr>
          <w:rFonts w:hint="eastAsia" w:hAnsi="宋体" w:cs="宋体"/>
          <w:sz w:val="24"/>
          <w:szCs w:val="24"/>
        </w:rPr>
        <w:t>青海新点招标采购电子交易平台</w:t>
      </w:r>
      <w:r>
        <w:rPr>
          <w:rFonts w:hint="eastAsia" w:hAnsi="宋体" w:cs="宋体"/>
          <w:sz w:val="24"/>
          <w:szCs w:val="24"/>
          <w:lang w:val="zh-CN"/>
        </w:rPr>
        <w:t>》上报价并上传电子响应文件。</w:t>
      </w:r>
    </w:p>
    <w:bookmarkEnd w:id="141"/>
    <w:bookmarkEnd w:id="142"/>
    <w:p w14:paraId="1A95FD3C">
      <w:pPr>
        <w:widowControl/>
        <w:spacing w:line="480" w:lineRule="exact"/>
        <w:jc w:val="left"/>
        <w:outlineLvl w:val="2"/>
        <w:rPr>
          <w:rFonts w:hint="eastAsia" w:ascii="宋体" w:hAnsi="宋体" w:cs="宋体"/>
          <w:b/>
          <w:bCs/>
          <w:sz w:val="24"/>
        </w:rPr>
      </w:pPr>
      <w:bookmarkStart w:id="154" w:name="_Toc18207"/>
      <w:bookmarkStart w:id="155" w:name="_Toc7050"/>
      <w:bookmarkStart w:id="156" w:name="_Toc457"/>
      <w:bookmarkStart w:id="157" w:name="_Toc14886"/>
      <w:bookmarkStart w:id="158" w:name="_Toc10157"/>
      <w:bookmarkStart w:id="159" w:name="_Toc371090030"/>
      <w:bookmarkStart w:id="160" w:name="_Toc376936749"/>
      <w:r>
        <w:rPr>
          <w:rFonts w:hint="eastAsia" w:ascii="宋体" w:hAnsi="宋体" w:cs="宋体"/>
          <w:b/>
          <w:bCs/>
          <w:sz w:val="24"/>
        </w:rPr>
        <w:t>14．提交响应文件截止时间、地点</w:t>
      </w:r>
      <w:bookmarkEnd w:id="154"/>
      <w:bookmarkEnd w:id="155"/>
      <w:bookmarkEnd w:id="156"/>
      <w:bookmarkEnd w:id="157"/>
      <w:bookmarkEnd w:id="158"/>
    </w:p>
    <w:p w14:paraId="1AF24DB9">
      <w:pPr>
        <w:pStyle w:val="14"/>
        <w:spacing w:line="480" w:lineRule="exact"/>
        <w:ind w:firstLine="480" w:firstLineChars="200"/>
        <w:rPr>
          <w:rFonts w:hint="eastAsia" w:hAnsi="宋体" w:cs="宋体"/>
          <w:sz w:val="24"/>
          <w:szCs w:val="24"/>
        </w:rPr>
      </w:pPr>
      <w:r>
        <w:rPr>
          <w:rFonts w:hint="eastAsia" w:hAnsi="宋体" w:cs="宋体"/>
          <w:sz w:val="24"/>
          <w:szCs w:val="24"/>
        </w:rPr>
        <w:t>14.1响应文件提交的截止时间及地点详见“供应商须知前附表”。</w:t>
      </w:r>
    </w:p>
    <w:p w14:paraId="6C0B1A23">
      <w:pPr>
        <w:pStyle w:val="14"/>
        <w:spacing w:line="480" w:lineRule="exact"/>
        <w:ind w:firstLine="480" w:firstLineChars="200"/>
        <w:rPr>
          <w:rFonts w:hint="eastAsia" w:hAnsi="宋体" w:cs="宋体"/>
          <w:sz w:val="24"/>
          <w:szCs w:val="24"/>
        </w:rPr>
      </w:pPr>
      <w:r>
        <w:rPr>
          <w:rFonts w:hint="eastAsia" w:hAnsi="宋体" w:cs="宋体"/>
          <w:sz w:val="24"/>
          <w:szCs w:val="24"/>
        </w:rPr>
        <w:t>14.2采购代理机构将拒绝接受在提交响应文件截止时间之后上传的响应文件。</w:t>
      </w:r>
      <w:bookmarkEnd w:id="159"/>
      <w:bookmarkEnd w:id="160"/>
      <w:bookmarkStart w:id="161" w:name="_Toc376936750"/>
      <w:bookmarkStart w:id="162" w:name="_Toc325726019"/>
      <w:bookmarkStart w:id="163" w:name="_Toc9147"/>
    </w:p>
    <w:p w14:paraId="7AD77BFB">
      <w:pPr>
        <w:pStyle w:val="14"/>
        <w:spacing w:line="480" w:lineRule="exact"/>
        <w:ind w:firstLine="480" w:firstLineChars="200"/>
        <w:rPr>
          <w:rFonts w:hint="eastAsia" w:hAnsi="宋体" w:cs="宋体"/>
          <w:b/>
          <w:bCs/>
          <w:sz w:val="24"/>
          <w:szCs w:val="24"/>
        </w:rPr>
      </w:pPr>
      <w:r>
        <w:rPr>
          <w:rFonts w:hint="eastAsia" w:hAnsi="宋体" w:cs="宋体"/>
          <w:sz w:val="24"/>
          <w:szCs w:val="24"/>
        </w:rPr>
        <w:t xml:space="preserve">14.3 </w:t>
      </w:r>
      <w:r>
        <w:rPr>
          <w:rFonts w:hint="eastAsia" w:hAnsi="宋体" w:cs="宋体"/>
          <w:b/>
          <w:bCs/>
          <w:sz w:val="24"/>
          <w:szCs w:val="24"/>
        </w:rPr>
        <w:t>提交响应文件的供应商不足3家的，采购人可重新组织询比采购，也可直接参照谈判采购（2家供应商）或直接采购（1家供应商）方式与供应商谈判后确定成交供应商。</w:t>
      </w:r>
    </w:p>
    <w:p w14:paraId="6191B912">
      <w:pPr>
        <w:widowControl/>
        <w:spacing w:line="480" w:lineRule="exact"/>
        <w:jc w:val="center"/>
        <w:outlineLvl w:val="1"/>
        <w:rPr>
          <w:rFonts w:hint="eastAsia" w:ascii="宋体" w:hAnsi="宋体" w:cs="宋体"/>
          <w:b/>
          <w:bCs/>
          <w:sz w:val="24"/>
        </w:rPr>
      </w:pPr>
      <w:bookmarkStart w:id="164" w:name="_Toc20964"/>
      <w:bookmarkStart w:id="165" w:name="_Toc2493"/>
      <w:bookmarkStart w:id="166" w:name="_Toc30332"/>
      <w:bookmarkStart w:id="167" w:name="_Toc25738"/>
      <w:bookmarkStart w:id="168" w:name="_Toc5644"/>
      <w:bookmarkStart w:id="169" w:name="_Toc24411"/>
      <w:r>
        <w:rPr>
          <w:rFonts w:hint="eastAsia" w:ascii="宋体" w:hAnsi="宋体" w:cs="宋体"/>
          <w:b/>
          <w:bCs/>
          <w:sz w:val="24"/>
        </w:rPr>
        <w:t>五、</w:t>
      </w:r>
      <w:bookmarkEnd w:id="161"/>
      <w:bookmarkEnd w:id="162"/>
      <w:r>
        <w:rPr>
          <w:rFonts w:hint="eastAsia" w:ascii="宋体" w:hAnsi="宋体" w:cs="宋体"/>
          <w:b/>
          <w:bCs/>
          <w:sz w:val="24"/>
        </w:rPr>
        <w:t>询比采购过程</w:t>
      </w:r>
      <w:bookmarkEnd w:id="163"/>
      <w:bookmarkEnd w:id="164"/>
      <w:bookmarkEnd w:id="165"/>
      <w:bookmarkEnd w:id="166"/>
      <w:bookmarkEnd w:id="167"/>
      <w:bookmarkEnd w:id="168"/>
      <w:bookmarkEnd w:id="169"/>
    </w:p>
    <w:p w14:paraId="3F657AC4">
      <w:pPr>
        <w:widowControl/>
        <w:spacing w:line="360" w:lineRule="auto"/>
        <w:jc w:val="left"/>
        <w:outlineLvl w:val="2"/>
        <w:rPr>
          <w:rFonts w:hint="eastAsia" w:ascii="宋体" w:hAnsi="宋体" w:cs="宋体"/>
          <w:b/>
          <w:bCs/>
          <w:sz w:val="24"/>
        </w:rPr>
      </w:pPr>
      <w:bookmarkStart w:id="170" w:name="_Toc25733"/>
      <w:bookmarkStart w:id="171" w:name="_Toc15630"/>
      <w:bookmarkStart w:id="172" w:name="_Toc1767"/>
      <w:bookmarkStart w:id="173" w:name="_Toc24502"/>
      <w:bookmarkStart w:id="174" w:name="_Toc19708"/>
      <w:bookmarkStart w:id="175" w:name="_Toc26723"/>
      <w:bookmarkStart w:id="176" w:name="_Toc16924"/>
      <w:r>
        <w:rPr>
          <w:rFonts w:hint="eastAsia" w:ascii="宋体" w:hAnsi="宋体" w:cs="宋体"/>
          <w:b/>
          <w:bCs/>
          <w:sz w:val="24"/>
        </w:rPr>
        <w:t>15．询比采购过程</w:t>
      </w:r>
      <w:bookmarkEnd w:id="170"/>
      <w:bookmarkEnd w:id="171"/>
      <w:bookmarkEnd w:id="172"/>
      <w:bookmarkEnd w:id="173"/>
      <w:bookmarkEnd w:id="174"/>
      <w:bookmarkEnd w:id="175"/>
      <w:bookmarkEnd w:id="176"/>
    </w:p>
    <w:p w14:paraId="64314FD7">
      <w:pPr>
        <w:spacing w:line="480" w:lineRule="exact"/>
        <w:ind w:firstLine="480" w:firstLineChars="200"/>
        <w:jc w:val="left"/>
        <w:rPr>
          <w:rFonts w:hint="eastAsia" w:ascii="宋体" w:hAnsi="宋体" w:cs="宋体"/>
          <w:sz w:val="24"/>
        </w:rPr>
      </w:pPr>
      <w:r>
        <w:rPr>
          <w:rFonts w:hint="eastAsia" w:ascii="宋体" w:hAnsi="宋体" w:cs="宋体"/>
          <w:sz w:val="24"/>
        </w:rPr>
        <w:t>15.1采购代理机构按本询比采购文件中确定的时间和地点组织本项目的询比采购活动。</w:t>
      </w:r>
    </w:p>
    <w:p w14:paraId="3739E1CB">
      <w:pPr>
        <w:spacing w:line="480" w:lineRule="exact"/>
        <w:ind w:firstLine="480" w:firstLineChars="200"/>
        <w:jc w:val="left"/>
        <w:rPr>
          <w:rFonts w:hint="eastAsia" w:ascii="宋体" w:hAnsi="宋体" w:cs="宋体"/>
          <w:sz w:val="24"/>
        </w:rPr>
      </w:pPr>
      <w:r>
        <w:rPr>
          <w:rFonts w:hint="eastAsia" w:ascii="宋体" w:hAnsi="宋体" w:cs="宋体"/>
          <w:sz w:val="24"/>
        </w:rPr>
        <w:t>15.2对不同文字文本响应文件的解释发生异议的，以中文文本为准。</w:t>
      </w:r>
    </w:p>
    <w:p w14:paraId="0736FC93">
      <w:pPr>
        <w:spacing w:line="480" w:lineRule="exact"/>
        <w:ind w:firstLine="480" w:firstLineChars="200"/>
        <w:jc w:val="left"/>
        <w:rPr>
          <w:rFonts w:hint="eastAsia" w:ascii="宋体" w:hAnsi="宋体" w:cs="宋体"/>
          <w:sz w:val="24"/>
        </w:rPr>
      </w:pPr>
      <w:r>
        <w:rPr>
          <w:rFonts w:hint="eastAsia" w:ascii="宋体" w:hAnsi="宋体" w:cs="宋体"/>
          <w:sz w:val="24"/>
        </w:rPr>
        <w:t>15.3由采购代理机构组织，采购人、监督等有关方面代表可根据采购项目的具体情况列席。</w:t>
      </w:r>
    </w:p>
    <w:p w14:paraId="2B07028F">
      <w:pPr>
        <w:spacing w:line="480" w:lineRule="exact"/>
        <w:ind w:firstLine="480" w:firstLineChars="200"/>
        <w:jc w:val="left"/>
        <w:rPr>
          <w:rFonts w:hint="eastAsia" w:ascii="宋体" w:hAnsi="宋体" w:cs="宋体"/>
          <w:sz w:val="24"/>
        </w:rPr>
      </w:pPr>
      <w:r>
        <w:rPr>
          <w:rFonts w:hint="eastAsia" w:ascii="宋体" w:hAnsi="宋体" w:cs="宋体"/>
          <w:sz w:val="24"/>
        </w:rPr>
        <w:t>15.4有专人记录，并存档备查。</w:t>
      </w:r>
    </w:p>
    <w:p w14:paraId="6F0771AD">
      <w:pPr>
        <w:widowControl/>
        <w:spacing w:line="360" w:lineRule="auto"/>
        <w:jc w:val="center"/>
        <w:outlineLvl w:val="1"/>
        <w:rPr>
          <w:rFonts w:hint="eastAsia" w:ascii="宋体" w:hAnsi="宋体" w:cs="宋体"/>
          <w:b/>
          <w:bCs/>
          <w:sz w:val="24"/>
        </w:rPr>
      </w:pPr>
      <w:bookmarkStart w:id="177" w:name="_Toc13491"/>
      <w:bookmarkStart w:id="178" w:name="_Toc376936752"/>
      <w:bookmarkStart w:id="179" w:name="_Toc16150"/>
      <w:bookmarkStart w:id="180" w:name="_Toc19030"/>
      <w:bookmarkStart w:id="181" w:name="_Toc12791"/>
      <w:bookmarkStart w:id="182" w:name="_Toc21508"/>
      <w:bookmarkStart w:id="183" w:name="_Toc18107"/>
      <w:bookmarkStart w:id="184" w:name="_Toc24104"/>
      <w:bookmarkStart w:id="185" w:name="_Toc325726021"/>
      <w:r>
        <w:rPr>
          <w:rFonts w:hint="eastAsia" w:ascii="宋体" w:hAnsi="宋体" w:cs="宋体"/>
          <w:b/>
          <w:bCs/>
          <w:sz w:val="24"/>
        </w:rPr>
        <w:t>六、询比采购程序及方法</w:t>
      </w:r>
      <w:bookmarkEnd w:id="177"/>
      <w:bookmarkEnd w:id="178"/>
      <w:bookmarkEnd w:id="179"/>
      <w:bookmarkEnd w:id="180"/>
      <w:bookmarkEnd w:id="181"/>
      <w:bookmarkEnd w:id="182"/>
      <w:bookmarkEnd w:id="183"/>
      <w:bookmarkEnd w:id="184"/>
      <w:bookmarkEnd w:id="185"/>
      <w:bookmarkStart w:id="186" w:name="_Toc16935"/>
      <w:bookmarkStart w:id="187" w:name="_Toc26121"/>
      <w:bookmarkStart w:id="188" w:name="_Toc376936753"/>
      <w:bookmarkStart w:id="189" w:name="_Toc325726022"/>
    </w:p>
    <w:p w14:paraId="01CB9187">
      <w:pPr>
        <w:widowControl/>
        <w:spacing w:line="360" w:lineRule="auto"/>
        <w:jc w:val="left"/>
        <w:outlineLvl w:val="2"/>
        <w:rPr>
          <w:rFonts w:hint="eastAsia" w:ascii="宋体" w:hAnsi="宋体" w:cs="宋体"/>
          <w:b/>
          <w:bCs/>
          <w:sz w:val="24"/>
        </w:rPr>
      </w:pPr>
      <w:bookmarkStart w:id="190" w:name="_Toc11011"/>
      <w:bookmarkStart w:id="191" w:name="_Toc31265"/>
      <w:bookmarkStart w:id="192" w:name="_Toc7071"/>
      <w:bookmarkStart w:id="193" w:name="_Toc5435"/>
      <w:bookmarkStart w:id="194" w:name="_Toc15289"/>
      <w:r>
        <w:rPr>
          <w:rFonts w:hint="eastAsia" w:ascii="宋体" w:hAnsi="宋体" w:cs="宋体"/>
          <w:b/>
          <w:bCs/>
          <w:sz w:val="24"/>
        </w:rPr>
        <w:t>16</w:t>
      </w:r>
      <w:bookmarkEnd w:id="186"/>
      <w:bookmarkEnd w:id="187"/>
      <w:bookmarkEnd w:id="188"/>
      <w:bookmarkEnd w:id="189"/>
      <w:r>
        <w:rPr>
          <w:rFonts w:hint="eastAsia" w:ascii="宋体" w:hAnsi="宋体" w:cs="宋体"/>
          <w:b/>
          <w:bCs/>
          <w:sz w:val="24"/>
        </w:rPr>
        <w:t>．</w:t>
      </w:r>
      <w:bookmarkEnd w:id="190"/>
      <w:bookmarkEnd w:id="191"/>
      <w:bookmarkEnd w:id="192"/>
      <w:bookmarkEnd w:id="193"/>
      <w:r>
        <w:rPr>
          <w:rFonts w:hint="eastAsia" w:ascii="宋体" w:hAnsi="宋体" w:cs="宋体"/>
          <w:b/>
          <w:bCs/>
          <w:sz w:val="24"/>
        </w:rPr>
        <w:t>评审专家组</w:t>
      </w:r>
      <w:bookmarkEnd w:id="194"/>
    </w:p>
    <w:p w14:paraId="24102116">
      <w:pPr>
        <w:spacing w:line="480" w:lineRule="exact"/>
        <w:ind w:firstLine="480" w:firstLineChars="200"/>
        <w:jc w:val="left"/>
        <w:rPr>
          <w:rFonts w:hint="eastAsia" w:ascii="宋体" w:hAnsi="宋体" w:cs="宋体"/>
          <w:sz w:val="24"/>
        </w:rPr>
      </w:pPr>
      <w:r>
        <w:rPr>
          <w:rFonts w:hint="eastAsia" w:ascii="宋体" w:hAnsi="宋体" w:cs="宋体"/>
          <w:sz w:val="24"/>
        </w:rPr>
        <w:t>16.1采购代理机构将根据采购项目的特点依法组建评审专家组，其成员由具有一定专业水平的技术、经济等方面的三人以上单数组成。</w:t>
      </w:r>
    </w:p>
    <w:p w14:paraId="3ED05892">
      <w:pPr>
        <w:spacing w:line="480" w:lineRule="exact"/>
        <w:ind w:firstLine="480" w:firstLineChars="200"/>
        <w:jc w:val="left"/>
        <w:rPr>
          <w:rFonts w:hint="eastAsia" w:ascii="宋体" w:hAnsi="宋体" w:cs="宋体"/>
          <w:sz w:val="24"/>
        </w:rPr>
      </w:pPr>
      <w:r>
        <w:rPr>
          <w:rFonts w:hint="eastAsia" w:ascii="宋体" w:hAnsi="宋体" w:cs="宋体"/>
          <w:sz w:val="24"/>
        </w:rPr>
        <w:t>16.2采购代理机构负责组织，具体采购事务由组建的评审专家组负责，并独立履行下列职责：</w:t>
      </w:r>
    </w:p>
    <w:p w14:paraId="1971E885">
      <w:pPr>
        <w:spacing w:line="480" w:lineRule="exact"/>
        <w:ind w:firstLine="480" w:firstLineChars="200"/>
        <w:jc w:val="left"/>
        <w:rPr>
          <w:rFonts w:hint="eastAsia" w:ascii="宋体" w:hAnsi="宋体" w:cs="宋体"/>
          <w:sz w:val="24"/>
        </w:rPr>
      </w:pPr>
      <w:r>
        <w:rPr>
          <w:rFonts w:hint="eastAsia" w:ascii="宋体" w:hAnsi="宋体" w:cs="宋体"/>
          <w:sz w:val="24"/>
        </w:rPr>
        <w:t>（1）审查响应文件是否符合询比采购文件要求，并作出评价；</w:t>
      </w:r>
    </w:p>
    <w:p w14:paraId="4E6B3141">
      <w:pPr>
        <w:spacing w:line="480" w:lineRule="exact"/>
        <w:ind w:firstLine="480" w:firstLineChars="200"/>
        <w:jc w:val="left"/>
        <w:rPr>
          <w:rFonts w:hint="eastAsia" w:ascii="宋体" w:hAnsi="宋体" w:cs="宋体"/>
          <w:sz w:val="24"/>
        </w:rPr>
      </w:pPr>
      <w:r>
        <w:rPr>
          <w:rFonts w:hint="eastAsia" w:ascii="宋体" w:hAnsi="宋体" w:cs="宋体"/>
          <w:sz w:val="24"/>
        </w:rPr>
        <w:t>（2）要求供应商对响应文件有关事项作出解释或澄清；</w:t>
      </w:r>
    </w:p>
    <w:p w14:paraId="1A0A614F">
      <w:pPr>
        <w:spacing w:line="480" w:lineRule="exact"/>
        <w:ind w:firstLine="480" w:firstLineChars="200"/>
        <w:jc w:val="left"/>
        <w:rPr>
          <w:rFonts w:hint="eastAsia" w:ascii="宋体" w:hAnsi="宋体" w:cs="宋体"/>
          <w:sz w:val="24"/>
        </w:rPr>
      </w:pPr>
      <w:r>
        <w:rPr>
          <w:rFonts w:hint="eastAsia" w:ascii="宋体" w:hAnsi="宋体" w:cs="宋体"/>
          <w:sz w:val="24"/>
        </w:rPr>
        <w:t>（3）推荐候选成交供应商；</w:t>
      </w:r>
    </w:p>
    <w:p w14:paraId="2BE9E619">
      <w:pPr>
        <w:spacing w:line="480" w:lineRule="exact"/>
        <w:ind w:firstLine="480" w:firstLineChars="200"/>
        <w:jc w:val="left"/>
        <w:rPr>
          <w:rFonts w:hint="eastAsia" w:ascii="宋体" w:hAnsi="宋体" w:cs="宋体"/>
          <w:sz w:val="24"/>
        </w:rPr>
      </w:pPr>
      <w:r>
        <w:rPr>
          <w:rFonts w:hint="eastAsia" w:ascii="宋体" w:hAnsi="宋体" w:cs="宋体"/>
          <w:sz w:val="24"/>
        </w:rPr>
        <w:t>（4）对非法干预评标工作的人员和机构进行举报或投诉。</w:t>
      </w:r>
    </w:p>
    <w:p w14:paraId="581BE47A">
      <w:pPr>
        <w:spacing w:line="480" w:lineRule="exact"/>
        <w:ind w:firstLine="480" w:firstLineChars="200"/>
        <w:jc w:val="left"/>
        <w:rPr>
          <w:rFonts w:hint="eastAsia" w:ascii="宋体" w:hAnsi="宋体" w:cs="宋体"/>
          <w:sz w:val="24"/>
        </w:rPr>
      </w:pPr>
      <w:r>
        <w:rPr>
          <w:rFonts w:hint="eastAsia" w:ascii="宋体" w:hAnsi="宋体" w:cs="宋体"/>
          <w:sz w:val="24"/>
        </w:rPr>
        <w:t>16.3应遵守并履行下列义务：</w:t>
      </w:r>
    </w:p>
    <w:p w14:paraId="0D31343C">
      <w:pPr>
        <w:spacing w:line="480" w:lineRule="exact"/>
        <w:ind w:firstLine="480" w:firstLineChars="200"/>
        <w:jc w:val="left"/>
        <w:rPr>
          <w:rFonts w:hint="eastAsia" w:ascii="宋体" w:hAnsi="宋体" w:cs="宋体"/>
          <w:sz w:val="24"/>
        </w:rPr>
      </w:pPr>
      <w:r>
        <w:rPr>
          <w:rFonts w:hint="eastAsia" w:ascii="宋体" w:hAnsi="宋体" w:cs="宋体"/>
          <w:sz w:val="24"/>
        </w:rPr>
        <w:t>（1）遵纪守法，客观、公正、廉洁地履行职责；</w:t>
      </w:r>
    </w:p>
    <w:p w14:paraId="608A2436">
      <w:pPr>
        <w:spacing w:line="480" w:lineRule="exact"/>
        <w:ind w:firstLine="480" w:firstLineChars="200"/>
        <w:jc w:val="left"/>
        <w:rPr>
          <w:rFonts w:hint="eastAsia" w:ascii="宋体" w:hAnsi="宋体" w:cs="宋体"/>
          <w:sz w:val="24"/>
        </w:rPr>
      </w:pPr>
      <w:r>
        <w:rPr>
          <w:rFonts w:hint="eastAsia" w:ascii="宋体" w:hAnsi="宋体" w:cs="宋体"/>
          <w:sz w:val="24"/>
        </w:rPr>
        <w:t>（2）按照询比采购文件规定的评审方法和评审标准进行评审，对评审意见承担评审专家组成员责任；</w:t>
      </w:r>
    </w:p>
    <w:p w14:paraId="210E0CC3">
      <w:pPr>
        <w:spacing w:line="480" w:lineRule="exact"/>
        <w:ind w:firstLine="480" w:firstLineChars="200"/>
        <w:jc w:val="left"/>
        <w:rPr>
          <w:rFonts w:hint="eastAsia" w:ascii="宋体" w:hAnsi="宋体" w:cs="宋体"/>
          <w:sz w:val="24"/>
        </w:rPr>
      </w:pPr>
      <w:r>
        <w:rPr>
          <w:rFonts w:hint="eastAsia" w:ascii="宋体" w:hAnsi="宋体" w:cs="宋体"/>
          <w:sz w:val="24"/>
        </w:rPr>
        <w:t>（3）对响应文件、询比情况和询比中获悉的商业秘密保密；</w:t>
      </w:r>
    </w:p>
    <w:p w14:paraId="39C04165">
      <w:pPr>
        <w:spacing w:line="480" w:lineRule="exact"/>
        <w:ind w:firstLine="480" w:firstLineChars="200"/>
        <w:jc w:val="left"/>
        <w:rPr>
          <w:rFonts w:hint="eastAsia" w:ascii="宋体" w:hAnsi="宋体" w:cs="宋体"/>
          <w:sz w:val="24"/>
        </w:rPr>
      </w:pPr>
      <w:r>
        <w:rPr>
          <w:rFonts w:hint="eastAsia" w:ascii="宋体" w:hAnsi="宋体" w:cs="宋体"/>
          <w:sz w:val="24"/>
        </w:rPr>
        <w:t>（4）参与评审报告的起草；</w:t>
      </w:r>
    </w:p>
    <w:p w14:paraId="2E37EA55">
      <w:pPr>
        <w:spacing w:line="480" w:lineRule="exact"/>
        <w:ind w:firstLine="480" w:firstLineChars="200"/>
        <w:jc w:val="left"/>
        <w:rPr>
          <w:rFonts w:hint="eastAsia" w:ascii="宋体" w:hAnsi="宋体" w:cs="宋体"/>
          <w:sz w:val="24"/>
        </w:rPr>
      </w:pPr>
      <w:r>
        <w:rPr>
          <w:rFonts w:hint="eastAsia" w:ascii="宋体" w:hAnsi="宋体" w:cs="宋体"/>
          <w:sz w:val="24"/>
        </w:rPr>
        <w:t>（5）解答供应商及有关方面的质疑；</w:t>
      </w:r>
    </w:p>
    <w:p w14:paraId="3F3D34D3">
      <w:pPr>
        <w:spacing w:line="480" w:lineRule="exact"/>
        <w:ind w:firstLine="480" w:firstLineChars="200"/>
        <w:jc w:val="left"/>
        <w:rPr>
          <w:rFonts w:hint="eastAsia" w:ascii="宋体" w:hAnsi="宋体" w:cs="宋体"/>
          <w:sz w:val="24"/>
        </w:rPr>
      </w:pPr>
      <w:r>
        <w:rPr>
          <w:rFonts w:hint="eastAsia" w:ascii="宋体" w:hAnsi="宋体" w:cs="宋体"/>
          <w:sz w:val="24"/>
        </w:rPr>
        <w:t>（6）配合监督部门进行投诉处理工作。</w:t>
      </w:r>
    </w:p>
    <w:p w14:paraId="67F0B2B8">
      <w:pPr>
        <w:spacing w:line="480" w:lineRule="exact"/>
        <w:ind w:firstLine="480" w:firstLineChars="200"/>
        <w:jc w:val="left"/>
        <w:rPr>
          <w:rFonts w:hint="eastAsia" w:ascii="宋体" w:hAnsi="宋体" w:cs="宋体"/>
          <w:sz w:val="24"/>
        </w:rPr>
      </w:pPr>
      <w:r>
        <w:rPr>
          <w:rFonts w:hint="eastAsia" w:ascii="宋体" w:hAnsi="宋体" w:cs="宋体"/>
          <w:sz w:val="24"/>
        </w:rPr>
        <w:t>16.4在有关部门的监督和严格保密的情况下依法开展，任何单位和个人不得非法干预、影响询比工作和询比结果。</w:t>
      </w:r>
    </w:p>
    <w:p w14:paraId="6CF8EB4F">
      <w:pPr>
        <w:widowControl/>
        <w:numPr>
          <w:ilvl w:val="0"/>
          <w:numId w:val="2"/>
        </w:numPr>
        <w:spacing w:line="480" w:lineRule="exact"/>
        <w:jc w:val="left"/>
        <w:outlineLvl w:val="2"/>
        <w:rPr>
          <w:rFonts w:hint="eastAsia" w:ascii="宋体" w:hAnsi="宋体" w:cs="宋体"/>
          <w:b/>
          <w:bCs/>
          <w:sz w:val="24"/>
        </w:rPr>
      </w:pPr>
      <w:bookmarkStart w:id="195" w:name="_Toc1467"/>
      <w:bookmarkStart w:id="196" w:name="_Toc28243"/>
      <w:bookmarkStart w:id="197" w:name="_Toc3385"/>
      <w:bookmarkStart w:id="198" w:name="_Toc14903"/>
      <w:bookmarkStart w:id="199" w:name="_Toc6770"/>
      <w:r>
        <w:rPr>
          <w:rFonts w:hint="eastAsia" w:ascii="宋体" w:hAnsi="宋体" w:cs="宋体"/>
          <w:b/>
          <w:bCs/>
          <w:sz w:val="24"/>
        </w:rPr>
        <w:t>询比程序</w:t>
      </w:r>
      <w:bookmarkEnd w:id="195"/>
      <w:bookmarkEnd w:id="196"/>
      <w:bookmarkEnd w:id="197"/>
      <w:bookmarkEnd w:id="198"/>
      <w:bookmarkEnd w:id="199"/>
    </w:p>
    <w:p w14:paraId="5C971358">
      <w:pPr>
        <w:spacing w:line="480" w:lineRule="exact"/>
        <w:ind w:firstLine="480" w:firstLineChars="200"/>
        <w:jc w:val="left"/>
        <w:rPr>
          <w:rFonts w:hint="eastAsia" w:ascii="宋体" w:hAnsi="宋体" w:cs="宋体"/>
          <w:sz w:val="24"/>
        </w:rPr>
      </w:pPr>
      <w:bookmarkStart w:id="200" w:name="_Toc28889"/>
      <w:bookmarkStart w:id="201" w:name="_Toc325726026"/>
      <w:bookmarkStart w:id="202" w:name="_Toc376936757"/>
      <w:bookmarkStart w:id="203" w:name="_Toc17038"/>
      <w:r>
        <w:rPr>
          <w:rFonts w:hint="eastAsia" w:ascii="宋体" w:hAnsi="宋体" w:cs="宋体"/>
          <w:sz w:val="24"/>
        </w:rPr>
        <w:t>17.1</w:t>
      </w:r>
      <w:r>
        <w:rPr>
          <w:rFonts w:hint="eastAsia" w:ascii="宋体" w:hAnsi="宋体" w:cs="宋体"/>
          <w:sz w:val="24"/>
          <w:lang w:val="zh-CN"/>
        </w:rPr>
        <w:t>进入评审</w:t>
      </w:r>
      <w:r>
        <w:rPr>
          <w:rFonts w:hint="eastAsia" w:ascii="宋体" w:hAnsi="宋体" w:cs="宋体"/>
          <w:sz w:val="24"/>
        </w:rPr>
        <w:t>阶段后，评审专家组成员按照客观、公正、审慎的原则，根据询比采购文件规定的评审程序、评审方法和评审标准进行独立开展评审工作，负责审议所有响应文件，并按先初审、后详审的程序对响应文件进行评审、评分。</w:t>
      </w:r>
    </w:p>
    <w:p w14:paraId="4322380F">
      <w:pPr>
        <w:spacing w:line="480" w:lineRule="exact"/>
        <w:ind w:firstLine="480" w:firstLineChars="200"/>
        <w:jc w:val="left"/>
        <w:rPr>
          <w:rFonts w:hint="eastAsia" w:ascii="宋体" w:hAnsi="宋体" w:cs="宋体"/>
          <w:sz w:val="24"/>
        </w:rPr>
      </w:pPr>
      <w:r>
        <w:rPr>
          <w:rFonts w:hint="eastAsia" w:ascii="宋体" w:hAnsi="宋体" w:cs="宋体"/>
          <w:sz w:val="24"/>
        </w:rPr>
        <w:t>17.2.实质性偏离是指响应文件未能实质性响应询比采购文件的要求。以下情况属于实质性偏离，响应文件有下列情况之一的，否决其投标。</w:t>
      </w:r>
    </w:p>
    <w:p w14:paraId="77097B27">
      <w:pPr>
        <w:spacing w:line="480" w:lineRule="exact"/>
        <w:ind w:firstLine="482" w:firstLineChars="200"/>
        <w:jc w:val="left"/>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val="zh-CN"/>
        </w:rPr>
        <w:t>）不符合采购文件</w:t>
      </w:r>
      <w:r>
        <w:rPr>
          <w:rFonts w:hint="eastAsia" w:ascii="宋体" w:hAnsi="宋体" w:cs="宋体"/>
          <w:b/>
          <w:bCs/>
          <w:sz w:val="24"/>
        </w:rPr>
        <w:t>2.2款“合格的供应商”；</w:t>
      </w:r>
    </w:p>
    <w:p w14:paraId="208D5101">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2</w:t>
      </w:r>
      <w:r>
        <w:rPr>
          <w:rFonts w:hint="eastAsia" w:ascii="宋体" w:hAnsi="宋体" w:cs="宋体"/>
          <w:b/>
          <w:bCs/>
          <w:sz w:val="24"/>
          <w:lang w:val="zh-CN"/>
        </w:rPr>
        <w:t>）未按第11.1（2）-11.1（</w:t>
      </w:r>
      <w:r>
        <w:rPr>
          <w:rFonts w:hint="eastAsia" w:ascii="宋体" w:hAnsi="宋体" w:cs="宋体"/>
          <w:b/>
          <w:bCs/>
          <w:sz w:val="24"/>
        </w:rPr>
        <w:t>7</w:t>
      </w:r>
      <w:r>
        <w:rPr>
          <w:rFonts w:hint="eastAsia" w:ascii="宋体" w:hAnsi="宋体" w:cs="宋体"/>
          <w:b/>
          <w:bCs/>
          <w:sz w:val="24"/>
          <w:lang w:val="zh-CN"/>
        </w:rPr>
        <w:t>）要求提供相关资料的；</w:t>
      </w:r>
    </w:p>
    <w:p w14:paraId="4D427D1D">
      <w:pPr>
        <w:spacing w:line="480" w:lineRule="exact"/>
        <w:ind w:firstLine="482" w:firstLineChars="200"/>
        <w:jc w:val="left"/>
        <w:rPr>
          <w:rFonts w:ascii="宋体" w:hAnsi="宋体" w:cs="宋体"/>
          <w:b/>
          <w:bCs/>
          <w:sz w:val="24"/>
        </w:rPr>
      </w:pPr>
      <w:r>
        <w:rPr>
          <w:rFonts w:hint="eastAsia" w:ascii="宋体" w:hAnsi="宋体" w:cs="宋体"/>
          <w:b/>
          <w:bCs/>
          <w:sz w:val="24"/>
          <w:lang w:val="zh-CN"/>
        </w:rPr>
        <w:t>（</w:t>
      </w:r>
      <w:r>
        <w:rPr>
          <w:rFonts w:hint="eastAsia" w:ascii="宋体" w:hAnsi="宋体" w:cs="宋体"/>
          <w:b/>
          <w:bCs/>
          <w:sz w:val="24"/>
        </w:rPr>
        <w:t>3</w:t>
      </w:r>
      <w:r>
        <w:rPr>
          <w:rFonts w:hint="eastAsia" w:ascii="宋体" w:hAnsi="宋体" w:cs="宋体"/>
          <w:b/>
          <w:bCs/>
          <w:sz w:val="24"/>
          <w:lang w:val="zh-CN"/>
        </w:rPr>
        <w:t>）</w:t>
      </w:r>
      <w:r>
        <w:rPr>
          <w:rFonts w:hint="eastAsia" w:ascii="宋体" w:hAnsi="宋体" w:cs="宋体"/>
          <w:b/>
          <w:bCs/>
          <w:sz w:val="24"/>
        </w:rPr>
        <w:t>未按询比采购文件要求提交响应保证金；</w:t>
      </w:r>
    </w:p>
    <w:p w14:paraId="360AC7B0">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4</w:t>
      </w:r>
      <w:r>
        <w:rPr>
          <w:rFonts w:hint="eastAsia" w:ascii="宋体" w:hAnsi="宋体" w:cs="宋体"/>
          <w:b/>
          <w:bCs/>
          <w:sz w:val="24"/>
          <w:lang w:val="zh-CN"/>
        </w:rPr>
        <w:t>）响应文件内容没有按询比采购文件规定和要求签字、盖章的；</w:t>
      </w:r>
    </w:p>
    <w:p w14:paraId="3657F0F7">
      <w:pPr>
        <w:spacing w:line="480" w:lineRule="exact"/>
        <w:ind w:firstLine="482" w:firstLineChars="200"/>
        <w:jc w:val="left"/>
        <w:rPr>
          <w:rFonts w:hint="eastAsia"/>
          <w:lang w:val="zh-CN"/>
        </w:rPr>
      </w:pPr>
      <w:r>
        <w:rPr>
          <w:rFonts w:hint="eastAsia" w:ascii="宋体" w:hAnsi="宋体" w:cs="宋体"/>
          <w:b/>
          <w:bCs/>
          <w:sz w:val="24"/>
          <w:lang w:val="zh-CN"/>
        </w:rPr>
        <w:t>（</w:t>
      </w:r>
      <w:r>
        <w:rPr>
          <w:rFonts w:hint="eastAsia" w:ascii="宋体" w:hAnsi="宋体" w:cs="宋体"/>
          <w:b/>
          <w:bCs/>
          <w:sz w:val="24"/>
        </w:rPr>
        <w:t>5</w:t>
      </w:r>
      <w:r>
        <w:rPr>
          <w:rFonts w:hint="eastAsia" w:ascii="宋体" w:hAnsi="宋体" w:cs="宋体"/>
          <w:b/>
          <w:bCs/>
          <w:sz w:val="24"/>
          <w:lang w:val="zh-CN"/>
        </w:rPr>
        <w:t>）投标报价超过最高投标限价的；</w:t>
      </w:r>
    </w:p>
    <w:p w14:paraId="7CCFED23">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6</w:t>
      </w:r>
      <w:r>
        <w:rPr>
          <w:rFonts w:hint="eastAsia" w:ascii="宋体" w:hAnsi="宋体" w:cs="宋体"/>
          <w:b/>
          <w:bCs/>
          <w:sz w:val="24"/>
          <w:lang w:val="zh-CN"/>
        </w:rPr>
        <w:t>）响应文件编排混乱，且擅自修改询比采购文件规定的格式内容的；</w:t>
      </w:r>
    </w:p>
    <w:p w14:paraId="14649122">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7</w:t>
      </w:r>
      <w:r>
        <w:rPr>
          <w:rFonts w:hint="eastAsia" w:ascii="宋体" w:hAnsi="宋体" w:cs="宋体"/>
          <w:b/>
          <w:bCs/>
          <w:sz w:val="24"/>
          <w:lang w:val="zh-CN"/>
        </w:rPr>
        <w:t>）服务期不能满足询比采购文件要求的；</w:t>
      </w:r>
    </w:p>
    <w:p w14:paraId="58EE5CAC">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8</w:t>
      </w:r>
      <w:r>
        <w:rPr>
          <w:rFonts w:hint="eastAsia" w:ascii="宋体" w:hAnsi="宋体" w:cs="宋体"/>
          <w:b/>
          <w:bCs/>
          <w:sz w:val="24"/>
          <w:lang w:val="zh-CN"/>
        </w:rPr>
        <w:t>）询比有效期不能满足询比采购文件要求的；</w:t>
      </w:r>
    </w:p>
    <w:p w14:paraId="0197B39B">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9</w:t>
      </w:r>
      <w:r>
        <w:rPr>
          <w:rFonts w:hint="eastAsia" w:ascii="宋体" w:hAnsi="宋体" w:cs="宋体"/>
          <w:b/>
          <w:bCs/>
          <w:sz w:val="24"/>
          <w:lang w:val="zh-CN"/>
        </w:rPr>
        <w:t>）响应文件中附有采购人不能接受的条件的；</w:t>
      </w:r>
    </w:p>
    <w:p w14:paraId="41988E3F">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10</w:t>
      </w:r>
      <w:r>
        <w:rPr>
          <w:rFonts w:hint="eastAsia" w:ascii="宋体" w:hAnsi="宋体" w:cs="宋体"/>
          <w:b/>
          <w:bCs/>
          <w:sz w:val="24"/>
          <w:lang w:val="zh-CN"/>
        </w:rPr>
        <w:t>）评审专家组认为应按无效响应处理的其他情况；</w:t>
      </w:r>
    </w:p>
    <w:p w14:paraId="58642F5A">
      <w:pPr>
        <w:tabs>
          <w:tab w:val="left" w:pos="8787"/>
        </w:tabs>
        <w:spacing w:line="480" w:lineRule="exact"/>
        <w:ind w:firstLine="480" w:firstLineChars="200"/>
        <w:jc w:val="left"/>
        <w:rPr>
          <w:rFonts w:hint="eastAsia" w:ascii="宋体" w:hAnsi="宋体" w:cs="宋体"/>
          <w:sz w:val="24"/>
        </w:rPr>
      </w:pPr>
      <w:r>
        <w:rPr>
          <w:rFonts w:hint="eastAsia" w:ascii="宋体" w:hAnsi="宋体" w:cs="宋体"/>
          <w:sz w:val="24"/>
        </w:rPr>
        <w:t>17.3非实质性响应指评审专家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585B48">
      <w:pPr>
        <w:tabs>
          <w:tab w:val="left" w:pos="8787"/>
        </w:tabs>
        <w:spacing w:line="480" w:lineRule="exact"/>
        <w:ind w:firstLine="480"/>
        <w:jc w:val="left"/>
        <w:rPr>
          <w:rFonts w:hint="eastAsia" w:ascii="宋体" w:hAnsi="宋体" w:cs="宋体"/>
          <w:sz w:val="24"/>
        </w:rPr>
      </w:pPr>
      <w:r>
        <w:rPr>
          <w:rFonts w:hint="eastAsia" w:ascii="宋体" w:hAnsi="宋体" w:cs="宋体"/>
          <w:sz w:val="24"/>
        </w:rPr>
        <w:t>评审专家组要求供应商澄清、说明或者更正响应文件应当以书面形式作出。供应商的澄清、说明或者更正应当由法定代表人或其授权代表签字或者加盖公章。由授权代表签字的，应当附法定代表人授权书。</w:t>
      </w:r>
    </w:p>
    <w:p w14:paraId="73589CA7">
      <w:pPr>
        <w:tabs>
          <w:tab w:val="left" w:pos="8787"/>
        </w:tabs>
        <w:spacing w:line="480" w:lineRule="exact"/>
        <w:ind w:firstLine="480"/>
        <w:jc w:val="left"/>
        <w:rPr>
          <w:rFonts w:hint="eastAsia" w:ascii="宋体" w:hAnsi="宋体" w:cs="宋体"/>
          <w:sz w:val="24"/>
        </w:rPr>
      </w:pPr>
      <w:r>
        <w:rPr>
          <w:rFonts w:hint="eastAsia" w:ascii="宋体" w:hAnsi="宋体" w:cs="宋体"/>
          <w:sz w:val="24"/>
        </w:rPr>
        <w:t>17.4响应文件报价出现不一致的，按照下列规定修正：</w:t>
      </w:r>
    </w:p>
    <w:p w14:paraId="79E1A11A">
      <w:pPr>
        <w:tabs>
          <w:tab w:val="left" w:pos="8787"/>
        </w:tabs>
        <w:spacing w:line="480" w:lineRule="exact"/>
        <w:ind w:firstLine="480"/>
        <w:jc w:val="left"/>
        <w:rPr>
          <w:rFonts w:hint="eastAsia" w:ascii="宋体" w:hAnsi="宋体" w:cs="宋体"/>
          <w:sz w:val="24"/>
        </w:rPr>
      </w:pPr>
      <w:r>
        <w:rPr>
          <w:rFonts w:hint="eastAsia" w:ascii="宋体" w:hAnsi="宋体" w:cs="宋体"/>
          <w:sz w:val="24"/>
        </w:rPr>
        <w:t>若出现响应文件中“投标报价表”内容与</w:t>
      </w:r>
      <w:r>
        <w:rPr>
          <w:rFonts w:hint="eastAsia" w:ascii="宋体" w:hAnsi="宋体" w:cs="宋体"/>
          <w:sz w:val="24"/>
          <w:lang w:val="en-US" w:eastAsia="zh-CN"/>
        </w:rPr>
        <w:t>响应文件中响应</w:t>
      </w:r>
      <w:r>
        <w:rPr>
          <w:rFonts w:hint="eastAsia" w:ascii="宋体" w:hAnsi="宋体" w:cs="宋体"/>
          <w:sz w:val="24"/>
        </w:rPr>
        <w:t>内容不一致的，以“投标报价表”为准；投标文件中大写金额与小写金额不一致的，以大写金额为准；单价金额小数点或百分比有明显错位的，以“投标报价表”的总价为准，并修改单价；总价金额与按单价汇总金额不一致的，以单价金额计算结果为准；对不同文字文本投标文件的解释发生异议的，以中文文本为准。同时出现两种以上不一致的，按照前款规定的顺序修正。修正后的报价</w:t>
      </w:r>
      <w:r>
        <w:rPr>
          <w:rFonts w:hint="eastAsia" w:ascii="宋体" w:hAnsi="宋体" w:cs="宋体"/>
          <w:sz w:val="24"/>
          <w:lang w:val="en-US" w:eastAsia="zh-CN"/>
        </w:rPr>
        <w:t>按17.3第二款规定</w:t>
      </w:r>
      <w:r>
        <w:rPr>
          <w:rFonts w:hint="eastAsia" w:ascii="宋体" w:hAnsi="宋体" w:cs="宋体"/>
          <w:sz w:val="24"/>
        </w:rPr>
        <w:t>经供应商确认后产生约束力。供应商不确认的，其投标无效。</w:t>
      </w:r>
    </w:p>
    <w:p w14:paraId="12007470">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注：评审专家组认为供应商的投标报价明显低于其他通过</w:t>
      </w:r>
      <w:r>
        <w:rPr>
          <w:rFonts w:hint="eastAsia" w:ascii="宋体" w:hAnsi="宋体" w:cs="宋体"/>
          <w:b/>
          <w:bCs/>
          <w:sz w:val="24"/>
        </w:rPr>
        <w:t>资格审查的</w:t>
      </w:r>
      <w:r>
        <w:rPr>
          <w:rFonts w:hint="eastAsia" w:ascii="宋体" w:hAnsi="宋体" w:cs="宋体"/>
          <w:b/>
          <w:bCs/>
          <w:sz w:val="24"/>
          <w:lang w:val="zh-CN"/>
        </w:rPr>
        <w:t>供应商的报价，有可能影响</w:t>
      </w:r>
      <w:r>
        <w:rPr>
          <w:rFonts w:hint="eastAsia" w:ascii="宋体" w:hAnsi="宋体" w:cs="宋体"/>
          <w:b/>
          <w:bCs/>
          <w:sz w:val="24"/>
        </w:rPr>
        <w:t>工程</w:t>
      </w:r>
      <w:r>
        <w:rPr>
          <w:rFonts w:hint="eastAsia" w:ascii="宋体" w:hAnsi="宋体" w:cs="宋体"/>
          <w:b/>
          <w:bCs/>
          <w:sz w:val="24"/>
          <w:lang w:val="zh-CN"/>
        </w:rPr>
        <w:t>质量或者不能诚信履约的，应当要求其在询比现场合理的时间内提供书面说明，必要时提交相关证明材料；供应商不能证明其报价合理性的，评审专家组应当将其作为无效标处理。</w:t>
      </w:r>
    </w:p>
    <w:p w14:paraId="6C78BB49">
      <w:pPr>
        <w:tabs>
          <w:tab w:val="left" w:pos="8787"/>
        </w:tabs>
        <w:spacing w:line="480" w:lineRule="exact"/>
        <w:ind w:firstLine="482" w:firstLineChars="200"/>
        <w:jc w:val="left"/>
        <w:rPr>
          <w:rFonts w:hint="eastAsia" w:ascii="宋体" w:hAnsi="宋体" w:cs="宋体"/>
          <w:b/>
          <w:bCs/>
          <w:sz w:val="24"/>
        </w:rPr>
      </w:pPr>
      <w:r>
        <w:rPr>
          <w:rFonts w:hint="eastAsia" w:ascii="宋体" w:hAnsi="宋体" w:cs="宋体"/>
          <w:b/>
          <w:bCs/>
          <w:sz w:val="24"/>
        </w:rPr>
        <w:t>17.5通过资格审查的供应商不足3家的，采购人可继续进行询比采购活动，也可重新开展采购活动。</w:t>
      </w:r>
    </w:p>
    <w:p w14:paraId="5607D403">
      <w:pPr>
        <w:tabs>
          <w:tab w:val="left" w:pos="8787"/>
        </w:tabs>
        <w:spacing w:line="480" w:lineRule="exact"/>
        <w:ind w:firstLine="480"/>
        <w:jc w:val="left"/>
        <w:rPr>
          <w:rFonts w:hint="eastAsia" w:ascii="宋体" w:hAnsi="宋体" w:cs="宋体"/>
          <w:b/>
          <w:bCs/>
          <w:sz w:val="24"/>
        </w:rPr>
      </w:pPr>
      <w:r>
        <w:rPr>
          <w:rFonts w:hint="eastAsia" w:ascii="宋体" w:hAnsi="宋体" w:cs="宋体"/>
          <w:b/>
          <w:bCs/>
          <w:sz w:val="24"/>
        </w:rPr>
        <w:t>通过资格评审的供应商不足3家且评审专家组认为价格超出市场公允价格的，采购人可要求评审专家组直接参照谈判采购（适用于2家供应商的情形）或直接采购（适用于1家供应商的情形）方式与供应商谈判后确定成交供应商，也可重新开展采购活动。</w:t>
      </w:r>
    </w:p>
    <w:p w14:paraId="4221479E">
      <w:pPr>
        <w:tabs>
          <w:tab w:val="left" w:pos="8787"/>
        </w:tabs>
        <w:spacing w:line="480" w:lineRule="exact"/>
        <w:ind w:firstLine="480" w:firstLineChars="200"/>
        <w:jc w:val="left"/>
        <w:rPr>
          <w:rFonts w:hint="eastAsia" w:ascii="宋体" w:hAnsi="宋体" w:cs="宋体"/>
          <w:sz w:val="24"/>
        </w:rPr>
      </w:pPr>
      <w:r>
        <w:rPr>
          <w:rFonts w:hint="eastAsia" w:ascii="宋体" w:hAnsi="宋体" w:cs="宋体"/>
          <w:sz w:val="24"/>
        </w:rPr>
        <w:t>17.6资格审查、详审过程中，如果评审专家组成员出现对评审结果有不同意见的，应当以书面形式反映，评审报告中应注明该不同意见。评审专家组成员拒绝在评审报告中签字又不书面说明其不同意见和理由的，视为同意询比结果。</w:t>
      </w:r>
    </w:p>
    <w:p w14:paraId="7B1B4A3F">
      <w:pPr>
        <w:autoSpaceDE w:val="0"/>
        <w:autoSpaceDN w:val="0"/>
        <w:spacing w:line="480" w:lineRule="exact"/>
        <w:ind w:firstLine="480" w:firstLineChars="200"/>
        <w:jc w:val="left"/>
        <w:rPr>
          <w:rFonts w:hint="eastAsia" w:ascii="宋体" w:hAnsi="宋体" w:cs="宋体"/>
          <w:sz w:val="24"/>
        </w:rPr>
      </w:pPr>
      <w:r>
        <w:rPr>
          <w:rFonts w:hint="eastAsia" w:ascii="宋体" w:hAnsi="宋体" w:cs="宋体"/>
          <w:sz w:val="24"/>
        </w:rPr>
        <w:t>17.7评审专家组可以根据询比采购文件和询比情况实质性变动采购需求中的技术、服务要求以及合同草案条款，但不得变动询比采购文件中的其他内容。实质性变动的内容，须经采购人代表确认。对询比采购文件作出的实质性变动是询比采购文件的有效组成部分，评审专家组应及时以书面形式同时通知所有参加询比的供应商。供应商应当按照询比采购文件的变动情况和评审专家组的要求重新提交响应文件，并由其法定代表人或委托代理人签字或者加盖公章。</w:t>
      </w:r>
    </w:p>
    <w:p w14:paraId="01495F7D">
      <w:pPr>
        <w:autoSpaceDE w:val="0"/>
        <w:autoSpaceDN w:val="0"/>
        <w:spacing w:line="480" w:lineRule="exact"/>
        <w:ind w:firstLine="480" w:firstLineChars="200"/>
        <w:jc w:val="left"/>
        <w:rPr>
          <w:rFonts w:hint="eastAsia" w:ascii="宋体" w:hAnsi="宋体" w:cs="宋体"/>
          <w:sz w:val="24"/>
        </w:rPr>
      </w:pPr>
      <w:r>
        <w:rPr>
          <w:rFonts w:hint="eastAsia" w:ascii="宋体" w:hAnsi="宋体" w:cs="宋体"/>
          <w:sz w:val="24"/>
        </w:rPr>
        <w:t>17.8综合评分法，是指响应文件满足询比采购文件全部实质性要求且按评审因素的量化指标评审得分最高的供应商为候选成交供应商的评审方法。</w:t>
      </w:r>
    </w:p>
    <w:p w14:paraId="7D83A70C">
      <w:pPr>
        <w:autoSpaceDE w:val="0"/>
        <w:autoSpaceDN w:val="0"/>
        <w:spacing w:line="480" w:lineRule="exact"/>
        <w:ind w:firstLine="480" w:firstLineChars="200"/>
        <w:jc w:val="left"/>
        <w:rPr>
          <w:rFonts w:hint="eastAsia" w:ascii="宋体" w:hAnsi="宋体" w:cs="宋体"/>
          <w:sz w:val="24"/>
          <w:lang w:val="zh-CN"/>
        </w:rPr>
      </w:pPr>
      <w:r>
        <w:rPr>
          <w:rFonts w:hint="eastAsia" w:ascii="宋体" w:hAnsi="宋体" w:cs="宋体"/>
          <w:sz w:val="24"/>
        </w:rPr>
        <w:t>17.9</w:t>
      </w:r>
      <w:r>
        <w:rPr>
          <w:rFonts w:hint="eastAsia" w:ascii="宋体" w:hAnsi="宋体" w:cs="宋体"/>
          <w:sz w:val="24"/>
          <w:lang w:val="zh-CN"/>
        </w:rPr>
        <w:t>在评审过程中，评审专家组成员对需要共同认定的事项存在争议的，应当按照少数服从多数的原则作出结论。持不同意见的评审专家组成员应当在评审报告上签署不同意见及理由，否则视为同意评审报告。</w:t>
      </w:r>
    </w:p>
    <w:p w14:paraId="69EF0DCE">
      <w:pPr>
        <w:numPr>
          <w:ilvl w:val="0"/>
          <w:numId w:val="2"/>
        </w:numPr>
        <w:autoSpaceDE w:val="0"/>
        <w:autoSpaceDN w:val="0"/>
        <w:spacing w:line="480" w:lineRule="exact"/>
        <w:jc w:val="left"/>
        <w:outlineLvl w:val="2"/>
        <w:rPr>
          <w:rFonts w:hint="eastAsia" w:ascii="宋体" w:hAnsi="宋体" w:cs="宋体"/>
          <w:b/>
          <w:bCs/>
          <w:sz w:val="24"/>
        </w:rPr>
      </w:pPr>
      <w:bookmarkStart w:id="204" w:name="_Toc325726024"/>
      <w:bookmarkStart w:id="205" w:name="_Toc5792"/>
      <w:bookmarkStart w:id="206" w:name="_Toc3303"/>
      <w:bookmarkStart w:id="207" w:name="_Toc15215"/>
      <w:bookmarkStart w:id="208" w:name="_Toc547"/>
      <w:bookmarkStart w:id="209" w:name="_Toc376936755"/>
      <w:bookmarkStart w:id="210" w:name="_Toc30624"/>
      <w:bookmarkStart w:id="211" w:name="_Toc20611"/>
      <w:bookmarkStart w:id="212" w:name="_Toc13668"/>
      <w:bookmarkStart w:id="213" w:name="_Toc29904"/>
      <w:r>
        <w:rPr>
          <w:rFonts w:hint="eastAsia" w:ascii="宋体" w:hAnsi="宋体" w:cs="宋体"/>
          <w:b/>
          <w:bCs/>
          <w:sz w:val="24"/>
        </w:rPr>
        <w:t>评审办法</w:t>
      </w:r>
      <w:bookmarkEnd w:id="204"/>
      <w:bookmarkEnd w:id="205"/>
      <w:bookmarkEnd w:id="206"/>
      <w:bookmarkEnd w:id="207"/>
      <w:bookmarkEnd w:id="208"/>
      <w:bookmarkEnd w:id="209"/>
      <w:bookmarkEnd w:id="210"/>
      <w:bookmarkEnd w:id="211"/>
      <w:bookmarkEnd w:id="212"/>
      <w:bookmarkEnd w:id="213"/>
    </w:p>
    <w:p w14:paraId="0B489D70">
      <w:pPr>
        <w:autoSpaceDE w:val="0"/>
        <w:autoSpaceDN w:val="0"/>
        <w:adjustRightInd w:val="0"/>
        <w:spacing w:line="480" w:lineRule="exact"/>
        <w:ind w:firstLine="240" w:firstLineChars="100"/>
        <w:jc w:val="left"/>
        <w:rPr>
          <w:rFonts w:hint="eastAsia" w:ascii="宋体" w:hAnsi="宋体" w:cs="宋体"/>
          <w:sz w:val="24"/>
          <w:lang w:val="zh-CN"/>
        </w:rPr>
      </w:pPr>
      <w:r>
        <w:rPr>
          <w:rFonts w:hint="eastAsia" w:ascii="宋体" w:hAnsi="宋体" w:cs="宋体"/>
          <w:sz w:val="24"/>
        </w:rPr>
        <w:t>18.</w:t>
      </w:r>
      <w:r>
        <w:rPr>
          <w:rFonts w:hint="eastAsia" w:ascii="宋体" w:hAnsi="宋体" w:cs="宋体"/>
          <w:sz w:val="24"/>
          <w:lang w:val="zh-CN"/>
        </w:rPr>
        <w:t>1依照《青海省非招标方式招标采购代理规范》的规定，结合该项目的特点制定本评审办法。</w:t>
      </w:r>
    </w:p>
    <w:p w14:paraId="39749473">
      <w:pPr>
        <w:autoSpaceDE w:val="0"/>
        <w:autoSpaceDN w:val="0"/>
        <w:adjustRightInd w:val="0"/>
        <w:spacing w:line="480" w:lineRule="exact"/>
        <w:ind w:firstLine="240" w:firstLineChars="100"/>
        <w:jc w:val="left"/>
        <w:rPr>
          <w:rFonts w:hint="eastAsia" w:ascii="宋体" w:hAnsi="宋体" w:cs="宋体"/>
          <w:sz w:val="24"/>
          <w:lang w:val="zh-CN"/>
        </w:rPr>
      </w:pPr>
      <w:r>
        <w:rPr>
          <w:rFonts w:hint="eastAsia" w:ascii="宋体" w:hAnsi="宋体" w:cs="宋体"/>
          <w:sz w:val="24"/>
          <w:lang w:val="zh-CN"/>
        </w:rPr>
        <w:t>具体项目及评分细则：</w:t>
      </w:r>
    </w:p>
    <w:bookmarkEnd w:id="200"/>
    <w:bookmarkEnd w:id="201"/>
    <w:bookmarkEnd w:id="202"/>
    <w:bookmarkEnd w:id="203"/>
    <w:tbl>
      <w:tblPr>
        <w:tblStyle w:val="32"/>
        <w:tblW w:w="9372" w:type="dxa"/>
        <w:jc w:val="center"/>
        <w:tblLayout w:type="fixed"/>
        <w:tblCellMar>
          <w:top w:w="0" w:type="dxa"/>
          <w:left w:w="108" w:type="dxa"/>
          <w:bottom w:w="0" w:type="dxa"/>
          <w:right w:w="108" w:type="dxa"/>
        </w:tblCellMar>
      </w:tblPr>
      <w:tblGrid>
        <w:gridCol w:w="826"/>
        <w:gridCol w:w="1302"/>
        <w:gridCol w:w="7244"/>
      </w:tblGrid>
      <w:tr w14:paraId="24946887">
        <w:tblPrEx>
          <w:tblCellMar>
            <w:top w:w="0" w:type="dxa"/>
            <w:left w:w="108" w:type="dxa"/>
            <w:bottom w:w="0" w:type="dxa"/>
            <w:right w:w="108" w:type="dxa"/>
          </w:tblCellMar>
        </w:tblPrEx>
        <w:trPr>
          <w:trHeight w:val="415" w:hRule="atLeast"/>
          <w:jc w:val="center"/>
        </w:trPr>
        <w:tc>
          <w:tcPr>
            <w:tcW w:w="826" w:type="dxa"/>
            <w:tcBorders>
              <w:top w:val="single" w:color="000000" w:sz="6" w:space="0"/>
              <w:left w:val="single" w:color="000000" w:sz="6" w:space="0"/>
              <w:bottom w:val="single" w:color="auto" w:sz="4" w:space="0"/>
              <w:right w:val="single" w:color="000000" w:sz="6" w:space="0"/>
            </w:tcBorders>
            <w:noWrap w:val="0"/>
            <w:vAlign w:val="center"/>
          </w:tcPr>
          <w:p w14:paraId="21885C36">
            <w:pPr>
              <w:pStyle w:val="29"/>
              <w:widowControl/>
              <w:spacing w:before="0" w:beforeAutospacing="0" w:after="0" w:afterAutospacing="0" w:line="410" w:lineRule="exact"/>
              <w:jc w:val="center"/>
              <w:rPr>
                <w:rFonts w:hint="eastAsia" w:ascii="宋体" w:hAnsi="宋体" w:cs="宋体"/>
                <w:sz w:val="22"/>
                <w:szCs w:val="22"/>
                <w:lang w:val="zh-CN"/>
              </w:rPr>
            </w:pPr>
            <w:bookmarkStart w:id="214" w:name="_Toc16369"/>
            <w:bookmarkStart w:id="215" w:name="_Toc3801"/>
            <w:bookmarkStart w:id="216" w:name="_Toc9715"/>
            <w:bookmarkStart w:id="217" w:name="_Toc3630"/>
            <w:bookmarkStart w:id="218" w:name="_Toc27368"/>
            <w:r>
              <w:rPr>
                <w:rFonts w:hint="eastAsia" w:ascii="宋体" w:hAnsi="宋体" w:cs="宋体"/>
                <w:sz w:val="22"/>
                <w:szCs w:val="22"/>
                <w:lang w:val="zh-CN"/>
              </w:rPr>
              <w:t>序号</w:t>
            </w:r>
          </w:p>
        </w:tc>
        <w:tc>
          <w:tcPr>
            <w:tcW w:w="1302" w:type="dxa"/>
            <w:tcBorders>
              <w:top w:val="single" w:color="000000" w:sz="6" w:space="0"/>
              <w:left w:val="single" w:color="000000" w:sz="6" w:space="0"/>
              <w:bottom w:val="single" w:color="auto" w:sz="4" w:space="0"/>
              <w:right w:val="single" w:color="000000" w:sz="6" w:space="0"/>
            </w:tcBorders>
            <w:noWrap w:val="0"/>
            <w:vAlign w:val="center"/>
          </w:tcPr>
          <w:p w14:paraId="7D74292B">
            <w:pPr>
              <w:pStyle w:val="29"/>
              <w:widowControl/>
              <w:spacing w:before="0" w:beforeAutospacing="0" w:after="0" w:afterAutospacing="0" w:line="410" w:lineRule="exact"/>
              <w:jc w:val="center"/>
              <w:rPr>
                <w:rFonts w:hint="eastAsia" w:ascii="宋体" w:hAnsi="宋体" w:cs="宋体"/>
                <w:sz w:val="22"/>
                <w:szCs w:val="22"/>
              </w:rPr>
            </w:pPr>
            <w:r>
              <w:rPr>
                <w:rFonts w:hint="eastAsia" w:ascii="宋体" w:hAnsi="宋体" w:cs="宋体"/>
                <w:sz w:val="22"/>
                <w:szCs w:val="22"/>
                <w:lang w:val="zh-CN"/>
              </w:rPr>
              <w:t>评审</w:t>
            </w:r>
            <w:r>
              <w:rPr>
                <w:rFonts w:hint="eastAsia" w:ascii="宋体" w:hAnsi="宋体" w:cs="宋体"/>
                <w:sz w:val="22"/>
                <w:szCs w:val="22"/>
              </w:rPr>
              <w:t>因素</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14:paraId="43EB2822">
            <w:pPr>
              <w:pStyle w:val="29"/>
              <w:widowControl/>
              <w:spacing w:before="0" w:beforeAutospacing="0" w:after="0" w:afterAutospacing="0" w:line="410" w:lineRule="exact"/>
              <w:jc w:val="center"/>
              <w:rPr>
                <w:rFonts w:hint="eastAsia" w:ascii="宋体" w:hAnsi="宋体" w:cs="宋体"/>
                <w:sz w:val="22"/>
                <w:szCs w:val="22"/>
                <w:lang w:val="zh-CN"/>
              </w:rPr>
            </w:pPr>
            <w:r>
              <w:rPr>
                <w:rFonts w:hint="eastAsia" w:ascii="宋体" w:hAnsi="宋体" w:cs="宋体"/>
                <w:sz w:val="22"/>
                <w:szCs w:val="22"/>
              </w:rPr>
              <w:t>评审标准</w:t>
            </w:r>
          </w:p>
        </w:tc>
      </w:tr>
      <w:tr w14:paraId="3CF71D6F">
        <w:tblPrEx>
          <w:tblCellMar>
            <w:top w:w="0" w:type="dxa"/>
            <w:left w:w="108" w:type="dxa"/>
            <w:bottom w:w="0" w:type="dxa"/>
            <w:right w:w="108" w:type="dxa"/>
          </w:tblCellMar>
        </w:tblPrEx>
        <w:trPr>
          <w:trHeight w:val="383" w:hRule="atLeast"/>
          <w:jc w:val="center"/>
        </w:trPr>
        <w:tc>
          <w:tcPr>
            <w:tcW w:w="826" w:type="dxa"/>
            <w:vMerge w:val="restart"/>
            <w:tcBorders>
              <w:top w:val="single" w:color="auto" w:sz="4" w:space="0"/>
              <w:left w:val="single" w:color="auto" w:sz="4" w:space="0"/>
              <w:bottom w:val="single" w:color="auto" w:sz="4" w:space="0"/>
              <w:right w:val="single" w:color="auto" w:sz="4" w:space="0"/>
            </w:tcBorders>
            <w:noWrap w:val="0"/>
            <w:vAlign w:val="center"/>
          </w:tcPr>
          <w:p w14:paraId="3A3E8B3E">
            <w:pPr>
              <w:pStyle w:val="29"/>
              <w:widowControl/>
              <w:spacing w:before="0" w:beforeAutospacing="0" w:after="0" w:afterAutospacing="0" w:line="410" w:lineRule="exact"/>
              <w:jc w:val="center"/>
              <w:rPr>
                <w:rFonts w:hint="eastAsia" w:ascii="宋体" w:hAnsi="宋体" w:eastAsia="宋体" w:cs="宋体"/>
                <w:b/>
                <w:bCs/>
              </w:rPr>
            </w:pPr>
            <w:r>
              <w:rPr>
                <w:rFonts w:hint="eastAsia" w:ascii="宋体" w:hAnsi="宋体" w:eastAsia="宋体" w:cs="宋体"/>
                <w:b/>
                <w:bCs/>
              </w:rPr>
              <w:t>1</w:t>
            </w:r>
          </w:p>
          <w:p w14:paraId="6AD50E12">
            <w:pPr>
              <w:pStyle w:val="29"/>
              <w:widowControl/>
              <w:spacing w:before="0" w:beforeAutospacing="0" w:after="0" w:afterAutospacing="0" w:line="410" w:lineRule="exact"/>
              <w:jc w:val="center"/>
              <w:rPr>
                <w:rFonts w:hint="eastAsia"/>
              </w:rPr>
            </w:pPr>
          </w:p>
          <w:p w14:paraId="59DA73E9">
            <w:pPr>
              <w:rPr>
                <w:rFonts w:hint="eastAsia"/>
              </w:rPr>
            </w:pPr>
          </w:p>
        </w:tc>
        <w:tc>
          <w:tcPr>
            <w:tcW w:w="1302" w:type="dxa"/>
            <w:vMerge w:val="restart"/>
            <w:tcBorders>
              <w:top w:val="single" w:color="auto" w:sz="4" w:space="0"/>
              <w:left w:val="single" w:color="auto" w:sz="4" w:space="0"/>
              <w:bottom w:val="single" w:color="auto" w:sz="4" w:space="0"/>
              <w:right w:val="single" w:color="auto" w:sz="4" w:space="0"/>
            </w:tcBorders>
            <w:noWrap w:val="0"/>
            <w:vAlign w:val="center"/>
          </w:tcPr>
          <w:p w14:paraId="647F34A3">
            <w:pPr>
              <w:pStyle w:val="29"/>
              <w:widowControl/>
              <w:spacing w:before="0" w:beforeAutospacing="0" w:after="0" w:afterAutospacing="0" w:line="410" w:lineRule="exact"/>
              <w:jc w:val="center"/>
              <w:rPr>
                <w:rFonts w:hint="eastAsia" w:ascii="宋体" w:hAnsi="宋体" w:eastAsia="宋体" w:cs="宋体"/>
                <w:b/>
                <w:bCs/>
                <w:shd w:val="clear" w:color="auto" w:fill="FFFFFF"/>
              </w:rPr>
            </w:pPr>
            <w:r>
              <w:rPr>
                <w:rFonts w:hint="eastAsia" w:ascii="宋体" w:hAnsi="宋体" w:eastAsia="宋体" w:cs="宋体"/>
                <w:b/>
                <w:bCs/>
                <w:shd w:val="clear" w:color="auto" w:fill="FFFFFF"/>
              </w:rPr>
              <w:t>投标报价</w:t>
            </w:r>
          </w:p>
          <w:p w14:paraId="613C4A4E">
            <w:pPr>
              <w:pStyle w:val="29"/>
              <w:widowControl/>
              <w:spacing w:before="0" w:beforeAutospacing="0" w:after="0" w:afterAutospacing="0" w:line="410" w:lineRule="exact"/>
              <w:jc w:val="center"/>
              <w:rPr>
                <w:rFonts w:hint="eastAsia" w:ascii="宋体" w:hAnsi="宋体" w:eastAsia="宋体" w:cs="宋体"/>
                <w:b/>
                <w:bCs/>
                <w:lang w:val="zh-CN"/>
              </w:rPr>
            </w:pPr>
            <w:r>
              <w:rPr>
                <w:rFonts w:hint="eastAsia" w:ascii="宋体" w:hAnsi="宋体" w:eastAsia="宋体" w:cs="宋体"/>
                <w:b/>
                <w:bCs/>
              </w:rPr>
              <w:t>（</w:t>
            </w:r>
            <w:r>
              <w:rPr>
                <w:rFonts w:hint="eastAsia" w:ascii="宋体" w:hAnsi="宋体" w:eastAsia="宋体" w:cs="宋体"/>
                <w:b/>
                <w:bCs/>
                <w:lang w:val="en-US" w:eastAsia="zh-CN"/>
              </w:rPr>
              <w:t>1</w:t>
            </w:r>
            <w:r>
              <w:rPr>
                <w:rFonts w:hint="eastAsia" w:ascii="宋体" w:hAnsi="宋体" w:eastAsia="宋体" w:cs="宋体"/>
                <w:b/>
                <w:bCs/>
                <w:lang w:val="en-US" w:eastAsia="zh-CN"/>
              </w:rPr>
              <w:t>0</w:t>
            </w:r>
            <w:r>
              <w:rPr>
                <w:rFonts w:hint="eastAsia" w:ascii="宋体" w:hAnsi="宋体" w:eastAsia="宋体" w:cs="宋体"/>
                <w:b/>
                <w:bCs/>
              </w:rPr>
              <w:t>%）</w:t>
            </w:r>
          </w:p>
        </w:tc>
        <w:tc>
          <w:tcPr>
            <w:tcW w:w="7244" w:type="dxa"/>
            <w:tcBorders>
              <w:top w:val="single" w:color="000000" w:sz="6" w:space="0"/>
              <w:left w:val="single" w:color="auto" w:sz="4" w:space="0"/>
              <w:bottom w:val="single" w:color="000000" w:sz="6" w:space="0"/>
              <w:right w:val="single" w:color="000000" w:sz="6" w:space="0"/>
            </w:tcBorders>
            <w:noWrap w:val="0"/>
            <w:vAlign w:val="top"/>
          </w:tcPr>
          <w:p w14:paraId="1FCAEEA6">
            <w:pPr>
              <w:pStyle w:val="29"/>
              <w:widowControl/>
              <w:spacing w:before="0" w:beforeAutospacing="0" w:after="0" w:afterAutospacing="0" w:line="410" w:lineRule="exact"/>
              <w:jc w:val="both"/>
              <w:rPr>
                <w:rFonts w:hint="eastAsia"/>
                <w:b/>
                <w:bCs/>
              </w:rPr>
            </w:pPr>
            <w:r>
              <w:rPr>
                <w:rFonts w:hint="eastAsia"/>
                <w:b/>
                <w:bCs/>
              </w:rPr>
              <w:t>基准价：当有效投标报价多于5个（含5个）时，从所有有效报价中，去掉一个最高和最低报价后，以剩余供应商有效投标报价平均值为评标基准价。</w:t>
            </w:r>
          </w:p>
          <w:p w14:paraId="18CABEA9">
            <w:pPr>
              <w:pStyle w:val="29"/>
              <w:widowControl/>
              <w:spacing w:before="0" w:beforeAutospacing="0" w:after="0" w:afterAutospacing="0" w:line="410" w:lineRule="exact"/>
              <w:jc w:val="both"/>
              <w:rPr>
                <w:rFonts w:hint="eastAsia"/>
                <w:b/>
                <w:bCs/>
              </w:rPr>
            </w:pPr>
            <w:r>
              <w:rPr>
                <w:rFonts w:hint="eastAsia"/>
                <w:b/>
                <w:bCs/>
              </w:rPr>
              <w:t>当有效投标报价不足5个时，以所有供应商有效投标报价平均值为评标基准价。</w:t>
            </w:r>
          </w:p>
          <w:p w14:paraId="1BD79A4E">
            <w:pPr>
              <w:pStyle w:val="29"/>
              <w:widowControl/>
              <w:spacing w:before="0" w:beforeAutospacing="0" w:after="0" w:afterAutospacing="0" w:line="410" w:lineRule="exact"/>
              <w:jc w:val="both"/>
              <w:rPr>
                <w:rFonts w:hint="eastAsia" w:eastAsia="宋体"/>
              </w:rPr>
            </w:pPr>
            <w:r>
              <w:rPr>
                <w:rFonts w:hint="eastAsia"/>
                <w:b/>
                <w:bCs/>
              </w:rPr>
              <w:t>偏差率=100%*（有效报价-评标基准价）/评标基准价</w:t>
            </w:r>
          </w:p>
        </w:tc>
      </w:tr>
      <w:tr w14:paraId="3DA04666">
        <w:tblPrEx>
          <w:tblCellMar>
            <w:top w:w="0" w:type="dxa"/>
            <w:left w:w="108" w:type="dxa"/>
            <w:bottom w:w="0" w:type="dxa"/>
            <w:right w:w="108" w:type="dxa"/>
          </w:tblCellMar>
        </w:tblPrEx>
        <w:trPr>
          <w:trHeight w:val="1187" w:hRule="atLeast"/>
          <w:jc w:val="center"/>
        </w:trPr>
        <w:tc>
          <w:tcPr>
            <w:tcW w:w="826" w:type="dxa"/>
            <w:vMerge w:val="continue"/>
            <w:tcBorders>
              <w:left w:val="single" w:color="auto" w:sz="4" w:space="0"/>
              <w:right w:val="single" w:color="auto" w:sz="4" w:space="0"/>
            </w:tcBorders>
            <w:noWrap w:val="0"/>
            <w:vAlign w:val="center"/>
          </w:tcPr>
          <w:p w14:paraId="4B6E3F92">
            <w:pPr>
              <w:rPr>
                <w:rFonts w:hint="eastAsia"/>
              </w:rPr>
            </w:pPr>
          </w:p>
        </w:tc>
        <w:tc>
          <w:tcPr>
            <w:tcW w:w="1302" w:type="dxa"/>
            <w:vMerge w:val="continue"/>
            <w:tcBorders>
              <w:left w:val="single" w:color="auto" w:sz="4" w:space="0"/>
              <w:right w:val="single" w:color="auto" w:sz="4" w:space="0"/>
            </w:tcBorders>
            <w:noWrap w:val="0"/>
            <w:vAlign w:val="center"/>
          </w:tcPr>
          <w:p w14:paraId="42F9B549">
            <w:pPr>
              <w:pStyle w:val="29"/>
              <w:widowControl/>
              <w:spacing w:before="0" w:beforeAutospacing="0" w:after="0" w:afterAutospacing="0" w:line="410" w:lineRule="exact"/>
              <w:jc w:val="center"/>
              <w:rPr>
                <w:rFonts w:hint="eastAsia" w:ascii="宋体" w:hAnsi="宋体" w:eastAsia="宋体" w:cs="宋体"/>
                <w:b/>
                <w:bCs/>
              </w:rPr>
            </w:pPr>
          </w:p>
        </w:tc>
        <w:tc>
          <w:tcPr>
            <w:tcW w:w="7244" w:type="dxa"/>
            <w:tcBorders>
              <w:top w:val="single" w:color="000000" w:sz="6" w:space="0"/>
              <w:left w:val="single" w:color="auto" w:sz="4" w:space="0"/>
              <w:bottom w:val="single" w:color="000000" w:sz="6" w:space="0"/>
              <w:right w:val="single" w:color="000000" w:sz="6" w:space="0"/>
            </w:tcBorders>
            <w:noWrap w:val="0"/>
            <w:vAlign w:val="top"/>
          </w:tcPr>
          <w:p w14:paraId="0C3F15A0">
            <w:pPr>
              <w:pStyle w:val="29"/>
              <w:widowControl/>
              <w:spacing w:before="0" w:beforeAutospacing="0" w:after="0" w:afterAutospacing="0" w:line="410" w:lineRule="exact"/>
              <w:jc w:val="both"/>
              <w:rPr>
                <w:rFonts w:hint="eastAsia" w:ascii="宋体" w:hAnsi="宋体" w:eastAsia="宋体" w:cs="宋体"/>
                <w:color w:val="000000"/>
                <w:kern w:val="2"/>
                <w:lang w:bidi="ar-SA"/>
              </w:rPr>
            </w:pPr>
            <w:r>
              <w:rPr>
                <w:rFonts w:hint="eastAsia"/>
              </w:rPr>
              <w:t>供应商有效投标报价等于评标基准价，其报价分值为</w:t>
            </w:r>
            <w:r>
              <w:rPr>
                <w:rFonts w:hint="eastAsia"/>
                <w:lang w:val="en-US" w:eastAsia="zh-CN"/>
              </w:rPr>
              <w:t>10</w:t>
            </w:r>
            <w:r>
              <w:rPr>
                <w:rFonts w:hint="eastAsia"/>
              </w:rPr>
              <w:t>分，每高于评标基准价1％从</w:t>
            </w:r>
            <w:r>
              <w:rPr>
                <w:rFonts w:hint="eastAsia"/>
                <w:lang w:val="en-US" w:eastAsia="zh-CN"/>
              </w:rPr>
              <w:t>10</w:t>
            </w:r>
            <w:r>
              <w:rPr>
                <w:rFonts w:hint="eastAsia"/>
              </w:rPr>
              <w:t>分的基础上扣</w:t>
            </w:r>
            <w:r>
              <w:rPr>
                <w:rFonts w:hint="eastAsia" w:eastAsia="宋体"/>
              </w:rPr>
              <w:t>0.5</w:t>
            </w:r>
            <w:r>
              <w:rPr>
                <w:rFonts w:hint="eastAsia"/>
              </w:rPr>
              <w:t>分；每低于（含等于）评标基准价1％从</w:t>
            </w:r>
            <w:r>
              <w:rPr>
                <w:rFonts w:hint="eastAsia"/>
                <w:lang w:val="en-US" w:eastAsia="zh-CN"/>
              </w:rPr>
              <w:t>10</w:t>
            </w:r>
            <w:r>
              <w:rPr>
                <w:rFonts w:hint="eastAsia"/>
              </w:rPr>
              <w:t>分的基础上扣0.</w:t>
            </w:r>
            <w:r>
              <w:rPr>
                <w:rFonts w:hint="eastAsia" w:eastAsia="宋体"/>
              </w:rPr>
              <w:t>2</w:t>
            </w:r>
            <w:r>
              <w:rPr>
                <w:rFonts w:hint="eastAsia"/>
              </w:rPr>
              <w:t>分，扣</w:t>
            </w:r>
            <w:r>
              <w:rPr>
                <w:rFonts w:hint="eastAsia"/>
                <w:szCs w:val="22"/>
              </w:rPr>
              <w:t>完为止。</w:t>
            </w:r>
          </w:p>
        </w:tc>
      </w:tr>
      <w:tr w14:paraId="74DCB83C">
        <w:tblPrEx>
          <w:tblCellMar>
            <w:top w:w="0" w:type="dxa"/>
            <w:left w:w="108" w:type="dxa"/>
            <w:bottom w:w="0" w:type="dxa"/>
            <w:right w:w="108" w:type="dxa"/>
          </w:tblCellMar>
        </w:tblPrEx>
        <w:trPr>
          <w:trHeight w:val="2114" w:hRule="atLeast"/>
          <w:jc w:val="center"/>
        </w:trPr>
        <w:tc>
          <w:tcPr>
            <w:tcW w:w="826" w:type="dxa"/>
            <w:vMerge w:val="restart"/>
            <w:tcBorders>
              <w:top w:val="single" w:color="auto" w:sz="4" w:space="0"/>
              <w:left w:val="single" w:color="000000" w:sz="6" w:space="0"/>
              <w:right w:val="single" w:color="000000" w:sz="6" w:space="0"/>
            </w:tcBorders>
            <w:noWrap w:val="0"/>
            <w:vAlign w:val="center"/>
          </w:tcPr>
          <w:p w14:paraId="7D3AF3CF">
            <w:pPr>
              <w:pStyle w:val="29"/>
              <w:widowControl/>
              <w:spacing w:before="0" w:beforeAutospacing="0" w:after="0" w:afterAutospacing="0" w:line="410" w:lineRule="exact"/>
              <w:jc w:val="center"/>
              <w:rPr>
                <w:rFonts w:hint="eastAsia" w:ascii="宋体" w:hAnsi="宋体" w:eastAsia="宋体" w:cs="宋体"/>
                <w:b/>
                <w:bCs/>
              </w:rPr>
            </w:pPr>
            <w:r>
              <w:rPr>
                <w:rFonts w:hint="eastAsia" w:ascii="宋体" w:hAnsi="宋体" w:eastAsia="宋体" w:cs="宋体"/>
                <w:b/>
                <w:bCs/>
              </w:rPr>
              <w:t>2</w:t>
            </w:r>
          </w:p>
        </w:tc>
        <w:tc>
          <w:tcPr>
            <w:tcW w:w="1302" w:type="dxa"/>
            <w:vMerge w:val="restart"/>
            <w:tcBorders>
              <w:top w:val="single" w:color="auto" w:sz="4" w:space="0"/>
              <w:left w:val="single" w:color="000000" w:sz="6" w:space="0"/>
              <w:right w:val="single" w:color="000000" w:sz="6" w:space="0"/>
            </w:tcBorders>
            <w:noWrap w:val="0"/>
            <w:vAlign w:val="center"/>
          </w:tcPr>
          <w:p w14:paraId="1DF9A37B">
            <w:pPr>
              <w:pStyle w:val="29"/>
              <w:widowControl/>
              <w:spacing w:before="0" w:beforeAutospacing="0" w:after="0" w:afterAutospacing="0" w:line="410" w:lineRule="exact"/>
              <w:jc w:val="center"/>
              <w:rPr>
                <w:rFonts w:hint="eastAsia" w:ascii="宋体" w:hAnsi="宋体" w:eastAsia="宋体" w:cs="宋体"/>
                <w:b/>
                <w:bCs/>
                <w:shd w:val="clear" w:color="auto" w:fill="FFFFFF"/>
              </w:rPr>
            </w:pPr>
            <w:r>
              <w:rPr>
                <w:rFonts w:hint="eastAsia" w:ascii="宋体" w:hAnsi="宋体" w:eastAsia="宋体" w:cs="宋体"/>
                <w:b/>
                <w:bCs/>
                <w:shd w:val="clear" w:color="auto" w:fill="FFFFFF"/>
              </w:rPr>
              <w:t>综合实力</w:t>
            </w:r>
          </w:p>
          <w:p w14:paraId="59E5F009">
            <w:pPr>
              <w:pStyle w:val="29"/>
              <w:widowControl/>
              <w:spacing w:before="0" w:beforeAutospacing="0" w:after="0" w:afterAutospacing="0" w:line="410" w:lineRule="exact"/>
              <w:jc w:val="center"/>
              <w:rPr>
                <w:rFonts w:hint="eastAsia" w:ascii="宋体" w:hAnsi="宋体" w:eastAsia="宋体" w:cs="宋体"/>
                <w:b/>
                <w:bCs/>
                <w:shd w:val="clear" w:color="auto" w:fill="FFFFFF"/>
              </w:rPr>
            </w:pPr>
            <w:r>
              <w:rPr>
                <w:rFonts w:hint="eastAsia" w:ascii="宋体" w:hAnsi="宋体" w:eastAsia="宋体" w:cs="宋体"/>
                <w:b/>
                <w:bCs/>
                <w:shd w:val="clear" w:color="auto" w:fill="FFFFFF"/>
              </w:rPr>
              <w:t>（20%）</w:t>
            </w: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7ECD047A">
            <w:pPr>
              <w:pStyle w:val="29"/>
              <w:widowControl/>
              <w:spacing w:before="0" w:beforeAutospacing="0" w:after="0" w:afterAutospacing="0" w:line="410" w:lineRule="exact"/>
              <w:jc w:val="both"/>
              <w:rPr>
                <w:rFonts w:hint="eastAsia" w:ascii="宋体" w:hAnsi="宋体" w:eastAsia="宋体" w:cs="宋体"/>
                <w:b/>
                <w:bCs/>
              </w:rPr>
            </w:pPr>
            <w:r>
              <w:rPr>
                <w:rFonts w:hint="eastAsia" w:ascii="宋体" w:hAnsi="宋体" w:eastAsia="宋体" w:cs="宋体"/>
                <w:b/>
                <w:bCs/>
              </w:rPr>
              <w:t>类似业绩（10分）：</w:t>
            </w:r>
          </w:p>
          <w:p w14:paraId="3230CF68">
            <w:pPr>
              <w:pStyle w:val="29"/>
              <w:widowControl/>
              <w:numPr>
                <w:ilvl w:val="0"/>
                <w:numId w:val="3"/>
              </w:numPr>
              <w:spacing w:before="0" w:beforeAutospacing="0" w:after="0" w:afterAutospacing="0" w:line="410" w:lineRule="exact"/>
              <w:jc w:val="both"/>
              <w:rPr>
                <w:rFonts w:hint="eastAsia" w:ascii="宋体" w:hAnsi="宋体" w:eastAsia="宋体" w:cs="宋体"/>
              </w:rPr>
            </w:pPr>
            <w:r>
              <w:rPr>
                <w:rFonts w:hint="eastAsia" w:ascii="宋体" w:hAnsi="宋体" w:eastAsia="宋体" w:cs="宋体"/>
              </w:rPr>
              <w:t>提供2024年1月1日至今的类似</w:t>
            </w:r>
            <w:r>
              <w:rPr>
                <w:rFonts w:hint="eastAsia" w:ascii="宋体" w:hAnsi="宋体" w:eastAsia="宋体" w:cs="宋体"/>
                <w:lang w:val="en-US" w:eastAsia="zh-CN"/>
              </w:rPr>
              <w:t>工程设计</w:t>
            </w:r>
            <w:r>
              <w:rPr>
                <w:rFonts w:hint="eastAsia" w:ascii="宋体" w:hAnsi="宋体" w:eastAsia="宋体" w:cs="宋体"/>
              </w:rPr>
              <w:t>业绩证明材料，每提供一个类似业绩得</w:t>
            </w:r>
            <w:r>
              <w:rPr>
                <w:rFonts w:hint="eastAsia" w:ascii="宋体" w:hAnsi="宋体" w:eastAsia="宋体" w:cs="宋体"/>
                <w:lang w:val="en-US" w:eastAsia="zh-CN"/>
              </w:rPr>
              <w:t>1</w:t>
            </w:r>
            <w:r>
              <w:rPr>
                <w:rFonts w:hint="eastAsia" w:ascii="宋体" w:hAnsi="宋体" w:eastAsia="宋体" w:cs="宋体"/>
              </w:rPr>
              <w:t>分，最高得</w:t>
            </w:r>
            <w:r>
              <w:rPr>
                <w:rFonts w:hint="eastAsia" w:ascii="宋体" w:hAnsi="宋体" w:eastAsia="宋体" w:cs="宋体"/>
                <w:lang w:val="en-US" w:eastAsia="zh-CN"/>
              </w:rPr>
              <w:t>5</w:t>
            </w:r>
            <w:r>
              <w:rPr>
                <w:rFonts w:hint="eastAsia" w:ascii="宋体" w:hAnsi="宋体" w:eastAsia="宋体" w:cs="宋体"/>
              </w:rPr>
              <w:t>分；未提供的不得分。</w:t>
            </w:r>
          </w:p>
          <w:p w14:paraId="6D214934">
            <w:pPr>
              <w:pStyle w:val="29"/>
              <w:widowControl/>
              <w:numPr>
                <w:ilvl w:val="0"/>
                <w:numId w:val="3"/>
              </w:numPr>
              <w:spacing w:before="0" w:beforeAutospacing="0" w:after="0" w:afterAutospacing="0" w:line="410" w:lineRule="exact"/>
              <w:jc w:val="both"/>
              <w:rPr>
                <w:rFonts w:hint="eastAsia"/>
              </w:rPr>
            </w:pPr>
            <w:r>
              <w:rPr>
                <w:rFonts w:hint="eastAsia" w:ascii="宋体" w:hAnsi="宋体" w:eastAsia="宋体" w:cs="宋体"/>
              </w:rPr>
              <w:t>提供2024年1月1日至今的类似</w:t>
            </w:r>
            <w:r>
              <w:rPr>
                <w:rFonts w:hint="eastAsia" w:ascii="宋体" w:hAnsi="宋体" w:eastAsia="宋体" w:cs="宋体"/>
                <w:lang w:val="en-US" w:eastAsia="zh-CN"/>
              </w:rPr>
              <w:t>造价咨询</w:t>
            </w:r>
            <w:r>
              <w:rPr>
                <w:rFonts w:hint="eastAsia" w:ascii="宋体" w:hAnsi="宋体" w:eastAsia="宋体" w:cs="宋体"/>
              </w:rPr>
              <w:t>业绩证明材料，每提供一个类似业绩得</w:t>
            </w:r>
            <w:r>
              <w:rPr>
                <w:rFonts w:hint="eastAsia" w:ascii="宋体" w:hAnsi="宋体" w:eastAsia="宋体" w:cs="宋体"/>
                <w:lang w:val="en-US" w:eastAsia="zh-CN"/>
              </w:rPr>
              <w:t>1</w:t>
            </w:r>
            <w:r>
              <w:rPr>
                <w:rFonts w:hint="eastAsia" w:ascii="宋体" w:hAnsi="宋体" w:eastAsia="宋体" w:cs="宋体"/>
              </w:rPr>
              <w:t>分，最高得</w:t>
            </w:r>
            <w:r>
              <w:rPr>
                <w:rFonts w:hint="eastAsia" w:ascii="宋体" w:hAnsi="宋体" w:eastAsia="宋体" w:cs="宋体"/>
                <w:lang w:val="en-US" w:eastAsia="zh-CN"/>
              </w:rPr>
              <w:t>5</w:t>
            </w:r>
            <w:r>
              <w:rPr>
                <w:rFonts w:hint="eastAsia" w:ascii="宋体" w:hAnsi="宋体" w:eastAsia="宋体" w:cs="宋体"/>
              </w:rPr>
              <w:t>分；未提供的不得分。</w:t>
            </w:r>
          </w:p>
          <w:p w14:paraId="45F1715D">
            <w:pPr>
              <w:pStyle w:val="29"/>
              <w:widowControl/>
              <w:spacing w:before="0" w:beforeAutospacing="0" w:after="0" w:afterAutospacing="0" w:line="410" w:lineRule="exact"/>
              <w:jc w:val="both"/>
              <w:rPr>
                <w:rFonts w:hint="eastAsia" w:ascii="宋体" w:hAnsi="宋体" w:eastAsia="宋体" w:cs="宋体"/>
                <w:b/>
                <w:bCs/>
              </w:rPr>
            </w:pPr>
            <w:r>
              <w:rPr>
                <w:rFonts w:hint="eastAsia" w:ascii="宋体" w:hAnsi="宋体" w:eastAsia="宋体" w:cs="宋体"/>
              </w:rPr>
              <w:t>(业绩以合同为准，须提供包含合同首页、标的及金额所在页、合同签字盖章页等资料的复印件)</w:t>
            </w:r>
          </w:p>
        </w:tc>
      </w:tr>
      <w:tr w14:paraId="54B0955C">
        <w:tblPrEx>
          <w:tblCellMar>
            <w:top w:w="0" w:type="dxa"/>
            <w:left w:w="108" w:type="dxa"/>
            <w:bottom w:w="0" w:type="dxa"/>
            <w:right w:w="108" w:type="dxa"/>
          </w:tblCellMar>
        </w:tblPrEx>
        <w:trPr>
          <w:trHeight w:val="90" w:hRule="atLeast"/>
          <w:jc w:val="center"/>
        </w:trPr>
        <w:tc>
          <w:tcPr>
            <w:tcW w:w="826" w:type="dxa"/>
            <w:vMerge w:val="continue"/>
            <w:tcBorders>
              <w:left w:val="single" w:color="000000" w:sz="6" w:space="0"/>
              <w:right w:val="single" w:color="000000" w:sz="6" w:space="0"/>
            </w:tcBorders>
            <w:noWrap w:val="0"/>
            <w:vAlign w:val="center"/>
          </w:tcPr>
          <w:p w14:paraId="62928CB9">
            <w:pPr>
              <w:pStyle w:val="29"/>
              <w:widowControl/>
              <w:spacing w:before="0" w:beforeAutospacing="0" w:after="0" w:afterAutospacing="0" w:line="410" w:lineRule="exact"/>
              <w:jc w:val="center"/>
              <w:rPr>
                <w:rFonts w:hint="eastAsia" w:ascii="宋体" w:hAnsi="宋体" w:eastAsia="宋体" w:cs="宋体"/>
                <w:b/>
                <w:bCs/>
              </w:rPr>
            </w:pPr>
          </w:p>
        </w:tc>
        <w:tc>
          <w:tcPr>
            <w:tcW w:w="1302" w:type="dxa"/>
            <w:vMerge w:val="continue"/>
            <w:tcBorders>
              <w:left w:val="single" w:color="000000" w:sz="6" w:space="0"/>
              <w:right w:val="single" w:color="000000" w:sz="6" w:space="0"/>
            </w:tcBorders>
            <w:noWrap w:val="0"/>
            <w:vAlign w:val="center"/>
          </w:tcPr>
          <w:p w14:paraId="12CBF422">
            <w:pPr>
              <w:pStyle w:val="29"/>
              <w:widowControl/>
              <w:spacing w:before="0" w:beforeAutospacing="0" w:after="0" w:afterAutospacing="0" w:line="410" w:lineRule="exact"/>
              <w:jc w:val="center"/>
              <w:rPr>
                <w:rFonts w:hint="eastAsia" w:ascii="宋体" w:hAnsi="宋体" w:eastAsia="宋体" w:cs="宋体"/>
                <w:b/>
                <w:bCs/>
                <w:shd w:val="clear" w:color="auto" w:fill="FFFFFF"/>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65A708C7">
            <w:pPr>
              <w:pStyle w:val="29"/>
              <w:widowControl/>
              <w:spacing w:before="0" w:beforeAutospacing="0" w:after="0" w:afterAutospacing="0" w:line="410" w:lineRule="exact"/>
              <w:jc w:val="both"/>
              <w:rPr>
                <w:rFonts w:hint="eastAsia" w:ascii="宋体" w:hAnsi="宋体" w:eastAsia="宋体" w:cs="宋体"/>
              </w:rPr>
            </w:pPr>
            <w:r>
              <w:rPr>
                <w:rFonts w:hint="eastAsia" w:ascii="宋体" w:hAnsi="宋体" w:eastAsia="宋体" w:cs="宋体"/>
                <w:b/>
                <w:bCs/>
              </w:rPr>
              <w:t>设计负责人</w:t>
            </w:r>
            <w:r>
              <w:rPr>
                <w:rFonts w:hint="eastAsia" w:ascii="宋体" w:hAnsi="宋体" w:eastAsia="宋体" w:cs="宋体"/>
                <w:b/>
                <w:bCs/>
                <w:lang w:val="en-US" w:eastAsia="zh-CN"/>
              </w:rPr>
              <w:t>资历</w:t>
            </w:r>
            <w:r>
              <w:rPr>
                <w:rFonts w:hint="eastAsia" w:ascii="宋体" w:hAnsi="宋体" w:eastAsia="宋体" w:cs="宋体"/>
                <w:b/>
                <w:bCs/>
              </w:rPr>
              <w:t>（</w:t>
            </w:r>
            <w:r>
              <w:rPr>
                <w:rFonts w:hint="eastAsia" w:ascii="宋体" w:hAnsi="宋体" w:eastAsia="宋体" w:cs="宋体"/>
                <w:b/>
                <w:bCs/>
                <w:lang w:val="en-US" w:eastAsia="zh-CN"/>
              </w:rPr>
              <w:t>5</w:t>
            </w:r>
            <w:r>
              <w:rPr>
                <w:rFonts w:hint="eastAsia" w:ascii="宋体" w:hAnsi="宋体" w:eastAsia="宋体" w:cs="宋体"/>
                <w:b/>
                <w:bCs/>
              </w:rPr>
              <w:t>分）</w:t>
            </w:r>
            <w:r>
              <w:rPr>
                <w:rFonts w:hint="eastAsia" w:ascii="宋体" w:hAnsi="宋体" w:eastAsia="宋体" w:cs="宋体"/>
              </w:rPr>
              <w:t>：</w:t>
            </w:r>
          </w:p>
          <w:p w14:paraId="54C885B7">
            <w:pPr>
              <w:pStyle w:val="29"/>
              <w:widowControl/>
              <w:spacing w:before="0" w:beforeAutospacing="0" w:after="0" w:afterAutospacing="0" w:line="410" w:lineRule="exact"/>
              <w:jc w:val="both"/>
              <w:rPr>
                <w:rFonts w:ascii="宋体" w:hAnsi="宋体" w:eastAsia="宋体" w:cs="宋体"/>
              </w:rPr>
            </w:pPr>
            <w:r>
              <w:rPr>
                <w:rFonts w:hint="eastAsia" w:ascii="宋体" w:hAnsi="宋体" w:eastAsia="宋体" w:cs="宋体"/>
                <w:lang w:val="zh-CN"/>
              </w:rPr>
              <w:t>具有</w:t>
            </w:r>
            <w:r>
              <w:rPr>
                <w:rFonts w:hint="eastAsia" w:ascii="宋体" w:hAnsi="宋体" w:eastAsia="宋体" w:cs="宋体"/>
              </w:rPr>
              <w:t>相关专业高级职称的得</w:t>
            </w:r>
            <w:r>
              <w:rPr>
                <w:rFonts w:hint="eastAsia" w:ascii="宋体" w:hAnsi="宋体" w:eastAsia="宋体" w:cs="宋体"/>
                <w:lang w:val="en-US" w:eastAsia="zh-CN"/>
              </w:rPr>
              <w:t>5</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lang w:val="en-US" w:eastAsia="zh-CN"/>
              </w:rPr>
              <w:t>中级职称的得2分</w:t>
            </w:r>
            <w:r>
              <w:rPr>
                <w:rFonts w:hint="eastAsia" w:ascii="宋体" w:hAnsi="宋体" w:eastAsia="宋体" w:cs="宋体"/>
              </w:rPr>
              <w:t>。须提供人员职称证书复印件、劳动合同等证明材料，否则</w:t>
            </w:r>
            <w:r>
              <w:rPr>
                <w:rFonts w:hint="eastAsia" w:ascii="宋体" w:hAnsi="宋体" w:eastAsia="宋体" w:cs="宋体"/>
                <w:lang w:val="zh-CN"/>
              </w:rPr>
              <w:t>不得分。</w:t>
            </w:r>
          </w:p>
        </w:tc>
      </w:tr>
      <w:tr w14:paraId="671F806B">
        <w:tblPrEx>
          <w:tblCellMar>
            <w:top w:w="0" w:type="dxa"/>
            <w:left w:w="108" w:type="dxa"/>
            <w:bottom w:w="0" w:type="dxa"/>
            <w:right w:w="108" w:type="dxa"/>
          </w:tblCellMar>
        </w:tblPrEx>
        <w:trPr>
          <w:trHeight w:val="1424" w:hRule="atLeast"/>
          <w:jc w:val="center"/>
        </w:trPr>
        <w:tc>
          <w:tcPr>
            <w:tcW w:w="826" w:type="dxa"/>
            <w:vMerge w:val="continue"/>
            <w:tcBorders>
              <w:left w:val="single" w:color="000000" w:sz="6" w:space="0"/>
              <w:bottom w:val="single" w:color="auto" w:sz="4" w:space="0"/>
              <w:right w:val="single" w:color="000000" w:sz="6" w:space="0"/>
            </w:tcBorders>
            <w:noWrap w:val="0"/>
            <w:vAlign w:val="center"/>
          </w:tcPr>
          <w:p w14:paraId="0338FC92">
            <w:pPr>
              <w:pStyle w:val="29"/>
              <w:widowControl/>
              <w:spacing w:before="0" w:beforeAutospacing="0" w:after="0" w:afterAutospacing="0" w:line="410" w:lineRule="exact"/>
              <w:jc w:val="center"/>
              <w:rPr>
                <w:rFonts w:hint="eastAsia" w:ascii="宋体" w:hAnsi="宋体" w:eastAsia="宋体" w:cs="宋体"/>
                <w:b/>
                <w:bCs/>
              </w:rPr>
            </w:pPr>
          </w:p>
        </w:tc>
        <w:tc>
          <w:tcPr>
            <w:tcW w:w="1302" w:type="dxa"/>
            <w:vMerge w:val="continue"/>
            <w:tcBorders>
              <w:left w:val="single" w:color="000000" w:sz="6" w:space="0"/>
              <w:bottom w:val="single" w:color="auto" w:sz="4" w:space="0"/>
              <w:right w:val="single" w:color="000000" w:sz="6" w:space="0"/>
            </w:tcBorders>
            <w:noWrap w:val="0"/>
            <w:vAlign w:val="center"/>
          </w:tcPr>
          <w:p w14:paraId="72D19817">
            <w:pPr>
              <w:pStyle w:val="29"/>
              <w:widowControl/>
              <w:spacing w:before="0" w:beforeAutospacing="0" w:after="0" w:afterAutospacing="0" w:line="410" w:lineRule="exact"/>
              <w:jc w:val="center"/>
              <w:rPr>
                <w:rFonts w:hint="eastAsia" w:ascii="宋体" w:hAnsi="宋体" w:eastAsia="宋体" w:cs="宋体"/>
                <w:b/>
                <w:bCs/>
                <w:shd w:val="clear" w:color="auto" w:fill="FFFFFF"/>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3999C4FB">
            <w:pPr>
              <w:pStyle w:val="29"/>
              <w:widowControl/>
              <w:spacing w:before="0" w:beforeAutospacing="0" w:after="0" w:afterAutospacing="0" w:line="410" w:lineRule="exact"/>
              <w:jc w:val="both"/>
              <w:rPr>
                <w:rFonts w:hint="eastAsia" w:ascii="宋体" w:hAnsi="宋体" w:eastAsia="宋体" w:cs="宋体"/>
              </w:rPr>
            </w:pPr>
            <w:r>
              <w:rPr>
                <w:rFonts w:hint="eastAsia" w:ascii="宋体" w:hAnsi="宋体" w:eastAsia="宋体" w:cs="宋体"/>
                <w:b/>
                <w:bCs/>
                <w:lang w:val="en-US" w:eastAsia="zh-CN"/>
              </w:rPr>
              <w:t>造价咨询</w:t>
            </w:r>
            <w:r>
              <w:rPr>
                <w:rFonts w:hint="eastAsia" w:ascii="宋体" w:hAnsi="宋体" w:eastAsia="宋体" w:cs="宋体"/>
                <w:b/>
                <w:bCs/>
              </w:rPr>
              <w:t>负责人</w:t>
            </w:r>
            <w:r>
              <w:rPr>
                <w:rFonts w:hint="eastAsia" w:ascii="宋体" w:hAnsi="宋体" w:eastAsia="宋体" w:cs="宋体"/>
                <w:b/>
                <w:bCs/>
                <w:lang w:val="en-US" w:eastAsia="zh-CN"/>
              </w:rPr>
              <w:t>资历</w:t>
            </w:r>
            <w:r>
              <w:rPr>
                <w:rFonts w:hint="eastAsia" w:ascii="宋体" w:hAnsi="宋体" w:eastAsia="宋体" w:cs="宋体"/>
                <w:b/>
                <w:bCs/>
              </w:rPr>
              <w:t>（</w:t>
            </w:r>
            <w:r>
              <w:rPr>
                <w:rFonts w:hint="eastAsia" w:ascii="宋体" w:hAnsi="宋体" w:eastAsia="宋体" w:cs="宋体"/>
                <w:b/>
                <w:bCs/>
                <w:lang w:val="en-US" w:eastAsia="zh-CN"/>
              </w:rPr>
              <w:t>5</w:t>
            </w:r>
            <w:r>
              <w:rPr>
                <w:rFonts w:hint="eastAsia" w:ascii="宋体" w:hAnsi="宋体" w:eastAsia="宋体" w:cs="宋体"/>
                <w:b/>
                <w:bCs/>
              </w:rPr>
              <w:t>分）</w:t>
            </w:r>
            <w:r>
              <w:rPr>
                <w:rFonts w:hint="eastAsia" w:ascii="宋体" w:hAnsi="宋体" w:eastAsia="宋体" w:cs="宋体"/>
              </w:rPr>
              <w:t>：</w:t>
            </w:r>
          </w:p>
          <w:p w14:paraId="02114875">
            <w:pPr>
              <w:pStyle w:val="29"/>
              <w:widowControl/>
              <w:spacing w:before="0" w:beforeAutospacing="0" w:after="0" w:afterAutospacing="0" w:line="410" w:lineRule="exact"/>
              <w:jc w:val="both"/>
              <w:rPr>
                <w:rFonts w:ascii="宋体" w:hAnsi="宋体" w:eastAsia="宋体" w:cs="宋体"/>
                <w:b/>
                <w:bCs/>
              </w:rPr>
            </w:pPr>
            <w:r>
              <w:rPr>
                <w:rFonts w:hint="eastAsia" w:ascii="宋体" w:hAnsi="宋体" w:eastAsia="宋体" w:cs="宋体"/>
                <w:lang w:val="zh-CN"/>
              </w:rPr>
              <w:t>具有</w:t>
            </w:r>
            <w:r>
              <w:rPr>
                <w:rFonts w:hint="eastAsia" w:ascii="宋体" w:hAnsi="宋体" w:eastAsia="宋体" w:cs="宋体"/>
              </w:rPr>
              <w:t>相关专业高级职称的得</w:t>
            </w:r>
            <w:r>
              <w:rPr>
                <w:rFonts w:hint="eastAsia" w:ascii="宋体" w:hAnsi="宋体" w:eastAsia="宋体" w:cs="宋体"/>
                <w:lang w:val="en-US" w:eastAsia="zh-CN"/>
              </w:rPr>
              <w:t>5</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lang w:val="en-US" w:eastAsia="zh-CN"/>
              </w:rPr>
              <w:t>中级职称的得2分</w:t>
            </w:r>
            <w:r>
              <w:rPr>
                <w:rFonts w:hint="eastAsia" w:ascii="宋体" w:hAnsi="宋体" w:eastAsia="宋体" w:cs="宋体"/>
              </w:rPr>
              <w:t>。须提供人员职称证书复印件、劳动合同等证明材料，否则</w:t>
            </w:r>
            <w:r>
              <w:rPr>
                <w:rFonts w:hint="eastAsia" w:ascii="宋体" w:hAnsi="宋体" w:eastAsia="宋体" w:cs="宋体"/>
                <w:lang w:val="zh-CN"/>
              </w:rPr>
              <w:t>不得分。</w:t>
            </w:r>
          </w:p>
        </w:tc>
      </w:tr>
      <w:tr w14:paraId="70A3A442">
        <w:tblPrEx>
          <w:tblCellMar>
            <w:top w:w="0" w:type="dxa"/>
            <w:left w:w="108" w:type="dxa"/>
            <w:bottom w:w="0" w:type="dxa"/>
            <w:right w:w="108" w:type="dxa"/>
          </w:tblCellMar>
        </w:tblPrEx>
        <w:trPr>
          <w:trHeight w:val="2775" w:hRule="atLeast"/>
          <w:jc w:val="center"/>
        </w:trPr>
        <w:tc>
          <w:tcPr>
            <w:tcW w:w="826" w:type="dxa"/>
            <w:vMerge w:val="restart"/>
            <w:tcBorders>
              <w:top w:val="single" w:color="auto" w:sz="4" w:space="0"/>
              <w:left w:val="single" w:color="auto" w:sz="4" w:space="0"/>
              <w:bottom w:val="single" w:color="auto" w:sz="4" w:space="0"/>
              <w:right w:val="single" w:color="auto" w:sz="4" w:space="0"/>
            </w:tcBorders>
            <w:noWrap w:val="0"/>
            <w:vAlign w:val="center"/>
          </w:tcPr>
          <w:p w14:paraId="70B406B9">
            <w:pPr>
              <w:pStyle w:val="29"/>
              <w:widowControl/>
              <w:spacing w:before="0" w:beforeAutospacing="0" w:after="0" w:afterAutospacing="0" w:line="410" w:lineRule="exact"/>
              <w:jc w:val="center"/>
              <w:rPr>
                <w:rFonts w:hint="eastAsia" w:ascii="宋体" w:hAnsi="宋体" w:eastAsia="宋体" w:cs="宋体"/>
                <w:b/>
                <w:bCs/>
              </w:rPr>
            </w:pPr>
            <w:r>
              <w:rPr>
                <w:rFonts w:hint="eastAsia" w:ascii="宋体" w:hAnsi="宋体" w:eastAsia="宋体" w:cs="宋体"/>
                <w:b/>
                <w:bCs/>
              </w:rPr>
              <w:t>3</w:t>
            </w:r>
          </w:p>
        </w:tc>
        <w:tc>
          <w:tcPr>
            <w:tcW w:w="1302" w:type="dxa"/>
            <w:vMerge w:val="restart"/>
            <w:tcBorders>
              <w:top w:val="single" w:color="auto" w:sz="4" w:space="0"/>
              <w:left w:val="single" w:color="auto" w:sz="4" w:space="0"/>
              <w:bottom w:val="single" w:color="auto" w:sz="4" w:space="0"/>
              <w:right w:val="single" w:color="auto" w:sz="4" w:space="0"/>
            </w:tcBorders>
            <w:noWrap w:val="0"/>
            <w:vAlign w:val="center"/>
          </w:tcPr>
          <w:p w14:paraId="4B7D3700">
            <w:pPr>
              <w:pStyle w:val="29"/>
              <w:widowControl/>
              <w:spacing w:before="0" w:beforeAutospacing="0" w:after="0" w:afterAutospacing="0" w:line="410" w:lineRule="exact"/>
              <w:jc w:val="center"/>
              <w:rPr>
                <w:rFonts w:hint="eastAsia" w:ascii="宋体" w:hAnsi="宋体" w:eastAsia="宋体" w:cs="宋体"/>
                <w:b/>
                <w:bCs/>
                <w:shd w:val="clear" w:color="auto" w:fill="FFFFFF"/>
              </w:rPr>
            </w:pPr>
            <w:r>
              <w:rPr>
                <w:rFonts w:hint="eastAsia" w:ascii="宋体" w:hAnsi="宋体" w:eastAsia="宋体" w:cs="宋体"/>
                <w:b/>
                <w:bCs/>
                <w:shd w:val="clear" w:color="auto" w:fill="FFFFFF"/>
              </w:rPr>
              <w:t>服务方案</w:t>
            </w:r>
          </w:p>
          <w:p w14:paraId="56B0E616">
            <w:pPr>
              <w:pStyle w:val="29"/>
              <w:widowControl/>
              <w:spacing w:before="0" w:beforeAutospacing="0" w:after="0" w:afterAutospacing="0" w:line="410" w:lineRule="exact"/>
              <w:jc w:val="center"/>
              <w:rPr>
                <w:rFonts w:hint="eastAsia" w:ascii="宋体" w:hAnsi="宋体" w:eastAsia="宋体" w:cs="宋体"/>
                <w:b/>
                <w:bCs/>
                <w:shd w:val="clear" w:color="auto" w:fill="FFFFFF"/>
                <w:lang w:val="zh-CN"/>
              </w:rPr>
            </w:pPr>
            <w:r>
              <w:rPr>
                <w:rFonts w:hint="eastAsia" w:ascii="宋体" w:hAnsi="宋体" w:eastAsia="宋体" w:cs="宋体"/>
                <w:b/>
                <w:bCs/>
                <w:shd w:val="clear" w:color="auto" w:fill="FFFFFF"/>
              </w:rPr>
              <w:t>（</w:t>
            </w:r>
            <w:r>
              <w:rPr>
                <w:rFonts w:hint="eastAsia" w:ascii="宋体" w:hAnsi="宋体" w:eastAsia="宋体" w:cs="宋体"/>
                <w:b/>
                <w:bCs/>
                <w:shd w:val="clear" w:color="auto" w:fill="FFFFFF"/>
                <w:lang w:val="en-US" w:eastAsia="zh-CN"/>
              </w:rPr>
              <w:t>7</w:t>
            </w:r>
            <w:r>
              <w:rPr>
                <w:rFonts w:hint="eastAsia" w:ascii="宋体" w:hAnsi="宋体" w:eastAsia="宋体" w:cs="宋体"/>
                <w:b/>
                <w:bCs/>
                <w:shd w:val="clear" w:color="auto" w:fill="FFFFFF"/>
              </w:rPr>
              <w:t>0%）</w:t>
            </w:r>
          </w:p>
        </w:tc>
        <w:tc>
          <w:tcPr>
            <w:tcW w:w="7244" w:type="dxa"/>
            <w:tcBorders>
              <w:top w:val="single" w:color="auto" w:sz="4" w:space="0"/>
              <w:left w:val="single" w:color="auto" w:sz="4" w:space="0"/>
              <w:bottom w:val="single" w:color="auto" w:sz="4" w:space="0"/>
              <w:right w:val="single" w:color="auto" w:sz="4" w:space="0"/>
            </w:tcBorders>
            <w:noWrap w:val="0"/>
            <w:vAlign w:val="center"/>
          </w:tcPr>
          <w:p w14:paraId="3E0844D7">
            <w:pPr>
              <w:pStyle w:val="29"/>
              <w:widowControl/>
              <w:spacing w:before="0" w:beforeAutospacing="0" w:after="0" w:afterAutospacing="0" w:line="410" w:lineRule="exact"/>
              <w:jc w:val="both"/>
              <w:rPr>
                <w:rFonts w:hint="eastAsia" w:ascii="宋体" w:hAnsi="宋体" w:eastAsia="宋体" w:cs="宋体"/>
                <w:lang w:val="en-US" w:eastAsia="zh-CN"/>
              </w:rPr>
            </w:pPr>
            <w:r>
              <w:rPr>
                <w:rFonts w:hint="eastAsia" w:ascii="宋体" w:hAnsi="宋体" w:eastAsia="宋体" w:cs="宋体"/>
                <w:b/>
                <w:bCs/>
                <w:lang w:val="en-US" w:eastAsia="zh-CN"/>
              </w:rPr>
              <w:t>设计服务方案（30分）</w:t>
            </w:r>
            <w:r>
              <w:rPr>
                <w:rFonts w:hint="eastAsia" w:ascii="宋体" w:hAnsi="宋体" w:eastAsia="宋体" w:cs="宋体"/>
                <w:lang w:val="en-US" w:eastAsia="zh-CN"/>
              </w:rPr>
              <w:t>：</w:t>
            </w:r>
          </w:p>
          <w:p w14:paraId="3680F9AF">
            <w:pPr>
              <w:pStyle w:val="29"/>
              <w:widowControl/>
              <w:spacing w:before="0" w:beforeAutospacing="0" w:after="0" w:afterAutospacing="0" w:line="410" w:lineRule="exact"/>
              <w:jc w:val="both"/>
              <w:rPr>
                <w:rFonts w:hint="eastAsia" w:ascii="宋体" w:hAnsi="宋体" w:eastAsia="宋体" w:cs="宋体"/>
                <w:lang w:val="zh-CN"/>
              </w:rPr>
            </w:pPr>
            <w:r>
              <w:rPr>
                <w:rFonts w:hint="eastAsia" w:ascii="宋体" w:hAnsi="宋体" w:eastAsia="宋体" w:cs="宋体"/>
                <w:lang w:val="zh-CN"/>
              </w:rPr>
              <w:t>针对本项目编制设计方案，方案包括但不限于：①设计范围及内容；②设计依据及工作目标；③设计说明和方案</w:t>
            </w:r>
            <w:r>
              <w:rPr>
                <w:rFonts w:hint="eastAsia" w:ascii="宋体" w:hAnsi="宋体" w:eastAsia="宋体" w:cs="宋体"/>
                <w:lang w:val="en-US" w:eastAsia="zh-CN"/>
              </w:rPr>
              <w:t>；</w:t>
            </w:r>
            <w:r>
              <w:rPr>
                <w:rFonts w:hint="eastAsia" w:ascii="宋体" w:hAnsi="宋体" w:eastAsia="宋体" w:cs="宋体"/>
                <w:lang w:val="zh-CN"/>
              </w:rPr>
              <w:t>④质量、进度、保密等保证措施（</w:t>
            </w:r>
            <w:r>
              <w:rPr>
                <w:rFonts w:hint="eastAsia" w:ascii="宋体" w:hAnsi="宋体" w:eastAsia="宋体" w:cs="宋体"/>
                <w:lang w:val="en-US" w:eastAsia="zh-CN"/>
              </w:rPr>
              <w:t>包含</w:t>
            </w:r>
            <w:r>
              <w:rPr>
                <w:rFonts w:hint="eastAsia" w:ascii="宋体" w:hAnsi="宋体" w:eastAsia="宋体" w:cs="宋体"/>
                <w:lang w:val="zh-CN"/>
              </w:rPr>
              <w:t>质量保证体系、质量偏差有监控及应对措施、进度偏差有监控及应对措施、相关保密承诺</w:t>
            </w:r>
            <w:r>
              <w:rPr>
                <w:rFonts w:hint="eastAsia" w:ascii="宋体" w:hAnsi="宋体" w:eastAsia="宋体" w:cs="宋体"/>
                <w:lang w:val="en-US" w:eastAsia="zh-CN"/>
              </w:rPr>
              <w:t>等</w:t>
            </w:r>
            <w:r>
              <w:rPr>
                <w:rFonts w:hint="eastAsia" w:ascii="宋体" w:hAnsi="宋体" w:eastAsia="宋体" w:cs="宋体"/>
                <w:lang w:val="zh-CN"/>
              </w:rPr>
              <w:t>）；⑤安全保证措施；⑥机构设置和岗位职责（</w:t>
            </w:r>
            <w:r>
              <w:rPr>
                <w:rFonts w:hint="eastAsia" w:ascii="宋体" w:hAnsi="宋体" w:eastAsia="宋体" w:cs="宋体"/>
                <w:lang w:val="en-US" w:eastAsia="zh-CN"/>
              </w:rPr>
              <w:t>包含</w:t>
            </w:r>
            <w:r>
              <w:rPr>
                <w:rFonts w:hint="eastAsia" w:ascii="宋体" w:hAnsi="宋体" w:eastAsia="宋体" w:cs="宋体"/>
                <w:lang w:val="zh-CN"/>
              </w:rPr>
              <w:t>内部审查制度、奖惩制度</w:t>
            </w:r>
            <w:r>
              <w:rPr>
                <w:rFonts w:hint="eastAsia" w:ascii="宋体" w:hAnsi="宋体" w:eastAsia="宋体" w:cs="宋体"/>
                <w:lang w:val="en-US" w:eastAsia="zh-CN"/>
              </w:rPr>
              <w:t>等</w:t>
            </w:r>
            <w:r>
              <w:rPr>
                <w:rFonts w:hint="eastAsia" w:ascii="宋体" w:hAnsi="宋体" w:eastAsia="宋体" w:cs="宋体"/>
                <w:lang w:val="zh-CN"/>
              </w:rPr>
              <w:t>）；⑦工作重点及难点分析；⑧项目总投资估算及控制性措施；⑨合理化建议；</w:t>
            </w:r>
          </w:p>
          <w:p w14:paraId="6E5B448E">
            <w:pPr>
              <w:pStyle w:val="29"/>
              <w:widowControl/>
              <w:spacing w:before="0" w:beforeAutospacing="0" w:after="0" w:afterAutospacing="0" w:line="410" w:lineRule="exact"/>
              <w:jc w:val="both"/>
              <w:rPr>
                <w:rFonts w:hint="default"/>
                <w:lang w:val="en-US" w:eastAsia="zh-CN"/>
              </w:rPr>
            </w:pPr>
            <w:r>
              <w:rPr>
                <w:rFonts w:hint="eastAsia" w:ascii="宋体" w:hAnsi="宋体" w:eastAsia="宋体" w:cs="宋体"/>
                <w:lang w:val="en-US" w:eastAsia="zh-CN"/>
              </w:rPr>
              <w:t>方案内容</w:t>
            </w:r>
            <w:r>
              <w:rPr>
                <w:rFonts w:hint="eastAsia" w:ascii="宋体" w:hAnsi="宋体" w:eastAsia="宋体" w:cs="宋体"/>
                <w:lang w:val="zh-CN"/>
              </w:rPr>
              <w:t>好的得</w:t>
            </w:r>
            <w:r>
              <w:rPr>
                <w:rFonts w:hint="eastAsia" w:ascii="宋体" w:hAnsi="宋体" w:eastAsia="宋体" w:cs="宋体"/>
                <w:lang w:val="en-US" w:eastAsia="zh-CN"/>
              </w:rPr>
              <w:t>30</w:t>
            </w:r>
            <w:r>
              <w:rPr>
                <w:rFonts w:hint="eastAsia" w:ascii="宋体" w:hAnsi="宋体" w:eastAsia="宋体" w:cs="宋体"/>
                <w:lang w:val="zh-CN"/>
              </w:rPr>
              <w:t>-</w:t>
            </w:r>
            <w:r>
              <w:rPr>
                <w:rFonts w:hint="eastAsia" w:ascii="宋体" w:hAnsi="宋体" w:eastAsia="宋体" w:cs="宋体"/>
                <w:lang w:val="en-US" w:eastAsia="zh-CN"/>
              </w:rPr>
              <w:t>20</w:t>
            </w:r>
            <w:r>
              <w:rPr>
                <w:rFonts w:hint="eastAsia" w:ascii="宋体" w:hAnsi="宋体" w:eastAsia="宋体" w:cs="宋体"/>
                <w:lang w:val="zh-CN"/>
              </w:rPr>
              <w:t>分，</w:t>
            </w:r>
            <w:r>
              <w:rPr>
                <w:rFonts w:hint="eastAsia" w:ascii="宋体" w:hAnsi="宋体" w:eastAsia="宋体" w:cs="宋体"/>
                <w:lang w:val="en-US" w:eastAsia="zh-CN"/>
              </w:rPr>
              <w:t>较好的</w:t>
            </w:r>
            <w:r>
              <w:rPr>
                <w:rFonts w:hint="eastAsia" w:ascii="宋体" w:hAnsi="宋体" w:eastAsia="宋体" w:cs="宋体"/>
                <w:lang w:val="zh-CN"/>
              </w:rPr>
              <w:t>得</w:t>
            </w:r>
            <w:r>
              <w:rPr>
                <w:rFonts w:hint="eastAsia" w:ascii="宋体" w:hAnsi="宋体" w:eastAsia="宋体" w:cs="宋体"/>
                <w:lang w:val="en-US" w:eastAsia="zh-CN"/>
              </w:rPr>
              <w:t>19.9</w:t>
            </w:r>
            <w:r>
              <w:rPr>
                <w:rFonts w:hint="eastAsia" w:ascii="宋体" w:hAnsi="宋体" w:eastAsia="宋体" w:cs="宋体"/>
                <w:lang w:val="zh-CN"/>
              </w:rPr>
              <w:t>-</w:t>
            </w:r>
            <w:r>
              <w:rPr>
                <w:rFonts w:hint="eastAsia" w:ascii="宋体" w:hAnsi="宋体" w:eastAsia="宋体" w:cs="宋体"/>
                <w:lang w:val="en-US" w:eastAsia="zh-CN"/>
              </w:rPr>
              <w:t>10</w:t>
            </w:r>
            <w:r>
              <w:rPr>
                <w:rFonts w:hint="eastAsia" w:ascii="宋体" w:hAnsi="宋体" w:eastAsia="宋体" w:cs="宋体"/>
                <w:lang w:val="zh-CN"/>
              </w:rPr>
              <w:t>分，一般的得</w:t>
            </w:r>
            <w:r>
              <w:rPr>
                <w:rFonts w:hint="eastAsia" w:ascii="宋体" w:hAnsi="宋体" w:eastAsia="宋体" w:cs="宋体"/>
                <w:lang w:val="en-US" w:eastAsia="zh-CN"/>
              </w:rPr>
              <w:t>9.9</w:t>
            </w:r>
            <w:r>
              <w:rPr>
                <w:rFonts w:hint="eastAsia" w:ascii="宋体" w:hAnsi="宋体" w:eastAsia="宋体" w:cs="宋体"/>
                <w:lang w:val="zh-CN"/>
              </w:rPr>
              <w:t>-</w:t>
            </w:r>
            <w:r>
              <w:rPr>
                <w:rFonts w:hint="eastAsia" w:ascii="宋体" w:hAnsi="宋体" w:eastAsia="宋体" w:cs="宋体"/>
                <w:lang w:val="en-US" w:eastAsia="zh-CN"/>
              </w:rPr>
              <w:t>0.1</w:t>
            </w:r>
            <w:r>
              <w:rPr>
                <w:rFonts w:hint="eastAsia" w:ascii="宋体" w:hAnsi="宋体" w:eastAsia="宋体" w:cs="宋体"/>
                <w:lang w:val="zh-CN"/>
              </w:rPr>
              <w:t>分，差或未提供的不得分。</w:t>
            </w:r>
          </w:p>
        </w:tc>
      </w:tr>
      <w:tr w14:paraId="6823DB55">
        <w:tblPrEx>
          <w:tblCellMar>
            <w:top w:w="0" w:type="dxa"/>
            <w:left w:w="108" w:type="dxa"/>
            <w:bottom w:w="0" w:type="dxa"/>
            <w:right w:w="108" w:type="dxa"/>
          </w:tblCellMar>
        </w:tblPrEx>
        <w:trPr>
          <w:trHeight w:val="2118" w:hRule="atLeast"/>
          <w:jc w:val="center"/>
        </w:trPr>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747568D9">
            <w:pPr>
              <w:pStyle w:val="29"/>
              <w:widowControl/>
              <w:spacing w:before="0" w:beforeAutospacing="0" w:after="0" w:afterAutospacing="0" w:line="410" w:lineRule="exact"/>
              <w:jc w:val="center"/>
              <w:rPr>
                <w:rFonts w:hint="eastAsia" w:ascii="宋体" w:hAnsi="宋体" w:eastAsia="宋体" w:cs="宋体"/>
                <w:b/>
                <w:bCs/>
              </w:rPr>
            </w:pPr>
          </w:p>
        </w:tc>
        <w:tc>
          <w:tcPr>
            <w:tcW w:w="1302" w:type="dxa"/>
            <w:vMerge w:val="continue"/>
            <w:tcBorders>
              <w:top w:val="single" w:color="auto" w:sz="4" w:space="0"/>
              <w:left w:val="single" w:color="auto" w:sz="4" w:space="0"/>
              <w:bottom w:val="single" w:color="auto" w:sz="4" w:space="0"/>
              <w:right w:val="single" w:color="auto" w:sz="4" w:space="0"/>
            </w:tcBorders>
            <w:noWrap w:val="0"/>
            <w:vAlign w:val="center"/>
          </w:tcPr>
          <w:p w14:paraId="4DF39979">
            <w:pPr>
              <w:pStyle w:val="29"/>
              <w:widowControl/>
              <w:spacing w:before="0" w:beforeAutospacing="0" w:after="0" w:afterAutospacing="0" w:line="410" w:lineRule="exact"/>
              <w:jc w:val="center"/>
              <w:rPr>
                <w:rFonts w:hint="eastAsia" w:ascii="宋体" w:hAnsi="宋体" w:eastAsia="宋体" w:cs="宋体"/>
                <w:b/>
                <w:bCs/>
                <w:shd w:val="clear" w:color="auto" w:fill="FFFFFF"/>
              </w:rPr>
            </w:pPr>
          </w:p>
        </w:tc>
        <w:tc>
          <w:tcPr>
            <w:tcW w:w="7244" w:type="dxa"/>
            <w:tcBorders>
              <w:top w:val="single" w:color="auto" w:sz="4" w:space="0"/>
              <w:left w:val="single" w:color="auto" w:sz="4" w:space="0"/>
              <w:bottom w:val="single" w:color="auto" w:sz="4" w:space="0"/>
              <w:right w:val="single" w:color="auto" w:sz="4" w:space="0"/>
            </w:tcBorders>
            <w:noWrap w:val="0"/>
            <w:vAlign w:val="center"/>
          </w:tcPr>
          <w:p w14:paraId="1CD8E065">
            <w:pPr>
              <w:pStyle w:val="29"/>
              <w:widowControl/>
              <w:spacing w:before="0" w:beforeAutospacing="0" w:after="0" w:afterAutospacing="0" w:line="410" w:lineRule="exact"/>
              <w:jc w:val="both"/>
              <w:rPr>
                <w:rFonts w:hint="eastAsia" w:ascii="宋体" w:hAnsi="宋体" w:eastAsia="宋体" w:cs="宋体"/>
                <w:lang w:val="en-US" w:eastAsia="zh-CN"/>
              </w:rPr>
            </w:pPr>
            <w:r>
              <w:rPr>
                <w:rFonts w:hint="eastAsia" w:ascii="宋体" w:hAnsi="宋体" w:eastAsia="宋体" w:cs="宋体"/>
                <w:b/>
                <w:bCs/>
                <w:lang w:val="en-US" w:eastAsia="zh-CN"/>
              </w:rPr>
              <w:t>造价咨询服务方案（20分）</w:t>
            </w:r>
            <w:r>
              <w:rPr>
                <w:rFonts w:hint="eastAsia" w:ascii="宋体" w:hAnsi="宋体" w:eastAsia="宋体" w:cs="宋体"/>
                <w:lang w:val="en-US" w:eastAsia="zh-CN"/>
              </w:rPr>
              <w:t>：</w:t>
            </w:r>
          </w:p>
          <w:p w14:paraId="5406E793">
            <w:pPr>
              <w:pStyle w:val="29"/>
              <w:widowControl/>
              <w:spacing w:before="0" w:beforeAutospacing="0" w:after="0" w:afterAutospacing="0" w:line="410" w:lineRule="exact"/>
              <w:jc w:val="both"/>
              <w:rPr>
                <w:rFonts w:hint="eastAsia"/>
                <w:lang w:eastAsia="zh-CN"/>
              </w:rPr>
            </w:pPr>
            <w:r>
              <w:rPr>
                <w:rFonts w:hint="eastAsia"/>
                <w:lang w:eastAsia="zh-CN"/>
              </w:rPr>
              <w:t>全过程造价咨询服务方案：包括但不限于①控制大纲及控制措施；②难点、重点及要点分析；③</w:t>
            </w:r>
            <w:r>
              <w:rPr>
                <w:rFonts w:ascii="宋体" w:hAnsi="宋体" w:eastAsia="宋体" w:cs="宋体"/>
                <w:color w:val="auto"/>
                <w:sz w:val="24"/>
                <w:szCs w:val="24"/>
              </w:rPr>
              <w:t>咨询服务工作程序</w:t>
            </w:r>
            <w:r>
              <w:rPr>
                <w:rFonts w:hint="eastAsia" w:ascii="宋体" w:hAnsi="宋体" w:eastAsia="宋体" w:cs="宋体"/>
                <w:color w:val="auto"/>
                <w:sz w:val="24"/>
                <w:szCs w:val="24"/>
                <w:lang w:eastAsia="zh-CN"/>
              </w:rPr>
              <w:t>；</w:t>
            </w:r>
            <w:r>
              <w:rPr>
                <w:rFonts w:hint="eastAsia" w:ascii="宋体" w:hAnsi="宋体" w:eastAsia="宋体" w:cs="宋体"/>
                <w:lang w:eastAsia="zh-CN"/>
              </w:rPr>
              <w:t>④</w:t>
            </w:r>
            <w:r>
              <w:rPr>
                <w:rFonts w:hint="eastAsia"/>
                <w:lang w:eastAsia="zh-CN"/>
              </w:rPr>
              <w:t>造价进度控制的措施；</w:t>
            </w: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t>⑤</w:t>
            </w:r>
            <w:r>
              <w:rPr>
                <w:rFonts w:hint="eastAsia"/>
                <w:lang w:eastAsia="zh-CN"/>
              </w:rPr>
              <w:fldChar w:fldCharType="end"/>
            </w:r>
            <w:r>
              <w:rPr>
                <w:rFonts w:hint="eastAsia"/>
                <w:lang w:eastAsia="zh-CN"/>
              </w:rPr>
              <w:t>造价咨询保密措施；</w:t>
            </w: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t>⑥</w:t>
            </w:r>
            <w:r>
              <w:rPr>
                <w:rFonts w:hint="eastAsia"/>
                <w:lang w:eastAsia="zh-CN"/>
              </w:rPr>
              <w:fldChar w:fldCharType="end"/>
            </w:r>
            <w:r>
              <w:rPr>
                <w:rFonts w:hint="eastAsia"/>
                <w:lang w:val="en-US" w:eastAsia="zh-CN"/>
              </w:rPr>
              <w:t>档案管理措施</w:t>
            </w:r>
            <w:r>
              <w:rPr>
                <w:rFonts w:hint="eastAsia"/>
                <w:lang w:eastAsia="zh-CN"/>
              </w:rPr>
              <w:t>。</w:t>
            </w:r>
          </w:p>
          <w:p w14:paraId="397F8B15">
            <w:pPr>
              <w:pStyle w:val="29"/>
              <w:widowControl/>
              <w:spacing w:before="0" w:beforeAutospacing="0" w:after="0" w:afterAutospacing="0" w:line="410" w:lineRule="exact"/>
              <w:jc w:val="both"/>
              <w:rPr>
                <w:rFonts w:hint="eastAsia"/>
              </w:rPr>
            </w:pPr>
            <w:r>
              <w:rPr>
                <w:rFonts w:hint="eastAsia" w:ascii="宋体" w:hAnsi="宋体" w:eastAsia="宋体" w:cs="宋体"/>
                <w:lang w:val="en-US" w:eastAsia="zh-CN"/>
              </w:rPr>
              <w:t>方案内容</w:t>
            </w:r>
            <w:r>
              <w:rPr>
                <w:rFonts w:hint="eastAsia" w:ascii="宋体" w:hAnsi="宋体" w:eastAsia="宋体" w:cs="宋体"/>
                <w:lang w:val="zh-CN"/>
              </w:rPr>
              <w:t>好的得</w:t>
            </w:r>
            <w:r>
              <w:rPr>
                <w:rFonts w:hint="eastAsia" w:ascii="宋体" w:hAnsi="宋体" w:eastAsia="宋体" w:cs="宋体"/>
                <w:lang w:val="en-US" w:eastAsia="zh-CN"/>
              </w:rPr>
              <w:t>20</w:t>
            </w:r>
            <w:r>
              <w:rPr>
                <w:rFonts w:hint="eastAsia" w:ascii="宋体" w:hAnsi="宋体" w:eastAsia="宋体" w:cs="宋体"/>
                <w:lang w:val="zh-CN"/>
              </w:rPr>
              <w:t>-</w:t>
            </w:r>
            <w:r>
              <w:rPr>
                <w:rFonts w:hint="eastAsia" w:ascii="宋体" w:hAnsi="宋体" w:eastAsia="宋体" w:cs="宋体"/>
                <w:lang w:val="en-US" w:eastAsia="zh-CN"/>
              </w:rPr>
              <w:t>12</w:t>
            </w:r>
            <w:r>
              <w:rPr>
                <w:rFonts w:hint="eastAsia" w:ascii="宋体" w:hAnsi="宋体" w:eastAsia="宋体" w:cs="宋体"/>
                <w:lang w:val="zh-CN"/>
              </w:rPr>
              <w:t>分，</w:t>
            </w:r>
            <w:r>
              <w:rPr>
                <w:rFonts w:hint="eastAsia" w:ascii="宋体" w:hAnsi="宋体" w:eastAsia="宋体" w:cs="宋体"/>
                <w:lang w:val="en-US" w:eastAsia="zh-CN"/>
              </w:rPr>
              <w:t>较好的</w:t>
            </w:r>
            <w:r>
              <w:rPr>
                <w:rFonts w:hint="eastAsia" w:ascii="宋体" w:hAnsi="宋体" w:eastAsia="宋体" w:cs="宋体"/>
                <w:lang w:val="zh-CN"/>
              </w:rPr>
              <w:t>得</w:t>
            </w:r>
            <w:r>
              <w:rPr>
                <w:rFonts w:hint="eastAsia" w:ascii="宋体" w:hAnsi="宋体" w:eastAsia="宋体" w:cs="宋体"/>
                <w:lang w:val="en-US" w:eastAsia="zh-CN"/>
              </w:rPr>
              <w:t>11.9</w:t>
            </w:r>
            <w:r>
              <w:rPr>
                <w:rFonts w:hint="eastAsia" w:ascii="宋体" w:hAnsi="宋体" w:eastAsia="宋体" w:cs="宋体"/>
                <w:lang w:val="zh-CN"/>
              </w:rPr>
              <w:t>-</w:t>
            </w:r>
            <w:r>
              <w:rPr>
                <w:rFonts w:hint="eastAsia" w:ascii="宋体" w:hAnsi="宋体" w:eastAsia="宋体" w:cs="宋体"/>
                <w:lang w:val="en-US" w:eastAsia="zh-CN"/>
              </w:rPr>
              <w:t>6</w:t>
            </w:r>
            <w:r>
              <w:rPr>
                <w:rFonts w:hint="eastAsia" w:ascii="宋体" w:hAnsi="宋体" w:eastAsia="宋体" w:cs="宋体"/>
                <w:lang w:val="zh-CN"/>
              </w:rPr>
              <w:t>分，一般的得</w:t>
            </w:r>
            <w:r>
              <w:rPr>
                <w:rFonts w:hint="eastAsia" w:ascii="宋体" w:hAnsi="宋体" w:eastAsia="宋体" w:cs="宋体"/>
                <w:lang w:val="en-US" w:eastAsia="zh-CN"/>
              </w:rPr>
              <w:t>5.9</w:t>
            </w:r>
            <w:r>
              <w:rPr>
                <w:rFonts w:hint="eastAsia" w:ascii="宋体" w:hAnsi="宋体" w:eastAsia="宋体" w:cs="宋体"/>
                <w:lang w:val="zh-CN"/>
              </w:rPr>
              <w:t>-</w:t>
            </w:r>
            <w:r>
              <w:rPr>
                <w:rFonts w:hint="eastAsia" w:ascii="宋体" w:hAnsi="宋体" w:eastAsia="宋体" w:cs="宋体"/>
                <w:lang w:val="en-US" w:eastAsia="zh-CN"/>
              </w:rPr>
              <w:t>0.1</w:t>
            </w:r>
            <w:r>
              <w:rPr>
                <w:rFonts w:hint="eastAsia" w:ascii="宋体" w:hAnsi="宋体" w:eastAsia="宋体" w:cs="宋体"/>
                <w:lang w:val="zh-CN"/>
              </w:rPr>
              <w:t>分，差或未提供的不得分。</w:t>
            </w:r>
          </w:p>
        </w:tc>
      </w:tr>
      <w:tr w14:paraId="5F24C852">
        <w:tblPrEx>
          <w:tblCellMar>
            <w:top w:w="0" w:type="dxa"/>
            <w:left w:w="108" w:type="dxa"/>
            <w:bottom w:w="0" w:type="dxa"/>
            <w:right w:w="108" w:type="dxa"/>
          </w:tblCellMar>
        </w:tblPrEx>
        <w:trPr>
          <w:trHeight w:val="1887" w:hRule="atLeast"/>
          <w:jc w:val="center"/>
        </w:trPr>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64273EEF">
            <w:pPr>
              <w:pStyle w:val="29"/>
              <w:widowControl/>
              <w:spacing w:before="0" w:beforeAutospacing="0" w:after="0" w:afterAutospacing="0" w:line="410" w:lineRule="exact"/>
              <w:jc w:val="center"/>
              <w:rPr>
                <w:rFonts w:hint="eastAsia" w:ascii="宋体" w:hAnsi="宋体" w:eastAsia="宋体" w:cs="宋体"/>
                <w:b/>
                <w:bCs/>
              </w:rPr>
            </w:pPr>
          </w:p>
        </w:tc>
        <w:tc>
          <w:tcPr>
            <w:tcW w:w="1302" w:type="dxa"/>
            <w:vMerge w:val="continue"/>
            <w:tcBorders>
              <w:top w:val="single" w:color="auto" w:sz="4" w:space="0"/>
              <w:left w:val="single" w:color="auto" w:sz="4" w:space="0"/>
              <w:bottom w:val="single" w:color="auto" w:sz="4" w:space="0"/>
              <w:right w:val="single" w:color="auto" w:sz="4" w:space="0"/>
            </w:tcBorders>
            <w:noWrap w:val="0"/>
            <w:vAlign w:val="center"/>
          </w:tcPr>
          <w:p w14:paraId="0D8D928B">
            <w:pPr>
              <w:pStyle w:val="29"/>
              <w:widowControl/>
              <w:spacing w:before="0" w:beforeAutospacing="0" w:after="0" w:afterAutospacing="0" w:line="410" w:lineRule="exact"/>
              <w:jc w:val="center"/>
              <w:rPr>
                <w:rFonts w:hint="eastAsia" w:ascii="宋体" w:hAnsi="宋体" w:eastAsia="宋体" w:cs="宋体"/>
                <w:b/>
                <w:bCs/>
                <w:shd w:val="clear" w:color="auto" w:fill="FFFFFF"/>
              </w:rPr>
            </w:pPr>
          </w:p>
        </w:tc>
        <w:tc>
          <w:tcPr>
            <w:tcW w:w="7244" w:type="dxa"/>
            <w:tcBorders>
              <w:top w:val="single" w:color="auto" w:sz="4" w:space="0"/>
              <w:left w:val="single" w:color="auto" w:sz="4" w:space="0"/>
              <w:bottom w:val="single" w:color="auto" w:sz="4" w:space="0"/>
              <w:right w:val="single" w:color="auto" w:sz="4" w:space="0"/>
            </w:tcBorders>
            <w:noWrap w:val="0"/>
            <w:vAlign w:val="center"/>
          </w:tcPr>
          <w:p w14:paraId="6962609E">
            <w:pPr>
              <w:autoSpaceDE w:val="0"/>
              <w:autoSpaceDN w:val="0"/>
              <w:spacing w:line="360" w:lineRule="auto"/>
              <w:jc w:val="left"/>
              <w:rPr>
                <w:rFonts w:hint="eastAsia" w:ascii="宋体" w:hAnsi="宋体" w:eastAsia="宋体" w:cs="宋体"/>
                <w:sz w:val="24"/>
                <w:lang w:eastAsia="zh-CN"/>
              </w:rPr>
            </w:pPr>
            <w:r>
              <w:rPr>
                <w:rFonts w:hint="eastAsia" w:ascii="宋体" w:hAnsi="宋体" w:eastAsia="宋体" w:cs="宋体"/>
                <w:b/>
                <w:bCs/>
                <w:sz w:val="24"/>
              </w:rPr>
              <w:t>项目管理机构及人员配备</w:t>
            </w:r>
            <w:r>
              <w:rPr>
                <w:rFonts w:hint="eastAsia" w:ascii="宋体" w:hAnsi="宋体" w:eastAsia="宋体" w:cs="宋体"/>
                <w:b/>
                <w:bCs/>
                <w:sz w:val="24"/>
                <w:lang w:eastAsia="zh-CN"/>
              </w:rPr>
              <w:t>（</w:t>
            </w:r>
            <w:r>
              <w:rPr>
                <w:rFonts w:hint="eastAsia" w:ascii="宋体" w:hAnsi="宋体" w:eastAsia="宋体" w:cs="宋体"/>
                <w:b/>
                <w:bCs/>
                <w:sz w:val="24"/>
                <w:lang w:val="en-US" w:eastAsia="zh-CN"/>
              </w:rPr>
              <w:t>20分</w:t>
            </w:r>
            <w:r>
              <w:rPr>
                <w:rFonts w:hint="eastAsia" w:ascii="宋体" w:hAnsi="宋体" w:eastAsia="宋体" w:cs="宋体"/>
                <w:b/>
                <w:bCs/>
                <w:sz w:val="24"/>
                <w:lang w:eastAsia="zh-CN"/>
              </w:rPr>
              <w:t>）</w:t>
            </w:r>
            <w:r>
              <w:rPr>
                <w:rFonts w:hint="eastAsia" w:ascii="宋体" w:hAnsi="宋体" w:eastAsia="宋体" w:cs="宋体"/>
                <w:sz w:val="24"/>
                <w:lang w:eastAsia="zh-CN"/>
              </w:rPr>
              <w:t>：</w:t>
            </w:r>
          </w:p>
          <w:p w14:paraId="3F1E6792">
            <w:pPr>
              <w:autoSpaceDE w:val="0"/>
              <w:autoSpaceDN w:val="0"/>
              <w:spacing w:line="360" w:lineRule="auto"/>
              <w:jc w:val="left"/>
              <w:rPr>
                <w:rFonts w:hint="eastAsia" w:ascii="宋体" w:hAnsi="宋体" w:eastAsia="宋体" w:cs="宋体"/>
                <w:bCs/>
                <w:iCs/>
                <w:spacing w:val="3"/>
              </w:rPr>
            </w:pPr>
            <w:r>
              <w:rPr>
                <w:rFonts w:hint="eastAsia" w:ascii="宋体" w:hAnsi="宋体" w:eastAsia="宋体" w:cs="宋体"/>
                <w:sz w:val="24"/>
              </w:rPr>
              <w:t>根据服务内容，供应商须设置项目管理机构</w:t>
            </w:r>
            <w:r>
              <w:rPr>
                <w:rFonts w:hint="eastAsia" w:ascii="宋体" w:hAnsi="宋体" w:eastAsia="宋体" w:cs="宋体"/>
                <w:sz w:val="24"/>
                <w:lang w:eastAsia="zh-CN"/>
              </w:rPr>
              <w:t>，</w:t>
            </w:r>
            <w:r>
              <w:rPr>
                <w:rFonts w:hint="eastAsia" w:ascii="宋体" w:hAnsi="宋体" w:eastAsia="宋体" w:cs="宋体"/>
                <w:sz w:val="24"/>
                <w:lang w:val="en-US" w:eastAsia="zh-CN"/>
              </w:rPr>
              <w:t>根据人员配备、分工、责任及服务范围</w:t>
            </w:r>
            <w:r>
              <w:rPr>
                <w:rFonts w:hint="eastAsia" w:ascii="宋体" w:hAnsi="宋体" w:eastAsia="宋体" w:cs="宋体"/>
                <w:sz w:val="24"/>
              </w:rPr>
              <w:t>进行综合评审</w:t>
            </w:r>
            <w:r>
              <w:rPr>
                <w:rFonts w:hint="eastAsia" w:ascii="宋体" w:hAnsi="宋体" w:eastAsia="宋体" w:cs="宋体"/>
                <w:sz w:val="24"/>
                <w:lang w:val="zh-CN"/>
              </w:rPr>
              <w:t>，好的得</w:t>
            </w:r>
            <w:r>
              <w:rPr>
                <w:rFonts w:hint="eastAsia" w:ascii="宋体" w:hAnsi="宋体" w:eastAsia="宋体" w:cs="宋体"/>
                <w:sz w:val="24"/>
                <w:lang w:val="en-US" w:eastAsia="zh-CN"/>
              </w:rPr>
              <w:t>20</w:t>
            </w:r>
            <w:r>
              <w:rPr>
                <w:rFonts w:hint="eastAsia" w:ascii="宋体" w:hAnsi="宋体" w:eastAsia="宋体" w:cs="宋体"/>
                <w:sz w:val="24"/>
                <w:lang w:val="zh-CN"/>
              </w:rPr>
              <w:t>-</w:t>
            </w:r>
            <w:r>
              <w:rPr>
                <w:rFonts w:hint="eastAsia" w:ascii="宋体" w:hAnsi="宋体" w:eastAsia="宋体" w:cs="宋体"/>
                <w:sz w:val="24"/>
                <w:lang w:val="en-US" w:eastAsia="zh-CN"/>
              </w:rPr>
              <w:t>12</w:t>
            </w:r>
            <w:r>
              <w:rPr>
                <w:rFonts w:hint="eastAsia" w:ascii="宋体" w:hAnsi="宋体" w:eastAsia="宋体" w:cs="宋体"/>
                <w:sz w:val="24"/>
                <w:lang w:val="zh-CN"/>
              </w:rPr>
              <w:t>分，</w:t>
            </w:r>
            <w:r>
              <w:rPr>
                <w:rFonts w:hint="eastAsia" w:ascii="宋体" w:hAnsi="宋体" w:eastAsia="宋体" w:cs="宋体"/>
                <w:sz w:val="24"/>
                <w:lang w:val="en-US" w:eastAsia="zh-CN"/>
              </w:rPr>
              <w:t>较好的</w:t>
            </w:r>
            <w:r>
              <w:rPr>
                <w:rFonts w:hint="eastAsia" w:ascii="宋体" w:hAnsi="宋体" w:eastAsia="宋体" w:cs="宋体"/>
                <w:sz w:val="24"/>
                <w:lang w:val="zh-CN"/>
              </w:rPr>
              <w:t>得</w:t>
            </w:r>
            <w:r>
              <w:rPr>
                <w:rFonts w:hint="eastAsia" w:ascii="宋体" w:hAnsi="宋体" w:eastAsia="宋体" w:cs="宋体"/>
                <w:sz w:val="24"/>
                <w:lang w:val="en-US" w:eastAsia="zh-CN"/>
              </w:rPr>
              <w:t>11.9</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分，一般的得</w:t>
            </w:r>
            <w:r>
              <w:rPr>
                <w:rFonts w:hint="eastAsia" w:ascii="宋体" w:hAnsi="宋体" w:eastAsia="宋体" w:cs="宋体"/>
                <w:sz w:val="24"/>
                <w:lang w:val="en-US" w:eastAsia="zh-CN"/>
              </w:rPr>
              <w:t>5.9</w:t>
            </w:r>
            <w:r>
              <w:rPr>
                <w:rFonts w:hint="eastAsia" w:ascii="宋体" w:hAnsi="宋体" w:eastAsia="宋体" w:cs="宋体"/>
                <w:sz w:val="24"/>
                <w:lang w:val="zh-CN"/>
              </w:rPr>
              <w:t>-</w:t>
            </w:r>
            <w:r>
              <w:rPr>
                <w:rFonts w:hint="eastAsia" w:ascii="宋体" w:hAnsi="宋体" w:eastAsia="宋体" w:cs="宋体"/>
                <w:sz w:val="24"/>
                <w:lang w:val="en-US" w:eastAsia="zh-CN"/>
              </w:rPr>
              <w:t>0.1</w:t>
            </w:r>
            <w:r>
              <w:rPr>
                <w:rFonts w:hint="eastAsia" w:ascii="宋体" w:hAnsi="宋体" w:eastAsia="宋体" w:cs="宋体"/>
                <w:sz w:val="24"/>
                <w:lang w:val="zh-CN"/>
              </w:rPr>
              <w:t>分，差或未提供的不得分。</w:t>
            </w:r>
          </w:p>
        </w:tc>
      </w:tr>
    </w:tbl>
    <w:p w14:paraId="296BCF08">
      <w:pPr>
        <w:spacing w:line="360" w:lineRule="auto"/>
        <w:ind w:firstLine="480" w:firstLineChars="200"/>
        <w:jc w:val="left"/>
        <w:rPr>
          <w:rFonts w:hint="eastAsia" w:ascii="宋体" w:hAnsi="宋体" w:cs="宋体"/>
          <w:sz w:val="24"/>
        </w:rPr>
      </w:pPr>
      <w:r>
        <w:rPr>
          <w:rFonts w:hint="eastAsia" w:ascii="宋体" w:hAnsi="宋体" w:cs="宋体"/>
          <w:sz w:val="24"/>
        </w:rPr>
        <w:t>18.2 评审结果按评审后得分由高到低顺序排列。得分相同的，按投标报价由低到高顺序排列。当有效供应商不足3个时，评审专家组按有效供应商数量推荐；当有效供应商数量超过3个时，推荐不超过3个合格的成交候选供应商。</w:t>
      </w:r>
    </w:p>
    <w:p w14:paraId="6E2DAACE">
      <w:pPr>
        <w:spacing w:line="360" w:lineRule="auto"/>
        <w:ind w:firstLine="480" w:firstLineChars="200"/>
        <w:jc w:val="left"/>
        <w:rPr>
          <w:rFonts w:hint="eastAsia" w:ascii="宋体" w:hAnsi="宋体" w:cs="宋体"/>
          <w:sz w:val="24"/>
        </w:rPr>
      </w:pPr>
      <w:r>
        <w:rPr>
          <w:rFonts w:hint="eastAsia" w:ascii="宋体" w:hAnsi="宋体" w:cs="宋体"/>
          <w:sz w:val="24"/>
        </w:rPr>
        <w:t>18.3评审结果汇总完成后，除下列情形外，任何人不得修改评审结果：</w:t>
      </w:r>
    </w:p>
    <w:p w14:paraId="676E3593">
      <w:pPr>
        <w:spacing w:line="360" w:lineRule="auto"/>
        <w:ind w:firstLine="480" w:firstLineChars="200"/>
        <w:jc w:val="left"/>
        <w:rPr>
          <w:rFonts w:hint="eastAsia" w:ascii="宋体" w:hAnsi="宋体" w:cs="宋体"/>
          <w:sz w:val="24"/>
        </w:rPr>
      </w:pPr>
      <w:r>
        <w:rPr>
          <w:rFonts w:hint="eastAsia" w:ascii="宋体" w:hAnsi="宋体" w:cs="宋体"/>
          <w:sz w:val="24"/>
        </w:rPr>
        <w:t>（1）分值汇总计算错误的；</w:t>
      </w:r>
    </w:p>
    <w:p w14:paraId="242FDB6B">
      <w:pPr>
        <w:spacing w:line="360" w:lineRule="auto"/>
        <w:ind w:firstLine="480" w:firstLineChars="200"/>
        <w:jc w:val="left"/>
        <w:rPr>
          <w:rFonts w:hint="eastAsia" w:ascii="宋体" w:hAnsi="宋体" w:cs="宋体"/>
          <w:sz w:val="24"/>
        </w:rPr>
      </w:pPr>
      <w:r>
        <w:rPr>
          <w:rFonts w:hint="eastAsia" w:ascii="宋体" w:hAnsi="宋体" w:cs="宋体"/>
          <w:sz w:val="24"/>
        </w:rPr>
        <w:t>（2）分项评分超出评分标准范围的；</w:t>
      </w:r>
    </w:p>
    <w:p w14:paraId="104D889E">
      <w:pPr>
        <w:spacing w:line="360" w:lineRule="auto"/>
        <w:ind w:firstLine="480" w:firstLineChars="200"/>
        <w:jc w:val="left"/>
        <w:rPr>
          <w:rFonts w:hint="eastAsia" w:ascii="宋体" w:hAnsi="宋体" w:cs="宋体"/>
          <w:sz w:val="24"/>
        </w:rPr>
      </w:pPr>
      <w:r>
        <w:rPr>
          <w:rFonts w:hint="eastAsia" w:ascii="宋体" w:hAnsi="宋体" w:cs="宋体"/>
          <w:sz w:val="24"/>
        </w:rPr>
        <w:t>（3）评审专家组成员对客观评审因素评分不一致的；</w:t>
      </w:r>
    </w:p>
    <w:p w14:paraId="24747871">
      <w:pPr>
        <w:spacing w:line="360" w:lineRule="auto"/>
        <w:ind w:firstLine="480" w:firstLineChars="200"/>
        <w:jc w:val="left"/>
        <w:rPr>
          <w:rFonts w:hint="eastAsia" w:ascii="宋体" w:hAnsi="宋体" w:cs="宋体"/>
          <w:sz w:val="24"/>
        </w:rPr>
      </w:pPr>
      <w:r>
        <w:rPr>
          <w:rFonts w:hint="eastAsia" w:ascii="宋体" w:hAnsi="宋体" w:cs="宋体"/>
          <w:sz w:val="24"/>
        </w:rPr>
        <w:t>（4）经评审专家组认定评分畸高、畸低的。</w:t>
      </w:r>
    </w:p>
    <w:p w14:paraId="05B9B678">
      <w:pPr>
        <w:spacing w:line="360" w:lineRule="auto"/>
        <w:ind w:firstLine="480" w:firstLineChars="200"/>
        <w:jc w:val="left"/>
        <w:rPr>
          <w:rFonts w:hint="eastAsia" w:ascii="宋体" w:hAnsi="宋体" w:cs="宋体"/>
          <w:sz w:val="24"/>
        </w:rPr>
      </w:pPr>
      <w:r>
        <w:rPr>
          <w:rFonts w:hint="eastAsia" w:ascii="宋体" w:hAnsi="宋体" w:cs="宋体"/>
          <w:sz w:val="24"/>
        </w:rPr>
        <w:t>评审报告签署前，经复核发现存在以上情形之一的，评审专家组应当当场修改评审结果，并在评审报告中记载；评审报告签署后，采购人或者采购代理机构发现存在以上情形之一的，应当组织原评审专家组进行重新评审。</w:t>
      </w:r>
    </w:p>
    <w:p w14:paraId="5EEE5D0F">
      <w:pPr>
        <w:widowControl/>
        <w:spacing w:line="360" w:lineRule="auto"/>
        <w:jc w:val="left"/>
        <w:outlineLvl w:val="2"/>
        <w:rPr>
          <w:rFonts w:hint="eastAsia" w:ascii="宋体" w:hAnsi="宋体" w:cs="宋体"/>
          <w:b/>
          <w:bCs/>
          <w:sz w:val="24"/>
        </w:rPr>
      </w:pPr>
      <w:bookmarkStart w:id="219" w:name="_Toc7650"/>
      <w:r>
        <w:rPr>
          <w:rFonts w:hint="eastAsia" w:ascii="宋体" w:hAnsi="宋体" w:cs="宋体"/>
          <w:b/>
          <w:bCs/>
          <w:sz w:val="24"/>
        </w:rPr>
        <w:t>19.推荐并确定成交</w:t>
      </w:r>
      <w:bookmarkEnd w:id="214"/>
      <w:r>
        <w:rPr>
          <w:rFonts w:hint="eastAsia" w:ascii="宋体" w:hAnsi="宋体" w:cs="宋体"/>
          <w:b/>
          <w:bCs/>
          <w:sz w:val="24"/>
        </w:rPr>
        <w:t>供应商</w:t>
      </w:r>
      <w:bookmarkEnd w:id="215"/>
      <w:bookmarkEnd w:id="216"/>
      <w:bookmarkEnd w:id="217"/>
      <w:bookmarkEnd w:id="218"/>
      <w:bookmarkEnd w:id="219"/>
    </w:p>
    <w:p w14:paraId="2A318D86">
      <w:pPr>
        <w:spacing w:line="360" w:lineRule="auto"/>
        <w:ind w:firstLine="480" w:firstLineChars="200"/>
        <w:jc w:val="left"/>
        <w:rPr>
          <w:rFonts w:hint="eastAsia" w:ascii="宋体" w:hAnsi="宋体" w:cs="宋体"/>
          <w:sz w:val="24"/>
        </w:rPr>
      </w:pPr>
      <w:r>
        <w:rPr>
          <w:rFonts w:hint="eastAsia" w:ascii="宋体" w:hAnsi="宋体" w:cs="宋体"/>
          <w:sz w:val="24"/>
        </w:rPr>
        <w:t>采购代理机构应当在评审结束后2个工作日内将评审报告送采购人确认。采购人应当在收到评审报告后5个工作日内，从评审报告提出的候选成交供应商中，按照排序由高到低的原则确定成交供应商，也可以书面授权评审专家组直接确定成交供应商。采购人逾期未确定成交供应商且不提出异议的，视为确定评审报告提出的排序第一的供应商为成交供应商。</w:t>
      </w:r>
    </w:p>
    <w:p w14:paraId="32E45DC4">
      <w:pPr>
        <w:widowControl/>
        <w:spacing w:line="360" w:lineRule="auto"/>
        <w:jc w:val="left"/>
        <w:outlineLvl w:val="2"/>
        <w:rPr>
          <w:rFonts w:hint="eastAsia" w:ascii="宋体" w:hAnsi="宋体" w:cs="宋体"/>
          <w:b/>
          <w:bCs/>
          <w:sz w:val="24"/>
        </w:rPr>
      </w:pPr>
      <w:bookmarkStart w:id="220" w:name="_Toc325726028"/>
      <w:bookmarkStart w:id="221" w:name="_Toc2963"/>
      <w:bookmarkStart w:id="222" w:name="_Toc2346"/>
      <w:bookmarkStart w:id="223" w:name="_Toc29717"/>
      <w:bookmarkStart w:id="224" w:name="_Toc1520"/>
      <w:bookmarkStart w:id="225" w:name="_Toc8466"/>
      <w:bookmarkStart w:id="226" w:name="_Toc376936759"/>
      <w:bookmarkStart w:id="227" w:name="_Toc29496"/>
      <w:bookmarkStart w:id="228" w:name="_Toc28601"/>
      <w:bookmarkStart w:id="229" w:name="_Toc15801"/>
      <w:bookmarkStart w:id="230" w:name="_Toc325726027"/>
      <w:r>
        <w:rPr>
          <w:rFonts w:hint="eastAsia" w:ascii="宋体" w:hAnsi="宋体" w:cs="宋体"/>
          <w:b/>
          <w:bCs/>
          <w:sz w:val="24"/>
        </w:rPr>
        <w:t>20.成交通知</w:t>
      </w:r>
      <w:bookmarkEnd w:id="220"/>
      <w:bookmarkEnd w:id="221"/>
      <w:bookmarkEnd w:id="222"/>
      <w:bookmarkEnd w:id="223"/>
      <w:bookmarkEnd w:id="224"/>
      <w:bookmarkEnd w:id="225"/>
      <w:bookmarkEnd w:id="226"/>
      <w:bookmarkEnd w:id="227"/>
      <w:bookmarkEnd w:id="228"/>
      <w:bookmarkEnd w:id="229"/>
    </w:p>
    <w:p w14:paraId="19BF5E32">
      <w:pPr>
        <w:spacing w:line="480" w:lineRule="exact"/>
        <w:ind w:firstLine="480" w:firstLineChars="200"/>
        <w:jc w:val="left"/>
        <w:rPr>
          <w:rFonts w:hint="eastAsia" w:ascii="宋体" w:hAnsi="宋体" w:cs="宋体"/>
          <w:sz w:val="24"/>
        </w:rPr>
      </w:pPr>
      <w:r>
        <w:rPr>
          <w:rFonts w:hint="eastAsia" w:ascii="宋体" w:hAnsi="宋体" w:cs="宋体"/>
          <w:sz w:val="24"/>
        </w:rPr>
        <w:t>20.1采购人或者采购代理机构应当在成交供应商确定后2个工作日内，在《</w:t>
      </w:r>
      <w:r>
        <w:rPr>
          <w:rFonts w:hint="eastAsia" w:ascii="宋体" w:hAnsi="宋体" w:cs="宋体"/>
          <w:sz w:val="24"/>
          <w:lang w:val="zh-CN"/>
        </w:rPr>
        <w:t>青海新点招标采购电子交易平台</w:t>
      </w:r>
      <w:r>
        <w:rPr>
          <w:rFonts w:hint="eastAsia" w:ascii="宋体" w:hAnsi="宋体" w:cs="宋体"/>
          <w:sz w:val="24"/>
        </w:rPr>
        <w:t>》</w:t>
      </w:r>
      <w:r>
        <w:rPr>
          <w:rFonts w:hint="eastAsia" w:ascii="宋体" w:hAnsi="宋体" w:cs="宋体"/>
          <w:sz w:val="24"/>
          <w:lang w:val="zh-CN"/>
        </w:rPr>
        <w:t>《</w:t>
      </w:r>
      <w:r>
        <w:rPr>
          <w:rFonts w:hint="eastAsia" w:ascii="宋体" w:hAnsi="宋体" w:cs="宋体"/>
          <w:sz w:val="24"/>
        </w:rPr>
        <w:t>青海项目信息网</w:t>
      </w:r>
      <w:r>
        <w:rPr>
          <w:rFonts w:hint="eastAsia" w:ascii="宋体" w:hAnsi="宋体" w:cs="宋体"/>
          <w:sz w:val="24"/>
          <w:lang w:val="zh-CN"/>
        </w:rPr>
        <w:t>》</w:t>
      </w:r>
      <w:r>
        <w:rPr>
          <w:rFonts w:hint="eastAsia" w:ascii="宋体" w:hAnsi="宋体" w:cs="宋体"/>
          <w:sz w:val="24"/>
        </w:rPr>
        <w:t>上公告成交结果，同时向成交供应商发出成交结果通知书。</w:t>
      </w:r>
    </w:p>
    <w:p w14:paraId="574FC7EE">
      <w:pPr>
        <w:spacing w:line="480" w:lineRule="exact"/>
        <w:ind w:firstLine="480" w:firstLineChars="200"/>
        <w:jc w:val="left"/>
        <w:rPr>
          <w:rFonts w:hint="eastAsia" w:ascii="宋体" w:hAnsi="宋体" w:cs="宋体"/>
          <w:sz w:val="24"/>
        </w:rPr>
      </w:pPr>
      <w:r>
        <w:rPr>
          <w:rFonts w:hint="eastAsia" w:ascii="宋体" w:hAnsi="宋体" w:cs="宋体"/>
          <w:sz w:val="24"/>
        </w:rPr>
        <w:t>20.2《成交结果通知书》发出后，采购人改变成交结果的，或者成交供应商无正当理由放弃成交项目的，依法承担法律责任。</w:t>
      </w:r>
    </w:p>
    <w:p w14:paraId="04C90951">
      <w:pPr>
        <w:widowControl/>
        <w:spacing w:line="360" w:lineRule="auto"/>
        <w:jc w:val="center"/>
        <w:outlineLvl w:val="1"/>
        <w:rPr>
          <w:rFonts w:hint="eastAsia" w:ascii="宋体" w:hAnsi="宋体" w:cs="宋体"/>
          <w:b/>
          <w:bCs/>
          <w:sz w:val="24"/>
        </w:rPr>
      </w:pPr>
      <w:bookmarkStart w:id="231" w:name="_Toc7933"/>
      <w:bookmarkStart w:id="232" w:name="_Toc5264"/>
      <w:bookmarkStart w:id="233" w:name="_Toc3411"/>
      <w:bookmarkStart w:id="234" w:name="_Toc6137"/>
      <w:bookmarkStart w:id="235" w:name="_Toc18063"/>
      <w:bookmarkStart w:id="236" w:name="_Toc11982"/>
      <w:bookmarkStart w:id="237" w:name="_Toc5556"/>
      <w:bookmarkStart w:id="238" w:name="_Toc23276"/>
      <w:bookmarkStart w:id="239" w:name="_Toc376936758"/>
      <w:r>
        <w:rPr>
          <w:rFonts w:hint="eastAsia" w:ascii="宋体" w:hAnsi="宋体" w:cs="宋体"/>
          <w:b/>
          <w:bCs/>
          <w:sz w:val="24"/>
        </w:rPr>
        <w:t>七、授予合同</w:t>
      </w:r>
      <w:bookmarkEnd w:id="230"/>
      <w:bookmarkEnd w:id="231"/>
      <w:bookmarkEnd w:id="232"/>
      <w:bookmarkEnd w:id="233"/>
      <w:bookmarkEnd w:id="234"/>
      <w:bookmarkEnd w:id="235"/>
      <w:bookmarkEnd w:id="236"/>
      <w:bookmarkEnd w:id="237"/>
      <w:bookmarkEnd w:id="238"/>
      <w:bookmarkEnd w:id="239"/>
    </w:p>
    <w:p w14:paraId="7BC8C04D">
      <w:pPr>
        <w:widowControl/>
        <w:spacing w:line="360" w:lineRule="auto"/>
        <w:jc w:val="left"/>
        <w:outlineLvl w:val="2"/>
        <w:rPr>
          <w:rFonts w:hint="eastAsia" w:ascii="宋体" w:hAnsi="宋体" w:cs="宋体"/>
          <w:b/>
          <w:bCs/>
          <w:sz w:val="24"/>
        </w:rPr>
      </w:pPr>
      <w:bookmarkStart w:id="240" w:name="_Toc325726029"/>
      <w:bookmarkStart w:id="241" w:name="_Toc29196"/>
      <w:bookmarkStart w:id="242" w:name="_Toc26593"/>
      <w:bookmarkStart w:id="243" w:name="_Toc30780"/>
      <w:bookmarkStart w:id="244" w:name="_Toc1427"/>
      <w:bookmarkStart w:id="245" w:name="_Toc16149"/>
      <w:bookmarkStart w:id="246" w:name="_Toc921"/>
      <w:bookmarkStart w:id="247" w:name="_Toc20101"/>
      <w:bookmarkStart w:id="248" w:name="_Toc28394"/>
      <w:bookmarkStart w:id="249" w:name="_Toc376936760"/>
      <w:r>
        <w:rPr>
          <w:rFonts w:hint="eastAsia" w:ascii="宋体" w:hAnsi="宋体" w:cs="宋体"/>
          <w:b/>
          <w:bCs/>
          <w:sz w:val="24"/>
        </w:rPr>
        <w:t>21.签订合同</w:t>
      </w:r>
      <w:bookmarkEnd w:id="240"/>
      <w:bookmarkEnd w:id="241"/>
      <w:bookmarkEnd w:id="242"/>
      <w:bookmarkEnd w:id="243"/>
      <w:bookmarkEnd w:id="244"/>
      <w:bookmarkEnd w:id="245"/>
      <w:bookmarkEnd w:id="246"/>
      <w:bookmarkEnd w:id="247"/>
      <w:bookmarkEnd w:id="248"/>
      <w:bookmarkEnd w:id="249"/>
    </w:p>
    <w:p w14:paraId="554505D4">
      <w:pPr>
        <w:spacing w:line="480" w:lineRule="exact"/>
        <w:ind w:firstLine="480" w:firstLineChars="200"/>
        <w:jc w:val="left"/>
        <w:rPr>
          <w:rFonts w:hint="eastAsia" w:ascii="宋体" w:hAnsi="宋体" w:cs="宋体"/>
          <w:sz w:val="24"/>
        </w:rPr>
      </w:pPr>
      <w:bookmarkStart w:id="250" w:name="_Toc376936761"/>
      <w:bookmarkStart w:id="251" w:name="_Toc325726030"/>
      <w:r>
        <w:rPr>
          <w:rFonts w:hint="eastAsia" w:ascii="宋体" w:hAnsi="宋体" w:cs="宋体"/>
          <w:sz w:val="24"/>
        </w:rPr>
        <w:t>21.1采购人与成交供应商应当在成交结果通知书发出之日起30日内，按照询比采购文件确定的合同文本以及采购标的、规格型号、采购金额、采购数量、技术和服务要求等事项签订合同。</w:t>
      </w:r>
    </w:p>
    <w:p w14:paraId="0EF46E17">
      <w:pPr>
        <w:spacing w:line="480" w:lineRule="exact"/>
        <w:ind w:firstLine="480" w:firstLineChars="200"/>
        <w:jc w:val="left"/>
        <w:rPr>
          <w:rFonts w:hint="eastAsia" w:ascii="宋体" w:hAnsi="宋体" w:cs="宋体"/>
          <w:sz w:val="24"/>
        </w:rPr>
      </w:pPr>
      <w:r>
        <w:rPr>
          <w:rFonts w:hint="eastAsia" w:ascii="宋体" w:hAnsi="宋体" w:cs="宋体"/>
          <w:sz w:val="24"/>
        </w:rPr>
        <w:t>21.2采购人不得向成交供应商提出超出询比采购文件以外的任何要求作为签订合同的条件，不得与成交供应商订立背离询比采购文件确定的合同文本以及采购标的、规格型号、采购金额、采购数量、技术和服务要求等实质性内容的协议。</w:t>
      </w:r>
    </w:p>
    <w:bookmarkEnd w:id="250"/>
    <w:bookmarkEnd w:id="251"/>
    <w:p w14:paraId="38898F42">
      <w:pPr>
        <w:widowControl/>
        <w:spacing w:line="360" w:lineRule="auto"/>
        <w:jc w:val="center"/>
        <w:outlineLvl w:val="1"/>
        <w:rPr>
          <w:rFonts w:hint="eastAsia" w:ascii="宋体" w:hAnsi="宋体" w:cs="宋体"/>
          <w:b/>
          <w:bCs/>
          <w:sz w:val="24"/>
        </w:rPr>
      </w:pPr>
      <w:bookmarkStart w:id="252" w:name="_Toc6646"/>
      <w:bookmarkStart w:id="253" w:name="_Toc27950"/>
      <w:bookmarkStart w:id="254" w:name="_Toc6166"/>
      <w:bookmarkStart w:id="255" w:name="_Toc376936763"/>
      <w:bookmarkStart w:id="256" w:name="_Toc325726032"/>
      <w:bookmarkStart w:id="257" w:name="_Toc6243"/>
      <w:bookmarkStart w:id="258" w:name="_Toc10857"/>
      <w:bookmarkStart w:id="259" w:name="_Toc30213"/>
      <w:bookmarkStart w:id="260" w:name="_Toc21458"/>
      <w:bookmarkStart w:id="261" w:name="_Toc32338"/>
      <w:r>
        <w:rPr>
          <w:rFonts w:hint="eastAsia" w:ascii="宋体" w:hAnsi="宋体" w:cs="宋体"/>
          <w:b/>
          <w:bCs/>
          <w:sz w:val="24"/>
        </w:rPr>
        <w:t>八、</w:t>
      </w:r>
      <w:bookmarkEnd w:id="252"/>
      <w:bookmarkEnd w:id="253"/>
      <w:bookmarkEnd w:id="254"/>
      <w:bookmarkEnd w:id="255"/>
      <w:bookmarkEnd w:id="256"/>
      <w:r>
        <w:rPr>
          <w:rFonts w:hint="eastAsia" w:ascii="宋体" w:hAnsi="宋体" w:cs="宋体"/>
          <w:b/>
          <w:bCs/>
          <w:sz w:val="24"/>
        </w:rPr>
        <w:t>终止情形</w:t>
      </w:r>
      <w:bookmarkEnd w:id="257"/>
      <w:bookmarkEnd w:id="258"/>
      <w:bookmarkEnd w:id="259"/>
      <w:bookmarkEnd w:id="260"/>
      <w:bookmarkEnd w:id="261"/>
    </w:p>
    <w:p w14:paraId="60279F34">
      <w:pPr>
        <w:spacing w:line="480" w:lineRule="exact"/>
        <w:jc w:val="left"/>
        <w:rPr>
          <w:rFonts w:hint="eastAsia" w:ascii="宋体" w:hAnsi="宋体" w:cs="宋体"/>
          <w:sz w:val="24"/>
        </w:rPr>
      </w:pPr>
      <w:bookmarkStart w:id="262" w:name="_Toc6726"/>
      <w:bookmarkStart w:id="263" w:name="_Toc17567"/>
      <w:bookmarkStart w:id="264" w:name="_Toc376936764"/>
      <w:bookmarkStart w:id="265" w:name="_Toc28018"/>
      <w:bookmarkStart w:id="266" w:name="_Toc325726033"/>
      <w:r>
        <w:rPr>
          <w:rFonts w:hint="eastAsia" w:ascii="宋体" w:hAnsi="宋体" w:cs="宋体"/>
          <w:b/>
          <w:bCs/>
          <w:sz w:val="24"/>
        </w:rPr>
        <w:t>22.</w:t>
      </w:r>
      <w:bookmarkEnd w:id="262"/>
      <w:bookmarkEnd w:id="263"/>
      <w:bookmarkEnd w:id="264"/>
      <w:bookmarkEnd w:id="265"/>
      <w:bookmarkEnd w:id="266"/>
      <w:r>
        <w:rPr>
          <w:rFonts w:hint="eastAsia" w:ascii="宋体" w:hAnsi="宋体" w:cs="宋体"/>
          <w:sz w:val="24"/>
        </w:rPr>
        <w:t>出现下列情形之一的，采购代理机构应当终止询比采购活动，发布项目终止公告并说明原因，重新开展采购活动：</w:t>
      </w:r>
    </w:p>
    <w:p w14:paraId="79AEAB51">
      <w:pPr>
        <w:spacing w:line="480" w:lineRule="exact"/>
        <w:ind w:firstLine="480" w:firstLineChars="200"/>
        <w:jc w:val="left"/>
        <w:rPr>
          <w:rFonts w:hint="eastAsia" w:ascii="宋体" w:hAnsi="宋体" w:cs="宋体"/>
          <w:sz w:val="24"/>
        </w:rPr>
      </w:pPr>
      <w:r>
        <w:rPr>
          <w:rFonts w:hint="eastAsia" w:ascii="宋体" w:hAnsi="宋体" w:cs="宋体"/>
          <w:sz w:val="24"/>
        </w:rPr>
        <w:t>（1）因情况变化，不再符合规定的询比采购方式适用情形的；</w:t>
      </w:r>
    </w:p>
    <w:p w14:paraId="3871931E">
      <w:pPr>
        <w:wordWrap w:val="0"/>
        <w:spacing w:line="480" w:lineRule="exact"/>
        <w:ind w:firstLine="480" w:firstLineChars="200"/>
        <w:rPr>
          <w:rFonts w:hint="eastAsia" w:ascii="宋体" w:hAnsi="宋体" w:cs="宋体"/>
          <w:sz w:val="24"/>
        </w:rPr>
      </w:pPr>
      <w:r>
        <w:rPr>
          <w:rFonts w:hint="eastAsia" w:ascii="宋体" w:hAnsi="宋体" w:cs="宋体"/>
          <w:sz w:val="24"/>
        </w:rPr>
        <w:t>（2）出现影响采购公正的违法、违规行为的；</w:t>
      </w:r>
      <w:r>
        <w:rPr>
          <w:rFonts w:hint="eastAsia" w:ascii="宋体" w:hAnsi="宋体" w:cs="宋体"/>
          <w:sz w:val="24"/>
        </w:rPr>
        <w:br w:type="page"/>
      </w:r>
    </w:p>
    <w:p w14:paraId="4943D830">
      <w:pPr>
        <w:pStyle w:val="30"/>
        <w:spacing w:before="0" w:after="0" w:line="360" w:lineRule="auto"/>
        <w:outlineLvl w:val="9"/>
        <w:rPr>
          <w:rFonts w:hint="eastAsia" w:ascii="宋体" w:hAnsi="宋体" w:cs="宋体"/>
          <w:kern w:val="28"/>
          <w:szCs w:val="36"/>
        </w:rPr>
      </w:pPr>
      <w:bookmarkStart w:id="267" w:name="_Toc18733"/>
      <w:bookmarkStart w:id="268" w:name="_Toc2791"/>
      <w:bookmarkStart w:id="269" w:name="_Toc1439"/>
      <w:bookmarkStart w:id="270" w:name="_Toc31384"/>
    </w:p>
    <w:p w14:paraId="47BA60FC">
      <w:pPr>
        <w:pStyle w:val="30"/>
        <w:spacing w:before="0" w:after="0" w:line="360" w:lineRule="auto"/>
        <w:outlineLvl w:val="9"/>
        <w:rPr>
          <w:rFonts w:hint="eastAsia" w:ascii="宋体" w:hAnsi="宋体" w:cs="宋体"/>
          <w:kern w:val="28"/>
          <w:szCs w:val="36"/>
        </w:rPr>
      </w:pPr>
    </w:p>
    <w:p w14:paraId="715068E8">
      <w:pPr>
        <w:pStyle w:val="30"/>
        <w:spacing w:before="0" w:after="0" w:line="360" w:lineRule="auto"/>
        <w:outlineLvl w:val="9"/>
        <w:rPr>
          <w:rFonts w:hint="eastAsia" w:ascii="宋体" w:hAnsi="宋体" w:cs="宋体"/>
          <w:kern w:val="28"/>
          <w:szCs w:val="36"/>
        </w:rPr>
      </w:pPr>
    </w:p>
    <w:p w14:paraId="66803744">
      <w:pPr>
        <w:pStyle w:val="30"/>
        <w:spacing w:before="0" w:after="0" w:line="360" w:lineRule="auto"/>
        <w:outlineLvl w:val="9"/>
        <w:rPr>
          <w:rFonts w:hint="eastAsia" w:ascii="宋体" w:hAnsi="宋体" w:cs="宋体"/>
          <w:kern w:val="28"/>
          <w:szCs w:val="36"/>
        </w:rPr>
      </w:pPr>
    </w:p>
    <w:p w14:paraId="1013B0BC">
      <w:pPr>
        <w:pStyle w:val="30"/>
        <w:spacing w:before="0" w:after="0" w:line="360" w:lineRule="auto"/>
        <w:outlineLvl w:val="9"/>
        <w:rPr>
          <w:rFonts w:hint="eastAsia" w:ascii="宋体" w:hAnsi="宋体" w:cs="宋体"/>
          <w:kern w:val="28"/>
          <w:szCs w:val="36"/>
        </w:rPr>
      </w:pPr>
    </w:p>
    <w:p w14:paraId="34C2FEA1">
      <w:pPr>
        <w:pStyle w:val="30"/>
        <w:spacing w:before="0" w:after="0" w:line="360" w:lineRule="auto"/>
        <w:outlineLvl w:val="9"/>
        <w:rPr>
          <w:rFonts w:hint="eastAsia" w:ascii="宋体" w:hAnsi="宋体" w:cs="宋体"/>
          <w:kern w:val="28"/>
          <w:szCs w:val="36"/>
        </w:rPr>
      </w:pPr>
    </w:p>
    <w:p w14:paraId="1A095186">
      <w:pPr>
        <w:pStyle w:val="30"/>
        <w:spacing w:before="0" w:after="0" w:line="360" w:lineRule="auto"/>
        <w:outlineLvl w:val="9"/>
        <w:rPr>
          <w:rFonts w:hint="eastAsia" w:ascii="宋体" w:hAnsi="宋体" w:cs="宋体"/>
          <w:kern w:val="28"/>
          <w:szCs w:val="36"/>
        </w:rPr>
      </w:pPr>
    </w:p>
    <w:p w14:paraId="4C3BE185">
      <w:pPr>
        <w:pStyle w:val="30"/>
        <w:spacing w:before="0" w:after="0" w:line="360" w:lineRule="auto"/>
        <w:rPr>
          <w:rFonts w:hint="eastAsia" w:ascii="宋体" w:hAnsi="宋体" w:cs="宋体"/>
          <w:sz w:val="24"/>
        </w:rPr>
      </w:pPr>
      <w:bookmarkStart w:id="271" w:name="_Toc9860"/>
      <w:r>
        <w:rPr>
          <w:rFonts w:hint="eastAsia" w:ascii="宋体" w:hAnsi="宋体" w:cs="宋体"/>
          <w:kern w:val="28"/>
          <w:szCs w:val="36"/>
        </w:rPr>
        <w:t>第四部分</w:t>
      </w:r>
      <w:bookmarkEnd w:id="267"/>
      <w:r>
        <w:rPr>
          <w:rFonts w:hint="eastAsia" w:ascii="宋体" w:hAnsi="宋体" w:cs="宋体"/>
          <w:kern w:val="28"/>
          <w:szCs w:val="36"/>
        </w:rPr>
        <w:t xml:space="preserve"> 项目合同文本</w:t>
      </w:r>
      <w:bookmarkEnd w:id="268"/>
      <w:bookmarkEnd w:id="269"/>
      <w:bookmarkEnd w:id="270"/>
      <w:bookmarkEnd w:id="271"/>
    </w:p>
    <w:p w14:paraId="0DC11A90">
      <w:pPr>
        <w:spacing w:line="600" w:lineRule="auto"/>
        <w:jc w:val="center"/>
        <w:rPr>
          <w:rFonts w:hint="eastAsia" w:ascii="宋体" w:hAnsi="宋体" w:cs="宋体"/>
          <w:kern w:val="0"/>
          <w:sz w:val="28"/>
          <w:szCs w:val="28"/>
          <w:lang w:bidi="ar"/>
        </w:rPr>
      </w:pPr>
      <w:r>
        <w:rPr>
          <w:rFonts w:hint="eastAsia" w:ascii="宋体" w:hAnsi="宋体" w:cs="宋体"/>
          <w:kern w:val="0"/>
          <w:sz w:val="28"/>
          <w:szCs w:val="28"/>
          <w:lang w:bidi="ar"/>
        </w:rPr>
        <w:t xml:space="preserve"> </w:t>
      </w:r>
    </w:p>
    <w:p w14:paraId="20A99E2D">
      <w:pPr>
        <w:spacing w:line="600" w:lineRule="auto"/>
        <w:jc w:val="center"/>
        <w:rPr>
          <w:rFonts w:hint="eastAsia" w:ascii="宋体" w:hAnsi="宋体" w:cs="宋体"/>
          <w:kern w:val="0"/>
          <w:sz w:val="28"/>
          <w:szCs w:val="28"/>
          <w:lang w:bidi="ar"/>
        </w:rPr>
      </w:pPr>
    </w:p>
    <w:p w14:paraId="6EB7B8E6">
      <w:pPr>
        <w:spacing w:line="600" w:lineRule="auto"/>
        <w:jc w:val="center"/>
        <w:rPr>
          <w:rFonts w:hint="eastAsia" w:ascii="宋体" w:hAnsi="宋体" w:cs="宋体"/>
          <w:kern w:val="0"/>
          <w:sz w:val="28"/>
          <w:szCs w:val="28"/>
          <w:lang w:bidi="ar"/>
        </w:rPr>
      </w:pPr>
    </w:p>
    <w:p w14:paraId="6DE28F60">
      <w:pPr>
        <w:spacing w:line="600" w:lineRule="auto"/>
        <w:jc w:val="center"/>
        <w:rPr>
          <w:rFonts w:hint="eastAsia" w:ascii="宋体" w:hAnsi="宋体" w:cs="宋体"/>
          <w:kern w:val="0"/>
          <w:sz w:val="28"/>
          <w:szCs w:val="28"/>
          <w:lang w:bidi="ar"/>
        </w:rPr>
      </w:pPr>
    </w:p>
    <w:p w14:paraId="663C4F28">
      <w:pPr>
        <w:spacing w:line="600" w:lineRule="auto"/>
        <w:jc w:val="center"/>
        <w:rPr>
          <w:rFonts w:hint="eastAsia" w:ascii="宋体" w:hAnsi="宋体" w:cs="宋体"/>
          <w:kern w:val="0"/>
          <w:sz w:val="28"/>
          <w:szCs w:val="28"/>
          <w:lang w:bidi="ar"/>
        </w:rPr>
      </w:pPr>
    </w:p>
    <w:p w14:paraId="1B59F209">
      <w:pPr>
        <w:spacing w:line="600" w:lineRule="auto"/>
        <w:jc w:val="center"/>
        <w:rPr>
          <w:rFonts w:hint="eastAsia" w:ascii="宋体" w:hAnsi="宋体" w:cs="宋体"/>
          <w:kern w:val="0"/>
          <w:sz w:val="28"/>
          <w:szCs w:val="28"/>
          <w:lang w:bidi="ar"/>
        </w:rPr>
      </w:pPr>
    </w:p>
    <w:p w14:paraId="0A7412C7">
      <w:pPr>
        <w:spacing w:line="600" w:lineRule="auto"/>
        <w:jc w:val="center"/>
        <w:rPr>
          <w:rFonts w:hint="eastAsia" w:ascii="宋体" w:hAnsi="宋体" w:cs="宋体"/>
          <w:kern w:val="0"/>
          <w:sz w:val="28"/>
          <w:szCs w:val="28"/>
          <w:lang w:bidi="ar"/>
        </w:rPr>
      </w:pPr>
    </w:p>
    <w:p w14:paraId="41B7C1FE">
      <w:pPr>
        <w:spacing w:line="600" w:lineRule="auto"/>
        <w:jc w:val="center"/>
        <w:rPr>
          <w:rFonts w:hint="eastAsia" w:ascii="宋体" w:hAnsi="宋体" w:cs="宋体"/>
          <w:kern w:val="0"/>
          <w:sz w:val="28"/>
          <w:szCs w:val="28"/>
          <w:lang w:bidi="ar"/>
        </w:rPr>
      </w:pPr>
    </w:p>
    <w:p w14:paraId="5D3AA9FE">
      <w:pPr>
        <w:spacing w:line="600" w:lineRule="auto"/>
        <w:jc w:val="center"/>
        <w:rPr>
          <w:rFonts w:hint="eastAsia" w:ascii="宋体" w:hAnsi="宋体" w:cs="宋体"/>
          <w:kern w:val="0"/>
          <w:sz w:val="28"/>
          <w:szCs w:val="28"/>
          <w:lang w:bidi="ar"/>
        </w:rPr>
      </w:pPr>
    </w:p>
    <w:p w14:paraId="6FE2F533">
      <w:pPr>
        <w:pStyle w:val="9"/>
        <w:tabs>
          <w:tab w:val="left" w:pos="6659"/>
          <w:tab w:val="left" w:pos="8505"/>
        </w:tabs>
        <w:kinsoku w:val="0"/>
        <w:overflowPunct w:val="0"/>
        <w:spacing w:line="360" w:lineRule="auto"/>
        <w:ind w:right="-37" w:firstLine="566"/>
        <w:rPr>
          <w:rFonts w:ascii="仿宋_GB2312" w:eastAsia="仿宋_GB2312" w:cs="仿宋_GB2312"/>
          <w:sz w:val="28"/>
          <w:szCs w:val="28"/>
        </w:rPr>
      </w:pPr>
      <w:bookmarkStart w:id="272" w:name="_Toc6397"/>
      <w:bookmarkStart w:id="273" w:name="_Toc8794"/>
      <w:bookmarkStart w:id="274" w:name="_Toc14810"/>
    </w:p>
    <w:p w14:paraId="29C6D08E">
      <w:pPr>
        <w:pStyle w:val="9"/>
        <w:tabs>
          <w:tab w:val="left" w:pos="6659"/>
          <w:tab w:val="left" w:pos="8505"/>
        </w:tabs>
        <w:kinsoku w:val="0"/>
        <w:overflowPunct w:val="0"/>
        <w:spacing w:line="360" w:lineRule="auto"/>
        <w:ind w:right="-37" w:firstLine="566"/>
        <w:rPr>
          <w:rFonts w:hint="eastAsia" w:ascii="宋体" w:hAnsi="宋体" w:cs="宋体"/>
          <w:sz w:val="28"/>
          <w:szCs w:val="28"/>
        </w:rPr>
      </w:pPr>
      <w:r>
        <w:rPr>
          <w:rFonts w:hint="eastAsia" w:ascii="宋体" w:hAnsi="宋体" w:cs="宋体"/>
        </w:rPr>
        <w:t>具体内容签订合同时约定</w:t>
      </w:r>
      <w:r>
        <w:rPr>
          <w:rFonts w:hint="eastAsia" w:ascii="宋体" w:hAnsi="宋体" w:cs="宋体"/>
          <w:sz w:val="28"/>
          <w:szCs w:val="28"/>
        </w:rPr>
        <w:t>。</w:t>
      </w:r>
    </w:p>
    <w:p w14:paraId="548147BE">
      <w:pPr>
        <w:rPr>
          <w:rFonts w:ascii="仿宋" w:hAnsi="仿宋" w:eastAsia="仿宋" w:cs="仿宋"/>
          <w:spacing w:val="20"/>
          <w:sz w:val="28"/>
          <w:szCs w:val="28"/>
          <w:u w:val="single"/>
          <w:shd w:val="clear" w:color="auto" w:fill="FFFFFF"/>
        </w:rPr>
      </w:pPr>
      <w:r>
        <w:rPr>
          <w:rFonts w:ascii="仿宋_GB2312" w:eastAsia="仿宋_GB2312" w:cs="仿宋_GB2312"/>
          <w:sz w:val="28"/>
          <w:szCs w:val="28"/>
        </w:rPr>
        <w:t xml:space="preserve">  </w:t>
      </w:r>
    </w:p>
    <w:p w14:paraId="4558456C">
      <w:pPr>
        <w:pStyle w:val="9"/>
        <w:tabs>
          <w:tab w:val="left" w:pos="6659"/>
          <w:tab w:val="left" w:pos="8505"/>
        </w:tabs>
        <w:kinsoku w:val="0"/>
        <w:overflowPunct w:val="0"/>
        <w:spacing w:line="360" w:lineRule="auto"/>
        <w:ind w:right="-37" w:firstLine="150" w:firstLineChars="50"/>
        <w:rPr>
          <w:rFonts w:ascii="宋体" w:hAnsi="宋体" w:cs="仿宋_GB2312"/>
          <w:sz w:val="30"/>
          <w:szCs w:val="30"/>
        </w:rPr>
        <w:sectPr>
          <w:footerReference r:id="rId5" w:type="default"/>
          <w:pgSz w:w="11910" w:h="16840"/>
          <w:pgMar w:top="1480" w:right="1378" w:bottom="278" w:left="1417" w:header="720" w:footer="720" w:gutter="0"/>
          <w:cols w:space="720" w:num="1"/>
        </w:sectPr>
      </w:pPr>
    </w:p>
    <w:p w14:paraId="7EC6DEC5">
      <w:pPr>
        <w:autoSpaceDE w:val="0"/>
        <w:autoSpaceDN w:val="0"/>
        <w:spacing w:line="360" w:lineRule="auto"/>
        <w:ind w:firstLine="480"/>
        <w:jc w:val="center"/>
        <w:outlineLvl w:val="0"/>
        <w:rPr>
          <w:rFonts w:hint="eastAsia" w:ascii="宋体" w:hAnsi="宋体" w:cs="宋体"/>
          <w:b/>
          <w:bCs/>
          <w:kern w:val="28"/>
          <w:sz w:val="36"/>
          <w:szCs w:val="36"/>
        </w:rPr>
      </w:pPr>
      <w:bookmarkStart w:id="275" w:name="bookmark24"/>
      <w:bookmarkEnd w:id="275"/>
      <w:bookmarkStart w:id="276" w:name="_Toc20554"/>
      <w:bookmarkStart w:id="277" w:name="_Toc5686"/>
      <w:bookmarkStart w:id="278" w:name="_Toc6061"/>
      <w:bookmarkStart w:id="279" w:name="_Toc2582"/>
      <w:bookmarkStart w:id="280" w:name="_Toc4577"/>
      <w:r>
        <w:rPr>
          <w:rFonts w:hint="eastAsia" w:ascii="宋体" w:hAnsi="宋体" w:cs="宋体"/>
          <w:b/>
          <w:bCs/>
          <w:kern w:val="28"/>
          <w:sz w:val="36"/>
          <w:szCs w:val="36"/>
        </w:rPr>
        <w:t xml:space="preserve">第五部分  </w:t>
      </w:r>
      <w:bookmarkStart w:id="281" w:name="_Toc21961"/>
      <w:r>
        <w:rPr>
          <w:rFonts w:hint="eastAsia" w:ascii="宋体" w:hAnsi="宋体" w:cs="宋体"/>
          <w:b/>
          <w:bCs/>
          <w:kern w:val="28"/>
          <w:sz w:val="36"/>
          <w:szCs w:val="36"/>
        </w:rPr>
        <w:t>服务内容</w:t>
      </w:r>
      <w:bookmarkEnd w:id="276"/>
      <w:bookmarkEnd w:id="277"/>
      <w:bookmarkEnd w:id="278"/>
      <w:bookmarkEnd w:id="279"/>
      <w:bookmarkEnd w:id="280"/>
      <w:bookmarkEnd w:id="281"/>
    </w:p>
    <w:p w14:paraId="0E6D79D2">
      <w:pPr>
        <w:spacing w:line="360" w:lineRule="auto"/>
        <w:ind w:firstLine="482" w:firstLineChars="200"/>
        <w:jc w:val="left"/>
        <w:rPr>
          <w:rFonts w:hint="eastAsia" w:ascii="宋体" w:hAnsi="宋体" w:cs="宋体"/>
          <w:b/>
          <w:bCs/>
          <w:sz w:val="24"/>
        </w:rPr>
      </w:pPr>
      <w:r>
        <w:rPr>
          <w:rFonts w:hint="eastAsia" w:ascii="宋体" w:hAnsi="宋体" w:cs="宋体"/>
          <w:b/>
          <w:bCs/>
          <w:sz w:val="24"/>
        </w:rPr>
        <w:t>一、项目概况</w:t>
      </w:r>
    </w:p>
    <w:p w14:paraId="14B28FCC">
      <w:pPr>
        <w:pStyle w:val="9"/>
        <w:tabs>
          <w:tab w:val="left" w:pos="6659"/>
          <w:tab w:val="left" w:pos="8505"/>
        </w:tabs>
        <w:kinsoku w:val="0"/>
        <w:overflowPunct w:val="0"/>
        <w:spacing w:line="360" w:lineRule="auto"/>
        <w:ind w:right="-37" w:firstLine="566"/>
        <w:rPr>
          <w:rFonts w:hint="eastAsia"/>
        </w:rPr>
      </w:pPr>
      <w:r>
        <w:rPr>
          <w:rFonts w:hint="eastAsia" w:ascii="宋体" w:hAnsi="宋体" w:cs="宋体"/>
        </w:rPr>
        <w:t>本项目规划总资金预算为542.42万元，其中建安费用463.51万元，二类费用78.91万元。资金全部用于运动场跑道、人工草坪、排水沟等维修项目实施。其中基地修补面积约7400平方米（严重破损区），主跑道区域塑胶跑道更换3900平方米，副场及半圆区域塑胶更换约6850平方米，人造草坪更换约7850平方米，400米环沟预制排水沟更换。</w:t>
      </w:r>
    </w:p>
    <w:p w14:paraId="260D6EAC">
      <w:pPr>
        <w:spacing w:line="360" w:lineRule="auto"/>
        <w:ind w:firstLine="482" w:firstLineChars="200"/>
        <w:jc w:val="left"/>
        <w:rPr>
          <w:rFonts w:hint="eastAsia" w:ascii="宋体" w:hAnsi="宋体" w:cs="宋体"/>
          <w:b/>
          <w:bCs/>
          <w:sz w:val="24"/>
        </w:rPr>
      </w:pPr>
      <w:r>
        <w:rPr>
          <w:rFonts w:hint="eastAsia" w:ascii="宋体" w:hAnsi="宋体" w:cs="宋体"/>
          <w:b/>
          <w:bCs/>
          <w:sz w:val="24"/>
        </w:rPr>
        <w:t>二、服务内容</w:t>
      </w:r>
    </w:p>
    <w:p w14:paraId="2D31A723">
      <w:pPr>
        <w:spacing w:line="360" w:lineRule="auto"/>
        <w:ind w:firstLine="480" w:firstLineChars="200"/>
        <w:jc w:val="left"/>
        <w:rPr>
          <w:rFonts w:hint="eastAsia" w:ascii="宋体" w:hAnsi="宋体" w:cs="宋体"/>
          <w:b w:val="0"/>
          <w:bCs w:val="0"/>
          <w:sz w:val="24"/>
        </w:rPr>
      </w:pPr>
      <w:r>
        <w:rPr>
          <w:rFonts w:hint="eastAsia" w:ascii="宋体" w:hAnsi="宋体" w:cs="宋体"/>
          <w:b w:val="0"/>
          <w:bCs w:val="0"/>
          <w:sz w:val="24"/>
        </w:rPr>
        <w:t>根据维修内容完成施工图纸设计及清单、控制价编制造价咨询的全部内容，设计及造价咨询内容符合现行法律法规及规范、标准等要求。</w:t>
      </w:r>
    </w:p>
    <w:p w14:paraId="68D03057">
      <w:pPr>
        <w:spacing w:line="360" w:lineRule="auto"/>
        <w:ind w:firstLine="482" w:firstLineChars="200"/>
        <w:jc w:val="left"/>
        <w:rPr>
          <w:rFonts w:hint="eastAsia" w:ascii="宋体" w:hAnsi="宋体" w:cs="宋体"/>
        </w:rPr>
      </w:pPr>
      <w:r>
        <w:rPr>
          <w:rFonts w:hint="eastAsia" w:ascii="宋体" w:hAnsi="宋体" w:cs="宋体"/>
          <w:b/>
          <w:bCs/>
          <w:sz w:val="24"/>
        </w:rPr>
        <w:t>三、服务期</w:t>
      </w:r>
    </w:p>
    <w:p w14:paraId="08891214">
      <w:pPr>
        <w:spacing w:line="360" w:lineRule="auto"/>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rPr>
        <w:t>设计服务期限：项目委托开始至项目竣工验收</w:t>
      </w:r>
    </w:p>
    <w:p w14:paraId="572927CB">
      <w:pPr>
        <w:spacing w:line="360" w:lineRule="auto"/>
        <w:ind w:firstLine="480" w:firstLineChars="200"/>
        <w:jc w:val="left"/>
        <w:rPr>
          <w:rFonts w:hint="eastAsia" w:ascii="宋体" w:hAnsi="宋体" w:cs="宋体"/>
          <w:b/>
          <w:bCs/>
          <w:kern w:val="28"/>
          <w:sz w:val="36"/>
          <w:szCs w:val="36"/>
        </w:rPr>
      </w:pPr>
      <w:r>
        <w:rPr>
          <w:rFonts w:hint="eastAsia" w:ascii="宋体" w:hAnsi="宋体" w:eastAsia="宋体" w:cs="宋体"/>
          <w:b w:val="0"/>
          <w:bCs w:val="0"/>
          <w:sz w:val="24"/>
        </w:rPr>
        <w:t>造价服务期限：项目委托开始至施工招标完成</w:t>
      </w:r>
      <w:r>
        <w:rPr>
          <w:rFonts w:hint="eastAsia" w:ascii="宋体" w:hAnsi="宋体" w:cs="宋体"/>
          <w:b/>
          <w:bCs/>
          <w:kern w:val="28"/>
          <w:sz w:val="36"/>
          <w:szCs w:val="36"/>
        </w:rPr>
        <w:br w:type="page"/>
      </w:r>
    </w:p>
    <w:p w14:paraId="1D363257">
      <w:pPr>
        <w:autoSpaceDE w:val="0"/>
        <w:autoSpaceDN w:val="0"/>
        <w:spacing w:line="360" w:lineRule="auto"/>
        <w:ind w:firstLine="480"/>
        <w:jc w:val="center"/>
        <w:outlineLvl w:val="0"/>
        <w:rPr>
          <w:rFonts w:hint="eastAsia" w:ascii="宋体" w:hAnsi="宋体" w:cs="宋体"/>
          <w:b/>
          <w:bCs/>
          <w:kern w:val="28"/>
          <w:sz w:val="36"/>
          <w:szCs w:val="36"/>
        </w:rPr>
      </w:pPr>
      <w:bookmarkStart w:id="282" w:name="_Toc8929"/>
      <w:r>
        <w:rPr>
          <w:rFonts w:hint="eastAsia" w:ascii="宋体" w:hAnsi="宋体" w:cs="宋体"/>
          <w:b/>
          <w:bCs/>
          <w:kern w:val="28"/>
          <w:sz w:val="36"/>
          <w:szCs w:val="36"/>
        </w:rPr>
        <w:t>第六部分  响应文件格式</w:t>
      </w:r>
      <w:bookmarkEnd w:id="272"/>
      <w:bookmarkEnd w:id="273"/>
      <w:bookmarkEnd w:id="274"/>
      <w:bookmarkEnd w:id="282"/>
    </w:p>
    <w:p w14:paraId="5A2F6EF9">
      <w:pPr>
        <w:widowControl/>
        <w:snapToGrid w:val="0"/>
        <w:spacing w:line="360" w:lineRule="auto"/>
        <w:rPr>
          <w:rFonts w:hint="eastAsia" w:ascii="宋体" w:hAnsi="宋体" w:cs="宋体"/>
          <w:b/>
          <w:bCs/>
          <w:sz w:val="28"/>
          <w:szCs w:val="28"/>
        </w:rPr>
      </w:pPr>
      <w:bookmarkStart w:id="283" w:name="_Toc6088"/>
      <w:bookmarkStart w:id="284" w:name="_Toc9848"/>
      <w:bookmarkStart w:id="285" w:name="_Toc16431"/>
      <w:r>
        <w:rPr>
          <w:rFonts w:hint="eastAsia" w:ascii="宋体" w:hAnsi="宋体" w:cs="宋体"/>
          <w:b/>
          <w:bCs/>
          <w:sz w:val="28"/>
          <w:szCs w:val="28"/>
        </w:rPr>
        <w:t>响应文件封面</w:t>
      </w:r>
      <w:bookmarkEnd w:id="283"/>
      <w:bookmarkEnd w:id="284"/>
      <w:bookmarkEnd w:id="285"/>
    </w:p>
    <w:p w14:paraId="73CE67A7">
      <w:pPr>
        <w:spacing w:line="360" w:lineRule="auto"/>
        <w:rPr>
          <w:rFonts w:hint="eastAsia" w:ascii="宋体" w:hAnsi="宋体" w:cs="宋体"/>
          <w:b/>
          <w:bCs/>
          <w:sz w:val="36"/>
          <w:szCs w:val="36"/>
        </w:rPr>
      </w:pPr>
    </w:p>
    <w:p w14:paraId="57D23519">
      <w:pPr>
        <w:spacing w:line="360" w:lineRule="auto"/>
        <w:rPr>
          <w:rFonts w:hint="eastAsia" w:ascii="宋体" w:hAnsi="宋体" w:cs="宋体"/>
          <w:b/>
          <w:bCs/>
          <w:sz w:val="36"/>
          <w:szCs w:val="36"/>
        </w:rPr>
      </w:pPr>
    </w:p>
    <w:p w14:paraId="723564D5">
      <w:pPr>
        <w:spacing w:line="360" w:lineRule="auto"/>
        <w:ind w:firstLine="2364" w:firstLineChars="327"/>
        <w:rPr>
          <w:rFonts w:hint="eastAsia" w:ascii="宋体" w:hAnsi="宋体" w:cs="宋体"/>
          <w:b/>
          <w:bCs/>
          <w:sz w:val="72"/>
          <w:szCs w:val="72"/>
        </w:rPr>
      </w:pPr>
      <w:r>
        <w:rPr>
          <w:rFonts w:hint="eastAsia" w:ascii="宋体" w:hAnsi="宋体" w:cs="宋体"/>
          <w:b/>
          <w:bCs/>
          <w:sz w:val="72"/>
          <w:szCs w:val="72"/>
        </w:rPr>
        <w:t>响应文件</w:t>
      </w:r>
    </w:p>
    <w:p w14:paraId="56EA8667">
      <w:pPr>
        <w:adjustRightInd w:val="0"/>
        <w:spacing w:line="360" w:lineRule="auto"/>
        <w:textAlignment w:val="baseline"/>
        <w:rPr>
          <w:rFonts w:hint="eastAsia" w:ascii="宋体" w:hAnsi="宋体" w:cs="宋体"/>
          <w:b/>
          <w:bCs/>
          <w:sz w:val="36"/>
          <w:szCs w:val="36"/>
        </w:rPr>
      </w:pPr>
    </w:p>
    <w:p w14:paraId="6458E037">
      <w:pPr>
        <w:adjustRightInd w:val="0"/>
        <w:spacing w:line="360" w:lineRule="auto"/>
        <w:textAlignment w:val="baseline"/>
        <w:rPr>
          <w:rFonts w:hint="eastAsia" w:ascii="宋体" w:hAnsi="宋体" w:eastAsia="宋体" w:cs="宋体"/>
          <w:b/>
          <w:bCs/>
          <w:sz w:val="36"/>
          <w:szCs w:val="36"/>
          <w:lang w:eastAsia="zh-CN"/>
        </w:rPr>
      </w:pPr>
      <w:r>
        <w:rPr>
          <w:rFonts w:hint="eastAsia" w:ascii="宋体" w:hAnsi="宋体" w:cs="宋体"/>
          <w:b/>
          <w:bCs/>
          <w:sz w:val="36"/>
          <w:szCs w:val="36"/>
        </w:rPr>
        <w:t>采购项目编号：</w:t>
      </w:r>
      <w:r>
        <w:rPr>
          <w:rFonts w:hint="eastAsia" w:ascii="宋体" w:hAnsi="宋体" w:cs="宋体"/>
          <w:b/>
          <w:bCs/>
          <w:sz w:val="36"/>
          <w:szCs w:val="36"/>
          <w:lang w:eastAsia="zh-CN"/>
        </w:rPr>
        <w:t>DY2026-06-11A</w:t>
      </w:r>
    </w:p>
    <w:p w14:paraId="4F04B0A6">
      <w:pPr>
        <w:adjustRightInd w:val="0"/>
        <w:spacing w:line="360" w:lineRule="auto"/>
        <w:ind w:left="2168" w:hanging="2168" w:hangingChars="600"/>
        <w:textAlignment w:val="baseline"/>
        <w:rPr>
          <w:rFonts w:hint="eastAsia" w:ascii="宋体" w:hAnsi="宋体" w:eastAsia="宋体" w:cs="宋体"/>
          <w:b/>
          <w:bCs/>
          <w:sz w:val="36"/>
          <w:szCs w:val="36"/>
          <w:lang w:eastAsia="zh-CN"/>
        </w:rPr>
      </w:pPr>
      <w:r>
        <w:rPr>
          <w:rFonts w:hint="eastAsia" w:ascii="宋体" w:hAnsi="宋体" w:cs="宋体"/>
          <w:b/>
          <w:bCs/>
          <w:sz w:val="36"/>
          <w:szCs w:val="36"/>
        </w:rPr>
        <w:t>采购项目名称：</w:t>
      </w:r>
      <w:r>
        <w:rPr>
          <w:rFonts w:hint="eastAsia" w:ascii="宋体" w:hAnsi="宋体" w:cs="宋体"/>
          <w:b/>
          <w:bCs/>
          <w:sz w:val="36"/>
          <w:szCs w:val="36"/>
          <w:lang w:eastAsia="zh-CN"/>
        </w:rPr>
        <w:t>青海民族大学东序校区运动场维修项目设计、造价咨询服务</w:t>
      </w:r>
    </w:p>
    <w:p w14:paraId="0F6CD7F1">
      <w:pPr>
        <w:adjustRightInd w:val="0"/>
        <w:spacing w:line="360" w:lineRule="auto"/>
        <w:textAlignment w:val="baseline"/>
        <w:rPr>
          <w:rFonts w:hint="eastAsia" w:ascii="宋体" w:hAnsi="宋体" w:cs="宋体"/>
          <w:b/>
          <w:bCs/>
          <w:sz w:val="36"/>
          <w:szCs w:val="36"/>
        </w:rPr>
      </w:pPr>
    </w:p>
    <w:p w14:paraId="69724516">
      <w:pPr>
        <w:adjustRightInd w:val="0"/>
        <w:spacing w:line="360" w:lineRule="auto"/>
        <w:textAlignment w:val="baseline"/>
        <w:rPr>
          <w:rFonts w:hint="eastAsia" w:ascii="宋体" w:hAnsi="宋体" w:cs="宋体"/>
          <w:b/>
          <w:bCs/>
          <w:sz w:val="36"/>
          <w:szCs w:val="36"/>
        </w:rPr>
      </w:pPr>
    </w:p>
    <w:p w14:paraId="5CDBA9F6">
      <w:pPr>
        <w:adjustRightInd w:val="0"/>
        <w:spacing w:line="360" w:lineRule="auto"/>
        <w:textAlignment w:val="baseline"/>
        <w:rPr>
          <w:rFonts w:hint="eastAsia" w:ascii="宋体" w:hAnsi="宋体" w:cs="宋体"/>
          <w:b/>
          <w:bCs/>
          <w:sz w:val="36"/>
          <w:szCs w:val="36"/>
        </w:rPr>
      </w:pPr>
    </w:p>
    <w:p w14:paraId="711FFEFC">
      <w:pPr>
        <w:spacing w:line="360" w:lineRule="auto"/>
        <w:ind w:firstLine="643"/>
        <w:jc w:val="center"/>
        <w:rPr>
          <w:rFonts w:hint="eastAsia" w:ascii="宋体" w:hAnsi="宋体" w:cs="宋体"/>
          <w:b/>
          <w:bCs/>
          <w:sz w:val="32"/>
          <w:szCs w:val="32"/>
        </w:rPr>
      </w:pPr>
      <w:r>
        <w:rPr>
          <w:rFonts w:hint="eastAsia" w:ascii="宋体" w:hAnsi="宋体" w:cs="宋体"/>
          <w:b/>
          <w:bCs/>
          <w:sz w:val="32"/>
          <w:szCs w:val="32"/>
        </w:rPr>
        <w:t>供应商：</w:t>
      </w:r>
      <w:r>
        <w:rPr>
          <w:rFonts w:hint="eastAsia" w:ascii="宋体" w:hAnsi="宋体" w:cs="宋体"/>
          <w:sz w:val="28"/>
          <w:szCs w:val="28"/>
          <w:u w:val="single"/>
        </w:rPr>
        <w:t xml:space="preserve">            </w:t>
      </w:r>
      <w:r>
        <w:rPr>
          <w:rFonts w:hint="eastAsia" w:ascii="宋体" w:hAnsi="宋体" w:cs="宋体"/>
          <w:b/>
          <w:bCs/>
          <w:sz w:val="32"/>
          <w:szCs w:val="32"/>
        </w:rPr>
        <w:t>（电子公章）</w:t>
      </w:r>
    </w:p>
    <w:p w14:paraId="37D16223">
      <w:pPr>
        <w:spacing w:line="360" w:lineRule="auto"/>
        <w:ind w:firstLine="643"/>
        <w:jc w:val="center"/>
        <w:rPr>
          <w:rFonts w:hint="eastAsia" w:ascii="宋体" w:hAnsi="宋体" w:cs="宋体"/>
          <w:b/>
          <w:bCs/>
          <w:sz w:val="32"/>
          <w:szCs w:val="32"/>
        </w:rPr>
      </w:pPr>
      <w:r>
        <w:rPr>
          <w:rFonts w:hint="eastAsia" w:ascii="宋体" w:hAnsi="宋体" w:cs="宋体"/>
          <w:b/>
          <w:bCs/>
          <w:sz w:val="32"/>
          <w:szCs w:val="32"/>
        </w:rPr>
        <w:t>法定代表人或委托代理人：</w:t>
      </w:r>
      <w:r>
        <w:rPr>
          <w:rFonts w:hint="eastAsia" w:ascii="宋体" w:hAnsi="宋体" w:cs="宋体"/>
          <w:sz w:val="28"/>
          <w:szCs w:val="28"/>
          <w:u w:val="single"/>
        </w:rPr>
        <w:t xml:space="preserve">           </w:t>
      </w:r>
      <w:r>
        <w:rPr>
          <w:rFonts w:hint="eastAsia" w:ascii="宋体" w:hAnsi="宋体" w:cs="宋体"/>
          <w:b/>
          <w:bCs/>
          <w:sz w:val="32"/>
          <w:szCs w:val="32"/>
        </w:rPr>
        <w:t>（签字或盖章）</w:t>
      </w:r>
    </w:p>
    <w:p w14:paraId="66B8187B">
      <w:pPr>
        <w:wordWrap w:val="0"/>
        <w:spacing w:line="360" w:lineRule="auto"/>
        <w:jc w:val="center"/>
        <w:rPr>
          <w:rFonts w:hint="eastAsia" w:ascii="宋体" w:hAnsi="宋体" w:cs="宋体"/>
          <w:b/>
          <w:bCs/>
          <w:sz w:val="32"/>
          <w:szCs w:val="32"/>
        </w:rPr>
      </w:pPr>
    </w:p>
    <w:p w14:paraId="6E27EBA5">
      <w:pPr>
        <w:wordWrap w:val="0"/>
        <w:spacing w:line="360" w:lineRule="auto"/>
        <w:jc w:val="center"/>
        <w:rPr>
          <w:rFonts w:hint="eastAsia" w:ascii="宋体" w:hAnsi="宋体" w:cs="宋体"/>
          <w:b/>
          <w:bCs/>
          <w:sz w:val="32"/>
          <w:szCs w:val="32"/>
        </w:rPr>
      </w:pPr>
      <w:r>
        <w:rPr>
          <w:rFonts w:hint="eastAsia" w:ascii="宋体" w:hAnsi="宋体" w:cs="宋体"/>
          <w:b/>
          <w:bCs/>
          <w:sz w:val="32"/>
          <w:szCs w:val="32"/>
        </w:rPr>
        <w:t>年   月  日</w:t>
      </w:r>
    </w:p>
    <w:p w14:paraId="4A85EF6D">
      <w:pPr>
        <w:pStyle w:val="30"/>
        <w:spacing w:before="0" w:after="0" w:line="360" w:lineRule="auto"/>
        <w:jc w:val="left"/>
        <w:outlineLvl w:val="9"/>
        <w:rPr>
          <w:rFonts w:hint="eastAsia" w:ascii="宋体" w:hAnsi="宋体" w:cs="宋体"/>
          <w:sz w:val="30"/>
          <w:szCs w:val="30"/>
        </w:rPr>
      </w:pPr>
      <w:bookmarkStart w:id="286" w:name="_Toc6115"/>
      <w:bookmarkStart w:id="287" w:name="_Toc13243"/>
      <w:bookmarkStart w:id="288" w:name="_Toc430937689"/>
    </w:p>
    <w:bookmarkEnd w:id="286"/>
    <w:bookmarkEnd w:id="287"/>
    <w:p w14:paraId="0B0AEBF7">
      <w:pPr>
        <w:pStyle w:val="3"/>
        <w:spacing w:line="440" w:lineRule="exact"/>
        <w:rPr>
          <w:rFonts w:hint="eastAsia" w:ascii="宋体" w:hAnsi="宋体"/>
          <w:sz w:val="28"/>
          <w:szCs w:val="28"/>
        </w:rPr>
      </w:pPr>
      <w:bookmarkStart w:id="289" w:name="_Toc491262985"/>
      <w:bookmarkStart w:id="290" w:name="_Toc32453"/>
      <w:bookmarkStart w:id="291" w:name="_Toc10049"/>
      <w:bookmarkStart w:id="292" w:name="_Toc13142"/>
      <w:bookmarkStart w:id="293" w:name="_Toc14026"/>
      <w:bookmarkStart w:id="294" w:name="_Toc4247"/>
      <w:bookmarkStart w:id="295" w:name="_Toc29404"/>
      <w:bookmarkStart w:id="296" w:name="_Toc21530"/>
      <w:r>
        <w:rPr>
          <w:rFonts w:hint="eastAsia" w:ascii="宋体" w:hAnsi="宋体"/>
          <w:sz w:val="28"/>
          <w:szCs w:val="28"/>
        </w:rPr>
        <w:br w:type="page"/>
      </w:r>
      <w:bookmarkStart w:id="297" w:name="_Toc14795"/>
      <w:r>
        <w:rPr>
          <w:rFonts w:hint="eastAsia" w:ascii="宋体" w:hAnsi="宋体"/>
          <w:sz w:val="28"/>
          <w:szCs w:val="28"/>
        </w:rPr>
        <w:t>附件1：响应函</w:t>
      </w:r>
      <w:bookmarkEnd w:id="289"/>
      <w:bookmarkEnd w:id="290"/>
      <w:bookmarkEnd w:id="291"/>
      <w:bookmarkEnd w:id="292"/>
      <w:bookmarkEnd w:id="293"/>
      <w:bookmarkEnd w:id="297"/>
    </w:p>
    <w:p w14:paraId="2D4EB2C5">
      <w:r>
        <w:rPr>
          <w:rFonts w:hint="eastAsia" w:ascii="宋体" w:hAnsi="宋体"/>
          <w:sz w:val="28"/>
          <w:szCs w:val="28"/>
        </w:rPr>
        <w:t xml:space="preserve">                        </w:t>
      </w:r>
      <w:r>
        <w:rPr>
          <w:rFonts w:hint="eastAsia" w:ascii="宋体" w:hAnsi="宋体"/>
          <w:b/>
          <w:bCs/>
          <w:sz w:val="28"/>
          <w:szCs w:val="28"/>
        </w:rPr>
        <w:t xml:space="preserve">     </w:t>
      </w:r>
      <w:r>
        <w:rPr>
          <w:rFonts w:hint="eastAsia" w:ascii="宋体" w:hAnsi="宋体"/>
          <w:b/>
          <w:bCs/>
          <w:sz w:val="24"/>
        </w:rPr>
        <w:t>响应函</w:t>
      </w:r>
    </w:p>
    <w:p w14:paraId="4830BEF0">
      <w:pPr>
        <w:spacing w:line="360" w:lineRule="auto"/>
        <w:textAlignment w:val="baseline"/>
        <w:rPr>
          <w:rFonts w:hint="eastAsia" w:ascii="宋体" w:hAnsi="宋体" w:cs="宋体"/>
          <w:b/>
          <w:bCs/>
          <w:sz w:val="28"/>
          <w:szCs w:val="28"/>
        </w:rPr>
      </w:pPr>
      <w:r>
        <w:rPr>
          <w:rFonts w:hint="eastAsia" w:ascii="宋体" w:hAnsi="宋体" w:cs="宋体"/>
          <w:b/>
          <w:bCs/>
          <w:sz w:val="28"/>
          <w:szCs w:val="28"/>
        </w:rPr>
        <w:t>致：</w:t>
      </w:r>
    </w:p>
    <w:p w14:paraId="7C7304E0">
      <w:pPr>
        <w:spacing w:line="360" w:lineRule="auto"/>
        <w:textAlignment w:val="baseline"/>
        <w:rPr>
          <w:rFonts w:hint="eastAsia" w:ascii="宋体" w:hAnsi="宋体" w:cs="宋体"/>
          <w:sz w:val="24"/>
        </w:rPr>
      </w:pPr>
    </w:p>
    <w:p w14:paraId="0FFDBFF6">
      <w:pPr>
        <w:spacing w:line="480" w:lineRule="exact"/>
        <w:ind w:firstLine="480"/>
        <w:textAlignment w:val="baseline"/>
        <w:rPr>
          <w:rFonts w:hint="eastAsia" w:ascii="宋体" w:hAnsi="宋体" w:cs="宋体"/>
          <w:sz w:val="24"/>
        </w:rPr>
      </w:pPr>
      <w:r>
        <w:rPr>
          <w:rFonts w:hint="eastAsia" w:ascii="宋体" w:hAnsi="宋体" w:cs="宋体"/>
          <w:sz w:val="24"/>
        </w:rPr>
        <w:t>我们收到</w:t>
      </w:r>
      <w:r>
        <w:rPr>
          <w:rFonts w:hint="eastAsia" w:ascii="宋体" w:hAnsi="宋体" w:cs="宋体"/>
          <w:sz w:val="24"/>
          <w:u w:val="single"/>
        </w:rPr>
        <w:t xml:space="preserve">                  项目</w:t>
      </w:r>
      <w:r>
        <w:rPr>
          <w:rFonts w:hint="eastAsia" w:ascii="宋体" w:hAnsi="宋体" w:cs="宋体"/>
          <w:sz w:val="24"/>
        </w:rPr>
        <w:t>询比采购文件，经研究，法定代表人（姓名、职务）正式授权（委托代理人姓名、职务）代表供应商（供应商名称、地址）提交响应文件。</w:t>
      </w:r>
    </w:p>
    <w:p w14:paraId="5FEFED29">
      <w:pPr>
        <w:spacing w:line="480" w:lineRule="exact"/>
        <w:textAlignment w:val="baseline"/>
        <w:rPr>
          <w:rFonts w:hint="eastAsia" w:ascii="宋体" w:hAnsi="宋体" w:cs="宋体"/>
          <w:sz w:val="24"/>
        </w:rPr>
      </w:pPr>
      <w:r>
        <w:rPr>
          <w:rFonts w:hint="eastAsia" w:ascii="宋体" w:hAnsi="宋体" w:cs="宋体"/>
          <w:sz w:val="24"/>
        </w:rPr>
        <w:t>据此函，签字代表宣布同意如下：</w:t>
      </w:r>
    </w:p>
    <w:p w14:paraId="05CA858F">
      <w:pPr>
        <w:spacing w:line="480" w:lineRule="exact"/>
        <w:ind w:firstLine="480" w:firstLineChars="200"/>
        <w:textAlignment w:val="baseline"/>
        <w:rPr>
          <w:rFonts w:hint="eastAsia" w:ascii="宋体" w:hAnsi="宋体" w:cs="宋体"/>
          <w:sz w:val="24"/>
        </w:rPr>
      </w:pPr>
      <w:r>
        <w:rPr>
          <w:rFonts w:hint="eastAsia" w:ascii="宋体" w:hAnsi="宋体" w:cs="宋体"/>
          <w:sz w:val="24"/>
        </w:rPr>
        <w:t>1、我方已详阅询比采购文件的全部内容，包括澄清、修改条款等有关附件，承诺对其完全理解并接受。</w:t>
      </w:r>
    </w:p>
    <w:p w14:paraId="58C160E6">
      <w:pPr>
        <w:autoSpaceDE w:val="0"/>
        <w:autoSpaceDN w:val="0"/>
        <w:adjustRightInd w:val="0"/>
        <w:spacing w:line="480" w:lineRule="exact"/>
        <w:ind w:firstLine="480" w:firstLineChars="200"/>
        <w:rPr>
          <w:rFonts w:hint="eastAsia"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询比</w:t>
      </w:r>
      <w:r>
        <w:rPr>
          <w:rFonts w:hint="eastAsia" w:ascii="宋体" w:hAnsi="宋体" w:cs="宋体"/>
          <w:kern w:val="0"/>
          <w:sz w:val="24"/>
          <w:lang w:val="zh-CN"/>
        </w:rPr>
        <w:t>有效期自</w:t>
      </w:r>
      <w:r>
        <w:rPr>
          <w:rFonts w:hint="eastAsia" w:ascii="宋体" w:hAnsi="宋体" w:cs="宋体"/>
          <w:kern w:val="0"/>
          <w:sz w:val="24"/>
        </w:rPr>
        <w:t>响应文件递交截止</w:t>
      </w:r>
      <w:r>
        <w:rPr>
          <w:rFonts w:hint="eastAsia" w:ascii="宋体" w:hAnsi="宋体" w:cs="宋体"/>
          <w:kern w:val="0"/>
          <w:sz w:val="24"/>
          <w:lang w:val="zh-CN"/>
        </w:rPr>
        <w:t>之日起</w:t>
      </w:r>
      <w:r>
        <w:rPr>
          <w:rFonts w:hint="eastAsia" w:ascii="宋体" w:hAnsi="宋体" w:cs="宋体"/>
          <w:kern w:val="0"/>
          <w:sz w:val="24"/>
          <w:u w:val="single"/>
          <w:lang w:val="zh-CN"/>
        </w:rPr>
        <w:t xml:space="preserve"> </w:t>
      </w:r>
      <w:r>
        <w:rPr>
          <w:rFonts w:hint="eastAsia" w:ascii="宋体" w:hAnsi="宋体" w:cs="宋体"/>
          <w:kern w:val="0"/>
          <w:sz w:val="24"/>
          <w:u w:val="single"/>
          <w:lang w:val="en-US" w:eastAsia="zh-CN"/>
        </w:rPr>
        <w:t>60</w:t>
      </w:r>
      <w:r>
        <w:rPr>
          <w:rFonts w:hint="eastAsia" w:ascii="宋体" w:hAnsi="宋体" w:cs="宋体"/>
          <w:kern w:val="0"/>
          <w:sz w:val="24"/>
          <w:u w:val="single"/>
          <w:lang w:val="zh-CN"/>
        </w:rPr>
        <w:t xml:space="preserve"> </w:t>
      </w:r>
      <w:r>
        <w:rPr>
          <w:rFonts w:hint="eastAsia" w:ascii="宋体" w:hAnsi="宋体" w:cs="宋体"/>
          <w:kern w:val="0"/>
          <w:sz w:val="24"/>
          <w:lang w:val="zh-CN"/>
        </w:rPr>
        <w:t>天内有效。如果在规定的</w:t>
      </w:r>
      <w:r>
        <w:rPr>
          <w:rFonts w:hint="eastAsia" w:ascii="宋体" w:hAnsi="宋体" w:cs="宋体"/>
          <w:kern w:val="0"/>
          <w:sz w:val="24"/>
        </w:rPr>
        <w:t>询比</w:t>
      </w:r>
      <w:r>
        <w:rPr>
          <w:rFonts w:hint="eastAsia" w:ascii="宋体" w:hAnsi="宋体" w:cs="宋体"/>
          <w:kern w:val="0"/>
          <w:sz w:val="24"/>
          <w:lang w:val="zh-CN"/>
        </w:rPr>
        <w:t>时间后，我方在</w:t>
      </w:r>
      <w:r>
        <w:rPr>
          <w:rFonts w:hint="eastAsia" w:ascii="宋体" w:hAnsi="宋体" w:cs="宋体"/>
          <w:kern w:val="0"/>
          <w:sz w:val="24"/>
        </w:rPr>
        <w:t>询比</w:t>
      </w:r>
      <w:r>
        <w:rPr>
          <w:rFonts w:hint="eastAsia" w:ascii="宋体" w:hAnsi="宋体" w:cs="宋体"/>
          <w:kern w:val="0"/>
          <w:sz w:val="24"/>
          <w:lang w:val="zh-CN"/>
        </w:rPr>
        <w:t>有效期内撤回投标或中标后不签约的，响应保证金将被贵方没收。</w:t>
      </w:r>
    </w:p>
    <w:p w14:paraId="5CC361FC">
      <w:pPr>
        <w:spacing w:line="480" w:lineRule="exact"/>
        <w:ind w:firstLine="480" w:firstLineChars="200"/>
        <w:textAlignment w:val="baseline"/>
        <w:rPr>
          <w:rFonts w:hint="eastAsia" w:ascii="宋体" w:hAnsi="宋体" w:cs="宋体"/>
          <w:sz w:val="24"/>
        </w:rPr>
      </w:pPr>
      <w:r>
        <w:rPr>
          <w:rFonts w:hint="eastAsia" w:ascii="宋体" w:hAnsi="宋体" w:cs="宋体"/>
          <w:sz w:val="24"/>
        </w:rPr>
        <w:t>3、我方同意按照贵方要求提供与询比有关的一切数据或资料，理解并接受贵方制定的评标办法。</w:t>
      </w:r>
    </w:p>
    <w:p w14:paraId="68744431">
      <w:pPr>
        <w:spacing w:line="480" w:lineRule="exact"/>
        <w:ind w:firstLine="480" w:firstLineChars="200"/>
        <w:textAlignment w:val="baseline"/>
        <w:rPr>
          <w:rFonts w:hint="eastAsia" w:ascii="宋体" w:hAnsi="宋体" w:cs="宋体"/>
          <w:sz w:val="24"/>
        </w:rPr>
      </w:pPr>
      <w:r>
        <w:rPr>
          <w:rFonts w:hint="eastAsia" w:ascii="宋体" w:hAnsi="宋体" w:cs="宋体"/>
          <w:sz w:val="24"/>
        </w:rPr>
        <w:t>4、与本次采购有关的一切正式往来通讯请寄：</w:t>
      </w:r>
    </w:p>
    <w:p w14:paraId="201E2A7D">
      <w:pPr>
        <w:spacing w:line="480" w:lineRule="exact"/>
        <w:ind w:firstLine="480" w:firstLineChars="200"/>
        <w:textAlignment w:val="baseline"/>
        <w:rPr>
          <w:rFonts w:hint="eastAsia" w:ascii="宋体" w:hAnsi="宋体" w:cs="宋体"/>
          <w:sz w:val="24"/>
        </w:rPr>
      </w:pPr>
      <w:r>
        <w:rPr>
          <w:rFonts w:hint="eastAsia" w:ascii="宋体" w:hAnsi="宋体" w:cs="宋体"/>
          <w:sz w:val="24"/>
        </w:rPr>
        <w:t>地址：_______________        邮编：____________</w:t>
      </w:r>
    </w:p>
    <w:p w14:paraId="68EAB541">
      <w:pPr>
        <w:spacing w:line="480" w:lineRule="exact"/>
        <w:ind w:firstLine="480" w:firstLineChars="200"/>
        <w:textAlignment w:val="baseline"/>
        <w:rPr>
          <w:rFonts w:hint="eastAsia" w:ascii="宋体" w:hAnsi="宋体" w:cs="宋体"/>
          <w:sz w:val="24"/>
        </w:rPr>
      </w:pPr>
      <w:r>
        <w:rPr>
          <w:rFonts w:hint="eastAsia" w:ascii="宋体" w:hAnsi="宋体" w:cs="宋体"/>
          <w:sz w:val="24"/>
        </w:rPr>
        <w:t>电话：_______________        传真：____________</w:t>
      </w:r>
    </w:p>
    <w:p w14:paraId="0E40427E">
      <w:pPr>
        <w:spacing w:line="480" w:lineRule="exact"/>
        <w:ind w:firstLine="480" w:firstLineChars="200"/>
        <w:textAlignment w:val="baseline"/>
        <w:rPr>
          <w:rFonts w:hint="eastAsia" w:ascii="宋体" w:hAnsi="宋体" w:cs="宋体"/>
          <w:sz w:val="24"/>
        </w:rPr>
      </w:pPr>
      <w:r>
        <w:rPr>
          <w:rFonts w:hint="eastAsia" w:ascii="宋体" w:hAnsi="宋体" w:cs="宋体"/>
          <w:sz w:val="24"/>
        </w:rPr>
        <w:t>法定代表人姓名： ___________ 职务：____________</w:t>
      </w:r>
    </w:p>
    <w:p w14:paraId="28901ED7">
      <w:pPr>
        <w:spacing w:line="360" w:lineRule="auto"/>
        <w:rPr>
          <w:rFonts w:hint="eastAsia" w:ascii="宋体" w:hAnsi="宋体" w:cs="宋体"/>
          <w:sz w:val="24"/>
        </w:rPr>
      </w:pPr>
    </w:p>
    <w:p w14:paraId="67D3E0E9">
      <w:pPr>
        <w:autoSpaceDE w:val="0"/>
        <w:autoSpaceDN w:val="0"/>
        <w:adjustRightInd w:val="0"/>
        <w:spacing w:line="460" w:lineRule="exact"/>
        <w:rPr>
          <w:rFonts w:hint="eastAsia" w:ascii="宋体" w:hAnsi="宋体"/>
          <w:b/>
          <w:bCs/>
          <w:sz w:val="24"/>
        </w:rPr>
      </w:pPr>
    </w:p>
    <w:p w14:paraId="55C4BC39">
      <w:pPr>
        <w:pStyle w:val="14"/>
        <w:rPr>
          <w:rFonts w:hint="eastAsia" w:hAnsi="宋体"/>
          <w:b/>
          <w:bCs/>
          <w:sz w:val="24"/>
        </w:rPr>
      </w:pPr>
    </w:p>
    <w:p w14:paraId="44DB1EC9">
      <w:pPr>
        <w:pStyle w:val="14"/>
        <w:rPr>
          <w:rFonts w:hint="eastAsia" w:hAnsi="宋体"/>
          <w:b/>
          <w:bCs/>
          <w:sz w:val="24"/>
        </w:rPr>
      </w:pPr>
    </w:p>
    <w:p w14:paraId="610FB0F2">
      <w:pPr>
        <w:pStyle w:val="14"/>
        <w:rPr>
          <w:rFonts w:hint="eastAsia" w:hAnsi="宋体"/>
          <w:b/>
          <w:bCs/>
          <w:sz w:val="24"/>
        </w:rPr>
      </w:pPr>
    </w:p>
    <w:p w14:paraId="45C48549">
      <w:pPr>
        <w:pStyle w:val="14"/>
        <w:rPr>
          <w:rFonts w:hint="eastAsia" w:hAnsi="宋体"/>
          <w:b/>
          <w:bCs/>
          <w:sz w:val="24"/>
        </w:rPr>
      </w:pPr>
    </w:p>
    <w:p w14:paraId="2A69958B">
      <w:pPr>
        <w:autoSpaceDE w:val="0"/>
        <w:autoSpaceDN w:val="0"/>
        <w:adjustRightInd w:val="0"/>
        <w:spacing w:line="460" w:lineRule="exact"/>
        <w:rPr>
          <w:rFonts w:hint="eastAsia" w:ascii="宋体" w:hAnsi="宋体"/>
          <w:b/>
          <w:bCs/>
          <w:sz w:val="24"/>
        </w:rPr>
      </w:pPr>
    </w:p>
    <w:p w14:paraId="39A3B62C">
      <w:pPr>
        <w:autoSpaceDE w:val="0"/>
        <w:autoSpaceDN w:val="0"/>
        <w:adjustRightInd w:val="0"/>
        <w:spacing w:line="460" w:lineRule="exact"/>
        <w:jc w:val="right"/>
        <w:rPr>
          <w:rFonts w:hint="eastAsia" w:ascii="宋体" w:hAnsi="宋体"/>
          <w:b/>
          <w:bCs/>
          <w:sz w:val="24"/>
        </w:rPr>
      </w:pPr>
      <w:r>
        <w:rPr>
          <w:rFonts w:hint="eastAsia" w:ascii="宋体" w:hAnsi="宋体" w:cs="宋体"/>
          <w:b/>
          <w:kern w:val="0"/>
          <w:sz w:val="24"/>
          <w:lang w:bidi="ar"/>
        </w:rPr>
        <w:t xml:space="preserve"> 供应商：       （电子公章）</w:t>
      </w:r>
    </w:p>
    <w:p w14:paraId="73107AEE">
      <w:pPr>
        <w:autoSpaceDE w:val="0"/>
        <w:autoSpaceDN w:val="0"/>
        <w:adjustRightInd w:val="0"/>
        <w:spacing w:line="460" w:lineRule="exact"/>
        <w:jc w:val="right"/>
        <w:rPr>
          <w:rFonts w:hint="eastAsia" w:ascii="宋体" w:hAnsi="宋体"/>
          <w:b/>
          <w:bCs/>
          <w:sz w:val="24"/>
        </w:rPr>
      </w:pPr>
      <w:r>
        <w:rPr>
          <w:rFonts w:hint="eastAsia" w:ascii="宋体" w:hAnsi="宋体"/>
          <w:b/>
          <w:bCs/>
          <w:sz w:val="24"/>
        </w:rPr>
        <w:t>　年　　月　　日</w:t>
      </w:r>
    </w:p>
    <w:p w14:paraId="1007E609">
      <w:pPr>
        <w:rPr>
          <w:rFonts w:hint="eastAsia" w:ascii="宋体" w:hAnsi="宋体"/>
        </w:rPr>
      </w:pPr>
    </w:p>
    <w:p w14:paraId="34569163">
      <w:pPr>
        <w:autoSpaceDE w:val="0"/>
        <w:autoSpaceDN w:val="0"/>
        <w:adjustRightInd w:val="0"/>
        <w:spacing w:line="440" w:lineRule="exact"/>
        <w:jc w:val="left"/>
        <w:rPr>
          <w:rFonts w:hint="eastAsia" w:ascii="宋体" w:hAnsi="宋体"/>
        </w:rPr>
      </w:pPr>
    </w:p>
    <w:p w14:paraId="040612E5">
      <w:pPr>
        <w:autoSpaceDE w:val="0"/>
        <w:autoSpaceDN w:val="0"/>
        <w:adjustRightInd w:val="0"/>
        <w:spacing w:line="440" w:lineRule="exact"/>
        <w:jc w:val="left"/>
        <w:rPr>
          <w:rFonts w:hint="eastAsia" w:ascii="宋体" w:hAnsi="宋体"/>
        </w:rPr>
      </w:pPr>
    </w:p>
    <w:p w14:paraId="7F11DE28">
      <w:pPr>
        <w:spacing w:line="440" w:lineRule="exact"/>
        <w:outlineLvl w:val="1"/>
        <w:rPr>
          <w:rFonts w:hint="eastAsia" w:ascii="宋体" w:hAnsi="宋体"/>
          <w:b/>
          <w:sz w:val="24"/>
        </w:rPr>
      </w:pPr>
      <w:bookmarkStart w:id="298" w:name="_Toc24548"/>
      <w:bookmarkStart w:id="299" w:name="_Toc16275"/>
      <w:bookmarkStart w:id="300" w:name="_Toc7571"/>
      <w:r>
        <w:rPr>
          <w:rFonts w:hint="eastAsia" w:ascii="宋体" w:hAnsi="宋体"/>
          <w:b/>
          <w:sz w:val="24"/>
        </w:rPr>
        <w:br w:type="page"/>
      </w:r>
      <w:bookmarkStart w:id="301" w:name="_Toc3517"/>
      <w:r>
        <w:rPr>
          <w:rFonts w:hint="eastAsia" w:ascii="宋体" w:hAnsi="宋体"/>
          <w:b/>
          <w:sz w:val="24"/>
        </w:rPr>
        <w:t>附件2：报价表</w:t>
      </w:r>
      <w:bookmarkEnd w:id="298"/>
      <w:bookmarkEnd w:id="299"/>
      <w:bookmarkEnd w:id="300"/>
      <w:bookmarkEnd w:id="301"/>
    </w:p>
    <w:p w14:paraId="684B02B5">
      <w:pPr>
        <w:pStyle w:val="9"/>
        <w:rPr>
          <w:rFonts w:hint="eastAsia" w:ascii="宋体" w:hAnsi="宋体"/>
          <w:b/>
        </w:rPr>
      </w:pPr>
    </w:p>
    <w:p w14:paraId="36DBB985">
      <w:pPr>
        <w:autoSpaceDE w:val="0"/>
        <w:autoSpaceDN w:val="0"/>
        <w:adjustRightInd w:val="0"/>
        <w:spacing w:line="400" w:lineRule="exact"/>
        <w:ind w:firstLine="723" w:firstLineChars="200"/>
        <w:jc w:val="center"/>
        <w:rPr>
          <w:rFonts w:hint="eastAsia" w:ascii="宋体" w:hAnsi="宋体" w:cs="宋体"/>
          <w:b/>
          <w:sz w:val="36"/>
          <w:szCs w:val="36"/>
        </w:rPr>
      </w:pPr>
      <w:r>
        <w:rPr>
          <w:rFonts w:hint="eastAsia" w:ascii="宋体" w:hAnsi="宋体" w:cs="宋体"/>
          <w:b/>
          <w:kern w:val="0"/>
          <w:sz w:val="36"/>
          <w:szCs w:val="36"/>
          <w:lang w:bidi="ar"/>
        </w:rPr>
        <w:t>报价表</w:t>
      </w:r>
    </w:p>
    <w:p w14:paraId="10A53247">
      <w:pPr>
        <w:spacing w:line="400" w:lineRule="exact"/>
        <w:ind w:firstLine="1807" w:firstLineChars="750"/>
        <w:rPr>
          <w:rFonts w:hint="eastAsia" w:ascii="宋体" w:hAnsi="宋体" w:cs="宋体"/>
          <w:b/>
          <w:sz w:val="24"/>
        </w:rPr>
      </w:pPr>
    </w:p>
    <w:p w14:paraId="072906CB">
      <w:pPr>
        <w:spacing w:line="400" w:lineRule="exact"/>
        <w:ind w:firstLine="482" w:firstLineChars="200"/>
        <w:rPr>
          <w:rFonts w:hint="eastAsia" w:ascii="宋体" w:hAnsi="宋体" w:cs="宋体"/>
          <w:b/>
          <w:sz w:val="24"/>
        </w:rPr>
      </w:pPr>
      <w:r>
        <w:rPr>
          <w:rFonts w:hint="eastAsia" w:ascii="宋体" w:hAnsi="宋体" w:cs="宋体"/>
          <w:b/>
          <w:kern w:val="0"/>
          <w:sz w:val="24"/>
          <w:lang w:bidi="ar"/>
        </w:rPr>
        <w:t>供应商名称：</w:t>
      </w:r>
    </w:p>
    <w:p w14:paraId="23D35E04">
      <w:pPr>
        <w:spacing w:line="400" w:lineRule="exact"/>
        <w:ind w:firstLine="482" w:firstLineChars="200"/>
        <w:rPr>
          <w:rFonts w:hint="eastAsia" w:ascii="宋体" w:hAnsi="宋体" w:cs="宋体"/>
          <w:b/>
          <w:kern w:val="0"/>
          <w:sz w:val="24"/>
          <w:lang w:bidi="ar"/>
        </w:rPr>
      </w:pPr>
      <w:r>
        <w:rPr>
          <w:rFonts w:hint="eastAsia" w:ascii="宋体" w:hAnsi="宋体" w:cs="宋体"/>
          <w:b/>
          <w:kern w:val="0"/>
          <w:sz w:val="24"/>
          <w:lang w:bidi="ar"/>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45"/>
        <w:gridCol w:w="6014"/>
      </w:tblGrid>
      <w:tr w14:paraId="56D6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2645" w:type="dxa"/>
            <w:noWrap w:val="0"/>
            <w:vAlign w:val="center"/>
          </w:tcPr>
          <w:p w14:paraId="696AE2FE">
            <w:pPr>
              <w:pStyle w:val="7"/>
              <w:ind w:firstLine="440"/>
              <w:jc w:val="center"/>
              <w:rPr>
                <w:rFonts w:hint="eastAsia" w:ascii="宋体" w:hAnsi="宋体" w:cs="宋体"/>
                <w:sz w:val="22"/>
                <w:szCs w:val="32"/>
              </w:rPr>
            </w:pPr>
            <w:r>
              <w:rPr>
                <w:rFonts w:hint="eastAsia" w:ascii="宋体" w:hAnsi="宋体" w:cs="宋体"/>
                <w:sz w:val="22"/>
                <w:szCs w:val="32"/>
              </w:rPr>
              <w:t>供应商名称</w:t>
            </w:r>
          </w:p>
        </w:tc>
        <w:tc>
          <w:tcPr>
            <w:tcW w:w="6014" w:type="dxa"/>
            <w:noWrap w:val="0"/>
            <w:vAlign w:val="center"/>
          </w:tcPr>
          <w:p w14:paraId="1153DF02">
            <w:pPr>
              <w:pStyle w:val="7"/>
              <w:ind w:firstLine="0" w:firstLineChars="0"/>
              <w:rPr>
                <w:rFonts w:hint="eastAsia" w:ascii="宋体" w:hAnsi="宋体" w:cs="宋体"/>
                <w:sz w:val="22"/>
                <w:szCs w:val="32"/>
              </w:rPr>
            </w:pPr>
          </w:p>
        </w:tc>
      </w:tr>
      <w:tr w14:paraId="3D78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2645" w:type="dxa"/>
            <w:noWrap w:val="0"/>
            <w:vAlign w:val="center"/>
          </w:tcPr>
          <w:p w14:paraId="57406DE2">
            <w:pPr>
              <w:pStyle w:val="7"/>
              <w:ind w:firstLine="440"/>
              <w:jc w:val="center"/>
              <w:rPr>
                <w:rFonts w:hint="eastAsia" w:ascii="宋体" w:hAnsi="宋体" w:cs="宋体"/>
                <w:sz w:val="22"/>
                <w:szCs w:val="32"/>
              </w:rPr>
            </w:pPr>
            <w:r>
              <w:rPr>
                <w:rFonts w:hint="eastAsia" w:ascii="宋体" w:hAnsi="宋体" w:cs="宋体"/>
                <w:sz w:val="22"/>
                <w:szCs w:val="32"/>
                <w:lang w:val="zh-CN"/>
              </w:rPr>
              <w:t>投标包号</w:t>
            </w:r>
          </w:p>
        </w:tc>
        <w:tc>
          <w:tcPr>
            <w:tcW w:w="6014" w:type="dxa"/>
            <w:noWrap w:val="0"/>
            <w:vAlign w:val="center"/>
          </w:tcPr>
          <w:p w14:paraId="5B6D3177">
            <w:pPr>
              <w:pStyle w:val="7"/>
              <w:ind w:firstLine="0" w:firstLineChars="0"/>
              <w:rPr>
                <w:rFonts w:hint="eastAsia" w:ascii="宋体" w:hAnsi="宋体" w:eastAsia="宋体" w:cs="宋体"/>
                <w:sz w:val="22"/>
                <w:szCs w:val="32"/>
              </w:rPr>
            </w:pPr>
          </w:p>
        </w:tc>
      </w:tr>
      <w:tr w14:paraId="5EEE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6" w:hRule="atLeast"/>
          <w:jc w:val="center"/>
        </w:trPr>
        <w:tc>
          <w:tcPr>
            <w:tcW w:w="2645" w:type="dxa"/>
            <w:noWrap w:val="0"/>
            <w:vAlign w:val="center"/>
          </w:tcPr>
          <w:p w14:paraId="40CEB635">
            <w:pPr>
              <w:pStyle w:val="7"/>
              <w:ind w:firstLine="440"/>
              <w:jc w:val="center"/>
              <w:rPr>
                <w:rFonts w:hint="eastAsia" w:ascii="宋体" w:hAnsi="宋体" w:eastAsia="宋体" w:cs="宋体"/>
                <w:sz w:val="22"/>
                <w:szCs w:val="32"/>
              </w:rPr>
            </w:pPr>
            <w:r>
              <w:rPr>
                <w:rFonts w:hint="eastAsia" w:ascii="宋体" w:hAnsi="宋体" w:cs="宋体"/>
                <w:sz w:val="22"/>
                <w:szCs w:val="32"/>
              </w:rPr>
              <w:t>投标报价（元）</w:t>
            </w:r>
          </w:p>
        </w:tc>
        <w:tc>
          <w:tcPr>
            <w:tcW w:w="6014" w:type="dxa"/>
            <w:noWrap w:val="0"/>
            <w:vAlign w:val="center"/>
          </w:tcPr>
          <w:p w14:paraId="57648FF5">
            <w:pPr>
              <w:pStyle w:val="7"/>
              <w:spacing w:line="360" w:lineRule="auto"/>
              <w:ind w:firstLine="0" w:firstLineChars="0"/>
              <w:rPr>
                <w:rFonts w:ascii="宋体" w:hAnsi="宋体" w:eastAsia="宋体" w:cs="宋体"/>
                <w:sz w:val="21"/>
                <w:szCs w:val="21"/>
              </w:rPr>
            </w:pPr>
          </w:p>
        </w:tc>
      </w:tr>
      <w:tr w14:paraId="143B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1" w:hRule="atLeast"/>
          <w:jc w:val="center"/>
        </w:trPr>
        <w:tc>
          <w:tcPr>
            <w:tcW w:w="2645" w:type="dxa"/>
            <w:noWrap w:val="0"/>
            <w:vAlign w:val="center"/>
          </w:tcPr>
          <w:p w14:paraId="0E5815DE">
            <w:pPr>
              <w:pStyle w:val="7"/>
              <w:ind w:firstLine="440"/>
              <w:jc w:val="center"/>
              <w:rPr>
                <w:rFonts w:ascii="宋体" w:hAnsi="宋体" w:eastAsia="宋体" w:cs="宋体"/>
                <w:sz w:val="22"/>
                <w:szCs w:val="32"/>
              </w:rPr>
            </w:pPr>
            <w:r>
              <w:rPr>
                <w:rFonts w:hint="eastAsia" w:ascii="宋体" w:hAnsi="宋体" w:cs="宋体"/>
                <w:sz w:val="22"/>
                <w:szCs w:val="32"/>
              </w:rPr>
              <w:t>服务期</w:t>
            </w:r>
          </w:p>
        </w:tc>
        <w:tc>
          <w:tcPr>
            <w:tcW w:w="6014" w:type="dxa"/>
            <w:noWrap w:val="0"/>
            <w:vAlign w:val="center"/>
          </w:tcPr>
          <w:p w14:paraId="1D94107F">
            <w:pPr>
              <w:pStyle w:val="7"/>
              <w:ind w:firstLine="0" w:firstLineChars="0"/>
              <w:rPr>
                <w:rFonts w:hint="eastAsia" w:ascii="宋体" w:hAnsi="宋体" w:cs="宋体"/>
                <w:sz w:val="22"/>
                <w:szCs w:val="32"/>
              </w:rPr>
            </w:pPr>
          </w:p>
        </w:tc>
      </w:tr>
    </w:tbl>
    <w:p w14:paraId="1AEE36F7">
      <w:pPr>
        <w:spacing w:line="400" w:lineRule="exact"/>
        <w:ind w:firstLine="482" w:firstLineChars="200"/>
        <w:rPr>
          <w:rFonts w:hint="eastAsia" w:ascii="宋体" w:hAnsi="宋体" w:cs="宋体"/>
          <w:b/>
          <w:sz w:val="24"/>
        </w:rPr>
      </w:pPr>
      <w:r>
        <w:rPr>
          <w:rFonts w:hint="eastAsia" w:ascii="宋体" w:hAnsi="宋体" w:cs="宋体"/>
          <w:b/>
          <w:kern w:val="0"/>
          <w:sz w:val="24"/>
          <w:lang w:bidi="ar"/>
        </w:rPr>
        <w:t xml:space="preserve">                           </w:t>
      </w:r>
      <w:r>
        <w:rPr>
          <w:rFonts w:hint="eastAsia" w:ascii="宋体" w:hAnsi="宋体" w:cs="宋体"/>
          <w:b/>
          <w:bCs/>
          <w:kern w:val="0"/>
          <w:sz w:val="24"/>
          <w:lang w:bidi="ar"/>
        </w:rPr>
        <w:t xml:space="preserve">              </w:t>
      </w:r>
    </w:p>
    <w:p w14:paraId="5BF334C1">
      <w:pPr>
        <w:autoSpaceDE w:val="0"/>
        <w:autoSpaceDN w:val="0"/>
        <w:spacing w:line="360" w:lineRule="auto"/>
        <w:rPr>
          <w:rFonts w:hint="eastAsia" w:ascii="宋体" w:hAnsi="宋体" w:cs="宋体"/>
          <w:kern w:val="0"/>
          <w:lang w:val="zh-CN"/>
        </w:rPr>
      </w:pPr>
      <w:r>
        <w:rPr>
          <w:rFonts w:hint="eastAsia" w:ascii="宋体" w:hAnsi="宋体" w:cs="宋体"/>
          <w:b/>
          <w:bCs/>
          <w:kern w:val="0"/>
          <w:lang w:val="zh-CN"/>
        </w:rPr>
        <w:t>注：</w:t>
      </w:r>
      <w:r>
        <w:rPr>
          <w:rFonts w:hint="eastAsia" w:ascii="宋体" w:hAnsi="宋体" w:cs="宋体"/>
          <w:kern w:val="0"/>
          <w:lang w:val="zh-CN"/>
        </w:rPr>
        <w:t>1.填写此表时不得改变表格形式。</w:t>
      </w:r>
    </w:p>
    <w:p w14:paraId="0C1EB1D5">
      <w:pPr>
        <w:autoSpaceDE w:val="0"/>
        <w:autoSpaceDN w:val="0"/>
        <w:adjustRightInd w:val="0"/>
        <w:spacing w:line="420" w:lineRule="exact"/>
        <w:ind w:firstLine="420" w:firstLineChars="200"/>
        <w:rPr>
          <w:rFonts w:ascii="宋体" w:hAnsi="宋体" w:cs="宋体"/>
          <w:kern w:val="0"/>
        </w:rPr>
      </w:pPr>
      <w:r>
        <w:rPr>
          <w:rFonts w:hint="eastAsia" w:ascii="宋体" w:hAnsi="宋体" w:cs="宋体"/>
          <w:kern w:val="0"/>
        </w:rPr>
        <w:t>2.</w:t>
      </w:r>
      <w:r>
        <w:rPr>
          <w:rFonts w:hint="eastAsia" w:ascii="宋体" w:hAnsi="宋体" w:cs="宋体"/>
          <w:kern w:val="0"/>
          <w:lang w:val="zh-CN"/>
        </w:rPr>
        <w:t>“投标报价”为</w:t>
      </w:r>
      <w:r>
        <w:rPr>
          <w:rFonts w:hint="eastAsia" w:ascii="宋体" w:hAnsi="宋体" w:cs="宋体"/>
          <w:kern w:val="0"/>
        </w:rPr>
        <w:t>投标总价</w:t>
      </w:r>
      <w:r>
        <w:rPr>
          <w:rFonts w:hint="eastAsia" w:ascii="宋体" w:hAnsi="宋体" w:cs="宋体"/>
          <w:kern w:val="0"/>
          <w:lang w:val="zh-CN"/>
        </w:rPr>
        <w:t>。投标报价必须包括：</w:t>
      </w:r>
      <w:r>
        <w:rPr>
          <w:rFonts w:hint="eastAsia" w:ascii="宋体" w:hAnsi="宋体" w:cs="宋体"/>
          <w:kern w:val="0"/>
        </w:rPr>
        <w:t>服务费、人工费、售前、售中、售后服务费、招标代理服务费、税金及不可预见费等全部费用。</w:t>
      </w:r>
    </w:p>
    <w:p w14:paraId="2BA64F0C">
      <w:pPr>
        <w:autoSpaceDE w:val="0"/>
        <w:autoSpaceDN w:val="0"/>
        <w:adjustRightInd w:val="0"/>
        <w:spacing w:line="420" w:lineRule="exact"/>
        <w:ind w:firstLine="420" w:firstLineChars="200"/>
        <w:rPr>
          <w:rFonts w:hint="eastAsia" w:ascii="宋体" w:hAnsi="宋体" w:cs="宋体"/>
          <w:kern w:val="0"/>
          <w:lang w:val="zh-CN"/>
        </w:rPr>
      </w:pPr>
      <w:r>
        <w:rPr>
          <w:rFonts w:hint="eastAsia" w:ascii="宋体" w:hAnsi="宋体" w:cs="宋体"/>
          <w:kern w:val="0"/>
        </w:rPr>
        <w:t>3</w:t>
      </w:r>
      <w:r>
        <w:rPr>
          <w:rFonts w:hint="eastAsia" w:ascii="宋体" w:hAnsi="宋体" w:cs="宋体"/>
          <w:kern w:val="0"/>
          <w:lang w:val="zh-CN"/>
        </w:rPr>
        <w:t>.“服务期”是指自</w:t>
      </w:r>
      <w:r>
        <w:rPr>
          <w:rFonts w:hint="eastAsia" w:ascii="宋体" w:hAnsi="宋体" w:cs="宋体"/>
          <w:kern w:val="0"/>
        </w:rPr>
        <w:t>完成项目的时间</w:t>
      </w:r>
      <w:r>
        <w:rPr>
          <w:rFonts w:hint="eastAsia" w:ascii="宋体" w:hAnsi="宋体" w:cs="宋体"/>
          <w:kern w:val="0"/>
          <w:lang w:val="zh-CN"/>
        </w:rPr>
        <w:t>。</w:t>
      </w:r>
    </w:p>
    <w:p w14:paraId="4DE9828C">
      <w:pPr>
        <w:spacing w:line="400" w:lineRule="exact"/>
        <w:ind w:firstLine="480" w:firstLineChars="200"/>
        <w:rPr>
          <w:rFonts w:hint="eastAsia" w:ascii="宋体" w:hAnsi="宋体" w:cs="宋体"/>
          <w:sz w:val="24"/>
        </w:rPr>
      </w:pPr>
    </w:p>
    <w:p w14:paraId="00713449">
      <w:pPr>
        <w:adjustRightInd w:val="0"/>
        <w:spacing w:line="400" w:lineRule="exact"/>
        <w:ind w:firstLine="480" w:firstLineChars="200"/>
        <w:textAlignment w:val="baseline"/>
        <w:rPr>
          <w:rFonts w:hint="eastAsia" w:ascii="宋体" w:hAnsi="宋体" w:cs="宋体"/>
          <w:sz w:val="24"/>
        </w:rPr>
      </w:pPr>
    </w:p>
    <w:p w14:paraId="306EB66F">
      <w:pPr>
        <w:spacing w:line="400" w:lineRule="exact"/>
        <w:ind w:firstLine="2532" w:firstLineChars="1055"/>
        <w:rPr>
          <w:rFonts w:hint="eastAsia" w:ascii="宋体" w:hAnsi="宋体" w:cs="宋体"/>
          <w:sz w:val="24"/>
        </w:rPr>
      </w:pPr>
    </w:p>
    <w:p w14:paraId="485DC7BD">
      <w:pPr>
        <w:spacing w:line="400" w:lineRule="exact"/>
        <w:ind w:firstLine="482" w:firstLineChars="200"/>
        <w:jc w:val="center"/>
        <w:rPr>
          <w:rFonts w:hint="eastAsia" w:ascii="宋体" w:hAnsi="宋体" w:cs="宋体"/>
          <w:b/>
          <w:kern w:val="0"/>
          <w:sz w:val="24"/>
          <w:lang w:bidi="ar"/>
        </w:rPr>
      </w:pPr>
      <w:r>
        <w:rPr>
          <w:rFonts w:hint="eastAsia" w:ascii="宋体" w:hAnsi="宋体" w:cs="宋体"/>
          <w:b/>
          <w:kern w:val="0"/>
          <w:sz w:val="24"/>
          <w:lang w:bidi="ar"/>
        </w:rPr>
        <w:t xml:space="preserve">               供应商：       （电子公章）</w:t>
      </w:r>
    </w:p>
    <w:p w14:paraId="572B22AA">
      <w:pPr>
        <w:pStyle w:val="14"/>
        <w:rPr>
          <w:sz w:val="24"/>
          <w:szCs w:val="24"/>
        </w:rPr>
      </w:pPr>
    </w:p>
    <w:p w14:paraId="2ACF2103">
      <w:pPr>
        <w:spacing w:line="400" w:lineRule="exact"/>
        <w:ind w:firstLine="482" w:firstLineChars="200"/>
        <w:jc w:val="center"/>
        <w:rPr>
          <w:rFonts w:hint="eastAsia" w:ascii="宋体" w:hAnsi="宋体" w:cs="宋体"/>
          <w:b/>
          <w:sz w:val="24"/>
        </w:rPr>
      </w:pPr>
      <w:r>
        <w:rPr>
          <w:rFonts w:hint="eastAsia" w:ascii="宋体" w:hAnsi="宋体" w:cs="宋体"/>
          <w:b/>
          <w:kern w:val="0"/>
          <w:sz w:val="24"/>
          <w:lang w:bidi="ar"/>
        </w:rPr>
        <w:t xml:space="preserve">        法定代表人或委托代理人：</w:t>
      </w:r>
      <w:r>
        <w:rPr>
          <w:rFonts w:hint="eastAsia" w:ascii="宋体" w:hAnsi="宋体" w:cs="宋体"/>
          <w:b/>
          <w:kern w:val="0"/>
          <w:sz w:val="24"/>
          <w:u w:val="single"/>
          <w:lang w:bidi="ar"/>
        </w:rPr>
        <w:t xml:space="preserve">       </w:t>
      </w:r>
      <w:r>
        <w:rPr>
          <w:rFonts w:hint="eastAsia" w:ascii="宋体" w:hAnsi="宋体" w:cs="宋体"/>
          <w:b/>
          <w:kern w:val="0"/>
          <w:sz w:val="24"/>
          <w:lang w:bidi="ar"/>
        </w:rPr>
        <w:t>（签字或盖章）</w:t>
      </w:r>
    </w:p>
    <w:p w14:paraId="0F4F4FB0">
      <w:pPr>
        <w:spacing w:line="400" w:lineRule="exact"/>
        <w:ind w:firstLine="482" w:firstLineChars="200"/>
        <w:jc w:val="center"/>
        <w:rPr>
          <w:rFonts w:hint="eastAsia" w:ascii="宋体" w:hAnsi="宋体" w:cs="宋体"/>
          <w:b/>
          <w:kern w:val="0"/>
          <w:sz w:val="24"/>
          <w:lang w:bidi="ar"/>
        </w:rPr>
      </w:pPr>
      <w:r>
        <w:rPr>
          <w:rFonts w:hint="eastAsia" w:ascii="宋体" w:hAnsi="宋体" w:cs="宋体"/>
          <w:b/>
          <w:kern w:val="0"/>
          <w:sz w:val="24"/>
          <w:lang w:bidi="ar"/>
        </w:rPr>
        <w:t xml:space="preserve">              </w:t>
      </w:r>
    </w:p>
    <w:p w14:paraId="73D87F1E">
      <w:pPr>
        <w:spacing w:line="400" w:lineRule="exact"/>
        <w:ind w:firstLine="482" w:firstLineChars="200"/>
        <w:jc w:val="center"/>
        <w:rPr>
          <w:rFonts w:hint="eastAsia" w:ascii="宋体" w:hAnsi="宋体" w:cs="宋体"/>
          <w:b/>
          <w:kern w:val="0"/>
          <w:lang w:bidi="ar"/>
        </w:rPr>
      </w:pPr>
      <w:r>
        <w:rPr>
          <w:rFonts w:hint="eastAsia" w:ascii="宋体" w:hAnsi="宋体" w:cs="宋体"/>
          <w:b/>
          <w:kern w:val="0"/>
          <w:sz w:val="24"/>
          <w:lang w:bidi="ar"/>
        </w:rPr>
        <w:t xml:space="preserve">    年   月   日</w:t>
      </w:r>
    </w:p>
    <w:p w14:paraId="32BCB290">
      <w:pPr>
        <w:pStyle w:val="31"/>
        <w:rPr>
          <w:rFonts w:hint="eastAsia" w:ascii="宋体" w:hAnsi="宋体" w:cs="宋体"/>
          <w:b/>
          <w:kern w:val="0"/>
          <w:lang w:bidi="ar"/>
        </w:rPr>
      </w:pPr>
    </w:p>
    <w:p w14:paraId="29B30B41">
      <w:pPr>
        <w:spacing w:line="440" w:lineRule="exact"/>
        <w:outlineLvl w:val="1"/>
        <w:rPr>
          <w:rFonts w:ascii="宋体" w:hAnsi="宋体"/>
          <w:b/>
          <w:sz w:val="24"/>
        </w:rPr>
      </w:pPr>
      <w:bookmarkStart w:id="302" w:name="_Toc5769"/>
      <w:bookmarkStart w:id="303" w:name="_Toc4823"/>
      <w:bookmarkStart w:id="304" w:name="_Toc26786"/>
      <w:bookmarkStart w:id="305" w:name="_Toc995"/>
      <w:bookmarkStart w:id="306" w:name="_Toc15071"/>
      <w:r>
        <w:rPr>
          <w:rFonts w:hint="eastAsia" w:ascii="宋体" w:hAnsi="宋体"/>
          <w:b/>
          <w:bCs/>
          <w:sz w:val="24"/>
        </w:rPr>
        <w:br w:type="page"/>
      </w:r>
      <w:bookmarkEnd w:id="302"/>
      <w:bookmarkEnd w:id="303"/>
      <w:bookmarkStart w:id="307" w:name="_Toc9352"/>
      <w:r>
        <w:rPr>
          <w:rFonts w:hint="eastAsia" w:ascii="宋体" w:hAnsi="宋体"/>
          <w:b/>
          <w:sz w:val="24"/>
        </w:rPr>
        <w:t>附件3：法定代表人证明书</w:t>
      </w:r>
      <w:bookmarkEnd w:id="304"/>
      <w:bookmarkEnd w:id="305"/>
      <w:bookmarkEnd w:id="306"/>
      <w:bookmarkEnd w:id="307"/>
    </w:p>
    <w:p w14:paraId="27B72D4B">
      <w:pPr>
        <w:autoSpaceDE w:val="0"/>
        <w:autoSpaceDN w:val="0"/>
        <w:adjustRightInd w:val="0"/>
        <w:spacing w:line="440" w:lineRule="exact"/>
        <w:jc w:val="left"/>
        <w:rPr>
          <w:rFonts w:hint="eastAsia" w:ascii="宋体" w:hAnsi="宋体"/>
        </w:rPr>
      </w:pPr>
    </w:p>
    <w:p w14:paraId="4ADAAC16">
      <w:pPr>
        <w:autoSpaceDE w:val="0"/>
        <w:autoSpaceDN w:val="0"/>
        <w:adjustRightInd w:val="0"/>
        <w:spacing w:line="440" w:lineRule="exact"/>
        <w:jc w:val="left"/>
        <w:rPr>
          <w:rFonts w:hint="eastAsia" w:ascii="宋体" w:hAnsi="宋体"/>
        </w:rPr>
      </w:pPr>
    </w:p>
    <w:p w14:paraId="23CB32F3">
      <w:pPr>
        <w:spacing w:before="120" w:after="120"/>
        <w:jc w:val="center"/>
        <w:rPr>
          <w:rFonts w:ascii="宋体" w:hAnsi="宋体" w:cs="TimesNewRomanPSMT"/>
          <w:kern w:val="0"/>
          <w:sz w:val="24"/>
        </w:rPr>
      </w:pPr>
      <w:bookmarkStart w:id="308" w:name="_Toc201287639"/>
      <w:bookmarkStart w:id="309" w:name="_Toc289938524"/>
      <w:bookmarkStart w:id="310" w:name="_Toc28339"/>
      <w:bookmarkStart w:id="311" w:name="_Toc491262987"/>
      <w:bookmarkStart w:id="312" w:name="_Toc18941"/>
      <w:r>
        <w:rPr>
          <w:rFonts w:hint="eastAsia" w:ascii="宋体" w:hAnsi="宋体" w:cs="TimesNewRomanPSMT"/>
          <w:kern w:val="0"/>
          <w:sz w:val="24"/>
        </w:rPr>
        <w:t>法定代表人身份证明</w:t>
      </w:r>
      <w:bookmarkEnd w:id="308"/>
      <w:bookmarkEnd w:id="309"/>
      <w:r>
        <w:rPr>
          <w:rFonts w:hint="eastAsia" w:ascii="宋体" w:hAnsi="宋体" w:cs="TimesNewRomanPSMT"/>
          <w:kern w:val="0"/>
          <w:sz w:val="24"/>
        </w:rPr>
        <w:t>书</w:t>
      </w:r>
      <w:bookmarkEnd w:id="310"/>
      <w:bookmarkEnd w:id="311"/>
      <w:bookmarkEnd w:id="312"/>
    </w:p>
    <w:p w14:paraId="46C4F7EE">
      <w:pPr>
        <w:autoSpaceDE w:val="0"/>
        <w:autoSpaceDN w:val="0"/>
        <w:adjustRightInd w:val="0"/>
        <w:spacing w:line="440" w:lineRule="exact"/>
        <w:jc w:val="left"/>
        <w:rPr>
          <w:rFonts w:hint="eastAsia" w:ascii="宋体" w:hAnsi="宋体" w:cs="宋体"/>
          <w:kern w:val="0"/>
          <w:sz w:val="24"/>
        </w:rPr>
      </w:pPr>
    </w:p>
    <w:p w14:paraId="0F9313D3">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p>
    <w:p w14:paraId="43D3D360">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单位性质：</w:t>
      </w:r>
    </w:p>
    <w:p w14:paraId="47C36AE8">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地址：</w:t>
      </w:r>
    </w:p>
    <w:p w14:paraId="1490DC3E">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成立时间：</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14:paraId="3EC36BFF">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经营期限：</w:t>
      </w:r>
    </w:p>
    <w:p w14:paraId="2CCA0CD3">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姓名：</w:t>
      </w:r>
      <w:r>
        <w:rPr>
          <w:rFonts w:ascii="宋体" w:hAnsi="宋体" w:cs="宋体"/>
          <w:kern w:val="0"/>
          <w:sz w:val="24"/>
        </w:rPr>
        <w:t xml:space="preserve"> </w:t>
      </w:r>
      <w:r>
        <w:rPr>
          <w:rFonts w:hint="eastAsia" w:ascii="宋体" w:hAnsi="宋体" w:cs="宋体"/>
          <w:kern w:val="0"/>
          <w:sz w:val="24"/>
        </w:rPr>
        <w:t>性别：</w:t>
      </w:r>
      <w:r>
        <w:rPr>
          <w:rFonts w:ascii="宋体" w:hAnsi="宋体" w:cs="宋体"/>
          <w:kern w:val="0"/>
          <w:sz w:val="24"/>
        </w:rPr>
        <w:t xml:space="preserve"> </w:t>
      </w:r>
      <w:r>
        <w:rPr>
          <w:rFonts w:hint="eastAsia" w:ascii="宋体" w:hAnsi="宋体" w:cs="宋体"/>
          <w:kern w:val="0"/>
          <w:sz w:val="24"/>
        </w:rPr>
        <w:t>年龄：</w:t>
      </w:r>
      <w:r>
        <w:rPr>
          <w:rFonts w:ascii="宋体" w:hAnsi="宋体" w:cs="宋体"/>
          <w:kern w:val="0"/>
          <w:sz w:val="24"/>
        </w:rPr>
        <w:t xml:space="preserve"> </w:t>
      </w:r>
      <w:r>
        <w:rPr>
          <w:rFonts w:hint="eastAsia" w:ascii="宋体" w:hAnsi="宋体" w:cs="宋体"/>
          <w:kern w:val="0"/>
          <w:sz w:val="24"/>
        </w:rPr>
        <w:t>职务：系</w:t>
      </w:r>
      <w:r>
        <w:rPr>
          <w:rFonts w:ascii="宋体" w:hAnsi="宋体" w:cs="宋体"/>
          <w:kern w:val="0"/>
          <w:sz w:val="24"/>
        </w:rPr>
        <w:t xml:space="preserve"> </w:t>
      </w:r>
      <w:r>
        <w:rPr>
          <w:rFonts w:hint="eastAsia" w:ascii="宋体" w:hAnsi="宋体" w:cs="宋体"/>
          <w:kern w:val="0"/>
          <w:sz w:val="24"/>
        </w:rPr>
        <w:t>（供应商名称）的法定代表人。</w:t>
      </w:r>
    </w:p>
    <w:p w14:paraId="7A0710C6">
      <w:pPr>
        <w:autoSpaceDE w:val="0"/>
        <w:autoSpaceDN w:val="0"/>
        <w:adjustRightInd w:val="0"/>
        <w:spacing w:line="440" w:lineRule="exact"/>
        <w:ind w:firstLine="480" w:firstLineChars="200"/>
        <w:jc w:val="left"/>
        <w:rPr>
          <w:rFonts w:hint="eastAsia" w:ascii="宋体" w:hAnsi="宋体" w:cs="宋体"/>
          <w:kern w:val="0"/>
          <w:sz w:val="24"/>
        </w:rPr>
      </w:pPr>
    </w:p>
    <w:p w14:paraId="181E76D7">
      <w:pPr>
        <w:autoSpaceDE w:val="0"/>
        <w:autoSpaceDN w:val="0"/>
        <w:adjustRightInd w:val="0"/>
        <w:spacing w:line="440" w:lineRule="exact"/>
        <w:ind w:firstLine="480" w:firstLineChars="200"/>
        <w:jc w:val="left"/>
        <w:rPr>
          <w:rFonts w:ascii="宋体" w:hAnsi="宋体" w:cs="宋体"/>
          <w:kern w:val="0"/>
          <w:sz w:val="24"/>
        </w:rPr>
      </w:pPr>
      <w:r>
        <w:rPr>
          <w:rFonts w:hint="eastAsia" w:ascii="宋体" w:hAnsi="宋体" w:cs="宋体"/>
          <w:kern w:val="0"/>
          <w:sz w:val="24"/>
        </w:rPr>
        <w:t>特此证明。</w:t>
      </w:r>
    </w:p>
    <w:p w14:paraId="06325AAB">
      <w:pPr>
        <w:autoSpaceDE w:val="0"/>
        <w:autoSpaceDN w:val="0"/>
        <w:adjustRightInd w:val="0"/>
        <w:spacing w:line="440" w:lineRule="exact"/>
        <w:jc w:val="left"/>
        <w:rPr>
          <w:rFonts w:hint="eastAsia" w:ascii="宋体" w:hAnsi="宋体" w:cs="宋体"/>
          <w:kern w:val="0"/>
          <w:sz w:val="24"/>
        </w:rPr>
      </w:pPr>
    </w:p>
    <w:p w14:paraId="57119531">
      <w:pPr>
        <w:autoSpaceDE w:val="0"/>
        <w:autoSpaceDN w:val="0"/>
        <w:adjustRightInd w:val="0"/>
        <w:spacing w:line="440" w:lineRule="exact"/>
        <w:jc w:val="left"/>
        <w:rPr>
          <w:rFonts w:hint="eastAsia" w:ascii="宋体" w:hAnsi="宋体" w:cs="宋体"/>
          <w:kern w:val="0"/>
          <w:sz w:val="24"/>
        </w:rPr>
      </w:pPr>
    </w:p>
    <w:p w14:paraId="46B4F58A">
      <w:pPr>
        <w:autoSpaceDE w:val="0"/>
        <w:autoSpaceDN w:val="0"/>
        <w:adjustRightInd w:val="0"/>
        <w:spacing w:line="440" w:lineRule="exact"/>
        <w:jc w:val="left"/>
        <w:rPr>
          <w:rFonts w:hint="eastAsia" w:ascii="宋体" w:hAnsi="宋体" w:cs="宋体"/>
          <w:kern w:val="0"/>
          <w:sz w:val="24"/>
        </w:rPr>
      </w:pPr>
    </w:p>
    <w:p w14:paraId="1ECED40D">
      <w:pPr>
        <w:autoSpaceDE w:val="0"/>
        <w:autoSpaceDN w:val="0"/>
        <w:adjustRightInd w:val="0"/>
        <w:spacing w:line="440" w:lineRule="exact"/>
        <w:jc w:val="left"/>
        <w:rPr>
          <w:rFonts w:hint="eastAsia" w:ascii="宋体" w:hAnsi="宋体" w:cs="宋体"/>
          <w:kern w:val="0"/>
          <w:sz w:val="24"/>
        </w:rPr>
      </w:pPr>
    </w:p>
    <w:p w14:paraId="3197D7BF">
      <w:pPr>
        <w:autoSpaceDE w:val="0"/>
        <w:autoSpaceDN w:val="0"/>
        <w:adjustRightInd w:val="0"/>
        <w:spacing w:line="440" w:lineRule="exact"/>
        <w:ind w:firstLine="4560" w:firstLineChars="1900"/>
        <w:jc w:val="left"/>
        <w:rPr>
          <w:rFonts w:hint="eastAsia" w:ascii="宋体" w:hAnsi="宋体" w:cs="宋体"/>
          <w:kern w:val="0"/>
          <w:sz w:val="24"/>
        </w:rPr>
      </w:pPr>
      <w:r>
        <w:rPr>
          <w:rFonts w:hint="eastAsia" w:ascii="宋体" w:hAnsi="宋体" w:cs="宋体"/>
          <w:kern w:val="0"/>
          <w:sz w:val="24"/>
        </w:rPr>
        <w:t>供应商：       （电子公章）</w:t>
      </w:r>
    </w:p>
    <w:p w14:paraId="48CAC3A0">
      <w:pPr>
        <w:autoSpaceDE w:val="0"/>
        <w:autoSpaceDN w:val="0"/>
        <w:adjustRightInd w:val="0"/>
        <w:spacing w:line="440" w:lineRule="exact"/>
        <w:jc w:val="left"/>
        <w:rPr>
          <w:rFonts w:hint="eastAsia" w:ascii="宋体" w:hAnsi="宋体" w:cs="宋体"/>
          <w:kern w:val="0"/>
          <w:sz w:val="24"/>
        </w:rPr>
      </w:pPr>
    </w:p>
    <w:p w14:paraId="3BF79027">
      <w:pPr>
        <w:autoSpaceDE w:val="0"/>
        <w:autoSpaceDN w:val="0"/>
        <w:adjustRightInd w:val="0"/>
        <w:spacing w:line="440" w:lineRule="exact"/>
        <w:jc w:val="left"/>
        <w:rPr>
          <w:rFonts w:hint="eastAsia" w:ascii="宋体" w:hAnsi="宋体" w:cs="宋体"/>
          <w:kern w:val="0"/>
          <w:sz w:val="24"/>
        </w:rPr>
      </w:pPr>
    </w:p>
    <w:p w14:paraId="6198A168">
      <w:pPr>
        <w:autoSpaceDE w:val="0"/>
        <w:autoSpaceDN w:val="0"/>
        <w:adjustRightInd w:val="0"/>
        <w:spacing w:line="440" w:lineRule="exact"/>
        <w:ind w:firstLine="5040" w:firstLineChars="2100"/>
        <w:jc w:val="left"/>
        <w:rPr>
          <w:rFonts w:ascii="宋体" w:hAnsi="宋体" w:cs="宋体"/>
          <w:kern w:val="0"/>
          <w:sz w:val="24"/>
        </w:rPr>
      </w:pPr>
      <w:r>
        <w:rPr>
          <w:rFonts w:hint="eastAsia" w:ascii="宋体" w:hAnsi="宋体" w:cs="宋体"/>
          <w:kern w:val="0"/>
          <w:sz w:val="24"/>
        </w:rPr>
        <w:t>年　</w:t>
      </w:r>
      <w:r>
        <w:rPr>
          <w:rFonts w:ascii="宋体" w:hAnsi="宋体" w:cs="宋体"/>
          <w:kern w:val="0"/>
          <w:sz w:val="24"/>
        </w:rPr>
        <w:t xml:space="preserve"> </w:t>
      </w:r>
      <w:r>
        <w:rPr>
          <w:rFonts w:hint="eastAsia" w:ascii="宋体" w:hAnsi="宋体" w:cs="宋体"/>
          <w:kern w:val="0"/>
          <w:sz w:val="24"/>
        </w:rPr>
        <w:t>月　</w:t>
      </w:r>
      <w:r>
        <w:rPr>
          <w:rFonts w:ascii="宋体" w:hAnsi="宋体" w:cs="宋体"/>
          <w:kern w:val="0"/>
          <w:sz w:val="24"/>
        </w:rPr>
        <w:t xml:space="preserve"> </w:t>
      </w:r>
      <w:r>
        <w:rPr>
          <w:rFonts w:hint="eastAsia" w:ascii="宋体" w:hAnsi="宋体" w:cs="宋体"/>
          <w:kern w:val="0"/>
          <w:sz w:val="24"/>
        </w:rPr>
        <w:t>日</w:t>
      </w:r>
    </w:p>
    <w:p w14:paraId="48EDBFCD">
      <w:pPr>
        <w:autoSpaceDE w:val="0"/>
        <w:autoSpaceDN w:val="0"/>
        <w:adjustRightInd w:val="0"/>
        <w:spacing w:line="440" w:lineRule="exact"/>
        <w:jc w:val="left"/>
        <w:rPr>
          <w:rFonts w:ascii="宋体" w:hAnsi="宋体" w:cs="TimesNewRomanPSMT"/>
          <w:kern w:val="0"/>
          <w:sz w:val="24"/>
        </w:rPr>
      </w:pPr>
    </w:p>
    <w:p w14:paraId="1C029D98">
      <w:pPr>
        <w:spacing w:line="440" w:lineRule="exact"/>
        <w:outlineLvl w:val="1"/>
        <w:rPr>
          <w:rFonts w:ascii="宋体" w:hAnsi="宋体"/>
          <w:b/>
          <w:sz w:val="44"/>
        </w:rPr>
      </w:pPr>
      <w:r>
        <w:rPr>
          <w:rFonts w:ascii="宋体" w:hAnsi="宋体" w:cs="宋体"/>
          <w:kern w:val="0"/>
          <w:sz w:val="24"/>
        </w:rPr>
        <w:br w:type="page"/>
      </w:r>
      <w:bookmarkStart w:id="313" w:name="_Toc28163"/>
      <w:bookmarkStart w:id="314" w:name="_Toc609"/>
      <w:bookmarkStart w:id="315" w:name="_Toc21043"/>
      <w:bookmarkStart w:id="316" w:name="_Toc9532"/>
      <w:r>
        <w:rPr>
          <w:rFonts w:hint="eastAsia" w:ascii="宋体" w:hAnsi="宋体"/>
          <w:b/>
          <w:sz w:val="24"/>
        </w:rPr>
        <w:t>附件4：</w:t>
      </w:r>
      <w:r>
        <w:rPr>
          <w:rFonts w:hint="eastAsia" w:ascii="宋体" w:hAnsi="宋体"/>
          <w:b/>
          <w:sz w:val="24"/>
          <w:lang w:val="zh-CN"/>
        </w:rPr>
        <w:t>法定代表人授权书</w:t>
      </w:r>
      <w:bookmarkEnd w:id="313"/>
      <w:bookmarkEnd w:id="314"/>
      <w:bookmarkEnd w:id="315"/>
      <w:bookmarkEnd w:id="316"/>
    </w:p>
    <w:p w14:paraId="44BCFDBE">
      <w:pPr>
        <w:spacing w:before="120" w:after="120"/>
        <w:jc w:val="center"/>
        <w:rPr>
          <w:rFonts w:ascii="宋体" w:hAnsi="宋体" w:cs="TimesNewRomanPSMT"/>
          <w:kern w:val="0"/>
          <w:sz w:val="24"/>
        </w:rPr>
      </w:pPr>
      <w:bookmarkStart w:id="317" w:name="_Toc491262988"/>
      <w:bookmarkStart w:id="318" w:name="_Toc9694"/>
      <w:bookmarkStart w:id="319" w:name="_Toc24648"/>
      <w:r>
        <w:rPr>
          <w:rFonts w:hint="eastAsia" w:ascii="宋体" w:hAnsi="宋体" w:cs="TimesNewRomanPSMT"/>
          <w:kern w:val="0"/>
          <w:sz w:val="24"/>
        </w:rPr>
        <w:t>授权委托书</w:t>
      </w:r>
      <w:bookmarkEnd w:id="317"/>
      <w:bookmarkEnd w:id="318"/>
      <w:bookmarkEnd w:id="319"/>
    </w:p>
    <w:p w14:paraId="3E5A440C">
      <w:pPr>
        <w:autoSpaceDE w:val="0"/>
        <w:autoSpaceDN w:val="0"/>
        <w:adjustRightInd w:val="0"/>
        <w:spacing w:line="440" w:lineRule="exact"/>
        <w:jc w:val="left"/>
        <w:rPr>
          <w:rFonts w:hint="eastAsia" w:ascii="宋体" w:hAnsi="宋体" w:cs="宋体"/>
          <w:kern w:val="0"/>
          <w:sz w:val="24"/>
        </w:rPr>
      </w:pPr>
    </w:p>
    <w:p w14:paraId="5ECC3A8D">
      <w:pPr>
        <w:spacing w:line="360" w:lineRule="auto"/>
        <w:rPr>
          <w:rFonts w:hint="eastAsia" w:ascii="宋体" w:hAnsi="宋体" w:cs="宋体"/>
          <w:sz w:val="24"/>
          <w:u w:val="single"/>
        </w:rPr>
      </w:pPr>
    </w:p>
    <w:p w14:paraId="2902DD03">
      <w:pPr>
        <w:spacing w:line="360" w:lineRule="auto"/>
        <w:rPr>
          <w:rFonts w:hint="eastAsia" w:ascii="宋体" w:hAnsi="宋体" w:cs="宋体"/>
          <w:sz w:val="24"/>
        </w:rPr>
      </w:pPr>
      <w:r>
        <w:rPr>
          <w:rFonts w:hint="eastAsia" w:ascii="宋体" w:hAnsi="宋体" w:cs="宋体"/>
          <w:sz w:val="24"/>
          <w:u w:val="single"/>
        </w:rPr>
        <w:t xml:space="preserve">（供应商名称）  </w:t>
      </w:r>
      <w:r>
        <w:rPr>
          <w:rFonts w:hint="eastAsia" w:ascii="宋体" w:hAnsi="宋体" w:cs="宋体"/>
          <w:sz w:val="24"/>
        </w:rPr>
        <w:t>系中华人民共和国合法企业，法定地址</w:t>
      </w:r>
      <w:r>
        <w:rPr>
          <w:rFonts w:hint="eastAsia" w:ascii="宋体" w:hAnsi="宋体" w:cs="宋体"/>
          <w:sz w:val="24"/>
          <w:u w:val="single"/>
        </w:rPr>
        <w:t xml:space="preserve">              </w:t>
      </w:r>
      <w:r>
        <w:rPr>
          <w:rFonts w:hint="eastAsia" w:ascii="宋体" w:hAnsi="宋体" w:cs="宋体"/>
          <w:sz w:val="24"/>
        </w:rPr>
        <w:t>。</w:t>
      </w:r>
    </w:p>
    <w:p w14:paraId="32486E25">
      <w:pPr>
        <w:spacing w:line="360" w:lineRule="auto"/>
        <w:rPr>
          <w:rFonts w:hint="eastAsia" w:ascii="宋体" w:hAnsi="宋体" w:cs="宋体"/>
          <w:sz w:val="24"/>
        </w:rPr>
      </w:pPr>
      <w:r>
        <w:rPr>
          <w:rFonts w:hint="eastAsia" w:ascii="宋体" w:hAnsi="宋体" w:cs="宋体"/>
          <w:sz w:val="24"/>
          <w:u w:val="single"/>
        </w:rPr>
        <w:t xml:space="preserve">（法定代表人姓名）   </w:t>
      </w:r>
      <w:r>
        <w:rPr>
          <w:rFonts w:hint="eastAsia" w:ascii="宋体" w:hAnsi="宋体" w:cs="宋体"/>
          <w:sz w:val="24"/>
        </w:rPr>
        <w:t>特授权</w:t>
      </w:r>
      <w:r>
        <w:rPr>
          <w:rFonts w:hint="eastAsia" w:ascii="宋体" w:hAnsi="宋体" w:cs="宋体"/>
          <w:sz w:val="24"/>
          <w:u w:val="single"/>
        </w:rPr>
        <w:t xml:space="preserve"> （委托代理人姓名）    </w:t>
      </w:r>
      <w:r>
        <w:rPr>
          <w:rFonts w:hint="eastAsia" w:ascii="宋体" w:hAnsi="宋体" w:cs="宋体"/>
          <w:sz w:val="24"/>
        </w:rPr>
        <w:t>代表我单位全权办理针对</w:t>
      </w:r>
      <w:r>
        <w:rPr>
          <w:rFonts w:hint="eastAsia" w:ascii="宋体" w:hAnsi="宋体" w:cs="宋体"/>
          <w:sz w:val="24"/>
          <w:u w:val="single"/>
        </w:rPr>
        <w:t xml:space="preserve">                </w:t>
      </w:r>
      <w:r>
        <w:rPr>
          <w:rFonts w:hint="eastAsia" w:ascii="宋体" w:hAnsi="宋体" w:cs="宋体"/>
          <w:sz w:val="24"/>
        </w:rPr>
        <w:t>项目的询比、答疑等具体工作，并签署全部有关的文件、资料。</w:t>
      </w:r>
    </w:p>
    <w:p w14:paraId="4D8CC331">
      <w:pPr>
        <w:spacing w:line="360" w:lineRule="auto"/>
        <w:rPr>
          <w:rFonts w:hint="eastAsia" w:ascii="宋体" w:hAnsi="宋体" w:cs="宋体"/>
          <w:sz w:val="24"/>
        </w:rPr>
      </w:pPr>
      <w:r>
        <w:rPr>
          <w:rFonts w:hint="eastAsia" w:ascii="宋体" w:hAnsi="宋体" w:cs="宋体"/>
          <w:sz w:val="24"/>
        </w:rPr>
        <w:t>我单位对被授权人的签名负全部责任。</w:t>
      </w:r>
    </w:p>
    <w:p w14:paraId="24C9C63E">
      <w:pPr>
        <w:spacing w:line="360" w:lineRule="auto"/>
        <w:rPr>
          <w:rFonts w:hint="eastAsia" w:ascii="宋体" w:hAnsi="宋体" w:cs="宋体"/>
          <w:sz w:val="24"/>
        </w:rPr>
      </w:pPr>
      <w:r>
        <w:rPr>
          <w:rFonts w:hint="eastAsia" w:ascii="宋体" w:hAnsi="宋体" w:cs="宋体"/>
          <w:sz w:val="24"/>
        </w:rPr>
        <w:t>在撤销授权的书面通知以前，本授权书一直有效，被授权人签署的所有文件（在授权书有效期内签署的）不因授权的撤销而失效。</w:t>
      </w:r>
    </w:p>
    <w:p w14:paraId="0C1075A1">
      <w:pPr>
        <w:spacing w:line="360" w:lineRule="auto"/>
        <w:rPr>
          <w:rFonts w:hint="eastAsia" w:ascii="宋体" w:hAnsi="宋体" w:cs="宋体"/>
          <w:sz w:val="24"/>
        </w:rPr>
      </w:pPr>
    </w:p>
    <w:p w14:paraId="206C2038">
      <w:pPr>
        <w:spacing w:line="360" w:lineRule="auto"/>
        <w:rPr>
          <w:rFonts w:hint="eastAsia" w:ascii="宋体" w:hAnsi="宋体" w:cs="宋体"/>
          <w:sz w:val="24"/>
        </w:rPr>
      </w:pPr>
      <w:r>
        <w:rPr>
          <w:rFonts w:hint="eastAsia" w:ascii="宋体" w:hAnsi="宋体" w:cs="宋体"/>
          <w:sz w:val="24"/>
        </w:rPr>
        <w:t>授权期限：自</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日止。（自响应文件递交截止之日起，满足询比有效期）</w:t>
      </w:r>
    </w:p>
    <w:p w14:paraId="6294C33D">
      <w:pPr>
        <w:spacing w:line="360" w:lineRule="auto"/>
        <w:rPr>
          <w:rFonts w:hint="eastAsia" w:ascii="宋体" w:hAnsi="宋体" w:cs="宋体"/>
          <w:sz w:val="24"/>
        </w:rPr>
      </w:pPr>
      <w:r>
        <w:rPr>
          <w:rFonts w:hint="eastAsia" w:ascii="宋体" w:hAnsi="宋体" w:cs="宋体"/>
          <w:sz w:val="24"/>
        </w:rPr>
        <w:t>被授权人联系电话：</w:t>
      </w:r>
      <w:r>
        <w:rPr>
          <w:rFonts w:hint="eastAsia" w:ascii="宋体" w:hAnsi="宋体" w:cs="宋体"/>
          <w:sz w:val="24"/>
          <w:u w:val="single"/>
        </w:rPr>
        <w:t xml:space="preserve">           </w:t>
      </w:r>
    </w:p>
    <w:p w14:paraId="0DFF9926">
      <w:pPr>
        <w:spacing w:line="360" w:lineRule="auto"/>
        <w:rPr>
          <w:rFonts w:hint="eastAsia" w:ascii="宋体" w:hAnsi="宋体" w:cs="宋体"/>
          <w:sz w:val="24"/>
        </w:rPr>
      </w:pPr>
    </w:p>
    <w:p w14:paraId="68995BCF">
      <w:pPr>
        <w:spacing w:line="360" w:lineRule="auto"/>
        <w:rPr>
          <w:rFonts w:hint="eastAsia" w:ascii="宋体" w:hAnsi="宋体" w:cs="宋体"/>
          <w:sz w:val="24"/>
        </w:rPr>
      </w:pPr>
    </w:p>
    <w:p w14:paraId="05C7456D">
      <w:pPr>
        <w:spacing w:line="360" w:lineRule="auto"/>
        <w:rPr>
          <w:rFonts w:hint="eastAsia" w:ascii="宋体" w:hAnsi="宋体" w:cs="宋体"/>
          <w:sz w:val="24"/>
          <w:u w:val="single"/>
        </w:rPr>
      </w:pPr>
      <w:r>
        <w:rPr>
          <w:rFonts w:hint="eastAsia" w:ascii="宋体" w:hAnsi="宋体" w:cs="宋体"/>
          <w:sz w:val="24"/>
        </w:rPr>
        <w:t>被授权人（委托代理人）签字或签章：</w:t>
      </w:r>
      <w:r>
        <w:rPr>
          <w:rFonts w:hint="eastAsia" w:ascii="宋体" w:hAnsi="宋体" w:cs="宋体"/>
          <w:sz w:val="24"/>
          <w:u w:val="single"/>
        </w:rPr>
        <w:t xml:space="preserve">      </w:t>
      </w:r>
      <w:r>
        <w:rPr>
          <w:rFonts w:hint="eastAsia" w:ascii="宋体" w:hAnsi="宋体" w:cs="宋体"/>
          <w:sz w:val="24"/>
        </w:rPr>
        <w:t xml:space="preserve">   授权人（法定代表人）签字或签章：</w:t>
      </w:r>
      <w:r>
        <w:rPr>
          <w:rFonts w:hint="eastAsia" w:ascii="宋体" w:hAnsi="宋体" w:cs="宋体"/>
          <w:sz w:val="24"/>
          <w:u w:val="single"/>
        </w:rPr>
        <w:t xml:space="preserve">      </w:t>
      </w:r>
    </w:p>
    <w:p w14:paraId="220A03DA">
      <w:pPr>
        <w:spacing w:line="360" w:lineRule="auto"/>
        <w:rPr>
          <w:rFonts w:hint="eastAsia" w:ascii="宋体" w:hAnsi="宋体" w:cs="宋体"/>
          <w:sz w:val="24"/>
        </w:rPr>
      </w:pP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236D76EF">
      <w:pPr>
        <w:autoSpaceDE w:val="0"/>
        <w:autoSpaceDN w:val="0"/>
        <w:spacing w:line="360" w:lineRule="auto"/>
        <w:jc w:val="left"/>
        <w:rPr>
          <w:rFonts w:hint="eastAsia" w:ascii="宋体" w:hAnsi="宋体" w:cs="宋体"/>
          <w:sz w:val="24"/>
        </w:rPr>
      </w:pPr>
      <w:r>
        <w:rPr>
          <w:rFonts w:hint="eastAsia" w:ascii="宋体" w:hAnsi="宋体" w:cs="宋体"/>
          <w:sz w:val="24"/>
        </w:rPr>
        <w:t>附被授权人第二代身份证双面扫描（或复印）件</w:t>
      </w:r>
    </w:p>
    <w:p w14:paraId="23A7222D">
      <w:pPr>
        <w:spacing w:line="360" w:lineRule="auto"/>
        <w:rPr>
          <w:rFonts w:hint="eastAsia" w:ascii="宋体" w:hAnsi="宋体" w:cs="宋体"/>
          <w:sz w:val="24"/>
        </w:rPr>
      </w:pPr>
    </w:p>
    <w:p w14:paraId="314A08B6">
      <w:pPr>
        <w:spacing w:line="360" w:lineRule="auto"/>
        <w:rPr>
          <w:rFonts w:hint="eastAsia" w:ascii="宋体" w:hAnsi="宋体" w:cs="宋体"/>
          <w:sz w:val="24"/>
        </w:rPr>
      </w:pPr>
    </w:p>
    <w:p w14:paraId="687EF91A">
      <w:pPr>
        <w:autoSpaceDE w:val="0"/>
        <w:autoSpaceDN w:val="0"/>
        <w:adjustRightInd w:val="0"/>
        <w:spacing w:line="460" w:lineRule="exact"/>
        <w:jc w:val="left"/>
        <w:rPr>
          <w:rFonts w:hint="eastAsia" w:ascii="宋体" w:hAnsi="宋体" w:cs="宋体"/>
          <w:kern w:val="0"/>
          <w:sz w:val="24"/>
        </w:rPr>
      </w:pPr>
    </w:p>
    <w:p w14:paraId="10532E1A">
      <w:pPr>
        <w:autoSpaceDE w:val="0"/>
        <w:autoSpaceDN w:val="0"/>
        <w:adjustRightInd w:val="0"/>
        <w:spacing w:line="460" w:lineRule="exact"/>
        <w:jc w:val="left"/>
        <w:rPr>
          <w:rFonts w:hint="eastAsia" w:ascii="宋体" w:hAnsi="宋体" w:cs="宋体"/>
          <w:kern w:val="0"/>
          <w:sz w:val="24"/>
        </w:rPr>
      </w:pPr>
    </w:p>
    <w:p w14:paraId="3E06D957">
      <w:pPr>
        <w:autoSpaceDE w:val="0"/>
        <w:autoSpaceDN w:val="0"/>
        <w:adjustRightInd w:val="0"/>
        <w:spacing w:line="460" w:lineRule="exact"/>
        <w:jc w:val="left"/>
        <w:rPr>
          <w:rFonts w:hint="eastAsia" w:ascii="宋体" w:hAnsi="宋体" w:cs="宋体"/>
          <w:kern w:val="0"/>
          <w:sz w:val="24"/>
        </w:rPr>
      </w:pPr>
    </w:p>
    <w:p w14:paraId="5FAF5C0A">
      <w:pPr>
        <w:autoSpaceDE w:val="0"/>
        <w:autoSpaceDN w:val="0"/>
        <w:adjustRightInd w:val="0"/>
        <w:spacing w:line="460" w:lineRule="exact"/>
        <w:ind w:firstLine="4200" w:firstLineChars="1750"/>
        <w:jc w:val="left"/>
        <w:rPr>
          <w:rFonts w:hint="eastAsia" w:ascii="宋体" w:hAnsi="宋体" w:cs="宋体"/>
          <w:kern w:val="0"/>
          <w:sz w:val="24"/>
        </w:rPr>
      </w:pPr>
      <w:r>
        <w:rPr>
          <w:rFonts w:hint="eastAsia" w:ascii="宋体" w:hAnsi="宋体" w:cs="宋体"/>
          <w:kern w:val="0"/>
          <w:sz w:val="24"/>
        </w:rPr>
        <w:t>供应商：       （电子公章）</w:t>
      </w:r>
    </w:p>
    <w:p w14:paraId="782C480C">
      <w:pPr>
        <w:autoSpaceDE w:val="0"/>
        <w:autoSpaceDN w:val="0"/>
        <w:adjustRightInd w:val="0"/>
        <w:spacing w:line="460" w:lineRule="exact"/>
        <w:jc w:val="left"/>
        <w:rPr>
          <w:rFonts w:hint="eastAsia" w:ascii="宋体" w:hAnsi="宋体" w:cs="宋体"/>
          <w:kern w:val="0"/>
          <w:sz w:val="24"/>
        </w:rPr>
      </w:pPr>
    </w:p>
    <w:p w14:paraId="78B0F40E">
      <w:pPr>
        <w:autoSpaceDE w:val="0"/>
        <w:autoSpaceDN w:val="0"/>
        <w:adjustRightInd w:val="0"/>
        <w:spacing w:line="460" w:lineRule="exact"/>
        <w:jc w:val="left"/>
        <w:rPr>
          <w:rFonts w:hint="eastAsia" w:ascii="宋体" w:hAnsi="宋体" w:cs="宋体"/>
          <w:kern w:val="0"/>
          <w:sz w:val="24"/>
        </w:rPr>
      </w:pPr>
    </w:p>
    <w:p w14:paraId="1BEB8287">
      <w:pPr>
        <w:autoSpaceDE w:val="0"/>
        <w:autoSpaceDN w:val="0"/>
        <w:adjustRightInd w:val="0"/>
        <w:spacing w:line="460" w:lineRule="exact"/>
        <w:jc w:val="center"/>
        <w:rPr>
          <w:rFonts w:hint="eastAsia" w:ascii="宋体" w:hAnsi="宋体" w:cs="宋体"/>
          <w:kern w:val="0"/>
          <w:sz w:val="24"/>
        </w:rPr>
      </w:pPr>
      <w:r>
        <w:rPr>
          <w:rFonts w:hint="eastAsia"/>
          <w:kern w:val="0"/>
          <w:sz w:val="24"/>
        </w:rPr>
        <w:t xml:space="preserve">                      年　</w:t>
      </w:r>
      <w:r>
        <w:rPr>
          <w:kern w:val="0"/>
          <w:sz w:val="24"/>
        </w:rPr>
        <w:t xml:space="preserve"> </w:t>
      </w:r>
      <w:r>
        <w:rPr>
          <w:rFonts w:hint="eastAsia"/>
          <w:kern w:val="0"/>
          <w:sz w:val="24"/>
        </w:rPr>
        <w:t>月</w:t>
      </w:r>
      <w:r>
        <w:rPr>
          <w:kern w:val="0"/>
          <w:sz w:val="24"/>
        </w:rPr>
        <w:t xml:space="preserve"> </w:t>
      </w:r>
      <w:r>
        <w:rPr>
          <w:rFonts w:hint="eastAsia"/>
          <w:kern w:val="0"/>
          <w:sz w:val="24"/>
        </w:rPr>
        <w:t>　日</w:t>
      </w:r>
    </w:p>
    <w:p w14:paraId="69F22229">
      <w:pPr>
        <w:pStyle w:val="92"/>
        <w:widowControl/>
        <w:ind w:firstLine="0" w:firstLineChars="0"/>
        <w:outlineLvl w:val="1"/>
        <w:rPr>
          <w:b/>
          <w:bCs/>
          <w:sz w:val="24"/>
          <w:szCs w:val="24"/>
        </w:rPr>
      </w:pPr>
      <w:bookmarkStart w:id="320" w:name="_Toc3092"/>
      <w:bookmarkStart w:id="321" w:name="_Toc491262989"/>
      <w:r>
        <w:rPr>
          <w:sz w:val="24"/>
          <w:szCs w:val="24"/>
        </w:rPr>
        <w:br w:type="page"/>
      </w:r>
      <w:bookmarkEnd w:id="294"/>
      <w:bookmarkEnd w:id="295"/>
      <w:bookmarkEnd w:id="296"/>
      <w:bookmarkEnd w:id="320"/>
      <w:bookmarkEnd w:id="321"/>
      <w:bookmarkStart w:id="322" w:name="_Toc2647"/>
      <w:bookmarkStart w:id="323" w:name="_Toc2793"/>
      <w:bookmarkStart w:id="324" w:name="_Toc6542"/>
      <w:bookmarkStart w:id="325" w:name="_Toc13633"/>
      <w:bookmarkStart w:id="326" w:name="_Toc22823"/>
      <w:bookmarkStart w:id="327" w:name="_Toc19130"/>
      <w:bookmarkStart w:id="328" w:name="_Toc13868"/>
      <w:bookmarkStart w:id="329" w:name="_Toc743"/>
      <w:r>
        <w:rPr>
          <w:rFonts w:cs="宋体"/>
          <w:b/>
          <w:bCs/>
          <w:sz w:val="24"/>
          <w:szCs w:val="24"/>
        </w:rPr>
        <w:t>附件5：</w:t>
      </w:r>
      <w:bookmarkEnd w:id="322"/>
      <w:bookmarkEnd w:id="323"/>
      <w:bookmarkEnd w:id="324"/>
      <w:r>
        <w:rPr>
          <w:rFonts w:cs="宋体"/>
          <w:b/>
          <w:bCs/>
          <w:sz w:val="24"/>
          <w:szCs w:val="24"/>
        </w:rPr>
        <w:t>资格证明材料</w:t>
      </w:r>
      <w:bookmarkEnd w:id="325"/>
    </w:p>
    <w:p w14:paraId="6456DBF0">
      <w:pPr>
        <w:spacing w:line="360" w:lineRule="auto"/>
        <w:rPr>
          <w:rFonts w:ascii="宋体"/>
          <w:sz w:val="24"/>
        </w:rPr>
      </w:pPr>
    </w:p>
    <w:p w14:paraId="3B51DC36">
      <w:pPr>
        <w:spacing w:line="360" w:lineRule="auto"/>
        <w:jc w:val="center"/>
        <w:rPr>
          <w:rFonts w:ascii="宋体"/>
          <w:b/>
          <w:bCs/>
          <w:sz w:val="24"/>
        </w:rPr>
      </w:pPr>
      <w:r>
        <w:rPr>
          <w:rFonts w:hint="eastAsia" w:ascii="宋体" w:hAnsi="宋体" w:cs="宋体"/>
          <w:b/>
          <w:bCs/>
          <w:sz w:val="24"/>
        </w:rPr>
        <w:t>资格证明材料</w:t>
      </w:r>
    </w:p>
    <w:p w14:paraId="6F8821F0">
      <w:pPr>
        <w:autoSpaceDE w:val="0"/>
        <w:autoSpaceDN w:val="0"/>
        <w:spacing w:line="360" w:lineRule="auto"/>
        <w:rPr>
          <w:rFonts w:ascii="宋体"/>
          <w:sz w:val="24"/>
          <w:lang w:val="zh-CN"/>
        </w:rPr>
      </w:pPr>
    </w:p>
    <w:p w14:paraId="13C6BF68">
      <w:pPr>
        <w:spacing w:line="360" w:lineRule="auto"/>
        <w:ind w:firstLine="480" w:firstLineChars="200"/>
        <w:rPr>
          <w:rFonts w:hint="eastAsia" w:ascii="宋体" w:hAnsi="宋体" w:cs="宋体"/>
          <w:sz w:val="24"/>
        </w:rPr>
      </w:pPr>
      <w:r>
        <w:rPr>
          <w:rFonts w:hint="eastAsia" w:ascii="宋体" w:hAnsi="宋体" w:cs="宋体"/>
          <w:sz w:val="24"/>
        </w:rPr>
        <w:t>资格证明材料包括：</w:t>
      </w:r>
    </w:p>
    <w:p w14:paraId="1033513B">
      <w:pPr>
        <w:spacing w:line="360" w:lineRule="auto"/>
        <w:ind w:firstLine="480" w:firstLineChars="200"/>
        <w:rPr>
          <w:rFonts w:hint="eastAsia" w:ascii="宋体" w:hAnsi="宋体" w:cs="宋体"/>
          <w:sz w:val="24"/>
        </w:rPr>
      </w:pPr>
      <w:r>
        <w:rPr>
          <w:rFonts w:hint="eastAsia" w:ascii="宋体" w:hAnsi="宋体" w:cs="宋体"/>
          <w:sz w:val="24"/>
        </w:rPr>
        <w:t>（1）企业法人营业执照；</w:t>
      </w:r>
    </w:p>
    <w:p w14:paraId="4D9012F9">
      <w:pPr>
        <w:spacing w:line="360" w:lineRule="auto"/>
        <w:ind w:firstLine="480" w:firstLineChars="200"/>
        <w:rPr>
          <w:rFonts w:hint="eastAsia" w:ascii="宋体" w:hAnsi="宋体" w:cs="宋体"/>
          <w:sz w:val="24"/>
        </w:rPr>
      </w:pPr>
      <w:r>
        <w:rPr>
          <w:rFonts w:hint="eastAsia" w:ascii="宋体" w:hAnsi="宋体" w:cs="宋体"/>
          <w:sz w:val="24"/>
        </w:rPr>
        <w:t>（2）采购文件规定的有关资格证书或相关证件等；</w:t>
      </w:r>
    </w:p>
    <w:p w14:paraId="0FF4F38D">
      <w:pPr>
        <w:spacing w:line="360" w:lineRule="auto"/>
        <w:ind w:firstLine="480" w:firstLineChars="200"/>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投标企业简介及获得相关证书证明文件；</w:t>
      </w:r>
    </w:p>
    <w:p w14:paraId="08F4B7C1">
      <w:pPr>
        <w:spacing w:line="360" w:lineRule="auto"/>
        <w:ind w:firstLine="480" w:firstLineChars="200"/>
        <w:rPr>
          <w:rFonts w:hint="eastAsia"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供应商认为有必要提供的其他资格证明文件。</w:t>
      </w:r>
    </w:p>
    <w:p w14:paraId="63B43480">
      <w:pPr>
        <w:widowControl/>
        <w:snapToGrid w:val="0"/>
        <w:spacing w:line="360" w:lineRule="auto"/>
        <w:rPr>
          <w:rFonts w:hint="eastAsia" w:ascii="宋体" w:hAnsi="宋体" w:cs="宋体"/>
          <w:b/>
          <w:smallCaps/>
          <w:spacing w:val="20"/>
          <w:sz w:val="28"/>
          <w:szCs w:val="28"/>
        </w:rPr>
      </w:pPr>
    </w:p>
    <w:p w14:paraId="563B01AA">
      <w:pPr>
        <w:spacing w:line="400" w:lineRule="exact"/>
        <w:rPr>
          <w:rFonts w:hint="eastAsia" w:ascii="宋体" w:hAnsi="宋体" w:cs="宋体"/>
          <w:b/>
          <w:sz w:val="36"/>
          <w:szCs w:val="36"/>
        </w:rPr>
      </w:pPr>
    </w:p>
    <w:p w14:paraId="0CCB29E6">
      <w:pPr>
        <w:pStyle w:val="92"/>
        <w:widowControl/>
        <w:ind w:firstLine="0" w:firstLineChars="0"/>
        <w:outlineLvl w:val="1"/>
        <w:rPr>
          <w:rFonts w:cs="宋体"/>
          <w:sz w:val="28"/>
          <w:szCs w:val="24"/>
        </w:rPr>
      </w:pPr>
      <w:r>
        <w:rPr>
          <w:rFonts w:cs="宋体"/>
          <w:b/>
          <w:lang w:bidi="ar"/>
        </w:rPr>
        <w:br w:type="page"/>
      </w:r>
      <w:bookmarkEnd w:id="326"/>
      <w:bookmarkEnd w:id="327"/>
      <w:bookmarkEnd w:id="328"/>
      <w:bookmarkStart w:id="330" w:name="_Toc29823"/>
      <w:bookmarkStart w:id="331" w:name="_Toc23165"/>
      <w:bookmarkStart w:id="332" w:name="_Toc27028"/>
      <w:bookmarkStart w:id="333" w:name="_Toc22055"/>
      <w:bookmarkStart w:id="334" w:name="_Toc16728"/>
      <w:bookmarkStart w:id="335" w:name="_Toc14608"/>
      <w:bookmarkStart w:id="336" w:name="_Toc29017"/>
      <w:r>
        <w:rPr>
          <w:rFonts w:cs="宋体"/>
          <w:b/>
          <w:bCs/>
          <w:sz w:val="24"/>
          <w:szCs w:val="24"/>
        </w:rPr>
        <w:t>附件6：</w:t>
      </w:r>
      <w:bookmarkEnd w:id="330"/>
      <w:bookmarkEnd w:id="331"/>
      <w:bookmarkEnd w:id="332"/>
      <w:bookmarkEnd w:id="333"/>
      <w:r>
        <w:rPr>
          <w:rFonts w:cs="宋体"/>
          <w:b/>
          <w:bCs/>
          <w:sz w:val="24"/>
          <w:szCs w:val="24"/>
        </w:rPr>
        <w:t>响应保证金</w:t>
      </w:r>
      <w:bookmarkEnd w:id="334"/>
    </w:p>
    <w:p w14:paraId="713A69BE">
      <w:pPr>
        <w:autoSpaceDE w:val="0"/>
        <w:autoSpaceDN w:val="0"/>
        <w:adjustRightInd w:val="0"/>
        <w:spacing w:line="400" w:lineRule="exact"/>
        <w:ind w:firstLine="480" w:firstLineChars="200"/>
        <w:jc w:val="left"/>
        <w:rPr>
          <w:rFonts w:hint="eastAsia" w:ascii="宋体" w:hAnsi="宋体" w:cs="宋体"/>
          <w:kern w:val="0"/>
          <w:sz w:val="24"/>
        </w:rPr>
      </w:pPr>
      <w:bookmarkStart w:id="337" w:name="_Toc26290"/>
      <w:bookmarkStart w:id="338" w:name="_Toc20990"/>
      <w:bookmarkStart w:id="339" w:name="_Toc19377"/>
      <w:bookmarkStart w:id="340" w:name="_Toc15059"/>
      <w:r>
        <w:rPr>
          <w:rFonts w:hint="eastAsia" w:ascii="宋体" w:hAnsi="宋体" w:cs="宋体"/>
          <w:kern w:val="0"/>
          <w:sz w:val="24"/>
        </w:rPr>
        <w:t>附响应保证金汇出凭据复印件（并加盖公章）。</w:t>
      </w:r>
    </w:p>
    <w:p w14:paraId="032436C9">
      <w:pPr>
        <w:autoSpaceDE w:val="0"/>
        <w:autoSpaceDN w:val="0"/>
        <w:adjustRightInd w:val="0"/>
        <w:spacing w:line="400" w:lineRule="exact"/>
        <w:ind w:firstLine="480" w:firstLineChars="200"/>
        <w:jc w:val="left"/>
        <w:rPr>
          <w:rFonts w:hint="eastAsia" w:ascii="宋体" w:hAnsi="宋体" w:cs="宋体"/>
          <w:kern w:val="0"/>
          <w:sz w:val="24"/>
        </w:rPr>
      </w:pPr>
      <w:r>
        <w:rPr>
          <w:rFonts w:hint="eastAsia" w:ascii="宋体" w:hAnsi="宋体" w:cs="宋体"/>
          <w:kern w:val="0"/>
          <w:sz w:val="24"/>
        </w:rPr>
        <w:t>如采用银行保函，格式自拟。</w:t>
      </w:r>
    </w:p>
    <w:p w14:paraId="6E7AA104">
      <w:pPr>
        <w:pStyle w:val="92"/>
        <w:widowControl/>
        <w:ind w:firstLine="0" w:firstLineChars="0"/>
        <w:outlineLvl w:val="1"/>
        <w:rPr>
          <w:rFonts w:cs="宋体"/>
          <w:b/>
          <w:sz w:val="28"/>
          <w:szCs w:val="32"/>
          <w:lang w:bidi="ar"/>
        </w:rPr>
      </w:pPr>
      <w:r>
        <w:rPr>
          <w:rFonts w:cs="宋体"/>
          <w:sz w:val="30"/>
          <w:szCs w:val="30"/>
        </w:rPr>
        <w:br w:type="page"/>
      </w:r>
      <w:bookmarkStart w:id="341" w:name="_Toc11724"/>
      <w:bookmarkStart w:id="342" w:name="_Toc2197"/>
      <w:bookmarkStart w:id="343" w:name="_Toc20736"/>
      <w:bookmarkStart w:id="344" w:name="_Toc3250"/>
      <w:r>
        <w:rPr>
          <w:rFonts w:cs="宋体"/>
          <w:b/>
          <w:bCs/>
          <w:sz w:val="24"/>
          <w:szCs w:val="24"/>
        </w:rPr>
        <w:t>附件7: 类似项目业绩</w:t>
      </w:r>
      <w:bookmarkEnd w:id="341"/>
      <w:bookmarkEnd w:id="342"/>
      <w:bookmarkEnd w:id="343"/>
      <w:bookmarkEnd w:id="344"/>
    </w:p>
    <w:p w14:paraId="3318D455">
      <w:pPr>
        <w:autoSpaceDE w:val="0"/>
        <w:autoSpaceDN w:val="0"/>
        <w:spacing w:line="360" w:lineRule="auto"/>
        <w:jc w:val="center"/>
        <w:rPr>
          <w:rFonts w:hint="eastAsia" w:ascii="宋体" w:hAnsi="宋体" w:cs="宋体"/>
          <w:b/>
          <w:bCs/>
          <w:kern w:val="0"/>
          <w:sz w:val="36"/>
          <w:szCs w:val="36"/>
          <w:lang w:val="zh-CN"/>
        </w:rPr>
      </w:pPr>
      <w:r>
        <w:rPr>
          <w:rFonts w:hint="eastAsia" w:ascii="宋体" w:hAnsi="宋体" w:cs="宋体"/>
          <w:b/>
          <w:bCs/>
          <w:kern w:val="0"/>
          <w:sz w:val="28"/>
          <w:szCs w:val="28"/>
          <w:lang w:val="zh-CN"/>
        </w:rPr>
        <w:t>供应商的类似业绩证明材料</w:t>
      </w:r>
    </w:p>
    <w:p w14:paraId="5DE3CC9C">
      <w:pPr>
        <w:spacing w:line="400" w:lineRule="exact"/>
        <w:jc w:val="center"/>
        <w:rPr>
          <w:rFonts w:hint="eastAsia" w:ascii="宋体" w:hAnsi="宋体" w:cs="宋体"/>
          <w:b/>
          <w:kern w:val="0"/>
          <w:sz w:val="28"/>
          <w:szCs w:val="32"/>
          <w:lang w:bidi="ar"/>
        </w:rPr>
      </w:pPr>
    </w:p>
    <w:p w14:paraId="4C2C4DF6">
      <w:pPr>
        <w:pStyle w:val="30"/>
        <w:numPr>
          <w:ilvl w:val="0"/>
          <w:numId w:val="4"/>
        </w:numPr>
        <w:spacing w:before="0" w:after="0" w:line="360" w:lineRule="auto"/>
        <w:jc w:val="left"/>
        <w:outlineLvl w:val="9"/>
        <w:rPr>
          <w:rFonts w:hint="eastAsia" w:ascii="宋体" w:hAnsi="宋体" w:cs="宋体"/>
          <w:kern w:val="0"/>
          <w:sz w:val="24"/>
          <w:lang w:val="zh-CN"/>
        </w:rPr>
      </w:pPr>
      <w:r>
        <w:rPr>
          <w:rFonts w:hint="eastAsia" w:ascii="宋体" w:hAnsi="宋体" w:cs="宋体"/>
          <w:kern w:val="0"/>
          <w:sz w:val="24"/>
          <w:lang w:val="zh-CN"/>
        </w:rPr>
        <w:t>提供自</w:t>
      </w:r>
      <w:r>
        <w:rPr>
          <w:rFonts w:hint="eastAsia" w:ascii="宋体" w:hAnsi="宋体" w:cs="宋体"/>
          <w:kern w:val="0"/>
          <w:sz w:val="24"/>
          <w:u w:val="single"/>
        </w:rPr>
        <w:t>2024</w:t>
      </w:r>
      <w:r>
        <w:rPr>
          <w:rFonts w:hint="eastAsia" w:ascii="宋体" w:hAnsi="宋体" w:cs="宋体"/>
          <w:kern w:val="0"/>
          <w:sz w:val="24"/>
          <w:lang w:val="zh-CN"/>
        </w:rPr>
        <w:t>年</w:t>
      </w:r>
      <w:r>
        <w:rPr>
          <w:rFonts w:hint="eastAsia" w:ascii="宋体" w:hAnsi="宋体" w:cs="宋体"/>
          <w:kern w:val="0"/>
          <w:sz w:val="24"/>
        </w:rPr>
        <w:t>1月1日至今</w:t>
      </w:r>
      <w:r>
        <w:rPr>
          <w:rFonts w:hint="eastAsia" w:ascii="宋体" w:hAnsi="宋体" w:cs="宋体"/>
          <w:kern w:val="0"/>
          <w:sz w:val="24"/>
          <w:lang w:val="zh-CN"/>
        </w:rPr>
        <w:t>的类似</w:t>
      </w:r>
      <w:r>
        <w:rPr>
          <w:rFonts w:hint="eastAsia" w:ascii="宋体" w:hAnsi="宋体" w:cs="宋体"/>
          <w:kern w:val="0"/>
          <w:sz w:val="24"/>
          <w:lang w:val="en-US" w:eastAsia="zh-CN"/>
        </w:rPr>
        <w:t>工程设计</w:t>
      </w:r>
      <w:r>
        <w:rPr>
          <w:rFonts w:hint="eastAsia" w:ascii="宋体" w:hAnsi="宋体" w:cs="宋体"/>
          <w:kern w:val="0"/>
          <w:sz w:val="24"/>
          <w:lang w:val="zh-CN"/>
        </w:rPr>
        <w:t>业绩证明材料。业绩以合同为准，须提供包含合同首页、标的及金额所在页、合同签字盖章页等资料的复印件。</w:t>
      </w:r>
    </w:p>
    <w:p w14:paraId="731D9E14">
      <w:pPr>
        <w:pStyle w:val="30"/>
        <w:spacing w:before="0" w:after="0" w:line="360" w:lineRule="auto"/>
        <w:jc w:val="left"/>
        <w:outlineLvl w:val="9"/>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2</w:t>
      </w:r>
      <w:r>
        <w:rPr>
          <w:rFonts w:hint="eastAsia" w:ascii="宋体" w:hAnsi="宋体" w:cs="宋体"/>
          <w:kern w:val="0"/>
          <w:sz w:val="24"/>
          <w:lang w:val="zh-CN"/>
        </w:rPr>
        <w:t>）提供自</w:t>
      </w:r>
      <w:r>
        <w:rPr>
          <w:rFonts w:hint="eastAsia" w:ascii="宋体" w:hAnsi="宋体" w:cs="宋体"/>
          <w:kern w:val="0"/>
          <w:sz w:val="24"/>
          <w:u w:val="single"/>
        </w:rPr>
        <w:t>2024</w:t>
      </w:r>
      <w:r>
        <w:rPr>
          <w:rFonts w:hint="eastAsia" w:ascii="宋体" w:hAnsi="宋体" w:cs="宋体"/>
          <w:kern w:val="0"/>
          <w:sz w:val="24"/>
          <w:lang w:val="zh-CN"/>
        </w:rPr>
        <w:t>年</w:t>
      </w:r>
      <w:r>
        <w:rPr>
          <w:rFonts w:hint="eastAsia" w:ascii="宋体" w:hAnsi="宋体" w:cs="宋体"/>
          <w:kern w:val="0"/>
          <w:sz w:val="24"/>
        </w:rPr>
        <w:t>1月1日至今</w:t>
      </w:r>
      <w:r>
        <w:rPr>
          <w:rFonts w:hint="eastAsia" w:ascii="宋体" w:hAnsi="宋体" w:cs="宋体"/>
          <w:kern w:val="0"/>
          <w:sz w:val="24"/>
          <w:lang w:val="zh-CN"/>
        </w:rPr>
        <w:t>的类似</w:t>
      </w:r>
      <w:r>
        <w:rPr>
          <w:rFonts w:hint="eastAsia" w:ascii="宋体" w:hAnsi="宋体" w:cs="宋体"/>
          <w:kern w:val="0"/>
          <w:sz w:val="24"/>
          <w:lang w:val="en-US" w:eastAsia="zh-CN"/>
        </w:rPr>
        <w:t>造价咨询</w:t>
      </w:r>
      <w:r>
        <w:rPr>
          <w:rFonts w:hint="eastAsia" w:ascii="宋体" w:hAnsi="宋体" w:cs="宋体"/>
          <w:kern w:val="0"/>
          <w:sz w:val="24"/>
          <w:lang w:val="zh-CN"/>
        </w:rPr>
        <w:t>业绩证明材料。业绩以合同为准，须提供包含合同首页、标的及金额所在页、合同签字盖章页等资料的复印件。</w:t>
      </w:r>
    </w:p>
    <w:p w14:paraId="5BE998D6">
      <w:pPr>
        <w:numPr>
          <w:ilvl w:val="0"/>
          <w:numId w:val="0"/>
        </w:numPr>
        <w:rPr>
          <w:rFonts w:hint="eastAsia"/>
          <w:lang w:val="zh-CN"/>
        </w:rPr>
      </w:pPr>
    </w:p>
    <w:p w14:paraId="791ED3FB">
      <w:pPr>
        <w:pStyle w:val="30"/>
        <w:spacing w:before="0" w:after="0" w:line="360" w:lineRule="auto"/>
        <w:jc w:val="left"/>
        <w:outlineLvl w:val="1"/>
        <w:rPr>
          <w:rFonts w:hint="eastAsia" w:ascii="宋体" w:hAnsi="宋体" w:cs="宋体"/>
          <w:sz w:val="30"/>
          <w:szCs w:val="30"/>
        </w:rPr>
      </w:pPr>
      <w:r>
        <w:rPr>
          <w:rFonts w:hint="eastAsia" w:ascii="宋体" w:hAnsi="宋体" w:cs="宋体"/>
          <w:kern w:val="0"/>
          <w:sz w:val="24"/>
          <w:lang w:val="zh-CN"/>
        </w:rPr>
        <w:br w:type="page"/>
      </w:r>
      <w:bookmarkStart w:id="345" w:name="_Toc19250"/>
      <w:r>
        <w:rPr>
          <w:rFonts w:hint="eastAsia" w:ascii="宋体" w:hAnsi="宋体" w:cs="宋体"/>
          <w:sz w:val="30"/>
          <w:szCs w:val="30"/>
        </w:rPr>
        <w:t>附件8：服务方案</w:t>
      </w:r>
      <w:bookmarkEnd w:id="345"/>
    </w:p>
    <w:p w14:paraId="1331F73D">
      <w:pPr>
        <w:autoSpaceDE w:val="0"/>
        <w:autoSpaceDN w:val="0"/>
        <w:adjustRightInd w:val="0"/>
        <w:spacing w:line="400" w:lineRule="exact"/>
        <w:ind w:firstLine="480" w:firstLineChars="200"/>
        <w:jc w:val="left"/>
        <w:rPr>
          <w:rFonts w:ascii="宋体" w:hAnsi="宋体" w:cs="宋体"/>
          <w:kern w:val="0"/>
          <w:sz w:val="24"/>
        </w:rPr>
      </w:pPr>
      <w:r>
        <w:rPr>
          <w:rFonts w:hint="eastAsia" w:ascii="宋体" w:hAnsi="宋体" w:cs="宋体"/>
          <w:kern w:val="0"/>
          <w:sz w:val="24"/>
        </w:rPr>
        <w:t>格式自拟</w:t>
      </w:r>
    </w:p>
    <w:p w14:paraId="7638F0E8">
      <w:pPr>
        <w:pStyle w:val="30"/>
        <w:spacing w:before="0" w:after="0" w:line="360" w:lineRule="auto"/>
        <w:jc w:val="left"/>
        <w:outlineLvl w:val="1"/>
        <w:rPr>
          <w:rFonts w:hint="eastAsia" w:ascii="宋体" w:hAnsi="宋体" w:cs="宋体"/>
          <w:sz w:val="30"/>
          <w:szCs w:val="30"/>
        </w:rPr>
      </w:pPr>
      <w:r>
        <w:rPr>
          <w:rFonts w:hint="eastAsia" w:ascii="宋体" w:hAnsi="宋体" w:cs="宋体"/>
          <w:sz w:val="30"/>
          <w:szCs w:val="30"/>
        </w:rPr>
        <w:br w:type="page"/>
      </w:r>
      <w:bookmarkStart w:id="346" w:name="_Toc21069"/>
      <w:r>
        <w:rPr>
          <w:rFonts w:hint="eastAsia" w:ascii="宋体" w:hAnsi="宋体" w:cs="宋体"/>
          <w:sz w:val="30"/>
          <w:szCs w:val="30"/>
        </w:rPr>
        <w:t>附件9：</w:t>
      </w:r>
      <w:r>
        <w:rPr>
          <w:rFonts w:hint="eastAsia" w:ascii="宋体" w:hAnsi="宋体" w:cs="宋体"/>
          <w:sz w:val="30"/>
          <w:szCs w:val="30"/>
          <w:lang w:val="zh-CN"/>
        </w:rPr>
        <w:t>供应商认为在其他方面有必要说明的事项</w:t>
      </w:r>
      <w:bookmarkEnd w:id="329"/>
      <w:bookmarkEnd w:id="335"/>
      <w:bookmarkEnd w:id="336"/>
      <w:bookmarkEnd w:id="337"/>
      <w:bookmarkEnd w:id="338"/>
      <w:bookmarkEnd w:id="339"/>
      <w:bookmarkEnd w:id="340"/>
      <w:bookmarkEnd w:id="346"/>
    </w:p>
    <w:p w14:paraId="78B00B6F">
      <w:pPr>
        <w:autoSpaceDE w:val="0"/>
        <w:autoSpaceDN w:val="0"/>
        <w:spacing w:line="360" w:lineRule="auto"/>
        <w:rPr>
          <w:rFonts w:hint="eastAsia" w:ascii="宋体" w:hAnsi="宋体" w:cs="宋体"/>
          <w:kern w:val="0"/>
          <w:sz w:val="28"/>
          <w:szCs w:val="28"/>
          <w:lang w:val="zh-CN"/>
        </w:rPr>
      </w:pPr>
    </w:p>
    <w:p w14:paraId="17A99E46">
      <w:pPr>
        <w:autoSpaceDE w:val="0"/>
        <w:autoSpaceDN w:val="0"/>
        <w:spacing w:line="360" w:lineRule="auto"/>
        <w:jc w:val="center"/>
        <w:rPr>
          <w:rFonts w:hint="eastAsia" w:ascii="宋体" w:hAnsi="宋体" w:cs="宋体"/>
          <w:sz w:val="30"/>
          <w:szCs w:val="30"/>
          <w:lang w:val="zh-CN"/>
        </w:rPr>
      </w:pPr>
      <w:r>
        <w:rPr>
          <w:rFonts w:hint="eastAsia" w:ascii="宋体" w:hAnsi="宋体" w:cs="宋体"/>
          <w:b/>
          <w:bCs/>
          <w:kern w:val="0"/>
          <w:sz w:val="28"/>
          <w:szCs w:val="28"/>
          <w:lang w:val="zh-CN"/>
        </w:rPr>
        <w:t>供应商认为在其他方面有必要说明的事项</w:t>
      </w:r>
    </w:p>
    <w:p w14:paraId="5A086ADE">
      <w:pPr>
        <w:autoSpaceDE w:val="0"/>
        <w:autoSpaceDN w:val="0"/>
        <w:spacing w:line="360" w:lineRule="auto"/>
        <w:rPr>
          <w:rFonts w:hint="eastAsia" w:ascii="宋体" w:hAnsi="宋体" w:cs="宋体"/>
        </w:rPr>
      </w:pPr>
      <w:r>
        <w:rPr>
          <w:rFonts w:hint="eastAsia" w:ascii="宋体" w:hAnsi="宋体" w:cs="宋体"/>
          <w:lang w:val="zh-CN"/>
        </w:rPr>
        <w:t>格式自</w:t>
      </w:r>
      <w:bookmarkEnd w:id="288"/>
      <w:r>
        <w:rPr>
          <w:rFonts w:hint="eastAsia" w:ascii="宋体" w:hAnsi="宋体" w:cs="宋体"/>
        </w:rPr>
        <w:t>拟</w:t>
      </w:r>
    </w:p>
    <w:p w14:paraId="09568E6F">
      <w:pPr>
        <w:rPr>
          <w:rFonts w:ascii="宋体" w:hAnsi="宋体" w:cs="宋体"/>
        </w:rPr>
      </w:pPr>
    </w:p>
    <w:sectPr>
      <w:headerReference r:id="rId6" w:type="default"/>
      <w:footerReference r:id="rId7" w:type="default"/>
      <w:pgSz w:w="11906" w:h="16838"/>
      <w:pgMar w:top="1090" w:right="1569" w:bottom="1440" w:left="10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TimesNewRomanPSMT">
    <w:altName w:val="宋体"/>
    <w:panose1 w:val="00000000000000000000"/>
    <w:charset w:val="00"/>
    <w:family w:val="roman"/>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5D1EF">
    <w:pPr>
      <w:snapToGrid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6D000">
                          <w:pPr>
                            <w:pStyle w:val="19"/>
                          </w:pPr>
                          <w:r>
                            <w:t xml:space="preserve">第 </w:t>
                          </w:r>
                          <w:r>
                            <w:fldChar w:fldCharType="begin"/>
                          </w:r>
                          <w:r>
                            <w:instrText xml:space="preserve"> PAGE  \* MERGEFORMAT </w:instrText>
                          </w:r>
                          <w:r>
                            <w:fldChar w:fldCharType="separate"/>
                          </w:r>
                          <w:r>
                            <w:rPr>
                              <w:lang/>
                            </w:rPr>
                            <w:t>3</w:t>
                          </w:r>
                          <w:r>
                            <w:fldChar w:fldCharType="end"/>
                          </w:r>
                          <w:r>
                            <w:t xml:space="preserve"> 页 共 </w:t>
                          </w:r>
                          <w:r>
                            <w:fldChar w:fldCharType="begin"/>
                          </w:r>
                          <w:r>
                            <w:instrText xml:space="preserve"> NUMPAGES  \* MERGEFORMAT </w:instrText>
                          </w:r>
                          <w:r>
                            <w:fldChar w:fldCharType="separate"/>
                          </w:r>
                          <w:r>
                            <w:rPr>
                              <w:lang/>
                            </w:rPr>
                            <w:t>31</w:t>
                          </w:r>
                          <w:r>
                            <w:fldChar w:fldCharType="end"/>
                          </w:r>
                          <w:r>
                            <w:t xml:space="preserve"> 页</w:t>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M/W8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kt&#10;sz59gBrT7gMmpuGdH3Lu5Ad0ZtqDijZ/kRDBOKp7vqorh0REfrRerdcVhgTG5gvisIfnIUJ6L70l&#10;2WhoxPEVVfnpI6QxdU7J1Zy/08agn9fG/eNAzOxhufexx2ylYT9Mje99e0Y+PU6+oQ4XnRLzwaGw&#10;eUlmI87GfjaOIepDV7Yo14Nwe0zYROktVxhhp8I4ssJuWq+8E4/vJevhl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e8z9byQEAAJoDAAAOAAAAAAAAAAEAIAAAAB4BAABkcnMvZTJvRG9j&#10;LnhtbFBLBQYAAAAABgAGAFkBAABZBQAAAAA=&#10;">
              <v:fill on="f" focussize="0,0"/>
              <v:stroke on="f"/>
              <v:imagedata o:title=""/>
              <o:lock v:ext="edit" aspectratio="f"/>
              <v:textbox inset="0mm,0mm,0mm,0mm" style="mso-fit-shape-to-text:t;">
                <w:txbxContent>
                  <w:p w14:paraId="0476D000">
                    <w:pPr>
                      <w:pStyle w:val="19"/>
                    </w:pPr>
                    <w:r>
                      <w:t xml:space="preserve">第 </w:t>
                    </w:r>
                    <w:r>
                      <w:fldChar w:fldCharType="begin"/>
                    </w:r>
                    <w:r>
                      <w:instrText xml:space="preserve"> PAGE  \* MERGEFORMAT </w:instrText>
                    </w:r>
                    <w:r>
                      <w:fldChar w:fldCharType="separate"/>
                    </w:r>
                    <w:r>
                      <w:rPr>
                        <w:lang/>
                      </w:rPr>
                      <w:t>3</w:t>
                    </w:r>
                    <w:r>
                      <w:fldChar w:fldCharType="end"/>
                    </w:r>
                    <w:r>
                      <w:t xml:space="preserve"> 页 共 </w:t>
                    </w:r>
                    <w:r>
                      <w:fldChar w:fldCharType="begin"/>
                    </w:r>
                    <w:r>
                      <w:instrText xml:space="preserve"> NUMPAGES  \* MERGEFORMAT </w:instrText>
                    </w:r>
                    <w:r>
                      <w:fldChar w:fldCharType="separate"/>
                    </w:r>
                    <w:r>
                      <w:rPr>
                        <w:lang/>
                      </w:rP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6262">
    <w:pPr>
      <w:pStyle w:val="9"/>
      <w:kinsoku w:val="0"/>
      <w:overflowPunct w:val="0"/>
      <w:spacing w:line="14" w:lineRule="auto"/>
      <w:rPr>
        <w:rFonts w:eastAsia="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64C288">
                          <w:pPr>
                            <w:pStyle w:val="19"/>
                          </w:pPr>
                          <w:r>
                            <w:t xml:space="preserve">第 </w:t>
                          </w:r>
                          <w:r>
                            <w:fldChar w:fldCharType="begin"/>
                          </w:r>
                          <w:r>
                            <w:instrText xml:space="preserve"> PAGE  \* MERGEFORMAT </w:instrText>
                          </w:r>
                          <w:r>
                            <w:fldChar w:fldCharType="separate"/>
                          </w:r>
                          <w:r>
                            <w:rPr>
                              <w:lang/>
                            </w:rPr>
                            <w:t>20</w:t>
                          </w:r>
                          <w:r>
                            <w:fldChar w:fldCharType="end"/>
                          </w:r>
                          <w:r>
                            <w:t xml:space="preserve"> 页 共 </w:t>
                          </w:r>
                          <w:r>
                            <w:fldChar w:fldCharType="begin"/>
                          </w:r>
                          <w:r>
                            <w:instrText xml:space="preserve"> NUMPAGES  \* MERGEFORMAT </w:instrText>
                          </w:r>
                          <w:r>
                            <w:fldChar w:fldCharType="separate"/>
                          </w:r>
                          <w:r>
                            <w:rPr>
                              <w:lang/>
                            </w:rPr>
                            <w:t>31</w:t>
                          </w:r>
                          <w:r>
                            <w:fldChar w:fldCharType="end"/>
                          </w:r>
                          <w:r>
                            <w:t xml:space="preserve"> 页</w:t>
                          </w:r>
                        </w:p>
                      </w:txbxContent>
                    </wps:txbx>
                    <wps:bodyPr wrap="none" lIns="0" tIns="0" rIns="0" bIns="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NFTJ/IAQAAmgMAAA4AAAAAAAAAAQAgAAAAHgEAAGRycy9lMm9Eb2Mu&#10;eG1sUEsFBgAAAAAGAAYAWQEAAFgFAAAAAA==&#10;">
              <v:fill on="f" focussize="0,0"/>
              <v:stroke on="f"/>
              <v:imagedata o:title=""/>
              <o:lock v:ext="edit" aspectratio="f"/>
              <v:textbox inset="0mm,0mm,0mm,0mm" style="mso-fit-shape-to-text:t;">
                <w:txbxContent>
                  <w:p w14:paraId="6C64C288">
                    <w:pPr>
                      <w:pStyle w:val="19"/>
                    </w:pPr>
                    <w:r>
                      <w:t xml:space="preserve">第 </w:t>
                    </w:r>
                    <w:r>
                      <w:fldChar w:fldCharType="begin"/>
                    </w:r>
                    <w:r>
                      <w:instrText xml:space="preserve"> PAGE  \* MERGEFORMAT </w:instrText>
                    </w:r>
                    <w:r>
                      <w:fldChar w:fldCharType="separate"/>
                    </w:r>
                    <w:r>
                      <w:rPr>
                        <w:lang/>
                      </w:rPr>
                      <w:t>20</w:t>
                    </w:r>
                    <w:r>
                      <w:fldChar w:fldCharType="end"/>
                    </w:r>
                    <w:r>
                      <w:t xml:space="preserve"> 页 共 </w:t>
                    </w:r>
                    <w:r>
                      <w:fldChar w:fldCharType="begin"/>
                    </w:r>
                    <w:r>
                      <w:instrText xml:space="preserve"> NUMPAGES  \* MERGEFORMAT </w:instrText>
                    </w:r>
                    <w:r>
                      <w:fldChar w:fldCharType="separate"/>
                    </w:r>
                    <w:r>
                      <w:rPr>
                        <w:lang/>
                      </w:rP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4149D">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275958">
                          <w:pPr>
                            <w:pStyle w:val="19"/>
                          </w:pPr>
                          <w:r>
                            <w:t xml:space="preserve">第 </w:t>
                          </w:r>
                          <w:r>
                            <w:fldChar w:fldCharType="begin"/>
                          </w:r>
                          <w:r>
                            <w:instrText xml:space="preserve"> PAGE  \* MERGEFORMAT </w:instrText>
                          </w:r>
                          <w:r>
                            <w:fldChar w:fldCharType="separate"/>
                          </w:r>
                          <w:r>
                            <w:rPr>
                              <w:lang/>
                            </w:rPr>
                            <w:t>21</w:t>
                          </w:r>
                          <w:r>
                            <w:fldChar w:fldCharType="end"/>
                          </w:r>
                          <w:r>
                            <w:t xml:space="preserve"> 页 共 </w:t>
                          </w:r>
                          <w:r>
                            <w:fldChar w:fldCharType="begin"/>
                          </w:r>
                          <w:r>
                            <w:instrText xml:space="preserve"> NUMPAGES  \* MERGEFORMAT </w:instrText>
                          </w:r>
                          <w:r>
                            <w:fldChar w:fldCharType="separate"/>
                          </w:r>
                          <w:r>
                            <w:rPr>
                              <w:lang/>
                            </w:rPr>
                            <w:t>31</w:t>
                          </w:r>
                          <w:r>
                            <w:fldChar w:fldCharType="end"/>
                          </w:r>
                          <w:r>
                            <w:t xml:space="preserve"> 页</w:t>
                          </w: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aJTs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fL&#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LJolOyQEAAJoDAAAOAAAAAAAAAAEAIAAAAB4BAABkcnMvZTJvRG9j&#10;LnhtbFBLBQYAAAAABgAGAFkBAABZBQAAAAA=&#10;">
              <v:fill on="f" focussize="0,0"/>
              <v:stroke on="f"/>
              <v:imagedata o:title=""/>
              <o:lock v:ext="edit" aspectratio="f"/>
              <v:textbox inset="0mm,0mm,0mm,0mm" style="mso-fit-shape-to-text:t;">
                <w:txbxContent>
                  <w:p w14:paraId="19275958">
                    <w:pPr>
                      <w:pStyle w:val="19"/>
                    </w:pPr>
                    <w:r>
                      <w:t xml:space="preserve">第 </w:t>
                    </w:r>
                    <w:r>
                      <w:fldChar w:fldCharType="begin"/>
                    </w:r>
                    <w:r>
                      <w:instrText xml:space="preserve"> PAGE  \* MERGEFORMAT </w:instrText>
                    </w:r>
                    <w:r>
                      <w:fldChar w:fldCharType="separate"/>
                    </w:r>
                    <w:r>
                      <w:rPr>
                        <w:lang/>
                      </w:rPr>
                      <w:t>21</w:t>
                    </w:r>
                    <w:r>
                      <w:fldChar w:fldCharType="end"/>
                    </w:r>
                    <w:r>
                      <w:t xml:space="preserve"> 页 共 </w:t>
                    </w:r>
                    <w:r>
                      <w:fldChar w:fldCharType="begin"/>
                    </w:r>
                    <w:r>
                      <w:instrText xml:space="preserve"> NUMPAGES  \* MERGEFORMAT </w:instrText>
                    </w:r>
                    <w:r>
                      <w:fldChar w:fldCharType="separate"/>
                    </w:r>
                    <w:r>
                      <w:rPr>
                        <w:lang/>
                      </w:rPr>
                      <w:t>31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B3ED">
    <w:pPr>
      <w:pBdr>
        <w:bottom w:val="single" w:color="000000" w:sz="6" w:space="1"/>
      </w:pBdr>
      <w:tabs>
        <w:tab w:val="center" w:pos="4153"/>
        <w:tab w:val="right" w:pos="8306"/>
      </w:tabs>
      <w:snapToGrid w:val="0"/>
      <w:jc w:val="left"/>
      <w:rPr>
        <w:rFonts w:hint="eastAsia"/>
        <w:sz w:val="18"/>
      </w:rPr>
    </w:pPr>
    <w:r>
      <w:rPr>
        <w:rFonts w:hint="eastAsia"/>
        <w:sz w:val="18"/>
      </w:rPr>
      <w:t xml:space="preserve">青海鼎誉工程咨询有限公司                                                              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B11B5">
    <w:pPr>
      <w:pBdr>
        <w:bottom w:val="single" w:color="000000" w:sz="6" w:space="1"/>
      </w:pBdr>
      <w:tabs>
        <w:tab w:val="center" w:pos="4153"/>
        <w:tab w:val="right" w:pos="8306"/>
      </w:tabs>
      <w:snapToGrid w:val="0"/>
      <w:jc w:val="left"/>
      <w:rPr>
        <w:rFonts w:hint="eastAsia"/>
        <w:sz w:val="18"/>
      </w:rPr>
    </w:pPr>
    <w:r>
      <w:rPr>
        <w:rFonts w:hint="eastAsia"/>
        <w:sz w:val="18"/>
      </w:rPr>
      <w:t>青海鼎誉工程咨询有限公司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91D37"/>
    <w:multiLevelType w:val="singleLevel"/>
    <w:tmpl w:val="D6691D37"/>
    <w:lvl w:ilvl="0" w:tentative="0">
      <w:start w:val="1"/>
      <w:numFmt w:val="decimal"/>
      <w:suff w:val="nothing"/>
      <w:lvlText w:val="%1、"/>
      <w:lvlJc w:val="left"/>
    </w:lvl>
  </w:abstractNum>
  <w:abstractNum w:abstractNumId="1">
    <w:nsid w:val="DEF4D485"/>
    <w:multiLevelType w:val="singleLevel"/>
    <w:tmpl w:val="DEF4D485"/>
    <w:lvl w:ilvl="0" w:tentative="0">
      <w:start w:val="17"/>
      <w:numFmt w:val="decimal"/>
      <w:suff w:val="nothing"/>
      <w:lvlText w:val="%1．"/>
      <w:lvlJc w:val="left"/>
    </w:lvl>
  </w:abstractNum>
  <w:abstractNum w:abstractNumId="2">
    <w:nsid w:val="2F137C41"/>
    <w:multiLevelType w:val="singleLevel"/>
    <w:tmpl w:val="2F137C41"/>
    <w:lvl w:ilvl="0" w:tentative="0">
      <w:start w:val="1"/>
      <w:numFmt w:val="decimal"/>
      <w:suff w:val="nothing"/>
      <w:lvlText w:val="（%1）"/>
      <w:lvlJc w:val="left"/>
    </w:lvl>
  </w:abstractNum>
  <w:abstractNum w:abstractNumId="3">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MzdmNzMwYWE2YjAzMjM2M2ViMWZjZTc4YmJkZGMifQ=="/>
  </w:docVars>
  <w:rsids>
    <w:rsidRoot w:val="005204AA"/>
    <w:rsid w:val="00000327"/>
    <w:rsid w:val="000006FA"/>
    <w:rsid w:val="000040A0"/>
    <w:rsid w:val="00004F41"/>
    <w:rsid w:val="00005BE4"/>
    <w:rsid w:val="00007B7E"/>
    <w:rsid w:val="000104FF"/>
    <w:rsid w:val="000113DE"/>
    <w:rsid w:val="00011C5D"/>
    <w:rsid w:val="00012D30"/>
    <w:rsid w:val="00013B1E"/>
    <w:rsid w:val="0001452C"/>
    <w:rsid w:val="00016F6D"/>
    <w:rsid w:val="000207FC"/>
    <w:rsid w:val="00022C50"/>
    <w:rsid w:val="00023805"/>
    <w:rsid w:val="00025DF6"/>
    <w:rsid w:val="00026037"/>
    <w:rsid w:val="00027329"/>
    <w:rsid w:val="00027377"/>
    <w:rsid w:val="00027CFA"/>
    <w:rsid w:val="00030FA9"/>
    <w:rsid w:val="00031B76"/>
    <w:rsid w:val="00033ABA"/>
    <w:rsid w:val="00035052"/>
    <w:rsid w:val="00035C51"/>
    <w:rsid w:val="000363D2"/>
    <w:rsid w:val="000363DD"/>
    <w:rsid w:val="0003692A"/>
    <w:rsid w:val="00036BE2"/>
    <w:rsid w:val="00036C6D"/>
    <w:rsid w:val="00040010"/>
    <w:rsid w:val="00041E1A"/>
    <w:rsid w:val="0004265D"/>
    <w:rsid w:val="00045555"/>
    <w:rsid w:val="00045CCE"/>
    <w:rsid w:val="000477C1"/>
    <w:rsid w:val="0005108C"/>
    <w:rsid w:val="000516B6"/>
    <w:rsid w:val="00053452"/>
    <w:rsid w:val="00054B93"/>
    <w:rsid w:val="0005570E"/>
    <w:rsid w:val="00055EC8"/>
    <w:rsid w:val="00056377"/>
    <w:rsid w:val="00057E5B"/>
    <w:rsid w:val="00061AA7"/>
    <w:rsid w:val="000625CD"/>
    <w:rsid w:val="00062D04"/>
    <w:rsid w:val="00066945"/>
    <w:rsid w:val="00067255"/>
    <w:rsid w:val="00067F11"/>
    <w:rsid w:val="00072714"/>
    <w:rsid w:val="00072C25"/>
    <w:rsid w:val="00072E95"/>
    <w:rsid w:val="000747F7"/>
    <w:rsid w:val="00077C68"/>
    <w:rsid w:val="00082070"/>
    <w:rsid w:val="000831B5"/>
    <w:rsid w:val="000850DA"/>
    <w:rsid w:val="0008547D"/>
    <w:rsid w:val="0008617E"/>
    <w:rsid w:val="00087A2D"/>
    <w:rsid w:val="000915BD"/>
    <w:rsid w:val="000A0B97"/>
    <w:rsid w:val="000A1087"/>
    <w:rsid w:val="000A2BAF"/>
    <w:rsid w:val="000A3931"/>
    <w:rsid w:val="000A3E92"/>
    <w:rsid w:val="000A5E5A"/>
    <w:rsid w:val="000A6CD7"/>
    <w:rsid w:val="000A75A3"/>
    <w:rsid w:val="000B0176"/>
    <w:rsid w:val="000B044C"/>
    <w:rsid w:val="000B23E9"/>
    <w:rsid w:val="000B280F"/>
    <w:rsid w:val="000B3177"/>
    <w:rsid w:val="000B6358"/>
    <w:rsid w:val="000C0D1E"/>
    <w:rsid w:val="000C1CEB"/>
    <w:rsid w:val="000C2A6B"/>
    <w:rsid w:val="000C2F86"/>
    <w:rsid w:val="000C4442"/>
    <w:rsid w:val="000C64BA"/>
    <w:rsid w:val="000C66BC"/>
    <w:rsid w:val="000C6DF4"/>
    <w:rsid w:val="000C76BA"/>
    <w:rsid w:val="000D0634"/>
    <w:rsid w:val="000D22BE"/>
    <w:rsid w:val="000D3779"/>
    <w:rsid w:val="000D388F"/>
    <w:rsid w:val="000D5D9D"/>
    <w:rsid w:val="000D6654"/>
    <w:rsid w:val="000E01B9"/>
    <w:rsid w:val="000E09BB"/>
    <w:rsid w:val="000E0B9F"/>
    <w:rsid w:val="000E2972"/>
    <w:rsid w:val="000E5711"/>
    <w:rsid w:val="000E5E83"/>
    <w:rsid w:val="000E659C"/>
    <w:rsid w:val="000E6C01"/>
    <w:rsid w:val="000E759B"/>
    <w:rsid w:val="000F2412"/>
    <w:rsid w:val="000F2F06"/>
    <w:rsid w:val="000F7BD8"/>
    <w:rsid w:val="000F7C32"/>
    <w:rsid w:val="000F7D5C"/>
    <w:rsid w:val="001004F6"/>
    <w:rsid w:val="001008D2"/>
    <w:rsid w:val="00102FE5"/>
    <w:rsid w:val="00104429"/>
    <w:rsid w:val="001048DE"/>
    <w:rsid w:val="00104F39"/>
    <w:rsid w:val="00105D74"/>
    <w:rsid w:val="00106DFB"/>
    <w:rsid w:val="001110FA"/>
    <w:rsid w:val="001120AE"/>
    <w:rsid w:val="00113640"/>
    <w:rsid w:val="00113969"/>
    <w:rsid w:val="00116C86"/>
    <w:rsid w:val="00120660"/>
    <w:rsid w:val="00121274"/>
    <w:rsid w:val="00122754"/>
    <w:rsid w:val="00124576"/>
    <w:rsid w:val="0012480F"/>
    <w:rsid w:val="001254E9"/>
    <w:rsid w:val="00125513"/>
    <w:rsid w:val="00125772"/>
    <w:rsid w:val="00127D7D"/>
    <w:rsid w:val="0013026E"/>
    <w:rsid w:val="00131C26"/>
    <w:rsid w:val="00132B91"/>
    <w:rsid w:val="001330E1"/>
    <w:rsid w:val="00134F71"/>
    <w:rsid w:val="00136B90"/>
    <w:rsid w:val="00136DEC"/>
    <w:rsid w:val="001402B4"/>
    <w:rsid w:val="00141B35"/>
    <w:rsid w:val="00144F38"/>
    <w:rsid w:val="001450EB"/>
    <w:rsid w:val="001453B5"/>
    <w:rsid w:val="001455CB"/>
    <w:rsid w:val="001458A4"/>
    <w:rsid w:val="001460B2"/>
    <w:rsid w:val="001464D1"/>
    <w:rsid w:val="00146CF7"/>
    <w:rsid w:val="001474D3"/>
    <w:rsid w:val="00151A76"/>
    <w:rsid w:val="001527B5"/>
    <w:rsid w:val="001554D3"/>
    <w:rsid w:val="00156D14"/>
    <w:rsid w:val="001575B4"/>
    <w:rsid w:val="0016010F"/>
    <w:rsid w:val="00161D6E"/>
    <w:rsid w:val="00165637"/>
    <w:rsid w:val="00166428"/>
    <w:rsid w:val="00167865"/>
    <w:rsid w:val="00170ACE"/>
    <w:rsid w:val="00170F57"/>
    <w:rsid w:val="00171294"/>
    <w:rsid w:val="00171B29"/>
    <w:rsid w:val="0017305B"/>
    <w:rsid w:val="00173280"/>
    <w:rsid w:val="0017581B"/>
    <w:rsid w:val="001760BF"/>
    <w:rsid w:val="001768B7"/>
    <w:rsid w:val="00176A84"/>
    <w:rsid w:val="0017716B"/>
    <w:rsid w:val="00180C1E"/>
    <w:rsid w:val="00182342"/>
    <w:rsid w:val="001826A7"/>
    <w:rsid w:val="00183828"/>
    <w:rsid w:val="00186E25"/>
    <w:rsid w:val="001879CD"/>
    <w:rsid w:val="00187C4E"/>
    <w:rsid w:val="00191617"/>
    <w:rsid w:val="00192891"/>
    <w:rsid w:val="00192C08"/>
    <w:rsid w:val="00193652"/>
    <w:rsid w:val="00193D35"/>
    <w:rsid w:val="00193D53"/>
    <w:rsid w:val="001941D3"/>
    <w:rsid w:val="00194224"/>
    <w:rsid w:val="00194908"/>
    <w:rsid w:val="00196E99"/>
    <w:rsid w:val="001A06DE"/>
    <w:rsid w:val="001A1500"/>
    <w:rsid w:val="001A1A0E"/>
    <w:rsid w:val="001A21AD"/>
    <w:rsid w:val="001A3E7F"/>
    <w:rsid w:val="001A4DA2"/>
    <w:rsid w:val="001A6515"/>
    <w:rsid w:val="001B5196"/>
    <w:rsid w:val="001B51BD"/>
    <w:rsid w:val="001B5E02"/>
    <w:rsid w:val="001B667D"/>
    <w:rsid w:val="001B716E"/>
    <w:rsid w:val="001C1B00"/>
    <w:rsid w:val="001C2210"/>
    <w:rsid w:val="001C480C"/>
    <w:rsid w:val="001C489A"/>
    <w:rsid w:val="001C4CD9"/>
    <w:rsid w:val="001C5ABE"/>
    <w:rsid w:val="001C6113"/>
    <w:rsid w:val="001C702F"/>
    <w:rsid w:val="001C72A5"/>
    <w:rsid w:val="001C7438"/>
    <w:rsid w:val="001D033C"/>
    <w:rsid w:val="001D0E28"/>
    <w:rsid w:val="001D0F7B"/>
    <w:rsid w:val="001D162F"/>
    <w:rsid w:val="001D1D30"/>
    <w:rsid w:val="001D3BC5"/>
    <w:rsid w:val="001D426B"/>
    <w:rsid w:val="001D445F"/>
    <w:rsid w:val="001D52DC"/>
    <w:rsid w:val="001D58AE"/>
    <w:rsid w:val="001D6B22"/>
    <w:rsid w:val="001D71A9"/>
    <w:rsid w:val="001D7B61"/>
    <w:rsid w:val="001E1169"/>
    <w:rsid w:val="001E2DA4"/>
    <w:rsid w:val="001E47B0"/>
    <w:rsid w:val="001E6639"/>
    <w:rsid w:val="001E6E21"/>
    <w:rsid w:val="001F04A2"/>
    <w:rsid w:val="001F1860"/>
    <w:rsid w:val="001F4232"/>
    <w:rsid w:val="001F53A9"/>
    <w:rsid w:val="001F54B2"/>
    <w:rsid w:val="001F5810"/>
    <w:rsid w:val="001F6EA5"/>
    <w:rsid w:val="001F6FA5"/>
    <w:rsid w:val="001F7341"/>
    <w:rsid w:val="001F7B93"/>
    <w:rsid w:val="00200089"/>
    <w:rsid w:val="00200AF6"/>
    <w:rsid w:val="002017D9"/>
    <w:rsid w:val="00201B59"/>
    <w:rsid w:val="00202C36"/>
    <w:rsid w:val="002036D2"/>
    <w:rsid w:val="002037FB"/>
    <w:rsid w:val="00203CA9"/>
    <w:rsid w:val="00206BBA"/>
    <w:rsid w:val="00207B15"/>
    <w:rsid w:val="00210273"/>
    <w:rsid w:val="002165EF"/>
    <w:rsid w:val="00216873"/>
    <w:rsid w:val="002212DC"/>
    <w:rsid w:val="002216D5"/>
    <w:rsid w:val="00221E40"/>
    <w:rsid w:val="00222FB5"/>
    <w:rsid w:val="00224CB5"/>
    <w:rsid w:val="00224E9B"/>
    <w:rsid w:val="00225457"/>
    <w:rsid w:val="002254AB"/>
    <w:rsid w:val="002275DD"/>
    <w:rsid w:val="00230C37"/>
    <w:rsid w:val="00230DDF"/>
    <w:rsid w:val="002314B1"/>
    <w:rsid w:val="00241FF6"/>
    <w:rsid w:val="00242D3B"/>
    <w:rsid w:val="00243131"/>
    <w:rsid w:val="00244449"/>
    <w:rsid w:val="002465A8"/>
    <w:rsid w:val="00246BA7"/>
    <w:rsid w:val="002511D8"/>
    <w:rsid w:val="00253E9E"/>
    <w:rsid w:val="00254EAB"/>
    <w:rsid w:val="00256D03"/>
    <w:rsid w:val="002601FF"/>
    <w:rsid w:val="00264DF8"/>
    <w:rsid w:val="00264F18"/>
    <w:rsid w:val="002710CD"/>
    <w:rsid w:val="002801A4"/>
    <w:rsid w:val="002817E4"/>
    <w:rsid w:val="00282F04"/>
    <w:rsid w:val="002831BA"/>
    <w:rsid w:val="00283370"/>
    <w:rsid w:val="00284F43"/>
    <w:rsid w:val="00285C82"/>
    <w:rsid w:val="00286CCB"/>
    <w:rsid w:val="0028700A"/>
    <w:rsid w:val="002915A2"/>
    <w:rsid w:val="00294B9B"/>
    <w:rsid w:val="00295915"/>
    <w:rsid w:val="00295EA2"/>
    <w:rsid w:val="00296AAA"/>
    <w:rsid w:val="00297F6F"/>
    <w:rsid w:val="00297FE4"/>
    <w:rsid w:val="002A0352"/>
    <w:rsid w:val="002A035A"/>
    <w:rsid w:val="002A06B4"/>
    <w:rsid w:val="002A186B"/>
    <w:rsid w:val="002A5EE4"/>
    <w:rsid w:val="002A62B0"/>
    <w:rsid w:val="002A6AEB"/>
    <w:rsid w:val="002A700B"/>
    <w:rsid w:val="002B0E29"/>
    <w:rsid w:val="002B1442"/>
    <w:rsid w:val="002B2CF5"/>
    <w:rsid w:val="002B38BD"/>
    <w:rsid w:val="002B4B53"/>
    <w:rsid w:val="002C0923"/>
    <w:rsid w:val="002C0E0F"/>
    <w:rsid w:val="002C2187"/>
    <w:rsid w:val="002C49C0"/>
    <w:rsid w:val="002C58FA"/>
    <w:rsid w:val="002C7182"/>
    <w:rsid w:val="002D0D5A"/>
    <w:rsid w:val="002D45AB"/>
    <w:rsid w:val="002D4904"/>
    <w:rsid w:val="002D4D7B"/>
    <w:rsid w:val="002D7458"/>
    <w:rsid w:val="002D7D94"/>
    <w:rsid w:val="002E125D"/>
    <w:rsid w:val="002E30CD"/>
    <w:rsid w:val="002E31BC"/>
    <w:rsid w:val="002E3417"/>
    <w:rsid w:val="002E5872"/>
    <w:rsid w:val="002E5AC3"/>
    <w:rsid w:val="002E7C5F"/>
    <w:rsid w:val="002F0E9E"/>
    <w:rsid w:val="002F385C"/>
    <w:rsid w:val="002F6906"/>
    <w:rsid w:val="002F6A6B"/>
    <w:rsid w:val="002F7C6B"/>
    <w:rsid w:val="00301E77"/>
    <w:rsid w:val="00304BD2"/>
    <w:rsid w:val="0030513D"/>
    <w:rsid w:val="00306094"/>
    <w:rsid w:val="00307005"/>
    <w:rsid w:val="00310384"/>
    <w:rsid w:val="00310E54"/>
    <w:rsid w:val="00310E66"/>
    <w:rsid w:val="00313E6A"/>
    <w:rsid w:val="003145A1"/>
    <w:rsid w:val="0031500B"/>
    <w:rsid w:val="0031607E"/>
    <w:rsid w:val="003174F9"/>
    <w:rsid w:val="00317F30"/>
    <w:rsid w:val="00320434"/>
    <w:rsid w:val="00320FC8"/>
    <w:rsid w:val="003238B9"/>
    <w:rsid w:val="00324A81"/>
    <w:rsid w:val="00324BFD"/>
    <w:rsid w:val="003261E6"/>
    <w:rsid w:val="00326676"/>
    <w:rsid w:val="00327130"/>
    <w:rsid w:val="00333E0F"/>
    <w:rsid w:val="0033667E"/>
    <w:rsid w:val="00340D27"/>
    <w:rsid w:val="00342093"/>
    <w:rsid w:val="003423F0"/>
    <w:rsid w:val="00342FCB"/>
    <w:rsid w:val="00343FEA"/>
    <w:rsid w:val="003446C8"/>
    <w:rsid w:val="00345DD9"/>
    <w:rsid w:val="0034659B"/>
    <w:rsid w:val="00347A37"/>
    <w:rsid w:val="00347A62"/>
    <w:rsid w:val="00350BB5"/>
    <w:rsid w:val="00352E71"/>
    <w:rsid w:val="00352EB0"/>
    <w:rsid w:val="00355F8E"/>
    <w:rsid w:val="003570C8"/>
    <w:rsid w:val="0035744E"/>
    <w:rsid w:val="00360912"/>
    <w:rsid w:val="00360F78"/>
    <w:rsid w:val="003614A8"/>
    <w:rsid w:val="003619BC"/>
    <w:rsid w:val="00361A72"/>
    <w:rsid w:val="00361FC4"/>
    <w:rsid w:val="00362233"/>
    <w:rsid w:val="00362C24"/>
    <w:rsid w:val="0036454A"/>
    <w:rsid w:val="0036525A"/>
    <w:rsid w:val="0036565F"/>
    <w:rsid w:val="00366BA6"/>
    <w:rsid w:val="00367143"/>
    <w:rsid w:val="00370416"/>
    <w:rsid w:val="00370E0F"/>
    <w:rsid w:val="00372A78"/>
    <w:rsid w:val="00373AC3"/>
    <w:rsid w:val="003746AF"/>
    <w:rsid w:val="00374D42"/>
    <w:rsid w:val="003767CA"/>
    <w:rsid w:val="00376C09"/>
    <w:rsid w:val="00377B22"/>
    <w:rsid w:val="00377F01"/>
    <w:rsid w:val="00380054"/>
    <w:rsid w:val="003810C2"/>
    <w:rsid w:val="00381B13"/>
    <w:rsid w:val="00381F4A"/>
    <w:rsid w:val="00384418"/>
    <w:rsid w:val="00384CC7"/>
    <w:rsid w:val="003861BE"/>
    <w:rsid w:val="00386750"/>
    <w:rsid w:val="00386F40"/>
    <w:rsid w:val="003900CB"/>
    <w:rsid w:val="00391E6A"/>
    <w:rsid w:val="00393196"/>
    <w:rsid w:val="00394C9D"/>
    <w:rsid w:val="0039525A"/>
    <w:rsid w:val="00396FA2"/>
    <w:rsid w:val="003A1E8E"/>
    <w:rsid w:val="003A29C0"/>
    <w:rsid w:val="003A2F7F"/>
    <w:rsid w:val="003A46EB"/>
    <w:rsid w:val="003A4BB6"/>
    <w:rsid w:val="003A5293"/>
    <w:rsid w:val="003A7916"/>
    <w:rsid w:val="003B1D71"/>
    <w:rsid w:val="003B3FAF"/>
    <w:rsid w:val="003B43DF"/>
    <w:rsid w:val="003B471C"/>
    <w:rsid w:val="003B5A3F"/>
    <w:rsid w:val="003B5E27"/>
    <w:rsid w:val="003B604A"/>
    <w:rsid w:val="003B6C4A"/>
    <w:rsid w:val="003C01D1"/>
    <w:rsid w:val="003C10E0"/>
    <w:rsid w:val="003C13F2"/>
    <w:rsid w:val="003C3470"/>
    <w:rsid w:val="003C59D2"/>
    <w:rsid w:val="003C69B2"/>
    <w:rsid w:val="003C6D0D"/>
    <w:rsid w:val="003C7B6F"/>
    <w:rsid w:val="003D0439"/>
    <w:rsid w:val="003D1383"/>
    <w:rsid w:val="003D4269"/>
    <w:rsid w:val="003D481D"/>
    <w:rsid w:val="003D511D"/>
    <w:rsid w:val="003D52B2"/>
    <w:rsid w:val="003D5A23"/>
    <w:rsid w:val="003D69A7"/>
    <w:rsid w:val="003D7DCE"/>
    <w:rsid w:val="003E234A"/>
    <w:rsid w:val="003E48DF"/>
    <w:rsid w:val="003E68CB"/>
    <w:rsid w:val="003E6FE0"/>
    <w:rsid w:val="003E79B7"/>
    <w:rsid w:val="003F0AC4"/>
    <w:rsid w:val="003F151C"/>
    <w:rsid w:val="003F20D7"/>
    <w:rsid w:val="003F28E6"/>
    <w:rsid w:val="003F3378"/>
    <w:rsid w:val="003F5E94"/>
    <w:rsid w:val="003F74D5"/>
    <w:rsid w:val="003F7D41"/>
    <w:rsid w:val="0040282C"/>
    <w:rsid w:val="004038BE"/>
    <w:rsid w:val="00405D67"/>
    <w:rsid w:val="004100B4"/>
    <w:rsid w:val="00410482"/>
    <w:rsid w:val="00411744"/>
    <w:rsid w:val="00411C89"/>
    <w:rsid w:val="00412B62"/>
    <w:rsid w:val="00415102"/>
    <w:rsid w:val="00415B56"/>
    <w:rsid w:val="00415CCD"/>
    <w:rsid w:val="00416F32"/>
    <w:rsid w:val="00417444"/>
    <w:rsid w:val="00422356"/>
    <w:rsid w:val="00422F46"/>
    <w:rsid w:val="0042348A"/>
    <w:rsid w:val="0042559D"/>
    <w:rsid w:val="0042665F"/>
    <w:rsid w:val="00426AE3"/>
    <w:rsid w:val="00427899"/>
    <w:rsid w:val="00427978"/>
    <w:rsid w:val="00430556"/>
    <w:rsid w:val="00430CC0"/>
    <w:rsid w:val="00430EDF"/>
    <w:rsid w:val="004316D3"/>
    <w:rsid w:val="00432394"/>
    <w:rsid w:val="00432780"/>
    <w:rsid w:val="004347BD"/>
    <w:rsid w:val="00434DA5"/>
    <w:rsid w:val="004359B9"/>
    <w:rsid w:val="00436551"/>
    <w:rsid w:val="00440491"/>
    <w:rsid w:val="00440D1A"/>
    <w:rsid w:val="00441429"/>
    <w:rsid w:val="004427C5"/>
    <w:rsid w:val="004454A8"/>
    <w:rsid w:val="00446465"/>
    <w:rsid w:val="0044679C"/>
    <w:rsid w:val="00446C6C"/>
    <w:rsid w:val="00452BE2"/>
    <w:rsid w:val="00453AB8"/>
    <w:rsid w:val="0046221C"/>
    <w:rsid w:val="00463695"/>
    <w:rsid w:val="00463F8D"/>
    <w:rsid w:val="004643B3"/>
    <w:rsid w:val="004643D4"/>
    <w:rsid w:val="004667A7"/>
    <w:rsid w:val="00466B81"/>
    <w:rsid w:val="004671FC"/>
    <w:rsid w:val="00470397"/>
    <w:rsid w:val="00470CE9"/>
    <w:rsid w:val="00472E11"/>
    <w:rsid w:val="0047397A"/>
    <w:rsid w:val="00474B91"/>
    <w:rsid w:val="00475129"/>
    <w:rsid w:val="004757B3"/>
    <w:rsid w:val="00475A4B"/>
    <w:rsid w:val="004774E9"/>
    <w:rsid w:val="0048007A"/>
    <w:rsid w:val="0048286A"/>
    <w:rsid w:val="00484942"/>
    <w:rsid w:val="00484B2E"/>
    <w:rsid w:val="00485692"/>
    <w:rsid w:val="00485CF5"/>
    <w:rsid w:val="00486ADD"/>
    <w:rsid w:val="004915BF"/>
    <w:rsid w:val="00492C17"/>
    <w:rsid w:val="00493E3D"/>
    <w:rsid w:val="0049687A"/>
    <w:rsid w:val="004A2569"/>
    <w:rsid w:val="004A3FA3"/>
    <w:rsid w:val="004A5BF5"/>
    <w:rsid w:val="004A65AC"/>
    <w:rsid w:val="004A718E"/>
    <w:rsid w:val="004B086C"/>
    <w:rsid w:val="004B25D1"/>
    <w:rsid w:val="004B34CD"/>
    <w:rsid w:val="004B3E02"/>
    <w:rsid w:val="004B430F"/>
    <w:rsid w:val="004B6926"/>
    <w:rsid w:val="004B75A9"/>
    <w:rsid w:val="004C1302"/>
    <w:rsid w:val="004C22B1"/>
    <w:rsid w:val="004C2606"/>
    <w:rsid w:val="004C54A3"/>
    <w:rsid w:val="004C5C9A"/>
    <w:rsid w:val="004C6A32"/>
    <w:rsid w:val="004C7FFE"/>
    <w:rsid w:val="004D0E92"/>
    <w:rsid w:val="004D1BC5"/>
    <w:rsid w:val="004D23F7"/>
    <w:rsid w:val="004D37E3"/>
    <w:rsid w:val="004D3818"/>
    <w:rsid w:val="004D3E84"/>
    <w:rsid w:val="004D41D5"/>
    <w:rsid w:val="004D619B"/>
    <w:rsid w:val="004E0D43"/>
    <w:rsid w:val="004E1313"/>
    <w:rsid w:val="004E2627"/>
    <w:rsid w:val="004E2B78"/>
    <w:rsid w:val="004E48ED"/>
    <w:rsid w:val="004E5831"/>
    <w:rsid w:val="004E630D"/>
    <w:rsid w:val="004E7F6A"/>
    <w:rsid w:val="004F1AD8"/>
    <w:rsid w:val="004F3511"/>
    <w:rsid w:val="004F3720"/>
    <w:rsid w:val="004F3A15"/>
    <w:rsid w:val="004F3DA7"/>
    <w:rsid w:val="004F4815"/>
    <w:rsid w:val="004F5626"/>
    <w:rsid w:val="004F63B3"/>
    <w:rsid w:val="004F6797"/>
    <w:rsid w:val="004F684B"/>
    <w:rsid w:val="004F7A67"/>
    <w:rsid w:val="004F7D42"/>
    <w:rsid w:val="004F7D92"/>
    <w:rsid w:val="005006DD"/>
    <w:rsid w:val="005028AC"/>
    <w:rsid w:val="0050433B"/>
    <w:rsid w:val="005057AA"/>
    <w:rsid w:val="0050692F"/>
    <w:rsid w:val="00506AB6"/>
    <w:rsid w:val="00510D95"/>
    <w:rsid w:val="005118E8"/>
    <w:rsid w:val="005123D4"/>
    <w:rsid w:val="005124AE"/>
    <w:rsid w:val="00512FC8"/>
    <w:rsid w:val="00513D10"/>
    <w:rsid w:val="00520353"/>
    <w:rsid w:val="005204AA"/>
    <w:rsid w:val="0052056D"/>
    <w:rsid w:val="0052151E"/>
    <w:rsid w:val="005223E7"/>
    <w:rsid w:val="00522C09"/>
    <w:rsid w:val="00522D35"/>
    <w:rsid w:val="00523042"/>
    <w:rsid w:val="005235A6"/>
    <w:rsid w:val="005237DB"/>
    <w:rsid w:val="00525647"/>
    <w:rsid w:val="00525E43"/>
    <w:rsid w:val="005270E5"/>
    <w:rsid w:val="00527763"/>
    <w:rsid w:val="00531086"/>
    <w:rsid w:val="00533D42"/>
    <w:rsid w:val="005346CA"/>
    <w:rsid w:val="005423B3"/>
    <w:rsid w:val="00542517"/>
    <w:rsid w:val="00543FEA"/>
    <w:rsid w:val="005450C0"/>
    <w:rsid w:val="005460F5"/>
    <w:rsid w:val="005465B4"/>
    <w:rsid w:val="00546F6D"/>
    <w:rsid w:val="00550B92"/>
    <w:rsid w:val="005515FE"/>
    <w:rsid w:val="00551B06"/>
    <w:rsid w:val="005528DD"/>
    <w:rsid w:val="00554141"/>
    <w:rsid w:val="0055517F"/>
    <w:rsid w:val="0055629A"/>
    <w:rsid w:val="00557436"/>
    <w:rsid w:val="00557FC2"/>
    <w:rsid w:val="005624F6"/>
    <w:rsid w:val="00562D5F"/>
    <w:rsid w:val="00563283"/>
    <w:rsid w:val="0056385F"/>
    <w:rsid w:val="00564CD2"/>
    <w:rsid w:val="00565D43"/>
    <w:rsid w:val="00566F61"/>
    <w:rsid w:val="00567D8B"/>
    <w:rsid w:val="00570781"/>
    <w:rsid w:val="00570F8D"/>
    <w:rsid w:val="005712FF"/>
    <w:rsid w:val="005716D0"/>
    <w:rsid w:val="00571D96"/>
    <w:rsid w:val="00571EA3"/>
    <w:rsid w:val="005751A6"/>
    <w:rsid w:val="005756BD"/>
    <w:rsid w:val="00576EDA"/>
    <w:rsid w:val="00576EF2"/>
    <w:rsid w:val="005773E6"/>
    <w:rsid w:val="005775E6"/>
    <w:rsid w:val="00577F8C"/>
    <w:rsid w:val="00580A21"/>
    <w:rsid w:val="00581FCE"/>
    <w:rsid w:val="00583E77"/>
    <w:rsid w:val="00584C97"/>
    <w:rsid w:val="005861D2"/>
    <w:rsid w:val="005875FC"/>
    <w:rsid w:val="00587D62"/>
    <w:rsid w:val="00590038"/>
    <w:rsid w:val="0059096A"/>
    <w:rsid w:val="005909EC"/>
    <w:rsid w:val="00592FBD"/>
    <w:rsid w:val="00594425"/>
    <w:rsid w:val="00595DD9"/>
    <w:rsid w:val="005A0CF5"/>
    <w:rsid w:val="005A1362"/>
    <w:rsid w:val="005A3A3D"/>
    <w:rsid w:val="005A692C"/>
    <w:rsid w:val="005B0C8B"/>
    <w:rsid w:val="005B1EF0"/>
    <w:rsid w:val="005B2574"/>
    <w:rsid w:val="005B2727"/>
    <w:rsid w:val="005B2ADD"/>
    <w:rsid w:val="005B39AB"/>
    <w:rsid w:val="005B3A2C"/>
    <w:rsid w:val="005B4263"/>
    <w:rsid w:val="005B435F"/>
    <w:rsid w:val="005B53D0"/>
    <w:rsid w:val="005B7CAD"/>
    <w:rsid w:val="005C0AC9"/>
    <w:rsid w:val="005C31FB"/>
    <w:rsid w:val="005C38AC"/>
    <w:rsid w:val="005C6DBD"/>
    <w:rsid w:val="005D084B"/>
    <w:rsid w:val="005D2508"/>
    <w:rsid w:val="005D390F"/>
    <w:rsid w:val="005D50DA"/>
    <w:rsid w:val="005D63D6"/>
    <w:rsid w:val="005D66A4"/>
    <w:rsid w:val="005E06FA"/>
    <w:rsid w:val="005E095D"/>
    <w:rsid w:val="005E1C0B"/>
    <w:rsid w:val="005E38E1"/>
    <w:rsid w:val="005E5366"/>
    <w:rsid w:val="005E6018"/>
    <w:rsid w:val="005F021B"/>
    <w:rsid w:val="005F1038"/>
    <w:rsid w:val="005F15B1"/>
    <w:rsid w:val="005F31F7"/>
    <w:rsid w:val="005F3315"/>
    <w:rsid w:val="005F3A6D"/>
    <w:rsid w:val="005F3BD5"/>
    <w:rsid w:val="005F4420"/>
    <w:rsid w:val="005F4E09"/>
    <w:rsid w:val="005F5009"/>
    <w:rsid w:val="005F60E8"/>
    <w:rsid w:val="005F6A6F"/>
    <w:rsid w:val="005F6DFF"/>
    <w:rsid w:val="006001F8"/>
    <w:rsid w:val="006005EF"/>
    <w:rsid w:val="006027B2"/>
    <w:rsid w:val="00604DD0"/>
    <w:rsid w:val="006051BD"/>
    <w:rsid w:val="00605D81"/>
    <w:rsid w:val="00606718"/>
    <w:rsid w:val="00607EC8"/>
    <w:rsid w:val="0061012B"/>
    <w:rsid w:val="006109D4"/>
    <w:rsid w:val="00611206"/>
    <w:rsid w:val="0061639D"/>
    <w:rsid w:val="006167D3"/>
    <w:rsid w:val="00616CD6"/>
    <w:rsid w:val="00616DF1"/>
    <w:rsid w:val="00617D7B"/>
    <w:rsid w:val="00622986"/>
    <w:rsid w:val="006240F9"/>
    <w:rsid w:val="00625861"/>
    <w:rsid w:val="00626D31"/>
    <w:rsid w:val="006279C5"/>
    <w:rsid w:val="00637275"/>
    <w:rsid w:val="00640879"/>
    <w:rsid w:val="00641AB0"/>
    <w:rsid w:val="00643534"/>
    <w:rsid w:val="006448C8"/>
    <w:rsid w:val="00645A9E"/>
    <w:rsid w:val="00650561"/>
    <w:rsid w:val="00650863"/>
    <w:rsid w:val="00651821"/>
    <w:rsid w:val="00651E58"/>
    <w:rsid w:val="00652C74"/>
    <w:rsid w:val="0065303E"/>
    <w:rsid w:val="00653A5B"/>
    <w:rsid w:val="00653E6C"/>
    <w:rsid w:val="00655331"/>
    <w:rsid w:val="00655756"/>
    <w:rsid w:val="00656550"/>
    <w:rsid w:val="0065733F"/>
    <w:rsid w:val="00662D72"/>
    <w:rsid w:val="0066307A"/>
    <w:rsid w:val="006632CF"/>
    <w:rsid w:val="006639FF"/>
    <w:rsid w:val="00663C37"/>
    <w:rsid w:val="006643E8"/>
    <w:rsid w:val="00664639"/>
    <w:rsid w:val="00665720"/>
    <w:rsid w:val="006661B0"/>
    <w:rsid w:val="0067255E"/>
    <w:rsid w:val="00672D90"/>
    <w:rsid w:val="00674CEF"/>
    <w:rsid w:val="00675336"/>
    <w:rsid w:val="00675712"/>
    <w:rsid w:val="006769CF"/>
    <w:rsid w:val="006812D9"/>
    <w:rsid w:val="006822B8"/>
    <w:rsid w:val="00682644"/>
    <w:rsid w:val="00682937"/>
    <w:rsid w:val="00685BDF"/>
    <w:rsid w:val="00687505"/>
    <w:rsid w:val="0068772A"/>
    <w:rsid w:val="00687D5B"/>
    <w:rsid w:val="00687F4A"/>
    <w:rsid w:val="0069137C"/>
    <w:rsid w:val="00692EB0"/>
    <w:rsid w:val="00697804"/>
    <w:rsid w:val="00697F5C"/>
    <w:rsid w:val="006A154D"/>
    <w:rsid w:val="006A30DD"/>
    <w:rsid w:val="006A40EE"/>
    <w:rsid w:val="006A5062"/>
    <w:rsid w:val="006A5AE2"/>
    <w:rsid w:val="006A67A8"/>
    <w:rsid w:val="006A71A9"/>
    <w:rsid w:val="006A7D2E"/>
    <w:rsid w:val="006B13B6"/>
    <w:rsid w:val="006B29BF"/>
    <w:rsid w:val="006B63FC"/>
    <w:rsid w:val="006B6526"/>
    <w:rsid w:val="006B66A8"/>
    <w:rsid w:val="006B7F9F"/>
    <w:rsid w:val="006C2036"/>
    <w:rsid w:val="006C4BD6"/>
    <w:rsid w:val="006C4D91"/>
    <w:rsid w:val="006C5AFA"/>
    <w:rsid w:val="006C6FDF"/>
    <w:rsid w:val="006D0271"/>
    <w:rsid w:val="006D062D"/>
    <w:rsid w:val="006D08D4"/>
    <w:rsid w:val="006D0931"/>
    <w:rsid w:val="006D1224"/>
    <w:rsid w:val="006D21CC"/>
    <w:rsid w:val="006D2AFB"/>
    <w:rsid w:val="006D47F4"/>
    <w:rsid w:val="006D60A0"/>
    <w:rsid w:val="006D7F69"/>
    <w:rsid w:val="006E05A2"/>
    <w:rsid w:val="006E08B5"/>
    <w:rsid w:val="006E54CF"/>
    <w:rsid w:val="006E6C3F"/>
    <w:rsid w:val="006F08BA"/>
    <w:rsid w:val="006F12D9"/>
    <w:rsid w:val="006F13A9"/>
    <w:rsid w:val="006F2334"/>
    <w:rsid w:val="006F29F7"/>
    <w:rsid w:val="006F4012"/>
    <w:rsid w:val="006F512B"/>
    <w:rsid w:val="006F52E6"/>
    <w:rsid w:val="006F5CF2"/>
    <w:rsid w:val="006F72EA"/>
    <w:rsid w:val="006F777C"/>
    <w:rsid w:val="006F7EAD"/>
    <w:rsid w:val="00701BFA"/>
    <w:rsid w:val="00703930"/>
    <w:rsid w:val="00704115"/>
    <w:rsid w:val="00704C44"/>
    <w:rsid w:val="00704E96"/>
    <w:rsid w:val="00706121"/>
    <w:rsid w:val="00707CC3"/>
    <w:rsid w:val="00711295"/>
    <w:rsid w:val="00711E0F"/>
    <w:rsid w:val="00712A87"/>
    <w:rsid w:val="00714529"/>
    <w:rsid w:val="00714C4C"/>
    <w:rsid w:val="00714F65"/>
    <w:rsid w:val="00716742"/>
    <w:rsid w:val="007167DD"/>
    <w:rsid w:val="00716817"/>
    <w:rsid w:val="00717584"/>
    <w:rsid w:val="00717B71"/>
    <w:rsid w:val="00717DF9"/>
    <w:rsid w:val="00717FF1"/>
    <w:rsid w:val="00720A42"/>
    <w:rsid w:val="00721CB3"/>
    <w:rsid w:val="0072294A"/>
    <w:rsid w:val="00723334"/>
    <w:rsid w:val="0072380E"/>
    <w:rsid w:val="00724D0C"/>
    <w:rsid w:val="00725410"/>
    <w:rsid w:val="00731A52"/>
    <w:rsid w:val="00731ABB"/>
    <w:rsid w:val="0073396C"/>
    <w:rsid w:val="0073399F"/>
    <w:rsid w:val="00734859"/>
    <w:rsid w:val="007348FB"/>
    <w:rsid w:val="00735753"/>
    <w:rsid w:val="00737274"/>
    <w:rsid w:val="00741265"/>
    <w:rsid w:val="00742E44"/>
    <w:rsid w:val="00742EFA"/>
    <w:rsid w:val="007433A3"/>
    <w:rsid w:val="00743A9A"/>
    <w:rsid w:val="00743D55"/>
    <w:rsid w:val="007443D4"/>
    <w:rsid w:val="0074440A"/>
    <w:rsid w:val="00744974"/>
    <w:rsid w:val="00744C73"/>
    <w:rsid w:val="00745AE3"/>
    <w:rsid w:val="00747EA4"/>
    <w:rsid w:val="0075097F"/>
    <w:rsid w:val="00750F41"/>
    <w:rsid w:val="00752C45"/>
    <w:rsid w:val="00754619"/>
    <w:rsid w:val="00754D35"/>
    <w:rsid w:val="00755DF0"/>
    <w:rsid w:val="007617A4"/>
    <w:rsid w:val="00762C8B"/>
    <w:rsid w:val="0076517D"/>
    <w:rsid w:val="00765F34"/>
    <w:rsid w:val="007706D2"/>
    <w:rsid w:val="007715C5"/>
    <w:rsid w:val="007775DF"/>
    <w:rsid w:val="00780F6C"/>
    <w:rsid w:val="00781386"/>
    <w:rsid w:val="00781688"/>
    <w:rsid w:val="00782959"/>
    <w:rsid w:val="007840B8"/>
    <w:rsid w:val="00784A0E"/>
    <w:rsid w:val="00784A2A"/>
    <w:rsid w:val="00791707"/>
    <w:rsid w:val="00791BB5"/>
    <w:rsid w:val="00791DB9"/>
    <w:rsid w:val="00792C40"/>
    <w:rsid w:val="007933EB"/>
    <w:rsid w:val="007954DF"/>
    <w:rsid w:val="00796C95"/>
    <w:rsid w:val="007A0844"/>
    <w:rsid w:val="007A23E9"/>
    <w:rsid w:val="007A277F"/>
    <w:rsid w:val="007A3716"/>
    <w:rsid w:val="007A4802"/>
    <w:rsid w:val="007A710A"/>
    <w:rsid w:val="007A74A1"/>
    <w:rsid w:val="007B00F4"/>
    <w:rsid w:val="007B2C02"/>
    <w:rsid w:val="007B3184"/>
    <w:rsid w:val="007B4F64"/>
    <w:rsid w:val="007B5264"/>
    <w:rsid w:val="007B5D03"/>
    <w:rsid w:val="007B6BA5"/>
    <w:rsid w:val="007B70FF"/>
    <w:rsid w:val="007C0B00"/>
    <w:rsid w:val="007C1A13"/>
    <w:rsid w:val="007C1AE3"/>
    <w:rsid w:val="007C2610"/>
    <w:rsid w:val="007C5833"/>
    <w:rsid w:val="007C7078"/>
    <w:rsid w:val="007D0754"/>
    <w:rsid w:val="007D1005"/>
    <w:rsid w:val="007D4C02"/>
    <w:rsid w:val="007D553C"/>
    <w:rsid w:val="007E0F51"/>
    <w:rsid w:val="007E15EC"/>
    <w:rsid w:val="007E16B3"/>
    <w:rsid w:val="007E17A8"/>
    <w:rsid w:val="007E17B3"/>
    <w:rsid w:val="007E183F"/>
    <w:rsid w:val="007E4AE8"/>
    <w:rsid w:val="007E5227"/>
    <w:rsid w:val="007F095F"/>
    <w:rsid w:val="007F1BFE"/>
    <w:rsid w:val="007F3334"/>
    <w:rsid w:val="007F58E9"/>
    <w:rsid w:val="007F63FD"/>
    <w:rsid w:val="007F6DD8"/>
    <w:rsid w:val="00801496"/>
    <w:rsid w:val="00801AAF"/>
    <w:rsid w:val="00801B34"/>
    <w:rsid w:val="00801BC5"/>
    <w:rsid w:val="0080252F"/>
    <w:rsid w:val="008078B3"/>
    <w:rsid w:val="0081168E"/>
    <w:rsid w:val="008146D4"/>
    <w:rsid w:val="00815CD6"/>
    <w:rsid w:val="00816C52"/>
    <w:rsid w:val="00817CDA"/>
    <w:rsid w:val="008204C8"/>
    <w:rsid w:val="00820DE3"/>
    <w:rsid w:val="008227CA"/>
    <w:rsid w:val="00823A1A"/>
    <w:rsid w:val="0082739C"/>
    <w:rsid w:val="008273D7"/>
    <w:rsid w:val="008276FA"/>
    <w:rsid w:val="00830029"/>
    <w:rsid w:val="00830537"/>
    <w:rsid w:val="0083596F"/>
    <w:rsid w:val="00836FFB"/>
    <w:rsid w:val="00842B1E"/>
    <w:rsid w:val="0084674D"/>
    <w:rsid w:val="00850887"/>
    <w:rsid w:val="00850AAF"/>
    <w:rsid w:val="00851B1F"/>
    <w:rsid w:val="00851D04"/>
    <w:rsid w:val="0085321D"/>
    <w:rsid w:val="008534B5"/>
    <w:rsid w:val="00854402"/>
    <w:rsid w:val="00854CC4"/>
    <w:rsid w:val="00854D6F"/>
    <w:rsid w:val="00855FF4"/>
    <w:rsid w:val="00856FD1"/>
    <w:rsid w:val="00857009"/>
    <w:rsid w:val="0086077A"/>
    <w:rsid w:val="00861EBC"/>
    <w:rsid w:val="00862476"/>
    <w:rsid w:val="00862DA4"/>
    <w:rsid w:val="00863072"/>
    <w:rsid w:val="00864171"/>
    <w:rsid w:val="008674B8"/>
    <w:rsid w:val="00873A66"/>
    <w:rsid w:val="00873B7E"/>
    <w:rsid w:val="0087537E"/>
    <w:rsid w:val="00875739"/>
    <w:rsid w:val="00882274"/>
    <w:rsid w:val="00884CAC"/>
    <w:rsid w:val="008860DB"/>
    <w:rsid w:val="00886710"/>
    <w:rsid w:val="00892B9A"/>
    <w:rsid w:val="00894CA6"/>
    <w:rsid w:val="00895244"/>
    <w:rsid w:val="0089584A"/>
    <w:rsid w:val="008977A4"/>
    <w:rsid w:val="008A296A"/>
    <w:rsid w:val="008A29D2"/>
    <w:rsid w:val="008A306B"/>
    <w:rsid w:val="008A3A6B"/>
    <w:rsid w:val="008A4BD3"/>
    <w:rsid w:val="008A6C35"/>
    <w:rsid w:val="008A78D4"/>
    <w:rsid w:val="008B02B3"/>
    <w:rsid w:val="008B175E"/>
    <w:rsid w:val="008B2BA3"/>
    <w:rsid w:val="008B36D9"/>
    <w:rsid w:val="008B720C"/>
    <w:rsid w:val="008B7A1A"/>
    <w:rsid w:val="008C1C38"/>
    <w:rsid w:val="008C23C3"/>
    <w:rsid w:val="008C2ACD"/>
    <w:rsid w:val="008C5FDD"/>
    <w:rsid w:val="008C6799"/>
    <w:rsid w:val="008D0DE6"/>
    <w:rsid w:val="008D104A"/>
    <w:rsid w:val="008D17A7"/>
    <w:rsid w:val="008D4023"/>
    <w:rsid w:val="008D5361"/>
    <w:rsid w:val="008D63A3"/>
    <w:rsid w:val="008D6D32"/>
    <w:rsid w:val="008D7070"/>
    <w:rsid w:val="008E0D8C"/>
    <w:rsid w:val="008E12AB"/>
    <w:rsid w:val="008E183A"/>
    <w:rsid w:val="008E1927"/>
    <w:rsid w:val="008E243D"/>
    <w:rsid w:val="008E33EC"/>
    <w:rsid w:val="008E45E1"/>
    <w:rsid w:val="008E4D4B"/>
    <w:rsid w:val="008E6291"/>
    <w:rsid w:val="008E65AD"/>
    <w:rsid w:val="008E6E08"/>
    <w:rsid w:val="008F273A"/>
    <w:rsid w:val="008F2E7C"/>
    <w:rsid w:val="008F363F"/>
    <w:rsid w:val="008F562D"/>
    <w:rsid w:val="008F6DAC"/>
    <w:rsid w:val="00900918"/>
    <w:rsid w:val="00902AEE"/>
    <w:rsid w:val="00902E4F"/>
    <w:rsid w:val="00904A25"/>
    <w:rsid w:val="00905C10"/>
    <w:rsid w:val="00906163"/>
    <w:rsid w:val="009067F2"/>
    <w:rsid w:val="00910D6D"/>
    <w:rsid w:val="0091162D"/>
    <w:rsid w:val="00912182"/>
    <w:rsid w:val="00912984"/>
    <w:rsid w:val="009147D7"/>
    <w:rsid w:val="00915C27"/>
    <w:rsid w:val="00916B4E"/>
    <w:rsid w:val="00917E1E"/>
    <w:rsid w:val="00920A12"/>
    <w:rsid w:val="00920A6E"/>
    <w:rsid w:val="009224F0"/>
    <w:rsid w:val="00923380"/>
    <w:rsid w:val="0092386B"/>
    <w:rsid w:val="00923ACC"/>
    <w:rsid w:val="0092464E"/>
    <w:rsid w:val="00924750"/>
    <w:rsid w:val="00924F18"/>
    <w:rsid w:val="00926E17"/>
    <w:rsid w:val="00927B63"/>
    <w:rsid w:val="00931026"/>
    <w:rsid w:val="00932BA6"/>
    <w:rsid w:val="00934523"/>
    <w:rsid w:val="0093516E"/>
    <w:rsid w:val="00936AAB"/>
    <w:rsid w:val="00940597"/>
    <w:rsid w:val="009411A6"/>
    <w:rsid w:val="00941CA0"/>
    <w:rsid w:val="00942822"/>
    <w:rsid w:val="00943418"/>
    <w:rsid w:val="00947ED2"/>
    <w:rsid w:val="00951D5A"/>
    <w:rsid w:val="00952726"/>
    <w:rsid w:val="00954597"/>
    <w:rsid w:val="00956091"/>
    <w:rsid w:val="00956309"/>
    <w:rsid w:val="00956992"/>
    <w:rsid w:val="00962158"/>
    <w:rsid w:val="00962C78"/>
    <w:rsid w:val="00962F37"/>
    <w:rsid w:val="00962F71"/>
    <w:rsid w:val="00963D3E"/>
    <w:rsid w:val="00965868"/>
    <w:rsid w:val="00965B2D"/>
    <w:rsid w:val="00965BC6"/>
    <w:rsid w:val="009667BA"/>
    <w:rsid w:val="00966A5E"/>
    <w:rsid w:val="009700D7"/>
    <w:rsid w:val="00971917"/>
    <w:rsid w:val="009719B3"/>
    <w:rsid w:val="00971C0F"/>
    <w:rsid w:val="00972A74"/>
    <w:rsid w:val="00975B51"/>
    <w:rsid w:val="0097655B"/>
    <w:rsid w:val="00976A8E"/>
    <w:rsid w:val="009801AC"/>
    <w:rsid w:val="00980D1B"/>
    <w:rsid w:val="00981287"/>
    <w:rsid w:val="00982A54"/>
    <w:rsid w:val="00983EF2"/>
    <w:rsid w:val="0098479E"/>
    <w:rsid w:val="00985401"/>
    <w:rsid w:val="009857AC"/>
    <w:rsid w:val="009904A5"/>
    <w:rsid w:val="0099265D"/>
    <w:rsid w:val="00992C63"/>
    <w:rsid w:val="009937D1"/>
    <w:rsid w:val="00993879"/>
    <w:rsid w:val="009949C5"/>
    <w:rsid w:val="009950D6"/>
    <w:rsid w:val="00996B9B"/>
    <w:rsid w:val="009A0C32"/>
    <w:rsid w:val="009A2B9B"/>
    <w:rsid w:val="009A630D"/>
    <w:rsid w:val="009A6963"/>
    <w:rsid w:val="009A6A29"/>
    <w:rsid w:val="009A7161"/>
    <w:rsid w:val="009A771E"/>
    <w:rsid w:val="009B39C8"/>
    <w:rsid w:val="009B6F6A"/>
    <w:rsid w:val="009B721B"/>
    <w:rsid w:val="009B74FE"/>
    <w:rsid w:val="009C18BD"/>
    <w:rsid w:val="009C4463"/>
    <w:rsid w:val="009C53C2"/>
    <w:rsid w:val="009C59B1"/>
    <w:rsid w:val="009C7EBC"/>
    <w:rsid w:val="009D199B"/>
    <w:rsid w:val="009D23C6"/>
    <w:rsid w:val="009D6BBA"/>
    <w:rsid w:val="009E3C7F"/>
    <w:rsid w:val="009E4ABC"/>
    <w:rsid w:val="009E7AA8"/>
    <w:rsid w:val="009F0988"/>
    <w:rsid w:val="009F165E"/>
    <w:rsid w:val="009F3C88"/>
    <w:rsid w:val="009F481D"/>
    <w:rsid w:val="009F51FE"/>
    <w:rsid w:val="00A002BC"/>
    <w:rsid w:val="00A00C06"/>
    <w:rsid w:val="00A01D89"/>
    <w:rsid w:val="00A01EE9"/>
    <w:rsid w:val="00A0387E"/>
    <w:rsid w:val="00A07692"/>
    <w:rsid w:val="00A077A7"/>
    <w:rsid w:val="00A119D7"/>
    <w:rsid w:val="00A11ED7"/>
    <w:rsid w:val="00A126CA"/>
    <w:rsid w:val="00A14F9F"/>
    <w:rsid w:val="00A16C1B"/>
    <w:rsid w:val="00A20253"/>
    <w:rsid w:val="00A235B4"/>
    <w:rsid w:val="00A25933"/>
    <w:rsid w:val="00A274E5"/>
    <w:rsid w:val="00A27BA7"/>
    <w:rsid w:val="00A307CD"/>
    <w:rsid w:val="00A31034"/>
    <w:rsid w:val="00A31CC0"/>
    <w:rsid w:val="00A345D4"/>
    <w:rsid w:val="00A35AF0"/>
    <w:rsid w:val="00A36C08"/>
    <w:rsid w:val="00A3702F"/>
    <w:rsid w:val="00A3709A"/>
    <w:rsid w:val="00A401FF"/>
    <w:rsid w:val="00A44D15"/>
    <w:rsid w:val="00A4539E"/>
    <w:rsid w:val="00A5040C"/>
    <w:rsid w:val="00A53960"/>
    <w:rsid w:val="00A53C55"/>
    <w:rsid w:val="00A551B0"/>
    <w:rsid w:val="00A55952"/>
    <w:rsid w:val="00A55AAD"/>
    <w:rsid w:val="00A562FB"/>
    <w:rsid w:val="00A5672C"/>
    <w:rsid w:val="00A5701D"/>
    <w:rsid w:val="00A5767B"/>
    <w:rsid w:val="00A57E4D"/>
    <w:rsid w:val="00A601B6"/>
    <w:rsid w:val="00A63D1E"/>
    <w:rsid w:val="00A652C4"/>
    <w:rsid w:val="00A66CEF"/>
    <w:rsid w:val="00A67792"/>
    <w:rsid w:val="00A702F9"/>
    <w:rsid w:val="00A714FE"/>
    <w:rsid w:val="00A717E7"/>
    <w:rsid w:val="00A72311"/>
    <w:rsid w:val="00A72748"/>
    <w:rsid w:val="00A759B8"/>
    <w:rsid w:val="00A75C31"/>
    <w:rsid w:val="00A779A6"/>
    <w:rsid w:val="00A8023F"/>
    <w:rsid w:val="00A8038F"/>
    <w:rsid w:val="00A81F81"/>
    <w:rsid w:val="00A86664"/>
    <w:rsid w:val="00A876E5"/>
    <w:rsid w:val="00A90BD3"/>
    <w:rsid w:val="00A90C33"/>
    <w:rsid w:val="00A9106B"/>
    <w:rsid w:val="00A942BD"/>
    <w:rsid w:val="00A945D4"/>
    <w:rsid w:val="00A94E0E"/>
    <w:rsid w:val="00A9678F"/>
    <w:rsid w:val="00A96827"/>
    <w:rsid w:val="00AA0790"/>
    <w:rsid w:val="00AA2EB3"/>
    <w:rsid w:val="00AA3439"/>
    <w:rsid w:val="00AA48F3"/>
    <w:rsid w:val="00AA5196"/>
    <w:rsid w:val="00AA53A6"/>
    <w:rsid w:val="00AA5740"/>
    <w:rsid w:val="00AA5D8F"/>
    <w:rsid w:val="00AA6148"/>
    <w:rsid w:val="00AA64F3"/>
    <w:rsid w:val="00AA6E76"/>
    <w:rsid w:val="00AB07F8"/>
    <w:rsid w:val="00AB1775"/>
    <w:rsid w:val="00AB214F"/>
    <w:rsid w:val="00AB26E8"/>
    <w:rsid w:val="00AB314A"/>
    <w:rsid w:val="00AB6152"/>
    <w:rsid w:val="00AB6ED5"/>
    <w:rsid w:val="00AB7B70"/>
    <w:rsid w:val="00AC120D"/>
    <w:rsid w:val="00AC17B8"/>
    <w:rsid w:val="00AC1915"/>
    <w:rsid w:val="00AC1D49"/>
    <w:rsid w:val="00AC2B30"/>
    <w:rsid w:val="00AC48B0"/>
    <w:rsid w:val="00AC4B89"/>
    <w:rsid w:val="00AC5F5A"/>
    <w:rsid w:val="00AD02B8"/>
    <w:rsid w:val="00AD176B"/>
    <w:rsid w:val="00AD1C12"/>
    <w:rsid w:val="00AD30AA"/>
    <w:rsid w:val="00AD3247"/>
    <w:rsid w:val="00AD3FB0"/>
    <w:rsid w:val="00AE03AD"/>
    <w:rsid w:val="00AE25D8"/>
    <w:rsid w:val="00AE5FF2"/>
    <w:rsid w:val="00AE62DC"/>
    <w:rsid w:val="00AE65BF"/>
    <w:rsid w:val="00AE755C"/>
    <w:rsid w:val="00AE75FD"/>
    <w:rsid w:val="00AF06E0"/>
    <w:rsid w:val="00AF0737"/>
    <w:rsid w:val="00AF149D"/>
    <w:rsid w:val="00AF1A63"/>
    <w:rsid w:val="00AF283C"/>
    <w:rsid w:val="00AF435A"/>
    <w:rsid w:val="00AF5C6B"/>
    <w:rsid w:val="00AF6F5E"/>
    <w:rsid w:val="00B00AED"/>
    <w:rsid w:val="00B00C15"/>
    <w:rsid w:val="00B014C6"/>
    <w:rsid w:val="00B0287F"/>
    <w:rsid w:val="00B02DFC"/>
    <w:rsid w:val="00B03F25"/>
    <w:rsid w:val="00B065AE"/>
    <w:rsid w:val="00B07DAE"/>
    <w:rsid w:val="00B13E09"/>
    <w:rsid w:val="00B149C2"/>
    <w:rsid w:val="00B1591D"/>
    <w:rsid w:val="00B20CD0"/>
    <w:rsid w:val="00B21EB1"/>
    <w:rsid w:val="00B22D28"/>
    <w:rsid w:val="00B22E5E"/>
    <w:rsid w:val="00B24034"/>
    <w:rsid w:val="00B24849"/>
    <w:rsid w:val="00B253F9"/>
    <w:rsid w:val="00B25908"/>
    <w:rsid w:val="00B25BA2"/>
    <w:rsid w:val="00B3061D"/>
    <w:rsid w:val="00B3131B"/>
    <w:rsid w:val="00B31605"/>
    <w:rsid w:val="00B37928"/>
    <w:rsid w:val="00B41BDC"/>
    <w:rsid w:val="00B41C3B"/>
    <w:rsid w:val="00B41C95"/>
    <w:rsid w:val="00B447AF"/>
    <w:rsid w:val="00B478CD"/>
    <w:rsid w:val="00B479E0"/>
    <w:rsid w:val="00B47BD2"/>
    <w:rsid w:val="00B5037D"/>
    <w:rsid w:val="00B517CA"/>
    <w:rsid w:val="00B53CA3"/>
    <w:rsid w:val="00B54BCB"/>
    <w:rsid w:val="00B55831"/>
    <w:rsid w:val="00B5641E"/>
    <w:rsid w:val="00B57621"/>
    <w:rsid w:val="00B6011F"/>
    <w:rsid w:val="00B60449"/>
    <w:rsid w:val="00B629FC"/>
    <w:rsid w:val="00B6374A"/>
    <w:rsid w:val="00B63D33"/>
    <w:rsid w:val="00B64D07"/>
    <w:rsid w:val="00B7197E"/>
    <w:rsid w:val="00B72B09"/>
    <w:rsid w:val="00B73129"/>
    <w:rsid w:val="00B73901"/>
    <w:rsid w:val="00B74353"/>
    <w:rsid w:val="00B76560"/>
    <w:rsid w:val="00B7695F"/>
    <w:rsid w:val="00B809E4"/>
    <w:rsid w:val="00B81009"/>
    <w:rsid w:val="00B811AB"/>
    <w:rsid w:val="00B8346A"/>
    <w:rsid w:val="00B86F25"/>
    <w:rsid w:val="00B86F5A"/>
    <w:rsid w:val="00B90639"/>
    <w:rsid w:val="00B91163"/>
    <w:rsid w:val="00B91A5D"/>
    <w:rsid w:val="00B93DEA"/>
    <w:rsid w:val="00B94369"/>
    <w:rsid w:val="00B96184"/>
    <w:rsid w:val="00BA04E8"/>
    <w:rsid w:val="00BA0D61"/>
    <w:rsid w:val="00BA1172"/>
    <w:rsid w:val="00BA13E3"/>
    <w:rsid w:val="00BA1893"/>
    <w:rsid w:val="00BA1B77"/>
    <w:rsid w:val="00BA6C18"/>
    <w:rsid w:val="00BA73F3"/>
    <w:rsid w:val="00BB11EC"/>
    <w:rsid w:val="00BB1C9A"/>
    <w:rsid w:val="00BB4052"/>
    <w:rsid w:val="00BB46DB"/>
    <w:rsid w:val="00BB4807"/>
    <w:rsid w:val="00BB6794"/>
    <w:rsid w:val="00BB6FB2"/>
    <w:rsid w:val="00BB71E2"/>
    <w:rsid w:val="00BB7692"/>
    <w:rsid w:val="00BC08A1"/>
    <w:rsid w:val="00BC0979"/>
    <w:rsid w:val="00BC0FC2"/>
    <w:rsid w:val="00BC2F05"/>
    <w:rsid w:val="00BC34A7"/>
    <w:rsid w:val="00BC47D3"/>
    <w:rsid w:val="00BC500A"/>
    <w:rsid w:val="00BC61A3"/>
    <w:rsid w:val="00BC627F"/>
    <w:rsid w:val="00BC76D8"/>
    <w:rsid w:val="00BC77C6"/>
    <w:rsid w:val="00BD11E7"/>
    <w:rsid w:val="00BD1BD7"/>
    <w:rsid w:val="00BD2559"/>
    <w:rsid w:val="00BD550E"/>
    <w:rsid w:val="00BD6771"/>
    <w:rsid w:val="00BD6912"/>
    <w:rsid w:val="00BD6AFB"/>
    <w:rsid w:val="00BD6EC9"/>
    <w:rsid w:val="00BD6FC0"/>
    <w:rsid w:val="00BD7134"/>
    <w:rsid w:val="00BE0BE5"/>
    <w:rsid w:val="00BE2C9F"/>
    <w:rsid w:val="00BE2DC5"/>
    <w:rsid w:val="00BE31FF"/>
    <w:rsid w:val="00BE3FDF"/>
    <w:rsid w:val="00BE4D5C"/>
    <w:rsid w:val="00BE4EA5"/>
    <w:rsid w:val="00BE560C"/>
    <w:rsid w:val="00BE6829"/>
    <w:rsid w:val="00BE7B1E"/>
    <w:rsid w:val="00BF0E8C"/>
    <w:rsid w:val="00BF3AF7"/>
    <w:rsid w:val="00BF4C4F"/>
    <w:rsid w:val="00C03321"/>
    <w:rsid w:val="00C04F0D"/>
    <w:rsid w:val="00C07F6C"/>
    <w:rsid w:val="00C11C67"/>
    <w:rsid w:val="00C1347F"/>
    <w:rsid w:val="00C15813"/>
    <w:rsid w:val="00C16339"/>
    <w:rsid w:val="00C16829"/>
    <w:rsid w:val="00C203A8"/>
    <w:rsid w:val="00C2070C"/>
    <w:rsid w:val="00C21CDE"/>
    <w:rsid w:val="00C22025"/>
    <w:rsid w:val="00C23AC4"/>
    <w:rsid w:val="00C2611B"/>
    <w:rsid w:val="00C26235"/>
    <w:rsid w:val="00C26DE4"/>
    <w:rsid w:val="00C304D5"/>
    <w:rsid w:val="00C3079F"/>
    <w:rsid w:val="00C3093E"/>
    <w:rsid w:val="00C30BDB"/>
    <w:rsid w:val="00C30F46"/>
    <w:rsid w:val="00C31210"/>
    <w:rsid w:val="00C31AC8"/>
    <w:rsid w:val="00C3320C"/>
    <w:rsid w:val="00C35762"/>
    <w:rsid w:val="00C37071"/>
    <w:rsid w:val="00C37935"/>
    <w:rsid w:val="00C4130F"/>
    <w:rsid w:val="00C4140A"/>
    <w:rsid w:val="00C42347"/>
    <w:rsid w:val="00C42AA2"/>
    <w:rsid w:val="00C42D13"/>
    <w:rsid w:val="00C438CE"/>
    <w:rsid w:val="00C44D1D"/>
    <w:rsid w:val="00C5180B"/>
    <w:rsid w:val="00C53BF2"/>
    <w:rsid w:val="00C543E4"/>
    <w:rsid w:val="00C54C78"/>
    <w:rsid w:val="00C55632"/>
    <w:rsid w:val="00C56EE2"/>
    <w:rsid w:val="00C603CF"/>
    <w:rsid w:val="00C60671"/>
    <w:rsid w:val="00C606CF"/>
    <w:rsid w:val="00C61FC3"/>
    <w:rsid w:val="00C62782"/>
    <w:rsid w:val="00C63628"/>
    <w:rsid w:val="00C648B6"/>
    <w:rsid w:val="00C64A34"/>
    <w:rsid w:val="00C65938"/>
    <w:rsid w:val="00C662C3"/>
    <w:rsid w:val="00C66836"/>
    <w:rsid w:val="00C67D11"/>
    <w:rsid w:val="00C70C31"/>
    <w:rsid w:val="00C711CC"/>
    <w:rsid w:val="00C7196B"/>
    <w:rsid w:val="00C73053"/>
    <w:rsid w:val="00C730B8"/>
    <w:rsid w:val="00C740A1"/>
    <w:rsid w:val="00C75FF8"/>
    <w:rsid w:val="00C76702"/>
    <w:rsid w:val="00C801A2"/>
    <w:rsid w:val="00C82FC0"/>
    <w:rsid w:val="00C83395"/>
    <w:rsid w:val="00C84DE1"/>
    <w:rsid w:val="00C84E25"/>
    <w:rsid w:val="00C84F05"/>
    <w:rsid w:val="00C85637"/>
    <w:rsid w:val="00C92E41"/>
    <w:rsid w:val="00C93D16"/>
    <w:rsid w:val="00C957CC"/>
    <w:rsid w:val="00C95ED1"/>
    <w:rsid w:val="00C96DCE"/>
    <w:rsid w:val="00C96E47"/>
    <w:rsid w:val="00CA1649"/>
    <w:rsid w:val="00CA1838"/>
    <w:rsid w:val="00CA2004"/>
    <w:rsid w:val="00CA227B"/>
    <w:rsid w:val="00CA2D96"/>
    <w:rsid w:val="00CA30FC"/>
    <w:rsid w:val="00CA49F3"/>
    <w:rsid w:val="00CA74E8"/>
    <w:rsid w:val="00CB09AC"/>
    <w:rsid w:val="00CB12AC"/>
    <w:rsid w:val="00CB2D50"/>
    <w:rsid w:val="00CB381A"/>
    <w:rsid w:val="00CB40AF"/>
    <w:rsid w:val="00CB4CE2"/>
    <w:rsid w:val="00CB5FC6"/>
    <w:rsid w:val="00CB6048"/>
    <w:rsid w:val="00CC2444"/>
    <w:rsid w:val="00CC26CE"/>
    <w:rsid w:val="00CC4951"/>
    <w:rsid w:val="00CC5185"/>
    <w:rsid w:val="00CC68C7"/>
    <w:rsid w:val="00CC69D3"/>
    <w:rsid w:val="00CD0507"/>
    <w:rsid w:val="00CD33AF"/>
    <w:rsid w:val="00CD3469"/>
    <w:rsid w:val="00CD4B2F"/>
    <w:rsid w:val="00CD671C"/>
    <w:rsid w:val="00CE35C4"/>
    <w:rsid w:val="00CE5753"/>
    <w:rsid w:val="00CE7544"/>
    <w:rsid w:val="00CF3AEB"/>
    <w:rsid w:val="00CF7790"/>
    <w:rsid w:val="00D02907"/>
    <w:rsid w:val="00D02FD1"/>
    <w:rsid w:val="00D03026"/>
    <w:rsid w:val="00D03645"/>
    <w:rsid w:val="00D04B77"/>
    <w:rsid w:val="00D05179"/>
    <w:rsid w:val="00D06165"/>
    <w:rsid w:val="00D0622C"/>
    <w:rsid w:val="00D075C4"/>
    <w:rsid w:val="00D07795"/>
    <w:rsid w:val="00D11A83"/>
    <w:rsid w:val="00D13094"/>
    <w:rsid w:val="00D13D19"/>
    <w:rsid w:val="00D15748"/>
    <w:rsid w:val="00D16A2D"/>
    <w:rsid w:val="00D16C10"/>
    <w:rsid w:val="00D17FF3"/>
    <w:rsid w:val="00D25526"/>
    <w:rsid w:val="00D27011"/>
    <w:rsid w:val="00D2747D"/>
    <w:rsid w:val="00D3006C"/>
    <w:rsid w:val="00D3067E"/>
    <w:rsid w:val="00D3391E"/>
    <w:rsid w:val="00D349F1"/>
    <w:rsid w:val="00D35460"/>
    <w:rsid w:val="00D36F2E"/>
    <w:rsid w:val="00D40465"/>
    <w:rsid w:val="00D42D60"/>
    <w:rsid w:val="00D430E1"/>
    <w:rsid w:val="00D43995"/>
    <w:rsid w:val="00D44363"/>
    <w:rsid w:val="00D44B5D"/>
    <w:rsid w:val="00D45280"/>
    <w:rsid w:val="00D4755A"/>
    <w:rsid w:val="00D47819"/>
    <w:rsid w:val="00D51B09"/>
    <w:rsid w:val="00D5438A"/>
    <w:rsid w:val="00D56D91"/>
    <w:rsid w:val="00D603AA"/>
    <w:rsid w:val="00D6046A"/>
    <w:rsid w:val="00D60C6E"/>
    <w:rsid w:val="00D60E5C"/>
    <w:rsid w:val="00D617F8"/>
    <w:rsid w:val="00D6211B"/>
    <w:rsid w:val="00D622FC"/>
    <w:rsid w:val="00D63CFD"/>
    <w:rsid w:val="00D6418D"/>
    <w:rsid w:val="00D647D5"/>
    <w:rsid w:val="00D65937"/>
    <w:rsid w:val="00D65BC3"/>
    <w:rsid w:val="00D66154"/>
    <w:rsid w:val="00D70760"/>
    <w:rsid w:val="00D70D82"/>
    <w:rsid w:val="00D72424"/>
    <w:rsid w:val="00D73289"/>
    <w:rsid w:val="00D74292"/>
    <w:rsid w:val="00D7464E"/>
    <w:rsid w:val="00D75ED9"/>
    <w:rsid w:val="00D761F9"/>
    <w:rsid w:val="00D8181A"/>
    <w:rsid w:val="00D81A4C"/>
    <w:rsid w:val="00D81AD4"/>
    <w:rsid w:val="00D81BC5"/>
    <w:rsid w:val="00D834A2"/>
    <w:rsid w:val="00D8382F"/>
    <w:rsid w:val="00D83878"/>
    <w:rsid w:val="00D8389A"/>
    <w:rsid w:val="00D84C9E"/>
    <w:rsid w:val="00D85EED"/>
    <w:rsid w:val="00D85F86"/>
    <w:rsid w:val="00D90814"/>
    <w:rsid w:val="00D93D01"/>
    <w:rsid w:val="00D943BF"/>
    <w:rsid w:val="00D9478F"/>
    <w:rsid w:val="00D966A6"/>
    <w:rsid w:val="00D972E3"/>
    <w:rsid w:val="00DA188F"/>
    <w:rsid w:val="00DA2667"/>
    <w:rsid w:val="00DA2836"/>
    <w:rsid w:val="00DA2D2C"/>
    <w:rsid w:val="00DA49AC"/>
    <w:rsid w:val="00DA4E88"/>
    <w:rsid w:val="00DA5B8C"/>
    <w:rsid w:val="00DA5E2C"/>
    <w:rsid w:val="00DA6310"/>
    <w:rsid w:val="00DA6468"/>
    <w:rsid w:val="00DA693A"/>
    <w:rsid w:val="00DA6A06"/>
    <w:rsid w:val="00DA7226"/>
    <w:rsid w:val="00DA7316"/>
    <w:rsid w:val="00DA7387"/>
    <w:rsid w:val="00DB027C"/>
    <w:rsid w:val="00DB0A13"/>
    <w:rsid w:val="00DB0D88"/>
    <w:rsid w:val="00DB13E2"/>
    <w:rsid w:val="00DB3D3B"/>
    <w:rsid w:val="00DB65BA"/>
    <w:rsid w:val="00DC1D59"/>
    <w:rsid w:val="00DC2273"/>
    <w:rsid w:val="00DC3CB0"/>
    <w:rsid w:val="00DC7213"/>
    <w:rsid w:val="00DD0D01"/>
    <w:rsid w:val="00DD1A7B"/>
    <w:rsid w:val="00DD264F"/>
    <w:rsid w:val="00DD5694"/>
    <w:rsid w:val="00DD61BF"/>
    <w:rsid w:val="00DD6F5F"/>
    <w:rsid w:val="00DD6F74"/>
    <w:rsid w:val="00DD6FD7"/>
    <w:rsid w:val="00DE01BE"/>
    <w:rsid w:val="00DE13C0"/>
    <w:rsid w:val="00DE185A"/>
    <w:rsid w:val="00DE488A"/>
    <w:rsid w:val="00DF0AA0"/>
    <w:rsid w:val="00DF1C38"/>
    <w:rsid w:val="00DF41CE"/>
    <w:rsid w:val="00DF5DB1"/>
    <w:rsid w:val="00DF6208"/>
    <w:rsid w:val="00DF70C5"/>
    <w:rsid w:val="00DF7AD6"/>
    <w:rsid w:val="00E00BF9"/>
    <w:rsid w:val="00E05050"/>
    <w:rsid w:val="00E06B04"/>
    <w:rsid w:val="00E07BD6"/>
    <w:rsid w:val="00E137CF"/>
    <w:rsid w:val="00E13D2D"/>
    <w:rsid w:val="00E140DC"/>
    <w:rsid w:val="00E15B28"/>
    <w:rsid w:val="00E15DBE"/>
    <w:rsid w:val="00E15FA9"/>
    <w:rsid w:val="00E168B0"/>
    <w:rsid w:val="00E2143A"/>
    <w:rsid w:val="00E23E6F"/>
    <w:rsid w:val="00E25226"/>
    <w:rsid w:val="00E25F4A"/>
    <w:rsid w:val="00E277BA"/>
    <w:rsid w:val="00E33241"/>
    <w:rsid w:val="00E34FD2"/>
    <w:rsid w:val="00E35074"/>
    <w:rsid w:val="00E35873"/>
    <w:rsid w:val="00E41C39"/>
    <w:rsid w:val="00E42733"/>
    <w:rsid w:val="00E44988"/>
    <w:rsid w:val="00E44BF9"/>
    <w:rsid w:val="00E454AB"/>
    <w:rsid w:val="00E45766"/>
    <w:rsid w:val="00E4614E"/>
    <w:rsid w:val="00E470DD"/>
    <w:rsid w:val="00E47CB5"/>
    <w:rsid w:val="00E47F82"/>
    <w:rsid w:val="00E5081C"/>
    <w:rsid w:val="00E514E0"/>
    <w:rsid w:val="00E519EE"/>
    <w:rsid w:val="00E51A38"/>
    <w:rsid w:val="00E53082"/>
    <w:rsid w:val="00E53BE6"/>
    <w:rsid w:val="00E54D90"/>
    <w:rsid w:val="00E5583F"/>
    <w:rsid w:val="00E55FF2"/>
    <w:rsid w:val="00E604CF"/>
    <w:rsid w:val="00E60BED"/>
    <w:rsid w:val="00E62670"/>
    <w:rsid w:val="00E62DCD"/>
    <w:rsid w:val="00E62E4F"/>
    <w:rsid w:val="00E631C4"/>
    <w:rsid w:val="00E63337"/>
    <w:rsid w:val="00E64111"/>
    <w:rsid w:val="00E64DE0"/>
    <w:rsid w:val="00E64FB7"/>
    <w:rsid w:val="00E65060"/>
    <w:rsid w:val="00E7093B"/>
    <w:rsid w:val="00E7157C"/>
    <w:rsid w:val="00E72658"/>
    <w:rsid w:val="00E74A88"/>
    <w:rsid w:val="00E74E6F"/>
    <w:rsid w:val="00E75604"/>
    <w:rsid w:val="00E75A21"/>
    <w:rsid w:val="00E8122D"/>
    <w:rsid w:val="00E82BFB"/>
    <w:rsid w:val="00E8511C"/>
    <w:rsid w:val="00E8634A"/>
    <w:rsid w:val="00E87C29"/>
    <w:rsid w:val="00E9022D"/>
    <w:rsid w:val="00E91479"/>
    <w:rsid w:val="00E91B15"/>
    <w:rsid w:val="00E92E1D"/>
    <w:rsid w:val="00E94EA3"/>
    <w:rsid w:val="00E9574F"/>
    <w:rsid w:val="00E97519"/>
    <w:rsid w:val="00EA0167"/>
    <w:rsid w:val="00EA0231"/>
    <w:rsid w:val="00EA193C"/>
    <w:rsid w:val="00EA1969"/>
    <w:rsid w:val="00EA2CA1"/>
    <w:rsid w:val="00EA3460"/>
    <w:rsid w:val="00EA3EAD"/>
    <w:rsid w:val="00EA52B8"/>
    <w:rsid w:val="00EA561C"/>
    <w:rsid w:val="00EA70B9"/>
    <w:rsid w:val="00EA70C9"/>
    <w:rsid w:val="00EB0D7D"/>
    <w:rsid w:val="00EB23DA"/>
    <w:rsid w:val="00EB3529"/>
    <w:rsid w:val="00EB36F5"/>
    <w:rsid w:val="00EB3826"/>
    <w:rsid w:val="00EB4493"/>
    <w:rsid w:val="00EB5CC3"/>
    <w:rsid w:val="00EB648D"/>
    <w:rsid w:val="00EB6BB2"/>
    <w:rsid w:val="00EB7D52"/>
    <w:rsid w:val="00EC0CBF"/>
    <w:rsid w:val="00EC12B0"/>
    <w:rsid w:val="00EC1B31"/>
    <w:rsid w:val="00EC227C"/>
    <w:rsid w:val="00EC2959"/>
    <w:rsid w:val="00EC3C96"/>
    <w:rsid w:val="00EC6770"/>
    <w:rsid w:val="00EC76EE"/>
    <w:rsid w:val="00ED0DF4"/>
    <w:rsid w:val="00ED0F47"/>
    <w:rsid w:val="00ED24C0"/>
    <w:rsid w:val="00ED2D89"/>
    <w:rsid w:val="00ED335E"/>
    <w:rsid w:val="00ED39F1"/>
    <w:rsid w:val="00ED5118"/>
    <w:rsid w:val="00ED5F2B"/>
    <w:rsid w:val="00ED60B8"/>
    <w:rsid w:val="00ED635B"/>
    <w:rsid w:val="00EE2BBD"/>
    <w:rsid w:val="00EE3BC1"/>
    <w:rsid w:val="00EE4C7C"/>
    <w:rsid w:val="00EE6B84"/>
    <w:rsid w:val="00EE6F99"/>
    <w:rsid w:val="00EE7A40"/>
    <w:rsid w:val="00EF08CC"/>
    <w:rsid w:val="00EF1260"/>
    <w:rsid w:val="00EF5077"/>
    <w:rsid w:val="00EF59EF"/>
    <w:rsid w:val="00EF6EB8"/>
    <w:rsid w:val="00EF7243"/>
    <w:rsid w:val="00F00B36"/>
    <w:rsid w:val="00F02838"/>
    <w:rsid w:val="00F03155"/>
    <w:rsid w:val="00F03D41"/>
    <w:rsid w:val="00F0524F"/>
    <w:rsid w:val="00F05BC2"/>
    <w:rsid w:val="00F101FE"/>
    <w:rsid w:val="00F119C3"/>
    <w:rsid w:val="00F11B01"/>
    <w:rsid w:val="00F12504"/>
    <w:rsid w:val="00F125BF"/>
    <w:rsid w:val="00F13650"/>
    <w:rsid w:val="00F14957"/>
    <w:rsid w:val="00F15CD0"/>
    <w:rsid w:val="00F172CF"/>
    <w:rsid w:val="00F1731A"/>
    <w:rsid w:val="00F17B28"/>
    <w:rsid w:val="00F21A7C"/>
    <w:rsid w:val="00F21DFE"/>
    <w:rsid w:val="00F22C13"/>
    <w:rsid w:val="00F238C2"/>
    <w:rsid w:val="00F25286"/>
    <w:rsid w:val="00F27470"/>
    <w:rsid w:val="00F30255"/>
    <w:rsid w:val="00F3171C"/>
    <w:rsid w:val="00F33AFF"/>
    <w:rsid w:val="00F33D68"/>
    <w:rsid w:val="00F34487"/>
    <w:rsid w:val="00F364D5"/>
    <w:rsid w:val="00F37022"/>
    <w:rsid w:val="00F3768A"/>
    <w:rsid w:val="00F37F08"/>
    <w:rsid w:val="00F40FC4"/>
    <w:rsid w:val="00F42711"/>
    <w:rsid w:val="00F42A98"/>
    <w:rsid w:val="00F4637F"/>
    <w:rsid w:val="00F469E8"/>
    <w:rsid w:val="00F47CE9"/>
    <w:rsid w:val="00F47FEA"/>
    <w:rsid w:val="00F53F4A"/>
    <w:rsid w:val="00F5429F"/>
    <w:rsid w:val="00F548A0"/>
    <w:rsid w:val="00F55342"/>
    <w:rsid w:val="00F56E81"/>
    <w:rsid w:val="00F57E4D"/>
    <w:rsid w:val="00F606A5"/>
    <w:rsid w:val="00F607BD"/>
    <w:rsid w:val="00F61244"/>
    <w:rsid w:val="00F61F75"/>
    <w:rsid w:val="00F6243D"/>
    <w:rsid w:val="00F6252C"/>
    <w:rsid w:val="00F63531"/>
    <w:rsid w:val="00F63E7F"/>
    <w:rsid w:val="00F658AF"/>
    <w:rsid w:val="00F70DA8"/>
    <w:rsid w:val="00F73BB0"/>
    <w:rsid w:val="00F741A6"/>
    <w:rsid w:val="00F74820"/>
    <w:rsid w:val="00F763FD"/>
    <w:rsid w:val="00F766D3"/>
    <w:rsid w:val="00F77F4E"/>
    <w:rsid w:val="00F80257"/>
    <w:rsid w:val="00F80434"/>
    <w:rsid w:val="00F837DB"/>
    <w:rsid w:val="00F83A6C"/>
    <w:rsid w:val="00F83BDA"/>
    <w:rsid w:val="00F86195"/>
    <w:rsid w:val="00F86EB6"/>
    <w:rsid w:val="00F87CFD"/>
    <w:rsid w:val="00F92178"/>
    <w:rsid w:val="00F92504"/>
    <w:rsid w:val="00F92920"/>
    <w:rsid w:val="00F95FD0"/>
    <w:rsid w:val="00F969E9"/>
    <w:rsid w:val="00F97D9A"/>
    <w:rsid w:val="00FA0EDE"/>
    <w:rsid w:val="00FA1933"/>
    <w:rsid w:val="00FA5635"/>
    <w:rsid w:val="00FA7903"/>
    <w:rsid w:val="00FB0E12"/>
    <w:rsid w:val="00FB0EBD"/>
    <w:rsid w:val="00FB4640"/>
    <w:rsid w:val="00FB561F"/>
    <w:rsid w:val="00FB5684"/>
    <w:rsid w:val="00FB70BB"/>
    <w:rsid w:val="00FC13DD"/>
    <w:rsid w:val="00FC23FF"/>
    <w:rsid w:val="00FC24BE"/>
    <w:rsid w:val="00FC2912"/>
    <w:rsid w:val="00FC39E8"/>
    <w:rsid w:val="00FC6286"/>
    <w:rsid w:val="00FC6BEC"/>
    <w:rsid w:val="00FD028F"/>
    <w:rsid w:val="00FD213A"/>
    <w:rsid w:val="00FD515A"/>
    <w:rsid w:val="00FD569F"/>
    <w:rsid w:val="00FE0AF6"/>
    <w:rsid w:val="00FE0FB1"/>
    <w:rsid w:val="00FE103A"/>
    <w:rsid w:val="00FE196F"/>
    <w:rsid w:val="00FE1C56"/>
    <w:rsid w:val="00FE1E3A"/>
    <w:rsid w:val="00FE37F7"/>
    <w:rsid w:val="00FE3857"/>
    <w:rsid w:val="00FE4462"/>
    <w:rsid w:val="00FE47DA"/>
    <w:rsid w:val="00FE4EAF"/>
    <w:rsid w:val="00FE576E"/>
    <w:rsid w:val="00FE779D"/>
    <w:rsid w:val="00FE796F"/>
    <w:rsid w:val="00FF0D0E"/>
    <w:rsid w:val="00FF16A7"/>
    <w:rsid w:val="00FF2822"/>
    <w:rsid w:val="00FF2CAA"/>
    <w:rsid w:val="00FF5F4A"/>
    <w:rsid w:val="01030221"/>
    <w:rsid w:val="012D307E"/>
    <w:rsid w:val="013139C3"/>
    <w:rsid w:val="013B303C"/>
    <w:rsid w:val="01403A13"/>
    <w:rsid w:val="01D143AD"/>
    <w:rsid w:val="01D17BC9"/>
    <w:rsid w:val="02055C5C"/>
    <w:rsid w:val="02342CC1"/>
    <w:rsid w:val="0270686F"/>
    <w:rsid w:val="028657C0"/>
    <w:rsid w:val="02950576"/>
    <w:rsid w:val="02A776F5"/>
    <w:rsid w:val="02A965CC"/>
    <w:rsid w:val="02BF138F"/>
    <w:rsid w:val="031D6444"/>
    <w:rsid w:val="034C7FEF"/>
    <w:rsid w:val="035C519B"/>
    <w:rsid w:val="035C7D2E"/>
    <w:rsid w:val="037B47E5"/>
    <w:rsid w:val="037C7496"/>
    <w:rsid w:val="0390786B"/>
    <w:rsid w:val="03DC2596"/>
    <w:rsid w:val="03DD0F00"/>
    <w:rsid w:val="03E65A5C"/>
    <w:rsid w:val="04025972"/>
    <w:rsid w:val="042F55FA"/>
    <w:rsid w:val="045D72C7"/>
    <w:rsid w:val="045E430A"/>
    <w:rsid w:val="04611890"/>
    <w:rsid w:val="049836A4"/>
    <w:rsid w:val="049C2141"/>
    <w:rsid w:val="04A46C23"/>
    <w:rsid w:val="04A81921"/>
    <w:rsid w:val="052C5741"/>
    <w:rsid w:val="053E4685"/>
    <w:rsid w:val="05742FD8"/>
    <w:rsid w:val="05803B4B"/>
    <w:rsid w:val="058D1D3D"/>
    <w:rsid w:val="059117C6"/>
    <w:rsid w:val="05A46A8E"/>
    <w:rsid w:val="05CA176E"/>
    <w:rsid w:val="05E0199B"/>
    <w:rsid w:val="06077A10"/>
    <w:rsid w:val="065B06D1"/>
    <w:rsid w:val="0660666F"/>
    <w:rsid w:val="066A459C"/>
    <w:rsid w:val="06BF035C"/>
    <w:rsid w:val="06F90428"/>
    <w:rsid w:val="07063AA3"/>
    <w:rsid w:val="07237198"/>
    <w:rsid w:val="072C4D70"/>
    <w:rsid w:val="072E1C94"/>
    <w:rsid w:val="0757383E"/>
    <w:rsid w:val="075D5BE5"/>
    <w:rsid w:val="07752435"/>
    <w:rsid w:val="077F1302"/>
    <w:rsid w:val="078E1137"/>
    <w:rsid w:val="07A505CF"/>
    <w:rsid w:val="07B44A5A"/>
    <w:rsid w:val="07B81896"/>
    <w:rsid w:val="07D95C28"/>
    <w:rsid w:val="07E02845"/>
    <w:rsid w:val="080041F1"/>
    <w:rsid w:val="08357D97"/>
    <w:rsid w:val="085D7C33"/>
    <w:rsid w:val="08635285"/>
    <w:rsid w:val="0896115A"/>
    <w:rsid w:val="08E104C7"/>
    <w:rsid w:val="08E20D08"/>
    <w:rsid w:val="08EB018B"/>
    <w:rsid w:val="0904010B"/>
    <w:rsid w:val="094F261D"/>
    <w:rsid w:val="097F55EA"/>
    <w:rsid w:val="09D52009"/>
    <w:rsid w:val="0A2357CD"/>
    <w:rsid w:val="0A43229B"/>
    <w:rsid w:val="0A515477"/>
    <w:rsid w:val="0A532701"/>
    <w:rsid w:val="0A63354A"/>
    <w:rsid w:val="0A6F38C7"/>
    <w:rsid w:val="0A852E4E"/>
    <w:rsid w:val="0AA338DC"/>
    <w:rsid w:val="0AD37FE9"/>
    <w:rsid w:val="0AD95C36"/>
    <w:rsid w:val="0ADA17F7"/>
    <w:rsid w:val="0AE3187C"/>
    <w:rsid w:val="0AEA4F73"/>
    <w:rsid w:val="0AF873D5"/>
    <w:rsid w:val="0B0E131B"/>
    <w:rsid w:val="0B3F68B9"/>
    <w:rsid w:val="0B5D0996"/>
    <w:rsid w:val="0B633415"/>
    <w:rsid w:val="0B7B4FCC"/>
    <w:rsid w:val="0B7D3995"/>
    <w:rsid w:val="0B837613"/>
    <w:rsid w:val="0BDA61CF"/>
    <w:rsid w:val="0BDE0053"/>
    <w:rsid w:val="0BF5005A"/>
    <w:rsid w:val="0C2F3766"/>
    <w:rsid w:val="0C934C29"/>
    <w:rsid w:val="0C9A19D2"/>
    <w:rsid w:val="0CAE233A"/>
    <w:rsid w:val="0CDB5CE4"/>
    <w:rsid w:val="0CE40F85"/>
    <w:rsid w:val="0D0C18AD"/>
    <w:rsid w:val="0D1C3956"/>
    <w:rsid w:val="0D495F54"/>
    <w:rsid w:val="0D83041C"/>
    <w:rsid w:val="0DA73361"/>
    <w:rsid w:val="0DAD2707"/>
    <w:rsid w:val="0DD53B2B"/>
    <w:rsid w:val="0DF351A7"/>
    <w:rsid w:val="0E397E82"/>
    <w:rsid w:val="0E7656F5"/>
    <w:rsid w:val="0E77578B"/>
    <w:rsid w:val="0E8F3073"/>
    <w:rsid w:val="0E9B5D5D"/>
    <w:rsid w:val="0EBC2C2A"/>
    <w:rsid w:val="0F3E6DEF"/>
    <w:rsid w:val="0F7B3D42"/>
    <w:rsid w:val="0F944ED5"/>
    <w:rsid w:val="0FDF36A5"/>
    <w:rsid w:val="0FE4089C"/>
    <w:rsid w:val="0FEC7C69"/>
    <w:rsid w:val="100D7BC7"/>
    <w:rsid w:val="101C5EB9"/>
    <w:rsid w:val="103B4B90"/>
    <w:rsid w:val="1040167A"/>
    <w:rsid w:val="108C2747"/>
    <w:rsid w:val="10AD2B92"/>
    <w:rsid w:val="10C93E94"/>
    <w:rsid w:val="10F308CC"/>
    <w:rsid w:val="111239F8"/>
    <w:rsid w:val="11140D0D"/>
    <w:rsid w:val="111F0CD1"/>
    <w:rsid w:val="11473DF0"/>
    <w:rsid w:val="114771F3"/>
    <w:rsid w:val="115B4F6C"/>
    <w:rsid w:val="11974D06"/>
    <w:rsid w:val="1198193E"/>
    <w:rsid w:val="11AD2800"/>
    <w:rsid w:val="11D21684"/>
    <w:rsid w:val="11E340C5"/>
    <w:rsid w:val="11EC51D6"/>
    <w:rsid w:val="11F8419F"/>
    <w:rsid w:val="12810624"/>
    <w:rsid w:val="12B6046E"/>
    <w:rsid w:val="12CC2238"/>
    <w:rsid w:val="12F157AA"/>
    <w:rsid w:val="130612AD"/>
    <w:rsid w:val="1323348A"/>
    <w:rsid w:val="1340562B"/>
    <w:rsid w:val="135E0620"/>
    <w:rsid w:val="13612AD9"/>
    <w:rsid w:val="136A730B"/>
    <w:rsid w:val="139C578E"/>
    <w:rsid w:val="13C200D1"/>
    <w:rsid w:val="13DF53AD"/>
    <w:rsid w:val="13EF54B3"/>
    <w:rsid w:val="13F35552"/>
    <w:rsid w:val="14117324"/>
    <w:rsid w:val="1422369C"/>
    <w:rsid w:val="14237E47"/>
    <w:rsid w:val="14271CE4"/>
    <w:rsid w:val="14800D4A"/>
    <w:rsid w:val="14872E20"/>
    <w:rsid w:val="148B4B50"/>
    <w:rsid w:val="14F17C8A"/>
    <w:rsid w:val="152F04F5"/>
    <w:rsid w:val="15387731"/>
    <w:rsid w:val="15646961"/>
    <w:rsid w:val="1571672E"/>
    <w:rsid w:val="15A77A54"/>
    <w:rsid w:val="15BA06BA"/>
    <w:rsid w:val="16247C45"/>
    <w:rsid w:val="164D10DF"/>
    <w:rsid w:val="16594A37"/>
    <w:rsid w:val="167364D6"/>
    <w:rsid w:val="168801D3"/>
    <w:rsid w:val="16937155"/>
    <w:rsid w:val="16A23859"/>
    <w:rsid w:val="16C575CC"/>
    <w:rsid w:val="16C77196"/>
    <w:rsid w:val="16D52CC7"/>
    <w:rsid w:val="16DD4B68"/>
    <w:rsid w:val="16E35F60"/>
    <w:rsid w:val="16FF40E5"/>
    <w:rsid w:val="170365CB"/>
    <w:rsid w:val="17074FD0"/>
    <w:rsid w:val="173E76E9"/>
    <w:rsid w:val="17471E3D"/>
    <w:rsid w:val="175778A6"/>
    <w:rsid w:val="175E3D18"/>
    <w:rsid w:val="177E15D6"/>
    <w:rsid w:val="178E319B"/>
    <w:rsid w:val="18266ED2"/>
    <w:rsid w:val="18283BE3"/>
    <w:rsid w:val="18594154"/>
    <w:rsid w:val="1877420C"/>
    <w:rsid w:val="18791D09"/>
    <w:rsid w:val="18907EC3"/>
    <w:rsid w:val="18AE1A47"/>
    <w:rsid w:val="18B5565C"/>
    <w:rsid w:val="18C54147"/>
    <w:rsid w:val="18C852B8"/>
    <w:rsid w:val="191C6D94"/>
    <w:rsid w:val="19212219"/>
    <w:rsid w:val="193E05EC"/>
    <w:rsid w:val="19461C80"/>
    <w:rsid w:val="19982235"/>
    <w:rsid w:val="19EF45D9"/>
    <w:rsid w:val="19F6079F"/>
    <w:rsid w:val="1A010F64"/>
    <w:rsid w:val="1A135554"/>
    <w:rsid w:val="1A707A44"/>
    <w:rsid w:val="1A954065"/>
    <w:rsid w:val="1A9A5C93"/>
    <w:rsid w:val="1AA63EB7"/>
    <w:rsid w:val="1AC07A32"/>
    <w:rsid w:val="1AC270F6"/>
    <w:rsid w:val="1B472B81"/>
    <w:rsid w:val="1B64280C"/>
    <w:rsid w:val="1B73197E"/>
    <w:rsid w:val="1BB92B2E"/>
    <w:rsid w:val="1BCC3D27"/>
    <w:rsid w:val="1BD55266"/>
    <w:rsid w:val="1BF8057D"/>
    <w:rsid w:val="1C0F2F35"/>
    <w:rsid w:val="1C10741F"/>
    <w:rsid w:val="1C155D8D"/>
    <w:rsid w:val="1C2B1A00"/>
    <w:rsid w:val="1C2E5A8F"/>
    <w:rsid w:val="1C461A94"/>
    <w:rsid w:val="1C6D759E"/>
    <w:rsid w:val="1C753368"/>
    <w:rsid w:val="1C7A5203"/>
    <w:rsid w:val="1CAF5F40"/>
    <w:rsid w:val="1CFC03C5"/>
    <w:rsid w:val="1CFD472D"/>
    <w:rsid w:val="1D012A8E"/>
    <w:rsid w:val="1D0E4400"/>
    <w:rsid w:val="1D161299"/>
    <w:rsid w:val="1D182C5A"/>
    <w:rsid w:val="1D35683E"/>
    <w:rsid w:val="1D62187F"/>
    <w:rsid w:val="1D9432EA"/>
    <w:rsid w:val="1D9A1041"/>
    <w:rsid w:val="1DC95D3E"/>
    <w:rsid w:val="1DEF0DEC"/>
    <w:rsid w:val="1E157BDC"/>
    <w:rsid w:val="1E20349A"/>
    <w:rsid w:val="1E336318"/>
    <w:rsid w:val="1E4C2AE7"/>
    <w:rsid w:val="1E6B5203"/>
    <w:rsid w:val="1E97694C"/>
    <w:rsid w:val="1EA3043F"/>
    <w:rsid w:val="1EBD0C36"/>
    <w:rsid w:val="1EC14338"/>
    <w:rsid w:val="1ECA6EAF"/>
    <w:rsid w:val="1F606282"/>
    <w:rsid w:val="1F610039"/>
    <w:rsid w:val="1FAA20FB"/>
    <w:rsid w:val="1FB2248F"/>
    <w:rsid w:val="1FC8101C"/>
    <w:rsid w:val="1FF93E94"/>
    <w:rsid w:val="20364A28"/>
    <w:rsid w:val="207B1A28"/>
    <w:rsid w:val="20A756FA"/>
    <w:rsid w:val="20B472A0"/>
    <w:rsid w:val="20BE639E"/>
    <w:rsid w:val="20C161C4"/>
    <w:rsid w:val="20DD0AB3"/>
    <w:rsid w:val="20FA26CC"/>
    <w:rsid w:val="21125BEA"/>
    <w:rsid w:val="212C0F7D"/>
    <w:rsid w:val="214B655E"/>
    <w:rsid w:val="215433F8"/>
    <w:rsid w:val="21717AB6"/>
    <w:rsid w:val="21806361"/>
    <w:rsid w:val="21834AB6"/>
    <w:rsid w:val="218C4F85"/>
    <w:rsid w:val="21E34823"/>
    <w:rsid w:val="21EB5C76"/>
    <w:rsid w:val="21EE3CD5"/>
    <w:rsid w:val="22527A09"/>
    <w:rsid w:val="226E2DA3"/>
    <w:rsid w:val="22743B2B"/>
    <w:rsid w:val="22930BD3"/>
    <w:rsid w:val="229C36CF"/>
    <w:rsid w:val="22E85E38"/>
    <w:rsid w:val="23093FED"/>
    <w:rsid w:val="231D0962"/>
    <w:rsid w:val="2330662F"/>
    <w:rsid w:val="23354C32"/>
    <w:rsid w:val="234A4CE9"/>
    <w:rsid w:val="23785760"/>
    <w:rsid w:val="238423BC"/>
    <w:rsid w:val="238E612A"/>
    <w:rsid w:val="23C67BAA"/>
    <w:rsid w:val="23D57C2B"/>
    <w:rsid w:val="23E346D1"/>
    <w:rsid w:val="24052931"/>
    <w:rsid w:val="240E6423"/>
    <w:rsid w:val="240F2A2B"/>
    <w:rsid w:val="24155071"/>
    <w:rsid w:val="24166E61"/>
    <w:rsid w:val="24175E8A"/>
    <w:rsid w:val="242774A4"/>
    <w:rsid w:val="247A143E"/>
    <w:rsid w:val="24CE239F"/>
    <w:rsid w:val="24D357F1"/>
    <w:rsid w:val="24E64261"/>
    <w:rsid w:val="24EA2059"/>
    <w:rsid w:val="25454288"/>
    <w:rsid w:val="254F1D56"/>
    <w:rsid w:val="257C7BAF"/>
    <w:rsid w:val="25931A09"/>
    <w:rsid w:val="259602D1"/>
    <w:rsid w:val="25C2497C"/>
    <w:rsid w:val="25D111EA"/>
    <w:rsid w:val="25D51BD7"/>
    <w:rsid w:val="26221D31"/>
    <w:rsid w:val="262B4F7C"/>
    <w:rsid w:val="262D1D46"/>
    <w:rsid w:val="26551754"/>
    <w:rsid w:val="26760048"/>
    <w:rsid w:val="268A547E"/>
    <w:rsid w:val="26A627E0"/>
    <w:rsid w:val="26A749A3"/>
    <w:rsid w:val="26C85809"/>
    <w:rsid w:val="26D50D8D"/>
    <w:rsid w:val="272915B8"/>
    <w:rsid w:val="27476C2F"/>
    <w:rsid w:val="27532138"/>
    <w:rsid w:val="27536F86"/>
    <w:rsid w:val="275F60A8"/>
    <w:rsid w:val="27664CBE"/>
    <w:rsid w:val="27670253"/>
    <w:rsid w:val="277B230C"/>
    <w:rsid w:val="277F117F"/>
    <w:rsid w:val="278C1F54"/>
    <w:rsid w:val="27AA06E8"/>
    <w:rsid w:val="27B93CAA"/>
    <w:rsid w:val="27BD6E37"/>
    <w:rsid w:val="27CE6258"/>
    <w:rsid w:val="280B3C4F"/>
    <w:rsid w:val="28333F70"/>
    <w:rsid w:val="283D4350"/>
    <w:rsid w:val="28570DBC"/>
    <w:rsid w:val="285D6BEB"/>
    <w:rsid w:val="286D0FD7"/>
    <w:rsid w:val="286D244C"/>
    <w:rsid w:val="287D11CC"/>
    <w:rsid w:val="28820035"/>
    <w:rsid w:val="28991561"/>
    <w:rsid w:val="289A4AF7"/>
    <w:rsid w:val="28A866C2"/>
    <w:rsid w:val="28B2506C"/>
    <w:rsid w:val="28B97C87"/>
    <w:rsid w:val="28D2700F"/>
    <w:rsid w:val="292E5F5C"/>
    <w:rsid w:val="294B00CB"/>
    <w:rsid w:val="294F6579"/>
    <w:rsid w:val="2962498F"/>
    <w:rsid w:val="297A286D"/>
    <w:rsid w:val="299B2A64"/>
    <w:rsid w:val="29D65AFF"/>
    <w:rsid w:val="29DF4157"/>
    <w:rsid w:val="2A1A7BF2"/>
    <w:rsid w:val="2A30432A"/>
    <w:rsid w:val="2A8A76C0"/>
    <w:rsid w:val="2AAE0A6A"/>
    <w:rsid w:val="2AD25A69"/>
    <w:rsid w:val="2B446EB9"/>
    <w:rsid w:val="2BA15467"/>
    <w:rsid w:val="2BA478CC"/>
    <w:rsid w:val="2BCD74F1"/>
    <w:rsid w:val="2BEF493F"/>
    <w:rsid w:val="2C154E23"/>
    <w:rsid w:val="2C212B7D"/>
    <w:rsid w:val="2C2822B3"/>
    <w:rsid w:val="2C2C11A9"/>
    <w:rsid w:val="2C37223B"/>
    <w:rsid w:val="2CB72A66"/>
    <w:rsid w:val="2CB87AD3"/>
    <w:rsid w:val="2CBC3D52"/>
    <w:rsid w:val="2CF241A1"/>
    <w:rsid w:val="2CF62C17"/>
    <w:rsid w:val="2CF675FB"/>
    <w:rsid w:val="2D0F5072"/>
    <w:rsid w:val="2D2730A6"/>
    <w:rsid w:val="2D4B5F13"/>
    <w:rsid w:val="2D6D1880"/>
    <w:rsid w:val="2D71078A"/>
    <w:rsid w:val="2D775E03"/>
    <w:rsid w:val="2D8249A3"/>
    <w:rsid w:val="2D824F6E"/>
    <w:rsid w:val="2D8F505B"/>
    <w:rsid w:val="2DB04C8A"/>
    <w:rsid w:val="2DC549E2"/>
    <w:rsid w:val="2DE07032"/>
    <w:rsid w:val="2E01718F"/>
    <w:rsid w:val="2E17129A"/>
    <w:rsid w:val="2E3039C0"/>
    <w:rsid w:val="2E3C1804"/>
    <w:rsid w:val="2E6122E5"/>
    <w:rsid w:val="2E644495"/>
    <w:rsid w:val="2E731827"/>
    <w:rsid w:val="2E7A26A0"/>
    <w:rsid w:val="2E880B1B"/>
    <w:rsid w:val="2EA66FF1"/>
    <w:rsid w:val="2ECC457E"/>
    <w:rsid w:val="2EF0731D"/>
    <w:rsid w:val="2EF557F4"/>
    <w:rsid w:val="2F2E2BB6"/>
    <w:rsid w:val="2F3F2B49"/>
    <w:rsid w:val="2F5836B9"/>
    <w:rsid w:val="2F6512C0"/>
    <w:rsid w:val="2F68699C"/>
    <w:rsid w:val="2F8A22C2"/>
    <w:rsid w:val="2F8C44F4"/>
    <w:rsid w:val="2F950743"/>
    <w:rsid w:val="2FAB2190"/>
    <w:rsid w:val="2FB971F8"/>
    <w:rsid w:val="2FC8262B"/>
    <w:rsid w:val="302E71DF"/>
    <w:rsid w:val="303913B3"/>
    <w:rsid w:val="30915A7F"/>
    <w:rsid w:val="30C14C35"/>
    <w:rsid w:val="30E36DD4"/>
    <w:rsid w:val="31085D41"/>
    <w:rsid w:val="31211DF3"/>
    <w:rsid w:val="31AB2C77"/>
    <w:rsid w:val="31C60EDA"/>
    <w:rsid w:val="32075FF9"/>
    <w:rsid w:val="320B6607"/>
    <w:rsid w:val="322D1ECB"/>
    <w:rsid w:val="323C48D9"/>
    <w:rsid w:val="3253071D"/>
    <w:rsid w:val="325F6167"/>
    <w:rsid w:val="32773661"/>
    <w:rsid w:val="328D3AE0"/>
    <w:rsid w:val="32D305D1"/>
    <w:rsid w:val="32DE718C"/>
    <w:rsid w:val="32F176A5"/>
    <w:rsid w:val="33154DF6"/>
    <w:rsid w:val="33325963"/>
    <w:rsid w:val="336F2B17"/>
    <w:rsid w:val="338560C2"/>
    <w:rsid w:val="33F36CCE"/>
    <w:rsid w:val="33FA0C36"/>
    <w:rsid w:val="34290A32"/>
    <w:rsid w:val="342C54EE"/>
    <w:rsid w:val="34994377"/>
    <w:rsid w:val="34AB4785"/>
    <w:rsid w:val="34C81EC6"/>
    <w:rsid w:val="350B4A40"/>
    <w:rsid w:val="351546D6"/>
    <w:rsid w:val="353D372F"/>
    <w:rsid w:val="359029CB"/>
    <w:rsid w:val="35A23EDD"/>
    <w:rsid w:val="35D93181"/>
    <w:rsid w:val="36205903"/>
    <w:rsid w:val="365C7CAD"/>
    <w:rsid w:val="366253C1"/>
    <w:rsid w:val="36677EA2"/>
    <w:rsid w:val="36985F56"/>
    <w:rsid w:val="369E253D"/>
    <w:rsid w:val="36A75534"/>
    <w:rsid w:val="36BD1729"/>
    <w:rsid w:val="37290BB6"/>
    <w:rsid w:val="372E1F82"/>
    <w:rsid w:val="37676845"/>
    <w:rsid w:val="37845EFC"/>
    <w:rsid w:val="37867804"/>
    <w:rsid w:val="379441DC"/>
    <w:rsid w:val="379B5726"/>
    <w:rsid w:val="379C3687"/>
    <w:rsid w:val="37C275FB"/>
    <w:rsid w:val="37E744B0"/>
    <w:rsid w:val="37F90CD6"/>
    <w:rsid w:val="38BF4E68"/>
    <w:rsid w:val="38C37610"/>
    <w:rsid w:val="38CD3D19"/>
    <w:rsid w:val="38D34F80"/>
    <w:rsid w:val="39057142"/>
    <w:rsid w:val="394211A1"/>
    <w:rsid w:val="3944067C"/>
    <w:rsid w:val="39476D16"/>
    <w:rsid w:val="39A00FC7"/>
    <w:rsid w:val="39A700C1"/>
    <w:rsid w:val="39AA2E23"/>
    <w:rsid w:val="39C66799"/>
    <w:rsid w:val="39CF0235"/>
    <w:rsid w:val="3A041595"/>
    <w:rsid w:val="3A091A06"/>
    <w:rsid w:val="3A0F5D01"/>
    <w:rsid w:val="3A241712"/>
    <w:rsid w:val="3A551B39"/>
    <w:rsid w:val="3A797EE1"/>
    <w:rsid w:val="3A8A0358"/>
    <w:rsid w:val="3ACD02A7"/>
    <w:rsid w:val="3AE621A7"/>
    <w:rsid w:val="3B0722CA"/>
    <w:rsid w:val="3B181276"/>
    <w:rsid w:val="3B5D1DBE"/>
    <w:rsid w:val="3B7C1BC0"/>
    <w:rsid w:val="3B7E3E6B"/>
    <w:rsid w:val="3B9C0EEA"/>
    <w:rsid w:val="3BB47897"/>
    <w:rsid w:val="3BBC0318"/>
    <w:rsid w:val="3BFF575C"/>
    <w:rsid w:val="3C2A57EB"/>
    <w:rsid w:val="3C455F6E"/>
    <w:rsid w:val="3C5141AC"/>
    <w:rsid w:val="3C812E4B"/>
    <w:rsid w:val="3CB61363"/>
    <w:rsid w:val="3CEB6517"/>
    <w:rsid w:val="3CEE3610"/>
    <w:rsid w:val="3CF8099D"/>
    <w:rsid w:val="3D0950EC"/>
    <w:rsid w:val="3D6D5D68"/>
    <w:rsid w:val="3D847A37"/>
    <w:rsid w:val="3D8F19FB"/>
    <w:rsid w:val="3D9879EE"/>
    <w:rsid w:val="3DF12F16"/>
    <w:rsid w:val="3E020E30"/>
    <w:rsid w:val="3E155CCA"/>
    <w:rsid w:val="3E1D1DCB"/>
    <w:rsid w:val="3E265A58"/>
    <w:rsid w:val="3E34496F"/>
    <w:rsid w:val="3E410524"/>
    <w:rsid w:val="3E5E1696"/>
    <w:rsid w:val="3E642A25"/>
    <w:rsid w:val="3EC60FE9"/>
    <w:rsid w:val="3ECF38BF"/>
    <w:rsid w:val="3ED569E1"/>
    <w:rsid w:val="3EE25404"/>
    <w:rsid w:val="3EF00C41"/>
    <w:rsid w:val="3F130B4E"/>
    <w:rsid w:val="3F2A1578"/>
    <w:rsid w:val="3F8F0EFD"/>
    <w:rsid w:val="40033F8A"/>
    <w:rsid w:val="400753F7"/>
    <w:rsid w:val="401F245D"/>
    <w:rsid w:val="406245AA"/>
    <w:rsid w:val="40827192"/>
    <w:rsid w:val="409D0386"/>
    <w:rsid w:val="40AA7803"/>
    <w:rsid w:val="40B821A0"/>
    <w:rsid w:val="40CE4C52"/>
    <w:rsid w:val="40D036B9"/>
    <w:rsid w:val="40D32180"/>
    <w:rsid w:val="4134454E"/>
    <w:rsid w:val="413E130B"/>
    <w:rsid w:val="416911B1"/>
    <w:rsid w:val="416E2A6D"/>
    <w:rsid w:val="417A6B27"/>
    <w:rsid w:val="41811C1F"/>
    <w:rsid w:val="41973FA0"/>
    <w:rsid w:val="41CC5867"/>
    <w:rsid w:val="420C765B"/>
    <w:rsid w:val="428D1301"/>
    <w:rsid w:val="429A0FC4"/>
    <w:rsid w:val="42C93F88"/>
    <w:rsid w:val="42EE266B"/>
    <w:rsid w:val="4301526B"/>
    <w:rsid w:val="43040483"/>
    <w:rsid w:val="433A3D54"/>
    <w:rsid w:val="437A08FC"/>
    <w:rsid w:val="439E0C36"/>
    <w:rsid w:val="43BB5CF4"/>
    <w:rsid w:val="43CD7D5C"/>
    <w:rsid w:val="43E54333"/>
    <w:rsid w:val="43F435CC"/>
    <w:rsid w:val="43FF63D8"/>
    <w:rsid w:val="448A6B93"/>
    <w:rsid w:val="449060CC"/>
    <w:rsid w:val="44986938"/>
    <w:rsid w:val="44A179CC"/>
    <w:rsid w:val="44C91833"/>
    <w:rsid w:val="44E06516"/>
    <w:rsid w:val="44E12D0E"/>
    <w:rsid w:val="44E5769E"/>
    <w:rsid w:val="4517434D"/>
    <w:rsid w:val="452D1EDA"/>
    <w:rsid w:val="45301409"/>
    <w:rsid w:val="45477A3A"/>
    <w:rsid w:val="454803EA"/>
    <w:rsid w:val="454C0281"/>
    <w:rsid w:val="45960CF5"/>
    <w:rsid w:val="45997458"/>
    <w:rsid w:val="45C6702A"/>
    <w:rsid w:val="45CC3389"/>
    <w:rsid w:val="45D71884"/>
    <w:rsid w:val="45F53E12"/>
    <w:rsid w:val="45F84786"/>
    <w:rsid w:val="46072DAA"/>
    <w:rsid w:val="46457077"/>
    <w:rsid w:val="46460CB5"/>
    <w:rsid w:val="465B376D"/>
    <w:rsid w:val="466156CB"/>
    <w:rsid w:val="466E290E"/>
    <w:rsid w:val="468551E6"/>
    <w:rsid w:val="46886C8E"/>
    <w:rsid w:val="46DB328A"/>
    <w:rsid w:val="46F02536"/>
    <w:rsid w:val="471C3E9C"/>
    <w:rsid w:val="4723014C"/>
    <w:rsid w:val="47392255"/>
    <w:rsid w:val="474A0EFC"/>
    <w:rsid w:val="474A6AD2"/>
    <w:rsid w:val="4766437B"/>
    <w:rsid w:val="478559B1"/>
    <w:rsid w:val="47917A6A"/>
    <w:rsid w:val="479E5897"/>
    <w:rsid w:val="47AA27DB"/>
    <w:rsid w:val="47B86FCF"/>
    <w:rsid w:val="47CE0680"/>
    <w:rsid w:val="47DF6EB2"/>
    <w:rsid w:val="47E61977"/>
    <w:rsid w:val="48103421"/>
    <w:rsid w:val="485C2CC5"/>
    <w:rsid w:val="486D4AAB"/>
    <w:rsid w:val="48C94E85"/>
    <w:rsid w:val="48E7798A"/>
    <w:rsid w:val="49137BC7"/>
    <w:rsid w:val="494A4FCB"/>
    <w:rsid w:val="4956519E"/>
    <w:rsid w:val="49625C70"/>
    <w:rsid w:val="49D81F15"/>
    <w:rsid w:val="49EF4EA4"/>
    <w:rsid w:val="4A2E0281"/>
    <w:rsid w:val="4A3268BB"/>
    <w:rsid w:val="4A5C0A0C"/>
    <w:rsid w:val="4A6D0315"/>
    <w:rsid w:val="4AC90CBC"/>
    <w:rsid w:val="4AE11EC0"/>
    <w:rsid w:val="4B1D50AC"/>
    <w:rsid w:val="4B81317A"/>
    <w:rsid w:val="4B936A35"/>
    <w:rsid w:val="4BC87333"/>
    <w:rsid w:val="4BE04A2A"/>
    <w:rsid w:val="4BEB59DB"/>
    <w:rsid w:val="4BF359E8"/>
    <w:rsid w:val="4BFD56DD"/>
    <w:rsid w:val="4BFE1038"/>
    <w:rsid w:val="4C15377B"/>
    <w:rsid w:val="4C2A4797"/>
    <w:rsid w:val="4C6A1250"/>
    <w:rsid w:val="4C7666C6"/>
    <w:rsid w:val="4CBE1552"/>
    <w:rsid w:val="4CE31CFC"/>
    <w:rsid w:val="4CE947FB"/>
    <w:rsid w:val="4CFC2A41"/>
    <w:rsid w:val="4D2A6BC1"/>
    <w:rsid w:val="4D435398"/>
    <w:rsid w:val="4D490F79"/>
    <w:rsid w:val="4D4B0E90"/>
    <w:rsid w:val="4D5929CE"/>
    <w:rsid w:val="4D5E62D5"/>
    <w:rsid w:val="4D8068D5"/>
    <w:rsid w:val="4DA72A21"/>
    <w:rsid w:val="4DCE525F"/>
    <w:rsid w:val="4DFF156B"/>
    <w:rsid w:val="4E0974F1"/>
    <w:rsid w:val="4E64238F"/>
    <w:rsid w:val="4E7272ED"/>
    <w:rsid w:val="4E740476"/>
    <w:rsid w:val="4E8306A0"/>
    <w:rsid w:val="4EC966A4"/>
    <w:rsid w:val="4EF701B8"/>
    <w:rsid w:val="4EFB2EBE"/>
    <w:rsid w:val="4F672375"/>
    <w:rsid w:val="4F6E1300"/>
    <w:rsid w:val="4F872425"/>
    <w:rsid w:val="4FCF0E68"/>
    <w:rsid w:val="4FD86E77"/>
    <w:rsid w:val="4FDE2637"/>
    <w:rsid w:val="50314F39"/>
    <w:rsid w:val="50BF703F"/>
    <w:rsid w:val="50D52BC4"/>
    <w:rsid w:val="50F971F7"/>
    <w:rsid w:val="51020758"/>
    <w:rsid w:val="513B3FC2"/>
    <w:rsid w:val="513E7ACC"/>
    <w:rsid w:val="516615F3"/>
    <w:rsid w:val="51750CF5"/>
    <w:rsid w:val="517D1B89"/>
    <w:rsid w:val="51822050"/>
    <w:rsid w:val="51890380"/>
    <w:rsid w:val="518A5EA7"/>
    <w:rsid w:val="51916349"/>
    <w:rsid w:val="51C815FF"/>
    <w:rsid w:val="51C87405"/>
    <w:rsid w:val="51E83823"/>
    <w:rsid w:val="51EC017D"/>
    <w:rsid w:val="51FC6DC7"/>
    <w:rsid w:val="52436BC9"/>
    <w:rsid w:val="52483D98"/>
    <w:rsid w:val="529440E1"/>
    <w:rsid w:val="52B048E8"/>
    <w:rsid w:val="52BB2DBD"/>
    <w:rsid w:val="52FE06AA"/>
    <w:rsid w:val="535B26B9"/>
    <w:rsid w:val="5381481D"/>
    <w:rsid w:val="53E4492E"/>
    <w:rsid w:val="5408667F"/>
    <w:rsid w:val="542A2A90"/>
    <w:rsid w:val="54614F2E"/>
    <w:rsid w:val="54CF5E47"/>
    <w:rsid w:val="54EC25C6"/>
    <w:rsid w:val="55407CBD"/>
    <w:rsid w:val="55416ECF"/>
    <w:rsid w:val="55BE76D3"/>
    <w:rsid w:val="55C951EF"/>
    <w:rsid w:val="55E262CD"/>
    <w:rsid w:val="55F92050"/>
    <w:rsid w:val="55F97F96"/>
    <w:rsid w:val="55FE727E"/>
    <w:rsid w:val="56574EF1"/>
    <w:rsid w:val="569C3B75"/>
    <w:rsid w:val="56C12C94"/>
    <w:rsid w:val="56C562AF"/>
    <w:rsid w:val="56D4004C"/>
    <w:rsid w:val="57032CB2"/>
    <w:rsid w:val="571049FA"/>
    <w:rsid w:val="575D413D"/>
    <w:rsid w:val="5770527C"/>
    <w:rsid w:val="5774053B"/>
    <w:rsid w:val="578D6666"/>
    <w:rsid w:val="57CD4CD0"/>
    <w:rsid w:val="57E00E99"/>
    <w:rsid w:val="57E378D6"/>
    <w:rsid w:val="57EA76C5"/>
    <w:rsid w:val="57F40DCF"/>
    <w:rsid w:val="582E4B5E"/>
    <w:rsid w:val="584B47E0"/>
    <w:rsid w:val="58710AA3"/>
    <w:rsid w:val="587633B5"/>
    <w:rsid w:val="58841FA2"/>
    <w:rsid w:val="58B13272"/>
    <w:rsid w:val="58C24A68"/>
    <w:rsid w:val="58C45923"/>
    <w:rsid w:val="58C62410"/>
    <w:rsid w:val="58EA7ACB"/>
    <w:rsid w:val="592B7B31"/>
    <w:rsid w:val="592E5AFF"/>
    <w:rsid w:val="595A2204"/>
    <w:rsid w:val="596F2552"/>
    <w:rsid w:val="59803F48"/>
    <w:rsid w:val="5A09412F"/>
    <w:rsid w:val="5A917AD5"/>
    <w:rsid w:val="5A975956"/>
    <w:rsid w:val="5A9C135E"/>
    <w:rsid w:val="5ADD6BEA"/>
    <w:rsid w:val="5AE7319E"/>
    <w:rsid w:val="5AED48EC"/>
    <w:rsid w:val="5B0A3F35"/>
    <w:rsid w:val="5B1E6512"/>
    <w:rsid w:val="5B352F1E"/>
    <w:rsid w:val="5B5617FB"/>
    <w:rsid w:val="5B6D1765"/>
    <w:rsid w:val="5B710DE1"/>
    <w:rsid w:val="5B7628E1"/>
    <w:rsid w:val="5B835C51"/>
    <w:rsid w:val="5B864792"/>
    <w:rsid w:val="5B8E3934"/>
    <w:rsid w:val="5B9369E9"/>
    <w:rsid w:val="5BEC1CA5"/>
    <w:rsid w:val="5BF24809"/>
    <w:rsid w:val="5BF43AC0"/>
    <w:rsid w:val="5BFB049B"/>
    <w:rsid w:val="5C124090"/>
    <w:rsid w:val="5C1A417B"/>
    <w:rsid w:val="5C24251A"/>
    <w:rsid w:val="5C243623"/>
    <w:rsid w:val="5C3B1A31"/>
    <w:rsid w:val="5CB63BC3"/>
    <w:rsid w:val="5D172CE4"/>
    <w:rsid w:val="5D3467D1"/>
    <w:rsid w:val="5D502C9D"/>
    <w:rsid w:val="5D5B4BF4"/>
    <w:rsid w:val="5D5E27CD"/>
    <w:rsid w:val="5D8648BB"/>
    <w:rsid w:val="5D9958F8"/>
    <w:rsid w:val="5DA33F78"/>
    <w:rsid w:val="5DBC1ADE"/>
    <w:rsid w:val="5DCA396B"/>
    <w:rsid w:val="5E1B2435"/>
    <w:rsid w:val="5E657DD0"/>
    <w:rsid w:val="5EDE1897"/>
    <w:rsid w:val="5EF805FB"/>
    <w:rsid w:val="5EF866DE"/>
    <w:rsid w:val="5F0E2C8B"/>
    <w:rsid w:val="5F471E1E"/>
    <w:rsid w:val="5F534385"/>
    <w:rsid w:val="5F691BAB"/>
    <w:rsid w:val="5FA34D03"/>
    <w:rsid w:val="5FCE3C27"/>
    <w:rsid w:val="60186C7C"/>
    <w:rsid w:val="602C5BEA"/>
    <w:rsid w:val="60487D5D"/>
    <w:rsid w:val="604C08F5"/>
    <w:rsid w:val="605703F4"/>
    <w:rsid w:val="60935D57"/>
    <w:rsid w:val="6094289E"/>
    <w:rsid w:val="60B87687"/>
    <w:rsid w:val="60E71846"/>
    <w:rsid w:val="60FF240D"/>
    <w:rsid w:val="61297D67"/>
    <w:rsid w:val="612A67B9"/>
    <w:rsid w:val="612B3D59"/>
    <w:rsid w:val="614E4146"/>
    <w:rsid w:val="61656F5A"/>
    <w:rsid w:val="61730705"/>
    <w:rsid w:val="61775185"/>
    <w:rsid w:val="61A60F42"/>
    <w:rsid w:val="61AE562A"/>
    <w:rsid w:val="61B86226"/>
    <w:rsid w:val="61C25563"/>
    <w:rsid w:val="61C52B3A"/>
    <w:rsid w:val="61C74CDD"/>
    <w:rsid w:val="61D3453B"/>
    <w:rsid w:val="61ED36FA"/>
    <w:rsid w:val="62713C6F"/>
    <w:rsid w:val="62D17DD9"/>
    <w:rsid w:val="62E418BB"/>
    <w:rsid w:val="62EE3393"/>
    <w:rsid w:val="63227BAB"/>
    <w:rsid w:val="633858B7"/>
    <w:rsid w:val="63774DB8"/>
    <w:rsid w:val="637B26FE"/>
    <w:rsid w:val="63AC2F15"/>
    <w:rsid w:val="63B230C7"/>
    <w:rsid w:val="63DD2568"/>
    <w:rsid w:val="63E4554A"/>
    <w:rsid w:val="63FC5750"/>
    <w:rsid w:val="640D68C3"/>
    <w:rsid w:val="64256160"/>
    <w:rsid w:val="64382017"/>
    <w:rsid w:val="643C6055"/>
    <w:rsid w:val="6499165C"/>
    <w:rsid w:val="64A06902"/>
    <w:rsid w:val="64E21E2A"/>
    <w:rsid w:val="651626E6"/>
    <w:rsid w:val="65562AF6"/>
    <w:rsid w:val="65670EE1"/>
    <w:rsid w:val="65691DC6"/>
    <w:rsid w:val="65AC2438"/>
    <w:rsid w:val="65D108AB"/>
    <w:rsid w:val="65FB7059"/>
    <w:rsid w:val="661A3845"/>
    <w:rsid w:val="66450304"/>
    <w:rsid w:val="664C6ECC"/>
    <w:rsid w:val="66521231"/>
    <w:rsid w:val="66AB45E6"/>
    <w:rsid w:val="66BA49AD"/>
    <w:rsid w:val="66C722E8"/>
    <w:rsid w:val="66C845A7"/>
    <w:rsid w:val="66F57524"/>
    <w:rsid w:val="67067AC2"/>
    <w:rsid w:val="672511C0"/>
    <w:rsid w:val="672F1AA7"/>
    <w:rsid w:val="673E62DB"/>
    <w:rsid w:val="67532F8B"/>
    <w:rsid w:val="67692255"/>
    <w:rsid w:val="67892A30"/>
    <w:rsid w:val="67A506E2"/>
    <w:rsid w:val="67A623F9"/>
    <w:rsid w:val="67D9080C"/>
    <w:rsid w:val="67F2361F"/>
    <w:rsid w:val="680F642E"/>
    <w:rsid w:val="68282649"/>
    <w:rsid w:val="682C65DB"/>
    <w:rsid w:val="685B5764"/>
    <w:rsid w:val="6899083C"/>
    <w:rsid w:val="689A1A68"/>
    <w:rsid w:val="68A8366A"/>
    <w:rsid w:val="68B82830"/>
    <w:rsid w:val="68BA09C5"/>
    <w:rsid w:val="68ED4FD2"/>
    <w:rsid w:val="68F5463E"/>
    <w:rsid w:val="68FE1B33"/>
    <w:rsid w:val="68FE4B20"/>
    <w:rsid w:val="691E076A"/>
    <w:rsid w:val="694E336B"/>
    <w:rsid w:val="695C2E38"/>
    <w:rsid w:val="69750DFB"/>
    <w:rsid w:val="697D54C0"/>
    <w:rsid w:val="698931BC"/>
    <w:rsid w:val="699B4B77"/>
    <w:rsid w:val="69BA2BA1"/>
    <w:rsid w:val="69D837FB"/>
    <w:rsid w:val="69E2467A"/>
    <w:rsid w:val="69F04604"/>
    <w:rsid w:val="6A167182"/>
    <w:rsid w:val="6A395D00"/>
    <w:rsid w:val="6A400238"/>
    <w:rsid w:val="6A741E31"/>
    <w:rsid w:val="6A8F55C6"/>
    <w:rsid w:val="6AA06A0F"/>
    <w:rsid w:val="6AAE0498"/>
    <w:rsid w:val="6AAE2D98"/>
    <w:rsid w:val="6AD062A1"/>
    <w:rsid w:val="6B0D4638"/>
    <w:rsid w:val="6B2B0EAB"/>
    <w:rsid w:val="6B3F1BA3"/>
    <w:rsid w:val="6B401814"/>
    <w:rsid w:val="6B403D4E"/>
    <w:rsid w:val="6B6B2E07"/>
    <w:rsid w:val="6B7108D8"/>
    <w:rsid w:val="6BD15DDD"/>
    <w:rsid w:val="6BD7439E"/>
    <w:rsid w:val="6BF80185"/>
    <w:rsid w:val="6BFA3FEC"/>
    <w:rsid w:val="6C1627A9"/>
    <w:rsid w:val="6C2D33F2"/>
    <w:rsid w:val="6C5C0714"/>
    <w:rsid w:val="6C87448E"/>
    <w:rsid w:val="6C8E23FD"/>
    <w:rsid w:val="6CA31B58"/>
    <w:rsid w:val="6CC1409B"/>
    <w:rsid w:val="6CFD798D"/>
    <w:rsid w:val="6D124669"/>
    <w:rsid w:val="6D176D62"/>
    <w:rsid w:val="6D5A19F2"/>
    <w:rsid w:val="6D5E633C"/>
    <w:rsid w:val="6D627914"/>
    <w:rsid w:val="6D6360CF"/>
    <w:rsid w:val="6DA34AA1"/>
    <w:rsid w:val="6DF23122"/>
    <w:rsid w:val="6E091E5B"/>
    <w:rsid w:val="6E101BCB"/>
    <w:rsid w:val="6E20384E"/>
    <w:rsid w:val="6E4057EF"/>
    <w:rsid w:val="6E68629D"/>
    <w:rsid w:val="6EBC7B8F"/>
    <w:rsid w:val="6EEB1AAB"/>
    <w:rsid w:val="6F10250E"/>
    <w:rsid w:val="6F3040D9"/>
    <w:rsid w:val="6F3753E9"/>
    <w:rsid w:val="6F426D0D"/>
    <w:rsid w:val="6F6D479F"/>
    <w:rsid w:val="6F960902"/>
    <w:rsid w:val="6FA95317"/>
    <w:rsid w:val="6FC17C2B"/>
    <w:rsid w:val="6FC32F4C"/>
    <w:rsid w:val="6FDB4EC7"/>
    <w:rsid w:val="700215D2"/>
    <w:rsid w:val="7014697D"/>
    <w:rsid w:val="703607AB"/>
    <w:rsid w:val="7041382C"/>
    <w:rsid w:val="705362D1"/>
    <w:rsid w:val="705A4243"/>
    <w:rsid w:val="70732291"/>
    <w:rsid w:val="70C54722"/>
    <w:rsid w:val="70CE5842"/>
    <w:rsid w:val="70DA49CE"/>
    <w:rsid w:val="71182AD8"/>
    <w:rsid w:val="71375AF4"/>
    <w:rsid w:val="71420789"/>
    <w:rsid w:val="716A5255"/>
    <w:rsid w:val="717973E2"/>
    <w:rsid w:val="718342E1"/>
    <w:rsid w:val="71B4603C"/>
    <w:rsid w:val="720E169F"/>
    <w:rsid w:val="721D6B97"/>
    <w:rsid w:val="72524823"/>
    <w:rsid w:val="725620A9"/>
    <w:rsid w:val="72741ED5"/>
    <w:rsid w:val="729F3007"/>
    <w:rsid w:val="72C708B1"/>
    <w:rsid w:val="72D66639"/>
    <w:rsid w:val="72D73DAD"/>
    <w:rsid w:val="72D867F6"/>
    <w:rsid w:val="731E71BA"/>
    <w:rsid w:val="73446411"/>
    <w:rsid w:val="73AD2963"/>
    <w:rsid w:val="73B02435"/>
    <w:rsid w:val="73E828F2"/>
    <w:rsid w:val="743D4CD3"/>
    <w:rsid w:val="745D44AD"/>
    <w:rsid w:val="74800FA8"/>
    <w:rsid w:val="74845147"/>
    <w:rsid w:val="748C026B"/>
    <w:rsid w:val="749E1E90"/>
    <w:rsid w:val="74AA5915"/>
    <w:rsid w:val="74EF1A54"/>
    <w:rsid w:val="75012F6E"/>
    <w:rsid w:val="75463656"/>
    <w:rsid w:val="75567D19"/>
    <w:rsid w:val="756643B1"/>
    <w:rsid w:val="75685032"/>
    <w:rsid w:val="758E56B6"/>
    <w:rsid w:val="75A97605"/>
    <w:rsid w:val="75BC2223"/>
    <w:rsid w:val="75E27093"/>
    <w:rsid w:val="76146B3C"/>
    <w:rsid w:val="76241B0F"/>
    <w:rsid w:val="76254929"/>
    <w:rsid w:val="76A61417"/>
    <w:rsid w:val="76B725A7"/>
    <w:rsid w:val="77024EFA"/>
    <w:rsid w:val="770E1A45"/>
    <w:rsid w:val="770E3A7D"/>
    <w:rsid w:val="771D3D3C"/>
    <w:rsid w:val="773A7E5E"/>
    <w:rsid w:val="773E24F3"/>
    <w:rsid w:val="77476464"/>
    <w:rsid w:val="774921DC"/>
    <w:rsid w:val="774C75D7"/>
    <w:rsid w:val="775F6288"/>
    <w:rsid w:val="77847A1D"/>
    <w:rsid w:val="778B500D"/>
    <w:rsid w:val="77A36E98"/>
    <w:rsid w:val="77CB1ED2"/>
    <w:rsid w:val="77D44F91"/>
    <w:rsid w:val="78061DB8"/>
    <w:rsid w:val="78243028"/>
    <w:rsid w:val="78266F77"/>
    <w:rsid w:val="783C0587"/>
    <w:rsid w:val="784657AB"/>
    <w:rsid w:val="78527EAF"/>
    <w:rsid w:val="787438F2"/>
    <w:rsid w:val="78916B58"/>
    <w:rsid w:val="78A26F31"/>
    <w:rsid w:val="78B44B85"/>
    <w:rsid w:val="78DA2B7A"/>
    <w:rsid w:val="78E17CF2"/>
    <w:rsid w:val="78ED5494"/>
    <w:rsid w:val="78FC55A1"/>
    <w:rsid w:val="79030B7F"/>
    <w:rsid w:val="79105BD7"/>
    <w:rsid w:val="79132C4D"/>
    <w:rsid w:val="79144124"/>
    <w:rsid w:val="793B3DA7"/>
    <w:rsid w:val="7956473D"/>
    <w:rsid w:val="79615062"/>
    <w:rsid w:val="79735B54"/>
    <w:rsid w:val="79790847"/>
    <w:rsid w:val="7A063318"/>
    <w:rsid w:val="7A1B766D"/>
    <w:rsid w:val="7A7004EC"/>
    <w:rsid w:val="7AC11697"/>
    <w:rsid w:val="7ACB09B0"/>
    <w:rsid w:val="7AD97923"/>
    <w:rsid w:val="7ADC65D0"/>
    <w:rsid w:val="7ADD3367"/>
    <w:rsid w:val="7AE91769"/>
    <w:rsid w:val="7B2F3611"/>
    <w:rsid w:val="7B394F40"/>
    <w:rsid w:val="7B42689A"/>
    <w:rsid w:val="7B4A3989"/>
    <w:rsid w:val="7B4E36EF"/>
    <w:rsid w:val="7B527F86"/>
    <w:rsid w:val="7B5C3C3F"/>
    <w:rsid w:val="7BA4465E"/>
    <w:rsid w:val="7BD01B16"/>
    <w:rsid w:val="7BE20FAA"/>
    <w:rsid w:val="7BFA3F76"/>
    <w:rsid w:val="7C095BAB"/>
    <w:rsid w:val="7C1D1542"/>
    <w:rsid w:val="7C3017AE"/>
    <w:rsid w:val="7C4E1C23"/>
    <w:rsid w:val="7C540604"/>
    <w:rsid w:val="7C9E2D69"/>
    <w:rsid w:val="7CA26769"/>
    <w:rsid w:val="7CA70AF3"/>
    <w:rsid w:val="7CE863DE"/>
    <w:rsid w:val="7D0674DD"/>
    <w:rsid w:val="7D0A0707"/>
    <w:rsid w:val="7D1909AD"/>
    <w:rsid w:val="7D3E2636"/>
    <w:rsid w:val="7D4115EF"/>
    <w:rsid w:val="7D640B4F"/>
    <w:rsid w:val="7D795B27"/>
    <w:rsid w:val="7D7F05BB"/>
    <w:rsid w:val="7D8A78DE"/>
    <w:rsid w:val="7DB37818"/>
    <w:rsid w:val="7DDC2F15"/>
    <w:rsid w:val="7DFF5ACB"/>
    <w:rsid w:val="7E1E3353"/>
    <w:rsid w:val="7E270ADD"/>
    <w:rsid w:val="7E2A5508"/>
    <w:rsid w:val="7E345F22"/>
    <w:rsid w:val="7E3E1B66"/>
    <w:rsid w:val="7E6A1AA0"/>
    <w:rsid w:val="7E8902E6"/>
    <w:rsid w:val="7EAB5980"/>
    <w:rsid w:val="7EB47486"/>
    <w:rsid w:val="7EDB1187"/>
    <w:rsid w:val="7EDF6CBB"/>
    <w:rsid w:val="7EF57CA0"/>
    <w:rsid w:val="7EFD7CC6"/>
    <w:rsid w:val="7F02281F"/>
    <w:rsid w:val="7F1112B1"/>
    <w:rsid w:val="7F2D72F6"/>
    <w:rsid w:val="7F4B7420"/>
    <w:rsid w:val="7FC15336"/>
    <w:rsid w:val="7FCC39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4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character" w:default="1" w:styleId="34">
    <w:name w:val="Default Paragraph Font"/>
    <w:semiHidden/>
    <w:uiPriority w:val="0"/>
    <w:rPr>
      <w:rFonts w:ascii="宋体" w:hAnsi="宋体" w:cs="宋体"/>
      <w:sz w:val="24"/>
    </w:rPr>
  </w:style>
  <w:style w:type="table" w:default="1" w:styleId="3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32"/>
      <w:tblCellMar>
        <w:top w:w="0" w:type="dxa"/>
        <w:left w:w="108" w:type="dxa"/>
        <w:bottom w:w="0" w:type="dxa"/>
        <w:right w:w="108" w:type="dxa"/>
      </w:tblCellMar>
    </w:tblPr>
  </w:style>
  <w:style w:type="paragraph" w:styleId="6">
    <w:name w:val="toc 7"/>
    <w:basedOn w:val="1"/>
    <w:next w:val="1"/>
    <w:uiPriority w:val="0"/>
    <w:pPr>
      <w:ind w:left="1260"/>
      <w:jc w:val="left"/>
    </w:pPr>
    <w:rPr>
      <w:rFonts w:ascii="Calibri" w:hAnsi="Calibri"/>
      <w:sz w:val="18"/>
      <w:szCs w:val="18"/>
    </w:rPr>
  </w:style>
  <w:style w:type="paragraph" w:styleId="7">
    <w:name w:val="Normal Indent"/>
    <w:basedOn w:val="1"/>
    <w:uiPriority w:val="0"/>
    <w:pPr>
      <w:ind w:firstLine="420" w:firstLineChars="200"/>
    </w:pPr>
    <w:rPr>
      <w:kern w:val="0"/>
      <w:sz w:val="20"/>
      <w:szCs w:val="20"/>
    </w:rPr>
  </w:style>
  <w:style w:type="paragraph" w:styleId="8">
    <w:name w:val="annotation text"/>
    <w:basedOn w:val="1"/>
    <w:qFormat/>
    <w:uiPriority w:val="0"/>
    <w:pPr>
      <w:jc w:val="left"/>
    </w:pPr>
  </w:style>
  <w:style w:type="paragraph" w:styleId="9">
    <w:name w:val="Body Text"/>
    <w:basedOn w:val="1"/>
    <w:next w:val="1"/>
    <w:uiPriority w:val="0"/>
    <w:pPr>
      <w:spacing w:line="360" w:lineRule="exact"/>
    </w:pPr>
    <w:rPr>
      <w:sz w:val="24"/>
      <w:szCs w:val="24"/>
    </w:rPr>
  </w:style>
  <w:style w:type="paragraph" w:styleId="10">
    <w:name w:val="Body Text Indent"/>
    <w:basedOn w:val="1"/>
    <w:next w:val="11"/>
    <w:uiPriority w:val="0"/>
    <w:pPr>
      <w:spacing w:after="120"/>
      <w:ind w:left="420" w:leftChars="200"/>
    </w:pPr>
  </w:style>
  <w:style w:type="paragraph" w:styleId="11">
    <w:name w:val="Body Text First Indent 2"/>
    <w:basedOn w:val="10"/>
    <w:next w:val="1"/>
    <w:uiPriority w:val="0"/>
    <w:pPr>
      <w:ind w:left="200" w:firstLine="420" w:firstLineChars="200"/>
    </w:pPr>
    <w:rPr>
      <w:rFonts w:ascii="宋体" w:hAnsi="宋体" w:eastAsia="仿宋_GB2312"/>
      <w:kern w:val="0"/>
      <w:sz w:val="20"/>
    </w:rPr>
  </w:style>
  <w:style w:type="paragraph" w:styleId="12">
    <w:name w:val="toc 5"/>
    <w:basedOn w:val="1"/>
    <w:next w:val="1"/>
    <w:uiPriority w:val="0"/>
    <w:pPr>
      <w:ind w:left="840"/>
      <w:jc w:val="left"/>
    </w:pPr>
    <w:rPr>
      <w:rFonts w:ascii="Calibri" w:hAnsi="Calibri"/>
      <w:sz w:val="18"/>
      <w:szCs w:val="18"/>
    </w:rPr>
  </w:style>
  <w:style w:type="paragraph" w:styleId="13">
    <w:name w:val="toc 3"/>
    <w:basedOn w:val="1"/>
    <w:next w:val="1"/>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4">
    <w:name w:val="Plain Text"/>
    <w:basedOn w:val="1"/>
    <w:link w:val="43"/>
    <w:uiPriority w:val="0"/>
    <w:rPr>
      <w:rFonts w:ascii="宋体" w:hAnsi="Courier New" w:cs="Courier New"/>
      <w:szCs w:val="21"/>
    </w:rPr>
  </w:style>
  <w:style w:type="paragraph" w:styleId="15">
    <w:name w:val="toc 8"/>
    <w:basedOn w:val="1"/>
    <w:next w:val="1"/>
    <w:uiPriority w:val="0"/>
    <w:pPr>
      <w:ind w:left="1470"/>
      <w:jc w:val="left"/>
    </w:pPr>
    <w:rPr>
      <w:rFonts w:ascii="Calibri" w:hAnsi="Calibri"/>
      <w:sz w:val="18"/>
      <w:szCs w:val="18"/>
    </w:rPr>
  </w:style>
  <w:style w:type="paragraph" w:styleId="16">
    <w:name w:val="Date"/>
    <w:basedOn w:val="1"/>
    <w:next w:val="1"/>
    <w:uiPriority w:val="0"/>
    <w:pPr>
      <w:ind w:left="100" w:leftChars="2500"/>
    </w:pPr>
  </w:style>
  <w:style w:type="paragraph" w:styleId="17">
    <w:name w:val="Body Text Indent 2"/>
    <w:basedOn w:val="1"/>
    <w:uiPriority w:val="0"/>
    <w:pPr>
      <w:spacing w:after="120" w:line="480" w:lineRule="auto"/>
      <w:ind w:left="420" w:leftChars="200"/>
    </w:pPr>
    <w:rPr>
      <w:rFonts w:ascii="Times New Roman" w:hAnsi="Times New Roman" w:cs="Times New Roman"/>
      <w:kern w:val="2"/>
      <w:sz w:val="21"/>
      <w:szCs w:val="20"/>
    </w:rPr>
  </w:style>
  <w:style w:type="paragraph" w:styleId="18">
    <w:name w:val="Balloon Text"/>
    <w:basedOn w:val="1"/>
    <w:semiHidden/>
    <w:uiPriority w:val="0"/>
    <w:rPr>
      <w:sz w:val="18"/>
      <w:szCs w:val="18"/>
    </w:rPr>
  </w:style>
  <w:style w:type="paragraph" w:styleId="19">
    <w:name w:val="footer"/>
    <w:basedOn w:val="1"/>
    <w:link w:val="44"/>
    <w:uiPriority w:val="99"/>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rPr>
  </w:style>
  <w:style w:type="paragraph" w:styleId="21">
    <w:name w:val="header"/>
    <w:basedOn w:val="1"/>
    <w:link w:val="45"/>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iPriority w:val="39"/>
    <w:pPr>
      <w:spacing w:before="120" w:after="120" w:line="400" w:lineRule="exact"/>
      <w:ind w:firstLine="200" w:firstLineChars="200"/>
      <w:jc w:val="left"/>
    </w:pPr>
    <w:rPr>
      <w:rFonts w:ascii="Calibri" w:hAnsi="Calibri"/>
      <w:b/>
      <w:bCs/>
      <w:caps/>
      <w:sz w:val="24"/>
      <w:szCs w:val="20"/>
    </w:rPr>
  </w:style>
  <w:style w:type="paragraph" w:styleId="23">
    <w:name w:val="toc 4"/>
    <w:basedOn w:val="1"/>
    <w:next w:val="1"/>
    <w:uiPriority w:val="0"/>
    <w:pPr>
      <w:ind w:left="630"/>
      <w:jc w:val="left"/>
    </w:pPr>
    <w:rPr>
      <w:rFonts w:ascii="Calibri" w:hAnsi="Calibri"/>
      <w:sz w:val="18"/>
      <w:szCs w:val="18"/>
    </w:rPr>
  </w:style>
  <w:style w:type="paragraph" w:styleId="24">
    <w:name w:val="Subtitle"/>
    <w:basedOn w:val="1"/>
    <w:next w:val="1"/>
    <w:link w:val="46"/>
    <w:qFormat/>
    <w:uiPriority w:val="0"/>
    <w:pPr>
      <w:spacing w:before="240" w:after="60" w:line="312" w:lineRule="auto"/>
      <w:jc w:val="center"/>
      <w:outlineLvl w:val="1"/>
    </w:pPr>
    <w:rPr>
      <w:rFonts w:ascii="Cambria" w:hAnsi="Cambria"/>
      <w:b/>
      <w:bCs/>
      <w:kern w:val="28"/>
      <w:sz w:val="32"/>
      <w:szCs w:val="32"/>
    </w:rPr>
  </w:style>
  <w:style w:type="paragraph" w:styleId="25">
    <w:name w:val="toc 6"/>
    <w:basedOn w:val="1"/>
    <w:next w:val="1"/>
    <w:uiPriority w:val="0"/>
    <w:pPr>
      <w:ind w:left="1050"/>
      <w:jc w:val="left"/>
    </w:pPr>
    <w:rPr>
      <w:rFonts w:ascii="Calibri" w:hAnsi="Calibri"/>
      <w:sz w:val="18"/>
      <w:szCs w:val="18"/>
    </w:rPr>
  </w:style>
  <w:style w:type="paragraph" w:styleId="26">
    <w:name w:val="toc 2"/>
    <w:basedOn w:val="1"/>
    <w:next w:val="1"/>
    <w:uiPriority w:val="0"/>
    <w:pPr>
      <w:tabs>
        <w:tab w:val="right" w:leader="dot" w:pos="8777"/>
      </w:tabs>
      <w:spacing w:line="400" w:lineRule="exact"/>
      <w:ind w:firstLine="566" w:firstLineChars="236"/>
      <w:jc w:val="left"/>
    </w:pPr>
    <w:rPr>
      <w:rFonts w:ascii="Calibri" w:hAnsi="Calibri"/>
      <w:smallCaps/>
      <w:sz w:val="20"/>
      <w:szCs w:val="20"/>
    </w:rPr>
  </w:style>
  <w:style w:type="paragraph" w:styleId="27">
    <w:name w:val="toc 9"/>
    <w:basedOn w:val="1"/>
    <w:next w:val="1"/>
    <w:uiPriority w:val="0"/>
    <w:pPr>
      <w:ind w:left="1680"/>
      <w:jc w:val="left"/>
    </w:pPr>
    <w:rPr>
      <w:rFonts w:ascii="Calibri" w:hAnsi="Calibri"/>
      <w:sz w:val="18"/>
      <w:szCs w:val="18"/>
    </w:rPr>
  </w:style>
  <w:style w:type="paragraph" w:styleId="28">
    <w:name w:val="Body Text 2"/>
    <w:basedOn w:val="1"/>
    <w:qFormat/>
    <w:uiPriority w:val="0"/>
    <w:rPr>
      <w:rFonts w:ascii="宋体" w:hAnsi="宋体"/>
      <w:sz w:val="28"/>
    </w:rPr>
  </w:style>
  <w:style w:type="paragraph" w:styleId="29">
    <w:name w:val="Normal (Web)"/>
    <w:basedOn w:val="1"/>
    <w:next w:val="1"/>
    <w:uiPriority w:val="0"/>
    <w:pPr>
      <w:spacing w:before="100" w:beforeAutospacing="1" w:after="100" w:afterAutospacing="1"/>
      <w:ind w:left="0" w:right="0"/>
      <w:jc w:val="left"/>
    </w:pPr>
    <w:rPr>
      <w:kern w:val="0"/>
      <w:sz w:val="24"/>
      <w:lang w:val="en-US" w:eastAsia="zh-CN" w:bidi="ar"/>
    </w:rPr>
  </w:style>
  <w:style w:type="paragraph" w:styleId="30">
    <w:name w:val="Title"/>
    <w:basedOn w:val="1"/>
    <w:next w:val="1"/>
    <w:link w:val="47"/>
    <w:qFormat/>
    <w:uiPriority w:val="0"/>
    <w:pPr>
      <w:spacing w:before="240" w:after="60"/>
      <w:jc w:val="center"/>
      <w:outlineLvl w:val="0"/>
    </w:pPr>
    <w:rPr>
      <w:rFonts w:ascii="Cambria" w:hAnsi="Cambria"/>
      <w:b/>
      <w:bCs/>
      <w:sz w:val="36"/>
      <w:szCs w:val="32"/>
    </w:rPr>
  </w:style>
  <w:style w:type="paragraph" w:styleId="31">
    <w:name w:val="Body Text First Indent"/>
    <w:basedOn w:val="9"/>
    <w:next w:val="11"/>
    <w:qFormat/>
    <w:uiPriority w:val="0"/>
    <w:pPr>
      <w:spacing w:line="312" w:lineRule="auto"/>
      <w:ind w:firstLine="420"/>
    </w:pPr>
  </w:style>
  <w:style w:type="table" w:styleId="33">
    <w:name w:val="Table Grid"/>
    <w:basedOn w:val="32"/>
    <w:uiPriority w:val="0"/>
    <w:pPr>
      <w:widowControl w:val="0"/>
      <w:jc w:val="both"/>
    </w:pPr>
    <w:tblPr>
      <w:tblStyle w:val="3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rFonts w:eastAsia="仿宋_GB2312"/>
      <w:b/>
      <w:sz w:val="24"/>
      <w:szCs w:val="24"/>
    </w:rPr>
  </w:style>
  <w:style w:type="character" w:styleId="36">
    <w:name w:val="page number"/>
    <w:uiPriority w:val="0"/>
  </w:style>
  <w:style w:type="character" w:styleId="37">
    <w:name w:val="FollowedHyperlink"/>
    <w:uiPriority w:val="0"/>
    <w:rPr>
      <w:color w:val="800080"/>
      <w:u w:val="single"/>
    </w:rPr>
  </w:style>
  <w:style w:type="character" w:styleId="38">
    <w:name w:val="Hyperlink"/>
    <w:uiPriority w:val="99"/>
    <w:rPr>
      <w:rFonts w:ascii="宋体" w:hAnsi="宋体" w:cs="宋体"/>
      <w:color w:val="000099"/>
      <w:sz w:val="24"/>
      <w:u w:val="none"/>
    </w:rPr>
  </w:style>
  <w:style w:type="character" w:customStyle="1" w:styleId="39">
    <w:name w:val="标题 1 Char"/>
    <w:link w:val="2"/>
    <w:uiPriority w:val="0"/>
    <w:rPr>
      <w:b/>
      <w:bCs/>
      <w:kern w:val="44"/>
      <w:sz w:val="30"/>
      <w:szCs w:val="44"/>
    </w:rPr>
  </w:style>
  <w:style w:type="character" w:customStyle="1" w:styleId="40">
    <w:name w:val="标题 2 Char"/>
    <w:link w:val="3"/>
    <w:semiHidden/>
    <w:uiPriority w:val="0"/>
    <w:rPr>
      <w:rFonts w:ascii="Cambria" w:hAnsi="Cambria" w:eastAsia="宋体" w:cs="Times New Roman"/>
      <w:b/>
      <w:bCs/>
      <w:kern w:val="2"/>
      <w:sz w:val="32"/>
      <w:szCs w:val="32"/>
    </w:rPr>
  </w:style>
  <w:style w:type="character" w:customStyle="1" w:styleId="41">
    <w:name w:val="标题 3 Char"/>
    <w:link w:val="4"/>
    <w:locked/>
    <w:uiPriority w:val="0"/>
    <w:rPr>
      <w:rFonts w:eastAsia="宋体"/>
      <w:b/>
      <w:bCs/>
      <w:kern w:val="2"/>
      <w:sz w:val="32"/>
      <w:szCs w:val="32"/>
      <w:lang w:val="en-US" w:eastAsia="zh-CN" w:bidi="ar-SA"/>
    </w:rPr>
  </w:style>
  <w:style w:type="character" w:customStyle="1" w:styleId="42">
    <w:name w:val="标题 4 Char"/>
    <w:link w:val="5"/>
    <w:locked/>
    <w:uiPriority w:val="0"/>
    <w:rPr>
      <w:rFonts w:ascii="Arial" w:hAnsi="Arial" w:eastAsia="黑体"/>
      <w:b/>
      <w:bCs/>
      <w:kern w:val="2"/>
      <w:sz w:val="28"/>
      <w:szCs w:val="28"/>
      <w:lang w:val="en-US" w:eastAsia="zh-CN" w:bidi="ar-SA"/>
    </w:rPr>
  </w:style>
  <w:style w:type="character" w:customStyle="1" w:styleId="43">
    <w:name w:val="纯文本 Char"/>
    <w:link w:val="14"/>
    <w:semiHidden/>
    <w:locked/>
    <w:uiPriority w:val="0"/>
    <w:rPr>
      <w:rFonts w:ascii="宋体" w:hAnsi="Courier New" w:eastAsia="宋体" w:cs="Courier New"/>
      <w:kern w:val="2"/>
      <w:sz w:val="21"/>
      <w:szCs w:val="21"/>
      <w:lang w:val="en-US" w:eastAsia="zh-CN" w:bidi="ar-SA"/>
    </w:rPr>
  </w:style>
  <w:style w:type="character" w:customStyle="1" w:styleId="44">
    <w:name w:val="页脚 Char"/>
    <w:link w:val="19"/>
    <w:uiPriority w:val="99"/>
    <w:rPr>
      <w:kern w:val="2"/>
      <w:sz w:val="18"/>
      <w:szCs w:val="18"/>
    </w:rPr>
  </w:style>
  <w:style w:type="character" w:customStyle="1" w:styleId="45">
    <w:name w:val="页眉 Char"/>
    <w:link w:val="21"/>
    <w:uiPriority w:val="0"/>
    <w:rPr>
      <w:kern w:val="2"/>
      <w:sz w:val="18"/>
      <w:szCs w:val="18"/>
    </w:rPr>
  </w:style>
  <w:style w:type="character" w:customStyle="1" w:styleId="46">
    <w:name w:val="副标题 Char"/>
    <w:link w:val="24"/>
    <w:uiPriority w:val="0"/>
    <w:rPr>
      <w:rFonts w:ascii="Cambria" w:hAnsi="Cambria" w:cs="Times New Roman"/>
      <w:b/>
      <w:bCs/>
      <w:kern w:val="28"/>
      <w:sz w:val="32"/>
      <w:szCs w:val="32"/>
    </w:rPr>
  </w:style>
  <w:style w:type="character" w:customStyle="1" w:styleId="47">
    <w:name w:val="标题 Char"/>
    <w:link w:val="30"/>
    <w:uiPriority w:val="0"/>
    <w:rPr>
      <w:rFonts w:ascii="Cambria" w:hAnsi="Cambria"/>
      <w:b/>
      <w:bCs/>
      <w:kern w:val="2"/>
      <w:sz w:val="36"/>
      <w:szCs w:val="32"/>
    </w:rPr>
  </w:style>
  <w:style w:type="paragraph" w:customStyle="1" w:styleId="48">
    <w:name w:val="一级条标题"/>
    <w:basedOn w:val="49"/>
    <w:next w:val="50"/>
    <w:qFormat/>
    <w:uiPriority w:val="0"/>
    <w:pPr>
      <w:spacing w:line="240" w:lineRule="auto"/>
      <w:ind w:left="420"/>
      <w:outlineLvl w:val="2"/>
    </w:pPr>
  </w:style>
  <w:style w:type="paragraph" w:customStyle="1" w:styleId="49">
    <w:name w:val="章标题"/>
    <w:next w:val="1"/>
    <w:qFormat/>
    <w:uiPriority w:val="0"/>
    <w:pPr>
      <w:spacing w:line="360" w:lineRule="auto"/>
      <w:jc w:val="both"/>
      <w:outlineLvl w:val="1"/>
    </w:pPr>
    <w:rPr>
      <w:rFonts w:ascii="黑体" w:eastAsia="黑体" w:cs="黑体"/>
      <w:sz w:val="21"/>
      <w:szCs w:val="21"/>
      <w:lang w:val="en-US" w:eastAsia="zh-CN" w:bidi="ar-SA"/>
    </w:rPr>
  </w:style>
  <w:style w:type="paragraph" w:customStyle="1" w:styleId="50">
    <w:name w:val="段"/>
    <w:next w:val="1"/>
    <w:qFormat/>
    <w:uiPriority w:val="0"/>
    <w:pPr>
      <w:autoSpaceDE w:val="0"/>
      <w:autoSpaceDN w:val="0"/>
      <w:ind w:firstLine="200" w:firstLineChars="200"/>
      <w:jc w:val="both"/>
    </w:pPr>
    <w:rPr>
      <w:rFonts w:ascii="宋体" w:cs="宋体"/>
      <w:sz w:val="21"/>
      <w:szCs w:val="21"/>
      <w:lang w:val="en-US" w:eastAsia="zh-CN" w:bidi="ar-SA"/>
    </w:rPr>
  </w:style>
  <w:style w:type="character" w:customStyle="1" w:styleId="51">
    <w:name w:val="无间隔 Char"/>
    <w:link w:val="52"/>
    <w:uiPriority w:val="0"/>
    <w:rPr>
      <w:rFonts w:ascii="Calibri" w:hAnsi="Calibri" w:eastAsia="Times New Roman"/>
      <w:sz w:val="22"/>
      <w:szCs w:val="22"/>
      <w:lang w:val="en-US" w:eastAsia="zh-CN" w:bidi="ar-SA"/>
    </w:rPr>
  </w:style>
  <w:style w:type="paragraph" w:styleId="52">
    <w:name w:val="No Spacing"/>
    <w:link w:val="51"/>
    <w:qFormat/>
    <w:uiPriority w:val="0"/>
    <w:rPr>
      <w:rFonts w:ascii="Calibri" w:hAnsi="Calibri" w:eastAsia="Times New Roman"/>
      <w:sz w:val="22"/>
      <w:szCs w:val="22"/>
      <w:lang w:val="en-US" w:eastAsia="zh-CN" w:bidi="ar-SA"/>
    </w:rPr>
  </w:style>
  <w:style w:type="character" w:customStyle="1" w:styleId="53">
    <w:name w:val=" Char Char7"/>
    <w:locked/>
    <w:uiPriority w:val="0"/>
    <w:rPr>
      <w:rFonts w:ascii="Cambria" w:hAnsi="Cambria"/>
      <w:b/>
      <w:bCs/>
      <w:kern w:val="28"/>
      <w:sz w:val="32"/>
      <w:szCs w:val="32"/>
      <w:lang w:bidi="ar-SA"/>
    </w:rPr>
  </w:style>
  <w:style w:type="character" w:customStyle="1" w:styleId="54">
    <w:name w:val="font71"/>
    <w:uiPriority w:val="0"/>
    <w:rPr>
      <w:rFonts w:hint="default" w:ascii="Tahoma" w:hAnsi="Tahoma" w:eastAsia="Tahoma" w:cs="Tahoma"/>
      <w:color w:val="000000"/>
      <w:sz w:val="22"/>
      <w:szCs w:val="22"/>
      <w:u w:val="none"/>
    </w:rPr>
  </w:style>
  <w:style w:type="character" w:customStyle="1" w:styleId="55">
    <w:name w:val=" Char Char11"/>
    <w:locked/>
    <w:uiPriority w:val="0"/>
    <w:rPr>
      <w:rFonts w:eastAsia="宋体"/>
      <w:b/>
      <w:bCs/>
      <w:kern w:val="44"/>
      <w:sz w:val="30"/>
      <w:szCs w:val="44"/>
      <w:lang w:val="en-US" w:eastAsia="zh-CN" w:bidi="ar-SA"/>
    </w:rPr>
  </w:style>
  <w:style w:type="character" w:customStyle="1" w:styleId="56">
    <w:name w:val="Heading 1 Char"/>
    <w:locked/>
    <w:uiPriority w:val="0"/>
    <w:rPr>
      <w:rFonts w:cs="Times New Roman"/>
      <w:b/>
      <w:bCs/>
      <w:kern w:val="44"/>
      <w:sz w:val="44"/>
      <w:szCs w:val="44"/>
    </w:rPr>
  </w:style>
  <w:style w:type="character" w:customStyle="1" w:styleId="57">
    <w:name w:val="0Z Char"/>
    <w:link w:val="58"/>
    <w:uiPriority w:val="0"/>
    <w:rPr>
      <w:rFonts w:ascii="Calibri" w:hAnsi="Calibri" w:eastAsia="宋体"/>
      <w:kern w:val="2"/>
      <w:sz w:val="28"/>
      <w:szCs w:val="22"/>
      <w:lang w:val="en-US" w:eastAsia="zh-CN" w:bidi="ar-SA"/>
    </w:rPr>
  </w:style>
  <w:style w:type="paragraph" w:customStyle="1" w:styleId="58">
    <w:name w:val="0Z"/>
    <w:basedOn w:val="1"/>
    <w:link w:val="57"/>
    <w:qFormat/>
    <w:uiPriority w:val="0"/>
    <w:pPr>
      <w:spacing w:line="360" w:lineRule="auto"/>
      <w:ind w:firstLine="200" w:firstLineChars="200"/>
    </w:pPr>
    <w:rPr>
      <w:rFonts w:ascii="Calibri" w:hAnsi="Calibri"/>
      <w:sz w:val="28"/>
      <w:szCs w:val="22"/>
    </w:rPr>
  </w:style>
  <w:style w:type="character" w:customStyle="1" w:styleId="59">
    <w:name w:val="Char Char"/>
    <w:locked/>
    <w:uiPriority w:val="0"/>
    <w:rPr>
      <w:rFonts w:ascii="Cambria" w:hAnsi="Cambria" w:eastAsia="宋体"/>
      <w:b/>
      <w:bCs/>
      <w:kern w:val="2"/>
      <w:sz w:val="36"/>
      <w:szCs w:val="32"/>
      <w:lang w:bidi="ar-SA"/>
    </w:rPr>
  </w:style>
  <w:style w:type="character" w:customStyle="1" w:styleId="60">
    <w:name w:val=" Char Char10"/>
    <w:locked/>
    <w:uiPriority w:val="0"/>
    <w:rPr>
      <w:rFonts w:ascii="Cambria" w:hAnsi="Cambria" w:eastAsia="宋体" w:cs="宋体"/>
      <w:b/>
      <w:bCs/>
      <w:kern w:val="2"/>
      <w:sz w:val="32"/>
      <w:szCs w:val="32"/>
      <w:lang w:val="en-US" w:eastAsia="zh-CN" w:bidi="ar-SA"/>
    </w:rPr>
  </w:style>
  <w:style w:type="character" w:customStyle="1" w:styleId="61">
    <w:name w:val="Header Char"/>
    <w:locked/>
    <w:uiPriority w:val="0"/>
    <w:rPr>
      <w:rFonts w:cs="Times New Roman"/>
      <w:kern w:val="2"/>
      <w:sz w:val="18"/>
      <w:szCs w:val="18"/>
    </w:rPr>
  </w:style>
  <w:style w:type="character" w:customStyle="1" w:styleId="62">
    <w:name w:val="Footer Char"/>
    <w:locked/>
    <w:uiPriority w:val="0"/>
    <w:rPr>
      <w:rFonts w:cs="Times New Roman"/>
      <w:kern w:val="2"/>
      <w:sz w:val="18"/>
      <w:szCs w:val="18"/>
    </w:rPr>
  </w:style>
  <w:style w:type="character" w:customStyle="1" w:styleId="63">
    <w:name w:val="font61"/>
    <w:uiPriority w:val="0"/>
    <w:rPr>
      <w:rFonts w:hint="eastAsia" w:ascii="宋体" w:hAnsi="宋体" w:eastAsia="宋体" w:cs="宋体"/>
      <w:color w:val="000000"/>
      <w:sz w:val="22"/>
      <w:szCs w:val="22"/>
      <w:u w:val="none"/>
    </w:rPr>
  </w:style>
  <w:style w:type="paragraph" w:customStyle="1" w:styleId="64">
    <w:name w:val=" Char Char Char Char Char Char Char Char Char Char Char Char Char Char"/>
    <w:basedOn w:val="1"/>
    <w:uiPriority w:val="0"/>
    <w:rPr>
      <w:rFonts w:ascii="Tahoma" w:hAnsi="Tahoma"/>
      <w:sz w:val="24"/>
      <w:szCs w:val="20"/>
    </w:rPr>
  </w:style>
  <w:style w:type="paragraph" w:customStyle="1" w:styleId="65">
    <w:name w:val="我的正文"/>
    <w:basedOn w:val="1"/>
    <w:next w:val="1"/>
    <w:qFormat/>
    <w:uiPriority w:val="0"/>
    <w:pPr>
      <w:spacing w:line="360" w:lineRule="auto"/>
      <w:ind w:firstLine="482" w:firstLineChars="200"/>
    </w:pPr>
    <w:rPr>
      <w:sz w:val="24"/>
      <w:szCs w:val="24"/>
    </w:rPr>
  </w:style>
  <w:style w:type="paragraph" w:customStyle="1" w:styleId="66">
    <w:name w:val="xl1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7">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8">
    <w:name w:val="引用1"/>
    <w:basedOn w:val="1"/>
    <w:next w:val="1"/>
    <w:qFormat/>
    <w:uiPriority w:val="29"/>
    <w:rPr>
      <w:i/>
      <w:iCs/>
      <w:color w:val="000000"/>
    </w:rPr>
  </w:style>
  <w:style w:type="paragraph" w:customStyle="1" w:styleId="69">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0">
    <w:name w:val="列出段落1"/>
    <w:basedOn w:val="1"/>
    <w:uiPriority w:val="0"/>
    <w:pPr>
      <w:ind w:firstLine="420" w:firstLineChars="200"/>
    </w:pPr>
    <w:rPr>
      <w:szCs w:val="21"/>
    </w:rPr>
  </w:style>
  <w:style w:type="paragraph" w:styleId="71">
    <w:name w:val=""/>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2">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3">
    <w:name w:val="xl1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4">
    <w:name w:val="样式1"/>
    <w:basedOn w:val="2"/>
    <w:uiPriority w:val="0"/>
    <w:pPr>
      <w:spacing w:before="0" w:after="0" w:line="576" w:lineRule="auto"/>
    </w:pPr>
    <w:rPr>
      <w:rFonts w:ascii="Calibri" w:hAnsi="Calibri" w:cs="Calibri"/>
      <w:sz w:val="44"/>
      <w:lang w:val="en-US" w:eastAsia="zh-CN"/>
    </w:rPr>
  </w:style>
  <w:style w:type="paragraph" w:customStyle="1" w:styleId="75">
    <w:name w:val="1"/>
    <w:basedOn w:val="1"/>
    <w:uiPriority w:val="0"/>
    <w:pPr>
      <w:spacing w:after="120" w:afterLines="50" w:line="360" w:lineRule="auto"/>
    </w:pPr>
    <w:rPr>
      <w:rFonts w:ascii="仿宋_GB2312" w:hAnsi="宋体" w:eastAsia="仿宋_GB2312"/>
      <w:b/>
      <w:color w:val="000000"/>
      <w:sz w:val="30"/>
      <w:szCs w:val="21"/>
    </w:rPr>
  </w:style>
  <w:style w:type="paragraph" w:customStyle="1" w:styleId="76">
    <w:name w:val="p0"/>
    <w:uiPriority w:val="0"/>
    <w:pPr>
      <w:jc w:val="both"/>
    </w:pPr>
    <w:rPr>
      <w:color w:val="000000"/>
      <w:sz w:val="21"/>
      <w:szCs w:val="21"/>
      <w:lang w:val="en-US" w:eastAsia="zh-CN" w:bidi="ar-SA"/>
    </w:rPr>
  </w:style>
  <w:style w:type="paragraph" w:customStyle="1" w:styleId="77">
    <w:name w:val="Char"/>
    <w:basedOn w:val="1"/>
    <w:uiPriority w:val="0"/>
    <w:rPr>
      <w:rFonts w:ascii="Tahoma" w:hAnsi="Tahoma"/>
      <w:sz w:val="24"/>
      <w:szCs w:val="20"/>
    </w:rPr>
  </w:style>
  <w:style w:type="paragraph" w:customStyle="1" w:styleId="78">
    <w:name w:val="_Style 15"/>
    <w:basedOn w:val="1"/>
    <w:uiPriority w:val="0"/>
    <w:pPr>
      <w:tabs>
        <w:tab w:val="left" w:pos="360"/>
      </w:tabs>
    </w:pPr>
    <w:rPr>
      <w:sz w:val="24"/>
    </w:rPr>
  </w:style>
  <w:style w:type="paragraph" w:customStyle="1" w:styleId="79">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0">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1">
    <w:name w:val="Char Char4"/>
    <w:basedOn w:val="1"/>
    <w:uiPriority w:val="0"/>
    <w:rPr>
      <w:rFonts w:ascii="Tahoma" w:hAnsi="Tahoma"/>
      <w:sz w:val="24"/>
      <w:szCs w:val="20"/>
    </w:rPr>
  </w:style>
  <w:style w:type="paragraph" w:customStyle="1" w:styleId="82">
    <w:name w:val="样式 小四 段前: 5 磅 段后: 5 磅 首行缩进:  2 字符"/>
    <w:basedOn w:val="1"/>
    <w:uiPriority w:val="0"/>
    <w:pPr>
      <w:keepNext w:val="0"/>
      <w:keepLines w:val="0"/>
      <w:widowControl w:val="0"/>
      <w:suppressLineNumbers w:val="0"/>
      <w:spacing w:before="0" w:beforeAutospacing="0" w:after="0" w:afterAutospacing="0" w:line="360" w:lineRule="auto"/>
      <w:ind w:left="0" w:right="0" w:firstLine="0" w:firstLineChars="0"/>
      <w:jc w:val="both"/>
    </w:pPr>
    <w:rPr>
      <w:rFonts w:hint="eastAsia" w:ascii="宋体" w:hAnsi="宋体" w:eastAsia="宋体" w:cs="Times New Roman"/>
      <w:kern w:val="0"/>
      <w:sz w:val="21"/>
      <w:szCs w:val="21"/>
      <w:lang w:val="en-US" w:eastAsia="zh-CN" w:bidi="ar"/>
    </w:rPr>
  </w:style>
  <w:style w:type="paragraph" w:customStyle="1" w:styleId="83">
    <w:name w:val="正文_7"/>
    <w:qFormat/>
    <w:uiPriority w:val="0"/>
    <w:pPr>
      <w:widowControl w:val="0"/>
      <w:jc w:val="both"/>
    </w:pPr>
    <w:rPr>
      <w:rFonts w:ascii="Calibri" w:hAnsi="Calibri"/>
      <w:kern w:val="2"/>
      <w:sz w:val="21"/>
      <w:szCs w:val="22"/>
      <w:lang w:val="en-US" w:eastAsia="zh-CN" w:bidi="ar-SA"/>
    </w:rPr>
  </w:style>
  <w:style w:type="paragraph" w:customStyle="1" w:styleId="84">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5">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6">
    <w:name w:val="_Style 2"/>
    <w:basedOn w:val="1"/>
    <w:qFormat/>
    <w:uiPriority w:val="0"/>
    <w:pPr>
      <w:ind w:left="720"/>
      <w:contextualSpacing/>
    </w:pPr>
  </w:style>
  <w:style w:type="paragraph" w:customStyle="1" w:styleId="87">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88">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89">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0">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1">
    <w:name w:val="Char Char Char Char Char Char Char Char Char Char Char Char Char Char"/>
    <w:basedOn w:val="1"/>
    <w:uiPriority w:val="0"/>
    <w:rPr>
      <w:rFonts w:ascii="Tahoma" w:hAnsi="Tahoma"/>
      <w:sz w:val="24"/>
      <w:szCs w:val="20"/>
    </w:rPr>
  </w:style>
  <w:style w:type="paragraph" w:customStyle="1" w:styleId="92">
    <w:name w:val="*正文"/>
    <w:basedOn w:val="1"/>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eastAsia" w:ascii="宋体" w:hAnsi="宋体" w:eastAsia="宋体" w:cs="Times New Roman"/>
      <w:kern w:val="0"/>
      <w:sz w:val="22"/>
      <w:szCs w:val="22"/>
      <w:lang w:val="en-US" w:eastAsia="zh-CN" w:bidi="ar"/>
    </w:rPr>
  </w:style>
  <w:style w:type="paragraph" w:customStyle="1" w:styleId="93">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4">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5">
    <w:name w:val="_Style 13"/>
    <w:basedOn w:val="1"/>
    <w:uiPriority w:val="0"/>
    <w:rPr>
      <w:rFonts w:ascii="Tahoma" w:hAnsi="Tahoma"/>
      <w:sz w:val="24"/>
      <w:szCs w:val="20"/>
    </w:rPr>
  </w:style>
  <w:style w:type="paragraph" w:customStyle="1" w:styleId="96">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7">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8">
    <w:name w:val="默认段落字体 Para Char"/>
    <w:basedOn w:val="1"/>
    <w:qFormat/>
    <w:uiPriority w:val="0"/>
    <w:pPr>
      <w:spacing w:line="360" w:lineRule="auto"/>
      <w:ind w:firstLine="200" w:firstLineChars="200"/>
    </w:pPr>
    <w:rPr>
      <w:rFonts w:ascii="宋体" w:hAnsi="宋体" w:cs="宋体"/>
      <w:sz w:val="24"/>
    </w:rPr>
  </w:style>
  <w:style w:type="paragraph" w:customStyle="1" w:styleId="99">
    <w:name w:val="List Paragraph"/>
    <w:basedOn w:val="1"/>
    <w:uiPriority w:val="0"/>
    <w:pPr>
      <w:ind w:firstLine="420" w:firstLineChars="200"/>
    </w:pPr>
    <w:rPr>
      <w:rFonts w:ascii="Calibri" w:hAnsi="Calibri" w:cs="Calibri"/>
      <w:szCs w:val="21"/>
    </w:rPr>
  </w:style>
  <w:style w:type="paragraph" w:customStyle="1" w:styleId="100">
    <w:name w:val="xl1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01">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102">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03">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04">
    <w:name w:val="p17"/>
    <w:basedOn w:val="1"/>
    <w:qFormat/>
    <w:uiPriority w:val="0"/>
    <w:pPr>
      <w:widowControl/>
      <w:jc w:val="left"/>
    </w:pPr>
    <w:rPr>
      <w:rFonts w:ascii="宋体" w:hAnsi="宋体" w:cs="宋体"/>
      <w:kern w:val="0"/>
      <w:sz w:val="24"/>
    </w:rPr>
  </w:style>
  <w:style w:type="paragraph" w:customStyle="1" w:styleId="105">
    <w:name w:val="Table Paragraph"/>
    <w:basedOn w:val="1"/>
    <w:qFormat/>
    <w:uiPriority w:val="1"/>
  </w:style>
  <w:style w:type="paragraph" w:customStyle="1" w:styleId="106">
    <w:name w:val="Table Text"/>
    <w:basedOn w:val="1"/>
    <w:qFormat/>
    <w:uiPriority w:val="0"/>
    <w:pPr>
      <w:widowControl/>
      <w:tabs>
        <w:tab w:val="decimal" w:pos="0"/>
      </w:tabs>
      <w:autoSpaceDE w:val="0"/>
      <w:autoSpaceDN w:val="0"/>
      <w:adjustRightInd w:val="0"/>
      <w:spacing w:before="80" w:after="80"/>
    </w:pPr>
    <w:rPr>
      <w:rFonts w:ascii="Arial" w:hAnsi="Arial" w:eastAsia="宋体" w:cs="Times New Roman"/>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547</Words>
  <Characters>625</Characters>
  <Lines>111</Lines>
  <Paragraphs>31</Paragraphs>
  <TotalTime>2</TotalTime>
  <ScaleCrop>false</ScaleCrop>
  <LinksUpToDate>false</LinksUpToDate>
  <CharactersWithSpaces>687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2022-07-18T06:29:00Z</dcterms:created>
  <dc:creator>Administrator</dc:creator>
  <cp:lastModifiedBy>玉簪轻绾融于发</cp:lastModifiedBy>
  <cp:lastPrinted>2026-06-11T09:03:29Z</cp:lastPrinted>
  <dcterms:modified xsi:type="dcterms:W3CDTF">2026-06-12T07:52:26Z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5AEB14D37416420B9F32BF2095E9188F_13</vt:lpwstr>
  </property>
  <property fmtid="{D5CDD505-2E9C-101B-9397-08002B2CF9AE}" pid="4" name="KSOTemplateDocerSaveRecord">
    <vt:lpwstr>eyJoZGlkIjoiM2Q5N2IxOGQ2ZmZjZjdlNGU0NDc2OGNkZTZmNzExYjciLCJ1c2VySWQiOiIyMzg3NjkwOTgifQ==</vt:lpwstr>
  </property>
</Properties>
</file>