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kinsoku/>
        <w:wordWrap/>
        <w:overflowPunct/>
        <w:topLinePunct w:val="0"/>
        <w:bidi w:val="0"/>
        <w:adjustRightInd/>
        <w:snapToGrid/>
        <w:spacing w:beforeLines="0" w:afterLines="0"/>
        <w:rPr>
          <w:rFonts w:hint="default" w:ascii="黑体" w:hAnsi="黑体" w:eastAsia="黑体" w:cs="黑体"/>
          <w:b/>
          <w:color w:val="auto"/>
          <w:kern w:val="2"/>
          <w:sz w:val="24"/>
          <w:szCs w:val="24"/>
          <w:highlight w:val="none"/>
          <w:lang w:val="en-US"/>
        </w:rPr>
      </w:pPr>
      <w:bookmarkStart w:id="0" w:name="_GoBack"/>
      <w:bookmarkEnd w:id="0"/>
      <w:r>
        <w:rPr>
          <w:rFonts w:hint="eastAsia" w:ascii="黑体" w:hAnsi="黑体" w:eastAsia="黑体" w:cs="黑体"/>
          <w:b/>
          <w:color w:val="auto"/>
          <w:kern w:val="2"/>
          <w:sz w:val="24"/>
          <w:szCs w:val="24"/>
          <w:highlight w:val="none"/>
          <w:lang w:val="en-US"/>
        </w:rPr>
        <w:t>招标公告附件</w:t>
      </w:r>
    </w:p>
    <w:p>
      <w:pPr>
        <w:pStyle w:val="2"/>
        <w:rPr>
          <w:rFonts w:hint="eastAsia" w:ascii="方正仿宋_GBK" w:hAnsi="方正仿宋_GBK" w:eastAsia="方正仿宋_GBK" w:cs="方正仿宋_GBK"/>
          <w:bCs/>
          <w:color w:val="auto"/>
          <w:sz w:val="32"/>
          <w:szCs w:val="32"/>
          <w:highlight w:val="none"/>
        </w:rPr>
      </w:pPr>
      <w:r>
        <w:rPr>
          <w:rFonts w:hint="eastAsia" w:ascii="黑体" w:hAnsi="黑体" w:eastAsia="黑体" w:cs="黑体"/>
          <w:b/>
          <w:color w:val="auto"/>
          <w:kern w:val="2"/>
          <w:sz w:val="24"/>
          <w:szCs w:val="24"/>
          <w:highlight w:val="none"/>
          <w:lang w:val="en-US"/>
        </w:rPr>
        <w:t>附件</w:t>
      </w:r>
      <w:r>
        <w:rPr>
          <w:rFonts w:hint="eastAsia" w:ascii="黑体" w:hAnsi="黑体" w:eastAsia="黑体" w:cs="黑体"/>
          <w:b/>
          <w:color w:val="auto"/>
          <w:kern w:val="2"/>
          <w:sz w:val="24"/>
          <w:szCs w:val="24"/>
          <w:highlight w:val="none"/>
          <w:lang w:val="en-US" w:eastAsia="zh-CN"/>
        </w:rPr>
        <w:t>1</w:t>
      </w:r>
      <w:r>
        <w:rPr>
          <w:rFonts w:hint="eastAsia" w:ascii="黑体" w:hAnsi="黑体" w:eastAsia="黑体" w:cs="黑体"/>
          <w:b/>
          <w:color w:val="auto"/>
          <w:kern w:val="2"/>
          <w:sz w:val="24"/>
          <w:szCs w:val="24"/>
          <w:highlight w:val="none"/>
          <w:lang w:val="en-US"/>
        </w:rPr>
        <w:t>：专用资质业绩要求</w:t>
      </w:r>
    </w:p>
    <w:tbl>
      <w:tblPr>
        <w:tblStyle w:val="11"/>
        <w:tblW w:w="1398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11"/>
        <w:gridCol w:w="1905"/>
        <w:gridCol w:w="2505"/>
        <w:gridCol w:w="3000"/>
        <w:gridCol w:w="2010"/>
        <w:gridCol w:w="1262"/>
        <w:gridCol w:w="16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PrEx>
        <w:trPr>
          <w:trHeight w:val="834" w:hRule="atLeast"/>
          <w:tblHeader/>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适用标包</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小类</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业绩要求（不少于）</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生产设备</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eastAsia" w:ascii="宋体" w:hAnsi="宋体" w:eastAsia="宋体" w:cs="宋体"/>
                <w:b/>
                <w:i w:val="0"/>
                <w:color w:val="000000"/>
                <w:kern w:val="0"/>
                <w:sz w:val="20"/>
                <w:szCs w:val="20"/>
                <w:u w:val="none"/>
                <w:lang w:val="en-US" w:eastAsia="zh-CN" w:bidi="ar"/>
              </w:rPr>
              <w:t>试验设备</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ascii="Times New Roman" w:hAnsi="Times New Roman" w:eastAsia="宋体" w:cs="Times New Roman"/>
                <w:b/>
                <w:color w:val="auto"/>
                <w:kern w:val="0"/>
                <w:sz w:val="22"/>
                <w:highlight w:val="none"/>
                <w:lang w:bidi="ar"/>
              </w:rPr>
              <w:t>关键参数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001变压器套管包1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变压器套管</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2023年1月1日至投标/首次应答截止日期间,业绩不少于200万元</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所投产品中配件或配件对应整设备须提供国家认可的第三方检测机构出具有效的的检测报告以及通过型式试验设备的主要组部件应用证明。</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002电流互感器配件包1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电流互感器配件直流电流互感器电子测量模块</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2023年1月1日至投标/首次应答截止日期间,业绩不少于50万元</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所投产品中配件或配件对应整设备须提供国家认可的第三方检测机构出具有效的的检测报告以及通过型式试验设备的主要组部件应用证明。</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003组合电器配件包2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组合电器内隔离开关</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2023年1月1日至投标/首次应答截止日期间,业绩不少于100万元</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所投产品中配件或配件对应整设备须提供国家认可的第三方检测机构出具有效的的检测报告以及通过型式试验设备的主要组部件应用证明。</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004变电在线监测装置包1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单乙炔监测装置</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2023年1月1日至投标/首次应答截止日期间,具备换流站单乙炔监测装置供货或试运行业绩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提供国家认可第三方检验检测机构出具的单乙炔装置（乙炔快速检测装置）有效型式试验报告。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4"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005换流变主动防御保护装置包1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换流变主动防御保护装置</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2023年1月1日至投标/首次应答截止日期间,具有换流站直流控保或1000kV及以上变电站继电保护装置供货业绩。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提供国家认可第三方检验检测机构出具的换流变主动防御保护装置型式试验报告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006UPS电源包1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UPS电源（不间断电源）,100kVA</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2023年1月1日至投标/首次应答截止日期间，投标人/应答人具有同类产品销售业绩。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007暖通系统包1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暖通系统</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2023年1月1日至投标/首次应答截止日期间，投标人/应答人具有同类产品销售业绩。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008制氧设备包1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制氧设备</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2023年1月1日至投标/首次应答截止日期间，投标人/应答人具有同类产品销售业绩。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009减速机包1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减速机</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010同轴电缆及网络线包1</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同轴电缆、网络线、信号电缆、通信电缆</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2023年1月1日至投标/首次应答截止日期间，投标人/应答人具有同类产品销售业绩。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bl>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6"/>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M+L3UTQAAAA&#10;AgEAAA8AAAAAAAAAAQAgAAAAIgAAAGRycy9kb3ducmV2LnhtbFBLAQIUABQAAAAIAIdO4kAFOQQo&#10;swEAAEgDAAAOAAAAAAAAAAEAIAAAAB8BAABkcnMvZTJvRG9jLnhtbFBLBQYAAAAABgAGAFkBAABE&#10;BQAAAAA=&#10;">
              <v:fill on="f" focussize="0,0"/>
              <v:stroke on="f"/>
              <v:imagedata o:title=""/>
              <o:lock v:ext="edit" aspectratio="f"/>
              <v:textbox inset="0mm,0mm,0mm,0mm" style="mso-fit-shape-to-text:t;">
                <w:txbxContent>
                  <w:p>
                    <w:pPr>
                      <w:pStyle w:val="6"/>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pPr>
      <w:pStyle w:val="6"/>
      <w:spacing w:beforeLines="0" w:afterLines="0"/>
      <w:rPr>
        <w:rFonts w:hint="default"/>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0" w:afterLines="0"/>
      <w:ind w:firstLine="360"/>
      <w:rPr>
        <w:rFonts w:hint="default"/>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1305F"/>
    <w:rsid w:val="176043F2"/>
    <w:rsid w:val="17F337C1"/>
    <w:rsid w:val="48E0182C"/>
    <w:rsid w:val="74396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0"/>
    <w:pPr>
      <w:autoSpaceDE w:val="0"/>
      <w:autoSpaceDN w:val="0"/>
      <w:spacing w:beforeLines="0" w:afterLines="0"/>
      <w:jc w:val="left"/>
    </w:pPr>
    <w:rPr>
      <w:rFonts w:hint="eastAsia" w:ascii="宋体" w:hAnsi="宋体" w:eastAsia="宋体" w:cs="宋体"/>
      <w:sz w:val="21"/>
      <w:szCs w:val="21"/>
      <w:lang w:val="zh-CN"/>
    </w:rPr>
  </w:style>
  <w:style w:type="paragraph" w:styleId="3">
    <w:name w:val="Document Map"/>
    <w:basedOn w:val="1"/>
    <w:unhideWhenUsed/>
    <w:qFormat/>
    <w:uiPriority w:val="0"/>
    <w:pPr>
      <w:spacing w:beforeLines="0" w:afterLines="0"/>
    </w:pPr>
    <w:rPr>
      <w:rFonts w:hint="eastAsia" w:ascii="宋体" w:hAnsi="宋体" w:eastAsia="宋体" w:cs="宋体"/>
      <w:sz w:val="18"/>
      <w:szCs w:val="18"/>
    </w:rPr>
  </w:style>
  <w:style w:type="paragraph" w:styleId="4">
    <w:name w:val="Body Text Indent"/>
    <w:basedOn w:val="1"/>
    <w:next w:val="5"/>
    <w:unhideWhenUsed/>
    <w:qFormat/>
    <w:uiPriority w:val="0"/>
    <w:pPr>
      <w:autoSpaceDE w:val="0"/>
      <w:autoSpaceDN w:val="0"/>
      <w:spacing w:beforeLines="0" w:after="120" w:afterLines="0"/>
      <w:ind w:left="420"/>
    </w:pPr>
    <w:rPr>
      <w:rFonts w:hint="eastAsia" w:ascii="Times New Roman" w:hAnsi="Times New Roman" w:eastAsia="宋体"/>
      <w:sz w:val="21"/>
      <w:szCs w:val="24"/>
      <w:lang w:val="zh-CN"/>
    </w:rPr>
  </w:style>
  <w:style w:type="paragraph" w:styleId="5">
    <w:name w:val="envelope return"/>
    <w:basedOn w:val="1"/>
    <w:qFormat/>
    <w:uiPriority w:val="99"/>
    <w:pPr>
      <w:snapToGrid w:val="0"/>
    </w:pPr>
    <w:rPr>
      <w:rFonts w:ascii="Arial" w:hAnsi="Arial" w:cs="Arial"/>
      <w:szCs w:val="24"/>
    </w:rPr>
  </w:style>
  <w:style w:type="paragraph" w:styleId="6">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eastAsia"/>
      <w:sz w:val="18"/>
      <w:szCs w:val="18"/>
    </w:rPr>
  </w:style>
  <w:style w:type="paragraph" w:styleId="8">
    <w:name w:val="List"/>
    <w:basedOn w:val="1"/>
    <w:unhideWhenUsed/>
    <w:qFormat/>
    <w:uiPriority w:val="0"/>
    <w:pPr>
      <w:spacing w:beforeLines="0" w:afterLines="0"/>
      <w:ind w:left="200" w:hanging="200" w:hangingChars="200"/>
    </w:pPr>
    <w:rPr>
      <w:rFonts w:hint="eastAsia" w:ascii="宋体" w:hAnsi="宋体" w:eastAsia="宋体" w:cs="宋体"/>
      <w:sz w:val="21"/>
      <w:szCs w:val="21"/>
    </w:rPr>
  </w:style>
  <w:style w:type="paragraph" w:styleId="9">
    <w:name w:val="Body Text First Indent 2"/>
    <w:basedOn w:val="4"/>
    <w:next w:val="10"/>
    <w:unhideWhenUsed/>
    <w:qFormat/>
    <w:uiPriority w:val="0"/>
    <w:pPr>
      <w:spacing w:beforeLines="0" w:afterLines="0"/>
      <w:ind w:firstLine="420"/>
    </w:pPr>
    <w:rPr>
      <w:rFonts w:hint="eastAsia"/>
      <w:sz w:val="21"/>
      <w:szCs w:val="24"/>
    </w:rPr>
  </w:style>
  <w:style w:type="paragraph" w:customStyle="1" w:styleId="10">
    <w:name w:val="表格文字"/>
    <w:basedOn w:val="8"/>
    <w:next w:val="1"/>
    <w:unhideWhenUsed/>
    <w:qFormat/>
    <w:uiPriority w:val="0"/>
    <w:pPr>
      <w:spacing w:beforeLines="0" w:afterLines="0"/>
      <w:ind w:firstLine="0" w:firstLineChars="0"/>
      <w:jc w:val="center"/>
    </w:pPr>
    <w:rPr>
      <w:rFonts w:hint="eastAsia"/>
      <w:sz w:val="21"/>
      <w:szCs w:val="20"/>
    </w:rPr>
  </w:style>
  <w:style w:type="character" w:styleId="13">
    <w:name w:val="Hyperlink"/>
    <w:basedOn w:val="12"/>
    <w:qFormat/>
    <w:uiPriority w:val="0"/>
    <w:rPr>
      <w:color w:val="0000FF"/>
      <w:u w:val="single"/>
    </w:rPr>
  </w:style>
  <w:style w:type="paragraph" w:customStyle="1" w:styleId="14">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61</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2026-07-15T02:28:00Z</dcterms:created>
  <dc:creator>han</dc:creator>
  <cp:lastModifiedBy>wf</cp:lastModifiedBy>
  <dcterms:modified xsi:type="dcterms:W3CDTF">2026-07-15T11:05:44Z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E0B77A6661B14CF4B0B4774C50091FD1</vt:lpwstr>
  </property>
</Properties>
</file>